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88FA3" w14:textId="77777777" w:rsidR="002477EB" w:rsidRDefault="009C66C3">
      <w:pPr>
        <w:rPr>
          <w:rFonts w:ascii="Times New Roman" w:hAnsi="Times New Roman" w:cs="Times New Roman"/>
          <w:b/>
          <w:sz w:val="24"/>
        </w:rPr>
      </w:pPr>
      <w:r w:rsidRPr="009C66C3">
        <w:rPr>
          <w:rFonts w:ascii="Times New Roman" w:hAnsi="Times New Roman" w:cs="Times New Roman"/>
          <w:b/>
          <w:sz w:val="24"/>
        </w:rPr>
        <w:t>SERUM ANTI-MULLERIAN HORMONE LEVELS AS A MARKER OF OVARIAN RESERVE AMONG INFERTILE WOMEN</w:t>
      </w:r>
    </w:p>
    <w:p w14:paraId="452B5421" w14:textId="77777777" w:rsidR="00953648" w:rsidRDefault="00953648">
      <w:pPr>
        <w:rPr>
          <w:rFonts w:ascii="Times New Roman" w:hAnsi="Times New Roman" w:cs="Times New Roman"/>
          <w:b/>
          <w:sz w:val="24"/>
        </w:rPr>
      </w:pPr>
    </w:p>
    <w:p w14:paraId="19B89916" w14:textId="77777777" w:rsidR="009C66C3" w:rsidRDefault="009C66C3">
      <w:pPr>
        <w:rPr>
          <w:rFonts w:ascii="Times New Roman" w:hAnsi="Times New Roman" w:cs="Times New Roman"/>
          <w:sz w:val="24"/>
        </w:rPr>
      </w:pPr>
    </w:p>
    <w:p w14:paraId="59D594FE" w14:textId="77777777" w:rsidR="009908DC" w:rsidRPr="009908DC" w:rsidRDefault="009908DC" w:rsidP="00685AD1">
      <w:pPr>
        <w:spacing w:line="240" w:lineRule="auto"/>
        <w:jc w:val="both"/>
        <w:rPr>
          <w:rFonts w:ascii="Times New Roman" w:hAnsi="Times New Roman" w:cs="Times New Roman"/>
          <w:b/>
          <w:sz w:val="24"/>
          <w:szCs w:val="24"/>
        </w:rPr>
      </w:pPr>
      <w:r w:rsidRPr="009908DC">
        <w:rPr>
          <w:rFonts w:ascii="Times New Roman" w:hAnsi="Times New Roman" w:cs="Times New Roman"/>
          <w:b/>
          <w:sz w:val="24"/>
          <w:szCs w:val="24"/>
        </w:rPr>
        <w:t>ABSTRACT</w:t>
      </w:r>
    </w:p>
    <w:p w14:paraId="71C1B05C" w14:textId="77777777" w:rsidR="009908DC" w:rsidRPr="0057348F" w:rsidRDefault="0057348F" w:rsidP="00767608">
      <w:pPr>
        <w:spacing w:line="240" w:lineRule="auto"/>
        <w:jc w:val="both"/>
        <w:rPr>
          <w:rFonts w:ascii="Times New Roman" w:hAnsi="Times New Roman" w:cs="Times New Roman"/>
          <w:bCs/>
          <w:sz w:val="24"/>
          <w:szCs w:val="24"/>
        </w:rPr>
      </w:pPr>
      <w:r w:rsidRPr="0057348F">
        <w:rPr>
          <w:rFonts w:ascii="Times New Roman" w:hAnsi="Times New Roman" w:cs="Times New Roman"/>
          <w:b/>
          <w:bCs/>
          <w:sz w:val="24"/>
          <w:szCs w:val="24"/>
        </w:rPr>
        <w:t>Background</w:t>
      </w:r>
      <w:r w:rsidR="00A57749">
        <w:rPr>
          <w:rFonts w:ascii="Times New Roman" w:hAnsi="Times New Roman" w:cs="Times New Roman"/>
          <w:bCs/>
          <w:sz w:val="24"/>
          <w:szCs w:val="24"/>
        </w:rPr>
        <w:t xml:space="preserve">: </w:t>
      </w:r>
      <w:r w:rsidR="00A57749">
        <w:rPr>
          <w:rFonts w:ascii="Times New Roman" w:hAnsi="Times New Roman" w:cs="Times New Roman"/>
          <w:sz w:val="24"/>
          <w:szCs w:val="24"/>
        </w:rPr>
        <w:t>Evaluating for ovarian reserve is invaluable when managing cases of infertility with possibilities of reduced ovarian reserve.</w:t>
      </w:r>
      <w:r>
        <w:rPr>
          <w:rFonts w:ascii="Times New Roman" w:hAnsi="Times New Roman" w:cs="Times New Roman"/>
          <w:bCs/>
          <w:sz w:val="24"/>
          <w:szCs w:val="24"/>
        </w:rPr>
        <w:t xml:space="preserve"> </w:t>
      </w:r>
      <w:r w:rsidRPr="0057348F">
        <w:rPr>
          <w:rFonts w:ascii="Times New Roman" w:hAnsi="Times New Roman" w:cs="Times New Roman"/>
          <w:b/>
          <w:bCs/>
          <w:sz w:val="24"/>
          <w:szCs w:val="24"/>
        </w:rPr>
        <w:t>Aim</w:t>
      </w:r>
      <w:r w:rsidR="009908DC" w:rsidRPr="009908DC">
        <w:rPr>
          <w:rFonts w:ascii="Times New Roman" w:hAnsi="Times New Roman" w:cs="Times New Roman"/>
          <w:bCs/>
          <w:sz w:val="24"/>
          <w:szCs w:val="24"/>
        </w:rPr>
        <w:t>: To determine the serum anti-Mullerian hormone level as a marker of ovarian reserve among Infertile women and comparing the levels with other reproductive hormones) in the age range of 21 – 45 years, and also compare it with levels in women of proven fertility.</w:t>
      </w:r>
      <w:r>
        <w:rPr>
          <w:rFonts w:ascii="Times New Roman" w:hAnsi="Times New Roman" w:cs="Times New Roman"/>
          <w:bCs/>
          <w:sz w:val="24"/>
          <w:szCs w:val="24"/>
        </w:rPr>
        <w:t xml:space="preserve"> </w:t>
      </w:r>
      <w:r w:rsidRPr="0057348F">
        <w:rPr>
          <w:rFonts w:ascii="Times New Roman" w:hAnsi="Times New Roman" w:cs="Times New Roman"/>
          <w:b/>
          <w:sz w:val="24"/>
          <w:szCs w:val="24"/>
        </w:rPr>
        <w:t>Subjects and Methods</w:t>
      </w:r>
      <w:r w:rsidR="009908DC" w:rsidRPr="009908DC">
        <w:rPr>
          <w:rFonts w:ascii="Times New Roman" w:hAnsi="Times New Roman" w:cs="Times New Roman"/>
          <w:sz w:val="24"/>
          <w:szCs w:val="24"/>
        </w:rPr>
        <w:t>:</w:t>
      </w:r>
      <w:r w:rsidR="00F84DD7">
        <w:rPr>
          <w:rFonts w:ascii="Times New Roman" w:hAnsi="Times New Roman" w:cs="Times New Roman"/>
          <w:sz w:val="24"/>
          <w:szCs w:val="24"/>
        </w:rPr>
        <w:t xml:space="preserve"> </w:t>
      </w:r>
      <w:r w:rsidR="00F84DD7" w:rsidRPr="009908DC">
        <w:rPr>
          <w:rFonts w:ascii="Times New Roman" w:hAnsi="Times New Roman" w:cs="Times New Roman"/>
          <w:bCs/>
          <w:sz w:val="24"/>
          <w:szCs w:val="24"/>
        </w:rPr>
        <w:t>A hospital-based case control study which were carried out at the Department of Obstetrics and Gynaecology Irrua Specialist Teaching Hospital (ISTH) from 2021-2022.</w:t>
      </w:r>
      <w:r w:rsidR="009908DC" w:rsidRPr="009908DC">
        <w:rPr>
          <w:rFonts w:ascii="Times New Roman" w:hAnsi="Times New Roman" w:cs="Times New Roman"/>
          <w:sz w:val="24"/>
          <w:szCs w:val="24"/>
        </w:rPr>
        <w:t xml:space="preserve"> </w:t>
      </w:r>
      <w:r w:rsidR="00F84DD7" w:rsidRPr="009908DC">
        <w:rPr>
          <w:rFonts w:ascii="Times New Roman" w:hAnsi="Times New Roman" w:cs="Times New Roman"/>
          <w:sz w:val="24"/>
          <w:szCs w:val="24"/>
        </w:rPr>
        <w:t>Sixty-</w:t>
      </w:r>
      <w:r w:rsidR="009908DC" w:rsidRPr="009908DC">
        <w:rPr>
          <w:rFonts w:ascii="Times New Roman" w:hAnsi="Times New Roman" w:cs="Times New Roman"/>
          <w:sz w:val="24"/>
          <w:szCs w:val="24"/>
        </w:rPr>
        <w:t xml:space="preserve">five (65) infertile and sixty-five fertile women whose ages ranged from 21 – 45 years were included as the test and control groups respectively. Routine sex hormones and AMH in both groups were assayed. The mean, SD, and correlation test were studied between the variables, and the test of significance of variables between the two groups was also </w:t>
      </w:r>
      <w:r w:rsidR="00685AD1" w:rsidRPr="009908DC">
        <w:rPr>
          <w:rFonts w:ascii="Times New Roman" w:hAnsi="Times New Roman" w:cs="Times New Roman"/>
          <w:sz w:val="24"/>
          <w:szCs w:val="24"/>
        </w:rPr>
        <w:t>analysed</w:t>
      </w:r>
      <w:r w:rsidR="009908DC" w:rsidRPr="009908DC">
        <w:rPr>
          <w:rFonts w:ascii="Times New Roman" w:hAnsi="Times New Roman" w:cs="Times New Roman"/>
          <w:sz w:val="24"/>
          <w:szCs w:val="24"/>
        </w:rPr>
        <w:t xml:space="preserve"> using the statistical package of social sciences (SPSS)</w:t>
      </w:r>
      <w:r>
        <w:rPr>
          <w:rFonts w:ascii="Times New Roman" w:hAnsi="Times New Roman" w:cs="Times New Roman"/>
          <w:bCs/>
          <w:sz w:val="24"/>
          <w:szCs w:val="24"/>
        </w:rPr>
        <w:t xml:space="preserve">. </w:t>
      </w:r>
      <w:r w:rsidRPr="0057348F">
        <w:rPr>
          <w:rFonts w:ascii="Times New Roman" w:hAnsi="Times New Roman" w:cs="Times New Roman"/>
          <w:b/>
          <w:bCs/>
          <w:sz w:val="24"/>
          <w:szCs w:val="24"/>
        </w:rPr>
        <w:t>Results</w:t>
      </w:r>
      <w:r w:rsidR="009908DC" w:rsidRPr="009908DC">
        <w:rPr>
          <w:rFonts w:ascii="Times New Roman" w:hAnsi="Times New Roman" w:cs="Times New Roman"/>
          <w:sz w:val="24"/>
          <w:szCs w:val="24"/>
        </w:rPr>
        <w:t xml:space="preserve">: The most represented age group ranged between 26 – 30 years. Secondary and primary infertility accounted for 69.2% and 30.8% respectively of infertility in the test group. The mean value of serum AMH in infertile subjects was 2.07±4.6ng/ml while </w:t>
      </w:r>
      <w:r w:rsidR="003702FC">
        <w:rPr>
          <w:rFonts w:ascii="Times New Roman" w:hAnsi="Times New Roman" w:cs="Times New Roman"/>
          <w:sz w:val="24"/>
          <w:szCs w:val="24"/>
        </w:rPr>
        <w:t>that in the fertile subjects</w:t>
      </w:r>
      <w:r w:rsidR="009908DC" w:rsidRPr="009908DC">
        <w:rPr>
          <w:rFonts w:ascii="Times New Roman" w:hAnsi="Times New Roman" w:cs="Times New Roman"/>
          <w:sz w:val="24"/>
          <w:szCs w:val="24"/>
        </w:rPr>
        <w:t xml:space="preserve"> was 3.80±5.8ng/ml and this was statistically significant (p=0.001). The study established a weak but significant negative correlation between AMH and FSH (r=-0.143; p=0.001). However, no statistically significant correlation was found between mean AMH values and mean LH, E</w:t>
      </w:r>
      <w:r w:rsidR="009908DC" w:rsidRPr="009908DC">
        <w:rPr>
          <w:rFonts w:ascii="Times New Roman" w:hAnsi="Times New Roman" w:cs="Times New Roman"/>
          <w:sz w:val="24"/>
          <w:szCs w:val="24"/>
          <w:vertAlign w:val="subscript"/>
        </w:rPr>
        <w:t>2</w:t>
      </w:r>
      <w:r w:rsidR="009908DC" w:rsidRPr="009908DC">
        <w:rPr>
          <w:rFonts w:ascii="Times New Roman" w:hAnsi="Times New Roman" w:cs="Times New Roman"/>
          <w:sz w:val="24"/>
          <w:szCs w:val="24"/>
        </w:rPr>
        <w:t>, progesterone, and prolactin values respectively (p&gt;0.05).</w:t>
      </w:r>
      <w:r>
        <w:rPr>
          <w:rFonts w:ascii="Times New Roman" w:hAnsi="Times New Roman" w:cs="Times New Roman"/>
          <w:bCs/>
          <w:sz w:val="24"/>
          <w:szCs w:val="24"/>
        </w:rPr>
        <w:t xml:space="preserve"> </w:t>
      </w:r>
      <w:r w:rsidRPr="0057348F">
        <w:rPr>
          <w:rFonts w:ascii="Times New Roman" w:hAnsi="Times New Roman" w:cs="Times New Roman"/>
          <w:b/>
          <w:bCs/>
          <w:sz w:val="24"/>
          <w:szCs w:val="24"/>
        </w:rPr>
        <w:t>Conclusion</w:t>
      </w:r>
      <w:r w:rsidR="009908DC" w:rsidRPr="009908DC">
        <w:rPr>
          <w:rFonts w:ascii="Times New Roman" w:hAnsi="Times New Roman" w:cs="Times New Roman"/>
          <w:sz w:val="24"/>
          <w:szCs w:val="24"/>
        </w:rPr>
        <w:t>: AMH can be considered a good marker of ovarian reserve as it is cycle-independent when compared to other reproductive hormones and subsequently can be used to assess ovarian reserve.</w:t>
      </w:r>
    </w:p>
    <w:p w14:paraId="2E979C54" w14:textId="77777777" w:rsidR="009908DC" w:rsidRPr="009908DC" w:rsidRDefault="009908DC" w:rsidP="00767608">
      <w:pPr>
        <w:spacing w:line="480" w:lineRule="auto"/>
        <w:jc w:val="both"/>
        <w:rPr>
          <w:rFonts w:ascii="Times New Roman" w:hAnsi="Times New Roman" w:cs="Times New Roman"/>
          <w:sz w:val="24"/>
          <w:szCs w:val="24"/>
        </w:rPr>
      </w:pPr>
      <w:r w:rsidRPr="00EC14F9">
        <w:rPr>
          <w:rFonts w:ascii="Times New Roman" w:hAnsi="Times New Roman" w:cs="Times New Roman"/>
          <w:b/>
          <w:sz w:val="24"/>
          <w:szCs w:val="24"/>
        </w:rPr>
        <w:t>Keywords</w:t>
      </w:r>
      <w:r w:rsidRPr="009908DC">
        <w:rPr>
          <w:rFonts w:ascii="Times New Roman" w:hAnsi="Times New Roman" w:cs="Times New Roman"/>
          <w:sz w:val="24"/>
          <w:szCs w:val="24"/>
        </w:rPr>
        <w:t>: Ovarian reserve, anti-Mullerian hormone, follicle stimulating hormone.</w:t>
      </w:r>
    </w:p>
    <w:p w14:paraId="0955135E" w14:textId="77777777" w:rsidR="009908DC" w:rsidRPr="0061145C" w:rsidRDefault="0061145C" w:rsidP="00767608">
      <w:pPr>
        <w:spacing w:line="240" w:lineRule="auto"/>
        <w:jc w:val="both"/>
        <w:rPr>
          <w:rFonts w:ascii="Times New Roman" w:hAnsi="Times New Roman" w:cs="Times New Roman"/>
          <w:b/>
          <w:sz w:val="24"/>
        </w:rPr>
      </w:pPr>
      <w:r w:rsidRPr="0061145C">
        <w:rPr>
          <w:rFonts w:ascii="Times New Roman" w:hAnsi="Times New Roman" w:cs="Times New Roman"/>
          <w:b/>
          <w:sz w:val="24"/>
        </w:rPr>
        <w:t>INTRODUCTION</w:t>
      </w:r>
      <w:r w:rsidR="00E06FF9" w:rsidRPr="0061145C">
        <w:rPr>
          <w:rFonts w:ascii="Times New Roman" w:hAnsi="Times New Roman" w:cs="Times New Roman"/>
          <w:b/>
          <w:sz w:val="24"/>
        </w:rPr>
        <w:t xml:space="preserve"> </w:t>
      </w:r>
    </w:p>
    <w:p w14:paraId="1FD4B040" w14:textId="77777777" w:rsidR="00E06FF9" w:rsidRDefault="00E06FF9" w:rsidP="00767608">
      <w:pPr>
        <w:spacing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Infertility is defined as the inability of a couple to conceive despite adequate unprotected sexual intercourse within a year or more of living together or cohabiting.</w:t>
      </w:r>
      <w:r w:rsidR="00596908" w:rsidRPr="00596908">
        <w:rPr>
          <w:rFonts w:ascii="Times New Roman" w:hAnsi="Times New Roman" w:cs="Times New Roman"/>
          <w:sz w:val="24"/>
          <w:szCs w:val="24"/>
          <w:vertAlign w:val="superscript"/>
        </w:rPr>
        <w:t>[</w:t>
      </w:r>
      <w:r w:rsidR="003D6BAF">
        <w:rPr>
          <w:rFonts w:ascii="Times New Roman" w:hAnsi="Times New Roman" w:cs="Times New Roman"/>
          <w:sz w:val="24"/>
          <w:szCs w:val="24"/>
          <w:vertAlign w:val="superscript"/>
        </w:rPr>
        <w:t>1</w:t>
      </w:r>
      <w:r w:rsidR="00596908">
        <w:rPr>
          <w:rFonts w:ascii="Times New Roman" w:hAnsi="Times New Roman" w:cs="Times New Roman"/>
          <w:sz w:val="24"/>
          <w:szCs w:val="24"/>
          <w:vertAlign w:val="superscript"/>
        </w:rPr>
        <w:t>]</w:t>
      </w:r>
      <w:r>
        <w:rPr>
          <w:rFonts w:ascii="Times New Roman" w:hAnsi="Times New Roman" w:cs="Times New Roman"/>
          <w:sz w:val="24"/>
          <w:szCs w:val="24"/>
        </w:rPr>
        <w:t xml:space="preserve"> Infertility is also defined by the World Health Organization (WHO) as a disease of the reproductive system which results in failure to achieve a clinical pregnancy after 12 months or more of regular unprotected sexual intercourse while living together or cohabiting.</w:t>
      </w:r>
      <w:r w:rsidR="00596908">
        <w:rPr>
          <w:rFonts w:ascii="Times New Roman" w:hAnsi="Times New Roman" w:cs="Times New Roman"/>
          <w:sz w:val="24"/>
          <w:szCs w:val="24"/>
          <w:vertAlign w:val="superscript"/>
        </w:rPr>
        <w:t>[</w:t>
      </w:r>
      <w:r w:rsidR="003D6BAF">
        <w:rPr>
          <w:rFonts w:ascii="Times New Roman" w:hAnsi="Times New Roman" w:cs="Times New Roman"/>
          <w:sz w:val="24"/>
          <w:szCs w:val="24"/>
          <w:vertAlign w:val="superscript"/>
        </w:rPr>
        <w:t>2</w:t>
      </w:r>
      <w:r w:rsidR="00596908">
        <w:rPr>
          <w:rFonts w:ascii="Times New Roman" w:hAnsi="Times New Roman" w:cs="Times New Roman"/>
          <w:sz w:val="24"/>
          <w:szCs w:val="24"/>
          <w:vertAlign w:val="superscript"/>
        </w:rPr>
        <w:t>]</w:t>
      </w:r>
      <w:r>
        <w:rPr>
          <w:rFonts w:ascii="Times New Roman" w:hAnsi="Times New Roman" w:cs="Times New Roman"/>
          <w:sz w:val="24"/>
          <w:szCs w:val="24"/>
        </w:rPr>
        <w:t xml:space="preserve"> Demographic infertility can be defined as the inability of those of reproductive age (15 - 49 years) to become or remain pregnant within a 5 year period of exposure to pregnancy.</w:t>
      </w:r>
      <w:r w:rsidR="00596908">
        <w:rPr>
          <w:rFonts w:ascii="Times New Roman" w:hAnsi="Times New Roman" w:cs="Times New Roman"/>
          <w:sz w:val="24"/>
          <w:szCs w:val="24"/>
          <w:vertAlign w:val="superscript"/>
        </w:rPr>
        <w:t>[</w:t>
      </w:r>
      <w:r w:rsidR="003D6BAF">
        <w:rPr>
          <w:rFonts w:ascii="Times New Roman" w:hAnsi="Times New Roman" w:cs="Times New Roman"/>
          <w:sz w:val="24"/>
          <w:szCs w:val="24"/>
          <w:vertAlign w:val="superscript"/>
        </w:rPr>
        <w:t>3</w:t>
      </w:r>
      <w:r w:rsidR="00596908">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It is classified as  primary infertility if the couple has never achieved conception in the past and secondary infertility in situations where the couple had conceived in the past regardless of the outcome of the pregnancy after a year or more of regular unprotected sexual intercourse.</w:t>
      </w:r>
      <w:r w:rsidR="00596908">
        <w:rPr>
          <w:rFonts w:ascii="Times New Roman" w:hAnsi="Times New Roman" w:cs="Times New Roman"/>
          <w:sz w:val="24"/>
          <w:szCs w:val="24"/>
          <w:vertAlign w:val="superscript"/>
        </w:rPr>
        <w:t>[</w:t>
      </w:r>
      <w:r w:rsidR="003D6BAF">
        <w:rPr>
          <w:rFonts w:ascii="Times New Roman" w:hAnsi="Times New Roman" w:cs="Times New Roman"/>
          <w:sz w:val="24"/>
          <w:szCs w:val="24"/>
          <w:vertAlign w:val="superscript"/>
        </w:rPr>
        <w:t>4</w:t>
      </w:r>
      <w:r>
        <w:rPr>
          <w:rFonts w:ascii="Times New Roman" w:hAnsi="Times New Roman" w:cs="Times New Roman"/>
          <w:sz w:val="24"/>
          <w:szCs w:val="24"/>
          <w:vertAlign w:val="superscript"/>
        </w:rPr>
        <w:t>,</w:t>
      </w:r>
      <w:r w:rsidR="003D6BAF">
        <w:rPr>
          <w:rFonts w:ascii="Times New Roman" w:hAnsi="Times New Roman" w:cs="Times New Roman"/>
          <w:sz w:val="24"/>
          <w:szCs w:val="24"/>
          <w:vertAlign w:val="superscript"/>
        </w:rPr>
        <w:t>5</w:t>
      </w:r>
      <w:r w:rsidR="00596908">
        <w:rPr>
          <w:rFonts w:ascii="Times New Roman" w:hAnsi="Times New Roman" w:cs="Times New Roman"/>
          <w:sz w:val="24"/>
          <w:szCs w:val="24"/>
          <w:vertAlign w:val="superscript"/>
        </w:rPr>
        <w:t>]</w:t>
      </w:r>
    </w:p>
    <w:p w14:paraId="3D7A5C72" w14:textId="77777777" w:rsidR="0061145C" w:rsidRPr="007E0CD1" w:rsidRDefault="0061145C" w:rsidP="00767608">
      <w:pPr>
        <w:spacing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Premature ovarian failure (POF) or ovarian insufficiency is a failure of the ovary to function adequately in a woman younger than 40 years, either as an endocrine organ or a reproductive organ. In women aged 40 years or older, the physiological decline of ovarian function that accompany aging is termed perimenopause or menopausal transition. POF is estimated to affect 1% of women younger than 40 years and 0.1% of those under 30 years.</w:t>
      </w:r>
      <w:r w:rsidR="00596908">
        <w:rPr>
          <w:rFonts w:ascii="Times New Roman" w:hAnsi="Times New Roman" w:cs="Times New Roman"/>
          <w:sz w:val="24"/>
          <w:szCs w:val="24"/>
          <w:vertAlign w:val="superscript"/>
        </w:rPr>
        <w:t>[</w:t>
      </w:r>
      <w:r w:rsidR="00FE3058">
        <w:rPr>
          <w:rFonts w:ascii="Times New Roman" w:hAnsi="Times New Roman" w:cs="Times New Roman"/>
          <w:sz w:val="24"/>
          <w:szCs w:val="24"/>
          <w:vertAlign w:val="superscript"/>
        </w:rPr>
        <w:t>6</w:t>
      </w:r>
      <w:r w:rsidR="00596908">
        <w:rPr>
          <w:rFonts w:ascii="Times New Roman" w:hAnsi="Times New Roman" w:cs="Times New Roman"/>
          <w:sz w:val="24"/>
          <w:szCs w:val="24"/>
          <w:vertAlign w:val="superscript"/>
        </w:rPr>
        <w:t>]</w:t>
      </w:r>
      <w:r w:rsidR="007E0CD1">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Ovarian </w:t>
      </w:r>
      <w:r>
        <w:rPr>
          <w:rFonts w:ascii="Times New Roman" w:hAnsi="Times New Roman" w:cs="Times New Roman"/>
          <w:sz w:val="24"/>
          <w:szCs w:val="24"/>
        </w:rPr>
        <w:lastRenderedPageBreak/>
        <w:t>reserve is a term used to determine the capacity of the ovaries to provide oocytes that are capable of fertilization resulting in a healthy and successful pregnancy.</w:t>
      </w:r>
      <w:r w:rsidR="00596908">
        <w:rPr>
          <w:rFonts w:ascii="Times New Roman" w:hAnsi="Times New Roman" w:cs="Times New Roman"/>
          <w:sz w:val="24"/>
          <w:szCs w:val="24"/>
          <w:vertAlign w:val="superscript"/>
        </w:rPr>
        <w:t>[</w:t>
      </w:r>
      <w:r w:rsidR="00FE3058">
        <w:rPr>
          <w:rFonts w:ascii="Times New Roman" w:hAnsi="Times New Roman" w:cs="Times New Roman"/>
          <w:sz w:val="24"/>
          <w:szCs w:val="24"/>
          <w:vertAlign w:val="superscript"/>
        </w:rPr>
        <w:t>7</w:t>
      </w:r>
      <w:r w:rsidR="00596908">
        <w:rPr>
          <w:rFonts w:ascii="Times New Roman" w:hAnsi="Times New Roman" w:cs="Times New Roman"/>
          <w:sz w:val="24"/>
          <w:szCs w:val="24"/>
          <w:vertAlign w:val="superscript"/>
        </w:rPr>
        <w:t>]</w:t>
      </w:r>
      <w:r>
        <w:rPr>
          <w:rFonts w:ascii="Times New Roman" w:hAnsi="Times New Roman" w:cs="Times New Roman"/>
          <w:sz w:val="24"/>
          <w:szCs w:val="24"/>
        </w:rPr>
        <w:t xml:space="preserve"> It represents the remaining follicular pool of oocytes in the ovaries that undergo progressive atresia through apoptosis during a woman’s reproductive period. The ovarian follicular pool declines with increasing maternal age resulting in the decrease of a woman’s reproductive potential.</w:t>
      </w:r>
      <w:r w:rsidR="00596908">
        <w:rPr>
          <w:rFonts w:ascii="Times New Roman" w:hAnsi="Times New Roman" w:cs="Times New Roman"/>
          <w:sz w:val="24"/>
          <w:szCs w:val="24"/>
          <w:vertAlign w:val="superscript"/>
        </w:rPr>
        <w:t>[</w:t>
      </w:r>
      <w:r w:rsidR="00FE3058">
        <w:rPr>
          <w:rFonts w:ascii="Times New Roman" w:hAnsi="Times New Roman" w:cs="Times New Roman"/>
          <w:sz w:val="24"/>
          <w:szCs w:val="24"/>
          <w:vertAlign w:val="superscript"/>
        </w:rPr>
        <w:t>8</w:t>
      </w:r>
      <w:r w:rsidR="00596908">
        <w:rPr>
          <w:rFonts w:ascii="Times New Roman" w:hAnsi="Times New Roman" w:cs="Times New Roman"/>
          <w:sz w:val="24"/>
          <w:szCs w:val="24"/>
          <w:vertAlign w:val="superscript"/>
        </w:rPr>
        <w:t>]</w:t>
      </w:r>
      <w:r w:rsidR="007E0CD1">
        <w:rPr>
          <w:rFonts w:ascii="Times New Roman" w:hAnsi="Times New Roman" w:cs="Times New Roman"/>
          <w:sz w:val="24"/>
          <w:szCs w:val="24"/>
          <w:vertAlign w:val="superscript"/>
        </w:rPr>
        <w:t xml:space="preserve"> </w:t>
      </w:r>
      <w:r>
        <w:rPr>
          <w:rFonts w:ascii="Times New Roman" w:hAnsi="Times New Roman" w:cs="Times New Roman"/>
          <w:sz w:val="24"/>
          <w:szCs w:val="24"/>
        </w:rPr>
        <w:t>There is no direct method for assessing ovarian reserve. However, there are biochemical and radiological means of indirectly measurin</w:t>
      </w:r>
      <w:r w:rsidR="007E0CD1">
        <w:rPr>
          <w:rFonts w:ascii="Times New Roman" w:hAnsi="Times New Roman" w:cs="Times New Roman"/>
          <w:sz w:val="24"/>
          <w:szCs w:val="24"/>
        </w:rPr>
        <w:t xml:space="preserve">g or assessing ovarian reserve. </w:t>
      </w:r>
      <w:r>
        <w:rPr>
          <w:rFonts w:ascii="Times New Roman" w:hAnsi="Times New Roman" w:cs="Times New Roman"/>
          <w:sz w:val="24"/>
          <w:szCs w:val="24"/>
        </w:rPr>
        <w:t xml:space="preserve">Biochemical methods include checking the values of the following hormones: Anti-Mullerian hormone (AMH), follicle stimulating hormone (FSH), </w:t>
      </w:r>
      <w:proofErr w:type="spellStart"/>
      <w:r>
        <w:rPr>
          <w:rFonts w:ascii="Times New Roman" w:hAnsi="Times New Roman" w:cs="Times New Roman"/>
          <w:sz w:val="24"/>
          <w:szCs w:val="24"/>
        </w:rPr>
        <w:t>estradiol</w:t>
      </w:r>
      <w:proofErr w:type="spellEnd"/>
      <w:r>
        <w:rPr>
          <w:rFonts w:ascii="Times New Roman" w:hAnsi="Times New Roman" w:cs="Times New Roman"/>
          <w:sz w:val="24"/>
          <w:szCs w:val="24"/>
        </w:rPr>
        <w:t xml:space="preserve"> (E</w:t>
      </w:r>
      <w:r>
        <w:rPr>
          <w:rFonts w:ascii="Times New Roman" w:hAnsi="Times New Roman" w:cs="Times New Roman"/>
          <w:sz w:val="24"/>
          <w:szCs w:val="24"/>
          <w:vertAlign w:val="subscript"/>
        </w:rPr>
        <w:t>2</w:t>
      </w:r>
      <w:r>
        <w:rPr>
          <w:rFonts w:ascii="Times New Roman" w:hAnsi="Times New Roman" w:cs="Times New Roman"/>
          <w:sz w:val="24"/>
          <w:szCs w:val="24"/>
        </w:rPr>
        <w:t>), and Inhibin.</w:t>
      </w:r>
      <w:r w:rsidR="00596908">
        <w:rPr>
          <w:rFonts w:ascii="Times New Roman" w:hAnsi="Times New Roman" w:cs="Times New Roman"/>
          <w:sz w:val="24"/>
          <w:szCs w:val="24"/>
          <w:vertAlign w:val="superscript"/>
        </w:rPr>
        <w:t>[</w:t>
      </w:r>
      <w:r w:rsidR="00FE3058">
        <w:rPr>
          <w:rFonts w:ascii="Times New Roman" w:hAnsi="Times New Roman" w:cs="Times New Roman"/>
          <w:sz w:val="24"/>
          <w:szCs w:val="24"/>
          <w:vertAlign w:val="superscript"/>
        </w:rPr>
        <w:t>9</w:t>
      </w:r>
      <w:r w:rsidR="00596908">
        <w:rPr>
          <w:rFonts w:ascii="Times New Roman" w:hAnsi="Times New Roman" w:cs="Times New Roman"/>
          <w:sz w:val="24"/>
          <w:szCs w:val="24"/>
          <w:vertAlign w:val="superscript"/>
        </w:rPr>
        <w:t>]</w:t>
      </w:r>
    </w:p>
    <w:p w14:paraId="1A39490C" w14:textId="77777777" w:rsidR="00BD0D3C" w:rsidRPr="007E0CD1" w:rsidRDefault="0061145C" w:rsidP="00767608">
      <w:pPr>
        <w:spacing w:line="240" w:lineRule="auto"/>
        <w:jc w:val="both"/>
        <w:rPr>
          <w:rFonts w:ascii="Times New Roman" w:hAnsi="Times New Roman" w:cs="Times New Roman"/>
          <w:sz w:val="24"/>
          <w:szCs w:val="24"/>
        </w:rPr>
      </w:pPr>
      <w:r>
        <w:rPr>
          <w:rFonts w:ascii="Times New Roman" w:hAnsi="Times New Roman" w:cs="Times New Roman"/>
          <w:sz w:val="24"/>
          <w:szCs w:val="24"/>
        </w:rPr>
        <w:t>Radiological method is by using Transvaginal ultrasound to measure the antral follicle count and mean ovarian volume.</w:t>
      </w:r>
      <w:r w:rsidR="00596908">
        <w:rPr>
          <w:rFonts w:ascii="Times New Roman" w:hAnsi="Times New Roman" w:cs="Times New Roman"/>
          <w:sz w:val="24"/>
          <w:szCs w:val="24"/>
          <w:vertAlign w:val="superscript"/>
        </w:rPr>
        <w:t>[</w:t>
      </w:r>
      <w:r w:rsidR="00FE3058">
        <w:rPr>
          <w:rFonts w:ascii="Times New Roman" w:hAnsi="Times New Roman" w:cs="Times New Roman"/>
          <w:sz w:val="24"/>
          <w:szCs w:val="24"/>
          <w:vertAlign w:val="superscript"/>
        </w:rPr>
        <w:t>10</w:t>
      </w:r>
      <w:r w:rsidR="00596908">
        <w:rPr>
          <w:rFonts w:ascii="Times New Roman" w:hAnsi="Times New Roman" w:cs="Times New Roman"/>
          <w:sz w:val="24"/>
          <w:szCs w:val="24"/>
          <w:vertAlign w:val="superscript"/>
        </w:rPr>
        <w:t>]</w:t>
      </w:r>
      <w:r w:rsidR="007E0CD1">
        <w:rPr>
          <w:rFonts w:ascii="Times New Roman" w:hAnsi="Times New Roman" w:cs="Times New Roman"/>
          <w:sz w:val="24"/>
          <w:szCs w:val="24"/>
        </w:rPr>
        <w:t xml:space="preserve"> </w:t>
      </w:r>
      <w:r w:rsidR="00BD0D3C">
        <w:rPr>
          <w:rFonts w:ascii="Times New Roman" w:hAnsi="Times New Roman" w:cs="Times New Roman"/>
          <w:sz w:val="24"/>
          <w:szCs w:val="24"/>
        </w:rPr>
        <w:t>In recent times, quite a number of women are getting married at advanced reproductive age of 35years and above. This is often due to career development or other personal reasons. They could present with infertility and it would be of advantage to have an idea of the ovarian reserve in women of this age range, most especially if they are at higher risks of reduced ovarian reserve as seen in patients with endometriosis, pelvic infections, previous ovarian surgeries, treatment of cancer with gonadotoxic drugs, pelvic irradiation, smoking and a family history of early menopause, when managing them for infertility. Women with poor ovarian reserve are less likely to conceive with infertility treatment so they are probably best advised on assisted reproductive technique with donor eggs.</w:t>
      </w:r>
      <w:r w:rsidR="00596908">
        <w:rPr>
          <w:rFonts w:ascii="Times New Roman" w:hAnsi="Times New Roman" w:cs="Times New Roman"/>
          <w:sz w:val="24"/>
          <w:szCs w:val="24"/>
          <w:vertAlign w:val="superscript"/>
        </w:rPr>
        <w:t>[</w:t>
      </w:r>
      <w:r w:rsidR="00FE3058">
        <w:rPr>
          <w:rFonts w:ascii="Times New Roman" w:hAnsi="Times New Roman" w:cs="Times New Roman"/>
          <w:sz w:val="24"/>
          <w:szCs w:val="24"/>
          <w:vertAlign w:val="superscript"/>
        </w:rPr>
        <w:t>9</w:t>
      </w:r>
      <w:r w:rsidR="00596908">
        <w:rPr>
          <w:rFonts w:ascii="Times New Roman" w:hAnsi="Times New Roman" w:cs="Times New Roman"/>
          <w:sz w:val="24"/>
          <w:szCs w:val="24"/>
          <w:vertAlign w:val="superscript"/>
        </w:rPr>
        <w:t>]</w:t>
      </w:r>
    </w:p>
    <w:p w14:paraId="22B41DB7" w14:textId="77777777" w:rsidR="00081C98" w:rsidRPr="007E0CD1" w:rsidRDefault="00081C98" w:rsidP="00767608">
      <w:pPr>
        <w:spacing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Prior to the emergence of AMH, basal FSH is the most common test for ovarian reserve and it is the parameter in use in ISTH for the assessment of ovarian reserve. FSH is flawed with poor sensitivity and specificity due to its clinically significant intra and inter cycle variability.</w:t>
      </w:r>
      <w:r w:rsidR="00596908">
        <w:rPr>
          <w:rFonts w:ascii="Times New Roman" w:hAnsi="Times New Roman" w:cs="Times New Roman"/>
          <w:sz w:val="24"/>
          <w:szCs w:val="24"/>
          <w:vertAlign w:val="superscript"/>
        </w:rPr>
        <w:t>[</w:t>
      </w:r>
      <w:r w:rsidR="00FE3058">
        <w:rPr>
          <w:rFonts w:ascii="Times New Roman" w:hAnsi="Times New Roman" w:cs="Times New Roman"/>
          <w:sz w:val="24"/>
          <w:szCs w:val="24"/>
          <w:vertAlign w:val="superscript"/>
        </w:rPr>
        <w:t>11</w:t>
      </w:r>
      <w:r w:rsidR="00596908">
        <w:rPr>
          <w:rFonts w:ascii="Times New Roman" w:hAnsi="Times New Roman" w:cs="Times New Roman"/>
          <w:sz w:val="24"/>
          <w:szCs w:val="24"/>
          <w:vertAlign w:val="superscript"/>
        </w:rPr>
        <w:t>]</w:t>
      </w:r>
      <w:r w:rsidR="007E0CD1">
        <w:rPr>
          <w:rFonts w:ascii="Times New Roman" w:hAnsi="Times New Roman" w:cs="Times New Roman"/>
          <w:sz w:val="24"/>
          <w:szCs w:val="24"/>
          <w:vertAlign w:val="superscript"/>
        </w:rPr>
        <w:t xml:space="preserve"> </w:t>
      </w:r>
      <w:r>
        <w:rPr>
          <w:rFonts w:ascii="Times New Roman" w:hAnsi="Times New Roman" w:cs="Times New Roman"/>
          <w:sz w:val="24"/>
          <w:szCs w:val="24"/>
        </w:rPr>
        <w:t>It is hypothesized that anti-Mullerian hormone concentration (AMH) declines with increasing reproductive age of a woman.</w:t>
      </w:r>
      <w:r w:rsidR="00596908">
        <w:rPr>
          <w:rFonts w:ascii="Times New Roman" w:hAnsi="Times New Roman" w:cs="Times New Roman"/>
          <w:sz w:val="24"/>
          <w:szCs w:val="24"/>
          <w:vertAlign w:val="superscript"/>
        </w:rPr>
        <w:t>[</w:t>
      </w:r>
      <w:r w:rsidR="006256CE">
        <w:rPr>
          <w:rFonts w:ascii="Times New Roman" w:hAnsi="Times New Roman" w:cs="Times New Roman"/>
          <w:sz w:val="24"/>
          <w:szCs w:val="24"/>
          <w:vertAlign w:val="superscript"/>
        </w:rPr>
        <w:t>12</w:t>
      </w:r>
      <w:r w:rsidR="00596908">
        <w:rPr>
          <w:rFonts w:ascii="Times New Roman" w:hAnsi="Times New Roman" w:cs="Times New Roman"/>
          <w:sz w:val="24"/>
          <w:szCs w:val="24"/>
          <w:vertAlign w:val="superscript"/>
        </w:rPr>
        <w:t>]</w:t>
      </w:r>
      <w:r>
        <w:rPr>
          <w:rFonts w:ascii="Times New Roman" w:hAnsi="Times New Roman" w:cs="Times New Roman"/>
          <w:sz w:val="24"/>
          <w:szCs w:val="24"/>
        </w:rPr>
        <w:t xml:space="preserve"> However, there is paucity of information on the level of AMH as a biomarker for ovarian reserve among Nigerian women. This study will therefore be relevant in establishing a local benchmark of serum AMH level as a marker of ovarian reserve in women attending infertility clinic in ISTH and attempt to predict the reproductive potential of the affected women</w:t>
      </w:r>
    </w:p>
    <w:p w14:paraId="72E4AC7A" w14:textId="77777777" w:rsidR="00E06FF9" w:rsidRDefault="00596908" w:rsidP="00767608">
      <w:pPr>
        <w:jc w:val="both"/>
        <w:rPr>
          <w:rFonts w:ascii="Times New Roman" w:hAnsi="Times New Roman" w:cs="Times New Roman"/>
          <w:b/>
          <w:bCs/>
          <w:sz w:val="24"/>
          <w:szCs w:val="24"/>
        </w:rPr>
      </w:pPr>
      <w:r>
        <w:rPr>
          <w:rFonts w:ascii="Times New Roman" w:hAnsi="Times New Roman" w:cs="Times New Roman"/>
          <w:b/>
          <w:bCs/>
          <w:sz w:val="24"/>
          <w:szCs w:val="24"/>
        </w:rPr>
        <w:t xml:space="preserve">SUBJECTS </w:t>
      </w:r>
      <w:r w:rsidR="00471C19">
        <w:rPr>
          <w:rFonts w:ascii="Times New Roman" w:hAnsi="Times New Roman" w:cs="Times New Roman"/>
          <w:b/>
          <w:bCs/>
          <w:sz w:val="24"/>
          <w:szCs w:val="24"/>
        </w:rPr>
        <w:t>AND METHOD</w:t>
      </w:r>
    </w:p>
    <w:p w14:paraId="49B9AA99" w14:textId="77777777" w:rsidR="00DC7716" w:rsidRDefault="00596908" w:rsidP="0076760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is a hospital-based case-control study. The ovarian reserve makers (AMH and FSH) and other reproductive hormones such as luteinizing hormone, </w:t>
      </w:r>
      <w:proofErr w:type="spellStart"/>
      <w:r>
        <w:rPr>
          <w:rFonts w:ascii="Times New Roman" w:hAnsi="Times New Roman" w:cs="Times New Roman"/>
          <w:sz w:val="24"/>
          <w:szCs w:val="24"/>
        </w:rPr>
        <w:t>estradiol</w:t>
      </w:r>
      <w:proofErr w:type="spellEnd"/>
      <w:r>
        <w:rPr>
          <w:rFonts w:ascii="Times New Roman" w:hAnsi="Times New Roman" w:cs="Times New Roman"/>
          <w:sz w:val="24"/>
          <w:szCs w:val="24"/>
        </w:rPr>
        <w:t xml:space="preserve">, progesterone, and prolactin of patients with infertility visiting the department of Obstetrics and Gynaecology of Irrua Specialist Teaching Hospital, Irrua, were compared with those of women with proven fertility matched for age as controls. </w:t>
      </w:r>
      <w:r w:rsidR="00DC7716">
        <w:rPr>
          <w:rFonts w:ascii="Times New Roman" w:hAnsi="Times New Roman" w:cs="Times New Roman"/>
          <w:sz w:val="24"/>
          <w:szCs w:val="24"/>
        </w:rPr>
        <w:t>Irrua is a rural town and the capital of Esan central local government area of Edo state, Nigeria. Edo state is located in the South-South geopolitical zone of the country. It is situated on a latitude of 6.5438 and a longitude of 5.8987 and it is bounded by Kogi state to the northeast, Anambra state to the east, Delta state to the southeast, and Ondo state to the west.</w:t>
      </w:r>
      <w:r w:rsidR="007E0CD1">
        <w:rPr>
          <w:rFonts w:ascii="Times New Roman" w:hAnsi="Times New Roman" w:cs="Times New Roman"/>
          <w:sz w:val="24"/>
          <w:szCs w:val="24"/>
        </w:rPr>
        <w:t xml:space="preserve"> </w:t>
      </w:r>
      <w:r w:rsidR="00DC7716">
        <w:rPr>
          <w:rFonts w:ascii="Times New Roman" w:hAnsi="Times New Roman" w:cs="Times New Roman"/>
          <w:sz w:val="24"/>
          <w:szCs w:val="24"/>
        </w:rPr>
        <w:t>Irrua Specialist Teaching Hospital is a 375-bed tertiary institution located in Irrua, Esan Central Local Government Area, Edo State.  The department of Obstetrics and Gynaecology has 48 Obstetric and 42 Gynaecological beds and undertakes an average of about 1600 deliveries annually. Antenatal clinics are held three times a week and booking clinic is once a week with an average of one hundred women booking on a monthly basis. The infertility/gynaecological clinics are also held three times a week with an average of 1000 patients seen annually.</w:t>
      </w:r>
      <w:r w:rsidR="00767608">
        <w:rPr>
          <w:rFonts w:ascii="Times New Roman" w:hAnsi="Times New Roman" w:cs="Times New Roman"/>
          <w:sz w:val="24"/>
          <w:szCs w:val="24"/>
        </w:rPr>
        <w:t xml:space="preserve"> T</w:t>
      </w:r>
      <w:r w:rsidR="00DC7716">
        <w:rPr>
          <w:rFonts w:ascii="Times New Roman" w:hAnsi="Times New Roman" w:cs="Times New Roman"/>
          <w:sz w:val="24"/>
          <w:szCs w:val="24"/>
        </w:rPr>
        <w:t xml:space="preserve">he control subjects were recruited from women attending the family planning clinic of the department of obstetrics and gynaecology, Irrua Specialist Hospital and women presenting their children for immunization at the infant welfare clinic of </w:t>
      </w:r>
      <w:r w:rsidR="00DC7716">
        <w:rPr>
          <w:rFonts w:ascii="Times New Roman" w:hAnsi="Times New Roman" w:cs="Times New Roman"/>
          <w:sz w:val="24"/>
          <w:szCs w:val="24"/>
        </w:rPr>
        <w:lastRenderedPageBreak/>
        <w:t>ISTH, especially those who do not attend the family planning clinic.</w:t>
      </w:r>
      <w:r w:rsidR="00767608">
        <w:rPr>
          <w:rFonts w:ascii="Times New Roman" w:hAnsi="Times New Roman" w:cs="Times New Roman"/>
          <w:sz w:val="24"/>
          <w:szCs w:val="24"/>
        </w:rPr>
        <w:t xml:space="preserve"> Collected samples were</w:t>
      </w:r>
      <w:r w:rsidR="00DC7716">
        <w:rPr>
          <w:rFonts w:ascii="Times New Roman" w:hAnsi="Times New Roman" w:cs="Times New Roman"/>
          <w:sz w:val="24"/>
          <w:szCs w:val="24"/>
        </w:rPr>
        <w:t xml:space="preserve"> </w:t>
      </w:r>
      <w:proofErr w:type="spellStart"/>
      <w:r w:rsidR="00DC7716">
        <w:rPr>
          <w:rFonts w:ascii="Times New Roman" w:hAnsi="Times New Roman" w:cs="Times New Roman"/>
          <w:sz w:val="24"/>
          <w:szCs w:val="24"/>
        </w:rPr>
        <w:t>analyzed</w:t>
      </w:r>
      <w:proofErr w:type="spellEnd"/>
      <w:r w:rsidR="00DC7716">
        <w:rPr>
          <w:rFonts w:ascii="Times New Roman" w:hAnsi="Times New Roman" w:cs="Times New Roman"/>
          <w:sz w:val="24"/>
          <w:szCs w:val="24"/>
        </w:rPr>
        <w:t xml:space="preserve"> at the immunoassay laboratory of the department of Chemical Pathology, ISTH.</w:t>
      </w:r>
      <w:r w:rsidR="0050256F">
        <w:rPr>
          <w:rFonts w:ascii="Times New Roman" w:hAnsi="Times New Roman" w:cs="Times New Roman"/>
          <w:sz w:val="24"/>
          <w:szCs w:val="24"/>
        </w:rPr>
        <w:t xml:space="preserve"> </w:t>
      </w:r>
      <w:r w:rsidR="00DC7716">
        <w:rPr>
          <w:rFonts w:ascii="Times New Roman" w:hAnsi="Times New Roman" w:cs="Times New Roman"/>
          <w:sz w:val="24"/>
          <w:szCs w:val="24"/>
        </w:rPr>
        <w:t>The study population was made up of infertile (case) and fertile women (control) who were recruited from the department of obstetrics and gynaecology and infant welfare clinic. The list of all the women attending clinic for the day was retrieved and those meeting the inclusion criteria for the study, using simple random sampling technique, the first individuals are picked and every other third number were also selected. The total study population was one hundred and thirty (130) women.</w:t>
      </w:r>
    </w:p>
    <w:p w14:paraId="72D2872C" w14:textId="77777777" w:rsidR="00DC7716" w:rsidRDefault="00DC7716" w:rsidP="00767608">
      <w:pPr>
        <w:spacing w:line="240" w:lineRule="auto"/>
        <w:rPr>
          <w:rFonts w:ascii="Times New Roman" w:hAnsi="Times New Roman" w:cs="Times New Roman"/>
          <w:sz w:val="24"/>
          <w:szCs w:val="24"/>
        </w:rPr>
      </w:pPr>
      <w:r>
        <w:rPr>
          <w:rFonts w:ascii="Times New Roman" w:hAnsi="Times New Roman" w:cs="Times New Roman"/>
          <w:sz w:val="24"/>
          <w:szCs w:val="24"/>
        </w:rPr>
        <w:t>The sample size was calculated using the difference in proportion formula for case-control studies.</w:t>
      </w:r>
      <w:r w:rsidR="006256CE" w:rsidRPr="006256CE">
        <w:rPr>
          <w:rFonts w:ascii="Times New Roman" w:hAnsi="Times New Roman" w:cs="Times New Roman"/>
          <w:sz w:val="24"/>
          <w:szCs w:val="24"/>
          <w:vertAlign w:val="superscript"/>
        </w:rPr>
        <w:t>[13]</w:t>
      </w:r>
      <w:r w:rsidRPr="006256CE">
        <w:rPr>
          <w:rFonts w:ascii="Times New Roman" w:hAnsi="Times New Roman" w:cs="Times New Roman"/>
          <w:sz w:val="24"/>
          <w:szCs w:val="24"/>
          <w:vertAlign w:val="superscript"/>
        </w:rPr>
        <w:t xml:space="preserve"> </w:t>
      </w:r>
    </w:p>
    <w:p w14:paraId="119889CA" w14:textId="77777777" w:rsidR="00DC7716" w:rsidRDefault="00DC7716" w:rsidP="00767608">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lang w:eastAsia="en-GB"/>
        </w:rPr>
        <w:drawing>
          <wp:inline distT="0" distB="0" distL="0" distR="0" wp14:anchorId="54835701" wp14:editId="4DADAEFC">
            <wp:extent cx="2167485" cy="502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332746" cy="541265"/>
                    </a:xfrm>
                    <a:prstGeom prst="rect">
                      <a:avLst/>
                    </a:prstGeom>
                    <a:noFill/>
                    <a:ln>
                      <a:noFill/>
                    </a:ln>
                  </pic:spPr>
                </pic:pic>
              </a:graphicData>
            </a:graphic>
          </wp:inline>
        </w:drawing>
      </w:r>
    </w:p>
    <w:p w14:paraId="23EAC5F4" w14:textId="77777777" w:rsidR="00DC7716" w:rsidRDefault="00DC7716" w:rsidP="0050256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 </w:t>
      </w:r>
    </w:p>
    <w:p w14:paraId="00B8E4A1" w14:textId="77777777" w:rsidR="00DC7716" w:rsidRDefault="00DC7716" w:rsidP="0050256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 = sample size in the case-control group </w:t>
      </w:r>
    </w:p>
    <w:p w14:paraId="5027B6CD" w14:textId="77777777" w:rsidR="00DC7716" w:rsidRDefault="00DC7716" w:rsidP="0050256F">
      <w:pPr>
        <w:spacing w:after="0" w:line="240" w:lineRule="auto"/>
        <w:rPr>
          <w:rFonts w:ascii="Times New Roman" w:hAnsi="Times New Roman" w:cs="Times New Roman"/>
          <w:sz w:val="24"/>
          <w:szCs w:val="24"/>
        </w:rPr>
      </w:pPr>
      <w:r>
        <w:rPr>
          <w:rFonts w:ascii="Times New Roman" w:hAnsi="Times New Roman" w:cs="Times New Roman"/>
          <w:sz w:val="24"/>
          <w:szCs w:val="24"/>
        </w:rPr>
        <w:t>r = ratio of controls to cases</w:t>
      </w:r>
    </w:p>
    <w:p w14:paraId="1E9CA6CD" w14:textId="77777777" w:rsidR="00DC7716" w:rsidRDefault="00DC7716" w:rsidP="0050256F">
      <w:pPr>
        <w:spacing w:after="0" w:line="240" w:lineRule="auto"/>
        <w:rPr>
          <w:rFonts w:ascii="Times New Roman" w:hAnsi="Times New Roman" w:cs="Times New Roman"/>
          <w:sz w:val="24"/>
          <w:szCs w:val="24"/>
        </w:rPr>
      </w:pPr>
      <w:r>
        <w:rPr>
          <w:rFonts w:ascii="Times New Roman" w:hAnsi="Times New Roman" w:cs="Times New Roman"/>
          <w:sz w:val="24"/>
          <w:szCs w:val="24"/>
        </w:rPr>
        <w:t>Zβ = Represents the desired power (typically 0.84 for 80% power)</w:t>
      </w:r>
    </w:p>
    <w:p w14:paraId="7AB7BA9F" w14:textId="77777777" w:rsidR="00DC7716" w:rsidRDefault="00DC7716" w:rsidP="0050256F">
      <w:pPr>
        <w:spacing w:after="0" w:line="240" w:lineRule="auto"/>
        <w:rPr>
          <w:rFonts w:ascii="Times New Roman" w:hAnsi="Times New Roman" w:cs="Times New Roman"/>
          <w:sz w:val="24"/>
          <w:szCs w:val="24"/>
        </w:rPr>
      </w:pPr>
      <w:r>
        <w:rPr>
          <w:rFonts w:ascii="Times New Roman" w:hAnsi="Times New Roman" w:cs="Times New Roman"/>
          <w:sz w:val="24"/>
          <w:szCs w:val="24"/>
        </w:rPr>
        <w:t>Zα = Represents the desired level of statistical significance (typically 1.96).</w:t>
      </w:r>
    </w:p>
    <w:p w14:paraId="757F4FC8" w14:textId="77777777" w:rsidR="00DC7716" w:rsidRDefault="00DC7716" w:rsidP="0050256F">
      <w:pPr>
        <w:spacing w:after="0" w:line="240" w:lineRule="auto"/>
        <w:rPr>
          <w:rFonts w:ascii="Times New Roman" w:hAnsi="Times New Roman" w:cs="Times New Roman"/>
          <w:sz w:val="24"/>
          <w:szCs w:val="24"/>
        </w:rPr>
      </w:pPr>
      <w:r>
        <w:rPr>
          <w:rFonts w:ascii="Times New Roman" w:hAnsi="Times New Roman" w:cs="Times New Roman"/>
          <w:sz w:val="24"/>
          <w:szCs w:val="24"/>
        </w:rPr>
        <w:t>Þ = A measure of variability (similar to standard deviation) ((P1-P2)/2)</w:t>
      </w:r>
    </w:p>
    <w:p w14:paraId="3024ACC2" w14:textId="77777777" w:rsidR="00DC7716" w:rsidRDefault="00DC7716" w:rsidP="0050256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(P1 – P2)2 = Effect Size (the difference in proportions) P1 is the proportion of cases exposed. </w:t>
      </w:r>
    </w:p>
    <w:p w14:paraId="0A04671F" w14:textId="77777777" w:rsidR="00DC7716" w:rsidRDefault="00DC7716" w:rsidP="0050256F">
      <w:pPr>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rPr>
        <w:t>P2 is the proportion of exposed cases in the control group which is 10% (0.10).</w:t>
      </w:r>
      <w:r w:rsidR="006256CE">
        <w:rPr>
          <w:rFonts w:ascii="Times New Roman" w:hAnsi="Times New Roman" w:cs="Times New Roman"/>
          <w:sz w:val="24"/>
          <w:szCs w:val="24"/>
          <w:vertAlign w:val="superscript"/>
        </w:rPr>
        <w:t>[14]</w:t>
      </w:r>
    </w:p>
    <w:p w14:paraId="65F4BF2A" w14:textId="77777777" w:rsidR="00DC7716" w:rsidRDefault="00DC7716" w:rsidP="0050256F">
      <w:pPr>
        <w:spacing w:after="0" w:line="240" w:lineRule="auto"/>
        <w:rPr>
          <w:rFonts w:ascii="Times New Roman" w:hAnsi="Times New Roman" w:cs="Times New Roman"/>
          <w:sz w:val="24"/>
          <w:szCs w:val="24"/>
        </w:rPr>
      </w:pPr>
      <w:r>
        <w:rPr>
          <w:rFonts w:ascii="Times New Roman" w:hAnsi="Times New Roman" w:cs="Times New Roman"/>
          <w:sz w:val="24"/>
          <w:szCs w:val="24"/>
        </w:rPr>
        <w:t>To get the proportion of cases exposed, P1 = OR P1/(P1(OR-1) +1)</w:t>
      </w:r>
    </w:p>
    <w:p w14:paraId="7956A338" w14:textId="77777777" w:rsidR="00DC7716" w:rsidRDefault="00DC7716" w:rsidP="0050256F">
      <w:pPr>
        <w:spacing w:after="0" w:line="240" w:lineRule="auto"/>
        <w:rPr>
          <w:rFonts w:ascii="Times New Roman" w:hAnsi="Times New Roman" w:cs="Times New Roman"/>
          <w:sz w:val="24"/>
          <w:szCs w:val="24"/>
        </w:rPr>
      </w:pPr>
      <w:r>
        <w:rPr>
          <w:rFonts w:ascii="Times New Roman" w:hAnsi="Times New Roman" w:cs="Times New Roman"/>
          <w:sz w:val="24"/>
          <w:szCs w:val="24"/>
        </w:rPr>
        <w:t>The odds ratio (OR) for those exposed in the control group is 4.0.</w:t>
      </w:r>
    </w:p>
    <w:p w14:paraId="0BC089F1" w14:textId="77777777" w:rsidR="00DC7716" w:rsidRDefault="00DC7716" w:rsidP="0050256F">
      <w:pPr>
        <w:spacing w:after="0" w:line="240" w:lineRule="auto"/>
        <w:rPr>
          <w:rFonts w:ascii="Times New Roman" w:hAnsi="Times New Roman" w:cs="Times New Roman"/>
          <w:sz w:val="24"/>
          <w:szCs w:val="24"/>
        </w:rPr>
      </w:pPr>
      <w:r>
        <w:rPr>
          <w:rFonts w:ascii="Times New Roman" w:hAnsi="Times New Roman" w:cs="Times New Roman"/>
          <w:sz w:val="24"/>
          <w:szCs w:val="24"/>
        </w:rPr>
        <w:t>Therefore, P1 = (4.0) ((0.10))/ (0.10(4.0-1) +1)</w:t>
      </w:r>
    </w:p>
    <w:p w14:paraId="747899EB" w14:textId="77777777" w:rsidR="00DC7716" w:rsidRDefault="00DC7716" w:rsidP="0050256F">
      <w:pPr>
        <w:spacing w:after="0" w:line="240" w:lineRule="auto"/>
        <w:rPr>
          <w:rFonts w:ascii="Times New Roman" w:hAnsi="Times New Roman" w:cs="Times New Roman"/>
          <w:sz w:val="24"/>
          <w:szCs w:val="24"/>
        </w:rPr>
      </w:pPr>
      <w:r>
        <w:rPr>
          <w:rFonts w:ascii="Times New Roman" w:hAnsi="Times New Roman" w:cs="Times New Roman"/>
          <w:sz w:val="24"/>
          <w:szCs w:val="24"/>
        </w:rPr>
        <w:t>P1 = 0.31</w:t>
      </w:r>
    </w:p>
    <w:p w14:paraId="51B5D57D" w14:textId="77777777" w:rsidR="00DC7716" w:rsidRDefault="00DC7716" w:rsidP="0050256F">
      <w:pPr>
        <w:spacing w:after="0" w:line="240" w:lineRule="auto"/>
        <w:rPr>
          <w:rFonts w:ascii="Times New Roman" w:hAnsi="Times New Roman" w:cs="Times New Roman"/>
          <w:sz w:val="24"/>
          <w:szCs w:val="24"/>
        </w:rPr>
      </w:pPr>
      <w:r>
        <w:rPr>
          <w:rFonts w:ascii="Times New Roman" w:hAnsi="Times New Roman" w:cs="Times New Roman"/>
          <w:sz w:val="24"/>
          <w:szCs w:val="24"/>
        </w:rPr>
        <w:t>Þ = (P1+P2)/2 = (0.31+0.10)/2 = 0.21</w:t>
      </w:r>
    </w:p>
    <w:p w14:paraId="47CC05D6" w14:textId="77777777" w:rsidR="00DC7716" w:rsidRDefault="00DC7716" w:rsidP="0050256F">
      <w:pPr>
        <w:spacing w:after="0" w:line="240" w:lineRule="auto"/>
        <w:rPr>
          <w:rFonts w:ascii="Times New Roman" w:hAnsi="Times New Roman" w:cs="Times New Roman"/>
          <w:sz w:val="24"/>
          <w:szCs w:val="24"/>
        </w:rPr>
      </w:pPr>
      <w:r>
        <w:rPr>
          <w:rFonts w:ascii="Times New Roman" w:hAnsi="Times New Roman" w:cs="Times New Roman"/>
          <w:sz w:val="24"/>
          <w:szCs w:val="24"/>
        </w:rPr>
        <w:t>Therefore, n = (1+1)/1 ((0.21) (1-0.</w:t>
      </w:r>
      <w:r w:rsidR="00310D40">
        <w:rPr>
          <w:rFonts w:ascii="Times New Roman" w:hAnsi="Times New Roman" w:cs="Times New Roman"/>
          <w:sz w:val="24"/>
          <w:szCs w:val="24"/>
        </w:rPr>
        <w:t>21) (0.84+1.</w:t>
      </w:r>
      <w:proofErr w:type="gramStart"/>
      <w:r w:rsidR="00310D40">
        <w:rPr>
          <w:rFonts w:ascii="Times New Roman" w:hAnsi="Times New Roman" w:cs="Times New Roman"/>
          <w:sz w:val="24"/>
          <w:szCs w:val="24"/>
        </w:rPr>
        <w:t>96)²</w:t>
      </w:r>
      <w:proofErr w:type="gramEnd"/>
      <w:r w:rsidR="00310D40">
        <w:rPr>
          <w:rFonts w:ascii="Times New Roman" w:hAnsi="Times New Roman" w:cs="Times New Roman"/>
          <w:sz w:val="24"/>
          <w:szCs w:val="24"/>
        </w:rPr>
        <w:t>/(0.31 – 0.10)</w:t>
      </w:r>
      <w:r>
        <w:rPr>
          <w:rFonts w:ascii="Times New Roman" w:hAnsi="Times New Roman" w:cs="Times New Roman"/>
          <w:sz w:val="24"/>
          <w:szCs w:val="24"/>
        </w:rPr>
        <w:t>²</w:t>
      </w:r>
    </w:p>
    <w:p w14:paraId="7908AC05" w14:textId="77777777" w:rsidR="00DC7716" w:rsidRDefault="00DC7716" w:rsidP="0050256F">
      <w:pPr>
        <w:spacing w:after="0" w:line="240" w:lineRule="auto"/>
        <w:rPr>
          <w:rFonts w:ascii="Times New Roman" w:hAnsi="Times New Roman" w:cs="Times New Roman"/>
          <w:sz w:val="24"/>
          <w:szCs w:val="24"/>
        </w:rPr>
      </w:pPr>
      <w:r>
        <w:rPr>
          <w:rFonts w:ascii="Times New Roman" w:hAnsi="Times New Roman" w:cs="Times New Roman"/>
          <w:sz w:val="24"/>
          <w:szCs w:val="24"/>
        </w:rPr>
        <w:t>n = 59</w:t>
      </w:r>
    </w:p>
    <w:p w14:paraId="5CBC2E61" w14:textId="77777777" w:rsidR="00DC7716" w:rsidRPr="00684FC8" w:rsidRDefault="00DC7716" w:rsidP="00767608">
      <w:pPr>
        <w:spacing w:after="0" w:line="240" w:lineRule="auto"/>
        <w:jc w:val="both"/>
        <w:rPr>
          <w:rFonts w:ascii="Times New Roman" w:eastAsia="Times New Roman" w:hAnsi="Times New Roman" w:cs="Times New Roman"/>
          <w:sz w:val="24"/>
          <w:szCs w:val="24"/>
        </w:rPr>
      </w:pPr>
      <w:r w:rsidRPr="00684FC8">
        <w:rPr>
          <w:rFonts w:ascii="Times New Roman" w:eastAsia="Times New Roman" w:hAnsi="Times New Roman" w:cs="Times New Roman"/>
          <w:sz w:val="24"/>
          <w:szCs w:val="24"/>
        </w:rPr>
        <w:t>Accounting for a possible maximum non-response rate of 10% in the study,</w:t>
      </w:r>
    </w:p>
    <w:p w14:paraId="3A4C351A" w14:textId="77777777" w:rsidR="00DC7716" w:rsidRPr="00684FC8" w:rsidRDefault="00DC7716" w:rsidP="00767608">
      <w:pPr>
        <w:spacing w:after="0" w:line="240" w:lineRule="auto"/>
        <w:jc w:val="both"/>
        <w:rPr>
          <w:rFonts w:ascii="Times New Roman" w:eastAsia="Times New Roman" w:hAnsi="Times New Roman" w:cs="Times New Roman"/>
          <w:sz w:val="24"/>
          <w:szCs w:val="24"/>
        </w:rPr>
      </w:pPr>
      <w:r w:rsidRPr="00684FC8">
        <w:rPr>
          <w:rFonts w:ascii="Times New Roman" w:eastAsia="Times New Roman" w:hAnsi="Times New Roman" w:cs="Times New Roman"/>
          <w:sz w:val="24"/>
          <w:szCs w:val="24"/>
        </w:rPr>
        <w:t>q = 100/100 – F</w:t>
      </w:r>
    </w:p>
    <w:p w14:paraId="189DF593" w14:textId="77777777" w:rsidR="00DC7716" w:rsidRPr="00684FC8" w:rsidRDefault="00DC7716" w:rsidP="00767608">
      <w:pPr>
        <w:spacing w:after="0" w:line="240" w:lineRule="auto"/>
        <w:jc w:val="both"/>
        <w:rPr>
          <w:rFonts w:ascii="Times New Roman" w:eastAsia="Times New Roman" w:hAnsi="Times New Roman" w:cs="Times New Roman"/>
          <w:sz w:val="24"/>
          <w:szCs w:val="24"/>
        </w:rPr>
      </w:pPr>
      <w:r w:rsidRPr="00684FC8">
        <w:rPr>
          <w:rFonts w:ascii="Times New Roman" w:eastAsia="Times New Roman" w:hAnsi="Times New Roman" w:cs="Times New Roman"/>
          <w:sz w:val="24"/>
          <w:szCs w:val="24"/>
        </w:rPr>
        <w:t>Where q is the adjustment factor and F represents the estimated non-response rate.</w:t>
      </w:r>
    </w:p>
    <w:p w14:paraId="7EE2B4AE" w14:textId="77777777" w:rsidR="00DC7716" w:rsidRPr="00684FC8" w:rsidRDefault="00DC7716" w:rsidP="00767608">
      <w:pPr>
        <w:spacing w:after="0" w:line="240" w:lineRule="auto"/>
        <w:jc w:val="both"/>
        <w:rPr>
          <w:rFonts w:ascii="Times New Roman" w:eastAsia="Times New Roman" w:hAnsi="Times New Roman" w:cs="Times New Roman"/>
          <w:sz w:val="24"/>
          <w:szCs w:val="24"/>
        </w:rPr>
      </w:pPr>
      <w:r w:rsidRPr="00684FC8">
        <w:rPr>
          <w:rFonts w:ascii="Times New Roman" w:eastAsia="Times New Roman" w:hAnsi="Times New Roman" w:cs="Times New Roman"/>
          <w:sz w:val="24"/>
          <w:szCs w:val="24"/>
        </w:rPr>
        <w:t>q = 100/100 – 10</w:t>
      </w:r>
    </w:p>
    <w:p w14:paraId="5A3A84D3" w14:textId="77777777" w:rsidR="00DC7716" w:rsidRPr="00684FC8" w:rsidRDefault="00DC7716" w:rsidP="00767608">
      <w:pPr>
        <w:spacing w:after="0" w:line="240" w:lineRule="auto"/>
        <w:jc w:val="both"/>
        <w:rPr>
          <w:rFonts w:ascii="Times New Roman" w:eastAsia="Times New Roman" w:hAnsi="Times New Roman" w:cs="Times New Roman"/>
          <w:sz w:val="24"/>
          <w:szCs w:val="24"/>
        </w:rPr>
      </w:pPr>
      <w:r w:rsidRPr="00684FC8">
        <w:rPr>
          <w:rFonts w:ascii="Times New Roman" w:eastAsia="Times New Roman" w:hAnsi="Times New Roman" w:cs="Times New Roman"/>
          <w:sz w:val="24"/>
          <w:szCs w:val="24"/>
        </w:rPr>
        <w:t>= 1.11</w:t>
      </w:r>
    </w:p>
    <w:p w14:paraId="1206782F" w14:textId="77777777" w:rsidR="00DC7716" w:rsidRPr="00684FC8" w:rsidRDefault="00DC7716" w:rsidP="00767608">
      <w:pPr>
        <w:spacing w:after="0" w:line="240" w:lineRule="auto"/>
        <w:jc w:val="both"/>
        <w:rPr>
          <w:rFonts w:ascii="Times New Roman" w:eastAsia="Times New Roman" w:hAnsi="Times New Roman" w:cs="Times New Roman"/>
          <w:sz w:val="24"/>
          <w:szCs w:val="24"/>
        </w:rPr>
      </w:pPr>
      <w:r w:rsidRPr="00684F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59 </w:t>
      </w:r>
      <w:r w:rsidRPr="00684FC8">
        <w:rPr>
          <w:rFonts w:ascii="Times New Roman" w:eastAsia="Times New Roman" w:hAnsi="Times New Roman" w:cs="Times New Roman"/>
          <w:sz w:val="24"/>
          <w:szCs w:val="24"/>
        </w:rPr>
        <w:t>x 1.11</w:t>
      </w:r>
    </w:p>
    <w:p w14:paraId="1D3D5B46" w14:textId="77777777" w:rsidR="00DC7716" w:rsidRPr="00684FC8" w:rsidRDefault="00DC7716" w:rsidP="00767608">
      <w:pPr>
        <w:spacing w:after="0" w:line="240" w:lineRule="auto"/>
        <w:jc w:val="both"/>
        <w:rPr>
          <w:rFonts w:ascii="Times New Roman" w:eastAsia="Times New Roman" w:hAnsi="Times New Roman" w:cs="Times New Roman"/>
          <w:sz w:val="24"/>
          <w:szCs w:val="24"/>
        </w:rPr>
      </w:pPr>
      <w:r w:rsidRPr="00684F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r w:rsidRPr="00684FC8">
        <w:rPr>
          <w:rFonts w:ascii="Times New Roman" w:eastAsia="Times New Roman" w:hAnsi="Times New Roman" w:cs="Times New Roman"/>
          <w:sz w:val="24"/>
          <w:szCs w:val="24"/>
        </w:rPr>
        <w:t>5</w:t>
      </w:r>
    </w:p>
    <w:p w14:paraId="55E348BF" w14:textId="77777777" w:rsidR="00DC7716" w:rsidRPr="00FA272A" w:rsidRDefault="00DC7716" w:rsidP="00FA272A">
      <w:pPr>
        <w:spacing w:after="0" w:line="240" w:lineRule="auto"/>
        <w:jc w:val="both"/>
        <w:rPr>
          <w:rFonts w:ascii="Times New Roman" w:eastAsia="Times New Roman" w:hAnsi="Times New Roman" w:cs="Times New Roman"/>
          <w:sz w:val="24"/>
          <w:szCs w:val="24"/>
        </w:rPr>
      </w:pPr>
      <w:r w:rsidRPr="00684FC8">
        <w:rPr>
          <w:rFonts w:ascii="Times New Roman" w:eastAsia="Times New Roman" w:hAnsi="Times New Roman" w:cs="Times New Roman"/>
          <w:sz w:val="24"/>
          <w:szCs w:val="24"/>
        </w:rPr>
        <w:t>Th</w:t>
      </w:r>
      <w:r>
        <w:rPr>
          <w:rFonts w:ascii="Times New Roman" w:eastAsia="Times New Roman" w:hAnsi="Times New Roman" w:cs="Times New Roman"/>
          <w:sz w:val="24"/>
          <w:szCs w:val="24"/>
        </w:rPr>
        <w:t>erefore, for accuracy 6</w:t>
      </w:r>
      <w:r w:rsidRPr="00684FC8">
        <w:rPr>
          <w:rFonts w:ascii="Times New Roman" w:eastAsia="Times New Roman" w:hAnsi="Times New Roman" w:cs="Times New Roman"/>
          <w:sz w:val="24"/>
          <w:szCs w:val="24"/>
        </w:rPr>
        <w:t>5 subjects</w:t>
      </w:r>
      <w:r w:rsidR="00FA272A">
        <w:rPr>
          <w:rFonts w:ascii="Times New Roman" w:eastAsia="Times New Roman" w:hAnsi="Times New Roman" w:cs="Times New Roman"/>
          <w:sz w:val="24"/>
          <w:szCs w:val="24"/>
        </w:rPr>
        <w:t xml:space="preserve"> were selected</w:t>
      </w:r>
      <w:r w:rsidRPr="00684FC8">
        <w:rPr>
          <w:rFonts w:ascii="Times New Roman" w:eastAsia="Times New Roman" w:hAnsi="Times New Roman" w:cs="Times New Roman"/>
          <w:sz w:val="24"/>
          <w:szCs w:val="24"/>
        </w:rPr>
        <w:t xml:space="preserve"> in </w:t>
      </w:r>
      <w:r w:rsidR="00FA272A">
        <w:rPr>
          <w:rFonts w:ascii="Times New Roman" w:eastAsia="Times New Roman" w:hAnsi="Times New Roman" w:cs="Times New Roman"/>
          <w:sz w:val="24"/>
          <w:szCs w:val="24"/>
        </w:rPr>
        <w:t>each group (cases and controls).</w:t>
      </w:r>
      <w:r>
        <w:rPr>
          <w:rFonts w:ascii="Times New Roman" w:hAnsi="Times New Roman" w:cs="Times New Roman"/>
          <w:sz w:val="24"/>
          <w:szCs w:val="24"/>
        </w:rPr>
        <w:t>Thus, from the calculated sample size sixty-five (65) patients with infertility coming into the infertility /gynaecology clinics were enrolled into the study using random sampling technique while sixty-five (65) women of proven fertility matched for age we</w:t>
      </w:r>
      <w:r w:rsidR="00FA272A">
        <w:rPr>
          <w:rFonts w:ascii="Times New Roman" w:hAnsi="Times New Roman" w:cs="Times New Roman"/>
          <w:sz w:val="24"/>
          <w:szCs w:val="24"/>
        </w:rPr>
        <w:t>re selected randomly as control</w:t>
      </w:r>
      <w:r>
        <w:rPr>
          <w:rFonts w:ascii="Times New Roman" w:hAnsi="Times New Roman" w:cs="Times New Roman"/>
          <w:sz w:val="24"/>
          <w:szCs w:val="24"/>
        </w:rPr>
        <w:t xml:space="preserve">.    </w:t>
      </w:r>
    </w:p>
    <w:p w14:paraId="0B6AA9B2" w14:textId="77777777" w:rsidR="00DC7716" w:rsidRPr="00767608" w:rsidRDefault="00DC7716" w:rsidP="00767608">
      <w:pPr>
        <w:spacing w:line="240" w:lineRule="auto"/>
        <w:jc w:val="both"/>
        <w:rPr>
          <w:rFonts w:ascii="Times New Roman" w:hAnsi="Times New Roman" w:cs="Times New Roman"/>
          <w:sz w:val="24"/>
          <w:szCs w:val="24"/>
        </w:rPr>
      </w:pPr>
      <w:r w:rsidRPr="00DF4B74">
        <w:rPr>
          <w:rFonts w:ascii="Times New Roman" w:hAnsi="Times New Roman" w:cs="Times New Roman"/>
          <w:sz w:val="24"/>
          <w:szCs w:val="24"/>
        </w:rPr>
        <w:t>Patients who present</w:t>
      </w:r>
      <w:r w:rsidR="00DF4B74">
        <w:rPr>
          <w:rFonts w:ascii="Times New Roman" w:hAnsi="Times New Roman" w:cs="Times New Roman"/>
          <w:sz w:val="24"/>
          <w:szCs w:val="24"/>
        </w:rPr>
        <w:t>ed</w:t>
      </w:r>
      <w:r w:rsidRPr="00DF4B74">
        <w:rPr>
          <w:rFonts w:ascii="Times New Roman" w:hAnsi="Times New Roman" w:cs="Times New Roman"/>
          <w:sz w:val="24"/>
          <w:szCs w:val="24"/>
        </w:rPr>
        <w:t xml:space="preserve"> with infertility aged 21 – 45years with normal regular menstrual cycle (21 – 35) days</w:t>
      </w:r>
      <w:r w:rsidR="00DF4B74">
        <w:rPr>
          <w:rFonts w:ascii="Times New Roman" w:hAnsi="Times New Roman" w:cs="Times New Roman"/>
          <w:sz w:val="24"/>
          <w:szCs w:val="24"/>
        </w:rPr>
        <w:t>, patients who ga</w:t>
      </w:r>
      <w:r w:rsidRPr="00DF4B74">
        <w:rPr>
          <w:rFonts w:ascii="Times New Roman" w:hAnsi="Times New Roman" w:cs="Times New Roman"/>
          <w:sz w:val="24"/>
          <w:szCs w:val="24"/>
        </w:rPr>
        <w:t>ve informed consent</w:t>
      </w:r>
      <w:r w:rsidR="00DF4B74">
        <w:rPr>
          <w:rFonts w:ascii="Times New Roman" w:hAnsi="Times New Roman" w:cs="Times New Roman"/>
          <w:sz w:val="24"/>
          <w:szCs w:val="24"/>
        </w:rPr>
        <w:t>, p</w:t>
      </w:r>
      <w:r w:rsidRPr="00DF4B74">
        <w:rPr>
          <w:rFonts w:ascii="Times New Roman" w:hAnsi="Times New Roman" w:cs="Times New Roman"/>
          <w:sz w:val="24"/>
          <w:szCs w:val="24"/>
        </w:rPr>
        <w:t>atient</w:t>
      </w:r>
      <w:r w:rsidR="00DF4B74">
        <w:rPr>
          <w:rFonts w:ascii="Times New Roman" w:hAnsi="Times New Roman" w:cs="Times New Roman"/>
          <w:sz w:val="24"/>
          <w:szCs w:val="24"/>
        </w:rPr>
        <w:t>s</w:t>
      </w:r>
      <w:r w:rsidRPr="00DF4B74">
        <w:rPr>
          <w:rFonts w:ascii="Times New Roman" w:hAnsi="Times New Roman" w:cs="Times New Roman"/>
          <w:sz w:val="24"/>
          <w:szCs w:val="24"/>
        </w:rPr>
        <w:t xml:space="preserve"> already diagnosed with premature ovarian failure</w:t>
      </w:r>
      <w:r w:rsidR="004662F7">
        <w:rPr>
          <w:rFonts w:ascii="Times New Roman" w:hAnsi="Times New Roman" w:cs="Times New Roman"/>
          <w:sz w:val="24"/>
          <w:szCs w:val="24"/>
        </w:rPr>
        <w:t>, p</w:t>
      </w:r>
      <w:r w:rsidRPr="004662F7">
        <w:rPr>
          <w:rFonts w:ascii="Times New Roman" w:hAnsi="Times New Roman" w:cs="Times New Roman"/>
          <w:sz w:val="24"/>
          <w:szCs w:val="24"/>
        </w:rPr>
        <w:t>atients below 21years and those above 45years of age</w:t>
      </w:r>
      <w:r w:rsidR="00EC14F9">
        <w:rPr>
          <w:rFonts w:ascii="Times New Roman" w:hAnsi="Times New Roman" w:cs="Times New Roman"/>
          <w:sz w:val="24"/>
          <w:szCs w:val="24"/>
        </w:rPr>
        <w:t>, p</w:t>
      </w:r>
      <w:r w:rsidRPr="00EC14F9">
        <w:rPr>
          <w:rFonts w:ascii="Times New Roman" w:hAnsi="Times New Roman" w:cs="Times New Roman"/>
          <w:sz w:val="24"/>
          <w:szCs w:val="24"/>
        </w:rPr>
        <w:t>atient</w:t>
      </w:r>
      <w:r w:rsidR="00EC14F9">
        <w:rPr>
          <w:rFonts w:ascii="Times New Roman" w:hAnsi="Times New Roman" w:cs="Times New Roman"/>
          <w:sz w:val="24"/>
          <w:szCs w:val="24"/>
        </w:rPr>
        <w:t>s</w:t>
      </w:r>
      <w:r w:rsidRPr="00EC14F9">
        <w:rPr>
          <w:rFonts w:ascii="Times New Roman" w:hAnsi="Times New Roman" w:cs="Times New Roman"/>
          <w:sz w:val="24"/>
          <w:szCs w:val="24"/>
        </w:rPr>
        <w:t xml:space="preserve"> with tubal infertility</w:t>
      </w:r>
      <w:r w:rsidR="00EC14F9">
        <w:rPr>
          <w:rFonts w:ascii="Times New Roman" w:hAnsi="Times New Roman" w:cs="Times New Roman"/>
          <w:sz w:val="24"/>
          <w:szCs w:val="24"/>
        </w:rPr>
        <w:t>, p</w:t>
      </w:r>
      <w:r w:rsidRPr="00EC14F9">
        <w:rPr>
          <w:rFonts w:ascii="Times New Roman" w:hAnsi="Times New Roman" w:cs="Times New Roman"/>
          <w:sz w:val="24"/>
          <w:szCs w:val="24"/>
        </w:rPr>
        <w:t>atient</w:t>
      </w:r>
      <w:r w:rsidR="00EC14F9">
        <w:rPr>
          <w:rFonts w:ascii="Times New Roman" w:hAnsi="Times New Roman" w:cs="Times New Roman"/>
          <w:sz w:val="24"/>
          <w:szCs w:val="24"/>
        </w:rPr>
        <w:t>s</w:t>
      </w:r>
      <w:r w:rsidRPr="00EC14F9">
        <w:rPr>
          <w:rFonts w:ascii="Times New Roman" w:hAnsi="Times New Roman" w:cs="Times New Roman"/>
          <w:sz w:val="24"/>
          <w:szCs w:val="24"/>
        </w:rPr>
        <w:t xml:space="preserve"> with previous uterine, tubal and ovarian surgeries</w:t>
      </w:r>
      <w:r w:rsidR="00EC14F9">
        <w:rPr>
          <w:rFonts w:ascii="Times New Roman" w:hAnsi="Times New Roman" w:cs="Times New Roman"/>
          <w:sz w:val="24"/>
          <w:szCs w:val="24"/>
        </w:rPr>
        <w:t>, p</w:t>
      </w:r>
      <w:r w:rsidRPr="00EC14F9">
        <w:rPr>
          <w:rFonts w:ascii="Times New Roman" w:hAnsi="Times New Roman" w:cs="Times New Roman"/>
          <w:sz w:val="24"/>
          <w:szCs w:val="24"/>
        </w:rPr>
        <w:t xml:space="preserve">atients on medications capable of influencing serum levels of target hormone </w:t>
      </w:r>
      <w:proofErr w:type="spellStart"/>
      <w:r w:rsidRPr="00EC14F9">
        <w:rPr>
          <w:rFonts w:ascii="Times New Roman" w:hAnsi="Times New Roman" w:cs="Times New Roman"/>
          <w:sz w:val="24"/>
          <w:szCs w:val="24"/>
        </w:rPr>
        <w:t>e.g</w:t>
      </w:r>
      <w:proofErr w:type="spellEnd"/>
      <w:r w:rsidRPr="00EC14F9">
        <w:rPr>
          <w:rFonts w:ascii="Times New Roman" w:hAnsi="Times New Roman" w:cs="Times New Roman"/>
          <w:sz w:val="24"/>
          <w:szCs w:val="24"/>
        </w:rPr>
        <w:t xml:space="preserve"> hormonal contraceptives, anticonvulsants, steroids and</w:t>
      </w:r>
      <w:bookmarkStart w:id="0" w:name="_Hlk54355965"/>
      <w:r w:rsidR="00EC14F9">
        <w:rPr>
          <w:rFonts w:ascii="Times New Roman" w:hAnsi="Times New Roman" w:cs="Times New Roman"/>
          <w:sz w:val="24"/>
          <w:szCs w:val="24"/>
        </w:rPr>
        <w:t xml:space="preserve"> hormonal replacement therapies, p</w:t>
      </w:r>
      <w:r w:rsidRPr="00EC14F9">
        <w:rPr>
          <w:rFonts w:ascii="Times New Roman" w:hAnsi="Times New Roman" w:cs="Times New Roman"/>
          <w:sz w:val="24"/>
          <w:szCs w:val="24"/>
        </w:rPr>
        <w:t>atients with systemic diseases such as diabetes mellitus, hypertension, thyroid disorders etc</w:t>
      </w:r>
      <w:bookmarkEnd w:id="0"/>
      <w:r w:rsidR="00EC14F9">
        <w:rPr>
          <w:rFonts w:ascii="Times New Roman" w:hAnsi="Times New Roman" w:cs="Times New Roman"/>
          <w:sz w:val="24"/>
          <w:szCs w:val="24"/>
        </w:rPr>
        <w:t xml:space="preserve">, were all excluded from this study. </w:t>
      </w:r>
      <w:r w:rsidRPr="00EC14F9">
        <w:rPr>
          <w:rFonts w:ascii="Times New Roman" w:hAnsi="Times New Roman" w:cs="Times New Roman"/>
          <w:b/>
          <w:bCs/>
          <w:sz w:val="24"/>
          <w:szCs w:val="24"/>
        </w:rPr>
        <w:t xml:space="preserve"> </w:t>
      </w:r>
    </w:p>
    <w:p w14:paraId="15FCD122" w14:textId="77777777" w:rsidR="00DC7716" w:rsidRDefault="00DC7716" w:rsidP="003A2FB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Approval for the study was obtained from the</w:t>
      </w:r>
      <w:r w:rsidR="003A2FB9">
        <w:rPr>
          <w:rFonts w:ascii="Times New Roman" w:hAnsi="Times New Roman" w:cs="Times New Roman"/>
          <w:sz w:val="24"/>
          <w:szCs w:val="24"/>
        </w:rPr>
        <w:t xml:space="preserve"> hospital</w:t>
      </w:r>
      <w:r>
        <w:rPr>
          <w:rFonts w:ascii="Times New Roman" w:hAnsi="Times New Roman" w:cs="Times New Roman"/>
          <w:sz w:val="24"/>
          <w:szCs w:val="24"/>
        </w:rPr>
        <w:t xml:space="preserve"> research and ethic review committee of ISTH</w:t>
      </w:r>
      <w:r w:rsidR="003A2FB9">
        <w:rPr>
          <w:rFonts w:ascii="Times New Roman" w:hAnsi="Times New Roman" w:cs="Times New Roman"/>
          <w:sz w:val="24"/>
          <w:szCs w:val="24"/>
        </w:rPr>
        <w:t xml:space="preserve"> (NHREC/29/03/2017) with approval number ISTH/HREC/20201112/137</w:t>
      </w:r>
      <w:r>
        <w:rPr>
          <w:rFonts w:ascii="Times New Roman" w:hAnsi="Times New Roman" w:cs="Times New Roman"/>
          <w:sz w:val="24"/>
          <w:szCs w:val="24"/>
        </w:rPr>
        <w:t>. Ethical co</w:t>
      </w:r>
      <w:r w:rsidR="00860FC8">
        <w:rPr>
          <w:rFonts w:ascii="Times New Roman" w:hAnsi="Times New Roman" w:cs="Times New Roman"/>
          <w:sz w:val="24"/>
          <w:szCs w:val="24"/>
        </w:rPr>
        <w:t>nsideration in the study was</w:t>
      </w:r>
      <w:r>
        <w:rPr>
          <w:rFonts w:ascii="Times New Roman" w:hAnsi="Times New Roman" w:cs="Times New Roman"/>
          <w:sz w:val="24"/>
          <w:szCs w:val="24"/>
        </w:rPr>
        <w:t xml:space="preserve"> based on ethical principles as outlined by the Helsinki declaration on biomedical research on human subjects. These entail respect for persons, beneficence, non-malfeasance and justice.</w:t>
      </w:r>
      <w:r w:rsidR="003A2FB9">
        <w:rPr>
          <w:rFonts w:ascii="Times New Roman" w:hAnsi="Times New Roman" w:cs="Times New Roman"/>
          <w:sz w:val="24"/>
          <w:szCs w:val="24"/>
        </w:rPr>
        <w:t xml:space="preserve"> </w:t>
      </w:r>
    </w:p>
    <w:p w14:paraId="1EEFB30F" w14:textId="77777777" w:rsidR="00DC7716" w:rsidRDefault="00DC7716" w:rsidP="0076760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10D40">
        <w:rPr>
          <w:rFonts w:ascii="Times New Roman" w:hAnsi="Times New Roman" w:cs="Times New Roman"/>
          <w:b/>
          <w:bCs/>
          <w:sz w:val="24"/>
          <w:szCs w:val="24"/>
        </w:rPr>
        <w:t>Procedure</w:t>
      </w:r>
    </w:p>
    <w:p w14:paraId="6CB518A5" w14:textId="77777777" w:rsidR="00DC7716" w:rsidRDefault="00DC7716" w:rsidP="0076760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structured proforma (questionnaire) was administered to selected patients to collect data which included socio-demographics, past medical history, reproductive history, and relevant medical history. A general examination including weight and blood pressure measurement was also carried out before specimen collection. </w:t>
      </w:r>
      <w:r w:rsidR="00767608">
        <w:rPr>
          <w:rFonts w:ascii="Times New Roman" w:hAnsi="Times New Roman" w:cs="Times New Roman"/>
          <w:sz w:val="24"/>
          <w:szCs w:val="24"/>
        </w:rPr>
        <w:t xml:space="preserve"> </w:t>
      </w:r>
      <w:r>
        <w:rPr>
          <w:rFonts w:ascii="Times New Roman" w:hAnsi="Times New Roman" w:cs="Times New Roman"/>
          <w:sz w:val="24"/>
          <w:szCs w:val="24"/>
        </w:rPr>
        <w:t xml:space="preserve">The patient was comfortably seated with the forearm extended; a tourniquet was applied on the upper arm to distend the antecubital vein. Using standard sterile procedure, three </w:t>
      </w:r>
      <w:proofErr w:type="spellStart"/>
      <w:r>
        <w:rPr>
          <w:rFonts w:ascii="Times New Roman" w:hAnsi="Times New Roman" w:cs="Times New Roman"/>
          <w:sz w:val="24"/>
          <w:szCs w:val="24"/>
        </w:rPr>
        <w:t>milliliters</w:t>
      </w:r>
      <w:proofErr w:type="spellEnd"/>
      <w:r>
        <w:rPr>
          <w:rFonts w:ascii="Times New Roman" w:hAnsi="Times New Roman" w:cs="Times New Roman"/>
          <w:sz w:val="24"/>
          <w:szCs w:val="24"/>
        </w:rPr>
        <w:t xml:space="preserve"> (3mls) of venous blood was collected into a properly </w:t>
      </w:r>
      <w:proofErr w:type="spellStart"/>
      <w:r>
        <w:rPr>
          <w:rFonts w:ascii="Times New Roman" w:hAnsi="Times New Roman" w:cs="Times New Roman"/>
          <w:sz w:val="24"/>
          <w:szCs w:val="24"/>
        </w:rPr>
        <w:t>labeled</w:t>
      </w:r>
      <w:proofErr w:type="spellEnd"/>
      <w:r>
        <w:rPr>
          <w:rFonts w:ascii="Times New Roman" w:hAnsi="Times New Roman" w:cs="Times New Roman"/>
          <w:sz w:val="24"/>
          <w:szCs w:val="24"/>
        </w:rPr>
        <w:t xml:space="preserve"> plain container/vacutainer tube. The collected samples were allowed to stand for one and a half hours to give room for clotting and clot retraction before being centrifuged at a speed of 4000rpm for 10minutes to separate the clot from the serum. The supernatant is decanted into appropriately labelled plain containers for immediate refrigeration.</w:t>
      </w:r>
    </w:p>
    <w:p w14:paraId="7A7F55BE" w14:textId="77777777" w:rsidR="00DC7716" w:rsidRDefault="00DC7716" w:rsidP="00767608">
      <w:pPr>
        <w:spacing w:line="240" w:lineRule="auto"/>
        <w:jc w:val="both"/>
        <w:rPr>
          <w:rFonts w:ascii="Times New Roman" w:hAnsi="Times New Roman" w:cs="Times New Roman"/>
          <w:sz w:val="24"/>
          <w:szCs w:val="24"/>
        </w:rPr>
      </w:pPr>
      <w:r>
        <w:rPr>
          <w:rFonts w:ascii="Times New Roman" w:hAnsi="Times New Roman" w:cs="Times New Roman"/>
          <w:sz w:val="24"/>
          <w:szCs w:val="24"/>
        </w:rPr>
        <w:t>Specimen storage: separated samples were kept frozen at -20°C in an external thermometer monitored freezer until analysis.</w:t>
      </w:r>
      <w:r w:rsidR="00767608">
        <w:rPr>
          <w:rFonts w:ascii="Times New Roman" w:hAnsi="Times New Roman" w:cs="Times New Roman"/>
          <w:sz w:val="24"/>
          <w:szCs w:val="24"/>
        </w:rPr>
        <w:t xml:space="preserve"> </w:t>
      </w:r>
      <w:r>
        <w:rPr>
          <w:rFonts w:ascii="Times New Roman" w:hAnsi="Times New Roman" w:cs="Times New Roman"/>
          <w:sz w:val="24"/>
          <w:szCs w:val="24"/>
        </w:rPr>
        <w:t>Blood samples from control subjects were collected on day 3 of their menstrual cycle, using the same procedure as that of the test subjects.</w:t>
      </w:r>
    </w:p>
    <w:p w14:paraId="02095822" w14:textId="77777777" w:rsidR="00DC7716" w:rsidRDefault="00DC7716" w:rsidP="0076760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Samples collected were assayed for Anti-Mullerian hormone (AMH), follicle stimulating hormone (FSH), luteinizing hormone (LH), </w:t>
      </w:r>
      <w:proofErr w:type="spellStart"/>
      <w:r>
        <w:rPr>
          <w:rFonts w:ascii="Times New Roman" w:hAnsi="Times New Roman" w:cs="Times New Roman"/>
          <w:sz w:val="24"/>
          <w:szCs w:val="24"/>
        </w:rPr>
        <w:t>estradiol</w:t>
      </w:r>
      <w:proofErr w:type="spellEnd"/>
      <w:r>
        <w:rPr>
          <w:rFonts w:ascii="Times New Roman" w:hAnsi="Times New Roman" w:cs="Times New Roman"/>
          <w:sz w:val="24"/>
          <w:szCs w:val="24"/>
        </w:rPr>
        <w:t>, progesterone, and prolactin assay levels.</w:t>
      </w:r>
      <w:r w:rsidR="00767608">
        <w:rPr>
          <w:rFonts w:ascii="Times New Roman" w:hAnsi="Times New Roman" w:cs="Times New Roman"/>
          <w:sz w:val="24"/>
          <w:szCs w:val="24"/>
        </w:rPr>
        <w:t xml:space="preserve"> </w:t>
      </w:r>
      <w:r>
        <w:rPr>
          <w:rFonts w:ascii="Times New Roman" w:hAnsi="Times New Roman" w:cs="Times New Roman"/>
          <w:sz w:val="24"/>
          <w:szCs w:val="24"/>
        </w:rPr>
        <w:t xml:space="preserve">Anti-Mullerian hormone (AMH) was assayed using </w:t>
      </w:r>
      <w:proofErr w:type="spellStart"/>
      <w:r>
        <w:rPr>
          <w:rFonts w:ascii="Times New Roman" w:hAnsi="Times New Roman" w:cs="Times New Roman"/>
          <w:sz w:val="24"/>
          <w:szCs w:val="24"/>
        </w:rPr>
        <w:t>Calbiotech</w:t>
      </w:r>
      <w:proofErr w:type="spellEnd"/>
      <w:r>
        <w:rPr>
          <w:rFonts w:ascii="Times New Roman" w:hAnsi="Times New Roman" w:cs="Times New Roman"/>
          <w:sz w:val="24"/>
          <w:szCs w:val="24"/>
        </w:rPr>
        <w:t xml:space="preserve"> Inc. El Cajon, CA USA enzyme linked immunosorbent assay (ELISA) kit on </w:t>
      </w:r>
      <w:bookmarkStart w:id="1" w:name="_Hlk55227700"/>
      <w:r>
        <w:rPr>
          <w:rFonts w:ascii="Times New Roman" w:hAnsi="Times New Roman" w:cs="Times New Roman"/>
          <w:sz w:val="24"/>
          <w:szCs w:val="24"/>
        </w:rPr>
        <w:t xml:space="preserve">an </w:t>
      </w:r>
      <w:proofErr w:type="spellStart"/>
      <w:r>
        <w:rPr>
          <w:rFonts w:ascii="Times New Roman" w:hAnsi="Times New Roman" w:cs="Times New Roman"/>
          <w:sz w:val="24"/>
          <w:szCs w:val="24"/>
        </w:rPr>
        <w:t>Adaltis</w:t>
      </w:r>
      <w:proofErr w:type="spellEnd"/>
      <w:r>
        <w:rPr>
          <w:rFonts w:ascii="Times New Roman" w:hAnsi="Times New Roman" w:cs="Times New Roman"/>
          <w:sz w:val="24"/>
          <w:szCs w:val="24"/>
        </w:rPr>
        <w:t xml:space="preserve"> fully automated immunoassay </w:t>
      </w:r>
      <w:bookmarkEnd w:id="1"/>
      <w:proofErr w:type="spellStart"/>
      <w:r>
        <w:rPr>
          <w:rFonts w:ascii="Times New Roman" w:hAnsi="Times New Roman" w:cs="Times New Roman"/>
          <w:sz w:val="24"/>
          <w:szCs w:val="24"/>
        </w:rPr>
        <w:t>analyzer</w:t>
      </w:r>
      <w:proofErr w:type="spellEnd"/>
    </w:p>
    <w:p w14:paraId="3B86B870" w14:textId="77777777" w:rsidR="00DC7716" w:rsidRPr="00767608" w:rsidRDefault="00DC7716" w:rsidP="00767608">
      <w:pPr>
        <w:spacing w:line="240" w:lineRule="auto"/>
        <w:jc w:val="both"/>
        <w:rPr>
          <w:rFonts w:ascii="Times New Roman" w:hAnsi="Times New Roman" w:cs="Times New Roman"/>
          <w:b/>
          <w:sz w:val="24"/>
          <w:szCs w:val="24"/>
        </w:rPr>
      </w:pPr>
      <w:r>
        <w:rPr>
          <w:rFonts w:ascii="Times New Roman" w:hAnsi="Times New Roman" w:cs="Times New Roman"/>
          <w:sz w:val="24"/>
          <w:szCs w:val="24"/>
        </w:rPr>
        <w:t>Follicle stimulating hormone (FSH)</w:t>
      </w:r>
      <w:r w:rsidR="00767608">
        <w:rPr>
          <w:rFonts w:ascii="Times New Roman" w:hAnsi="Times New Roman" w:cs="Times New Roman"/>
          <w:sz w:val="24"/>
          <w:szCs w:val="24"/>
        </w:rPr>
        <w:t>,</w:t>
      </w:r>
      <w:r w:rsidR="00767608" w:rsidRPr="00767608">
        <w:rPr>
          <w:rFonts w:ascii="Times New Roman" w:hAnsi="Times New Roman" w:cs="Times New Roman"/>
          <w:sz w:val="24"/>
          <w:szCs w:val="24"/>
        </w:rPr>
        <w:t xml:space="preserve"> </w:t>
      </w:r>
      <w:r w:rsidR="00767608">
        <w:rPr>
          <w:rFonts w:ascii="Times New Roman" w:hAnsi="Times New Roman" w:cs="Times New Roman"/>
          <w:sz w:val="24"/>
          <w:szCs w:val="24"/>
        </w:rPr>
        <w:t xml:space="preserve">luteinizing hormone (LH), </w:t>
      </w:r>
      <w:proofErr w:type="spellStart"/>
      <w:r w:rsidR="00767608">
        <w:rPr>
          <w:rFonts w:ascii="Times New Roman" w:hAnsi="Times New Roman" w:cs="Times New Roman"/>
          <w:sz w:val="24"/>
          <w:szCs w:val="24"/>
        </w:rPr>
        <w:t>estradiol</w:t>
      </w:r>
      <w:proofErr w:type="spellEnd"/>
      <w:r w:rsidR="00767608">
        <w:rPr>
          <w:rFonts w:ascii="Times New Roman" w:hAnsi="Times New Roman" w:cs="Times New Roman"/>
          <w:sz w:val="24"/>
          <w:szCs w:val="24"/>
        </w:rPr>
        <w:t>, progesterone, and prolactin were</w:t>
      </w:r>
      <w:r>
        <w:rPr>
          <w:rFonts w:ascii="Times New Roman" w:hAnsi="Times New Roman" w:cs="Times New Roman"/>
          <w:sz w:val="24"/>
          <w:szCs w:val="24"/>
        </w:rPr>
        <w:t xml:space="preserve"> assayed using DRG instrumen</w:t>
      </w:r>
      <w:r w:rsidR="00767608">
        <w:rPr>
          <w:rFonts w:ascii="Times New Roman" w:hAnsi="Times New Roman" w:cs="Times New Roman"/>
          <w:sz w:val="24"/>
          <w:szCs w:val="24"/>
        </w:rPr>
        <w:t xml:space="preserve">ts GmbH, Germany, enzyme linked </w:t>
      </w:r>
      <w:r>
        <w:rPr>
          <w:rFonts w:ascii="Times New Roman" w:hAnsi="Times New Roman" w:cs="Times New Roman"/>
          <w:sz w:val="24"/>
          <w:szCs w:val="24"/>
        </w:rPr>
        <w:t xml:space="preserve">immunosorbent assay (ELISA) kit on an </w:t>
      </w:r>
      <w:proofErr w:type="spellStart"/>
      <w:r>
        <w:rPr>
          <w:rFonts w:ascii="Times New Roman" w:hAnsi="Times New Roman" w:cs="Times New Roman"/>
          <w:sz w:val="24"/>
          <w:szCs w:val="24"/>
        </w:rPr>
        <w:t>Adaltis</w:t>
      </w:r>
      <w:proofErr w:type="spellEnd"/>
      <w:r>
        <w:rPr>
          <w:rFonts w:ascii="Times New Roman" w:hAnsi="Times New Roman" w:cs="Times New Roman"/>
          <w:sz w:val="24"/>
          <w:szCs w:val="24"/>
        </w:rPr>
        <w:t xml:space="preserve"> fully automated immunoassay </w:t>
      </w:r>
      <w:r w:rsidR="00767608">
        <w:rPr>
          <w:rFonts w:ascii="Times New Roman" w:hAnsi="Times New Roman" w:cs="Times New Roman"/>
          <w:sz w:val="24"/>
          <w:szCs w:val="24"/>
        </w:rPr>
        <w:t xml:space="preserve">analyser by </w:t>
      </w:r>
      <w:proofErr w:type="spellStart"/>
      <w:r w:rsidR="00767608">
        <w:rPr>
          <w:rFonts w:ascii="Times New Roman" w:hAnsi="Times New Roman" w:cs="Times New Roman"/>
          <w:sz w:val="24"/>
          <w:szCs w:val="24"/>
        </w:rPr>
        <w:t>Adaltis</w:t>
      </w:r>
      <w:proofErr w:type="spellEnd"/>
      <w:r w:rsidR="00767608">
        <w:rPr>
          <w:rFonts w:ascii="Times New Roman" w:hAnsi="Times New Roman" w:cs="Times New Roman"/>
          <w:sz w:val="24"/>
          <w:szCs w:val="24"/>
        </w:rPr>
        <w:t xml:space="preserve"> </w:t>
      </w:r>
      <w:proofErr w:type="spellStart"/>
      <w:r w:rsidR="00767608">
        <w:rPr>
          <w:rFonts w:ascii="Times New Roman" w:hAnsi="Times New Roman" w:cs="Times New Roman"/>
          <w:sz w:val="24"/>
          <w:szCs w:val="24"/>
        </w:rPr>
        <w:t>S.r.L</w:t>
      </w:r>
      <w:proofErr w:type="spellEnd"/>
      <w:r w:rsidR="00767608">
        <w:rPr>
          <w:rFonts w:ascii="Times New Roman" w:hAnsi="Times New Roman" w:cs="Times New Roman"/>
          <w:sz w:val="24"/>
          <w:szCs w:val="24"/>
        </w:rPr>
        <w:t xml:space="preserve"> international company in Rome, Italy.</w:t>
      </w:r>
    </w:p>
    <w:p w14:paraId="3A5E8159" w14:textId="77777777" w:rsidR="00DC7716" w:rsidRDefault="00DC7716" w:rsidP="00767608">
      <w:pPr>
        <w:spacing w:line="240" w:lineRule="auto"/>
        <w:jc w:val="both"/>
        <w:rPr>
          <w:rFonts w:ascii="Times New Roman" w:hAnsi="Times New Roman" w:cs="Times New Roman"/>
          <w:sz w:val="24"/>
          <w:szCs w:val="24"/>
        </w:rPr>
      </w:pPr>
      <w:r>
        <w:rPr>
          <w:rFonts w:ascii="Times New Roman" w:hAnsi="Times New Roman" w:cs="Times New Roman"/>
          <w:sz w:val="24"/>
          <w:szCs w:val="24"/>
        </w:rPr>
        <w:t>Quality control: was done at 3 levels, low, normal and high control. Each batch of samples was assayed with the 3 levels of control to validate the performance of the equipment, reagents, analytical method and personnel.</w:t>
      </w:r>
    </w:p>
    <w:p w14:paraId="569509F3" w14:textId="77777777" w:rsidR="00DC7716" w:rsidRDefault="00DC7716" w:rsidP="00767608">
      <w:pPr>
        <w:spacing w:line="240" w:lineRule="auto"/>
        <w:jc w:val="both"/>
        <w:rPr>
          <w:rFonts w:ascii="Times New Roman" w:hAnsi="Times New Roman" w:cs="Times New Roman"/>
          <w:sz w:val="24"/>
          <w:szCs w:val="24"/>
        </w:rPr>
      </w:pPr>
      <w:r>
        <w:rPr>
          <w:rFonts w:ascii="Times New Roman" w:hAnsi="Times New Roman" w:cs="Times New Roman"/>
          <w:sz w:val="24"/>
          <w:szCs w:val="24"/>
        </w:rPr>
        <w:t>The biochemical values and other data collected was entered into a spread sheet using numerical codes and subsequently crossed tabulated. Final data analysis was carried out using statistical package for social science (SPSS) version</w:t>
      </w:r>
      <w:r w:rsidR="00FE3058">
        <w:rPr>
          <w:rFonts w:ascii="Times New Roman" w:hAnsi="Times New Roman" w:cs="Times New Roman"/>
          <w:sz w:val="24"/>
          <w:szCs w:val="24"/>
        </w:rPr>
        <w:t xml:space="preserve"> </w:t>
      </w:r>
      <w:r>
        <w:rPr>
          <w:rFonts w:ascii="Times New Roman" w:hAnsi="Times New Roman" w:cs="Times New Roman"/>
          <w:sz w:val="24"/>
          <w:szCs w:val="24"/>
        </w:rPr>
        <w:t xml:space="preserve">21.00. Descriptive statistics of frequencies and percentages was applied. Means and standard deviations of test and control groups was compared using paired T-test and Chi square. A confidence level of 95% will be used with the level of significance set at a p-value of &lt;0.05. Results will be presented in tables, chart and graphs.    </w:t>
      </w:r>
    </w:p>
    <w:p w14:paraId="2EAB8838" w14:textId="77777777" w:rsidR="00DC7716" w:rsidRDefault="00DC7716">
      <w:pPr>
        <w:rPr>
          <w:rFonts w:ascii="Times New Roman" w:hAnsi="Times New Roman" w:cs="Times New Roman"/>
          <w:sz w:val="24"/>
        </w:rPr>
      </w:pPr>
    </w:p>
    <w:p w14:paraId="05959720" w14:textId="77777777" w:rsidR="004A5AFD" w:rsidRDefault="004A5AFD" w:rsidP="004A5AFD">
      <w:pPr>
        <w:spacing w:line="360" w:lineRule="auto"/>
        <w:rPr>
          <w:rFonts w:ascii="Times New Roman" w:hAnsi="Times New Roman" w:cs="Times New Roman"/>
          <w:b/>
          <w:bCs/>
          <w:sz w:val="24"/>
          <w:szCs w:val="24"/>
        </w:rPr>
      </w:pPr>
      <w:r>
        <w:rPr>
          <w:rFonts w:ascii="Times New Roman" w:hAnsi="Times New Roman" w:cs="Times New Roman"/>
          <w:b/>
          <w:bCs/>
          <w:sz w:val="24"/>
          <w:szCs w:val="24"/>
        </w:rPr>
        <w:t>RESULTS</w:t>
      </w:r>
    </w:p>
    <w:p w14:paraId="56D364BD" w14:textId="77777777" w:rsidR="004A5AFD" w:rsidRDefault="004A5AFD" w:rsidP="00767608">
      <w:pPr>
        <w:spacing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 total of 65 infertile and age matched fertile women were recruited into the study. Most represented age range were 26-30 (30.8%) in each group with a mean age of 31</w:t>
      </w:r>
      <w:r>
        <w:rPr>
          <w:rFonts w:ascii="Times New Roman" w:hAnsi="Times New Roman" w:cs="Times New Roman"/>
          <w:color w:val="000000" w:themeColor="text1"/>
          <w:sz w:val="24"/>
          <w:szCs w:val="24"/>
        </w:rPr>
        <w:t xml:space="preserve">.97±6.0 and </w:t>
      </w:r>
      <w:r>
        <w:rPr>
          <w:rFonts w:ascii="Times New Roman" w:hAnsi="Times New Roman" w:cs="Times New Roman"/>
          <w:color w:val="000000" w:themeColor="text1"/>
          <w:sz w:val="24"/>
          <w:szCs w:val="24"/>
        </w:rPr>
        <w:lastRenderedPageBreak/>
        <w:t>31.63± 5.0 for the fertile and infertile group respectively. Majority (55.4%) had tertiary education (55.4%) and are Christian (86.2%). The mean duration of marriage was 6.55±2.6 and 6.24±2.8 in infertile and fertile women respectively. There was no significant difference in socio-demographics between infertile and fertile women groups (p&gt;0.05).</w:t>
      </w:r>
    </w:p>
    <w:p w14:paraId="06CC96C2" w14:textId="77777777" w:rsidR="004A5AFD" w:rsidRPr="004A5AFD" w:rsidRDefault="004A5AFD" w:rsidP="004A5AFD">
      <w:pPr>
        <w:spacing w:line="360" w:lineRule="auto"/>
        <w:jc w:val="both"/>
        <w:rPr>
          <w:rFonts w:ascii="Times New Roman" w:hAnsi="Times New Roman" w:cs="Times New Roman"/>
          <w:color w:val="000000" w:themeColor="text1"/>
          <w:sz w:val="24"/>
          <w:szCs w:val="24"/>
        </w:rPr>
      </w:pPr>
    </w:p>
    <w:p w14:paraId="71C039C2" w14:textId="77777777" w:rsidR="004A5AFD" w:rsidRDefault="004A5AFD" w:rsidP="004A5AFD">
      <w:pPr>
        <w:rPr>
          <w:rFonts w:ascii="Times New Roman" w:hAnsi="Times New Roman" w:cs="Times New Roman"/>
          <w:b/>
          <w:bCs/>
          <w:sz w:val="24"/>
          <w:szCs w:val="24"/>
        </w:rPr>
      </w:pPr>
      <w:bookmarkStart w:id="2" w:name="_Hlk127867795"/>
      <w:r>
        <w:rPr>
          <w:rFonts w:ascii="Times New Roman" w:hAnsi="Times New Roman" w:cs="Times New Roman"/>
          <w:b/>
          <w:bCs/>
          <w:sz w:val="24"/>
          <w:szCs w:val="24"/>
        </w:rPr>
        <w:t>Table 1: Socio-demographic and clinical characteristics of participants</w:t>
      </w:r>
    </w:p>
    <w:bookmarkEnd w:id="2"/>
    <w:tbl>
      <w:tblPr>
        <w:tblW w:w="5000" w:type="pct"/>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2906"/>
        <w:gridCol w:w="1671"/>
        <w:gridCol w:w="1408"/>
        <w:gridCol w:w="1329"/>
        <w:gridCol w:w="959"/>
        <w:gridCol w:w="969"/>
      </w:tblGrid>
      <w:tr w:rsidR="004A5AFD" w14:paraId="1DF241EF" w14:textId="77777777" w:rsidTr="004A5AFD">
        <w:tc>
          <w:tcPr>
            <w:tcW w:w="1572" w:type="pct"/>
            <w:tcBorders>
              <w:top w:val="single" w:sz="4" w:space="0" w:color="auto"/>
              <w:left w:val="nil"/>
              <w:bottom w:val="nil"/>
              <w:right w:val="nil"/>
            </w:tcBorders>
            <w:shd w:val="clear" w:color="auto" w:fill="FFFFFF" w:themeFill="background1"/>
          </w:tcPr>
          <w:p w14:paraId="7674CAE6" w14:textId="77777777" w:rsidR="004A5AFD" w:rsidRDefault="004A5AFD">
            <w:pPr>
              <w:autoSpaceDE w:val="0"/>
              <w:autoSpaceDN w:val="0"/>
              <w:adjustRightInd w:val="0"/>
              <w:spacing w:after="0" w:line="480" w:lineRule="auto"/>
              <w:rPr>
                <w:rFonts w:ascii="Times New Roman" w:hAnsi="Times New Roman" w:cs="Times New Roman"/>
                <w:color w:val="000000" w:themeColor="text1"/>
                <w:sz w:val="24"/>
                <w:szCs w:val="24"/>
                <w:lang w:val="en-US"/>
              </w:rPr>
            </w:pPr>
          </w:p>
        </w:tc>
        <w:tc>
          <w:tcPr>
            <w:tcW w:w="904" w:type="pct"/>
            <w:tcBorders>
              <w:top w:val="single" w:sz="4" w:space="0" w:color="auto"/>
              <w:left w:val="nil"/>
              <w:bottom w:val="nil"/>
              <w:right w:val="nil"/>
            </w:tcBorders>
            <w:shd w:val="clear" w:color="auto" w:fill="FFFFFF" w:themeFill="background1"/>
            <w:hideMark/>
          </w:tcPr>
          <w:p w14:paraId="7998CA78" w14:textId="77777777" w:rsidR="004A5AFD" w:rsidRDefault="004A5AFD">
            <w:pPr>
              <w:autoSpaceDE w:val="0"/>
              <w:autoSpaceDN w:val="0"/>
              <w:adjustRightInd w:val="0"/>
              <w:spacing w:after="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Infertile </w:t>
            </w:r>
          </w:p>
          <w:p w14:paraId="759C539A" w14:textId="77777777" w:rsidR="004A5AFD" w:rsidRDefault="004A5AFD">
            <w:pPr>
              <w:autoSpaceDE w:val="0"/>
              <w:autoSpaceDN w:val="0"/>
              <w:adjustRightInd w:val="0"/>
              <w:spacing w:after="0" w:line="256"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rPr>
              <w:t>(n=65)</w:t>
            </w:r>
          </w:p>
        </w:tc>
        <w:tc>
          <w:tcPr>
            <w:tcW w:w="762" w:type="pct"/>
            <w:tcBorders>
              <w:top w:val="single" w:sz="4" w:space="0" w:color="auto"/>
              <w:left w:val="nil"/>
              <w:bottom w:val="nil"/>
              <w:right w:val="nil"/>
            </w:tcBorders>
            <w:shd w:val="clear" w:color="auto" w:fill="FFFFFF" w:themeFill="background1"/>
            <w:vAlign w:val="bottom"/>
            <w:hideMark/>
          </w:tcPr>
          <w:p w14:paraId="09403E73" w14:textId="77777777" w:rsidR="004A5AFD" w:rsidRDefault="004A5AFD">
            <w:pPr>
              <w:autoSpaceDE w:val="0"/>
              <w:autoSpaceDN w:val="0"/>
              <w:adjustRightInd w:val="0"/>
              <w:spacing w:after="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Fertile</w:t>
            </w:r>
          </w:p>
          <w:p w14:paraId="00A86CDE" w14:textId="77777777" w:rsidR="004A5AFD" w:rsidRDefault="004A5AFD">
            <w:pPr>
              <w:autoSpaceDE w:val="0"/>
              <w:autoSpaceDN w:val="0"/>
              <w:adjustRightInd w:val="0"/>
              <w:spacing w:after="0" w:line="256"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rPr>
              <w:t>(n=65)</w:t>
            </w:r>
          </w:p>
        </w:tc>
        <w:tc>
          <w:tcPr>
            <w:tcW w:w="719" w:type="pct"/>
            <w:tcBorders>
              <w:top w:val="single" w:sz="4" w:space="0" w:color="auto"/>
              <w:left w:val="nil"/>
              <w:bottom w:val="nil"/>
              <w:right w:val="nil"/>
            </w:tcBorders>
            <w:shd w:val="clear" w:color="auto" w:fill="FFFFFF" w:themeFill="background1"/>
            <w:hideMark/>
          </w:tcPr>
          <w:p w14:paraId="58651EC5" w14:textId="77777777" w:rsidR="004A5AFD" w:rsidRDefault="004A5AFD">
            <w:pPr>
              <w:autoSpaceDE w:val="0"/>
              <w:autoSpaceDN w:val="0"/>
              <w:adjustRightInd w:val="0"/>
              <w:spacing w:after="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Total</w:t>
            </w:r>
          </w:p>
          <w:p w14:paraId="3A5A4628" w14:textId="77777777" w:rsidR="004A5AFD" w:rsidRDefault="004A5AFD">
            <w:pPr>
              <w:autoSpaceDE w:val="0"/>
              <w:autoSpaceDN w:val="0"/>
              <w:adjustRightInd w:val="0"/>
              <w:spacing w:after="0" w:line="256" w:lineRule="auto"/>
              <w:jc w:val="center"/>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rPr>
              <w:t>(n=130)</w:t>
            </w:r>
          </w:p>
        </w:tc>
        <w:tc>
          <w:tcPr>
            <w:tcW w:w="519" w:type="pct"/>
            <w:vMerge w:val="restart"/>
            <w:tcBorders>
              <w:top w:val="single" w:sz="4" w:space="0" w:color="auto"/>
              <w:left w:val="nil"/>
              <w:bottom w:val="single" w:sz="4" w:space="0" w:color="auto"/>
              <w:right w:val="nil"/>
            </w:tcBorders>
            <w:shd w:val="clear" w:color="auto" w:fill="FFFFFF" w:themeFill="background1"/>
            <w:hideMark/>
          </w:tcPr>
          <w:p w14:paraId="344242A0" w14:textId="77777777" w:rsidR="004A5AFD" w:rsidRDefault="004A5AFD">
            <w:pPr>
              <w:autoSpaceDE w:val="0"/>
              <w:autoSpaceDN w:val="0"/>
              <w:adjustRightInd w:val="0"/>
              <w:spacing w:after="0" w:line="256" w:lineRule="auto"/>
              <w:jc w:val="center"/>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rPr>
              <w:t>χ</w:t>
            </w:r>
            <w:r>
              <w:rPr>
                <w:rFonts w:ascii="Times New Roman" w:hAnsi="Times New Roman" w:cs="Times New Roman"/>
                <w:b/>
                <w:bCs/>
                <w:color w:val="000000" w:themeColor="text1"/>
                <w:sz w:val="24"/>
                <w:szCs w:val="24"/>
                <w:vertAlign w:val="superscript"/>
              </w:rPr>
              <w:t>2</w:t>
            </w:r>
          </w:p>
        </w:tc>
        <w:tc>
          <w:tcPr>
            <w:tcW w:w="524" w:type="pct"/>
            <w:vMerge w:val="restart"/>
            <w:tcBorders>
              <w:top w:val="single" w:sz="4" w:space="0" w:color="auto"/>
              <w:left w:val="nil"/>
              <w:bottom w:val="single" w:sz="4" w:space="0" w:color="auto"/>
              <w:right w:val="nil"/>
            </w:tcBorders>
            <w:shd w:val="clear" w:color="auto" w:fill="FFFFFF" w:themeFill="background1"/>
            <w:hideMark/>
          </w:tcPr>
          <w:p w14:paraId="6D02C2A6" w14:textId="77777777" w:rsidR="004A5AFD" w:rsidRDefault="004A5AFD">
            <w:pPr>
              <w:autoSpaceDE w:val="0"/>
              <w:autoSpaceDN w:val="0"/>
              <w:adjustRightInd w:val="0"/>
              <w:spacing w:after="0" w:line="256" w:lineRule="auto"/>
              <w:jc w:val="center"/>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rPr>
              <w:t>p value</w:t>
            </w:r>
          </w:p>
        </w:tc>
      </w:tr>
      <w:tr w:rsidR="004A5AFD" w14:paraId="08009830" w14:textId="77777777" w:rsidTr="004A5AFD">
        <w:tc>
          <w:tcPr>
            <w:tcW w:w="1572" w:type="pct"/>
            <w:tcBorders>
              <w:top w:val="nil"/>
              <w:left w:val="nil"/>
              <w:bottom w:val="single" w:sz="4" w:space="0" w:color="auto"/>
              <w:right w:val="nil"/>
            </w:tcBorders>
            <w:shd w:val="clear" w:color="auto" w:fill="FFFFFF" w:themeFill="background1"/>
          </w:tcPr>
          <w:p w14:paraId="71D82964" w14:textId="77777777" w:rsidR="004A5AFD" w:rsidRDefault="004A5AFD">
            <w:pPr>
              <w:autoSpaceDE w:val="0"/>
              <w:autoSpaceDN w:val="0"/>
              <w:adjustRightInd w:val="0"/>
              <w:spacing w:after="0" w:line="480" w:lineRule="auto"/>
              <w:rPr>
                <w:rFonts w:ascii="Times New Roman" w:hAnsi="Times New Roman" w:cs="Times New Roman"/>
                <w:color w:val="000000" w:themeColor="text1"/>
                <w:sz w:val="24"/>
                <w:szCs w:val="24"/>
                <w:lang w:val="en-US"/>
              </w:rPr>
            </w:pPr>
          </w:p>
        </w:tc>
        <w:tc>
          <w:tcPr>
            <w:tcW w:w="904" w:type="pct"/>
            <w:tcBorders>
              <w:top w:val="nil"/>
              <w:left w:val="nil"/>
              <w:bottom w:val="single" w:sz="4" w:space="0" w:color="auto"/>
              <w:right w:val="nil"/>
            </w:tcBorders>
            <w:shd w:val="clear" w:color="auto" w:fill="FFFFFF" w:themeFill="background1"/>
            <w:hideMark/>
          </w:tcPr>
          <w:p w14:paraId="0CB8CAAE" w14:textId="77777777" w:rsidR="004A5AFD" w:rsidRDefault="004A5AFD">
            <w:pPr>
              <w:autoSpaceDE w:val="0"/>
              <w:autoSpaceDN w:val="0"/>
              <w:adjustRightInd w:val="0"/>
              <w:spacing w:after="0" w:line="256"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rPr>
              <w:t>n (%)</w:t>
            </w:r>
          </w:p>
        </w:tc>
        <w:tc>
          <w:tcPr>
            <w:tcW w:w="762" w:type="pct"/>
            <w:tcBorders>
              <w:top w:val="nil"/>
              <w:left w:val="nil"/>
              <w:bottom w:val="single" w:sz="4" w:space="0" w:color="auto"/>
              <w:right w:val="nil"/>
            </w:tcBorders>
            <w:shd w:val="clear" w:color="auto" w:fill="FFFFFF" w:themeFill="background1"/>
            <w:hideMark/>
          </w:tcPr>
          <w:p w14:paraId="284437AD" w14:textId="77777777" w:rsidR="004A5AFD" w:rsidRDefault="004A5AFD">
            <w:pPr>
              <w:autoSpaceDE w:val="0"/>
              <w:autoSpaceDN w:val="0"/>
              <w:adjustRightInd w:val="0"/>
              <w:spacing w:after="0" w:line="256"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rPr>
              <w:t>n (%)</w:t>
            </w:r>
          </w:p>
        </w:tc>
        <w:tc>
          <w:tcPr>
            <w:tcW w:w="719" w:type="pct"/>
            <w:tcBorders>
              <w:top w:val="nil"/>
              <w:left w:val="nil"/>
              <w:bottom w:val="single" w:sz="4" w:space="0" w:color="auto"/>
              <w:right w:val="nil"/>
            </w:tcBorders>
            <w:shd w:val="clear" w:color="auto" w:fill="FFFFFF" w:themeFill="background1"/>
            <w:hideMark/>
          </w:tcPr>
          <w:p w14:paraId="5C189FBE" w14:textId="77777777" w:rsidR="004A5AFD" w:rsidRDefault="004A5AFD">
            <w:pPr>
              <w:autoSpaceDE w:val="0"/>
              <w:autoSpaceDN w:val="0"/>
              <w:adjustRightInd w:val="0"/>
              <w:spacing w:after="0" w:line="256"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rPr>
              <w:t>n (%)</w:t>
            </w:r>
          </w:p>
        </w:tc>
        <w:tc>
          <w:tcPr>
            <w:tcW w:w="0" w:type="auto"/>
            <w:vMerge/>
            <w:tcBorders>
              <w:top w:val="single" w:sz="4" w:space="0" w:color="auto"/>
              <w:left w:val="nil"/>
              <w:bottom w:val="single" w:sz="4" w:space="0" w:color="auto"/>
              <w:right w:val="nil"/>
            </w:tcBorders>
            <w:shd w:val="clear" w:color="auto" w:fill="FFFFFF" w:themeFill="background1"/>
            <w:vAlign w:val="center"/>
            <w:hideMark/>
          </w:tcPr>
          <w:p w14:paraId="37B52932" w14:textId="77777777" w:rsidR="004A5AFD" w:rsidRDefault="004A5AFD">
            <w:pPr>
              <w:spacing w:after="0" w:line="240" w:lineRule="auto"/>
              <w:rPr>
                <w:rFonts w:ascii="Times New Roman" w:hAnsi="Times New Roman" w:cs="Times New Roman"/>
                <w:color w:val="000000" w:themeColor="text1"/>
                <w:sz w:val="24"/>
                <w:szCs w:val="24"/>
                <w:lang w:val="en-US"/>
              </w:rPr>
            </w:pPr>
          </w:p>
        </w:tc>
        <w:tc>
          <w:tcPr>
            <w:tcW w:w="0" w:type="auto"/>
            <w:vMerge/>
            <w:tcBorders>
              <w:top w:val="single" w:sz="4" w:space="0" w:color="auto"/>
              <w:left w:val="nil"/>
              <w:bottom w:val="single" w:sz="4" w:space="0" w:color="auto"/>
              <w:right w:val="nil"/>
            </w:tcBorders>
            <w:shd w:val="clear" w:color="auto" w:fill="FFFFFF" w:themeFill="background1"/>
            <w:vAlign w:val="center"/>
            <w:hideMark/>
          </w:tcPr>
          <w:p w14:paraId="3BFA2F97" w14:textId="77777777" w:rsidR="004A5AFD" w:rsidRDefault="004A5AFD">
            <w:pPr>
              <w:spacing w:after="0" w:line="240" w:lineRule="auto"/>
              <w:rPr>
                <w:rFonts w:ascii="Times New Roman" w:hAnsi="Times New Roman" w:cs="Times New Roman"/>
                <w:color w:val="000000" w:themeColor="text1"/>
                <w:sz w:val="24"/>
                <w:szCs w:val="24"/>
                <w:lang w:val="en-US"/>
              </w:rPr>
            </w:pPr>
          </w:p>
        </w:tc>
      </w:tr>
      <w:tr w:rsidR="004A5AFD" w14:paraId="0C2AD840" w14:textId="77777777" w:rsidTr="004A5AFD">
        <w:tc>
          <w:tcPr>
            <w:tcW w:w="1572" w:type="pct"/>
            <w:tcBorders>
              <w:top w:val="nil"/>
              <w:left w:val="nil"/>
              <w:bottom w:val="nil"/>
              <w:right w:val="nil"/>
            </w:tcBorders>
            <w:shd w:val="clear" w:color="auto" w:fill="FFFFFF" w:themeFill="background1"/>
            <w:hideMark/>
          </w:tcPr>
          <w:p w14:paraId="19DB253C" w14:textId="77777777" w:rsidR="004A5AFD" w:rsidRDefault="004A5AFD">
            <w:pPr>
              <w:autoSpaceDE w:val="0"/>
              <w:autoSpaceDN w:val="0"/>
              <w:adjustRightInd w:val="0"/>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Age group (years)</w:t>
            </w:r>
          </w:p>
          <w:p w14:paraId="07302054" w14:textId="77777777" w:rsidR="004A5AFD" w:rsidRDefault="004A5AFD">
            <w:pPr>
              <w:autoSpaceDE w:val="0"/>
              <w:autoSpaceDN w:val="0"/>
              <w:adjustRightInd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21-25</w:t>
            </w:r>
          </w:p>
          <w:p w14:paraId="5C54EC76" w14:textId="77777777" w:rsidR="004A5AFD" w:rsidRDefault="004A5AFD">
            <w:pPr>
              <w:autoSpaceDE w:val="0"/>
              <w:autoSpaceDN w:val="0"/>
              <w:adjustRightInd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26-30</w:t>
            </w:r>
          </w:p>
          <w:p w14:paraId="410062AE" w14:textId="77777777" w:rsidR="004A5AFD" w:rsidRDefault="004A5AFD">
            <w:pPr>
              <w:autoSpaceDE w:val="0"/>
              <w:autoSpaceDN w:val="0"/>
              <w:adjustRightInd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31-35</w:t>
            </w:r>
          </w:p>
          <w:p w14:paraId="46D671B2" w14:textId="77777777" w:rsidR="004A5AFD" w:rsidRDefault="004A5AFD">
            <w:pPr>
              <w:autoSpaceDE w:val="0"/>
              <w:autoSpaceDN w:val="0"/>
              <w:adjustRightInd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36-40</w:t>
            </w:r>
          </w:p>
          <w:p w14:paraId="2BD49441" w14:textId="77777777" w:rsidR="004A5AFD" w:rsidRDefault="004A5AFD">
            <w:pPr>
              <w:autoSpaceDE w:val="0"/>
              <w:autoSpaceDN w:val="0"/>
              <w:adjustRightInd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&gt;40</w:t>
            </w:r>
          </w:p>
          <w:p w14:paraId="15484C3F" w14:textId="77777777" w:rsidR="004A5AFD" w:rsidRDefault="004A5AFD">
            <w:pPr>
              <w:autoSpaceDE w:val="0"/>
              <w:autoSpaceDN w:val="0"/>
              <w:adjustRightInd w:val="0"/>
              <w:spacing w:after="0"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Mean</w:t>
            </w:r>
            <w:r>
              <w:rPr>
                <w:rFonts w:asciiTheme="minorEastAsia" w:hAnsiTheme="minorEastAsia" w:cstheme="minorEastAsia"/>
                <w:color w:val="000000" w:themeColor="text1"/>
                <w:sz w:val="24"/>
                <w:szCs w:val="24"/>
              </w:rPr>
              <w:t>±</w:t>
            </w:r>
            <w:r>
              <w:rPr>
                <w:rFonts w:ascii="Times New Roman" w:hAnsi="Times New Roman" w:cs="Times New Roman"/>
                <w:color w:val="000000" w:themeColor="text1"/>
                <w:sz w:val="24"/>
                <w:szCs w:val="24"/>
              </w:rPr>
              <w:t>SD</w:t>
            </w:r>
          </w:p>
        </w:tc>
        <w:tc>
          <w:tcPr>
            <w:tcW w:w="904" w:type="pct"/>
            <w:tcBorders>
              <w:top w:val="nil"/>
              <w:left w:val="nil"/>
              <w:bottom w:val="nil"/>
              <w:right w:val="nil"/>
            </w:tcBorders>
            <w:shd w:val="clear" w:color="auto" w:fill="FFFFFF" w:themeFill="background1"/>
          </w:tcPr>
          <w:p w14:paraId="11A1BD12"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04DF0727"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12(18.5)</w:t>
            </w:r>
          </w:p>
          <w:p w14:paraId="7B220BB3"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20(30.8)</w:t>
            </w:r>
          </w:p>
          <w:p w14:paraId="6427DC7E"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16(24.6)</w:t>
            </w:r>
          </w:p>
          <w:p w14:paraId="6842C163"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11(16.9)</w:t>
            </w:r>
          </w:p>
          <w:p w14:paraId="6401D738"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6(9.2)</w:t>
            </w:r>
          </w:p>
          <w:p w14:paraId="35AA5A88"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31.97</w:t>
            </w:r>
            <w:r>
              <w:rPr>
                <w:rFonts w:asciiTheme="minorEastAsia" w:hAnsiTheme="minorEastAsia" w:cstheme="minorEastAsia"/>
                <w:color w:val="000000" w:themeColor="text1"/>
                <w:sz w:val="24"/>
                <w:szCs w:val="24"/>
              </w:rPr>
              <w:t>±</w:t>
            </w:r>
            <w:r>
              <w:rPr>
                <w:rFonts w:asciiTheme="minorEastAsia" w:hAnsiTheme="minorEastAsia" w:cstheme="minorEastAsia" w:hint="eastAsia"/>
                <w:color w:val="000000" w:themeColor="text1"/>
                <w:sz w:val="24"/>
                <w:szCs w:val="24"/>
              </w:rPr>
              <w:t>6.0</w:t>
            </w:r>
          </w:p>
        </w:tc>
        <w:tc>
          <w:tcPr>
            <w:tcW w:w="762" w:type="pct"/>
            <w:tcBorders>
              <w:top w:val="nil"/>
              <w:left w:val="nil"/>
              <w:bottom w:val="nil"/>
              <w:right w:val="nil"/>
            </w:tcBorders>
            <w:shd w:val="clear" w:color="auto" w:fill="FFFFFF" w:themeFill="background1"/>
          </w:tcPr>
          <w:p w14:paraId="635FEF6B"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7270B7CE"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12(18.5)</w:t>
            </w:r>
          </w:p>
          <w:p w14:paraId="6948552A"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20(30.8)</w:t>
            </w:r>
          </w:p>
          <w:p w14:paraId="16F82BDD"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16(24.6)</w:t>
            </w:r>
          </w:p>
          <w:p w14:paraId="49B77D93"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11(16.9)</w:t>
            </w:r>
          </w:p>
          <w:p w14:paraId="1F594466"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6(9.2)</w:t>
            </w:r>
          </w:p>
          <w:p w14:paraId="3EA1C848"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31.63</w:t>
            </w:r>
            <w:r>
              <w:rPr>
                <w:rFonts w:asciiTheme="minorEastAsia" w:hAnsiTheme="minorEastAsia" w:cstheme="minorEastAsia"/>
                <w:color w:val="000000" w:themeColor="text1"/>
                <w:sz w:val="24"/>
                <w:szCs w:val="24"/>
              </w:rPr>
              <w:t>±</w:t>
            </w:r>
            <w:r>
              <w:rPr>
                <w:rFonts w:asciiTheme="minorEastAsia" w:hAnsiTheme="minorEastAsia" w:cstheme="minorEastAsia" w:hint="eastAsia"/>
                <w:color w:val="000000" w:themeColor="text1"/>
                <w:sz w:val="24"/>
                <w:szCs w:val="24"/>
              </w:rPr>
              <w:t>5.0</w:t>
            </w:r>
          </w:p>
        </w:tc>
        <w:tc>
          <w:tcPr>
            <w:tcW w:w="719" w:type="pct"/>
            <w:tcBorders>
              <w:top w:val="nil"/>
              <w:left w:val="nil"/>
              <w:bottom w:val="nil"/>
              <w:right w:val="nil"/>
            </w:tcBorders>
            <w:shd w:val="clear" w:color="auto" w:fill="FFFFFF" w:themeFill="background1"/>
          </w:tcPr>
          <w:p w14:paraId="5F8D5A15"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4CC5AEFF"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24(18.5)</w:t>
            </w:r>
          </w:p>
          <w:p w14:paraId="56D73E88"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40(30.8)</w:t>
            </w:r>
          </w:p>
          <w:p w14:paraId="1A86D5B4"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32(24.6)</w:t>
            </w:r>
          </w:p>
          <w:p w14:paraId="41C11C41"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22(16.9)</w:t>
            </w:r>
          </w:p>
          <w:p w14:paraId="2865B67E"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12(9.2)</w:t>
            </w:r>
          </w:p>
        </w:tc>
        <w:tc>
          <w:tcPr>
            <w:tcW w:w="519" w:type="pct"/>
            <w:tcBorders>
              <w:top w:val="nil"/>
              <w:left w:val="nil"/>
              <w:bottom w:val="nil"/>
              <w:right w:val="nil"/>
            </w:tcBorders>
            <w:shd w:val="clear" w:color="auto" w:fill="FFFFFF" w:themeFill="background1"/>
          </w:tcPr>
          <w:p w14:paraId="6116C12F"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40FE17DE"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w:t>
            </w:r>
          </w:p>
          <w:p w14:paraId="6EE679C9"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1ADB0191"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5ED7E0BB"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1AD54399"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028EFA03"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0.347*</w:t>
            </w:r>
          </w:p>
        </w:tc>
        <w:tc>
          <w:tcPr>
            <w:tcW w:w="524" w:type="pct"/>
            <w:tcBorders>
              <w:top w:val="nil"/>
              <w:left w:val="nil"/>
              <w:bottom w:val="nil"/>
              <w:right w:val="nil"/>
            </w:tcBorders>
            <w:shd w:val="clear" w:color="auto" w:fill="FFFFFF" w:themeFill="background1"/>
          </w:tcPr>
          <w:p w14:paraId="4219E5C2" w14:textId="77777777" w:rsidR="004A5AFD" w:rsidRDefault="004A5AFD">
            <w:pPr>
              <w:autoSpaceDE w:val="0"/>
              <w:autoSpaceDN w:val="0"/>
              <w:adjustRightInd w:val="0"/>
              <w:spacing w:after="0" w:line="360" w:lineRule="auto"/>
              <w:jc w:val="center"/>
              <w:rPr>
                <w:rFonts w:ascii="Times New Roman" w:hAnsi="Times New Roman" w:cs="Times New Roman"/>
                <w:bCs/>
                <w:color w:val="000000" w:themeColor="text1"/>
                <w:sz w:val="24"/>
                <w:szCs w:val="24"/>
              </w:rPr>
            </w:pPr>
          </w:p>
          <w:p w14:paraId="769024CF" w14:textId="77777777" w:rsidR="004A5AFD" w:rsidRDefault="004A5AFD">
            <w:pPr>
              <w:autoSpaceDE w:val="0"/>
              <w:autoSpaceDN w:val="0"/>
              <w:adjustRightInd w:val="0"/>
              <w:spacing w:after="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1.000</w:t>
            </w:r>
          </w:p>
          <w:p w14:paraId="12E1082C" w14:textId="77777777" w:rsidR="004A5AFD" w:rsidRDefault="004A5AFD">
            <w:pPr>
              <w:autoSpaceDE w:val="0"/>
              <w:autoSpaceDN w:val="0"/>
              <w:adjustRightInd w:val="0"/>
              <w:spacing w:after="0" w:line="360" w:lineRule="auto"/>
              <w:jc w:val="center"/>
              <w:rPr>
                <w:rFonts w:ascii="Times New Roman" w:hAnsi="Times New Roman" w:cs="Times New Roman"/>
                <w:bCs/>
                <w:color w:val="000000" w:themeColor="text1"/>
                <w:sz w:val="24"/>
                <w:szCs w:val="24"/>
              </w:rPr>
            </w:pPr>
          </w:p>
          <w:p w14:paraId="5E0333E8" w14:textId="77777777" w:rsidR="004A5AFD" w:rsidRDefault="004A5AFD">
            <w:pPr>
              <w:autoSpaceDE w:val="0"/>
              <w:autoSpaceDN w:val="0"/>
              <w:adjustRightInd w:val="0"/>
              <w:spacing w:after="0" w:line="360" w:lineRule="auto"/>
              <w:jc w:val="center"/>
              <w:rPr>
                <w:rFonts w:ascii="Times New Roman" w:hAnsi="Times New Roman" w:cs="Times New Roman"/>
                <w:bCs/>
                <w:color w:val="000000" w:themeColor="text1"/>
                <w:sz w:val="24"/>
                <w:szCs w:val="24"/>
              </w:rPr>
            </w:pPr>
          </w:p>
          <w:p w14:paraId="3BEB46C3" w14:textId="77777777" w:rsidR="004A5AFD" w:rsidRDefault="004A5AFD">
            <w:pPr>
              <w:autoSpaceDE w:val="0"/>
              <w:autoSpaceDN w:val="0"/>
              <w:adjustRightInd w:val="0"/>
              <w:spacing w:after="0" w:line="360" w:lineRule="auto"/>
              <w:jc w:val="center"/>
              <w:rPr>
                <w:rFonts w:ascii="Times New Roman" w:hAnsi="Times New Roman" w:cs="Times New Roman"/>
                <w:bCs/>
                <w:color w:val="000000" w:themeColor="text1"/>
                <w:sz w:val="24"/>
                <w:szCs w:val="24"/>
              </w:rPr>
            </w:pPr>
          </w:p>
          <w:p w14:paraId="4C068DDE" w14:textId="77777777" w:rsidR="004A5AFD" w:rsidRDefault="004A5AFD">
            <w:pPr>
              <w:autoSpaceDE w:val="0"/>
              <w:autoSpaceDN w:val="0"/>
              <w:adjustRightInd w:val="0"/>
              <w:spacing w:after="0" w:line="360" w:lineRule="auto"/>
              <w:jc w:val="center"/>
              <w:rPr>
                <w:rFonts w:ascii="Times New Roman" w:hAnsi="Times New Roman" w:cs="Times New Roman"/>
                <w:bCs/>
                <w:color w:val="000000" w:themeColor="text1"/>
                <w:sz w:val="24"/>
                <w:szCs w:val="24"/>
              </w:rPr>
            </w:pPr>
          </w:p>
          <w:p w14:paraId="327D4E1F" w14:textId="77777777" w:rsidR="004A5AFD" w:rsidRDefault="004A5AFD">
            <w:pPr>
              <w:autoSpaceDE w:val="0"/>
              <w:autoSpaceDN w:val="0"/>
              <w:adjustRightInd w:val="0"/>
              <w:spacing w:after="0" w:line="360" w:lineRule="auto"/>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rPr>
              <w:t>0.729</w:t>
            </w:r>
          </w:p>
        </w:tc>
      </w:tr>
      <w:tr w:rsidR="004A5AFD" w14:paraId="1A65979C" w14:textId="77777777" w:rsidTr="004A5AFD">
        <w:tc>
          <w:tcPr>
            <w:tcW w:w="1572" w:type="pct"/>
            <w:tcBorders>
              <w:top w:val="nil"/>
              <w:left w:val="nil"/>
              <w:bottom w:val="nil"/>
              <w:right w:val="nil"/>
            </w:tcBorders>
            <w:shd w:val="clear" w:color="auto" w:fill="FFFFFF" w:themeFill="background1"/>
            <w:hideMark/>
          </w:tcPr>
          <w:p w14:paraId="62B6D2AF" w14:textId="77777777" w:rsidR="004A5AFD" w:rsidRDefault="004A5AFD">
            <w:pPr>
              <w:autoSpaceDE w:val="0"/>
              <w:autoSpaceDN w:val="0"/>
              <w:adjustRightInd w:val="0"/>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Educational level</w:t>
            </w:r>
          </w:p>
          <w:p w14:paraId="1ABD6FB3" w14:textId="77777777" w:rsidR="004A5AFD" w:rsidRDefault="004A5AFD">
            <w:pPr>
              <w:autoSpaceDE w:val="0"/>
              <w:autoSpaceDN w:val="0"/>
              <w:adjustRightInd w:val="0"/>
              <w:spacing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Primary</w:t>
            </w:r>
          </w:p>
          <w:p w14:paraId="7072DD9F" w14:textId="77777777" w:rsidR="004A5AFD" w:rsidRDefault="004A5AFD">
            <w:pPr>
              <w:autoSpaceDE w:val="0"/>
              <w:autoSpaceDN w:val="0"/>
              <w:adjustRightInd w:val="0"/>
              <w:spacing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Secondary</w:t>
            </w:r>
          </w:p>
          <w:p w14:paraId="01AD146D" w14:textId="77777777" w:rsidR="004A5AFD" w:rsidRDefault="004A5AFD">
            <w:pPr>
              <w:autoSpaceDE w:val="0"/>
              <w:autoSpaceDN w:val="0"/>
              <w:adjustRightInd w:val="0"/>
              <w:spacing w:after="0" w:line="360" w:lineRule="auto"/>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rPr>
              <w:t>Tertiary</w:t>
            </w:r>
          </w:p>
        </w:tc>
        <w:tc>
          <w:tcPr>
            <w:tcW w:w="904" w:type="pct"/>
            <w:tcBorders>
              <w:top w:val="nil"/>
              <w:left w:val="nil"/>
              <w:bottom w:val="nil"/>
              <w:right w:val="nil"/>
            </w:tcBorders>
            <w:shd w:val="clear" w:color="auto" w:fill="FFFFFF" w:themeFill="background1"/>
          </w:tcPr>
          <w:p w14:paraId="67F55038"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49135E25"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10(15.4)</w:t>
            </w:r>
          </w:p>
          <w:p w14:paraId="070F8E35"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21(32.3)</w:t>
            </w:r>
          </w:p>
          <w:p w14:paraId="7ACF35C8"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34(52.3)</w:t>
            </w:r>
          </w:p>
        </w:tc>
        <w:tc>
          <w:tcPr>
            <w:tcW w:w="762" w:type="pct"/>
            <w:tcBorders>
              <w:top w:val="nil"/>
              <w:left w:val="nil"/>
              <w:bottom w:val="nil"/>
              <w:right w:val="nil"/>
            </w:tcBorders>
            <w:shd w:val="clear" w:color="auto" w:fill="FFFFFF" w:themeFill="background1"/>
          </w:tcPr>
          <w:p w14:paraId="7A4F3223"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4B436BEA"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15(23.1)</w:t>
            </w:r>
          </w:p>
          <w:p w14:paraId="748FCBF1"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12(18.5)</w:t>
            </w:r>
          </w:p>
          <w:p w14:paraId="4B8FD7E2"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38(58.5)</w:t>
            </w:r>
          </w:p>
        </w:tc>
        <w:tc>
          <w:tcPr>
            <w:tcW w:w="719" w:type="pct"/>
            <w:tcBorders>
              <w:top w:val="nil"/>
              <w:left w:val="nil"/>
              <w:bottom w:val="nil"/>
              <w:right w:val="nil"/>
            </w:tcBorders>
            <w:shd w:val="clear" w:color="auto" w:fill="FFFFFF" w:themeFill="background1"/>
          </w:tcPr>
          <w:p w14:paraId="6859D257"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58E73A42"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25(19.2)</w:t>
            </w:r>
          </w:p>
          <w:p w14:paraId="39B2C9F9"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33(25.4)</w:t>
            </w:r>
          </w:p>
          <w:p w14:paraId="1AFB20B0"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72(55.4)</w:t>
            </w:r>
          </w:p>
        </w:tc>
        <w:tc>
          <w:tcPr>
            <w:tcW w:w="519" w:type="pct"/>
            <w:tcBorders>
              <w:top w:val="nil"/>
              <w:left w:val="nil"/>
              <w:bottom w:val="nil"/>
              <w:right w:val="nil"/>
            </w:tcBorders>
            <w:shd w:val="clear" w:color="auto" w:fill="FFFFFF" w:themeFill="background1"/>
          </w:tcPr>
          <w:p w14:paraId="2F21C180"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3D0922DE"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3.677</w:t>
            </w:r>
          </w:p>
        </w:tc>
        <w:tc>
          <w:tcPr>
            <w:tcW w:w="524" w:type="pct"/>
            <w:tcBorders>
              <w:top w:val="nil"/>
              <w:left w:val="nil"/>
              <w:bottom w:val="nil"/>
              <w:right w:val="nil"/>
            </w:tcBorders>
            <w:shd w:val="clear" w:color="auto" w:fill="FFFFFF" w:themeFill="background1"/>
          </w:tcPr>
          <w:p w14:paraId="228B708C" w14:textId="77777777" w:rsidR="004A5AFD" w:rsidRDefault="004A5AFD">
            <w:pPr>
              <w:autoSpaceDE w:val="0"/>
              <w:autoSpaceDN w:val="0"/>
              <w:adjustRightInd w:val="0"/>
              <w:spacing w:after="0" w:line="360" w:lineRule="auto"/>
              <w:jc w:val="center"/>
              <w:rPr>
                <w:rFonts w:ascii="Times New Roman" w:hAnsi="Times New Roman" w:cs="Times New Roman"/>
                <w:bCs/>
                <w:color w:val="000000" w:themeColor="text1"/>
                <w:sz w:val="24"/>
                <w:szCs w:val="24"/>
              </w:rPr>
            </w:pPr>
          </w:p>
          <w:p w14:paraId="5A6972CA" w14:textId="77777777" w:rsidR="004A5AFD" w:rsidRDefault="004A5AFD">
            <w:pPr>
              <w:autoSpaceDE w:val="0"/>
              <w:autoSpaceDN w:val="0"/>
              <w:adjustRightInd w:val="0"/>
              <w:spacing w:after="0" w:line="360" w:lineRule="auto"/>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rPr>
              <w:t>0.159</w:t>
            </w:r>
          </w:p>
        </w:tc>
      </w:tr>
      <w:tr w:rsidR="004A5AFD" w14:paraId="392D943A" w14:textId="77777777" w:rsidTr="004A5AFD">
        <w:tc>
          <w:tcPr>
            <w:tcW w:w="1572" w:type="pct"/>
            <w:tcBorders>
              <w:top w:val="nil"/>
              <w:left w:val="nil"/>
              <w:bottom w:val="nil"/>
              <w:right w:val="nil"/>
            </w:tcBorders>
            <w:shd w:val="clear" w:color="auto" w:fill="FFFFFF" w:themeFill="background1"/>
            <w:hideMark/>
          </w:tcPr>
          <w:p w14:paraId="4676088C" w14:textId="77777777" w:rsidR="004A5AFD" w:rsidRDefault="004A5AFD">
            <w:pPr>
              <w:autoSpaceDE w:val="0"/>
              <w:autoSpaceDN w:val="0"/>
              <w:adjustRightInd w:val="0"/>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Religion</w:t>
            </w:r>
          </w:p>
          <w:p w14:paraId="3932CAA3" w14:textId="77777777" w:rsidR="004A5AFD" w:rsidRDefault="004A5AFD">
            <w:pPr>
              <w:autoSpaceDE w:val="0"/>
              <w:autoSpaceDN w:val="0"/>
              <w:adjustRightInd w:val="0"/>
              <w:spacing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Christianity</w:t>
            </w:r>
          </w:p>
          <w:p w14:paraId="6C9498A4" w14:textId="77777777" w:rsidR="004A5AFD" w:rsidRDefault="004A5AFD">
            <w:pPr>
              <w:autoSpaceDE w:val="0"/>
              <w:autoSpaceDN w:val="0"/>
              <w:adjustRightInd w:val="0"/>
              <w:spacing w:after="0" w:line="360" w:lineRule="auto"/>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rPr>
              <w:t>Islam</w:t>
            </w:r>
          </w:p>
        </w:tc>
        <w:tc>
          <w:tcPr>
            <w:tcW w:w="904" w:type="pct"/>
            <w:tcBorders>
              <w:top w:val="nil"/>
              <w:left w:val="nil"/>
              <w:bottom w:val="nil"/>
              <w:right w:val="nil"/>
            </w:tcBorders>
            <w:shd w:val="clear" w:color="auto" w:fill="FFFFFF" w:themeFill="background1"/>
          </w:tcPr>
          <w:p w14:paraId="1BB0CC15"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689208E2"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55(84.6)</w:t>
            </w:r>
          </w:p>
          <w:p w14:paraId="456BBC57"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10(15.4)</w:t>
            </w:r>
          </w:p>
        </w:tc>
        <w:tc>
          <w:tcPr>
            <w:tcW w:w="762" w:type="pct"/>
            <w:tcBorders>
              <w:top w:val="nil"/>
              <w:left w:val="nil"/>
              <w:bottom w:val="nil"/>
              <w:right w:val="nil"/>
            </w:tcBorders>
            <w:shd w:val="clear" w:color="auto" w:fill="FFFFFF" w:themeFill="background1"/>
          </w:tcPr>
          <w:p w14:paraId="51252135"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1877D2A9"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57(87.7)</w:t>
            </w:r>
          </w:p>
          <w:p w14:paraId="47D96028"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8(12.3)</w:t>
            </w:r>
          </w:p>
        </w:tc>
        <w:tc>
          <w:tcPr>
            <w:tcW w:w="719" w:type="pct"/>
            <w:tcBorders>
              <w:top w:val="nil"/>
              <w:left w:val="nil"/>
              <w:bottom w:val="nil"/>
              <w:right w:val="nil"/>
            </w:tcBorders>
            <w:shd w:val="clear" w:color="auto" w:fill="FFFFFF" w:themeFill="background1"/>
          </w:tcPr>
          <w:p w14:paraId="794AB24C"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41A710A9"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112(86.2)</w:t>
            </w:r>
          </w:p>
          <w:p w14:paraId="4136F165"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18(13.8)</w:t>
            </w:r>
          </w:p>
        </w:tc>
        <w:tc>
          <w:tcPr>
            <w:tcW w:w="519" w:type="pct"/>
            <w:tcBorders>
              <w:top w:val="nil"/>
              <w:left w:val="nil"/>
              <w:bottom w:val="nil"/>
              <w:right w:val="nil"/>
            </w:tcBorders>
            <w:shd w:val="clear" w:color="auto" w:fill="FFFFFF" w:themeFill="background1"/>
          </w:tcPr>
          <w:p w14:paraId="73D78CE6"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2F455243"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0.258</w:t>
            </w:r>
          </w:p>
        </w:tc>
        <w:tc>
          <w:tcPr>
            <w:tcW w:w="524" w:type="pct"/>
            <w:tcBorders>
              <w:top w:val="nil"/>
              <w:left w:val="nil"/>
              <w:bottom w:val="nil"/>
              <w:right w:val="nil"/>
            </w:tcBorders>
            <w:shd w:val="clear" w:color="auto" w:fill="FFFFFF" w:themeFill="background1"/>
          </w:tcPr>
          <w:p w14:paraId="11718DD0" w14:textId="77777777" w:rsidR="004A5AFD" w:rsidRDefault="004A5AFD">
            <w:pPr>
              <w:autoSpaceDE w:val="0"/>
              <w:autoSpaceDN w:val="0"/>
              <w:adjustRightInd w:val="0"/>
              <w:spacing w:after="0" w:line="360" w:lineRule="auto"/>
              <w:jc w:val="center"/>
              <w:rPr>
                <w:rFonts w:ascii="Times New Roman" w:hAnsi="Times New Roman" w:cs="Times New Roman"/>
                <w:bCs/>
                <w:color w:val="000000" w:themeColor="text1"/>
                <w:sz w:val="24"/>
                <w:szCs w:val="24"/>
              </w:rPr>
            </w:pPr>
          </w:p>
          <w:p w14:paraId="4C5A2440" w14:textId="77777777" w:rsidR="004A5AFD" w:rsidRDefault="004A5AFD">
            <w:pPr>
              <w:autoSpaceDE w:val="0"/>
              <w:autoSpaceDN w:val="0"/>
              <w:adjustRightInd w:val="0"/>
              <w:spacing w:after="0" w:line="360" w:lineRule="auto"/>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rPr>
              <w:t>0.612</w:t>
            </w:r>
          </w:p>
        </w:tc>
      </w:tr>
      <w:tr w:rsidR="004A5AFD" w14:paraId="0B9CA3C3" w14:textId="77777777" w:rsidTr="004A5AFD">
        <w:tc>
          <w:tcPr>
            <w:tcW w:w="1572" w:type="pct"/>
            <w:tcBorders>
              <w:top w:val="nil"/>
              <w:left w:val="nil"/>
              <w:bottom w:val="single" w:sz="4" w:space="0" w:color="auto"/>
              <w:right w:val="nil"/>
            </w:tcBorders>
            <w:shd w:val="clear" w:color="auto" w:fill="FFFFFF" w:themeFill="background1"/>
            <w:hideMark/>
          </w:tcPr>
          <w:p w14:paraId="249C3AE8" w14:textId="77777777" w:rsidR="004A5AFD" w:rsidRDefault="004A5AFD">
            <w:pPr>
              <w:autoSpaceDE w:val="0"/>
              <w:autoSpaceDN w:val="0"/>
              <w:adjustRightInd w:val="0"/>
              <w:spacing w:after="0" w:line="36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rPr>
              <w:t>Duration of marriage (years)</w:t>
            </w:r>
          </w:p>
        </w:tc>
        <w:tc>
          <w:tcPr>
            <w:tcW w:w="904" w:type="pct"/>
            <w:tcBorders>
              <w:top w:val="nil"/>
              <w:left w:val="nil"/>
              <w:bottom w:val="single" w:sz="4" w:space="0" w:color="auto"/>
              <w:right w:val="nil"/>
            </w:tcBorders>
            <w:shd w:val="clear" w:color="auto" w:fill="FFFFFF" w:themeFill="background1"/>
            <w:hideMark/>
          </w:tcPr>
          <w:p w14:paraId="188C94D9"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6.55</w:t>
            </w:r>
            <w:r>
              <w:rPr>
                <w:rFonts w:asciiTheme="minorEastAsia" w:hAnsiTheme="minorEastAsia" w:cstheme="minorEastAsia"/>
                <w:color w:val="000000" w:themeColor="text1"/>
                <w:sz w:val="24"/>
                <w:szCs w:val="24"/>
              </w:rPr>
              <w:t>±</w:t>
            </w:r>
            <w:r>
              <w:rPr>
                <w:rFonts w:asciiTheme="minorEastAsia" w:hAnsiTheme="minorEastAsia" w:cstheme="minorEastAsia" w:hint="eastAsia"/>
                <w:color w:val="000000" w:themeColor="text1"/>
                <w:sz w:val="24"/>
                <w:szCs w:val="24"/>
              </w:rPr>
              <w:t>2.6</w:t>
            </w:r>
          </w:p>
        </w:tc>
        <w:tc>
          <w:tcPr>
            <w:tcW w:w="762" w:type="pct"/>
            <w:tcBorders>
              <w:top w:val="nil"/>
              <w:left w:val="nil"/>
              <w:bottom w:val="single" w:sz="4" w:space="0" w:color="auto"/>
              <w:right w:val="nil"/>
            </w:tcBorders>
            <w:shd w:val="clear" w:color="auto" w:fill="FFFFFF" w:themeFill="background1"/>
            <w:hideMark/>
          </w:tcPr>
          <w:p w14:paraId="64371602"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6.24</w:t>
            </w:r>
            <w:r>
              <w:rPr>
                <w:rFonts w:asciiTheme="minorEastAsia" w:hAnsiTheme="minorEastAsia" w:cstheme="minorEastAsia"/>
                <w:color w:val="000000" w:themeColor="text1"/>
                <w:sz w:val="24"/>
                <w:szCs w:val="24"/>
              </w:rPr>
              <w:t>±</w:t>
            </w:r>
            <w:r>
              <w:rPr>
                <w:rFonts w:asciiTheme="minorEastAsia" w:hAnsiTheme="minorEastAsia" w:cstheme="minorEastAsia" w:hint="eastAsia"/>
                <w:color w:val="000000" w:themeColor="text1"/>
                <w:sz w:val="24"/>
                <w:szCs w:val="24"/>
              </w:rPr>
              <w:t>2.8</w:t>
            </w:r>
          </w:p>
        </w:tc>
        <w:tc>
          <w:tcPr>
            <w:tcW w:w="719" w:type="pct"/>
            <w:tcBorders>
              <w:top w:val="nil"/>
              <w:left w:val="nil"/>
              <w:bottom w:val="single" w:sz="4" w:space="0" w:color="auto"/>
              <w:right w:val="nil"/>
            </w:tcBorders>
            <w:shd w:val="clear" w:color="auto" w:fill="FFFFFF" w:themeFill="background1"/>
          </w:tcPr>
          <w:p w14:paraId="30542803"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p>
        </w:tc>
        <w:tc>
          <w:tcPr>
            <w:tcW w:w="519" w:type="pct"/>
            <w:tcBorders>
              <w:top w:val="nil"/>
              <w:left w:val="nil"/>
              <w:bottom w:val="single" w:sz="4" w:space="0" w:color="auto"/>
              <w:right w:val="nil"/>
            </w:tcBorders>
            <w:shd w:val="clear" w:color="auto" w:fill="FFFFFF" w:themeFill="background1"/>
            <w:hideMark/>
          </w:tcPr>
          <w:p w14:paraId="278FDA67"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1.084*</w:t>
            </w:r>
          </w:p>
        </w:tc>
        <w:tc>
          <w:tcPr>
            <w:tcW w:w="524" w:type="pct"/>
            <w:tcBorders>
              <w:top w:val="nil"/>
              <w:left w:val="nil"/>
              <w:bottom w:val="single" w:sz="4" w:space="0" w:color="auto"/>
              <w:right w:val="nil"/>
            </w:tcBorders>
            <w:shd w:val="clear" w:color="auto" w:fill="FFFFFF" w:themeFill="background1"/>
            <w:hideMark/>
          </w:tcPr>
          <w:p w14:paraId="54BA56B1" w14:textId="77777777" w:rsidR="004A5AFD" w:rsidRDefault="004A5AFD">
            <w:pPr>
              <w:autoSpaceDE w:val="0"/>
              <w:autoSpaceDN w:val="0"/>
              <w:adjustRightInd w:val="0"/>
              <w:spacing w:after="0" w:line="360" w:lineRule="auto"/>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rPr>
              <w:t>0.692</w:t>
            </w:r>
          </w:p>
        </w:tc>
      </w:tr>
    </w:tbl>
    <w:p w14:paraId="1343330E" w14:textId="77777777" w:rsidR="004A5AFD" w:rsidRDefault="004A5AFD" w:rsidP="004A5AFD">
      <w:pPr>
        <w:rPr>
          <w:rFonts w:ascii="Times New Roman" w:hAnsi="Times New Roman" w:cs="Times New Roman"/>
          <w:sz w:val="24"/>
          <w:szCs w:val="24"/>
          <w:lang w:val="en-US"/>
        </w:rPr>
      </w:pPr>
      <w:r>
        <w:rPr>
          <w:rFonts w:ascii="Times New Roman" w:hAnsi="Times New Roman" w:cs="Times New Roman"/>
          <w:sz w:val="24"/>
          <w:szCs w:val="24"/>
        </w:rPr>
        <w:t>*Independent student t test; SD=Standard deviation</w:t>
      </w:r>
    </w:p>
    <w:p w14:paraId="140A50F1" w14:textId="77777777" w:rsidR="004A5AFD" w:rsidRDefault="004A5AFD">
      <w:pPr>
        <w:rPr>
          <w:rFonts w:ascii="Times New Roman" w:hAnsi="Times New Roman" w:cs="Times New Roman"/>
          <w:sz w:val="24"/>
        </w:rPr>
      </w:pPr>
    </w:p>
    <w:p w14:paraId="6ACFF182" w14:textId="77777777" w:rsidR="004A5AFD" w:rsidRPr="00767608" w:rsidRDefault="004A5AFD" w:rsidP="00767608">
      <w:pPr>
        <w:spacing w:line="240" w:lineRule="auto"/>
        <w:jc w:val="both"/>
        <w:rPr>
          <w:rFonts w:ascii="Times New Roman" w:hAnsi="Times New Roman" w:cs="Times New Roman"/>
          <w:sz w:val="24"/>
          <w:szCs w:val="24"/>
        </w:rPr>
      </w:pPr>
      <w:r>
        <w:rPr>
          <w:rFonts w:ascii="Times New Roman" w:hAnsi="Times New Roman" w:cs="Times New Roman"/>
          <w:sz w:val="24"/>
          <w:szCs w:val="24"/>
        </w:rPr>
        <w:t>Mean AMH levels (3.80±5.8 vs 2.07±4.6), FSH (7.45±2.5 vs 12.36±13.4), LH (8.73±2.3 vs 13.93±12.6), E</w:t>
      </w:r>
      <w:r>
        <w:rPr>
          <w:rFonts w:ascii="Times New Roman" w:hAnsi="Times New Roman" w:cs="Times New Roman"/>
          <w:sz w:val="24"/>
          <w:szCs w:val="24"/>
          <w:vertAlign w:val="subscript"/>
        </w:rPr>
        <w:t>2</w:t>
      </w:r>
      <w:r>
        <w:rPr>
          <w:rFonts w:ascii="Times New Roman" w:hAnsi="Times New Roman" w:cs="Times New Roman"/>
          <w:sz w:val="24"/>
          <w:szCs w:val="24"/>
        </w:rPr>
        <w:t xml:space="preserve"> (63.50±16.3 vs 73.05±30.7), and prolactin (8.01±5.8 vs 12.55±8.8) was significantly higher in the infertile women (p&lt;0.05) than the f</w:t>
      </w:r>
      <w:r w:rsidR="009C2E77">
        <w:rPr>
          <w:rFonts w:ascii="Times New Roman" w:hAnsi="Times New Roman" w:cs="Times New Roman"/>
          <w:sz w:val="24"/>
          <w:szCs w:val="24"/>
        </w:rPr>
        <w:t>ertile women as shown in table 2</w:t>
      </w:r>
      <w:r>
        <w:rPr>
          <w:rFonts w:ascii="Times New Roman" w:hAnsi="Times New Roman" w:cs="Times New Roman"/>
          <w:sz w:val="24"/>
          <w:szCs w:val="24"/>
        </w:rPr>
        <w:t>.</w:t>
      </w:r>
    </w:p>
    <w:p w14:paraId="4670FEC3" w14:textId="77777777" w:rsidR="004A5AFD" w:rsidRDefault="009C2E77" w:rsidP="004A5AFD">
      <w:pPr>
        <w:rPr>
          <w:rFonts w:ascii="Times New Roman" w:hAnsi="Times New Roman" w:cs="Times New Roman"/>
          <w:b/>
          <w:bCs/>
          <w:sz w:val="24"/>
          <w:szCs w:val="24"/>
        </w:rPr>
      </w:pPr>
      <w:r>
        <w:rPr>
          <w:rFonts w:ascii="Times New Roman" w:hAnsi="Times New Roman" w:cs="Times New Roman"/>
          <w:b/>
          <w:bCs/>
          <w:sz w:val="24"/>
          <w:szCs w:val="24"/>
        </w:rPr>
        <w:t>Table 2</w:t>
      </w:r>
      <w:r w:rsidR="004A5AFD">
        <w:rPr>
          <w:rFonts w:ascii="Times New Roman" w:hAnsi="Times New Roman" w:cs="Times New Roman"/>
          <w:b/>
          <w:bCs/>
          <w:sz w:val="24"/>
          <w:szCs w:val="24"/>
        </w:rPr>
        <w:t>: Mean values of AMH and other reproductive hormone profiles in infertile and fertile subjects.</w:t>
      </w:r>
    </w:p>
    <w:p w14:paraId="77EA6676" w14:textId="77777777" w:rsidR="004A5AFD" w:rsidRDefault="004A5AFD" w:rsidP="004A5AFD">
      <w:pPr>
        <w:rPr>
          <w:rFonts w:ascii="Times New Roman" w:hAnsi="Times New Roman" w:cs="Times New Roman"/>
          <w:b/>
          <w:bCs/>
          <w:sz w:val="24"/>
          <w:szCs w:val="24"/>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736"/>
        <w:gridCol w:w="2126"/>
        <w:gridCol w:w="1953"/>
        <w:gridCol w:w="1414"/>
        <w:gridCol w:w="1013"/>
      </w:tblGrid>
      <w:tr w:rsidR="004A5AFD" w14:paraId="3B1247DF" w14:textId="77777777" w:rsidTr="004A5AFD">
        <w:tc>
          <w:tcPr>
            <w:tcW w:w="2779" w:type="dxa"/>
            <w:vMerge w:val="restart"/>
            <w:tcBorders>
              <w:top w:val="single" w:sz="4" w:space="0" w:color="auto"/>
              <w:left w:val="nil"/>
              <w:bottom w:val="single" w:sz="4" w:space="0" w:color="auto"/>
              <w:right w:val="nil"/>
            </w:tcBorders>
          </w:tcPr>
          <w:p w14:paraId="7669C515" w14:textId="77777777" w:rsidR="004A5AFD" w:rsidRDefault="004A5AFD">
            <w:pPr>
              <w:spacing w:after="160" w:line="256" w:lineRule="auto"/>
              <w:rPr>
                <w:rFonts w:ascii="Times New Roman" w:hAnsi="Times New Roman" w:cs="Times New Roman"/>
                <w:b/>
                <w:bCs/>
                <w:sz w:val="24"/>
                <w:szCs w:val="24"/>
              </w:rPr>
            </w:pPr>
          </w:p>
        </w:tc>
        <w:tc>
          <w:tcPr>
            <w:tcW w:w="2155" w:type="dxa"/>
            <w:tcBorders>
              <w:top w:val="single" w:sz="4" w:space="0" w:color="auto"/>
              <w:left w:val="nil"/>
              <w:bottom w:val="single" w:sz="4" w:space="0" w:color="auto"/>
              <w:right w:val="nil"/>
            </w:tcBorders>
            <w:hideMark/>
          </w:tcPr>
          <w:p w14:paraId="52BABF86" w14:textId="77777777" w:rsidR="004A5AFD" w:rsidRDefault="004A5AFD">
            <w:pPr>
              <w:autoSpaceDE w:val="0"/>
              <w:autoSpaceDN w:val="0"/>
              <w:adjustRightInd w:val="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Infertile</w:t>
            </w:r>
          </w:p>
          <w:p w14:paraId="61524C1F" w14:textId="77777777" w:rsidR="004A5AFD" w:rsidRDefault="004A5AFD">
            <w:pPr>
              <w:spacing w:after="160" w:line="256" w:lineRule="auto"/>
              <w:jc w:val="center"/>
              <w:rPr>
                <w:rFonts w:ascii="Times New Roman" w:hAnsi="Times New Roman" w:cs="Times New Roman"/>
                <w:b/>
                <w:bCs/>
                <w:sz w:val="24"/>
                <w:szCs w:val="24"/>
              </w:rPr>
            </w:pPr>
            <w:r>
              <w:rPr>
                <w:rFonts w:ascii="Times New Roman" w:hAnsi="Times New Roman" w:cs="Times New Roman"/>
                <w:b/>
                <w:bCs/>
                <w:color w:val="000000" w:themeColor="text1"/>
                <w:sz w:val="24"/>
                <w:szCs w:val="24"/>
              </w:rPr>
              <w:t>(n=65)</w:t>
            </w:r>
          </w:p>
        </w:tc>
        <w:tc>
          <w:tcPr>
            <w:tcW w:w="1976" w:type="dxa"/>
            <w:tcBorders>
              <w:top w:val="single" w:sz="4" w:space="0" w:color="auto"/>
              <w:left w:val="nil"/>
              <w:bottom w:val="single" w:sz="4" w:space="0" w:color="auto"/>
              <w:right w:val="nil"/>
            </w:tcBorders>
            <w:vAlign w:val="bottom"/>
            <w:hideMark/>
          </w:tcPr>
          <w:p w14:paraId="2D3F364D" w14:textId="77777777" w:rsidR="004A5AFD" w:rsidRDefault="004A5AFD">
            <w:pPr>
              <w:autoSpaceDE w:val="0"/>
              <w:autoSpaceDN w:val="0"/>
              <w:adjustRightInd w:val="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Fertile</w:t>
            </w:r>
          </w:p>
          <w:p w14:paraId="6D12F72B" w14:textId="77777777" w:rsidR="004A5AFD" w:rsidRDefault="004A5AFD">
            <w:pPr>
              <w:spacing w:after="160" w:line="256" w:lineRule="auto"/>
              <w:jc w:val="center"/>
              <w:rPr>
                <w:rFonts w:ascii="Times New Roman" w:hAnsi="Times New Roman" w:cs="Times New Roman"/>
                <w:b/>
                <w:bCs/>
                <w:sz w:val="24"/>
                <w:szCs w:val="24"/>
              </w:rPr>
            </w:pPr>
            <w:r>
              <w:rPr>
                <w:rFonts w:ascii="Times New Roman" w:hAnsi="Times New Roman" w:cs="Times New Roman"/>
                <w:b/>
                <w:bCs/>
                <w:color w:val="000000" w:themeColor="text1"/>
                <w:sz w:val="24"/>
                <w:szCs w:val="24"/>
              </w:rPr>
              <w:t>(n=65)</w:t>
            </w:r>
          </w:p>
        </w:tc>
        <w:tc>
          <w:tcPr>
            <w:tcW w:w="1437" w:type="dxa"/>
            <w:vMerge w:val="restart"/>
            <w:tcBorders>
              <w:top w:val="single" w:sz="4" w:space="0" w:color="auto"/>
              <w:left w:val="nil"/>
              <w:bottom w:val="single" w:sz="4" w:space="0" w:color="auto"/>
              <w:right w:val="nil"/>
            </w:tcBorders>
            <w:hideMark/>
          </w:tcPr>
          <w:p w14:paraId="0BA12C9A" w14:textId="77777777" w:rsidR="004A5AFD" w:rsidRDefault="004A5AFD">
            <w:pPr>
              <w:spacing w:after="160" w:line="256" w:lineRule="auto"/>
              <w:rPr>
                <w:rFonts w:ascii="Times New Roman" w:hAnsi="Times New Roman" w:cs="Times New Roman"/>
                <w:b/>
                <w:bCs/>
                <w:sz w:val="24"/>
                <w:szCs w:val="24"/>
              </w:rPr>
            </w:pPr>
            <w:r>
              <w:rPr>
                <w:rFonts w:ascii="Times New Roman" w:hAnsi="Times New Roman" w:cs="Times New Roman"/>
                <w:b/>
                <w:bCs/>
                <w:sz w:val="24"/>
                <w:szCs w:val="24"/>
              </w:rPr>
              <w:t>t-value</w:t>
            </w:r>
          </w:p>
        </w:tc>
        <w:tc>
          <w:tcPr>
            <w:tcW w:w="1013" w:type="dxa"/>
            <w:vMerge w:val="restart"/>
            <w:tcBorders>
              <w:top w:val="single" w:sz="4" w:space="0" w:color="auto"/>
              <w:left w:val="nil"/>
              <w:bottom w:val="single" w:sz="4" w:space="0" w:color="auto"/>
              <w:right w:val="nil"/>
            </w:tcBorders>
            <w:hideMark/>
          </w:tcPr>
          <w:p w14:paraId="4138CCB6" w14:textId="77777777" w:rsidR="004A5AFD" w:rsidRDefault="004A5AFD">
            <w:pPr>
              <w:spacing w:after="160" w:line="256" w:lineRule="auto"/>
              <w:rPr>
                <w:rFonts w:ascii="Times New Roman" w:hAnsi="Times New Roman" w:cs="Times New Roman"/>
                <w:b/>
                <w:bCs/>
                <w:sz w:val="24"/>
                <w:szCs w:val="24"/>
              </w:rPr>
            </w:pPr>
            <w:r>
              <w:rPr>
                <w:rFonts w:ascii="Times New Roman" w:hAnsi="Times New Roman" w:cs="Times New Roman"/>
                <w:b/>
                <w:bCs/>
                <w:sz w:val="24"/>
                <w:szCs w:val="24"/>
              </w:rPr>
              <w:t>p-value</w:t>
            </w:r>
          </w:p>
        </w:tc>
      </w:tr>
      <w:tr w:rsidR="004A5AFD" w14:paraId="157E4BBC" w14:textId="77777777" w:rsidTr="004A5AFD">
        <w:tc>
          <w:tcPr>
            <w:tcW w:w="0" w:type="auto"/>
            <w:vMerge/>
            <w:tcBorders>
              <w:top w:val="single" w:sz="4" w:space="0" w:color="auto"/>
              <w:left w:val="nil"/>
              <w:bottom w:val="single" w:sz="4" w:space="0" w:color="auto"/>
              <w:right w:val="nil"/>
            </w:tcBorders>
            <w:vAlign w:val="center"/>
            <w:hideMark/>
          </w:tcPr>
          <w:p w14:paraId="475C031D" w14:textId="77777777" w:rsidR="004A5AFD" w:rsidRDefault="004A5AFD">
            <w:pPr>
              <w:rPr>
                <w:rFonts w:ascii="Times New Roman" w:hAnsi="Times New Roman" w:cs="Times New Roman"/>
                <w:b/>
                <w:bCs/>
                <w:sz w:val="24"/>
                <w:szCs w:val="24"/>
              </w:rPr>
            </w:pPr>
          </w:p>
        </w:tc>
        <w:tc>
          <w:tcPr>
            <w:tcW w:w="2155" w:type="dxa"/>
            <w:tcBorders>
              <w:top w:val="single" w:sz="4" w:space="0" w:color="auto"/>
              <w:left w:val="nil"/>
              <w:bottom w:val="single" w:sz="4" w:space="0" w:color="auto"/>
              <w:right w:val="nil"/>
            </w:tcBorders>
            <w:hideMark/>
          </w:tcPr>
          <w:p w14:paraId="2FF045DB" w14:textId="77777777" w:rsidR="004A5AFD" w:rsidRDefault="004A5AFD">
            <w:pPr>
              <w:spacing w:after="160" w:line="256" w:lineRule="auto"/>
              <w:jc w:val="center"/>
              <w:rPr>
                <w:rFonts w:ascii="Times New Roman" w:hAnsi="Times New Roman" w:cs="Times New Roman"/>
                <w:b/>
                <w:bCs/>
                <w:sz w:val="24"/>
                <w:szCs w:val="24"/>
              </w:rPr>
            </w:pPr>
            <w:r>
              <w:rPr>
                <w:rFonts w:ascii="Times New Roman" w:hAnsi="Times New Roman" w:cs="Times New Roman"/>
                <w:b/>
                <w:bCs/>
                <w:sz w:val="24"/>
                <w:szCs w:val="24"/>
              </w:rPr>
              <w:t>Mean</w:t>
            </w:r>
            <w:r>
              <w:rPr>
                <w:rFonts w:asciiTheme="minorEastAsia" w:hAnsiTheme="minorEastAsia" w:cstheme="minorEastAsia"/>
                <w:b/>
                <w:bCs/>
                <w:sz w:val="24"/>
                <w:szCs w:val="24"/>
              </w:rPr>
              <w:t>±</w:t>
            </w:r>
            <w:r>
              <w:rPr>
                <w:rFonts w:ascii="Times New Roman" w:hAnsi="Times New Roman" w:cs="Times New Roman"/>
                <w:b/>
                <w:bCs/>
                <w:sz w:val="24"/>
                <w:szCs w:val="24"/>
              </w:rPr>
              <w:t>SD</w:t>
            </w:r>
          </w:p>
        </w:tc>
        <w:tc>
          <w:tcPr>
            <w:tcW w:w="1976" w:type="dxa"/>
            <w:tcBorders>
              <w:top w:val="single" w:sz="4" w:space="0" w:color="auto"/>
              <w:left w:val="nil"/>
              <w:bottom w:val="single" w:sz="4" w:space="0" w:color="auto"/>
              <w:right w:val="nil"/>
            </w:tcBorders>
            <w:hideMark/>
          </w:tcPr>
          <w:p w14:paraId="2FB49FA0" w14:textId="77777777" w:rsidR="004A5AFD" w:rsidRDefault="004A5AFD">
            <w:pPr>
              <w:spacing w:after="160" w:line="256" w:lineRule="auto"/>
              <w:jc w:val="center"/>
              <w:rPr>
                <w:rFonts w:ascii="Times New Roman" w:hAnsi="Times New Roman" w:cs="Times New Roman"/>
                <w:b/>
                <w:bCs/>
                <w:sz w:val="24"/>
                <w:szCs w:val="24"/>
              </w:rPr>
            </w:pPr>
            <w:r>
              <w:rPr>
                <w:rFonts w:ascii="Times New Roman" w:hAnsi="Times New Roman" w:cs="Times New Roman"/>
                <w:b/>
                <w:bCs/>
                <w:sz w:val="24"/>
                <w:szCs w:val="24"/>
              </w:rPr>
              <w:t>Mean</w:t>
            </w:r>
            <w:r>
              <w:rPr>
                <w:rFonts w:asciiTheme="minorEastAsia" w:hAnsiTheme="minorEastAsia" w:cstheme="minorEastAsia"/>
                <w:b/>
                <w:bCs/>
                <w:sz w:val="24"/>
                <w:szCs w:val="24"/>
              </w:rPr>
              <w:t>±</w:t>
            </w:r>
            <w:r>
              <w:rPr>
                <w:rFonts w:ascii="Times New Roman" w:hAnsi="Times New Roman" w:cs="Times New Roman"/>
                <w:b/>
                <w:bCs/>
                <w:sz w:val="24"/>
                <w:szCs w:val="24"/>
              </w:rPr>
              <w:t>SD</w:t>
            </w:r>
          </w:p>
        </w:tc>
        <w:tc>
          <w:tcPr>
            <w:tcW w:w="0" w:type="auto"/>
            <w:vMerge/>
            <w:tcBorders>
              <w:top w:val="single" w:sz="4" w:space="0" w:color="auto"/>
              <w:left w:val="nil"/>
              <w:bottom w:val="single" w:sz="4" w:space="0" w:color="auto"/>
              <w:right w:val="nil"/>
            </w:tcBorders>
            <w:vAlign w:val="center"/>
            <w:hideMark/>
          </w:tcPr>
          <w:p w14:paraId="3F5C9863" w14:textId="77777777" w:rsidR="004A5AFD" w:rsidRDefault="004A5AFD">
            <w:pPr>
              <w:rPr>
                <w:rFonts w:ascii="Times New Roman" w:hAnsi="Times New Roman" w:cs="Times New Roman"/>
                <w:b/>
                <w:bCs/>
                <w:sz w:val="24"/>
                <w:szCs w:val="24"/>
              </w:rPr>
            </w:pPr>
          </w:p>
        </w:tc>
        <w:tc>
          <w:tcPr>
            <w:tcW w:w="0" w:type="auto"/>
            <w:vMerge/>
            <w:tcBorders>
              <w:top w:val="single" w:sz="4" w:space="0" w:color="auto"/>
              <w:left w:val="nil"/>
              <w:bottom w:val="single" w:sz="4" w:space="0" w:color="auto"/>
              <w:right w:val="nil"/>
            </w:tcBorders>
            <w:vAlign w:val="center"/>
            <w:hideMark/>
          </w:tcPr>
          <w:p w14:paraId="5E4EF0F2" w14:textId="77777777" w:rsidR="004A5AFD" w:rsidRDefault="004A5AFD">
            <w:pPr>
              <w:rPr>
                <w:rFonts w:ascii="Times New Roman" w:hAnsi="Times New Roman" w:cs="Times New Roman"/>
                <w:b/>
                <w:bCs/>
                <w:sz w:val="24"/>
                <w:szCs w:val="24"/>
              </w:rPr>
            </w:pPr>
          </w:p>
        </w:tc>
      </w:tr>
      <w:tr w:rsidR="004A5AFD" w14:paraId="1A6A2C00" w14:textId="77777777" w:rsidTr="004A5AFD">
        <w:tc>
          <w:tcPr>
            <w:tcW w:w="2779" w:type="dxa"/>
            <w:tcBorders>
              <w:top w:val="single" w:sz="4" w:space="0" w:color="auto"/>
              <w:left w:val="nil"/>
              <w:bottom w:val="nil"/>
              <w:right w:val="nil"/>
            </w:tcBorders>
            <w:hideMark/>
          </w:tcPr>
          <w:p w14:paraId="292C1A47" w14:textId="77777777" w:rsidR="004A5AFD" w:rsidRDefault="004A5AFD">
            <w:pPr>
              <w:spacing w:after="160" w:line="256" w:lineRule="auto"/>
              <w:rPr>
                <w:rFonts w:ascii="Times New Roman" w:hAnsi="Times New Roman" w:cs="Times New Roman"/>
                <w:b/>
                <w:bCs/>
                <w:sz w:val="24"/>
                <w:szCs w:val="24"/>
              </w:rPr>
            </w:pPr>
            <w:r>
              <w:rPr>
                <w:rFonts w:ascii="Times New Roman" w:hAnsi="Times New Roman" w:cs="Times New Roman"/>
                <w:b/>
                <w:bCs/>
                <w:sz w:val="24"/>
                <w:szCs w:val="24"/>
              </w:rPr>
              <w:t>AMH (ng/ml)</w:t>
            </w:r>
          </w:p>
        </w:tc>
        <w:tc>
          <w:tcPr>
            <w:tcW w:w="2155" w:type="dxa"/>
            <w:tcBorders>
              <w:top w:val="single" w:sz="4" w:space="0" w:color="auto"/>
              <w:left w:val="nil"/>
              <w:bottom w:val="nil"/>
              <w:right w:val="nil"/>
            </w:tcBorders>
            <w:hideMark/>
          </w:tcPr>
          <w:p w14:paraId="1BF8EB5D" w14:textId="77777777" w:rsidR="004A5AFD" w:rsidRDefault="004A5AFD">
            <w:pPr>
              <w:spacing w:after="160" w:line="256" w:lineRule="auto"/>
              <w:jc w:val="center"/>
              <w:rPr>
                <w:rFonts w:ascii="Times New Roman" w:hAnsi="Times New Roman" w:cs="Times New Roman"/>
                <w:sz w:val="24"/>
                <w:szCs w:val="24"/>
              </w:rPr>
            </w:pPr>
            <w:r>
              <w:rPr>
                <w:rFonts w:ascii="Times New Roman" w:hAnsi="Times New Roman" w:cs="Times New Roman"/>
                <w:sz w:val="24"/>
                <w:szCs w:val="24"/>
              </w:rPr>
              <w:t>2.07</w:t>
            </w:r>
            <w:r>
              <w:rPr>
                <w:rFonts w:asciiTheme="minorEastAsia" w:hAnsiTheme="minorEastAsia" w:cstheme="minorEastAsia"/>
                <w:sz w:val="24"/>
                <w:szCs w:val="24"/>
              </w:rPr>
              <w:t>±</w:t>
            </w:r>
            <w:r>
              <w:rPr>
                <w:rFonts w:asciiTheme="minorEastAsia" w:hAnsiTheme="minorEastAsia" w:cstheme="minorEastAsia" w:hint="eastAsia"/>
                <w:sz w:val="24"/>
                <w:szCs w:val="24"/>
              </w:rPr>
              <w:t>4.6</w:t>
            </w:r>
          </w:p>
        </w:tc>
        <w:tc>
          <w:tcPr>
            <w:tcW w:w="1976" w:type="dxa"/>
            <w:tcBorders>
              <w:top w:val="single" w:sz="4" w:space="0" w:color="auto"/>
              <w:left w:val="nil"/>
              <w:bottom w:val="nil"/>
              <w:right w:val="nil"/>
            </w:tcBorders>
            <w:hideMark/>
          </w:tcPr>
          <w:p w14:paraId="376A12E5" w14:textId="77777777" w:rsidR="004A5AFD" w:rsidRDefault="004A5AFD">
            <w:pPr>
              <w:spacing w:after="160" w:line="256" w:lineRule="auto"/>
              <w:jc w:val="center"/>
              <w:rPr>
                <w:rFonts w:ascii="Times New Roman" w:hAnsi="Times New Roman" w:cs="Times New Roman"/>
                <w:sz w:val="24"/>
                <w:szCs w:val="24"/>
              </w:rPr>
            </w:pPr>
            <w:bookmarkStart w:id="3" w:name="_Hlk126173471"/>
            <w:r>
              <w:rPr>
                <w:rFonts w:ascii="Times New Roman" w:hAnsi="Times New Roman" w:cs="Times New Roman"/>
                <w:sz w:val="24"/>
                <w:szCs w:val="24"/>
              </w:rPr>
              <w:t>3.80</w:t>
            </w:r>
            <w:r>
              <w:rPr>
                <w:rFonts w:asciiTheme="minorEastAsia" w:hAnsiTheme="minorEastAsia" w:cstheme="minorEastAsia"/>
                <w:sz w:val="24"/>
                <w:szCs w:val="24"/>
              </w:rPr>
              <w:t>±</w:t>
            </w:r>
            <w:r>
              <w:rPr>
                <w:rFonts w:asciiTheme="minorEastAsia" w:hAnsiTheme="minorEastAsia" w:cstheme="minorEastAsia" w:hint="eastAsia"/>
                <w:sz w:val="24"/>
                <w:szCs w:val="24"/>
              </w:rPr>
              <w:t>5.8</w:t>
            </w:r>
            <w:bookmarkEnd w:id="3"/>
          </w:p>
        </w:tc>
        <w:tc>
          <w:tcPr>
            <w:tcW w:w="1437" w:type="dxa"/>
            <w:tcBorders>
              <w:top w:val="single" w:sz="4" w:space="0" w:color="auto"/>
              <w:left w:val="nil"/>
              <w:bottom w:val="nil"/>
              <w:right w:val="nil"/>
            </w:tcBorders>
            <w:hideMark/>
          </w:tcPr>
          <w:p w14:paraId="7B63B94C" w14:textId="77777777" w:rsidR="004A5AFD" w:rsidRDefault="004A5AFD">
            <w:pPr>
              <w:spacing w:after="160" w:line="256" w:lineRule="auto"/>
              <w:rPr>
                <w:rFonts w:ascii="Times New Roman" w:hAnsi="Times New Roman" w:cs="Times New Roman"/>
                <w:sz w:val="24"/>
                <w:szCs w:val="24"/>
              </w:rPr>
            </w:pPr>
            <w:r>
              <w:rPr>
                <w:rFonts w:ascii="Times New Roman" w:hAnsi="Times New Roman" w:cs="Times New Roman"/>
                <w:sz w:val="24"/>
                <w:szCs w:val="24"/>
              </w:rPr>
              <w:t>-5.810</w:t>
            </w:r>
          </w:p>
        </w:tc>
        <w:tc>
          <w:tcPr>
            <w:tcW w:w="1013" w:type="dxa"/>
            <w:tcBorders>
              <w:top w:val="single" w:sz="4" w:space="0" w:color="auto"/>
              <w:left w:val="nil"/>
              <w:bottom w:val="nil"/>
              <w:right w:val="nil"/>
            </w:tcBorders>
            <w:hideMark/>
          </w:tcPr>
          <w:p w14:paraId="3BC89E35" w14:textId="77777777" w:rsidR="004A5AFD" w:rsidRDefault="004A5AFD">
            <w:pPr>
              <w:spacing w:after="160" w:line="256" w:lineRule="auto"/>
              <w:rPr>
                <w:rFonts w:ascii="Times New Roman" w:hAnsi="Times New Roman" w:cs="Times New Roman"/>
                <w:b/>
                <w:bCs/>
                <w:sz w:val="24"/>
                <w:szCs w:val="24"/>
              </w:rPr>
            </w:pPr>
            <w:r>
              <w:rPr>
                <w:rFonts w:ascii="Times New Roman" w:hAnsi="Times New Roman" w:cs="Times New Roman"/>
                <w:b/>
                <w:bCs/>
                <w:sz w:val="24"/>
                <w:szCs w:val="24"/>
              </w:rPr>
              <w:t>&lt;0.001*</w:t>
            </w:r>
          </w:p>
        </w:tc>
      </w:tr>
      <w:tr w:rsidR="004A5AFD" w14:paraId="7B569949" w14:textId="77777777" w:rsidTr="004A5AFD">
        <w:tc>
          <w:tcPr>
            <w:tcW w:w="2779" w:type="dxa"/>
            <w:tcBorders>
              <w:top w:val="nil"/>
              <w:left w:val="nil"/>
              <w:bottom w:val="nil"/>
              <w:right w:val="nil"/>
            </w:tcBorders>
            <w:hideMark/>
          </w:tcPr>
          <w:p w14:paraId="7626C02F" w14:textId="77777777" w:rsidR="004A5AFD" w:rsidRDefault="004A5AFD">
            <w:pPr>
              <w:spacing w:after="160" w:line="256" w:lineRule="auto"/>
              <w:rPr>
                <w:rFonts w:ascii="Times New Roman" w:hAnsi="Times New Roman" w:cs="Times New Roman"/>
                <w:b/>
                <w:bCs/>
                <w:sz w:val="24"/>
                <w:szCs w:val="24"/>
              </w:rPr>
            </w:pPr>
            <w:r>
              <w:rPr>
                <w:rFonts w:ascii="Times New Roman" w:hAnsi="Times New Roman" w:cs="Times New Roman"/>
                <w:b/>
                <w:bCs/>
                <w:sz w:val="24"/>
                <w:szCs w:val="24"/>
              </w:rPr>
              <w:t>FSH (</w:t>
            </w:r>
            <w:proofErr w:type="spellStart"/>
            <w:r>
              <w:rPr>
                <w:rFonts w:ascii="Times New Roman" w:hAnsi="Times New Roman" w:cs="Times New Roman"/>
                <w:b/>
                <w:bCs/>
                <w:sz w:val="24"/>
                <w:szCs w:val="24"/>
              </w:rPr>
              <w:t>mlU</w:t>
            </w:r>
            <w:proofErr w:type="spellEnd"/>
            <w:r>
              <w:rPr>
                <w:rFonts w:ascii="Times New Roman" w:hAnsi="Times New Roman" w:cs="Times New Roman"/>
                <w:b/>
                <w:bCs/>
                <w:sz w:val="24"/>
                <w:szCs w:val="24"/>
              </w:rPr>
              <w:t>/ml)</w:t>
            </w:r>
          </w:p>
        </w:tc>
        <w:tc>
          <w:tcPr>
            <w:tcW w:w="2155" w:type="dxa"/>
            <w:tcBorders>
              <w:top w:val="nil"/>
              <w:left w:val="nil"/>
              <w:bottom w:val="nil"/>
              <w:right w:val="nil"/>
            </w:tcBorders>
            <w:hideMark/>
          </w:tcPr>
          <w:p w14:paraId="47A7B027" w14:textId="77777777" w:rsidR="004A5AFD" w:rsidRDefault="004A5AFD">
            <w:pPr>
              <w:spacing w:after="160" w:line="256" w:lineRule="auto"/>
              <w:jc w:val="center"/>
              <w:rPr>
                <w:rFonts w:ascii="Times New Roman" w:hAnsi="Times New Roman" w:cs="Times New Roman"/>
                <w:sz w:val="24"/>
                <w:szCs w:val="24"/>
              </w:rPr>
            </w:pPr>
            <w:bookmarkStart w:id="4" w:name="_Hlk126173586"/>
            <w:r>
              <w:rPr>
                <w:rFonts w:ascii="Times New Roman" w:hAnsi="Times New Roman" w:cs="Times New Roman"/>
                <w:sz w:val="24"/>
                <w:szCs w:val="24"/>
              </w:rPr>
              <w:t>12.36</w:t>
            </w:r>
            <w:r>
              <w:rPr>
                <w:rFonts w:asciiTheme="minorEastAsia" w:hAnsiTheme="minorEastAsia" w:cstheme="minorEastAsia"/>
                <w:sz w:val="24"/>
                <w:szCs w:val="24"/>
              </w:rPr>
              <w:t>±</w:t>
            </w:r>
            <w:r>
              <w:rPr>
                <w:rFonts w:asciiTheme="minorEastAsia" w:hAnsiTheme="minorEastAsia" w:cstheme="minorEastAsia" w:hint="eastAsia"/>
                <w:sz w:val="24"/>
                <w:szCs w:val="24"/>
              </w:rPr>
              <w:t>13.4</w:t>
            </w:r>
            <w:bookmarkEnd w:id="4"/>
          </w:p>
        </w:tc>
        <w:tc>
          <w:tcPr>
            <w:tcW w:w="1976" w:type="dxa"/>
            <w:tcBorders>
              <w:top w:val="nil"/>
              <w:left w:val="nil"/>
              <w:bottom w:val="nil"/>
              <w:right w:val="nil"/>
            </w:tcBorders>
            <w:hideMark/>
          </w:tcPr>
          <w:p w14:paraId="071DA35C" w14:textId="77777777" w:rsidR="004A5AFD" w:rsidRDefault="004A5AFD">
            <w:pPr>
              <w:spacing w:after="160" w:line="256" w:lineRule="auto"/>
              <w:jc w:val="center"/>
              <w:rPr>
                <w:rFonts w:ascii="Times New Roman" w:hAnsi="Times New Roman" w:cs="Times New Roman"/>
                <w:sz w:val="24"/>
                <w:szCs w:val="24"/>
              </w:rPr>
            </w:pPr>
            <w:bookmarkStart w:id="5" w:name="_Hlk126173563"/>
            <w:r>
              <w:rPr>
                <w:rFonts w:ascii="Times New Roman" w:hAnsi="Times New Roman" w:cs="Times New Roman"/>
                <w:sz w:val="24"/>
                <w:szCs w:val="24"/>
              </w:rPr>
              <w:t>7.45</w:t>
            </w:r>
            <w:r>
              <w:rPr>
                <w:rFonts w:asciiTheme="minorEastAsia" w:hAnsiTheme="minorEastAsia" w:cstheme="minorEastAsia"/>
                <w:sz w:val="24"/>
                <w:szCs w:val="24"/>
              </w:rPr>
              <w:t>±</w:t>
            </w:r>
            <w:r>
              <w:rPr>
                <w:rFonts w:asciiTheme="minorEastAsia" w:hAnsiTheme="minorEastAsia" w:cstheme="minorEastAsia" w:hint="eastAsia"/>
                <w:sz w:val="24"/>
                <w:szCs w:val="24"/>
              </w:rPr>
              <w:t>2.5</w:t>
            </w:r>
            <w:bookmarkEnd w:id="5"/>
          </w:p>
        </w:tc>
        <w:tc>
          <w:tcPr>
            <w:tcW w:w="1437" w:type="dxa"/>
            <w:tcBorders>
              <w:top w:val="nil"/>
              <w:left w:val="nil"/>
              <w:bottom w:val="nil"/>
              <w:right w:val="nil"/>
            </w:tcBorders>
            <w:hideMark/>
          </w:tcPr>
          <w:p w14:paraId="1710B613" w14:textId="77777777" w:rsidR="004A5AFD" w:rsidRDefault="004A5AFD">
            <w:pPr>
              <w:spacing w:after="160" w:line="256" w:lineRule="auto"/>
              <w:rPr>
                <w:rFonts w:ascii="Times New Roman" w:hAnsi="Times New Roman" w:cs="Times New Roman"/>
                <w:sz w:val="24"/>
                <w:szCs w:val="24"/>
              </w:rPr>
            </w:pPr>
            <w:r>
              <w:rPr>
                <w:rFonts w:ascii="Times New Roman" w:hAnsi="Times New Roman" w:cs="Times New Roman"/>
                <w:sz w:val="24"/>
                <w:szCs w:val="24"/>
              </w:rPr>
              <w:t>2.905</w:t>
            </w:r>
          </w:p>
        </w:tc>
        <w:tc>
          <w:tcPr>
            <w:tcW w:w="1013" w:type="dxa"/>
            <w:tcBorders>
              <w:top w:val="nil"/>
              <w:left w:val="nil"/>
              <w:bottom w:val="nil"/>
              <w:right w:val="nil"/>
            </w:tcBorders>
            <w:hideMark/>
          </w:tcPr>
          <w:p w14:paraId="7725AC79" w14:textId="77777777" w:rsidR="004A5AFD" w:rsidRDefault="004A5AFD">
            <w:pPr>
              <w:spacing w:after="160" w:line="256" w:lineRule="auto"/>
              <w:rPr>
                <w:rFonts w:ascii="Times New Roman" w:hAnsi="Times New Roman" w:cs="Times New Roman"/>
                <w:b/>
                <w:bCs/>
                <w:sz w:val="24"/>
                <w:szCs w:val="24"/>
              </w:rPr>
            </w:pPr>
            <w:r>
              <w:rPr>
                <w:rFonts w:ascii="Times New Roman" w:hAnsi="Times New Roman" w:cs="Times New Roman"/>
                <w:b/>
                <w:bCs/>
                <w:sz w:val="24"/>
                <w:szCs w:val="24"/>
              </w:rPr>
              <w:t>0.004*</w:t>
            </w:r>
          </w:p>
        </w:tc>
      </w:tr>
      <w:tr w:rsidR="004A5AFD" w14:paraId="22CC312D" w14:textId="77777777" w:rsidTr="004A5AFD">
        <w:tc>
          <w:tcPr>
            <w:tcW w:w="2779" w:type="dxa"/>
            <w:tcBorders>
              <w:top w:val="nil"/>
              <w:left w:val="nil"/>
              <w:bottom w:val="nil"/>
              <w:right w:val="nil"/>
            </w:tcBorders>
            <w:hideMark/>
          </w:tcPr>
          <w:p w14:paraId="4443851F" w14:textId="77777777" w:rsidR="004A5AFD" w:rsidRDefault="004A5AFD">
            <w:pPr>
              <w:spacing w:after="160" w:line="256" w:lineRule="auto"/>
              <w:rPr>
                <w:rFonts w:ascii="Times New Roman" w:hAnsi="Times New Roman" w:cs="Times New Roman"/>
                <w:b/>
                <w:bCs/>
                <w:sz w:val="24"/>
                <w:szCs w:val="24"/>
              </w:rPr>
            </w:pPr>
            <w:r>
              <w:rPr>
                <w:rFonts w:ascii="Times New Roman" w:hAnsi="Times New Roman" w:cs="Times New Roman"/>
                <w:b/>
                <w:bCs/>
                <w:sz w:val="24"/>
                <w:szCs w:val="24"/>
              </w:rPr>
              <w:t>LH  (</w:t>
            </w:r>
            <w:proofErr w:type="spellStart"/>
            <w:r>
              <w:rPr>
                <w:rFonts w:ascii="Times New Roman" w:hAnsi="Times New Roman" w:cs="Times New Roman"/>
                <w:b/>
                <w:bCs/>
                <w:sz w:val="24"/>
                <w:szCs w:val="24"/>
              </w:rPr>
              <w:t>mlU</w:t>
            </w:r>
            <w:proofErr w:type="spellEnd"/>
            <w:r>
              <w:rPr>
                <w:rFonts w:ascii="Times New Roman" w:hAnsi="Times New Roman" w:cs="Times New Roman"/>
                <w:b/>
                <w:bCs/>
                <w:sz w:val="24"/>
                <w:szCs w:val="24"/>
              </w:rPr>
              <w:t>/ml)</w:t>
            </w:r>
          </w:p>
        </w:tc>
        <w:tc>
          <w:tcPr>
            <w:tcW w:w="2155" w:type="dxa"/>
            <w:tcBorders>
              <w:top w:val="nil"/>
              <w:left w:val="nil"/>
              <w:bottom w:val="nil"/>
              <w:right w:val="nil"/>
            </w:tcBorders>
            <w:hideMark/>
          </w:tcPr>
          <w:p w14:paraId="6D56DCFC" w14:textId="77777777" w:rsidR="004A5AFD" w:rsidRDefault="004A5AFD">
            <w:pPr>
              <w:spacing w:after="160" w:line="256" w:lineRule="auto"/>
              <w:jc w:val="center"/>
              <w:rPr>
                <w:rFonts w:ascii="Times New Roman" w:hAnsi="Times New Roman" w:cs="Times New Roman"/>
                <w:sz w:val="24"/>
                <w:szCs w:val="24"/>
              </w:rPr>
            </w:pPr>
            <w:bookmarkStart w:id="6" w:name="_Hlk126173649"/>
            <w:r>
              <w:rPr>
                <w:rFonts w:ascii="Times New Roman" w:hAnsi="Times New Roman" w:cs="Times New Roman"/>
                <w:sz w:val="24"/>
                <w:szCs w:val="24"/>
              </w:rPr>
              <w:t>13.93</w:t>
            </w:r>
            <w:r>
              <w:rPr>
                <w:rFonts w:asciiTheme="minorEastAsia" w:hAnsiTheme="minorEastAsia" w:cstheme="minorEastAsia"/>
                <w:sz w:val="24"/>
                <w:szCs w:val="24"/>
              </w:rPr>
              <w:t>±</w:t>
            </w:r>
            <w:r>
              <w:rPr>
                <w:rFonts w:asciiTheme="minorEastAsia" w:hAnsiTheme="minorEastAsia" w:cstheme="minorEastAsia" w:hint="eastAsia"/>
                <w:sz w:val="24"/>
                <w:szCs w:val="24"/>
              </w:rPr>
              <w:t>12.6</w:t>
            </w:r>
            <w:bookmarkEnd w:id="6"/>
          </w:p>
        </w:tc>
        <w:tc>
          <w:tcPr>
            <w:tcW w:w="1976" w:type="dxa"/>
            <w:tcBorders>
              <w:top w:val="nil"/>
              <w:left w:val="nil"/>
              <w:bottom w:val="nil"/>
              <w:right w:val="nil"/>
            </w:tcBorders>
            <w:hideMark/>
          </w:tcPr>
          <w:p w14:paraId="3868B0E0" w14:textId="77777777" w:rsidR="004A5AFD" w:rsidRDefault="004A5AFD">
            <w:pPr>
              <w:spacing w:after="160" w:line="256" w:lineRule="auto"/>
              <w:jc w:val="center"/>
              <w:rPr>
                <w:rFonts w:ascii="Times New Roman" w:hAnsi="Times New Roman" w:cs="Times New Roman"/>
                <w:sz w:val="24"/>
                <w:szCs w:val="24"/>
              </w:rPr>
            </w:pPr>
            <w:bookmarkStart w:id="7" w:name="_Hlk126173621"/>
            <w:r>
              <w:rPr>
                <w:rFonts w:ascii="Times New Roman" w:hAnsi="Times New Roman" w:cs="Times New Roman"/>
                <w:sz w:val="24"/>
                <w:szCs w:val="24"/>
              </w:rPr>
              <w:t>8.73</w:t>
            </w:r>
            <w:r>
              <w:rPr>
                <w:rFonts w:asciiTheme="minorEastAsia" w:hAnsiTheme="minorEastAsia" w:cstheme="minorEastAsia"/>
                <w:sz w:val="24"/>
                <w:szCs w:val="24"/>
              </w:rPr>
              <w:t>±</w:t>
            </w:r>
            <w:r>
              <w:rPr>
                <w:rFonts w:asciiTheme="minorEastAsia" w:hAnsiTheme="minorEastAsia" w:cstheme="minorEastAsia" w:hint="eastAsia"/>
                <w:sz w:val="24"/>
                <w:szCs w:val="24"/>
              </w:rPr>
              <w:t>2.3</w:t>
            </w:r>
            <w:bookmarkEnd w:id="7"/>
          </w:p>
        </w:tc>
        <w:tc>
          <w:tcPr>
            <w:tcW w:w="1437" w:type="dxa"/>
            <w:tcBorders>
              <w:top w:val="nil"/>
              <w:left w:val="nil"/>
              <w:bottom w:val="nil"/>
              <w:right w:val="nil"/>
            </w:tcBorders>
            <w:hideMark/>
          </w:tcPr>
          <w:p w14:paraId="235648A2" w14:textId="77777777" w:rsidR="004A5AFD" w:rsidRDefault="004A5AFD">
            <w:pPr>
              <w:spacing w:after="160" w:line="256" w:lineRule="auto"/>
              <w:rPr>
                <w:rFonts w:ascii="Times New Roman" w:hAnsi="Times New Roman" w:cs="Times New Roman"/>
                <w:sz w:val="24"/>
                <w:szCs w:val="24"/>
              </w:rPr>
            </w:pPr>
            <w:r>
              <w:rPr>
                <w:rFonts w:ascii="Times New Roman" w:hAnsi="Times New Roman" w:cs="Times New Roman"/>
                <w:sz w:val="24"/>
                <w:szCs w:val="24"/>
              </w:rPr>
              <w:t>3.260</w:t>
            </w:r>
          </w:p>
        </w:tc>
        <w:tc>
          <w:tcPr>
            <w:tcW w:w="1013" w:type="dxa"/>
            <w:tcBorders>
              <w:top w:val="nil"/>
              <w:left w:val="nil"/>
              <w:bottom w:val="nil"/>
              <w:right w:val="nil"/>
            </w:tcBorders>
            <w:hideMark/>
          </w:tcPr>
          <w:p w14:paraId="402D3EBA" w14:textId="77777777" w:rsidR="004A5AFD" w:rsidRDefault="004A5AFD">
            <w:pPr>
              <w:spacing w:after="160" w:line="256" w:lineRule="auto"/>
              <w:rPr>
                <w:rFonts w:ascii="Times New Roman" w:hAnsi="Times New Roman" w:cs="Times New Roman"/>
                <w:b/>
                <w:bCs/>
                <w:sz w:val="24"/>
                <w:szCs w:val="24"/>
              </w:rPr>
            </w:pPr>
            <w:r>
              <w:rPr>
                <w:rFonts w:ascii="Times New Roman" w:hAnsi="Times New Roman" w:cs="Times New Roman"/>
                <w:b/>
                <w:bCs/>
                <w:sz w:val="24"/>
                <w:szCs w:val="24"/>
              </w:rPr>
              <w:t>0.001*</w:t>
            </w:r>
          </w:p>
        </w:tc>
      </w:tr>
      <w:tr w:rsidR="004A5AFD" w14:paraId="25FDBFF0" w14:textId="77777777" w:rsidTr="004A5AFD">
        <w:tc>
          <w:tcPr>
            <w:tcW w:w="2779" w:type="dxa"/>
            <w:tcBorders>
              <w:top w:val="nil"/>
              <w:left w:val="nil"/>
              <w:bottom w:val="nil"/>
              <w:right w:val="nil"/>
            </w:tcBorders>
            <w:hideMark/>
          </w:tcPr>
          <w:p w14:paraId="0E874964" w14:textId="77777777" w:rsidR="004A5AFD" w:rsidRDefault="004A5AFD">
            <w:pPr>
              <w:spacing w:after="160" w:line="256" w:lineRule="auto"/>
              <w:rPr>
                <w:rFonts w:ascii="Times New Roman" w:hAnsi="Times New Roman" w:cs="Times New Roman"/>
                <w:b/>
                <w:bCs/>
                <w:sz w:val="24"/>
                <w:szCs w:val="24"/>
              </w:rPr>
            </w:pPr>
            <w:r>
              <w:rPr>
                <w:rFonts w:ascii="Times New Roman" w:hAnsi="Times New Roman" w:cs="Times New Roman"/>
                <w:b/>
                <w:bCs/>
                <w:sz w:val="24"/>
                <w:szCs w:val="24"/>
              </w:rPr>
              <w:t>Estradiol (</w:t>
            </w:r>
            <w:proofErr w:type="spellStart"/>
            <w:r>
              <w:rPr>
                <w:rFonts w:ascii="Times New Roman" w:hAnsi="Times New Roman" w:cs="Times New Roman"/>
                <w:b/>
                <w:bCs/>
                <w:sz w:val="24"/>
                <w:szCs w:val="24"/>
              </w:rPr>
              <w:t>pg</w:t>
            </w:r>
            <w:proofErr w:type="spellEnd"/>
            <w:r>
              <w:rPr>
                <w:rFonts w:ascii="Times New Roman" w:hAnsi="Times New Roman" w:cs="Times New Roman"/>
                <w:b/>
                <w:bCs/>
                <w:sz w:val="24"/>
                <w:szCs w:val="24"/>
              </w:rPr>
              <w:t>/ml)</w:t>
            </w:r>
          </w:p>
        </w:tc>
        <w:tc>
          <w:tcPr>
            <w:tcW w:w="2155" w:type="dxa"/>
            <w:tcBorders>
              <w:top w:val="nil"/>
              <w:left w:val="nil"/>
              <w:bottom w:val="nil"/>
              <w:right w:val="nil"/>
            </w:tcBorders>
            <w:hideMark/>
          </w:tcPr>
          <w:p w14:paraId="77174416" w14:textId="77777777" w:rsidR="004A5AFD" w:rsidRDefault="004A5AFD">
            <w:pPr>
              <w:spacing w:after="160" w:line="256" w:lineRule="auto"/>
              <w:jc w:val="center"/>
              <w:rPr>
                <w:rFonts w:ascii="Times New Roman" w:hAnsi="Times New Roman" w:cs="Times New Roman"/>
                <w:sz w:val="24"/>
                <w:szCs w:val="24"/>
              </w:rPr>
            </w:pPr>
            <w:bookmarkStart w:id="8" w:name="_Hlk126173747"/>
            <w:r>
              <w:rPr>
                <w:rFonts w:ascii="Times New Roman" w:hAnsi="Times New Roman" w:cs="Times New Roman"/>
                <w:sz w:val="24"/>
                <w:szCs w:val="24"/>
              </w:rPr>
              <w:t>73.05</w:t>
            </w:r>
            <w:r>
              <w:rPr>
                <w:rFonts w:asciiTheme="minorEastAsia" w:hAnsiTheme="minorEastAsia" w:cstheme="minorEastAsia"/>
                <w:sz w:val="24"/>
                <w:szCs w:val="24"/>
              </w:rPr>
              <w:t>±</w:t>
            </w:r>
            <w:r>
              <w:rPr>
                <w:rFonts w:asciiTheme="minorEastAsia" w:hAnsiTheme="minorEastAsia" w:cstheme="minorEastAsia" w:hint="eastAsia"/>
                <w:sz w:val="24"/>
                <w:szCs w:val="24"/>
              </w:rPr>
              <w:t>30.7</w:t>
            </w:r>
            <w:bookmarkEnd w:id="8"/>
          </w:p>
        </w:tc>
        <w:tc>
          <w:tcPr>
            <w:tcW w:w="1976" w:type="dxa"/>
            <w:tcBorders>
              <w:top w:val="nil"/>
              <w:left w:val="nil"/>
              <w:bottom w:val="nil"/>
              <w:right w:val="nil"/>
            </w:tcBorders>
            <w:hideMark/>
          </w:tcPr>
          <w:p w14:paraId="529BFA20" w14:textId="77777777" w:rsidR="004A5AFD" w:rsidRDefault="004A5AFD">
            <w:pPr>
              <w:spacing w:after="160" w:line="256" w:lineRule="auto"/>
              <w:jc w:val="center"/>
              <w:rPr>
                <w:rFonts w:ascii="Times New Roman" w:hAnsi="Times New Roman" w:cs="Times New Roman"/>
                <w:sz w:val="24"/>
                <w:szCs w:val="24"/>
              </w:rPr>
            </w:pPr>
            <w:bookmarkStart w:id="9" w:name="_Hlk126173719"/>
            <w:r>
              <w:rPr>
                <w:rFonts w:ascii="Times New Roman" w:hAnsi="Times New Roman" w:cs="Times New Roman"/>
                <w:sz w:val="24"/>
                <w:szCs w:val="24"/>
              </w:rPr>
              <w:t>63.50</w:t>
            </w:r>
            <w:r>
              <w:rPr>
                <w:rFonts w:asciiTheme="minorEastAsia" w:hAnsiTheme="minorEastAsia" w:cstheme="minorEastAsia"/>
                <w:sz w:val="24"/>
                <w:szCs w:val="24"/>
              </w:rPr>
              <w:t>±</w:t>
            </w:r>
            <w:r>
              <w:rPr>
                <w:rFonts w:asciiTheme="minorEastAsia" w:hAnsiTheme="minorEastAsia" w:cstheme="minorEastAsia" w:hint="eastAsia"/>
                <w:sz w:val="24"/>
                <w:szCs w:val="24"/>
              </w:rPr>
              <w:t>16.3</w:t>
            </w:r>
            <w:bookmarkEnd w:id="9"/>
          </w:p>
        </w:tc>
        <w:tc>
          <w:tcPr>
            <w:tcW w:w="1437" w:type="dxa"/>
            <w:tcBorders>
              <w:top w:val="nil"/>
              <w:left w:val="nil"/>
              <w:bottom w:val="nil"/>
              <w:right w:val="nil"/>
            </w:tcBorders>
            <w:hideMark/>
          </w:tcPr>
          <w:p w14:paraId="44D77A76" w14:textId="77777777" w:rsidR="004A5AFD" w:rsidRDefault="004A5AFD">
            <w:pPr>
              <w:spacing w:after="160" w:line="256" w:lineRule="auto"/>
              <w:rPr>
                <w:rFonts w:ascii="Times New Roman" w:hAnsi="Times New Roman" w:cs="Times New Roman"/>
                <w:sz w:val="24"/>
                <w:szCs w:val="24"/>
              </w:rPr>
            </w:pPr>
            <w:r>
              <w:rPr>
                <w:rFonts w:ascii="Times New Roman" w:hAnsi="Times New Roman" w:cs="Times New Roman"/>
                <w:sz w:val="24"/>
                <w:szCs w:val="24"/>
              </w:rPr>
              <w:t>2.212</w:t>
            </w:r>
          </w:p>
        </w:tc>
        <w:tc>
          <w:tcPr>
            <w:tcW w:w="1013" w:type="dxa"/>
            <w:tcBorders>
              <w:top w:val="nil"/>
              <w:left w:val="nil"/>
              <w:bottom w:val="nil"/>
              <w:right w:val="nil"/>
            </w:tcBorders>
            <w:hideMark/>
          </w:tcPr>
          <w:p w14:paraId="1981DCBB" w14:textId="77777777" w:rsidR="004A5AFD" w:rsidRDefault="004A5AFD">
            <w:pPr>
              <w:spacing w:after="160" w:line="256" w:lineRule="auto"/>
              <w:rPr>
                <w:rFonts w:ascii="Times New Roman" w:hAnsi="Times New Roman" w:cs="Times New Roman"/>
                <w:b/>
                <w:bCs/>
                <w:sz w:val="24"/>
                <w:szCs w:val="24"/>
              </w:rPr>
            </w:pPr>
            <w:r>
              <w:rPr>
                <w:rFonts w:ascii="Times New Roman" w:hAnsi="Times New Roman" w:cs="Times New Roman"/>
                <w:b/>
                <w:bCs/>
                <w:sz w:val="24"/>
                <w:szCs w:val="24"/>
              </w:rPr>
              <w:t>0.002*</w:t>
            </w:r>
          </w:p>
        </w:tc>
      </w:tr>
      <w:tr w:rsidR="004A5AFD" w14:paraId="463C362D" w14:textId="77777777" w:rsidTr="004A5AFD">
        <w:tc>
          <w:tcPr>
            <w:tcW w:w="2779" w:type="dxa"/>
            <w:tcBorders>
              <w:top w:val="nil"/>
              <w:left w:val="nil"/>
              <w:bottom w:val="nil"/>
              <w:right w:val="nil"/>
            </w:tcBorders>
            <w:hideMark/>
          </w:tcPr>
          <w:p w14:paraId="12B9110A" w14:textId="77777777" w:rsidR="004A5AFD" w:rsidRDefault="004A5AFD">
            <w:pPr>
              <w:spacing w:after="160" w:line="256" w:lineRule="auto"/>
              <w:rPr>
                <w:rFonts w:ascii="Times New Roman" w:hAnsi="Times New Roman" w:cs="Times New Roman"/>
                <w:b/>
                <w:bCs/>
                <w:sz w:val="24"/>
                <w:szCs w:val="24"/>
              </w:rPr>
            </w:pPr>
            <w:r>
              <w:rPr>
                <w:rFonts w:ascii="Times New Roman" w:hAnsi="Times New Roman" w:cs="Times New Roman"/>
                <w:b/>
                <w:bCs/>
                <w:sz w:val="24"/>
                <w:szCs w:val="24"/>
              </w:rPr>
              <w:t>Progesterone (ng/ml)</w:t>
            </w:r>
          </w:p>
        </w:tc>
        <w:tc>
          <w:tcPr>
            <w:tcW w:w="2155" w:type="dxa"/>
            <w:tcBorders>
              <w:top w:val="nil"/>
              <w:left w:val="nil"/>
              <w:bottom w:val="nil"/>
              <w:right w:val="nil"/>
            </w:tcBorders>
            <w:hideMark/>
          </w:tcPr>
          <w:p w14:paraId="60CF5E9C" w14:textId="77777777" w:rsidR="004A5AFD" w:rsidRDefault="004A5AFD">
            <w:pPr>
              <w:spacing w:after="160" w:line="256" w:lineRule="auto"/>
              <w:jc w:val="center"/>
              <w:rPr>
                <w:rFonts w:ascii="Times New Roman" w:hAnsi="Times New Roman" w:cs="Times New Roman"/>
                <w:sz w:val="24"/>
                <w:szCs w:val="24"/>
              </w:rPr>
            </w:pPr>
            <w:r>
              <w:rPr>
                <w:rFonts w:ascii="Times New Roman" w:hAnsi="Times New Roman" w:cs="Times New Roman"/>
                <w:sz w:val="24"/>
                <w:szCs w:val="24"/>
              </w:rPr>
              <w:t>1.96</w:t>
            </w:r>
            <w:r>
              <w:rPr>
                <w:rFonts w:asciiTheme="minorEastAsia" w:hAnsiTheme="minorEastAsia" w:cstheme="minorEastAsia"/>
                <w:sz w:val="24"/>
                <w:szCs w:val="24"/>
              </w:rPr>
              <w:t>±</w:t>
            </w:r>
            <w:r>
              <w:rPr>
                <w:rFonts w:asciiTheme="minorEastAsia" w:hAnsiTheme="minorEastAsia" w:cstheme="minorEastAsia" w:hint="eastAsia"/>
                <w:sz w:val="24"/>
                <w:szCs w:val="24"/>
              </w:rPr>
              <w:t>1.7</w:t>
            </w:r>
          </w:p>
        </w:tc>
        <w:tc>
          <w:tcPr>
            <w:tcW w:w="1976" w:type="dxa"/>
            <w:tcBorders>
              <w:top w:val="nil"/>
              <w:left w:val="nil"/>
              <w:bottom w:val="nil"/>
              <w:right w:val="nil"/>
            </w:tcBorders>
            <w:hideMark/>
          </w:tcPr>
          <w:p w14:paraId="0E6D666F" w14:textId="77777777" w:rsidR="004A5AFD" w:rsidRDefault="004A5AFD">
            <w:pPr>
              <w:spacing w:after="160" w:line="256" w:lineRule="auto"/>
              <w:jc w:val="center"/>
              <w:rPr>
                <w:rFonts w:ascii="Times New Roman" w:hAnsi="Times New Roman" w:cs="Times New Roman"/>
                <w:sz w:val="24"/>
                <w:szCs w:val="24"/>
              </w:rPr>
            </w:pPr>
            <w:r>
              <w:rPr>
                <w:rFonts w:ascii="Times New Roman" w:hAnsi="Times New Roman" w:cs="Times New Roman"/>
                <w:sz w:val="24"/>
                <w:szCs w:val="24"/>
              </w:rPr>
              <w:t>1.70</w:t>
            </w:r>
            <w:r>
              <w:rPr>
                <w:rFonts w:asciiTheme="minorEastAsia" w:hAnsiTheme="minorEastAsia" w:cstheme="minorEastAsia"/>
                <w:sz w:val="24"/>
                <w:szCs w:val="24"/>
              </w:rPr>
              <w:t>±</w:t>
            </w:r>
            <w:r>
              <w:rPr>
                <w:rFonts w:asciiTheme="minorEastAsia" w:hAnsiTheme="minorEastAsia" w:cstheme="minorEastAsia" w:hint="eastAsia"/>
                <w:sz w:val="24"/>
                <w:szCs w:val="24"/>
              </w:rPr>
              <w:t>1.4</w:t>
            </w:r>
          </w:p>
        </w:tc>
        <w:tc>
          <w:tcPr>
            <w:tcW w:w="1437" w:type="dxa"/>
            <w:tcBorders>
              <w:top w:val="nil"/>
              <w:left w:val="nil"/>
              <w:bottom w:val="nil"/>
              <w:right w:val="nil"/>
            </w:tcBorders>
            <w:hideMark/>
          </w:tcPr>
          <w:p w14:paraId="15FF690C" w14:textId="77777777" w:rsidR="004A5AFD" w:rsidRDefault="004A5AFD">
            <w:pPr>
              <w:spacing w:after="160" w:line="256" w:lineRule="auto"/>
              <w:rPr>
                <w:rFonts w:ascii="Times New Roman" w:hAnsi="Times New Roman" w:cs="Times New Roman"/>
                <w:sz w:val="24"/>
                <w:szCs w:val="24"/>
              </w:rPr>
            </w:pPr>
            <w:r>
              <w:rPr>
                <w:rFonts w:ascii="Times New Roman" w:hAnsi="Times New Roman" w:cs="Times New Roman"/>
                <w:sz w:val="24"/>
                <w:szCs w:val="24"/>
              </w:rPr>
              <w:t>0.944</w:t>
            </w:r>
          </w:p>
        </w:tc>
        <w:tc>
          <w:tcPr>
            <w:tcW w:w="1013" w:type="dxa"/>
            <w:tcBorders>
              <w:top w:val="nil"/>
              <w:left w:val="nil"/>
              <w:bottom w:val="nil"/>
              <w:right w:val="nil"/>
            </w:tcBorders>
            <w:hideMark/>
          </w:tcPr>
          <w:p w14:paraId="026DB819" w14:textId="77777777" w:rsidR="004A5AFD" w:rsidRDefault="004A5AFD">
            <w:pPr>
              <w:spacing w:after="160" w:line="256" w:lineRule="auto"/>
              <w:rPr>
                <w:rFonts w:ascii="Times New Roman" w:hAnsi="Times New Roman" w:cs="Times New Roman"/>
                <w:sz w:val="24"/>
                <w:szCs w:val="24"/>
              </w:rPr>
            </w:pPr>
            <w:r>
              <w:rPr>
                <w:rFonts w:ascii="Times New Roman" w:hAnsi="Times New Roman" w:cs="Times New Roman"/>
                <w:sz w:val="24"/>
                <w:szCs w:val="24"/>
              </w:rPr>
              <w:t>0.347</w:t>
            </w:r>
          </w:p>
        </w:tc>
      </w:tr>
      <w:tr w:rsidR="004A5AFD" w14:paraId="61715C4B" w14:textId="77777777" w:rsidTr="004A5AFD">
        <w:tc>
          <w:tcPr>
            <w:tcW w:w="2779" w:type="dxa"/>
            <w:tcBorders>
              <w:top w:val="nil"/>
              <w:left w:val="nil"/>
              <w:bottom w:val="single" w:sz="4" w:space="0" w:color="auto"/>
              <w:right w:val="nil"/>
            </w:tcBorders>
            <w:hideMark/>
          </w:tcPr>
          <w:p w14:paraId="0EF744CE" w14:textId="77777777" w:rsidR="004A5AFD" w:rsidRDefault="004A5AFD">
            <w:pPr>
              <w:spacing w:after="160" w:line="256" w:lineRule="auto"/>
              <w:rPr>
                <w:rFonts w:ascii="Times New Roman" w:hAnsi="Times New Roman" w:cs="Times New Roman"/>
                <w:b/>
                <w:bCs/>
                <w:sz w:val="24"/>
                <w:szCs w:val="24"/>
              </w:rPr>
            </w:pPr>
            <w:r>
              <w:rPr>
                <w:rFonts w:ascii="Times New Roman" w:hAnsi="Times New Roman" w:cs="Times New Roman"/>
                <w:b/>
                <w:bCs/>
                <w:sz w:val="24"/>
                <w:szCs w:val="24"/>
              </w:rPr>
              <w:t>PRL (ng/ml)</w:t>
            </w:r>
          </w:p>
        </w:tc>
        <w:tc>
          <w:tcPr>
            <w:tcW w:w="2155" w:type="dxa"/>
            <w:tcBorders>
              <w:top w:val="nil"/>
              <w:left w:val="nil"/>
              <w:bottom w:val="single" w:sz="4" w:space="0" w:color="auto"/>
              <w:right w:val="nil"/>
            </w:tcBorders>
            <w:hideMark/>
          </w:tcPr>
          <w:p w14:paraId="3F173EE5" w14:textId="77777777" w:rsidR="004A5AFD" w:rsidRDefault="004A5AFD">
            <w:pPr>
              <w:spacing w:after="160" w:line="256" w:lineRule="auto"/>
              <w:jc w:val="center"/>
              <w:rPr>
                <w:rFonts w:ascii="Times New Roman" w:hAnsi="Times New Roman" w:cs="Times New Roman"/>
                <w:sz w:val="24"/>
                <w:szCs w:val="24"/>
              </w:rPr>
            </w:pPr>
            <w:bookmarkStart w:id="10" w:name="_Hlk126173860"/>
            <w:r>
              <w:rPr>
                <w:rFonts w:ascii="Times New Roman" w:hAnsi="Times New Roman" w:cs="Times New Roman"/>
                <w:sz w:val="24"/>
                <w:szCs w:val="24"/>
              </w:rPr>
              <w:t>12.55</w:t>
            </w:r>
            <w:r>
              <w:rPr>
                <w:rFonts w:asciiTheme="minorEastAsia" w:hAnsiTheme="minorEastAsia" w:cstheme="minorEastAsia"/>
                <w:sz w:val="24"/>
                <w:szCs w:val="24"/>
              </w:rPr>
              <w:t>±</w:t>
            </w:r>
            <w:r>
              <w:rPr>
                <w:rFonts w:asciiTheme="minorEastAsia" w:hAnsiTheme="minorEastAsia" w:cstheme="minorEastAsia" w:hint="eastAsia"/>
                <w:sz w:val="24"/>
                <w:szCs w:val="24"/>
              </w:rPr>
              <w:t>8.8</w:t>
            </w:r>
            <w:bookmarkEnd w:id="10"/>
          </w:p>
        </w:tc>
        <w:tc>
          <w:tcPr>
            <w:tcW w:w="1976" w:type="dxa"/>
            <w:tcBorders>
              <w:top w:val="nil"/>
              <w:left w:val="nil"/>
              <w:bottom w:val="single" w:sz="4" w:space="0" w:color="auto"/>
              <w:right w:val="nil"/>
            </w:tcBorders>
            <w:hideMark/>
          </w:tcPr>
          <w:p w14:paraId="79D4A989" w14:textId="77777777" w:rsidR="004A5AFD" w:rsidRDefault="004A5AFD">
            <w:pPr>
              <w:spacing w:after="160" w:line="256" w:lineRule="auto"/>
              <w:jc w:val="center"/>
              <w:rPr>
                <w:rFonts w:ascii="Times New Roman" w:hAnsi="Times New Roman" w:cs="Times New Roman"/>
                <w:sz w:val="24"/>
                <w:szCs w:val="24"/>
              </w:rPr>
            </w:pPr>
            <w:bookmarkStart w:id="11" w:name="_Hlk126173825"/>
            <w:r>
              <w:rPr>
                <w:rFonts w:ascii="Times New Roman" w:hAnsi="Times New Roman" w:cs="Times New Roman"/>
                <w:sz w:val="24"/>
                <w:szCs w:val="24"/>
              </w:rPr>
              <w:t>8.01</w:t>
            </w:r>
            <w:r>
              <w:rPr>
                <w:rFonts w:asciiTheme="minorEastAsia" w:hAnsiTheme="minorEastAsia" w:cstheme="minorEastAsia"/>
                <w:sz w:val="24"/>
                <w:szCs w:val="24"/>
              </w:rPr>
              <w:t>±</w:t>
            </w:r>
            <w:r>
              <w:rPr>
                <w:rFonts w:asciiTheme="minorEastAsia" w:hAnsiTheme="minorEastAsia" w:cstheme="minorEastAsia" w:hint="eastAsia"/>
                <w:sz w:val="24"/>
                <w:szCs w:val="24"/>
              </w:rPr>
              <w:t>5.8</w:t>
            </w:r>
            <w:bookmarkEnd w:id="11"/>
          </w:p>
        </w:tc>
        <w:tc>
          <w:tcPr>
            <w:tcW w:w="1437" w:type="dxa"/>
            <w:tcBorders>
              <w:top w:val="nil"/>
              <w:left w:val="nil"/>
              <w:bottom w:val="single" w:sz="4" w:space="0" w:color="auto"/>
              <w:right w:val="nil"/>
            </w:tcBorders>
            <w:hideMark/>
          </w:tcPr>
          <w:p w14:paraId="6E78DE82" w14:textId="77777777" w:rsidR="004A5AFD" w:rsidRDefault="004A5AFD">
            <w:pPr>
              <w:spacing w:after="160" w:line="256" w:lineRule="auto"/>
              <w:rPr>
                <w:rFonts w:ascii="Times New Roman" w:hAnsi="Times New Roman" w:cs="Times New Roman"/>
                <w:sz w:val="24"/>
                <w:szCs w:val="24"/>
              </w:rPr>
            </w:pPr>
            <w:r>
              <w:rPr>
                <w:rFonts w:ascii="Times New Roman" w:hAnsi="Times New Roman" w:cs="Times New Roman"/>
                <w:sz w:val="24"/>
                <w:szCs w:val="24"/>
              </w:rPr>
              <w:t>3.485</w:t>
            </w:r>
          </w:p>
        </w:tc>
        <w:tc>
          <w:tcPr>
            <w:tcW w:w="1013" w:type="dxa"/>
            <w:tcBorders>
              <w:top w:val="nil"/>
              <w:left w:val="nil"/>
              <w:bottom w:val="single" w:sz="4" w:space="0" w:color="auto"/>
              <w:right w:val="nil"/>
            </w:tcBorders>
            <w:hideMark/>
          </w:tcPr>
          <w:p w14:paraId="2DFD173D" w14:textId="77777777" w:rsidR="004A5AFD" w:rsidRDefault="004A5AFD">
            <w:pPr>
              <w:spacing w:after="160" w:line="256" w:lineRule="auto"/>
              <w:rPr>
                <w:rFonts w:ascii="Times New Roman" w:hAnsi="Times New Roman" w:cs="Times New Roman"/>
                <w:b/>
                <w:bCs/>
                <w:sz w:val="24"/>
                <w:szCs w:val="24"/>
              </w:rPr>
            </w:pPr>
            <w:r>
              <w:rPr>
                <w:rFonts w:ascii="Times New Roman" w:hAnsi="Times New Roman" w:cs="Times New Roman"/>
                <w:b/>
                <w:bCs/>
                <w:sz w:val="24"/>
                <w:szCs w:val="24"/>
              </w:rPr>
              <w:t>0.001*</w:t>
            </w:r>
          </w:p>
        </w:tc>
      </w:tr>
    </w:tbl>
    <w:p w14:paraId="54EEA0FB" w14:textId="77777777" w:rsidR="004A5AFD" w:rsidRDefault="004A5AFD" w:rsidP="004A5AFD">
      <w:pPr>
        <w:rPr>
          <w:rFonts w:ascii="Times New Roman" w:hAnsi="Times New Roman" w:cs="Times New Roman"/>
          <w:b/>
          <w:bCs/>
          <w:sz w:val="24"/>
          <w:szCs w:val="24"/>
          <w:lang w:val="en-US"/>
        </w:rPr>
      </w:pPr>
      <w:r>
        <w:rPr>
          <w:rFonts w:ascii="Times New Roman" w:hAnsi="Times New Roman" w:cs="Times New Roman"/>
          <w:b/>
          <w:bCs/>
          <w:sz w:val="24"/>
          <w:szCs w:val="24"/>
        </w:rPr>
        <w:t>*Significant; t-value=Independent student t test</w:t>
      </w:r>
    </w:p>
    <w:p w14:paraId="61A2A110" w14:textId="77777777" w:rsidR="004A5AFD" w:rsidRDefault="004A5AFD">
      <w:pPr>
        <w:rPr>
          <w:rFonts w:ascii="Times New Roman" w:hAnsi="Times New Roman" w:cs="Times New Roman"/>
          <w:sz w:val="24"/>
        </w:rPr>
      </w:pPr>
    </w:p>
    <w:p w14:paraId="3709C186" w14:textId="77777777" w:rsidR="004A5AFD" w:rsidRDefault="009C2E77" w:rsidP="00767608">
      <w:pPr>
        <w:spacing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Figure 1 </w:t>
      </w:r>
      <w:r w:rsidR="004A5AFD">
        <w:rPr>
          <w:rFonts w:ascii="Times New Roman" w:hAnsi="Times New Roman" w:cs="Times New Roman"/>
          <w:sz w:val="24"/>
          <w:szCs w:val="24"/>
        </w:rPr>
        <w:t>shows area under the curve (AUC) of reproductive hormone in predicting ovarian reserve. AMH showed the highest predictive ability while prolactin has the lowest predictive ability.</w:t>
      </w:r>
    </w:p>
    <w:p w14:paraId="0C51FBF0" w14:textId="77777777" w:rsidR="004A5AFD" w:rsidRDefault="004A5AFD" w:rsidP="004A5AFD">
      <w:pPr>
        <w:rPr>
          <w:rFonts w:ascii="Times New Roman" w:hAnsi="Times New Roman" w:cs="Times New Roman"/>
          <w:b/>
          <w:bCs/>
          <w:sz w:val="24"/>
          <w:szCs w:val="24"/>
        </w:rPr>
      </w:pPr>
    </w:p>
    <w:p w14:paraId="403AD9E3" w14:textId="77777777" w:rsidR="004A5AFD" w:rsidRDefault="004A5AFD" w:rsidP="004A5AFD">
      <w:pPr>
        <w:rPr>
          <w:rFonts w:ascii="Times New Roman" w:hAnsi="Times New Roman" w:cs="Times New Roman"/>
          <w:b/>
          <w:bCs/>
          <w:sz w:val="24"/>
          <w:szCs w:val="24"/>
        </w:rPr>
      </w:pPr>
    </w:p>
    <w:p w14:paraId="2CC5C00B" w14:textId="77777777" w:rsidR="004A5AFD" w:rsidRDefault="004A5AFD" w:rsidP="004A5A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1B1EC96C" wp14:editId="0721FFD7">
            <wp:extent cx="5943600" cy="34988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498850"/>
                    </a:xfrm>
                    <a:prstGeom prst="rect">
                      <a:avLst/>
                    </a:prstGeom>
                    <a:noFill/>
                    <a:ln>
                      <a:noFill/>
                    </a:ln>
                  </pic:spPr>
                </pic:pic>
              </a:graphicData>
            </a:graphic>
          </wp:inline>
        </w:drawing>
      </w:r>
    </w:p>
    <w:p w14:paraId="39653306" w14:textId="77777777" w:rsidR="004A5AFD" w:rsidRDefault="004A5AFD" w:rsidP="004A5AFD">
      <w:pPr>
        <w:autoSpaceDE w:val="0"/>
        <w:autoSpaceDN w:val="0"/>
        <w:adjustRightInd w:val="0"/>
        <w:spacing w:after="0" w:line="240" w:lineRule="auto"/>
        <w:rPr>
          <w:rFonts w:ascii="Times New Roman" w:hAnsi="Times New Roman" w:cs="Times New Roman"/>
          <w:sz w:val="24"/>
          <w:szCs w:val="24"/>
        </w:rPr>
      </w:pPr>
    </w:p>
    <w:p w14:paraId="7A633C87" w14:textId="0DEA8445" w:rsidR="004A5AFD" w:rsidRDefault="004A5AFD" w:rsidP="004A5AFD">
      <w:pPr>
        <w:autoSpaceDE w:val="0"/>
        <w:autoSpaceDN w:val="0"/>
        <w:adjustRightInd w:val="0"/>
        <w:spacing w:after="0" w:line="400" w:lineRule="atLeast"/>
        <w:rPr>
          <w:rFonts w:ascii="Times New Roman" w:hAnsi="Times New Roman" w:cs="Times New Roman"/>
          <w:b/>
          <w:bCs/>
          <w:sz w:val="24"/>
          <w:szCs w:val="24"/>
        </w:rPr>
      </w:pPr>
      <w:bookmarkStart w:id="12" w:name="_Hlk127868333"/>
      <w:r>
        <w:rPr>
          <w:rFonts w:ascii="Times New Roman" w:hAnsi="Times New Roman" w:cs="Times New Roman"/>
          <w:b/>
          <w:bCs/>
          <w:sz w:val="24"/>
          <w:szCs w:val="24"/>
        </w:rPr>
        <w:t xml:space="preserve">Figure </w:t>
      </w:r>
      <w:r w:rsidR="00131AEF">
        <w:rPr>
          <w:rFonts w:ascii="Times New Roman" w:hAnsi="Times New Roman" w:cs="Times New Roman"/>
          <w:b/>
          <w:bCs/>
          <w:sz w:val="24"/>
          <w:szCs w:val="24"/>
        </w:rPr>
        <w:t>1</w:t>
      </w:r>
      <w:r>
        <w:rPr>
          <w:rFonts w:ascii="Times New Roman" w:hAnsi="Times New Roman" w:cs="Times New Roman"/>
          <w:b/>
          <w:bCs/>
          <w:sz w:val="24"/>
          <w:szCs w:val="24"/>
        </w:rPr>
        <w:t>: ROC curve showing AUC of reproductive hormone profiles in predicting ovarian reserve</w:t>
      </w:r>
    </w:p>
    <w:bookmarkEnd w:id="12"/>
    <w:p w14:paraId="4C15EE98" w14:textId="77777777" w:rsidR="004A5AFD" w:rsidRDefault="004A5AFD" w:rsidP="004A5AFD">
      <w:pPr>
        <w:autoSpaceDE w:val="0"/>
        <w:autoSpaceDN w:val="0"/>
        <w:adjustRightInd w:val="0"/>
        <w:spacing w:after="0" w:line="400" w:lineRule="atLeast"/>
        <w:rPr>
          <w:rFonts w:ascii="Times New Roman" w:hAnsi="Times New Roman" w:cs="Times New Roman"/>
          <w:sz w:val="24"/>
          <w:szCs w:val="24"/>
        </w:rPr>
      </w:pPr>
    </w:p>
    <w:p w14:paraId="006F1843" w14:textId="77777777" w:rsidR="004A5AFD" w:rsidRDefault="004A5AFD" w:rsidP="00AF2173">
      <w:pPr>
        <w:autoSpaceDE w:val="0"/>
        <w:autoSpaceDN w:val="0"/>
        <w:adjustRightInd w:val="0"/>
        <w:spacing w:after="0" w:line="400" w:lineRule="atLeast"/>
        <w:jc w:val="both"/>
        <w:rPr>
          <w:rFonts w:ascii="Times New Roman" w:hAnsi="Times New Roman" w:cs="Times New Roman"/>
          <w:b/>
          <w:bCs/>
          <w:sz w:val="24"/>
          <w:szCs w:val="24"/>
        </w:rPr>
      </w:pPr>
    </w:p>
    <w:p w14:paraId="41026A0D" w14:textId="77777777" w:rsidR="004A5AFD" w:rsidRDefault="00AF2173" w:rsidP="00767608">
      <w:pPr>
        <w:spacing w:line="240" w:lineRule="auto"/>
        <w:jc w:val="both"/>
        <w:rPr>
          <w:rFonts w:ascii="Times New Roman" w:hAnsi="Times New Roman" w:cs="Times New Roman"/>
          <w:sz w:val="24"/>
          <w:szCs w:val="24"/>
        </w:rPr>
      </w:pPr>
      <w:r>
        <w:rPr>
          <w:rFonts w:ascii="Times New Roman" w:hAnsi="Times New Roman" w:cs="Times New Roman"/>
          <w:sz w:val="24"/>
          <w:szCs w:val="24"/>
        </w:rPr>
        <w:t>Table 3</w:t>
      </w:r>
      <w:r w:rsidR="004A5AFD">
        <w:rPr>
          <w:rFonts w:ascii="Times New Roman" w:hAnsi="Times New Roman" w:cs="Times New Roman"/>
          <w:sz w:val="24"/>
          <w:szCs w:val="24"/>
        </w:rPr>
        <w:t xml:space="preserve"> shows a receiver operator characteristic (ROC) curve and table revealing that AMH with an area under the curve of 0.721(0.630 – 0.812) was a better predictor of ovarian reserve when compared to FSH with an AUC of 0.614 (0.513 – 0.715), LH with an AUC of 0.664(0.562 – 0.765), </w:t>
      </w:r>
      <w:proofErr w:type="spellStart"/>
      <w:r w:rsidR="004A5AFD">
        <w:rPr>
          <w:rFonts w:ascii="Times New Roman" w:hAnsi="Times New Roman" w:cs="Times New Roman"/>
          <w:sz w:val="24"/>
          <w:szCs w:val="24"/>
        </w:rPr>
        <w:t>Estradiol</w:t>
      </w:r>
      <w:proofErr w:type="spellEnd"/>
      <w:r w:rsidR="004A5AFD">
        <w:rPr>
          <w:rFonts w:ascii="Times New Roman" w:hAnsi="Times New Roman" w:cs="Times New Roman"/>
          <w:sz w:val="24"/>
          <w:szCs w:val="24"/>
        </w:rPr>
        <w:t xml:space="preserve"> with AUC of 0.597(0.498 – 0.696), Progesterone with an AUC of 0.499(0.395 – 0.603), and Prolactin with an AUC of  0.232(0.152 – 0.312) respectively.</w:t>
      </w:r>
    </w:p>
    <w:p w14:paraId="14AB58E8" w14:textId="77777777" w:rsidR="004A5AFD" w:rsidRDefault="004A5AFD" w:rsidP="004A5AFD">
      <w:pPr>
        <w:autoSpaceDE w:val="0"/>
        <w:autoSpaceDN w:val="0"/>
        <w:adjustRightInd w:val="0"/>
        <w:spacing w:after="0" w:line="400" w:lineRule="atLeast"/>
        <w:rPr>
          <w:rFonts w:ascii="Times New Roman" w:hAnsi="Times New Roman" w:cs="Times New Roman"/>
          <w:b/>
          <w:bCs/>
          <w:sz w:val="24"/>
          <w:szCs w:val="24"/>
        </w:rPr>
      </w:pPr>
    </w:p>
    <w:p w14:paraId="0C7E759B" w14:textId="77777777" w:rsidR="004A5AFD" w:rsidRDefault="00AF2173" w:rsidP="004A5AFD">
      <w:pPr>
        <w:autoSpaceDE w:val="0"/>
        <w:autoSpaceDN w:val="0"/>
        <w:adjustRightInd w:val="0"/>
        <w:spacing w:after="0" w:line="400" w:lineRule="atLeast"/>
        <w:rPr>
          <w:rFonts w:ascii="Times New Roman" w:hAnsi="Times New Roman" w:cs="Times New Roman"/>
          <w:sz w:val="24"/>
          <w:szCs w:val="24"/>
        </w:rPr>
      </w:pPr>
      <w:bookmarkStart w:id="13" w:name="_Hlk127868389"/>
      <w:r>
        <w:rPr>
          <w:rFonts w:ascii="Times New Roman" w:hAnsi="Times New Roman" w:cs="Times New Roman"/>
          <w:b/>
          <w:bCs/>
          <w:sz w:val="24"/>
          <w:szCs w:val="24"/>
        </w:rPr>
        <w:t>Table 3</w:t>
      </w:r>
      <w:r w:rsidR="004A5AFD">
        <w:rPr>
          <w:rFonts w:ascii="Times New Roman" w:hAnsi="Times New Roman" w:cs="Times New Roman"/>
          <w:b/>
          <w:bCs/>
          <w:sz w:val="24"/>
          <w:szCs w:val="24"/>
        </w:rPr>
        <w:t>: Diagnostic accuracy of reproductive hormones in predicting ovarian reserve in women</w:t>
      </w:r>
    </w:p>
    <w:bookmarkEnd w:id="13"/>
    <w:p w14:paraId="6A726D0F" w14:textId="77777777" w:rsidR="004A5AFD" w:rsidRDefault="004A5AFD" w:rsidP="004A5AFD">
      <w:pPr>
        <w:autoSpaceDE w:val="0"/>
        <w:autoSpaceDN w:val="0"/>
        <w:adjustRightInd w:val="0"/>
        <w:spacing w:after="0" w:line="400" w:lineRule="atLeast"/>
        <w:rPr>
          <w:rFonts w:ascii="Times New Roman" w:hAnsi="Times New Roman" w:cs="Times New Roman"/>
          <w:sz w:val="24"/>
          <w:szCs w:val="24"/>
        </w:rPr>
      </w:pPr>
    </w:p>
    <w:tbl>
      <w:tblPr>
        <w:tblStyle w:val="TableGrid"/>
        <w:tblW w:w="0" w:type="auto"/>
        <w:tblInd w:w="-185" w:type="dxa"/>
        <w:tblBorders>
          <w:left w:val="none" w:sz="0" w:space="0" w:color="auto"/>
          <w:right w:val="none" w:sz="0" w:space="0" w:color="auto"/>
          <w:insideV w:val="none" w:sz="0" w:space="0" w:color="auto"/>
        </w:tblBorders>
        <w:tblLook w:val="04A0" w:firstRow="1" w:lastRow="0" w:firstColumn="1" w:lastColumn="0" w:noHBand="0" w:noVBand="1"/>
      </w:tblPr>
      <w:tblGrid>
        <w:gridCol w:w="1620"/>
        <w:gridCol w:w="2520"/>
        <w:gridCol w:w="1800"/>
        <w:gridCol w:w="1800"/>
        <w:gridCol w:w="1530"/>
      </w:tblGrid>
      <w:tr w:rsidR="004A5AFD" w14:paraId="3692E653" w14:textId="77777777" w:rsidTr="004A5AFD">
        <w:tc>
          <w:tcPr>
            <w:tcW w:w="1620" w:type="dxa"/>
            <w:tcBorders>
              <w:top w:val="single" w:sz="4" w:space="0" w:color="auto"/>
              <w:left w:val="nil"/>
              <w:bottom w:val="single" w:sz="4" w:space="0" w:color="auto"/>
              <w:right w:val="nil"/>
            </w:tcBorders>
          </w:tcPr>
          <w:p w14:paraId="42CEC9AB" w14:textId="77777777" w:rsidR="004A5AFD" w:rsidRDefault="004A5AFD">
            <w:pPr>
              <w:autoSpaceDE w:val="0"/>
              <w:autoSpaceDN w:val="0"/>
              <w:adjustRightInd w:val="0"/>
              <w:spacing w:line="400" w:lineRule="atLeast"/>
              <w:rPr>
                <w:rFonts w:ascii="Times New Roman" w:hAnsi="Times New Roman" w:cs="Times New Roman"/>
                <w:b/>
                <w:bCs/>
                <w:sz w:val="24"/>
                <w:szCs w:val="24"/>
              </w:rPr>
            </w:pPr>
          </w:p>
        </w:tc>
        <w:tc>
          <w:tcPr>
            <w:tcW w:w="2520" w:type="dxa"/>
            <w:tcBorders>
              <w:top w:val="single" w:sz="4" w:space="0" w:color="auto"/>
              <w:left w:val="nil"/>
              <w:bottom w:val="single" w:sz="4" w:space="0" w:color="auto"/>
              <w:right w:val="nil"/>
            </w:tcBorders>
            <w:hideMark/>
          </w:tcPr>
          <w:p w14:paraId="121B6A35" w14:textId="77777777" w:rsidR="004A5AFD" w:rsidRDefault="004A5AFD">
            <w:pPr>
              <w:autoSpaceDE w:val="0"/>
              <w:autoSpaceDN w:val="0"/>
              <w:adjustRightInd w:val="0"/>
              <w:spacing w:line="400" w:lineRule="atLeast"/>
              <w:rPr>
                <w:rFonts w:ascii="Times New Roman" w:hAnsi="Times New Roman" w:cs="Times New Roman"/>
                <w:b/>
                <w:bCs/>
                <w:sz w:val="24"/>
                <w:szCs w:val="24"/>
              </w:rPr>
            </w:pPr>
            <w:r>
              <w:rPr>
                <w:rFonts w:ascii="Times New Roman" w:hAnsi="Times New Roman" w:cs="Times New Roman"/>
                <w:b/>
                <w:bCs/>
                <w:sz w:val="24"/>
                <w:szCs w:val="24"/>
              </w:rPr>
              <w:t>AUC (95%)</w:t>
            </w:r>
          </w:p>
        </w:tc>
        <w:tc>
          <w:tcPr>
            <w:tcW w:w="1800" w:type="dxa"/>
            <w:tcBorders>
              <w:top w:val="single" w:sz="4" w:space="0" w:color="auto"/>
              <w:left w:val="nil"/>
              <w:bottom w:val="single" w:sz="4" w:space="0" w:color="auto"/>
              <w:right w:val="nil"/>
            </w:tcBorders>
            <w:hideMark/>
          </w:tcPr>
          <w:p w14:paraId="40C638DD" w14:textId="77777777" w:rsidR="004A5AFD" w:rsidRDefault="004A5AFD">
            <w:pPr>
              <w:autoSpaceDE w:val="0"/>
              <w:autoSpaceDN w:val="0"/>
              <w:adjustRightInd w:val="0"/>
              <w:spacing w:line="400" w:lineRule="atLeast"/>
              <w:rPr>
                <w:rFonts w:ascii="Times New Roman" w:hAnsi="Times New Roman" w:cs="Times New Roman"/>
                <w:b/>
                <w:bCs/>
                <w:sz w:val="24"/>
                <w:szCs w:val="24"/>
              </w:rPr>
            </w:pPr>
            <w:r>
              <w:rPr>
                <w:rFonts w:ascii="Times New Roman" w:hAnsi="Times New Roman" w:cs="Times New Roman"/>
                <w:b/>
                <w:bCs/>
                <w:sz w:val="24"/>
                <w:szCs w:val="24"/>
              </w:rPr>
              <w:t>Sensitivity</w:t>
            </w:r>
          </w:p>
        </w:tc>
        <w:tc>
          <w:tcPr>
            <w:tcW w:w="1800" w:type="dxa"/>
            <w:tcBorders>
              <w:top w:val="single" w:sz="4" w:space="0" w:color="auto"/>
              <w:left w:val="nil"/>
              <w:bottom w:val="single" w:sz="4" w:space="0" w:color="auto"/>
              <w:right w:val="nil"/>
            </w:tcBorders>
            <w:hideMark/>
          </w:tcPr>
          <w:p w14:paraId="0F804650" w14:textId="77777777" w:rsidR="004A5AFD" w:rsidRDefault="004A5AFD">
            <w:pPr>
              <w:autoSpaceDE w:val="0"/>
              <w:autoSpaceDN w:val="0"/>
              <w:adjustRightInd w:val="0"/>
              <w:spacing w:line="400" w:lineRule="atLeast"/>
              <w:rPr>
                <w:rFonts w:ascii="Times New Roman" w:hAnsi="Times New Roman" w:cs="Times New Roman"/>
                <w:b/>
                <w:bCs/>
                <w:sz w:val="24"/>
                <w:szCs w:val="24"/>
              </w:rPr>
            </w:pPr>
            <w:r>
              <w:rPr>
                <w:rFonts w:ascii="Times New Roman" w:hAnsi="Times New Roman" w:cs="Times New Roman"/>
                <w:b/>
                <w:bCs/>
                <w:sz w:val="24"/>
                <w:szCs w:val="24"/>
              </w:rPr>
              <w:t>Specificity</w:t>
            </w:r>
          </w:p>
        </w:tc>
        <w:tc>
          <w:tcPr>
            <w:tcW w:w="1530" w:type="dxa"/>
            <w:tcBorders>
              <w:top w:val="single" w:sz="4" w:space="0" w:color="auto"/>
              <w:left w:val="nil"/>
              <w:bottom w:val="single" w:sz="4" w:space="0" w:color="auto"/>
              <w:right w:val="nil"/>
            </w:tcBorders>
            <w:hideMark/>
          </w:tcPr>
          <w:p w14:paraId="47161E3D" w14:textId="77777777" w:rsidR="004A5AFD" w:rsidRDefault="004A5AFD">
            <w:pPr>
              <w:autoSpaceDE w:val="0"/>
              <w:autoSpaceDN w:val="0"/>
              <w:adjustRightInd w:val="0"/>
              <w:spacing w:line="400" w:lineRule="atLeast"/>
              <w:rPr>
                <w:rFonts w:ascii="Times New Roman" w:hAnsi="Times New Roman" w:cs="Times New Roman"/>
                <w:b/>
                <w:bCs/>
                <w:sz w:val="24"/>
                <w:szCs w:val="24"/>
              </w:rPr>
            </w:pPr>
            <w:r>
              <w:rPr>
                <w:rFonts w:ascii="Times New Roman" w:hAnsi="Times New Roman" w:cs="Times New Roman"/>
                <w:b/>
                <w:bCs/>
                <w:sz w:val="24"/>
                <w:szCs w:val="24"/>
              </w:rPr>
              <w:t>p-value</w:t>
            </w:r>
          </w:p>
        </w:tc>
      </w:tr>
      <w:tr w:rsidR="004A5AFD" w14:paraId="34F450C7" w14:textId="77777777" w:rsidTr="004A5AFD">
        <w:tc>
          <w:tcPr>
            <w:tcW w:w="1620" w:type="dxa"/>
            <w:tcBorders>
              <w:top w:val="single" w:sz="4" w:space="0" w:color="auto"/>
              <w:left w:val="nil"/>
              <w:bottom w:val="nil"/>
              <w:right w:val="nil"/>
            </w:tcBorders>
            <w:hideMark/>
          </w:tcPr>
          <w:p w14:paraId="3C9AC1AA"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b/>
                <w:bCs/>
                <w:sz w:val="24"/>
                <w:szCs w:val="24"/>
              </w:rPr>
              <w:t>AMH</w:t>
            </w:r>
          </w:p>
        </w:tc>
        <w:tc>
          <w:tcPr>
            <w:tcW w:w="2520" w:type="dxa"/>
            <w:tcBorders>
              <w:top w:val="single" w:sz="4" w:space="0" w:color="auto"/>
              <w:left w:val="nil"/>
              <w:bottom w:val="nil"/>
              <w:right w:val="nil"/>
            </w:tcBorders>
            <w:hideMark/>
          </w:tcPr>
          <w:p w14:paraId="1804637D"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0.721 (0.630-0.812)</w:t>
            </w:r>
          </w:p>
        </w:tc>
        <w:tc>
          <w:tcPr>
            <w:tcW w:w="1800" w:type="dxa"/>
            <w:tcBorders>
              <w:top w:val="single" w:sz="4" w:space="0" w:color="auto"/>
              <w:left w:val="nil"/>
              <w:bottom w:val="nil"/>
              <w:right w:val="nil"/>
            </w:tcBorders>
            <w:hideMark/>
          </w:tcPr>
          <w:p w14:paraId="7B6965E2"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0.754</w:t>
            </w:r>
          </w:p>
        </w:tc>
        <w:tc>
          <w:tcPr>
            <w:tcW w:w="1800" w:type="dxa"/>
            <w:tcBorders>
              <w:top w:val="single" w:sz="4" w:space="0" w:color="auto"/>
              <w:left w:val="nil"/>
              <w:bottom w:val="nil"/>
              <w:right w:val="nil"/>
            </w:tcBorders>
            <w:hideMark/>
          </w:tcPr>
          <w:p w14:paraId="15768724"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0.723</w:t>
            </w:r>
          </w:p>
        </w:tc>
        <w:tc>
          <w:tcPr>
            <w:tcW w:w="1530" w:type="dxa"/>
            <w:tcBorders>
              <w:top w:val="single" w:sz="4" w:space="0" w:color="auto"/>
              <w:left w:val="nil"/>
              <w:bottom w:val="nil"/>
              <w:right w:val="nil"/>
            </w:tcBorders>
            <w:hideMark/>
          </w:tcPr>
          <w:p w14:paraId="7F2B2340" w14:textId="77777777" w:rsidR="004A5AFD" w:rsidRDefault="004A5AFD">
            <w:pPr>
              <w:autoSpaceDE w:val="0"/>
              <w:autoSpaceDN w:val="0"/>
              <w:adjustRightInd w:val="0"/>
              <w:spacing w:line="480" w:lineRule="auto"/>
              <w:rPr>
                <w:rFonts w:ascii="Times New Roman" w:hAnsi="Times New Roman" w:cs="Times New Roman"/>
                <w:b/>
                <w:bCs/>
                <w:sz w:val="24"/>
                <w:szCs w:val="24"/>
              </w:rPr>
            </w:pPr>
            <w:r>
              <w:rPr>
                <w:rFonts w:ascii="Times New Roman" w:hAnsi="Times New Roman" w:cs="Times New Roman"/>
                <w:b/>
                <w:bCs/>
                <w:sz w:val="24"/>
                <w:szCs w:val="24"/>
              </w:rPr>
              <w:t>&lt;0.001*</w:t>
            </w:r>
          </w:p>
        </w:tc>
      </w:tr>
      <w:tr w:rsidR="004A5AFD" w14:paraId="70472610" w14:textId="77777777" w:rsidTr="004A5AFD">
        <w:tc>
          <w:tcPr>
            <w:tcW w:w="1620" w:type="dxa"/>
            <w:tcBorders>
              <w:top w:val="nil"/>
              <w:left w:val="nil"/>
              <w:bottom w:val="nil"/>
              <w:right w:val="nil"/>
            </w:tcBorders>
            <w:hideMark/>
          </w:tcPr>
          <w:p w14:paraId="1BCBA5F5"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b/>
                <w:bCs/>
                <w:sz w:val="24"/>
                <w:szCs w:val="24"/>
              </w:rPr>
              <w:t xml:space="preserve">FSH </w:t>
            </w:r>
          </w:p>
        </w:tc>
        <w:tc>
          <w:tcPr>
            <w:tcW w:w="2520" w:type="dxa"/>
            <w:tcBorders>
              <w:top w:val="nil"/>
              <w:left w:val="nil"/>
              <w:bottom w:val="nil"/>
              <w:right w:val="nil"/>
            </w:tcBorders>
            <w:hideMark/>
          </w:tcPr>
          <w:p w14:paraId="6EAA5C4D"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0.614 (0.513-0.715)</w:t>
            </w:r>
          </w:p>
        </w:tc>
        <w:tc>
          <w:tcPr>
            <w:tcW w:w="1800" w:type="dxa"/>
            <w:tcBorders>
              <w:top w:val="nil"/>
              <w:left w:val="nil"/>
              <w:bottom w:val="nil"/>
              <w:right w:val="nil"/>
            </w:tcBorders>
            <w:hideMark/>
          </w:tcPr>
          <w:p w14:paraId="18A3EDF0"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0.600</w:t>
            </w:r>
          </w:p>
        </w:tc>
        <w:tc>
          <w:tcPr>
            <w:tcW w:w="1800" w:type="dxa"/>
            <w:tcBorders>
              <w:top w:val="nil"/>
              <w:left w:val="nil"/>
              <w:bottom w:val="nil"/>
              <w:right w:val="nil"/>
            </w:tcBorders>
            <w:hideMark/>
          </w:tcPr>
          <w:p w14:paraId="63EBBC52"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0.938</w:t>
            </w:r>
          </w:p>
        </w:tc>
        <w:tc>
          <w:tcPr>
            <w:tcW w:w="1530" w:type="dxa"/>
            <w:tcBorders>
              <w:top w:val="nil"/>
              <w:left w:val="nil"/>
              <w:bottom w:val="nil"/>
              <w:right w:val="nil"/>
            </w:tcBorders>
            <w:hideMark/>
          </w:tcPr>
          <w:p w14:paraId="65A46F1A" w14:textId="77777777" w:rsidR="004A5AFD" w:rsidRDefault="004A5AFD">
            <w:pPr>
              <w:autoSpaceDE w:val="0"/>
              <w:autoSpaceDN w:val="0"/>
              <w:adjustRightInd w:val="0"/>
              <w:spacing w:line="480" w:lineRule="auto"/>
              <w:rPr>
                <w:rFonts w:ascii="Times New Roman" w:hAnsi="Times New Roman" w:cs="Times New Roman"/>
                <w:b/>
                <w:bCs/>
                <w:sz w:val="24"/>
                <w:szCs w:val="24"/>
              </w:rPr>
            </w:pPr>
            <w:r>
              <w:rPr>
                <w:rFonts w:ascii="Times New Roman" w:hAnsi="Times New Roman" w:cs="Times New Roman"/>
                <w:b/>
                <w:bCs/>
                <w:sz w:val="24"/>
                <w:szCs w:val="24"/>
              </w:rPr>
              <w:t>0.025*</w:t>
            </w:r>
          </w:p>
        </w:tc>
      </w:tr>
      <w:tr w:rsidR="004A5AFD" w14:paraId="0B8608D6" w14:textId="77777777" w:rsidTr="004A5AFD">
        <w:tc>
          <w:tcPr>
            <w:tcW w:w="1620" w:type="dxa"/>
            <w:tcBorders>
              <w:top w:val="nil"/>
              <w:left w:val="nil"/>
              <w:bottom w:val="nil"/>
              <w:right w:val="nil"/>
            </w:tcBorders>
            <w:hideMark/>
          </w:tcPr>
          <w:p w14:paraId="748C2A0C"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b/>
                <w:bCs/>
                <w:sz w:val="24"/>
                <w:szCs w:val="24"/>
              </w:rPr>
              <w:t xml:space="preserve">LH </w:t>
            </w:r>
          </w:p>
        </w:tc>
        <w:tc>
          <w:tcPr>
            <w:tcW w:w="2520" w:type="dxa"/>
            <w:tcBorders>
              <w:top w:val="nil"/>
              <w:left w:val="nil"/>
              <w:bottom w:val="nil"/>
              <w:right w:val="nil"/>
            </w:tcBorders>
            <w:hideMark/>
          </w:tcPr>
          <w:p w14:paraId="4036007A"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0.664 (0.562-0.765)</w:t>
            </w:r>
          </w:p>
        </w:tc>
        <w:tc>
          <w:tcPr>
            <w:tcW w:w="1800" w:type="dxa"/>
            <w:tcBorders>
              <w:top w:val="nil"/>
              <w:left w:val="nil"/>
              <w:bottom w:val="nil"/>
              <w:right w:val="nil"/>
            </w:tcBorders>
            <w:hideMark/>
          </w:tcPr>
          <w:p w14:paraId="72BD145F"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0.354</w:t>
            </w:r>
          </w:p>
        </w:tc>
        <w:tc>
          <w:tcPr>
            <w:tcW w:w="1800" w:type="dxa"/>
            <w:tcBorders>
              <w:top w:val="nil"/>
              <w:left w:val="nil"/>
              <w:bottom w:val="nil"/>
              <w:right w:val="nil"/>
            </w:tcBorders>
            <w:hideMark/>
          </w:tcPr>
          <w:p w14:paraId="5AC3685C"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0.831</w:t>
            </w:r>
          </w:p>
        </w:tc>
        <w:tc>
          <w:tcPr>
            <w:tcW w:w="1530" w:type="dxa"/>
            <w:tcBorders>
              <w:top w:val="nil"/>
              <w:left w:val="nil"/>
              <w:bottom w:val="nil"/>
              <w:right w:val="nil"/>
            </w:tcBorders>
            <w:hideMark/>
          </w:tcPr>
          <w:p w14:paraId="15878856" w14:textId="77777777" w:rsidR="004A5AFD" w:rsidRDefault="004A5AFD">
            <w:pPr>
              <w:autoSpaceDE w:val="0"/>
              <w:autoSpaceDN w:val="0"/>
              <w:adjustRightInd w:val="0"/>
              <w:spacing w:line="480" w:lineRule="auto"/>
              <w:rPr>
                <w:rFonts w:ascii="Times New Roman" w:hAnsi="Times New Roman" w:cs="Times New Roman"/>
                <w:b/>
                <w:bCs/>
                <w:sz w:val="24"/>
                <w:szCs w:val="24"/>
              </w:rPr>
            </w:pPr>
            <w:r>
              <w:rPr>
                <w:rFonts w:ascii="Times New Roman" w:hAnsi="Times New Roman" w:cs="Times New Roman"/>
                <w:b/>
                <w:bCs/>
                <w:sz w:val="24"/>
                <w:szCs w:val="24"/>
              </w:rPr>
              <w:t>0.001*</w:t>
            </w:r>
          </w:p>
        </w:tc>
      </w:tr>
      <w:tr w:rsidR="004A5AFD" w14:paraId="0867BD12" w14:textId="77777777" w:rsidTr="004A5AFD">
        <w:tc>
          <w:tcPr>
            <w:tcW w:w="1620" w:type="dxa"/>
            <w:tcBorders>
              <w:top w:val="nil"/>
              <w:left w:val="nil"/>
              <w:bottom w:val="nil"/>
              <w:right w:val="nil"/>
            </w:tcBorders>
            <w:hideMark/>
          </w:tcPr>
          <w:p w14:paraId="300DB90F" w14:textId="77777777" w:rsidR="004A5AFD" w:rsidRDefault="004A5AFD">
            <w:pPr>
              <w:autoSpaceDE w:val="0"/>
              <w:autoSpaceDN w:val="0"/>
              <w:adjustRightInd w:val="0"/>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Estradiol </w:t>
            </w:r>
          </w:p>
        </w:tc>
        <w:tc>
          <w:tcPr>
            <w:tcW w:w="2520" w:type="dxa"/>
            <w:tcBorders>
              <w:top w:val="nil"/>
              <w:left w:val="nil"/>
              <w:bottom w:val="nil"/>
              <w:right w:val="nil"/>
            </w:tcBorders>
            <w:hideMark/>
          </w:tcPr>
          <w:p w14:paraId="19813A96"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0.597 (0.498-0.696)</w:t>
            </w:r>
          </w:p>
        </w:tc>
        <w:tc>
          <w:tcPr>
            <w:tcW w:w="1800" w:type="dxa"/>
            <w:tcBorders>
              <w:top w:val="nil"/>
              <w:left w:val="nil"/>
              <w:bottom w:val="nil"/>
              <w:right w:val="nil"/>
            </w:tcBorders>
            <w:hideMark/>
          </w:tcPr>
          <w:p w14:paraId="0DB14092"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0.662</w:t>
            </w:r>
          </w:p>
        </w:tc>
        <w:tc>
          <w:tcPr>
            <w:tcW w:w="1800" w:type="dxa"/>
            <w:tcBorders>
              <w:top w:val="nil"/>
              <w:left w:val="nil"/>
              <w:bottom w:val="nil"/>
              <w:right w:val="nil"/>
            </w:tcBorders>
            <w:hideMark/>
          </w:tcPr>
          <w:p w14:paraId="6406DDBB"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0.554</w:t>
            </w:r>
          </w:p>
        </w:tc>
        <w:tc>
          <w:tcPr>
            <w:tcW w:w="1530" w:type="dxa"/>
            <w:tcBorders>
              <w:top w:val="nil"/>
              <w:left w:val="nil"/>
              <w:bottom w:val="nil"/>
              <w:right w:val="nil"/>
            </w:tcBorders>
            <w:hideMark/>
          </w:tcPr>
          <w:p w14:paraId="76752DB7"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0.056</w:t>
            </w:r>
          </w:p>
        </w:tc>
      </w:tr>
      <w:tr w:rsidR="004A5AFD" w14:paraId="1A729E77" w14:textId="77777777" w:rsidTr="004A5AFD">
        <w:tc>
          <w:tcPr>
            <w:tcW w:w="1620" w:type="dxa"/>
            <w:tcBorders>
              <w:top w:val="nil"/>
              <w:left w:val="nil"/>
              <w:bottom w:val="nil"/>
              <w:right w:val="nil"/>
            </w:tcBorders>
            <w:hideMark/>
          </w:tcPr>
          <w:p w14:paraId="0ECD0B1F" w14:textId="77777777" w:rsidR="004A5AFD" w:rsidRDefault="004A5AFD">
            <w:pPr>
              <w:autoSpaceDE w:val="0"/>
              <w:autoSpaceDN w:val="0"/>
              <w:adjustRightInd w:val="0"/>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Progesterone </w:t>
            </w:r>
          </w:p>
        </w:tc>
        <w:tc>
          <w:tcPr>
            <w:tcW w:w="2520" w:type="dxa"/>
            <w:tcBorders>
              <w:top w:val="nil"/>
              <w:left w:val="nil"/>
              <w:bottom w:val="nil"/>
              <w:right w:val="nil"/>
            </w:tcBorders>
            <w:hideMark/>
          </w:tcPr>
          <w:p w14:paraId="6B3064D9"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0.499 (0.395-0.603)</w:t>
            </w:r>
          </w:p>
        </w:tc>
        <w:tc>
          <w:tcPr>
            <w:tcW w:w="1800" w:type="dxa"/>
            <w:tcBorders>
              <w:top w:val="nil"/>
              <w:left w:val="nil"/>
              <w:bottom w:val="nil"/>
              <w:right w:val="nil"/>
            </w:tcBorders>
            <w:hideMark/>
          </w:tcPr>
          <w:p w14:paraId="3A99C8B3"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0.559</w:t>
            </w:r>
          </w:p>
        </w:tc>
        <w:tc>
          <w:tcPr>
            <w:tcW w:w="1800" w:type="dxa"/>
            <w:tcBorders>
              <w:top w:val="nil"/>
              <w:left w:val="nil"/>
              <w:bottom w:val="nil"/>
              <w:right w:val="nil"/>
            </w:tcBorders>
            <w:hideMark/>
          </w:tcPr>
          <w:p w14:paraId="38B55C36"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0.569</w:t>
            </w:r>
          </w:p>
        </w:tc>
        <w:tc>
          <w:tcPr>
            <w:tcW w:w="1530" w:type="dxa"/>
            <w:tcBorders>
              <w:top w:val="nil"/>
              <w:left w:val="nil"/>
              <w:bottom w:val="nil"/>
              <w:right w:val="nil"/>
            </w:tcBorders>
            <w:hideMark/>
          </w:tcPr>
          <w:p w14:paraId="209F4DA6"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0.983</w:t>
            </w:r>
          </w:p>
        </w:tc>
      </w:tr>
      <w:tr w:rsidR="004A5AFD" w14:paraId="4E6E6C3A" w14:textId="77777777" w:rsidTr="004A5AFD">
        <w:tc>
          <w:tcPr>
            <w:tcW w:w="1620" w:type="dxa"/>
            <w:tcBorders>
              <w:top w:val="nil"/>
              <w:left w:val="nil"/>
              <w:bottom w:val="single" w:sz="4" w:space="0" w:color="auto"/>
              <w:right w:val="nil"/>
            </w:tcBorders>
            <w:hideMark/>
          </w:tcPr>
          <w:p w14:paraId="3A3607CF" w14:textId="77777777" w:rsidR="004A5AFD" w:rsidRDefault="004A5AFD">
            <w:pPr>
              <w:autoSpaceDE w:val="0"/>
              <w:autoSpaceDN w:val="0"/>
              <w:adjustRightInd w:val="0"/>
              <w:spacing w:line="480" w:lineRule="auto"/>
              <w:rPr>
                <w:rFonts w:ascii="Times New Roman" w:hAnsi="Times New Roman" w:cs="Times New Roman"/>
                <w:b/>
                <w:bCs/>
                <w:sz w:val="24"/>
                <w:szCs w:val="24"/>
              </w:rPr>
            </w:pPr>
            <w:r>
              <w:rPr>
                <w:rFonts w:ascii="Times New Roman" w:hAnsi="Times New Roman" w:cs="Times New Roman"/>
                <w:b/>
                <w:bCs/>
                <w:sz w:val="24"/>
                <w:szCs w:val="24"/>
              </w:rPr>
              <w:t>PRL</w:t>
            </w:r>
          </w:p>
        </w:tc>
        <w:tc>
          <w:tcPr>
            <w:tcW w:w="2520" w:type="dxa"/>
            <w:tcBorders>
              <w:top w:val="nil"/>
              <w:left w:val="nil"/>
              <w:bottom w:val="single" w:sz="4" w:space="0" w:color="auto"/>
              <w:right w:val="nil"/>
            </w:tcBorders>
            <w:hideMark/>
          </w:tcPr>
          <w:p w14:paraId="45D65C1A"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0.232 (0.152-0.312)</w:t>
            </w:r>
          </w:p>
        </w:tc>
        <w:tc>
          <w:tcPr>
            <w:tcW w:w="1800" w:type="dxa"/>
            <w:tcBorders>
              <w:top w:val="nil"/>
              <w:left w:val="nil"/>
              <w:bottom w:val="single" w:sz="4" w:space="0" w:color="auto"/>
              <w:right w:val="nil"/>
            </w:tcBorders>
            <w:hideMark/>
          </w:tcPr>
          <w:p w14:paraId="4B982B5C"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0.485</w:t>
            </w:r>
          </w:p>
        </w:tc>
        <w:tc>
          <w:tcPr>
            <w:tcW w:w="1800" w:type="dxa"/>
            <w:tcBorders>
              <w:top w:val="nil"/>
              <w:left w:val="nil"/>
              <w:bottom w:val="single" w:sz="4" w:space="0" w:color="auto"/>
              <w:right w:val="nil"/>
            </w:tcBorders>
            <w:hideMark/>
          </w:tcPr>
          <w:p w14:paraId="27C44110"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0.112</w:t>
            </w:r>
          </w:p>
        </w:tc>
        <w:tc>
          <w:tcPr>
            <w:tcW w:w="1530" w:type="dxa"/>
            <w:tcBorders>
              <w:top w:val="nil"/>
              <w:left w:val="nil"/>
              <w:bottom w:val="single" w:sz="4" w:space="0" w:color="auto"/>
              <w:right w:val="nil"/>
            </w:tcBorders>
            <w:hideMark/>
          </w:tcPr>
          <w:p w14:paraId="2F00D815" w14:textId="77777777" w:rsidR="004A5AFD" w:rsidRDefault="004A5AFD">
            <w:pPr>
              <w:autoSpaceDE w:val="0"/>
              <w:autoSpaceDN w:val="0"/>
              <w:adjustRightInd w:val="0"/>
              <w:spacing w:line="480" w:lineRule="auto"/>
              <w:rPr>
                <w:rFonts w:ascii="Times New Roman" w:hAnsi="Times New Roman" w:cs="Times New Roman"/>
                <w:b/>
                <w:bCs/>
                <w:sz w:val="24"/>
                <w:szCs w:val="24"/>
              </w:rPr>
            </w:pPr>
            <w:r>
              <w:rPr>
                <w:rFonts w:ascii="Times New Roman" w:hAnsi="Times New Roman" w:cs="Times New Roman"/>
                <w:b/>
                <w:bCs/>
                <w:sz w:val="24"/>
                <w:szCs w:val="24"/>
              </w:rPr>
              <w:t>&lt;0.001*</w:t>
            </w:r>
          </w:p>
        </w:tc>
      </w:tr>
    </w:tbl>
    <w:p w14:paraId="7D3ADBA9" w14:textId="77777777" w:rsidR="004A5AFD" w:rsidRDefault="004A5AFD" w:rsidP="004A5AFD">
      <w:pPr>
        <w:autoSpaceDE w:val="0"/>
        <w:autoSpaceDN w:val="0"/>
        <w:adjustRightInd w:val="0"/>
        <w:spacing w:after="0" w:line="400" w:lineRule="atLeast"/>
        <w:rPr>
          <w:rFonts w:ascii="Times New Roman" w:hAnsi="Times New Roman" w:cs="Times New Roman"/>
          <w:sz w:val="24"/>
          <w:szCs w:val="24"/>
          <w:lang w:val="en-US"/>
        </w:rPr>
      </w:pPr>
    </w:p>
    <w:p w14:paraId="5609E67E" w14:textId="77777777" w:rsidR="000427FF" w:rsidRDefault="000427FF">
      <w:pPr>
        <w:rPr>
          <w:rFonts w:ascii="Times New Roman" w:hAnsi="Times New Roman" w:cs="Times New Roman"/>
          <w:sz w:val="24"/>
        </w:rPr>
      </w:pPr>
    </w:p>
    <w:p w14:paraId="54DC529A" w14:textId="77777777" w:rsidR="004A5AFD" w:rsidRDefault="000427FF">
      <w:pPr>
        <w:rPr>
          <w:rFonts w:ascii="Times New Roman" w:hAnsi="Times New Roman" w:cs="Times New Roman"/>
          <w:b/>
          <w:sz w:val="24"/>
        </w:rPr>
      </w:pPr>
      <w:r w:rsidRPr="000427FF">
        <w:rPr>
          <w:rFonts w:ascii="Times New Roman" w:hAnsi="Times New Roman" w:cs="Times New Roman"/>
          <w:b/>
          <w:sz w:val="24"/>
        </w:rPr>
        <w:t xml:space="preserve">DISCUSSION </w:t>
      </w:r>
    </w:p>
    <w:p w14:paraId="2359CE31" w14:textId="77777777" w:rsidR="000427FF" w:rsidRPr="000427FF" w:rsidRDefault="000427FF" w:rsidP="000427FF">
      <w:pPr>
        <w:jc w:val="both"/>
        <w:rPr>
          <w:rFonts w:ascii="Times New Roman" w:hAnsi="Times New Roman" w:cs="Times New Roman"/>
          <w:sz w:val="24"/>
        </w:rPr>
      </w:pPr>
      <w:r w:rsidRPr="000427FF">
        <w:rPr>
          <w:rFonts w:ascii="Times New Roman" w:hAnsi="Times New Roman" w:cs="Times New Roman"/>
          <w:sz w:val="24"/>
        </w:rPr>
        <w:t xml:space="preserve">This study was done to determine the serum Anti-Mullerian hormone levels as a marker of ovarian reserve among infertile women, and this involved a total study population of 130 participants made up of 65 participants who had been diagnosed with infertility and 65 fertile women as controls. </w:t>
      </w:r>
    </w:p>
    <w:p w14:paraId="4747E506" w14:textId="77777777" w:rsidR="000427FF" w:rsidRPr="00C20F8E" w:rsidRDefault="000427FF" w:rsidP="00C20F8E">
      <w:pPr>
        <w:jc w:val="both"/>
        <w:rPr>
          <w:rFonts w:ascii="Times New Roman" w:hAnsi="Times New Roman" w:cs="Times New Roman"/>
          <w:sz w:val="24"/>
        </w:rPr>
      </w:pPr>
      <w:r w:rsidRPr="000427FF">
        <w:rPr>
          <w:rFonts w:ascii="Times New Roman" w:hAnsi="Times New Roman" w:cs="Times New Roman"/>
          <w:sz w:val="24"/>
        </w:rPr>
        <w:t xml:space="preserve">In this study, the most represented age group was found to be the age range of between 26 – 30 years. This is similar to the findings in the study done by Oke </w:t>
      </w:r>
      <w:proofErr w:type="gramStart"/>
      <w:r w:rsidRPr="000427FF">
        <w:rPr>
          <w:rFonts w:ascii="Times New Roman" w:hAnsi="Times New Roman" w:cs="Times New Roman"/>
          <w:sz w:val="24"/>
        </w:rPr>
        <w:t>et al.</w:t>
      </w:r>
      <w:r w:rsidR="00C20F8E">
        <w:rPr>
          <w:rFonts w:ascii="Times New Roman" w:hAnsi="Times New Roman" w:cs="Times New Roman"/>
          <w:sz w:val="24"/>
          <w:vertAlign w:val="superscript"/>
        </w:rPr>
        <w:t>[</w:t>
      </w:r>
      <w:proofErr w:type="gramEnd"/>
      <w:r w:rsidR="00C20F8E">
        <w:rPr>
          <w:rFonts w:ascii="Times New Roman" w:hAnsi="Times New Roman" w:cs="Times New Roman"/>
          <w:sz w:val="24"/>
          <w:vertAlign w:val="superscript"/>
        </w:rPr>
        <w:t>15]</w:t>
      </w:r>
      <w:r w:rsidRPr="000427FF">
        <w:rPr>
          <w:rFonts w:ascii="Times New Roman" w:hAnsi="Times New Roman" w:cs="Times New Roman"/>
          <w:sz w:val="24"/>
        </w:rPr>
        <w:t xml:space="preserve"> And there was no statistically significant difference between the educational status, religion and duration of marriage between the test (infertile) and control </w:t>
      </w:r>
      <w:r w:rsidR="00C20F8E">
        <w:rPr>
          <w:rFonts w:ascii="Times New Roman" w:hAnsi="Times New Roman" w:cs="Times New Roman"/>
          <w:sz w:val="24"/>
        </w:rPr>
        <w:t xml:space="preserve">(fertile) groups respectively. </w:t>
      </w:r>
      <w:r w:rsidRPr="00102FF7">
        <w:rPr>
          <w:rFonts w:ascii="Times New Roman" w:hAnsi="Times New Roman" w:cs="Times New Roman"/>
          <w:sz w:val="24"/>
          <w:szCs w:val="24"/>
        </w:rPr>
        <w:t>The mean serum AMH level in women presenting with infertility in the study was 2.07±4.6ng/ml which is similar to 2.66±</w:t>
      </w:r>
      <w:r w:rsidR="00C20F8E">
        <w:rPr>
          <w:rFonts w:ascii="Times New Roman" w:hAnsi="Times New Roman" w:cs="Times New Roman"/>
          <w:sz w:val="24"/>
          <w:szCs w:val="24"/>
        </w:rPr>
        <w:t>4.23ng/ml reported by Oke et al,</w:t>
      </w:r>
      <w:r w:rsidR="00C20F8E">
        <w:rPr>
          <w:rFonts w:ascii="Times New Roman" w:hAnsi="Times New Roman" w:cs="Times New Roman"/>
          <w:sz w:val="24"/>
          <w:szCs w:val="24"/>
          <w:vertAlign w:val="superscript"/>
        </w:rPr>
        <w:t>[15]</w:t>
      </w:r>
      <w:r w:rsidRPr="00102FF7">
        <w:rPr>
          <w:rFonts w:ascii="Times New Roman" w:hAnsi="Times New Roman" w:cs="Times New Roman"/>
          <w:sz w:val="24"/>
          <w:szCs w:val="24"/>
        </w:rPr>
        <w:t xml:space="preserve"> in 2019 among infertile women in Osun state Nigeria and 2.91±0.98ng/ml reported by Kalaiselvi et al</w:t>
      </w:r>
      <w:r w:rsidR="00C20F8E">
        <w:rPr>
          <w:rFonts w:ascii="Times New Roman" w:hAnsi="Times New Roman" w:cs="Times New Roman"/>
          <w:sz w:val="24"/>
          <w:szCs w:val="24"/>
        </w:rPr>
        <w:t xml:space="preserve"> </w:t>
      </w:r>
      <w:r w:rsidR="00C20F8E">
        <w:rPr>
          <w:rFonts w:ascii="Times New Roman" w:hAnsi="Times New Roman" w:cs="Times New Roman"/>
          <w:sz w:val="24"/>
          <w:szCs w:val="24"/>
          <w:vertAlign w:val="superscript"/>
        </w:rPr>
        <w:t>[16]</w:t>
      </w:r>
      <w:r w:rsidRPr="00102FF7">
        <w:rPr>
          <w:rFonts w:ascii="Times New Roman" w:hAnsi="Times New Roman" w:cs="Times New Roman"/>
          <w:sz w:val="24"/>
          <w:szCs w:val="24"/>
        </w:rPr>
        <w:t xml:space="preserve">   among Indians in 2012.  Women with proven fertility had a mean AMH of 3.80±5.8ng/ml, this is similar to </w:t>
      </w:r>
      <w:r w:rsidRPr="00102FF7">
        <w:rPr>
          <w:rFonts w:ascii="Times New Roman" w:hAnsi="Times New Roman" w:cs="Times New Roman"/>
          <w:sz w:val="24"/>
          <w:szCs w:val="24"/>
        </w:rPr>
        <w:lastRenderedPageBreak/>
        <w:t>values by Kalaiselvi et al (3,70±1.6ng/ml)</w:t>
      </w:r>
      <w:r w:rsidR="00C20F8E">
        <w:rPr>
          <w:rFonts w:ascii="Times New Roman" w:hAnsi="Times New Roman" w:cs="Times New Roman"/>
          <w:sz w:val="24"/>
          <w:szCs w:val="24"/>
        </w:rPr>
        <w:t>.</w:t>
      </w:r>
      <w:r w:rsidR="00C20F8E">
        <w:rPr>
          <w:rFonts w:ascii="Times New Roman" w:hAnsi="Times New Roman" w:cs="Times New Roman"/>
          <w:sz w:val="24"/>
          <w:szCs w:val="24"/>
          <w:vertAlign w:val="superscript"/>
        </w:rPr>
        <w:t>[</w:t>
      </w:r>
      <w:r w:rsidR="00FE3058">
        <w:rPr>
          <w:rFonts w:ascii="Times New Roman" w:hAnsi="Times New Roman" w:cs="Times New Roman"/>
          <w:sz w:val="24"/>
          <w:szCs w:val="24"/>
          <w:vertAlign w:val="superscript"/>
        </w:rPr>
        <w:t>15</w:t>
      </w:r>
      <w:r w:rsidR="00C20F8E">
        <w:rPr>
          <w:rFonts w:ascii="Times New Roman" w:hAnsi="Times New Roman" w:cs="Times New Roman"/>
          <w:sz w:val="24"/>
          <w:szCs w:val="24"/>
          <w:vertAlign w:val="superscript"/>
        </w:rPr>
        <w:t>]</w:t>
      </w:r>
      <w:r w:rsidRPr="00102FF7">
        <w:rPr>
          <w:rFonts w:ascii="Times New Roman" w:hAnsi="Times New Roman" w:cs="Times New Roman"/>
          <w:sz w:val="24"/>
          <w:szCs w:val="24"/>
        </w:rPr>
        <w:t xml:space="preserve"> However, this is in </w:t>
      </w:r>
      <w:r w:rsidR="00FE3058">
        <w:rPr>
          <w:rFonts w:ascii="Times New Roman" w:hAnsi="Times New Roman" w:cs="Times New Roman"/>
          <w:sz w:val="24"/>
          <w:szCs w:val="24"/>
        </w:rPr>
        <w:t xml:space="preserve">disagreement with the study by </w:t>
      </w:r>
      <w:r w:rsidRPr="00102FF7">
        <w:rPr>
          <w:rFonts w:ascii="Times New Roman" w:hAnsi="Times New Roman" w:cs="Times New Roman"/>
          <w:sz w:val="24"/>
          <w:szCs w:val="24"/>
        </w:rPr>
        <w:t>Oke et al</w:t>
      </w:r>
      <w:r w:rsidR="00C20F8E">
        <w:rPr>
          <w:rFonts w:ascii="Times New Roman" w:hAnsi="Times New Roman" w:cs="Times New Roman"/>
          <w:sz w:val="24"/>
          <w:szCs w:val="24"/>
        </w:rPr>
        <w:t>.,</w:t>
      </w:r>
      <w:r w:rsidR="00C20F8E">
        <w:rPr>
          <w:rFonts w:ascii="Times New Roman" w:hAnsi="Times New Roman" w:cs="Times New Roman"/>
          <w:sz w:val="24"/>
          <w:szCs w:val="24"/>
          <w:vertAlign w:val="superscript"/>
        </w:rPr>
        <w:t>[15]</w:t>
      </w:r>
      <w:r w:rsidRPr="00102FF7">
        <w:rPr>
          <w:rFonts w:ascii="Times New Roman" w:hAnsi="Times New Roman" w:cs="Times New Roman"/>
          <w:sz w:val="24"/>
          <w:szCs w:val="24"/>
        </w:rPr>
        <w:t xml:space="preserve"> who reported a mean AMH 10.32±5.85ng/ml in her own study population.</w:t>
      </w:r>
    </w:p>
    <w:p w14:paraId="2C29EC00" w14:textId="77777777" w:rsidR="000427FF" w:rsidRPr="00102FF7" w:rsidRDefault="000427FF" w:rsidP="000427FF">
      <w:pPr>
        <w:spacing w:line="240" w:lineRule="auto"/>
        <w:jc w:val="both"/>
        <w:rPr>
          <w:rFonts w:ascii="Times New Roman" w:hAnsi="Times New Roman" w:cs="Times New Roman"/>
          <w:sz w:val="24"/>
          <w:szCs w:val="24"/>
        </w:rPr>
      </w:pPr>
      <w:r w:rsidRPr="00102FF7">
        <w:rPr>
          <w:rFonts w:ascii="Times New Roman" w:hAnsi="Times New Roman" w:cs="Times New Roman"/>
          <w:sz w:val="24"/>
          <w:szCs w:val="24"/>
        </w:rPr>
        <w:t>This study, observed that mean serum AMH levels when  compared between the infertile and fertile subjects were statistically significant (p=0.001), and it is believed that the early reduction in the amount of primordial follicles remaining in the ovaries may be responsible for the observed difference, thus pointing to a decline in ovarian reserve in infertile subjects. This also is in agreement with the studies done by Oke et al</w:t>
      </w:r>
      <w:r w:rsidR="00C20F8E">
        <w:rPr>
          <w:rFonts w:ascii="Times New Roman" w:hAnsi="Times New Roman" w:cs="Times New Roman"/>
          <w:sz w:val="24"/>
          <w:szCs w:val="24"/>
        </w:rPr>
        <w:t xml:space="preserve"> </w:t>
      </w:r>
      <w:r w:rsidR="00C20F8E">
        <w:rPr>
          <w:rFonts w:ascii="Times New Roman" w:hAnsi="Times New Roman" w:cs="Times New Roman"/>
          <w:sz w:val="24"/>
          <w:szCs w:val="24"/>
          <w:vertAlign w:val="superscript"/>
        </w:rPr>
        <w:t>[15]</w:t>
      </w:r>
      <w:r w:rsidRPr="00102FF7">
        <w:rPr>
          <w:rFonts w:ascii="Times New Roman" w:hAnsi="Times New Roman" w:cs="Times New Roman"/>
          <w:sz w:val="24"/>
          <w:szCs w:val="24"/>
        </w:rPr>
        <w:t xml:space="preserve"> and Kalaiselvi </w:t>
      </w:r>
      <w:proofErr w:type="gramStart"/>
      <w:r w:rsidRPr="00102FF7">
        <w:rPr>
          <w:rFonts w:ascii="Times New Roman" w:hAnsi="Times New Roman" w:cs="Times New Roman"/>
          <w:sz w:val="24"/>
          <w:szCs w:val="24"/>
        </w:rPr>
        <w:t>et al</w:t>
      </w:r>
      <w:r w:rsidR="00C20F8E">
        <w:rPr>
          <w:rFonts w:ascii="Times New Roman" w:hAnsi="Times New Roman" w:cs="Times New Roman"/>
          <w:sz w:val="24"/>
          <w:szCs w:val="24"/>
        </w:rPr>
        <w:t>.</w:t>
      </w:r>
      <w:r w:rsidR="00C20F8E">
        <w:rPr>
          <w:rFonts w:ascii="Times New Roman" w:hAnsi="Times New Roman" w:cs="Times New Roman"/>
          <w:sz w:val="24"/>
          <w:szCs w:val="24"/>
          <w:vertAlign w:val="superscript"/>
        </w:rPr>
        <w:t>[</w:t>
      </w:r>
      <w:proofErr w:type="gramEnd"/>
      <w:r w:rsidR="00C20F8E">
        <w:rPr>
          <w:rFonts w:ascii="Times New Roman" w:hAnsi="Times New Roman" w:cs="Times New Roman"/>
          <w:sz w:val="24"/>
          <w:szCs w:val="24"/>
          <w:vertAlign w:val="superscript"/>
        </w:rPr>
        <w:t>16]</w:t>
      </w:r>
    </w:p>
    <w:p w14:paraId="5F4F8727" w14:textId="77777777" w:rsidR="000427FF" w:rsidRPr="00102FF7" w:rsidRDefault="000427FF" w:rsidP="000427FF">
      <w:pPr>
        <w:spacing w:line="240" w:lineRule="auto"/>
        <w:jc w:val="both"/>
        <w:rPr>
          <w:rFonts w:ascii="Times New Roman" w:hAnsi="Times New Roman" w:cs="Times New Roman"/>
          <w:sz w:val="24"/>
          <w:szCs w:val="24"/>
        </w:rPr>
      </w:pPr>
      <w:r w:rsidRPr="00102FF7">
        <w:rPr>
          <w:rFonts w:ascii="Times New Roman" w:hAnsi="Times New Roman" w:cs="Times New Roman"/>
          <w:sz w:val="24"/>
          <w:szCs w:val="24"/>
        </w:rPr>
        <w:t xml:space="preserve">In this study, it was observed that mean FSH values were significantly different between the infertile and the fertile </w:t>
      </w:r>
      <w:r>
        <w:rPr>
          <w:rFonts w:ascii="Times New Roman" w:hAnsi="Times New Roman" w:cs="Times New Roman"/>
          <w:sz w:val="24"/>
          <w:szCs w:val="24"/>
        </w:rPr>
        <w:t>participan</w:t>
      </w:r>
      <w:r w:rsidRPr="00102FF7">
        <w:rPr>
          <w:rFonts w:ascii="Times New Roman" w:hAnsi="Times New Roman" w:cs="Times New Roman"/>
          <w:sz w:val="24"/>
          <w:szCs w:val="24"/>
        </w:rPr>
        <w:t xml:space="preserve">ts (p=0.025). </w:t>
      </w:r>
      <w:r w:rsidR="00C20F8E" w:rsidRPr="00102FF7">
        <w:rPr>
          <w:rFonts w:ascii="Times New Roman" w:hAnsi="Times New Roman" w:cs="Times New Roman"/>
          <w:sz w:val="24"/>
          <w:szCs w:val="24"/>
        </w:rPr>
        <w:t>This</w:t>
      </w:r>
      <w:r w:rsidRPr="00102FF7">
        <w:rPr>
          <w:rFonts w:ascii="Times New Roman" w:hAnsi="Times New Roman" w:cs="Times New Roman"/>
          <w:sz w:val="24"/>
          <w:szCs w:val="24"/>
        </w:rPr>
        <w:t xml:space="preserve"> is similar to the findings by Oke et al</w:t>
      </w:r>
      <w:r w:rsidR="00C20F8E">
        <w:rPr>
          <w:rFonts w:ascii="Times New Roman" w:hAnsi="Times New Roman" w:cs="Times New Roman"/>
          <w:sz w:val="24"/>
          <w:szCs w:val="24"/>
          <w:vertAlign w:val="superscript"/>
        </w:rPr>
        <w:t xml:space="preserve"> [15]</w:t>
      </w:r>
      <w:r w:rsidRPr="00102FF7">
        <w:rPr>
          <w:rFonts w:ascii="Times New Roman" w:hAnsi="Times New Roman" w:cs="Times New Roman"/>
          <w:sz w:val="24"/>
          <w:szCs w:val="24"/>
        </w:rPr>
        <w:t xml:space="preserve"> and Kalaiselvi et al</w:t>
      </w:r>
      <w:r w:rsidR="00C20F8E">
        <w:rPr>
          <w:rFonts w:ascii="Times New Roman" w:hAnsi="Times New Roman" w:cs="Times New Roman"/>
          <w:sz w:val="24"/>
          <w:szCs w:val="24"/>
        </w:rPr>
        <w:t>.</w:t>
      </w:r>
      <w:r w:rsidR="00C20F8E">
        <w:rPr>
          <w:rFonts w:ascii="Times New Roman" w:hAnsi="Times New Roman" w:cs="Times New Roman"/>
          <w:sz w:val="24"/>
          <w:szCs w:val="24"/>
          <w:vertAlign w:val="superscript"/>
        </w:rPr>
        <w:t>[16]</w:t>
      </w:r>
      <w:r w:rsidRPr="00102FF7">
        <w:rPr>
          <w:rFonts w:ascii="Times New Roman" w:hAnsi="Times New Roman" w:cs="Times New Roman"/>
          <w:sz w:val="24"/>
          <w:szCs w:val="24"/>
        </w:rPr>
        <w:t xml:space="preserve"> An elevated FSH level is an indication of declining ovarian reserve with levels as high as 10 – 15mIU/ml suggestive of a definitive reduction in ovarian reserve</w:t>
      </w:r>
      <w:r w:rsidR="00C20F8E">
        <w:rPr>
          <w:rFonts w:ascii="Times New Roman" w:hAnsi="Times New Roman" w:cs="Times New Roman"/>
          <w:sz w:val="24"/>
          <w:szCs w:val="24"/>
        </w:rPr>
        <w:t xml:space="preserve"> </w:t>
      </w:r>
      <w:r w:rsidR="00C20F8E">
        <w:rPr>
          <w:rFonts w:ascii="Times New Roman" w:hAnsi="Times New Roman" w:cs="Times New Roman"/>
          <w:sz w:val="24"/>
          <w:szCs w:val="24"/>
          <w:vertAlign w:val="superscript"/>
        </w:rPr>
        <w:t>[17]</w:t>
      </w:r>
      <w:r w:rsidRPr="00102FF7">
        <w:rPr>
          <w:rFonts w:ascii="Times New Roman" w:hAnsi="Times New Roman" w:cs="Times New Roman"/>
          <w:sz w:val="24"/>
          <w:szCs w:val="24"/>
          <w:vertAlign w:val="superscript"/>
        </w:rPr>
        <w:t xml:space="preserve"> </w:t>
      </w:r>
      <w:r w:rsidRPr="00102FF7">
        <w:rPr>
          <w:rFonts w:ascii="Times New Roman" w:hAnsi="Times New Roman" w:cs="Times New Roman"/>
          <w:sz w:val="24"/>
          <w:szCs w:val="24"/>
        </w:rPr>
        <w:t>and level ≥15mIU/ml, may suggest that the occurrence of pregnancy will be less frequent</w:t>
      </w:r>
      <w:r w:rsidR="00C20F8E">
        <w:rPr>
          <w:rFonts w:ascii="Times New Roman" w:hAnsi="Times New Roman" w:cs="Times New Roman"/>
          <w:sz w:val="24"/>
          <w:szCs w:val="24"/>
        </w:rPr>
        <w:t>.</w:t>
      </w:r>
      <w:r w:rsidR="00C20F8E">
        <w:rPr>
          <w:rFonts w:ascii="Times New Roman" w:hAnsi="Times New Roman" w:cs="Times New Roman"/>
          <w:sz w:val="24"/>
          <w:szCs w:val="24"/>
          <w:vertAlign w:val="superscript"/>
        </w:rPr>
        <w:t>[18]</w:t>
      </w:r>
      <w:r w:rsidRPr="00102FF7">
        <w:rPr>
          <w:rFonts w:ascii="Times New Roman" w:hAnsi="Times New Roman" w:cs="Times New Roman"/>
          <w:sz w:val="24"/>
          <w:szCs w:val="24"/>
        </w:rPr>
        <w:t xml:space="preserve"> There is also a statistically significant elevation of prolactin in the test population (infertile women) compared to the control (fertile women) (p=0.001). Significantly elevated prolactin decreases the level of estrogen production. This may be through an inhibitory effect on the hypothalamic gonadotropin-releasing hormone, thereby reducing the secretion of FSH and LH, with a subsequent direct negative effect on the ovary</w:t>
      </w:r>
      <w:r w:rsidR="00C20F8E">
        <w:rPr>
          <w:rFonts w:ascii="Times New Roman" w:hAnsi="Times New Roman" w:cs="Times New Roman"/>
          <w:sz w:val="24"/>
          <w:szCs w:val="24"/>
        </w:rPr>
        <w:t>.</w:t>
      </w:r>
      <w:r w:rsidR="00C20F8E">
        <w:rPr>
          <w:rFonts w:ascii="Times New Roman" w:hAnsi="Times New Roman" w:cs="Times New Roman"/>
          <w:sz w:val="24"/>
          <w:szCs w:val="24"/>
          <w:vertAlign w:val="superscript"/>
        </w:rPr>
        <w:t>[19]</w:t>
      </w:r>
      <w:r w:rsidRPr="00102FF7">
        <w:rPr>
          <w:rFonts w:ascii="Times New Roman" w:hAnsi="Times New Roman" w:cs="Times New Roman"/>
          <w:sz w:val="24"/>
          <w:szCs w:val="24"/>
        </w:rPr>
        <w:t xml:space="preserve">. There is also statistically significant higher mean level of LH among the infertile </w:t>
      </w:r>
      <w:r>
        <w:rPr>
          <w:rFonts w:ascii="Times New Roman" w:hAnsi="Times New Roman" w:cs="Times New Roman"/>
          <w:sz w:val="24"/>
          <w:szCs w:val="24"/>
        </w:rPr>
        <w:t>participan</w:t>
      </w:r>
      <w:r w:rsidRPr="00102FF7">
        <w:rPr>
          <w:rFonts w:ascii="Times New Roman" w:hAnsi="Times New Roman" w:cs="Times New Roman"/>
          <w:sz w:val="24"/>
          <w:szCs w:val="24"/>
        </w:rPr>
        <w:t xml:space="preserve">ts in the study when compared with the fertile </w:t>
      </w:r>
      <w:r>
        <w:rPr>
          <w:rFonts w:ascii="Times New Roman" w:hAnsi="Times New Roman" w:cs="Times New Roman"/>
          <w:sz w:val="24"/>
          <w:szCs w:val="24"/>
        </w:rPr>
        <w:t>participan</w:t>
      </w:r>
      <w:r w:rsidRPr="00102FF7">
        <w:rPr>
          <w:rFonts w:ascii="Times New Roman" w:hAnsi="Times New Roman" w:cs="Times New Roman"/>
          <w:sz w:val="24"/>
          <w:szCs w:val="24"/>
        </w:rPr>
        <w:t>ts (13.93±12.6 vs 8.73±2.3) (p=0.001)</w:t>
      </w:r>
      <w:r>
        <w:rPr>
          <w:rFonts w:ascii="Times New Roman" w:hAnsi="Times New Roman" w:cs="Times New Roman"/>
          <w:sz w:val="24"/>
          <w:szCs w:val="24"/>
        </w:rPr>
        <w:t xml:space="preserve">, </w:t>
      </w:r>
      <w:r w:rsidRPr="00102FF7">
        <w:rPr>
          <w:rFonts w:ascii="Times New Roman" w:hAnsi="Times New Roman" w:cs="Times New Roman"/>
          <w:sz w:val="24"/>
          <w:szCs w:val="24"/>
        </w:rPr>
        <w:t>and this could be associated with failure of conception, increased risk of spontaneous miscarriages, and reduction in the rate of fertilization</w:t>
      </w:r>
      <w:r w:rsidR="00AA3BEE">
        <w:rPr>
          <w:rFonts w:ascii="Times New Roman" w:hAnsi="Times New Roman" w:cs="Times New Roman"/>
          <w:sz w:val="24"/>
          <w:szCs w:val="24"/>
        </w:rPr>
        <w:t>.</w:t>
      </w:r>
      <w:r w:rsidR="00AA3BEE">
        <w:rPr>
          <w:rFonts w:ascii="Times New Roman" w:hAnsi="Times New Roman" w:cs="Times New Roman"/>
          <w:sz w:val="24"/>
          <w:szCs w:val="24"/>
          <w:vertAlign w:val="superscript"/>
        </w:rPr>
        <w:t>[20]</w:t>
      </w:r>
      <w:r w:rsidRPr="00102FF7">
        <w:rPr>
          <w:rFonts w:ascii="Times New Roman" w:hAnsi="Times New Roman" w:cs="Times New Roman"/>
          <w:sz w:val="24"/>
          <w:szCs w:val="24"/>
        </w:rPr>
        <w:t xml:space="preserve"> This could be a contributory factor for the infertility in the </w:t>
      </w:r>
      <w:r>
        <w:rPr>
          <w:rFonts w:ascii="Times New Roman" w:hAnsi="Times New Roman" w:cs="Times New Roman"/>
          <w:sz w:val="24"/>
          <w:szCs w:val="24"/>
        </w:rPr>
        <w:t>participan</w:t>
      </w:r>
      <w:r w:rsidRPr="00102FF7">
        <w:rPr>
          <w:rFonts w:ascii="Times New Roman" w:hAnsi="Times New Roman" w:cs="Times New Roman"/>
          <w:sz w:val="24"/>
          <w:szCs w:val="24"/>
        </w:rPr>
        <w:t xml:space="preserve">ts. Also, the mean level of </w:t>
      </w:r>
      <w:proofErr w:type="spellStart"/>
      <w:r w:rsidRPr="00102FF7">
        <w:rPr>
          <w:rFonts w:ascii="Times New Roman" w:hAnsi="Times New Roman" w:cs="Times New Roman"/>
          <w:sz w:val="24"/>
          <w:szCs w:val="24"/>
        </w:rPr>
        <w:t>estradiol</w:t>
      </w:r>
      <w:proofErr w:type="spellEnd"/>
      <w:r w:rsidRPr="00102FF7">
        <w:rPr>
          <w:rFonts w:ascii="Times New Roman" w:hAnsi="Times New Roman" w:cs="Times New Roman"/>
          <w:sz w:val="24"/>
          <w:szCs w:val="24"/>
        </w:rPr>
        <w:t xml:space="preserve"> (E</w:t>
      </w:r>
      <w:r w:rsidRPr="00102FF7">
        <w:rPr>
          <w:rFonts w:ascii="Times New Roman" w:hAnsi="Times New Roman" w:cs="Times New Roman"/>
          <w:sz w:val="24"/>
          <w:szCs w:val="24"/>
          <w:vertAlign w:val="subscript"/>
        </w:rPr>
        <w:t>2</w:t>
      </w:r>
      <w:r w:rsidRPr="00102FF7">
        <w:rPr>
          <w:rFonts w:ascii="Times New Roman" w:hAnsi="Times New Roman" w:cs="Times New Roman"/>
          <w:sz w:val="24"/>
          <w:szCs w:val="24"/>
        </w:rPr>
        <w:t>)</w:t>
      </w:r>
      <w:r w:rsidRPr="00102FF7">
        <w:rPr>
          <w:rFonts w:ascii="Times New Roman" w:hAnsi="Times New Roman" w:cs="Times New Roman"/>
          <w:sz w:val="24"/>
          <w:szCs w:val="24"/>
          <w:vertAlign w:val="subscript"/>
        </w:rPr>
        <w:t xml:space="preserve"> </w:t>
      </w:r>
      <w:r w:rsidRPr="00102FF7">
        <w:rPr>
          <w:rFonts w:ascii="Times New Roman" w:hAnsi="Times New Roman" w:cs="Times New Roman"/>
          <w:sz w:val="24"/>
          <w:szCs w:val="24"/>
        </w:rPr>
        <w:t xml:space="preserve">between the infertile and the fertile subjects statistically vary at 73,05±30.7 vs 63.50±16.3 (p=0.002). The higher level of </w:t>
      </w:r>
      <w:proofErr w:type="spellStart"/>
      <w:r w:rsidRPr="00102FF7">
        <w:rPr>
          <w:rFonts w:ascii="Times New Roman" w:hAnsi="Times New Roman" w:cs="Times New Roman"/>
          <w:sz w:val="24"/>
          <w:szCs w:val="24"/>
        </w:rPr>
        <w:t>estradiol</w:t>
      </w:r>
      <w:proofErr w:type="spellEnd"/>
      <w:r w:rsidRPr="00102FF7">
        <w:rPr>
          <w:rFonts w:ascii="Times New Roman" w:hAnsi="Times New Roman" w:cs="Times New Roman"/>
          <w:sz w:val="24"/>
          <w:szCs w:val="24"/>
        </w:rPr>
        <w:t xml:space="preserve"> (E</w:t>
      </w:r>
      <w:r w:rsidRPr="00102FF7">
        <w:rPr>
          <w:rFonts w:ascii="Times New Roman" w:hAnsi="Times New Roman" w:cs="Times New Roman"/>
          <w:sz w:val="24"/>
          <w:szCs w:val="24"/>
          <w:vertAlign w:val="subscript"/>
        </w:rPr>
        <w:t>2)</w:t>
      </w:r>
      <w:r w:rsidRPr="00102FF7">
        <w:rPr>
          <w:rFonts w:ascii="Times New Roman" w:hAnsi="Times New Roman" w:cs="Times New Roman"/>
          <w:sz w:val="24"/>
          <w:szCs w:val="24"/>
        </w:rPr>
        <w:t xml:space="preserve"> in the infertile </w:t>
      </w:r>
      <w:r>
        <w:rPr>
          <w:rFonts w:ascii="Times New Roman" w:hAnsi="Times New Roman" w:cs="Times New Roman"/>
          <w:sz w:val="24"/>
          <w:szCs w:val="24"/>
        </w:rPr>
        <w:t>participan</w:t>
      </w:r>
      <w:r w:rsidRPr="00102FF7">
        <w:rPr>
          <w:rFonts w:ascii="Times New Roman" w:hAnsi="Times New Roman" w:cs="Times New Roman"/>
          <w:sz w:val="24"/>
          <w:szCs w:val="24"/>
        </w:rPr>
        <w:t xml:space="preserve">ts may be an indication of declining ovarian reserve. Day 3 </w:t>
      </w:r>
      <w:proofErr w:type="spellStart"/>
      <w:r w:rsidRPr="00102FF7">
        <w:rPr>
          <w:rFonts w:ascii="Times New Roman" w:hAnsi="Times New Roman" w:cs="Times New Roman"/>
          <w:sz w:val="24"/>
          <w:szCs w:val="24"/>
        </w:rPr>
        <w:t>estradiol</w:t>
      </w:r>
      <w:proofErr w:type="spellEnd"/>
      <w:r w:rsidRPr="00102FF7">
        <w:rPr>
          <w:rFonts w:ascii="Times New Roman" w:hAnsi="Times New Roman" w:cs="Times New Roman"/>
          <w:sz w:val="24"/>
          <w:szCs w:val="24"/>
        </w:rPr>
        <w:t xml:space="preserve"> values between 75 – 80pg/mL is said to be suggestive of reduced ovarian </w:t>
      </w:r>
      <w:proofErr w:type="gramStart"/>
      <w:r w:rsidRPr="00102FF7">
        <w:rPr>
          <w:rFonts w:ascii="Times New Roman" w:hAnsi="Times New Roman" w:cs="Times New Roman"/>
          <w:sz w:val="24"/>
          <w:szCs w:val="24"/>
        </w:rPr>
        <w:t>reserve</w:t>
      </w:r>
      <w:r w:rsidR="00AA3BEE">
        <w:rPr>
          <w:rFonts w:ascii="Times New Roman" w:hAnsi="Times New Roman" w:cs="Times New Roman"/>
          <w:sz w:val="24"/>
          <w:szCs w:val="24"/>
        </w:rPr>
        <w:t>.</w:t>
      </w:r>
      <w:r w:rsidR="00AA3BEE">
        <w:rPr>
          <w:rFonts w:ascii="Times New Roman" w:hAnsi="Times New Roman" w:cs="Times New Roman"/>
          <w:sz w:val="24"/>
          <w:szCs w:val="24"/>
          <w:vertAlign w:val="superscript"/>
        </w:rPr>
        <w:t>[</w:t>
      </w:r>
      <w:proofErr w:type="gramEnd"/>
      <w:r w:rsidR="00AA3BEE">
        <w:rPr>
          <w:rFonts w:ascii="Times New Roman" w:hAnsi="Times New Roman" w:cs="Times New Roman"/>
          <w:sz w:val="24"/>
          <w:szCs w:val="24"/>
          <w:vertAlign w:val="superscript"/>
        </w:rPr>
        <w:t>21]</w:t>
      </w:r>
      <w:r w:rsidRPr="00102FF7">
        <w:rPr>
          <w:rFonts w:ascii="Times New Roman" w:hAnsi="Times New Roman" w:cs="Times New Roman"/>
          <w:sz w:val="24"/>
          <w:szCs w:val="24"/>
        </w:rPr>
        <w:t xml:space="preserve"> This finding is similar to that by other studies where the E</w:t>
      </w:r>
      <w:r w:rsidRPr="00102FF7">
        <w:rPr>
          <w:rFonts w:ascii="Times New Roman" w:hAnsi="Times New Roman" w:cs="Times New Roman"/>
          <w:sz w:val="24"/>
          <w:szCs w:val="24"/>
          <w:vertAlign w:val="subscript"/>
        </w:rPr>
        <w:t>2</w:t>
      </w:r>
      <w:r w:rsidRPr="00102FF7">
        <w:rPr>
          <w:rFonts w:ascii="Times New Roman" w:hAnsi="Times New Roman" w:cs="Times New Roman"/>
          <w:sz w:val="24"/>
          <w:szCs w:val="24"/>
        </w:rPr>
        <w:t xml:space="preserve"> in </w:t>
      </w:r>
      <w:r>
        <w:rPr>
          <w:rFonts w:ascii="Times New Roman" w:hAnsi="Times New Roman" w:cs="Times New Roman"/>
          <w:sz w:val="24"/>
          <w:szCs w:val="24"/>
        </w:rPr>
        <w:t>participan</w:t>
      </w:r>
      <w:r w:rsidRPr="00102FF7">
        <w:rPr>
          <w:rFonts w:ascii="Times New Roman" w:hAnsi="Times New Roman" w:cs="Times New Roman"/>
          <w:sz w:val="24"/>
          <w:szCs w:val="24"/>
        </w:rPr>
        <w:t xml:space="preserve">ts with infertility were found to be higher than that of fertile control </w:t>
      </w:r>
      <w:r>
        <w:rPr>
          <w:rFonts w:ascii="Times New Roman" w:hAnsi="Times New Roman" w:cs="Times New Roman"/>
          <w:sz w:val="24"/>
          <w:szCs w:val="24"/>
        </w:rPr>
        <w:t>participan</w:t>
      </w:r>
      <w:r w:rsidRPr="00102FF7">
        <w:rPr>
          <w:rFonts w:ascii="Times New Roman" w:hAnsi="Times New Roman" w:cs="Times New Roman"/>
          <w:sz w:val="24"/>
          <w:szCs w:val="24"/>
        </w:rPr>
        <w:t>ts</w:t>
      </w:r>
      <w:r w:rsidR="00AA3BEE">
        <w:rPr>
          <w:rFonts w:ascii="Times New Roman" w:hAnsi="Times New Roman" w:cs="Times New Roman"/>
          <w:sz w:val="24"/>
          <w:szCs w:val="24"/>
        </w:rPr>
        <w:t>.</w:t>
      </w:r>
      <w:r w:rsidR="00AA3BEE">
        <w:rPr>
          <w:rFonts w:ascii="Times New Roman" w:hAnsi="Times New Roman" w:cs="Times New Roman"/>
          <w:sz w:val="24"/>
          <w:szCs w:val="24"/>
          <w:vertAlign w:val="superscript"/>
        </w:rPr>
        <w:t>[15,16]</w:t>
      </w:r>
      <w:r w:rsidRPr="00102FF7">
        <w:rPr>
          <w:rFonts w:ascii="Times New Roman" w:hAnsi="Times New Roman" w:cs="Times New Roman"/>
          <w:sz w:val="24"/>
          <w:szCs w:val="24"/>
        </w:rPr>
        <w:t xml:space="preserve"> There was no significant difference in the mean levels of progesterone between the study groups.</w:t>
      </w:r>
    </w:p>
    <w:p w14:paraId="0900C421" w14:textId="77777777" w:rsidR="00B5449D" w:rsidRPr="00102FF7" w:rsidRDefault="00B5449D" w:rsidP="00B5449D">
      <w:pPr>
        <w:spacing w:line="240" w:lineRule="auto"/>
        <w:jc w:val="both"/>
        <w:rPr>
          <w:rFonts w:ascii="Times New Roman" w:hAnsi="Times New Roman" w:cs="Times New Roman"/>
          <w:sz w:val="24"/>
          <w:szCs w:val="24"/>
        </w:rPr>
      </w:pPr>
      <w:r w:rsidRPr="00102FF7">
        <w:rPr>
          <w:rFonts w:ascii="Times New Roman" w:hAnsi="Times New Roman" w:cs="Times New Roman"/>
          <w:sz w:val="24"/>
          <w:szCs w:val="24"/>
        </w:rPr>
        <w:t>In predicting ovarian reserve, this study found that AMH demonstrated a high predictive value with an area under the curve of 0.721(0.630 – 0.812)</w:t>
      </w:r>
      <w:r w:rsidR="003D6BAF">
        <w:rPr>
          <w:rFonts w:ascii="Times New Roman" w:hAnsi="Times New Roman" w:cs="Times New Roman"/>
          <w:sz w:val="24"/>
          <w:szCs w:val="24"/>
        </w:rPr>
        <w:t xml:space="preserve"> p&lt;0.001, even when compared to</w:t>
      </w:r>
      <w:r w:rsidRPr="00102FF7">
        <w:rPr>
          <w:rFonts w:ascii="Times New Roman" w:hAnsi="Times New Roman" w:cs="Times New Roman"/>
          <w:sz w:val="24"/>
          <w:szCs w:val="24"/>
        </w:rPr>
        <w:t xml:space="preserve"> the traditionally used FSH which had an AUC of 0.614(0.13 – 0.715) p=0.025. This is comparable to studies done by Kalaiselvi VS et al</w:t>
      </w:r>
      <w:r w:rsidRPr="00102FF7">
        <w:rPr>
          <w:rFonts w:ascii="Times New Roman" w:hAnsi="Times New Roman" w:cs="Times New Roman"/>
          <w:sz w:val="24"/>
          <w:szCs w:val="24"/>
          <w:vertAlign w:val="superscript"/>
        </w:rPr>
        <w:t>99</w:t>
      </w:r>
      <w:r w:rsidRPr="00102FF7">
        <w:rPr>
          <w:rFonts w:ascii="Times New Roman" w:hAnsi="Times New Roman" w:cs="Times New Roman"/>
          <w:sz w:val="24"/>
          <w:szCs w:val="24"/>
        </w:rPr>
        <w:t xml:space="preserve"> and Wang X </w:t>
      </w:r>
      <w:proofErr w:type="gramStart"/>
      <w:r w:rsidRPr="00102FF7">
        <w:rPr>
          <w:rFonts w:ascii="Times New Roman" w:hAnsi="Times New Roman" w:cs="Times New Roman"/>
          <w:sz w:val="24"/>
          <w:szCs w:val="24"/>
        </w:rPr>
        <w:t>et al</w:t>
      </w:r>
      <w:r w:rsidR="00AA3BEE">
        <w:rPr>
          <w:rFonts w:ascii="Times New Roman" w:hAnsi="Times New Roman" w:cs="Times New Roman"/>
          <w:sz w:val="24"/>
          <w:szCs w:val="24"/>
        </w:rPr>
        <w:t>.</w:t>
      </w:r>
      <w:r w:rsidR="00AA3BEE">
        <w:rPr>
          <w:rFonts w:ascii="Times New Roman" w:hAnsi="Times New Roman" w:cs="Times New Roman"/>
          <w:sz w:val="24"/>
          <w:szCs w:val="24"/>
          <w:vertAlign w:val="superscript"/>
        </w:rPr>
        <w:t>[</w:t>
      </w:r>
      <w:proofErr w:type="gramEnd"/>
      <w:r w:rsidR="00AA3BEE">
        <w:rPr>
          <w:rFonts w:ascii="Times New Roman" w:hAnsi="Times New Roman" w:cs="Times New Roman"/>
          <w:sz w:val="24"/>
          <w:szCs w:val="24"/>
          <w:vertAlign w:val="superscript"/>
        </w:rPr>
        <w:t>22]</w:t>
      </w:r>
    </w:p>
    <w:p w14:paraId="7D70DB1C" w14:textId="77777777" w:rsidR="00371494" w:rsidRPr="00371494" w:rsidRDefault="00371494" w:rsidP="00371494">
      <w:pPr>
        <w:jc w:val="both"/>
        <w:rPr>
          <w:rFonts w:ascii="Times New Roman" w:hAnsi="Times New Roman" w:cs="Times New Roman"/>
          <w:b/>
          <w:sz w:val="24"/>
        </w:rPr>
      </w:pPr>
      <w:r w:rsidRPr="00371494">
        <w:rPr>
          <w:rFonts w:ascii="Times New Roman" w:hAnsi="Times New Roman" w:cs="Times New Roman"/>
          <w:b/>
          <w:sz w:val="24"/>
        </w:rPr>
        <w:t xml:space="preserve">CONCLUSION    </w:t>
      </w:r>
    </w:p>
    <w:p w14:paraId="6D92B90E" w14:textId="77777777" w:rsidR="00356BCC" w:rsidRDefault="00371494" w:rsidP="00371494">
      <w:pPr>
        <w:jc w:val="both"/>
        <w:rPr>
          <w:rFonts w:ascii="Times New Roman" w:hAnsi="Times New Roman" w:cs="Times New Roman"/>
          <w:sz w:val="24"/>
        </w:rPr>
      </w:pPr>
      <w:r w:rsidRPr="00371494">
        <w:rPr>
          <w:rFonts w:ascii="Times New Roman" w:hAnsi="Times New Roman" w:cs="Times New Roman"/>
          <w:sz w:val="24"/>
        </w:rPr>
        <w:t xml:space="preserve">This study found that the mean AMH </w:t>
      </w:r>
      <w:r w:rsidR="00F43264" w:rsidRPr="00371494">
        <w:rPr>
          <w:rFonts w:ascii="Times New Roman" w:hAnsi="Times New Roman" w:cs="Times New Roman"/>
          <w:sz w:val="24"/>
        </w:rPr>
        <w:t>level was</w:t>
      </w:r>
      <w:r w:rsidRPr="00371494">
        <w:rPr>
          <w:rFonts w:ascii="Times New Roman" w:hAnsi="Times New Roman" w:cs="Times New Roman"/>
          <w:sz w:val="24"/>
        </w:rPr>
        <w:t xml:space="preserve"> significantly lower in infertile subjects when compared to the fertile ones. AMH is a valuable biomarker of ovarian reserve because it is cycle independent when compared with other reproductive hormones, with low levels seen in infertile women such women should be encouraged to </w:t>
      </w:r>
      <w:r w:rsidR="00F43264">
        <w:rPr>
          <w:rFonts w:ascii="Times New Roman" w:hAnsi="Times New Roman" w:cs="Times New Roman"/>
          <w:sz w:val="24"/>
        </w:rPr>
        <w:t>take advantage</w:t>
      </w:r>
      <w:r w:rsidRPr="00371494">
        <w:rPr>
          <w:rFonts w:ascii="Times New Roman" w:hAnsi="Times New Roman" w:cs="Times New Roman"/>
          <w:sz w:val="24"/>
        </w:rPr>
        <w:t xml:space="preserve"> </w:t>
      </w:r>
      <w:r w:rsidR="00F43264">
        <w:rPr>
          <w:rFonts w:ascii="Times New Roman" w:hAnsi="Times New Roman" w:cs="Times New Roman"/>
          <w:sz w:val="24"/>
        </w:rPr>
        <w:t>of</w:t>
      </w:r>
      <w:r w:rsidRPr="00371494">
        <w:rPr>
          <w:rFonts w:ascii="Times New Roman" w:hAnsi="Times New Roman" w:cs="Times New Roman"/>
          <w:sz w:val="24"/>
        </w:rPr>
        <w:t xml:space="preserve"> assisted reproductive technology to enhance their ability to conceive.  </w:t>
      </w:r>
    </w:p>
    <w:p w14:paraId="30D23FE7" w14:textId="77777777" w:rsidR="00356BCC" w:rsidRPr="00356BCC" w:rsidRDefault="00356BCC" w:rsidP="00356BCC">
      <w:pPr>
        <w:jc w:val="both"/>
        <w:rPr>
          <w:rFonts w:ascii="Times New Roman" w:hAnsi="Times New Roman" w:cs="Times New Roman"/>
          <w:b/>
          <w:sz w:val="24"/>
        </w:rPr>
      </w:pPr>
      <w:r w:rsidRPr="00356BCC">
        <w:rPr>
          <w:rFonts w:ascii="Times New Roman" w:hAnsi="Times New Roman" w:cs="Times New Roman"/>
          <w:b/>
          <w:sz w:val="24"/>
        </w:rPr>
        <w:t>Limitation of the study</w:t>
      </w:r>
    </w:p>
    <w:p w14:paraId="0CEA5777" w14:textId="77777777" w:rsidR="00524C49" w:rsidRDefault="00356BCC" w:rsidP="00356BCC">
      <w:pPr>
        <w:jc w:val="both"/>
        <w:rPr>
          <w:rFonts w:ascii="Times New Roman" w:hAnsi="Times New Roman" w:cs="Times New Roman"/>
          <w:sz w:val="24"/>
        </w:rPr>
      </w:pPr>
      <w:r w:rsidRPr="00356BCC">
        <w:rPr>
          <w:rFonts w:ascii="Times New Roman" w:hAnsi="Times New Roman" w:cs="Times New Roman"/>
          <w:sz w:val="24"/>
        </w:rPr>
        <w:t>The study was restricted to a single hospital where there was the tendency of missing out on a certain population of women who presented in the study</w:t>
      </w:r>
      <w:r>
        <w:rPr>
          <w:rFonts w:ascii="Times New Roman" w:hAnsi="Times New Roman" w:cs="Times New Roman"/>
          <w:sz w:val="24"/>
        </w:rPr>
        <w:t xml:space="preserve">. </w:t>
      </w:r>
      <w:r w:rsidRPr="00356BCC">
        <w:rPr>
          <w:rFonts w:ascii="Times New Roman" w:hAnsi="Times New Roman" w:cs="Times New Roman"/>
          <w:sz w:val="24"/>
        </w:rPr>
        <w:t xml:space="preserve">Some participants could have sought alternative means or method of managing their infertility in addition to hospital </w:t>
      </w:r>
      <w:r w:rsidRPr="00356BCC">
        <w:rPr>
          <w:rFonts w:ascii="Times New Roman" w:hAnsi="Times New Roman" w:cs="Times New Roman"/>
          <w:sz w:val="24"/>
        </w:rPr>
        <w:lastRenderedPageBreak/>
        <w:t>management thereby affecting t</w:t>
      </w:r>
      <w:r w:rsidR="003A090E">
        <w:rPr>
          <w:rFonts w:ascii="Times New Roman" w:hAnsi="Times New Roman" w:cs="Times New Roman"/>
          <w:sz w:val="24"/>
        </w:rPr>
        <w:t>he result that were arrived at. Also, d</w:t>
      </w:r>
      <w:r w:rsidRPr="00356BCC">
        <w:rPr>
          <w:rFonts w:ascii="Times New Roman" w:hAnsi="Times New Roman" w:cs="Times New Roman"/>
          <w:sz w:val="24"/>
        </w:rPr>
        <w:t xml:space="preserve">emographic data (age, religion, etc.) provided by participants could not </w:t>
      </w:r>
      <w:r w:rsidR="003A090E">
        <w:rPr>
          <w:rFonts w:ascii="Times New Roman" w:hAnsi="Times New Roman" w:cs="Times New Roman"/>
          <w:sz w:val="24"/>
        </w:rPr>
        <w:t xml:space="preserve">be </w:t>
      </w:r>
      <w:r w:rsidRPr="00356BCC">
        <w:rPr>
          <w:rFonts w:ascii="Times New Roman" w:hAnsi="Times New Roman" w:cs="Times New Roman"/>
          <w:sz w:val="24"/>
        </w:rPr>
        <w:t>confirmed or verified</w:t>
      </w:r>
      <w:r w:rsidR="003A090E">
        <w:rPr>
          <w:rFonts w:ascii="Times New Roman" w:hAnsi="Times New Roman" w:cs="Times New Roman"/>
          <w:sz w:val="24"/>
        </w:rPr>
        <w:t>.</w:t>
      </w:r>
    </w:p>
    <w:p w14:paraId="54338C50" w14:textId="77777777" w:rsidR="00AD3511" w:rsidRDefault="00AD3511" w:rsidP="00371494">
      <w:pPr>
        <w:jc w:val="both"/>
        <w:rPr>
          <w:rFonts w:ascii="Times New Roman" w:hAnsi="Times New Roman" w:cs="Times New Roman"/>
          <w:b/>
          <w:sz w:val="24"/>
        </w:rPr>
      </w:pPr>
    </w:p>
    <w:p w14:paraId="6D40F2B9" w14:textId="083AD615" w:rsidR="00524C49" w:rsidRDefault="00524C49" w:rsidP="00371494">
      <w:pPr>
        <w:jc w:val="both"/>
        <w:rPr>
          <w:rFonts w:ascii="Times New Roman" w:hAnsi="Times New Roman" w:cs="Times New Roman"/>
          <w:b/>
          <w:sz w:val="24"/>
        </w:rPr>
      </w:pPr>
      <w:bookmarkStart w:id="14" w:name="_GoBack"/>
      <w:bookmarkEnd w:id="14"/>
      <w:r w:rsidRPr="00524C49">
        <w:rPr>
          <w:rFonts w:ascii="Times New Roman" w:hAnsi="Times New Roman" w:cs="Times New Roman"/>
          <w:b/>
          <w:sz w:val="24"/>
        </w:rPr>
        <w:t>REFERENCES</w:t>
      </w:r>
    </w:p>
    <w:p w14:paraId="6FAC9565" w14:textId="579D3780" w:rsidR="00956A5B" w:rsidRPr="00956A5B" w:rsidRDefault="009A3335" w:rsidP="00956A5B">
      <w:pPr>
        <w:pStyle w:val="ListParagraph"/>
        <w:numPr>
          <w:ilvl w:val="0"/>
          <w:numId w:val="5"/>
        </w:numPr>
        <w:ind w:left="90" w:hanging="180"/>
        <w:jc w:val="both"/>
        <w:rPr>
          <w:rFonts w:ascii="Times New Roman" w:hAnsi="Times New Roman" w:cs="Times New Roman"/>
          <w:sz w:val="24"/>
        </w:rPr>
      </w:pPr>
      <w:proofErr w:type="spellStart"/>
      <w:r w:rsidRPr="009A3335">
        <w:rPr>
          <w:rFonts w:ascii="Times New Roman" w:hAnsi="Times New Roman" w:cs="Times New Roman"/>
          <w:sz w:val="24"/>
          <w:szCs w:val="24"/>
        </w:rPr>
        <w:t>DeCherney</w:t>
      </w:r>
      <w:proofErr w:type="spellEnd"/>
      <w:r w:rsidRPr="009A3335">
        <w:rPr>
          <w:rFonts w:ascii="Times New Roman" w:hAnsi="Times New Roman" w:cs="Times New Roman"/>
          <w:sz w:val="24"/>
          <w:szCs w:val="24"/>
        </w:rPr>
        <w:t xml:space="preserve">, A. H., Nathan, L., Laufer, N., &amp; Roman, A. S. (Eds.). (2013). Current diagnosis &amp; treatment: Obstetrics &amp; gynecology (11th ed.). McGraw-Hill Education. </w:t>
      </w:r>
      <w:hyperlink r:id="rId9" w:history="1">
        <w:r w:rsidRPr="002F29B3">
          <w:rPr>
            <w:rStyle w:val="Hyperlink"/>
            <w:rFonts w:ascii="Times New Roman" w:hAnsi="Times New Roman" w:cs="Times New Roman"/>
            <w:sz w:val="24"/>
            <w:szCs w:val="24"/>
          </w:rPr>
          <w:t>https://accessmedicine.mhmedical.com/book.aspx?bookid=498</w:t>
        </w:r>
      </w:hyperlink>
      <w:r>
        <w:rPr>
          <w:rFonts w:ascii="Times New Roman" w:hAnsi="Times New Roman" w:cs="Times New Roman"/>
          <w:sz w:val="24"/>
          <w:szCs w:val="24"/>
        </w:rPr>
        <w:t xml:space="preserve"> </w:t>
      </w:r>
      <w:r w:rsidR="00B16A00" w:rsidRPr="00956A5B">
        <w:rPr>
          <w:rFonts w:ascii="Times New Roman" w:hAnsi="Times New Roman" w:cs="Times New Roman"/>
          <w:sz w:val="24"/>
          <w:szCs w:val="24"/>
        </w:rPr>
        <w:t xml:space="preserve"> </w:t>
      </w:r>
    </w:p>
    <w:p w14:paraId="4AEC3D00" w14:textId="5364E180" w:rsidR="00956A5B" w:rsidRPr="00956A5B" w:rsidRDefault="00FB63C1" w:rsidP="00371494">
      <w:pPr>
        <w:pStyle w:val="ListParagraph"/>
        <w:numPr>
          <w:ilvl w:val="0"/>
          <w:numId w:val="5"/>
        </w:numPr>
        <w:ind w:left="90" w:hanging="180"/>
        <w:jc w:val="both"/>
        <w:rPr>
          <w:rFonts w:ascii="Times New Roman" w:hAnsi="Times New Roman" w:cs="Times New Roman"/>
          <w:sz w:val="24"/>
        </w:rPr>
      </w:pPr>
      <w:r w:rsidRPr="00FB63C1">
        <w:rPr>
          <w:rFonts w:ascii="Times New Roman" w:hAnsi="Times New Roman" w:cs="Times New Roman"/>
          <w:sz w:val="24"/>
          <w:szCs w:val="24"/>
        </w:rPr>
        <w:t xml:space="preserve">Cui, W. (2010). Mother or nothing: The agony of infertility. Bulletin of the World Health Organization, 88(12), 881-882. </w:t>
      </w:r>
      <w:hyperlink r:id="rId10" w:history="1">
        <w:r w:rsidRPr="002F29B3">
          <w:rPr>
            <w:rStyle w:val="Hyperlink"/>
            <w:rFonts w:ascii="Times New Roman" w:hAnsi="Times New Roman" w:cs="Times New Roman"/>
            <w:sz w:val="24"/>
            <w:szCs w:val="24"/>
          </w:rPr>
          <w:t>https://doi.org/10.2471/BLT.10.011210</w:t>
        </w:r>
      </w:hyperlink>
      <w:r>
        <w:rPr>
          <w:rFonts w:ascii="Times New Roman" w:hAnsi="Times New Roman" w:cs="Times New Roman"/>
          <w:sz w:val="24"/>
          <w:szCs w:val="24"/>
        </w:rPr>
        <w:t xml:space="preserve"> </w:t>
      </w:r>
      <w:r w:rsidR="00B16A00" w:rsidRPr="00956A5B">
        <w:rPr>
          <w:rFonts w:ascii="Times New Roman" w:hAnsi="Times New Roman" w:cs="Times New Roman"/>
          <w:sz w:val="24"/>
          <w:szCs w:val="24"/>
        </w:rPr>
        <w:t>.</w:t>
      </w:r>
      <w:r w:rsidR="00371494" w:rsidRPr="00956A5B">
        <w:rPr>
          <w:rFonts w:ascii="Times New Roman" w:hAnsi="Times New Roman" w:cs="Times New Roman"/>
          <w:b/>
          <w:sz w:val="24"/>
        </w:rPr>
        <w:t xml:space="preserve">   </w:t>
      </w:r>
    </w:p>
    <w:p w14:paraId="63ED05D6" w14:textId="77777777" w:rsidR="00956A5B" w:rsidRDefault="00B16A00" w:rsidP="00371494">
      <w:pPr>
        <w:pStyle w:val="ListParagraph"/>
        <w:numPr>
          <w:ilvl w:val="0"/>
          <w:numId w:val="5"/>
        </w:numPr>
        <w:ind w:left="90" w:hanging="180"/>
        <w:jc w:val="both"/>
        <w:rPr>
          <w:rFonts w:ascii="Times New Roman" w:hAnsi="Times New Roman" w:cs="Times New Roman"/>
          <w:sz w:val="24"/>
        </w:rPr>
      </w:pPr>
      <w:r w:rsidRPr="00956A5B">
        <w:rPr>
          <w:rFonts w:ascii="Times New Roman" w:hAnsi="Times New Roman" w:cs="Times New Roman"/>
          <w:sz w:val="24"/>
        </w:rPr>
        <w:t>Macro O R C, WHO. Sexual and reproductive health: Infecundity, infertility and childlessness in the developing countries. Demographic and Health Survey (DHS) Comparative report 9. 2004:74-75.</w:t>
      </w:r>
      <w:r w:rsidR="00371494" w:rsidRPr="00956A5B">
        <w:rPr>
          <w:rFonts w:ascii="Times New Roman" w:hAnsi="Times New Roman" w:cs="Times New Roman"/>
          <w:sz w:val="24"/>
        </w:rPr>
        <w:t xml:space="preserve"> </w:t>
      </w:r>
    </w:p>
    <w:p w14:paraId="1705BE9B" w14:textId="7ABE2274" w:rsidR="00956A5B" w:rsidRDefault="00741921" w:rsidP="00371494">
      <w:pPr>
        <w:pStyle w:val="ListParagraph"/>
        <w:numPr>
          <w:ilvl w:val="0"/>
          <w:numId w:val="5"/>
        </w:numPr>
        <w:ind w:left="90" w:hanging="180"/>
        <w:jc w:val="both"/>
        <w:rPr>
          <w:rFonts w:ascii="Times New Roman" w:hAnsi="Times New Roman" w:cs="Times New Roman"/>
          <w:sz w:val="24"/>
        </w:rPr>
      </w:pPr>
      <w:proofErr w:type="spellStart"/>
      <w:r w:rsidRPr="00741921">
        <w:rPr>
          <w:rFonts w:ascii="Times New Roman" w:hAnsi="Times New Roman" w:cs="Times New Roman"/>
          <w:sz w:val="24"/>
        </w:rPr>
        <w:t>Araoye</w:t>
      </w:r>
      <w:proofErr w:type="spellEnd"/>
      <w:r w:rsidRPr="00741921">
        <w:rPr>
          <w:rFonts w:ascii="Times New Roman" w:hAnsi="Times New Roman" w:cs="Times New Roman"/>
          <w:sz w:val="24"/>
        </w:rPr>
        <w:t xml:space="preserve">, M. O. (2003). Epidemiology of infertility: social problems of the infertile couples. West African Journal of Medicine, 22(2), 190–196. </w:t>
      </w:r>
      <w:hyperlink r:id="rId11" w:history="1">
        <w:r w:rsidRPr="002F29B3">
          <w:rPr>
            <w:rStyle w:val="Hyperlink"/>
            <w:rFonts w:ascii="Times New Roman" w:hAnsi="Times New Roman" w:cs="Times New Roman"/>
            <w:sz w:val="24"/>
          </w:rPr>
          <w:t>https://doi.org/10.4314/wajm.v22i2.27946</w:t>
        </w:r>
      </w:hyperlink>
      <w:r>
        <w:rPr>
          <w:rFonts w:ascii="Times New Roman" w:hAnsi="Times New Roman" w:cs="Times New Roman"/>
          <w:sz w:val="24"/>
        </w:rPr>
        <w:t xml:space="preserve"> </w:t>
      </w:r>
    </w:p>
    <w:p w14:paraId="526E0E4F" w14:textId="2CF9E37C" w:rsidR="00956A5B" w:rsidRDefault="00884939" w:rsidP="00371494">
      <w:pPr>
        <w:pStyle w:val="ListParagraph"/>
        <w:numPr>
          <w:ilvl w:val="0"/>
          <w:numId w:val="5"/>
        </w:numPr>
        <w:ind w:left="90" w:hanging="180"/>
        <w:jc w:val="both"/>
        <w:rPr>
          <w:rFonts w:ascii="Times New Roman" w:hAnsi="Times New Roman" w:cs="Times New Roman"/>
          <w:sz w:val="24"/>
        </w:rPr>
      </w:pPr>
      <w:proofErr w:type="spellStart"/>
      <w:r w:rsidRPr="00884939">
        <w:rPr>
          <w:rFonts w:ascii="Times New Roman" w:hAnsi="Times New Roman" w:cs="Times New Roman"/>
          <w:sz w:val="24"/>
        </w:rPr>
        <w:t>Etuk</w:t>
      </w:r>
      <w:proofErr w:type="spellEnd"/>
      <w:r w:rsidRPr="00884939">
        <w:rPr>
          <w:rFonts w:ascii="Times New Roman" w:hAnsi="Times New Roman" w:cs="Times New Roman"/>
          <w:sz w:val="24"/>
        </w:rPr>
        <w:t xml:space="preserve">, S. J. (2009). Reproductive health: global infertility trend. Niger J </w:t>
      </w:r>
      <w:proofErr w:type="spellStart"/>
      <w:r w:rsidRPr="00884939">
        <w:rPr>
          <w:rFonts w:ascii="Times New Roman" w:hAnsi="Times New Roman" w:cs="Times New Roman"/>
          <w:sz w:val="24"/>
        </w:rPr>
        <w:t>Physiol</w:t>
      </w:r>
      <w:proofErr w:type="spellEnd"/>
      <w:r w:rsidRPr="00884939">
        <w:rPr>
          <w:rFonts w:ascii="Times New Roman" w:hAnsi="Times New Roman" w:cs="Times New Roman"/>
          <w:sz w:val="24"/>
        </w:rPr>
        <w:t xml:space="preserve"> Sci, 24(2), 85–90. </w:t>
      </w:r>
      <w:hyperlink r:id="rId12" w:history="1">
        <w:r w:rsidRPr="002F29B3">
          <w:rPr>
            <w:rStyle w:val="Hyperlink"/>
            <w:rFonts w:ascii="Times New Roman" w:hAnsi="Times New Roman" w:cs="Times New Roman"/>
            <w:sz w:val="24"/>
          </w:rPr>
          <w:t>https://doi.org/10.4314/njps.v24i2.52920</w:t>
        </w:r>
      </w:hyperlink>
      <w:r>
        <w:rPr>
          <w:rFonts w:ascii="Times New Roman" w:hAnsi="Times New Roman" w:cs="Times New Roman"/>
          <w:sz w:val="24"/>
        </w:rPr>
        <w:t xml:space="preserve"> </w:t>
      </w:r>
      <w:r w:rsidR="00F24023" w:rsidRPr="00956A5B">
        <w:rPr>
          <w:rFonts w:ascii="Times New Roman" w:hAnsi="Times New Roman" w:cs="Times New Roman"/>
          <w:sz w:val="24"/>
        </w:rPr>
        <w:t xml:space="preserve"> </w:t>
      </w:r>
      <w:r w:rsidR="00371494" w:rsidRPr="00956A5B">
        <w:rPr>
          <w:rFonts w:ascii="Times New Roman" w:hAnsi="Times New Roman" w:cs="Times New Roman"/>
          <w:sz w:val="24"/>
        </w:rPr>
        <w:t xml:space="preserve"> </w:t>
      </w:r>
    </w:p>
    <w:p w14:paraId="6327C9E8" w14:textId="72289297" w:rsidR="00956A5B" w:rsidRPr="00956A5B" w:rsidRDefault="00A87353" w:rsidP="00C73D52">
      <w:pPr>
        <w:pStyle w:val="ListParagraph"/>
        <w:numPr>
          <w:ilvl w:val="0"/>
          <w:numId w:val="5"/>
        </w:numPr>
        <w:ind w:left="90" w:hanging="180"/>
        <w:jc w:val="both"/>
        <w:rPr>
          <w:rFonts w:ascii="Times New Roman" w:hAnsi="Times New Roman" w:cs="Times New Roman"/>
          <w:sz w:val="24"/>
        </w:rPr>
      </w:pPr>
      <w:proofErr w:type="spellStart"/>
      <w:r w:rsidRPr="00A87353">
        <w:rPr>
          <w:rFonts w:ascii="Times New Roman" w:hAnsi="Times New Roman" w:cs="Times New Roman"/>
          <w:sz w:val="24"/>
          <w:szCs w:val="24"/>
        </w:rPr>
        <w:t>Baheti</w:t>
      </w:r>
      <w:proofErr w:type="spellEnd"/>
      <w:r w:rsidRPr="00A87353">
        <w:rPr>
          <w:rFonts w:ascii="Times New Roman" w:hAnsi="Times New Roman" w:cs="Times New Roman"/>
          <w:sz w:val="24"/>
          <w:szCs w:val="24"/>
        </w:rPr>
        <w:t xml:space="preserve">, S., Verma, A., &amp; Sharma, M. (2019). Premature ovarian failure incidence, risk factors and its relation to BMI and infertility. International Journal of Reproduction, Contraception, Obstetrics and Gynecology, 8(3), 947–950. </w:t>
      </w:r>
      <w:hyperlink r:id="rId13" w:history="1">
        <w:r w:rsidRPr="002F29B3">
          <w:rPr>
            <w:rStyle w:val="Hyperlink"/>
            <w:rFonts w:ascii="Times New Roman" w:hAnsi="Times New Roman" w:cs="Times New Roman"/>
            <w:sz w:val="24"/>
            <w:szCs w:val="24"/>
          </w:rPr>
          <w:t>https://doi.org/10.18203/2320-1770.ijrcog20190862</w:t>
        </w:r>
      </w:hyperlink>
      <w:r>
        <w:rPr>
          <w:rFonts w:ascii="Times New Roman" w:hAnsi="Times New Roman" w:cs="Times New Roman"/>
          <w:sz w:val="24"/>
          <w:szCs w:val="24"/>
        </w:rPr>
        <w:t xml:space="preserve"> </w:t>
      </w:r>
    </w:p>
    <w:p w14:paraId="0879C7FD" w14:textId="7418A9D0" w:rsidR="00956A5B" w:rsidRPr="00956A5B" w:rsidRDefault="00C73D52" w:rsidP="00C73D52">
      <w:pPr>
        <w:pStyle w:val="ListParagraph"/>
        <w:numPr>
          <w:ilvl w:val="0"/>
          <w:numId w:val="5"/>
        </w:numPr>
        <w:ind w:left="90" w:hanging="180"/>
        <w:jc w:val="both"/>
        <w:rPr>
          <w:rFonts w:ascii="Times New Roman" w:hAnsi="Times New Roman" w:cs="Times New Roman"/>
          <w:sz w:val="24"/>
        </w:rPr>
      </w:pPr>
      <w:r w:rsidRPr="00956A5B">
        <w:rPr>
          <w:rFonts w:ascii="Times New Roman" w:hAnsi="Times New Roman" w:cs="Times New Roman"/>
          <w:sz w:val="24"/>
          <w:szCs w:val="24"/>
        </w:rPr>
        <w:t xml:space="preserve"> </w:t>
      </w:r>
      <w:proofErr w:type="spellStart"/>
      <w:r w:rsidR="00404022" w:rsidRPr="00404022">
        <w:rPr>
          <w:rFonts w:ascii="Times New Roman" w:hAnsi="Times New Roman" w:cs="Times New Roman"/>
          <w:sz w:val="24"/>
          <w:szCs w:val="24"/>
        </w:rPr>
        <w:t>Broekmans</w:t>
      </w:r>
      <w:proofErr w:type="spellEnd"/>
      <w:r w:rsidR="00404022" w:rsidRPr="00404022">
        <w:rPr>
          <w:rFonts w:ascii="Times New Roman" w:hAnsi="Times New Roman" w:cs="Times New Roman"/>
          <w:sz w:val="24"/>
          <w:szCs w:val="24"/>
        </w:rPr>
        <w:t xml:space="preserve">, F. J., </w:t>
      </w:r>
      <w:proofErr w:type="spellStart"/>
      <w:r w:rsidR="00404022" w:rsidRPr="00404022">
        <w:rPr>
          <w:rFonts w:ascii="Times New Roman" w:hAnsi="Times New Roman" w:cs="Times New Roman"/>
          <w:sz w:val="24"/>
          <w:szCs w:val="24"/>
        </w:rPr>
        <w:t>Scheffer</w:t>
      </w:r>
      <w:proofErr w:type="spellEnd"/>
      <w:r w:rsidR="00404022" w:rsidRPr="00404022">
        <w:rPr>
          <w:rFonts w:ascii="Times New Roman" w:hAnsi="Times New Roman" w:cs="Times New Roman"/>
          <w:sz w:val="24"/>
          <w:szCs w:val="24"/>
        </w:rPr>
        <w:t xml:space="preserve">, G. J., </w:t>
      </w:r>
      <w:proofErr w:type="spellStart"/>
      <w:r w:rsidR="00404022" w:rsidRPr="00404022">
        <w:rPr>
          <w:rFonts w:ascii="Times New Roman" w:hAnsi="Times New Roman" w:cs="Times New Roman"/>
          <w:sz w:val="24"/>
          <w:szCs w:val="24"/>
        </w:rPr>
        <w:t>Bancsi</w:t>
      </w:r>
      <w:proofErr w:type="spellEnd"/>
      <w:r w:rsidR="00404022" w:rsidRPr="00404022">
        <w:rPr>
          <w:rFonts w:ascii="Times New Roman" w:hAnsi="Times New Roman" w:cs="Times New Roman"/>
          <w:sz w:val="24"/>
          <w:szCs w:val="24"/>
        </w:rPr>
        <w:t xml:space="preserve">, L. F., Dorland, M., </w:t>
      </w:r>
      <w:proofErr w:type="spellStart"/>
      <w:r w:rsidR="00404022" w:rsidRPr="00404022">
        <w:rPr>
          <w:rFonts w:ascii="Times New Roman" w:hAnsi="Times New Roman" w:cs="Times New Roman"/>
          <w:sz w:val="24"/>
          <w:szCs w:val="24"/>
        </w:rPr>
        <w:t>Blankenstein</w:t>
      </w:r>
      <w:proofErr w:type="spellEnd"/>
      <w:r w:rsidR="00404022" w:rsidRPr="00404022">
        <w:rPr>
          <w:rFonts w:ascii="Times New Roman" w:hAnsi="Times New Roman" w:cs="Times New Roman"/>
          <w:sz w:val="24"/>
          <w:szCs w:val="24"/>
        </w:rPr>
        <w:t xml:space="preserve">, M. A., &amp; </w:t>
      </w:r>
      <w:proofErr w:type="spellStart"/>
      <w:r w:rsidR="00404022" w:rsidRPr="00404022">
        <w:rPr>
          <w:rFonts w:ascii="Times New Roman" w:hAnsi="Times New Roman" w:cs="Times New Roman"/>
          <w:sz w:val="24"/>
          <w:szCs w:val="24"/>
        </w:rPr>
        <w:t>te</w:t>
      </w:r>
      <w:proofErr w:type="spellEnd"/>
      <w:r w:rsidR="00404022" w:rsidRPr="00404022">
        <w:rPr>
          <w:rFonts w:ascii="Times New Roman" w:hAnsi="Times New Roman" w:cs="Times New Roman"/>
          <w:sz w:val="24"/>
          <w:szCs w:val="24"/>
        </w:rPr>
        <w:t xml:space="preserve"> Velde, E. R. (1998). Ovarian reserve tests in infertility practice and normal fertile women. </w:t>
      </w:r>
      <w:proofErr w:type="spellStart"/>
      <w:r w:rsidR="00404022" w:rsidRPr="00404022">
        <w:rPr>
          <w:rFonts w:ascii="Times New Roman" w:hAnsi="Times New Roman" w:cs="Times New Roman"/>
          <w:sz w:val="24"/>
          <w:szCs w:val="24"/>
        </w:rPr>
        <w:t>Maturitas</w:t>
      </w:r>
      <w:proofErr w:type="spellEnd"/>
      <w:r w:rsidR="00404022" w:rsidRPr="00404022">
        <w:rPr>
          <w:rFonts w:ascii="Times New Roman" w:hAnsi="Times New Roman" w:cs="Times New Roman"/>
          <w:sz w:val="24"/>
          <w:szCs w:val="24"/>
        </w:rPr>
        <w:t xml:space="preserve">, 30(2), 205–214. </w:t>
      </w:r>
      <w:hyperlink r:id="rId14" w:history="1">
        <w:r w:rsidR="00404022" w:rsidRPr="002F29B3">
          <w:rPr>
            <w:rStyle w:val="Hyperlink"/>
            <w:rFonts w:ascii="Times New Roman" w:hAnsi="Times New Roman" w:cs="Times New Roman"/>
            <w:sz w:val="24"/>
            <w:szCs w:val="24"/>
          </w:rPr>
          <w:t>https://doi.org/10.1016/s0378-5122(98)00075-9</w:t>
        </w:r>
      </w:hyperlink>
      <w:r w:rsidR="00404022">
        <w:rPr>
          <w:rFonts w:ascii="Times New Roman" w:hAnsi="Times New Roman" w:cs="Times New Roman"/>
          <w:sz w:val="24"/>
          <w:szCs w:val="24"/>
        </w:rPr>
        <w:t xml:space="preserve"> </w:t>
      </w:r>
    </w:p>
    <w:p w14:paraId="42F9EE4E" w14:textId="780BBD5A" w:rsidR="00956A5B" w:rsidRPr="00956A5B" w:rsidRDefault="00E6214F" w:rsidP="00C73D52">
      <w:pPr>
        <w:pStyle w:val="ListParagraph"/>
        <w:numPr>
          <w:ilvl w:val="0"/>
          <w:numId w:val="5"/>
        </w:numPr>
        <w:ind w:left="90" w:hanging="180"/>
        <w:jc w:val="both"/>
        <w:rPr>
          <w:rFonts w:ascii="Times New Roman" w:hAnsi="Times New Roman" w:cs="Times New Roman"/>
          <w:sz w:val="24"/>
        </w:rPr>
      </w:pPr>
      <w:proofErr w:type="spellStart"/>
      <w:r w:rsidRPr="00E6214F">
        <w:rPr>
          <w:rFonts w:ascii="Times New Roman" w:hAnsi="Times New Roman" w:cs="Times New Roman"/>
          <w:sz w:val="24"/>
          <w:szCs w:val="24"/>
        </w:rPr>
        <w:t>te</w:t>
      </w:r>
      <w:proofErr w:type="spellEnd"/>
      <w:r w:rsidRPr="00E6214F">
        <w:rPr>
          <w:rFonts w:ascii="Times New Roman" w:hAnsi="Times New Roman" w:cs="Times New Roman"/>
          <w:sz w:val="24"/>
          <w:szCs w:val="24"/>
        </w:rPr>
        <w:t xml:space="preserve"> Velde, E. R., </w:t>
      </w:r>
      <w:proofErr w:type="spellStart"/>
      <w:r w:rsidRPr="00E6214F">
        <w:rPr>
          <w:rFonts w:ascii="Times New Roman" w:hAnsi="Times New Roman" w:cs="Times New Roman"/>
          <w:sz w:val="24"/>
          <w:szCs w:val="24"/>
        </w:rPr>
        <w:t>Scheffer</w:t>
      </w:r>
      <w:proofErr w:type="spellEnd"/>
      <w:r w:rsidRPr="00E6214F">
        <w:rPr>
          <w:rFonts w:ascii="Times New Roman" w:hAnsi="Times New Roman" w:cs="Times New Roman"/>
          <w:sz w:val="24"/>
          <w:szCs w:val="24"/>
        </w:rPr>
        <w:t xml:space="preserve">, G. J., Dorland, M., </w:t>
      </w:r>
      <w:proofErr w:type="spellStart"/>
      <w:r w:rsidRPr="00E6214F">
        <w:rPr>
          <w:rFonts w:ascii="Times New Roman" w:hAnsi="Times New Roman" w:cs="Times New Roman"/>
          <w:sz w:val="24"/>
          <w:szCs w:val="24"/>
        </w:rPr>
        <w:t>Broekmans</w:t>
      </w:r>
      <w:proofErr w:type="spellEnd"/>
      <w:r w:rsidRPr="00E6214F">
        <w:rPr>
          <w:rFonts w:ascii="Times New Roman" w:hAnsi="Times New Roman" w:cs="Times New Roman"/>
          <w:sz w:val="24"/>
          <w:szCs w:val="24"/>
        </w:rPr>
        <w:t xml:space="preserve">, F. J., &amp; </w:t>
      </w:r>
      <w:proofErr w:type="spellStart"/>
      <w:r w:rsidRPr="00E6214F">
        <w:rPr>
          <w:rFonts w:ascii="Times New Roman" w:hAnsi="Times New Roman" w:cs="Times New Roman"/>
          <w:sz w:val="24"/>
          <w:szCs w:val="24"/>
        </w:rPr>
        <w:t>Fauser</w:t>
      </w:r>
      <w:proofErr w:type="spellEnd"/>
      <w:r w:rsidRPr="00E6214F">
        <w:rPr>
          <w:rFonts w:ascii="Times New Roman" w:hAnsi="Times New Roman" w:cs="Times New Roman"/>
          <w:sz w:val="24"/>
          <w:szCs w:val="24"/>
        </w:rPr>
        <w:t xml:space="preserve">, B. C. (1998). Developmental and endocrine aspects of normal ovarian aging. Molecular and Cellular Endocrinology. </w:t>
      </w:r>
      <w:hyperlink r:id="rId15" w:history="1">
        <w:r w:rsidRPr="002F29B3">
          <w:rPr>
            <w:rStyle w:val="Hyperlink"/>
            <w:rFonts w:ascii="Times New Roman" w:hAnsi="Times New Roman" w:cs="Times New Roman"/>
            <w:sz w:val="24"/>
            <w:szCs w:val="24"/>
          </w:rPr>
          <w:t>https://doi.org/10.1016/s0303-7207(98)00171-3</w:t>
        </w:r>
      </w:hyperlink>
      <w:r>
        <w:rPr>
          <w:rFonts w:ascii="Times New Roman" w:hAnsi="Times New Roman" w:cs="Times New Roman"/>
          <w:sz w:val="24"/>
          <w:szCs w:val="24"/>
        </w:rPr>
        <w:t xml:space="preserve"> </w:t>
      </w:r>
    </w:p>
    <w:p w14:paraId="0938056C" w14:textId="48A61E67" w:rsidR="00956A5B" w:rsidRDefault="00590510" w:rsidP="00956A5B">
      <w:pPr>
        <w:pStyle w:val="ListParagraph"/>
        <w:numPr>
          <w:ilvl w:val="0"/>
          <w:numId w:val="5"/>
        </w:numPr>
        <w:ind w:left="90" w:hanging="180"/>
        <w:jc w:val="both"/>
        <w:rPr>
          <w:rFonts w:ascii="Times New Roman" w:hAnsi="Times New Roman" w:cs="Times New Roman"/>
          <w:sz w:val="24"/>
        </w:rPr>
      </w:pPr>
      <w:r w:rsidRPr="00590510">
        <w:rPr>
          <w:rFonts w:ascii="Times New Roman" w:hAnsi="Times New Roman" w:cs="Times New Roman"/>
          <w:sz w:val="24"/>
          <w:szCs w:val="24"/>
        </w:rPr>
        <w:t xml:space="preserve">Bath, L. E., Wallace, W. H., Shaw, M. P., Fitzpatrick, C., &amp; Anderson, R. A. (2003). Depletion of ovarian reserve in young women after treatment for cancer in childhood: detection by anti-Müllerian hormone, inhibin B and ovarian ultrasound. Human Reproduction, 18(11), 2368–2374. </w:t>
      </w:r>
      <w:hyperlink r:id="rId16" w:history="1">
        <w:r w:rsidRPr="002F29B3">
          <w:rPr>
            <w:rStyle w:val="Hyperlink"/>
            <w:rFonts w:ascii="Times New Roman" w:hAnsi="Times New Roman" w:cs="Times New Roman"/>
            <w:sz w:val="24"/>
            <w:szCs w:val="24"/>
          </w:rPr>
          <w:t>https://doi.org/10.1093/humrep/deg473</w:t>
        </w:r>
      </w:hyperlink>
      <w:r>
        <w:rPr>
          <w:rFonts w:ascii="Times New Roman" w:hAnsi="Times New Roman" w:cs="Times New Roman"/>
          <w:sz w:val="24"/>
          <w:szCs w:val="24"/>
        </w:rPr>
        <w:t xml:space="preserve"> </w:t>
      </w:r>
    </w:p>
    <w:p w14:paraId="4534C6F7" w14:textId="25F98313" w:rsidR="00133C11" w:rsidRPr="00133C11" w:rsidRDefault="000D15CF" w:rsidP="00133C11">
      <w:pPr>
        <w:pStyle w:val="ListParagraph"/>
        <w:numPr>
          <w:ilvl w:val="0"/>
          <w:numId w:val="5"/>
        </w:numPr>
        <w:ind w:left="180"/>
        <w:jc w:val="both"/>
        <w:rPr>
          <w:rFonts w:ascii="Times New Roman" w:hAnsi="Times New Roman" w:cs="Times New Roman"/>
          <w:sz w:val="24"/>
        </w:rPr>
      </w:pPr>
      <w:proofErr w:type="spellStart"/>
      <w:r w:rsidRPr="000D15CF">
        <w:rPr>
          <w:rFonts w:ascii="Times New Roman" w:hAnsi="Times New Roman" w:cs="Times New Roman"/>
          <w:sz w:val="24"/>
          <w:szCs w:val="24"/>
        </w:rPr>
        <w:t>Scheffer</w:t>
      </w:r>
      <w:proofErr w:type="spellEnd"/>
      <w:r w:rsidRPr="000D15CF">
        <w:rPr>
          <w:rFonts w:ascii="Times New Roman" w:hAnsi="Times New Roman" w:cs="Times New Roman"/>
          <w:sz w:val="24"/>
          <w:szCs w:val="24"/>
        </w:rPr>
        <w:t xml:space="preserve">, G. J., </w:t>
      </w:r>
      <w:proofErr w:type="spellStart"/>
      <w:r w:rsidRPr="000D15CF">
        <w:rPr>
          <w:rFonts w:ascii="Times New Roman" w:hAnsi="Times New Roman" w:cs="Times New Roman"/>
          <w:sz w:val="24"/>
          <w:szCs w:val="24"/>
        </w:rPr>
        <w:t>Broekmans</w:t>
      </w:r>
      <w:proofErr w:type="spellEnd"/>
      <w:r w:rsidRPr="000D15CF">
        <w:rPr>
          <w:rFonts w:ascii="Times New Roman" w:hAnsi="Times New Roman" w:cs="Times New Roman"/>
          <w:sz w:val="24"/>
          <w:szCs w:val="24"/>
        </w:rPr>
        <w:t xml:space="preserve">, F. J., </w:t>
      </w:r>
      <w:proofErr w:type="spellStart"/>
      <w:r w:rsidRPr="000D15CF">
        <w:rPr>
          <w:rFonts w:ascii="Times New Roman" w:hAnsi="Times New Roman" w:cs="Times New Roman"/>
          <w:sz w:val="24"/>
          <w:szCs w:val="24"/>
        </w:rPr>
        <w:t>Looman</w:t>
      </w:r>
      <w:proofErr w:type="spellEnd"/>
      <w:r w:rsidRPr="000D15CF">
        <w:rPr>
          <w:rFonts w:ascii="Times New Roman" w:hAnsi="Times New Roman" w:cs="Times New Roman"/>
          <w:sz w:val="24"/>
          <w:szCs w:val="24"/>
        </w:rPr>
        <w:t xml:space="preserve">, C. W., </w:t>
      </w:r>
      <w:proofErr w:type="spellStart"/>
      <w:r w:rsidRPr="000D15CF">
        <w:rPr>
          <w:rFonts w:ascii="Times New Roman" w:hAnsi="Times New Roman" w:cs="Times New Roman"/>
          <w:sz w:val="24"/>
          <w:szCs w:val="24"/>
        </w:rPr>
        <w:t>Blankenstein</w:t>
      </w:r>
      <w:proofErr w:type="spellEnd"/>
      <w:r w:rsidRPr="000D15CF">
        <w:rPr>
          <w:rFonts w:ascii="Times New Roman" w:hAnsi="Times New Roman" w:cs="Times New Roman"/>
          <w:sz w:val="24"/>
          <w:szCs w:val="24"/>
        </w:rPr>
        <w:t xml:space="preserve">, M., </w:t>
      </w:r>
      <w:proofErr w:type="spellStart"/>
      <w:r w:rsidRPr="000D15CF">
        <w:rPr>
          <w:rFonts w:ascii="Times New Roman" w:hAnsi="Times New Roman" w:cs="Times New Roman"/>
          <w:sz w:val="24"/>
          <w:szCs w:val="24"/>
        </w:rPr>
        <w:t>Fauser</w:t>
      </w:r>
      <w:proofErr w:type="spellEnd"/>
      <w:r w:rsidRPr="000D15CF">
        <w:rPr>
          <w:rFonts w:ascii="Times New Roman" w:hAnsi="Times New Roman" w:cs="Times New Roman"/>
          <w:sz w:val="24"/>
          <w:szCs w:val="24"/>
        </w:rPr>
        <w:t xml:space="preserve">, B. C., de Jong, F. H., &amp; </w:t>
      </w:r>
      <w:proofErr w:type="spellStart"/>
      <w:r w:rsidRPr="000D15CF">
        <w:rPr>
          <w:rFonts w:ascii="Times New Roman" w:hAnsi="Times New Roman" w:cs="Times New Roman"/>
          <w:sz w:val="24"/>
          <w:szCs w:val="24"/>
        </w:rPr>
        <w:t>te</w:t>
      </w:r>
      <w:proofErr w:type="spellEnd"/>
      <w:r w:rsidRPr="000D15CF">
        <w:rPr>
          <w:rFonts w:ascii="Times New Roman" w:hAnsi="Times New Roman" w:cs="Times New Roman"/>
          <w:sz w:val="24"/>
          <w:szCs w:val="24"/>
        </w:rPr>
        <w:t xml:space="preserve"> Velde, E. R. (2003). The number of antral follicles in normal women with proven fertility is the best reflection of reproductive age. Human Reproduction, 18(4), 700–706. </w:t>
      </w:r>
      <w:hyperlink r:id="rId17" w:history="1">
        <w:r w:rsidRPr="002F29B3">
          <w:rPr>
            <w:rStyle w:val="Hyperlink"/>
            <w:rFonts w:ascii="Times New Roman" w:hAnsi="Times New Roman" w:cs="Times New Roman"/>
            <w:sz w:val="24"/>
            <w:szCs w:val="24"/>
          </w:rPr>
          <w:t>https://doi.org/10.1093/humrep/deg135</w:t>
        </w:r>
      </w:hyperlink>
      <w:r>
        <w:rPr>
          <w:rFonts w:ascii="Times New Roman" w:hAnsi="Times New Roman" w:cs="Times New Roman"/>
          <w:sz w:val="24"/>
          <w:szCs w:val="24"/>
        </w:rPr>
        <w:t xml:space="preserve"> </w:t>
      </w:r>
    </w:p>
    <w:p w14:paraId="14C1DD8E" w14:textId="0640B28D" w:rsidR="00133C11" w:rsidRPr="00133C11" w:rsidRDefault="005109E6" w:rsidP="00133C11">
      <w:pPr>
        <w:pStyle w:val="ListParagraph"/>
        <w:numPr>
          <w:ilvl w:val="0"/>
          <w:numId w:val="5"/>
        </w:numPr>
        <w:ind w:left="180"/>
        <w:jc w:val="both"/>
        <w:rPr>
          <w:rFonts w:ascii="Times New Roman" w:hAnsi="Times New Roman" w:cs="Times New Roman"/>
          <w:sz w:val="24"/>
        </w:rPr>
      </w:pPr>
      <w:r w:rsidRPr="005109E6">
        <w:rPr>
          <w:rFonts w:ascii="Times New Roman" w:hAnsi="Times New Roman" w:cs="Times New Roman"/>
          <w:sz w:val="24"/>
          <w:szCs w:val="24"/>
        </w:rPr>
        <w:t xml:space="preserve">van </w:t>
      </w:r>
      <w:proofErr w:type="spellStart"/>
      <w:r w:rsidRPr="005109E6">
        <w:rPr>
          <w:rFonts w:ascii="Times New Roman" w:hAnsi="Times New Roman" w:cs="Times New Roman"/>
          <w:sz w:val="24"/>
          <w:szCs w:val="24"/>
        </w:rPr>
        <w:t>Rooij</w:t>
      </w:r>
      <w:proofErr w:type="spellEnd"/>
      <w:r w:rsidRPr="005109E6">
        <w:rPr>
          <w:rFonts w:ascii="Times New Roman" w:hAnsi="Times New Roman" w:cs="Times New Roman"/>
          <w:sz w:val="24"/>
          <w:szCs w:val="24"/>
        </w:rPr>
        <w:t xml:space="preserve">, I. A. J., </w:t>
      </w:r>
      <w:proofErr w:type="spellStart"/>
      <w:r w:rsidRPr="005109E6">
        <w:rPr>
          <w:rFonts w:ascii="Times New Roman" w:hAnsi="Times New Roman" w:cs="Times New Roman"/>
          <w:sz w:val="24"/>
          <w:szCs w:val="24"/>
        </w:rPr>
        <w:t>Broekmans</w:t>
      </w:r>
      <w:proofErr w:type="spellEnd"/>
      <w:r w:rsidRPr="005109E6">
        <w:rPr>
          <w:rFonts w:ascii="Times New Roman" w:hAnsi="Times New Roman" w:cs="Times New Roman"/>
          <w:sz w:val="24"/>
          <w:szCs w:val="24"/>
        </w:rPr>
        <w:t xml:space="preserve">, F. J. M., </w:t>
      </w:r>
      <w:proofErr w:type="spellStart"/>
      <w:r w:rsidRPr="005109E6">
        <w:rPr>
          <w:rFonts w:ascii="Times New Roman" w:hAnsi="Times New Roman" w:cs="Times New Roman"/>
          <w:sz w:val="24"/>
          <w:szCs w:val="24"/>
        </w:rPr>
        <w:t>te</w:t>
      </w:r>
      <w:proofErr w:type="spellEnd"/>
      <w:r w:rsidRPr="005109E6">
        <w:rPr>
          <w:rFonts w:ascii="Times New Roman" w:hAnsi="Times New Roman" w:cs="Times New Roman"/>
          <w:sz w:val="24"/>
          <w:szCs w:val="24"/>
        </w:rPr>
        <w:t xml:space="preserve"> Velde, E. R., </w:t>
      </w:r>
      <w:proofErr w:type="spellStart"/>
      <w:r w:rsidRPr="005109E6">
        <w:rPr>
          <w:rFonts w:ascii="Times New Roman" w:hAnsi="Times New Roman" w:cs="Times New Roman"/>
          <w:sz w:val="24"/>
          <w:szCs w:val="24"/>
        </w:rPr>
        <w:t>Fauser</w:t>
      </w:r>
      <w:proofErr w:type="spellEnd"/>
      <w:r w:rsidRPr="005109E6">
        <w:rPr>
          <w:rFonts w:ascii="Times New Roman" w:hAnsi="Times New Roman" w:cs="Times New Roman"/>
          <w:sz w:val="24"/>
          <w:szCs w:val="24"/>
        </w:rPr>
        <w:t xml:space="preserve">, B. C. J. M., </w:t>
      </w:r>
      <w:proofErr w:type="spellStart"/>
      <w:r w:rsidRPr="005109E6">
        <w:rPr>
          <w:rFonts w:ascii="Times New Roman" w:hAnsi="Times New Roman" w:cs="Times New Roman"/>
          <w:sz w:val="24"/>
          <w:szCs w:val="24"/>
        </w:rPr>
        <w:t>Bancsi</w:t>
      </w:r>
      <w:proofErr w:type="spellEnd"/>
      <w:r w:rsidRPr="005109E6">
        <w:rPr>
          <w:rFonts w:ascii="Times New Roman" w:hAnsi="Times New Roman" w:cs="Times New Roman"/>
          <w:sz w:val="24"/>
          <w:szCs w:val="24"/>
        </w:rPr>
        <w:t xml:space="preserve">, L. F. J. M. M., de Jong, F. H., &amp; </w:t>
      </w:r>
      <w:proofErr w:type="spellStart"/>
      <w:r w:rsidRPr="005109E6">
        <w:rPr>
          <w:rFonts w:ascii="Times New Roman" w:hAnsi="Times New Roman" w:cs="Times New Roman"/>
          <w:sz w:val="24"/>
          <w:szCs w:val="24"/>
        </w:rPr>
        <w:t>Themmen</w:t>
      </w:r>
      <w:proofErr w:type="spellEnd"/>
      <w:r w:rsidRPr="005109E6">
        <w:rPr>
          <w:rFonts w:ascii="Times New Roman" w:hAnsi="Times New Roman" w:cs="Times New Roman"/>
          <w:sz w:val="24"/>
          <w:szCs w:val="24"/>
        </w:rPr>
        <w:t xml:space="preserve">, A. P. N. (2002). Serum anti-Müllerian hormone levels: a novel measure of ovarian reserve. Human Reproduction, 17(12), 3065-3071. </w:t>
      </w:r>
      <w:hyperlink r:id="rId18" w:history="1">
        <w:r w:rsidRPr="002F29B3">
          <w:rPr>
            <w:rStyle w:val="Hyperlink"/>
            <w:rFonts w:ascii="Times New Roman" w:hAnsi="Times New Roman" w:cs="Times New Roman"/>
            <w:sz w:val="24"/>
            <w:szCs w:val="24"/>
          </w:rPr>
          <w:t>https://doi.org/10.1093/humrep/17.12.3065</w:t>
        </w:r>
      </w:hyperlink>
      <w:r>
        <w:rPr>
          <w:rFonts w:ascii="Times New Roman" w:hAnsi="Times New Roman" w:cs="Times New Roman"/>
          <w:sz w:val="24"/>
          <w:szCs w:val="24"/>
        </w:rPr>
        <w:t xml:space="preserve"> </w:t>
      </w:r>
    </w:p>
    <w:p w14:paraId="6C5D52AC" w14:textId="00EA5164" w:rsidR="00133C11" w:rsidRPr="00133C11" w:rsidRDefault="00262E4F" w:rsidP="00133C11">
      <w:pPr>
        <w:pStyle w:val="ListParagraph"/>
        <w:numPr>
          <w:ilvl w:val="0"/>
          <w:numId w:val="5"/>
        </w:numPr>
        <w:ind w:left="180"/>
        <w:jc w:val="both"/>
        <w:rPr>
          <w:rFonts w:ascii="Times New Roman" w:hAnsi="Times New Roman" w:cs="Times New Roman"/>
          <w:sz w:val="24"/>
        </w:rPr>
      </w:pPr>
      <w:r w:rsidRPr="00262E4F">
        <w:rPr>
          <w:rFonts w:ascii="Times New Roman" w:hAnsi="Times New Roman" w:cs="Times New Roman"/>
          <w:sz w:val="24"/>
          <w:szCs w:val="24"/>
        </w:rPr>
        <w:t xml:space="preserve">van </w:t>
      </w:r>
      <w:proofErr w:type="spellStart"/>
      <w:r w:rsidRPr="00262E4F">
        <w:rPr>
          <w:rFonts w:ascii="Times New Roman" w:hAnsi="Times New Roman" w:cs="Times New Roman"/>
          <w:sz w:val="24"/>
          <w:szCs w:val="24"/>
        </w:rPr>
        <w:t>Disseldorp</w:t>
      </w:r>
      <w:proofErr w:type="spellEnd"/>
      <w:r w:rsidRPr="00262E4F">
        <w:rPr>
          <w:rFonts w:ascii="Times New Roman" w:hAnsi="Times New Roman" w:cs="Times New Roman"/>
          <w:sz w:val="24"/>
          <w:szCs w:val="24"/>
        </w:rPr>
        <w:t xml:space="preserve">, J., </w:t>
      </w:r>
      <w:proofErr w:type="spellStart"/>
      <w:r w:rsidRPr="00262E4F">
        <w:rPr>
          <w:rFonts w:ascii="Times New Roman" w:hAnsi="Times New Roman" w:cs="Times New Roman"/>
          <w:sz w:val="24"/>
          <w:szCs w:val="24"/>
        </w:rPr>
        <w:t>Lambalk</w:t>
      </w:r>
      <w:proofErr w:type="spellEnd"/>
      <w:r w:rsidRPr="00262E4F">
        <w:rPr>
          <w:rFonts w:ascii="Times New Roman" w:hAnsi="Times New Roman" w:cs="Times New Roman"/>
          <w:sz w:val="24"/>
          <w:szCs w:val="24"/>
        </w:rPr>
        <w:t xml:space="preserve">, C. B., </w:t>
      </w:r>
      <w:proofErr w:type="spellStart"/>
      <w:r w:rsidRPr="00262E4F">
        <w:rPr>
          <w:rFonts w:ascii="Times New Roman" w:hAnsi="Times New Roman" w:cs="Times New Roman"/>
          <w:sz w:val="24"/>
          <w:szCs w:val="24"/>
        </w:rPr>
        <w:t>Kwee</w:t>
      </w:r>
      <w:proofErr w:type="spellEnd"/>
      <w:r w:rsidRPr="00262E4F">
        <w:rPr>
          <w:rFonts w:ascii="Times New Roman" w:hAnsi="Times New Roman" w:cs="Times New Roman"/>
          <w:sz w:val="24"/>
          <w:szCs w:val="24"/>
        </w:rPr>
        <w:t xml:space="preserve">, J., </w:t>
      </w:r>
      <w:proofErr w:type="spellStart"/>
      <w:r w:rsidRPr="00262E4F">
        <w:rPr>
          <w:rFonts w:ascii="Times New Roman" w:hAnsi="Times New Roman" w:cs="Times New Roman"/>
          <w:sz w:val="24"/>
          <w:szCs w:val="24"/>
        </w:rPr>
        <w:t>Looman</w:t>
      </w:r>
      <w:proofErr w:type="spellEnd"/>
      <w:r w:rsidRPr="00262E4F">
        <w:rPr>
          <w:rFonts w:ascii="Times New Roman" w:hAnsi="Times New Roman" w:cs="Times New Roman"/>
          <w:sz w:val="24"/>
          <w:szCs w:val="24"/>
        </w:rPr>
        <w:t xml:space="preserve">, C. W. N., </w:t>
      </w:r>
      <w:proofErr w:type="spellStart"/>
      <w:r w:rsidRPr="00262E4F">
        <w:rPr>
          <w:rFonts w:ascii="Times New Roman" w:hAnsi="Times New Roman" w:cs="Times New Roman"/>
          <w:sz w:val="24"/>
          <w:szCs w:val="24"/>
        </w:rPr>
        <w:t>Eijkemans</w:t>
      </w:r>
      <w:proofErr w:type="spellEnd"/>
      <w:r w:rsidRPr="00262E4F">
        <w:rPr>
          <w:rFonts w:ascii="Times New Roman" w:hAnsi="Times New Roman" w:cs="Times New Roman"/>
          <w:sz w:val="24"/>
          <w:szCs w:val="24"/>
        </w:rPr>
        <w:t xml:space="preserve">, M. J. C., </w:t>
      </w:r>
      <w:proofErr w:type="spellStart"/>
      <w:r w:rsidRPr="00262E4F">
        <w:rPr>
          <w:rFonts w:ascii="Times New Roman" w:hAnsi="Times New Roman" w:cs="Times New Roman"/>
          <w:sz w:val="24"/>
          <w:szCs w:val="24"/>
        </w:rPr>
        <w:t>Fauser</w:t>
      </w:r>
      <w:proofErr w:type="spellEnd"/>
      <w:r w:rsidRPr="00262E4F">
        <w:rPr>
          <w:rFonts w:ascii="Times New Roman" w:hAnsi="Times New Roman" w:cs="Times New Roman"/>
          <w:sz w:val="24"/>
          <w:szCs w:val="24"/>
        </w:rPr>
        <w:t xml:space="preserve">, B. C., &amp; </w:t>
      </w:r>
      <w:proofErr w:type="spellStart"/>
      <w:r w:rsidRPr="00262E4F">
        <w:rPr>
          <w:rFonts w:ascii="Times New Roman" w:hAnsi="Times New Roman" w:cs="Times New Roman"/>
          <w:sz w:val="24"/>
          <w:szCs w:val="24"/>
        </w:rPr>
        <w:t>Broekmans</w:t>
      </w:r>
      <w:proofErr w:type="spellEnd"/>
      <w:r w:rsidRPr="00262E4F">
        <w:rPr>
          <w:rFonts w:ascii="Times New Roman" w:hAnsi="Times New Roman" w:cs="Times New Roman"/>
          <w:sz w:val="24"/>
          <w:szCs w:val="24"/>
        </w:rPr>
        <w:t xml:space="preserve">, F. J. (2010). Comparison of inter- and intra-cycle variability of anti-Müllerian hormone and antral follicle counts. Human Reproduction, 25(1), 221–227. </w:t>
      </w:r>
      <w:hyperlink r:id="rId19" w:history="1">
        <w:r w:rsidRPr="002F29B3">
          <w:rPr>
            <w:rStyle w:val="Hyperlink"/>
            <w:rFonts w:ascii="Times New Roman" w:hAnsi="Times New Roman" w:cs="Times New Roman"/>
            <w:sz w:val="24"/>
            <w:szCs w:val="24"/>
          </w:rPr>
          <w:t>https://doi.org/10.1093/humrep/dep366</w:t>
        </w:r>
      </w:hyperlink>
      <w:r>
        <w:rPr>
          <w:rFonts w:ascii="Times New Roman" w:hAnsi="Times New Roman" w:cs="Times New Roman"/>
          <w:sz w:val="24"/>
          <w:szCs w:val="24"/>
        </w:rPr>
        <w:t xml:space="preserve"> </w:t>
      </w:r>
    </w:p>
    <w:p w14:paraId="53397244" w14:textId="3031DE88" w:rsidR="00A44149" w:rsidRPr="00A44149" w:rsidRDefault="00367A16" w:rsidP="00A44149">
      <w:pPr>
        <w:pStyle w:val="ListParagraph"/>
        <w:numPr>
          <w:ilvl w:val="0"/>
          <w:numId w:val="5"/>
        </w:numPr>
        <w:ind w:left="180"/>
        <w:jc w:val="both"/>
        <w:rPr>
          <w:rFonts w:ascii="Times New Roman" w:hAnsi="Times New Roman" w:cs="Times New Roman"/>
          <w:sz w:val="24"/>
        </w:rPr>
      </w:pPr>
      <w:proofErr w:type="spellStart"/>
      <w:r w:rsidRPr="00367A16">
        <w:rPr>
          <w:rFonts w:ascii="Times New Roman" w:hAnsi="Times New Roman" w:cs="Times New Roman"/>
          <w:sz w:val="24"/>
          <w:szCs w:val="24"/>
        </w:rPr>
        <w:lastRenderedPageBreak/>
        <w:t>Hajian-Tilaki</w:t>
      </w:r>
      <w:proofErr w:type="spellEnd"/>
      <w:r w:rsidRPr="00367A16">
        <w:rPr>
          <w:rFonts w:ascii="Times New Roman" w:hAnsi="Times New Roman" w:cs="Times New Roman"/>
          <w:sz w:val="24"/>
          <w:szCs w:val="24"/>
        </w:rPr>
        <w:t xml:space="preserve">, K. (2011). Sample size estimation in epidemiologic studies. Caspian Journal of Internal Medicine, 2(4), 289–298. </w:t>
      </w:r>
      <w:hyperlink r:id="rId20" w:history="1">
        <w:r w:rsidRPr="002F29B3">
          <w:rPr>
            <w:rStyle w:val="Hyperlink"/>
            <w:rFonts w:ascii="Times New Roman" w:hAnsi="Times New Roman" w:cs="Times New Roman"/>
            <w:sz w:val="24"/>
            <w:szCs w:val="24"/>
          </w:rPr>
          <w:t>https://www.ncbi.nlm.nih.gov/pmc/articles/PMC3895825/</w:t>
        </w:r>
      </w:hyperlink>
      <w:r>
        <w:rPr>
          <w:rFonts w:ascii="Times New Roman" w:hAnsi="Times New Roman" w:cs="Times New Roman"/>
          <w:sz w:val="24"/>
          <w:szCs w:val="24"/>
        </w:rPr>
        <w:t xml:space="preserve"> </w:t>
      </w:r>
    </w:p>
    <w:p w14:paraId="5DE17630" w14:textId="19421969" w:rsidR="00A44149" w:rsidRPr="00A44149" w:rsidRDefault="0010532E" w:rsidP="00A44149">
      <w:pPr>
        <w:pStyle w:val="ListParagraph"/>
        <w:numPr>
          <w:ilvl w:val="0"/>
          <w:numId w:val="5"/>
        </w:numPr>
        <w:ind w:left="180"/>
        <w:jc w:val="both"/>
        <w:rPr>
          <w:rFonts w:ascii="Times New Roman" w:hAnsi="Times New Roman" w:cs="Times New Roman"/>
          <w:sz w:val="24"/>
        </w:rPr>
      </w:pPr>
      <w:r w:rsidRPr="0010532E">
        <w:rPr>
          <w:rFonts w:ascii="Times New Roman" w:hAnsi="Times New Roman" w:cs="Times New Roman"/>
          <w:sz w:val="24"/>
          <w:szCs w:val="24"/>
        </w:rPr>
        <w:t xml:space="preserve">Larsen, U. (2000). Primary and secondary infertility in sub-Saharan Africa. International Journal of Epidemiology, 29(2), 285-291. </w:t>
      </w:r>
      <w:hyperlink r:id="rId21" w:history="1">
        <w:r w:rsidRPr="002F29B3">
          <w:rPr>
            <w:rStyle w:val="Hyperlink"/>
            <w:rFonts w:ascii="Times New Roman" w:hAnsi="Times New Roman" w:cs="Times New Roman"/>
            <w:sz w:val="24"/>
            <w:szCs w:val="24"/>
          </w:rPr>
          <w:t>https://doi.org/10.1093/ije/29.2.285</w:t>
        </w:r>
      </w:hyperlink>
      <w:r>
        <w:rPr>
          <w:rFonts w:ascii="Times New Roman" w:hAnsi="Times New Roman" w:cs="Times New Roman"/>
          <w:sz w:val="24"/>
          <w:szCs w:val="24"/>
        </w:rPr>
        <w:t xml:space="preserve"> </w:t>
      </w:r>
      <w:r w:rsidR="00C73D52" w:rsidRPr="00A44149">
        <w:rPr>
          <w:rFonts w:ascii="Times New Roman" w:hAnsi="Times New Roman" w:cs="Times New Roman"/>
          <w:sz w:val="24"/>
          <w:szCs w:val="24"/>
        </w:rPr>
        <w:t xml:space="preserve"> </w:t>
      </w:r>
    </w:p>
    <w:p w14:paraId="2D800753" w14:textId="153CF841" w:rsidR="00A44149" w:rsidRDefault="00BE4C08" w:rsidP="00A44149">
      <w:pPr>
        <w:pStyle w:val="ListParagraph"/>
        <w:numPr>
          <w:ilvl w:val="0"/>
          <w:numId w:val="5"/>
        </w:numPr>
        <w:ind w:left="180"/>
        <w:jc w:val="both"/>
        <w:rPr>
          <w:rFonts w:ascii="Times New Roman" w:hAnsi="Times New Roman" w:cs="Times New Roman"/>
          <w:sz w:val="24"/>
        </w:rPr>
      </w:pPr>
      <w:proofErr w:type="spellStart"/>
      <w:r w:rsidRPr="00BE4C08">
        <w:rPr>
          <w:rFonts w:ascii="Times New Roman" w:hAnsi="Times New Roman" w:cs="Times New Roman"/>
          <w:sz w:val="24"/>
        </w:rPr>
        <w:t>Oke</w:t>
      </w:r>
      <w:proofErr w:type="spellEnd"/>
      <w:r w:rsidRPr="00BE4C08">
        <w:rPr>
          <w:rFonts w:ascii="Times New Roman" w:hAnsi="Times New Roman" w:cs="Times New Roman"/>
          <w:sz w:val="24"/>
        </w:rPr>
        <w:t xml:space="preserve">, E. O., </w:t>
      </w:r>
      <w:proofErr w:type="spellStart"/>
      <w:r w:rsidRPr="00BE4C08">
        <w:rPr>
          <w:rFonts w:ascii="Times New Roman" w:hAnsi="Times New Roman" w:cs="Times New Roman"/>
          <w:sz w:val="24"/>
        </w:rPr>
        <w:t>Oke</w:t>
      </w:r>
      <w:proofErr w:type="spellEnd"/>
      <w:r w:rsidRPr="00BE4C08">
        <w:rPr>
          <w:rFonts w:ascii="Times New Roman" w:hAnsi="Times New Roman" w:cs="Times New Roman"/>
          <w:sz w:val="24"/>
        </w:rPr>
        <w:t xml:space="preserve">, O. F., </w:t>
      </w:r>
      <w:proofErr w:type="spellStart"/>
      <w:r w:rsidRPr="00BE4C08">
        <w:rPr>
          <w:rFonts w:ascii="Times New Roman" w:hAnsi="Times New Roman" w:cs="Times New Roman"/>
          <w:sz w:val="24"/>
        </w:rPr>
        <w:t>Salawu</w:t>
      </w:r>
      <w:proofErr w:type="spellEnd"/>
      <w:r w:rsidRPr="00BE4C08">
        <w:rPr>
          <w:rFonts w:ascii="Times New Roman" w:hAnsi="Times New Roman" w:cs="Times New Roman"/>
          <w:sz w:val="24"/>
        </w:rPr>
        <w:t xml:space="preserve">, A. A., Akande, J. O., </w:t>
      </w:r>
      <w:proofErr w:type="spellStart"/>
      <w:r w:rsidRPr="00BE4C08">
        <w:rPr>
          <w:rFonts w:ascii="Times New Roman" w:hAnsi="Times New Roman" w:cs="Times New Roman"/>
          <w:sz w:val="24"/>
        </w:rPr>
        <w:t>Oloyede</w:t>
      </w:r>
      <w:proofErr w:type="spellEnd"/>
      <w:r w:rsidRPr="00BE4C08">
        <w:rPr>
          <w:rFonts w:ascii="Times New Roman" w:hAnsi="Times New Roman" w:cs="Times New Roman"/>
          <w:sz w:val="24"/>
        </w:rPr>
        <w:t xml:space="preserve">, W. T., </w:t>
      </w:r>
      <w:proofErr w:type="spellStart"/>
      <w:r w:rsidRPr="00BE4C08">
        <w:rPr>
          <w:rFonts w:ascii="Times New Roman" w:hAnsi="Times New Roman" w:cs="Times New Roman"/>
          <w:sz w:val="24"/>
        </w:rPr>
        <w:t>Karem</w:t>
      </w:r>
      <w:proofErr w:type="spellEnd"/>
      <w:r w:rsidRPr="00BE4C08">
        <w:rPr>
          <w:rFonts w:ascii="Times New Roman" w:hAnsi="Times New Roman" w:cs="Times New Roman"/>
          <w:sz w:val="24"/>
        </w:rPr>
        <w:t xml:space="preserve">, R. A., </w:t>
      </w:r>
      <w:proofErr w:type="spellStart"/>
      <w:r w:rsidRPr="00BE4C08">
        <w:rPr>
          <w:rFonts w:ascii="Times New Roman" w:hAnsi="Times New Roman" w:cs="Times New Roman"/>
          <w:sz w:val="24"/>
        </w:rPr>
        <w:t>Owonikoko</w:t>
      </w:r>
      <w:proofErr w:type="spellEnd"/>
      <w:r w:rsidRPr="00BE4C08">
        <w:rPr>
          <w:rFonts w:ascii="Times New Roman" w:hAnsi="Times New Roman" w:cs="Times New Roman"/>
          <w:sz w:val="24"/>
        </w:rPr>
        <w:t xml:space="preserve">, K. M., </w:t>
      </w:r>
      <w:proofErr w:type="spellStart"/>
      <w:r w:rsidRPr="00BE4C08">
        <w:rPr>
          <w:rFonts w:ascii="Times New Roman" w:hAnsi="Times New Roman" w:cs="Times New Roman"/>
          <w:sz w:val="24"/>
        </w:rPr>
        <w:t>Akinboro</w:t>
      </w:r>
      <w:proofErr w:type="spellEnd"/>
      <w:r w:rsidRPr="00BE4C08">
        <w:rPr>
          <w:rFonts w:ascii="Times New Roman" w:hAnsi="Times New Roman" w:cs="Times New Roman"/>
          <w:sz w:val="24"/>
        </w:rPr>
        <w:t xml:space="preserve">, A. O., &amp; </w:t>
      </w:r>
      <w:proofErr w:type="spellStart"/>
      <w:r w:rsidRPr="00BE4C08">
        <w:rPr>
          <w:rFonts w:ascii="Times New Roman" w:hAnsi="Times New Roman" w:cs="Times New Roman"/>
          <w:sz w:val="24"/>
        </w:rPr>
        <w:t>Ogunro</w:t>
      </w:r>
      <w:proofErr w:type="spellEnd"/>
      <w:r w:rsidRPr="00BE4C08">
        <w:rPr>
          <w:rFonts w:ascii="Times New Roman" w:hAnsi="Times New Roman" w:cs="Times New Roman"/>
          <w:sz w:val="24"/>
        </w:rPr>
        <w:t xml:space="preserve">, P. S. (2019). Comparison of serum level of Anti-Mullerian hormone in fertile and infertile women in South West Nigeria. International Journal of Medicine in Developing Countries, 3(1), 43–49. </w:t>
      </w:r>
      <w:hyperlink r:id="rId22" w:history="1">
        <w:r w:rsidRPr="002F29B3">
          <w:rPr>
            <w:rStyle w:val="Hyperlink"/>
            <w:rFonts w:ascii="Times New Roman" w:hAnsi="Times New Roman" w:cs="Times New Roman"/>
            <w:sz w:val="24"/>
          </w:rPr>
          <w:t>https://doi.org/10.24911/IJMDC.51-1542882156</w:t>
        </w:r>
      </w:hyperlink>
      <w:r>
        <w:rPr>
          <w:rFonts w:ascii="Times New Roman" w:hAnsi="Times New Roman" w:cs="Times New Roman"/>
          <w:sz w:val="24"/>
        </w:rPr>
        <w:t xml:space="preserve"> </w:t>
      </w:r>
    </w:p>
    <w:p w14:paraId="23A5C69B" w14:textId="0BCD2093" w:rsidR="00A44149" w:rsidRDefault="00CB6D46" w:rsidP="00A44149">
      <w:pPr>
        <w:pStyle w:val="ListParagraph"/>
        <w:numPr>
          <w:ilvl w:val="0"/>
          <w:numId w:val="5"/>
        </w:numPr>
        <w:ind w:left="180"/>
        <w:jc w:val="both"/>
        <w:rPr>
          <w:rFonts w:ascii="Times New Roman" w:hAnsi="Times New Roman" w:cs="Times New Roman"/>
          <w:sz w:val="24"/>
        </w:rPr>
      </w:pPr>
      <w:proofErr w:type="spellStart"/>
      <w:r w:rsidRPr="00CB6D46">
        <w:rPr>
          <w:rFonts w:ascii="Times New Roman" w:hAnsi="Times New Roman" w:cs="Times New Roman"/>
          <w:sz w:val="24"/>
        </w:rPr>
        <w:t>Kalaiselvi</w:t>
      </w:r>
      <w:proofErr w:type="spellEnd"/>
      <w:r w:rsidRPr="00CB6D46">
        <w:rPr>
          <w:rFonts w:ascii="Times New Roman" w:hAnsi="Times New Roman" w:cs="Times New Roman"/>
          <w:sz w:val="24"/>
        </w:rPr>
        <w:t xml:space="preserve">, V. S., </w:t>
      </w:r>
      <w:proofErr w:type="spellStart"/>
      <w:r w:rsidRPr="00CB6D46">
        <w:rPr>
          <w:rFonts w:ascii="Times New Roman" w:hAnsi="Times New Roman" w:cs="Times New Roman"/>
          <w:sz w:val="24"/>
        </w:rPr>
        <w:t>Saikumar</w:t>
      </w:r>
      <w:proofErr w:type="spellEnd"/>
      <w:r w:rsidRPr="00CB6D46">
        <w:rPr>
          <w:rFonts w:ascii="Times New Roman" w:hAnsi="Times New Roman" w:cs="Times New Roman"/>
          <w:sz w:val="24"/>
        </w:rPr>
        <w:t xml:space="preserve">, P., </w:t>
      </w:r>
      <w:proofErr w:type="spellStart"/>
      <w:r w:rsidRPr="00CB6D46">
        <w:rPr>
          <w:rFonts w:ascii="Times New Roman" w:hAnsi="Times New Roman" w:cs="Times New Roman"/>
          <w:sz w:val="24"/>
        </w:rPr>
        <w:t>Prabhu</w:t>
      </w:r>
      <w:proofErr w:type="spellEnd"/>
      <w:r w:rsidRPr="00CB6D46">
        <w:rPr>
          <w:rFonts w:ascii="Times New Roman" w:hAnsi="Times New Roman" w:cs="Times New Roman"/>
          <w:sz w:val="24"/>
        </w:rPr>
        <w:t xml:space="preserve">, K., &amp; Prashanth Krishna, G. (2012). The </w:t>
      </w:r>
      <w:proofErr w:type="spellStart"/>
      <w:r w:rsidRPr="00CB6D46">
        <w:rPr>
          <w:rFonts w:ascii="Times New Roman" w:hAnsi="Times New Roman" w:cs="Times New Roman"/>
          <w:sz w:val="24"/>
        </w:rPr>
        <w:t>anti mullerian</w:t>
      </w:r>
      <w:proofErr w:type="spellEnd"/>
      <w:r w:rsidRPr="00CB6D46">
        <w:rPr>
          <w:rFonts w:ascii="Times New Roman" w:hAnsi="Times New Roman" w:cs="Times New Roman"/>
          <w:sz w:val="24"/>
        </w:rPr>
        <w:t xml:space="preserve"> hormone- a novel marker for assessing the ovarian reserve in women with regular menstrual cycles. Journal of Clinical and Diagnostic Research, 6(10), 1636–1639. </w:t>
      </w:r>
      <w:hyperlink r:id="rId23" w:history="1">
        <w:r w:rsidRPr="002F29B3">
          <w:rPr>
            <w:rStyle w:val="Hyperlink"/>
            <w:rFonts w:ascii="Times New Roman" w:hAnsi="Times New Roman" w:cs="Times New Roman"/>
            <w:sz w:val="24"/>
          </w:rPr>
          <w:t>https://doi.org/10.7860/JCDR/2012/5101.2624</w:t>
        </w:r>
      </w:hyperlink>
      <w:r>
        <w:rPr>
          <w:rFonts w:ascii="Times New Roman" w:hAnsi="Times New Roman" w:cs="Times New Roman"/>
          <w:sz w:val="24"/>
        </w:rPr>
        <w:t xml:space="preserve"> </w:t>
      </w:r>
      <w:r w:rsidR="00371494" w:rsidRPr="00A44149">
        <w:rPr>
          <w:rFonts w:ascii="Times New Roman" w:hAnsi="Times New Roman" w:cs="Times New Roman"/>
          <w:sz w:val="24"/>
        </w:rPr>
        <w:t xml:space="preserve"> </w:t>
      </w:r>
    </w:p>
    <w:p w14:paraId="29C0FEC7" w14:textId="77777777" w:rsidR="00A44149" w:rsidRDefault="00DD51AB" w:rsidP="00A44149">
      <w:pPr>
        <w:pStyle w:val="ListParagraph"/>
        <w:numPr>
          <w:ilvl w:val="0"/>
          <w:numId w:val="5"/>
        </w:numPr>
        <w:ind w:left="180"/>
        <w:jc w:val="both"/>
        <w:rPr>
          <w:rFonts w:ascii="Times New Roman" w:hAnsi="Times New Roman" w:cs="Times New Roman"/>
          <w:sz w:val="24"/>
        </w:rPr>
      </w:pPr>
      <w:r w:rsidRPr="00A44149">
        <w:rPr>
          <w:rFonts w:ascii="Times New Roman" w:hAnsi="Times New Roman" w:cs="Times New Roman"/>
          <w:sz w:val="24"/>
        </w:rPr>
        <w:t xml:space="preserve">van der </w:t>
      </w:r>
      <w:proofErr w:type="spellStart"/>
      <w:r w:rsidRPr="00A44149">
        <w:rPr>
          <w:rFonts w:ascii="Times New Roman" w:hAnsi="Times New Roman" w:cs="Times New Roman"/>
          <w:sz w:val="24"/>
        </w:rPr>
        <w:t>Steeg</w:t>
      </w:r>
      <w:proofErr w:type="spellEnd"/>
      <w:r w:rsidRPr="00A44149">
        <w:rPr>
          <w:rFonts w:ascii="Times New Roman" w:hAnsi="Times New Roman" w:cs="Times New Roman"/>
          <w:sz w:val="24"/>
        </w:rPr>
        <w:t xml:space="preserve"> J W, </w:t>
      </w:r>
      <w:proofErr w:type="spellStart"/>
      <w:r w:rsidRPr="00A44149">
        <w:rPr>
          <w:rFonts w:ascii="Times New Roman" w:hAnsi="Times New Roman" w:cs="Times New Roman"/>
          <w:sz w:val="24"/>
        </w:rPr>
        <w:t>Steures</w:t>
      </w:r>
      <w:proofErr w:type="spellEnd"/>
      <w:r w:rsidRPr="00A44149">
        <w:rPr>
          <w:rFonts w:ascii="Times New Roman" w:hAnsi="Times New Roman" w:cs="Times New Roman"/>
          <w:sz w:val="24"/>
        </w:rPr>
        <w:t xml:space="preserve"> P, </w:t>
      </w:r>
      <w:proofErr w:type="spellStart"/>
      <w:r w:rsidRPr="00A44149">
        <w:rPr>
          <w:rFonts w:ascii="Times New Roman" w:hAnsi="Times New Roman" w:cs="Times New Roman"/>
          <w:sz w:val="24"/>
        </w:rPr>
        <w:t>Eijkemans</w:t>
      </w:r>
      <w:proofErr w:type="spellEnd"/>
      <w:r w:rsidRPr="00A44149">
        <w:rPr>
          <w:rFonts w:ascii="Times New Roman" w:hAnsi="Times New Roman" w:cs="Times New Roman"/>
          <w:sz w:val="24"/>
        </w:rPr>
        <w:t xml:space="preserve"> M J, </w:t>
      </w:r>
      <w:proofErr w:type="spellStart"/>
      <w:r w:rsidRPr="00A44149">
        <w:rPr>
          <w:rFonts w:ascii="Times New Roman" w:hAnsi="Times New Roman" w:cs="Times New Roman"/>
          <w:sz w:val="24"/>
        </w:rPr>
        <w:t>Hompes</w:t>
      </w:r>
      <w:proofErr w:type="spellEnd"/>
      <w:r w:rsidRPr="00A44149">
        <w:rPr>
          <w:rFonts w:ascii="Times New Roman" w:hAnsi="Times New Roman" w:cs="Times New Roman"/>
          <w:sz w:val="24"/>
        </w:rPr>
        <w:t xml:space="preserve"> P G, </w:t>
      </w:r>
      <w:proofErr w:type="spellStart"/>
      <w:r w:rsidRPr="00A44149">
        <w:rPr>
          <w:rFonts w:ascii="Times New Roman" w:hAnsi="Times New Roman" w:cs="Times New Roman"/>
          <w:sz w:val="24"/>
        </w:rPr>
        <w:t>Broekmans</w:t>
      </w:r>
      <w:proofErr w:type="spellEnd"/>
      <w:r w:rsidRPr="00A44149">
        <w:rPr>
          <w:rFonts w:ascii="Times New Roman" w:hAnsi="Times New Roman" w:cs="Times New Roman"/>
          <w:sz w:val="24"/>
        </w:rPr>
        <w:t xml:space="preserve"> F J, </w:t>
      </w:r>
      <w:proofErr w:type="spellStart"/>
      <w:r w:rsidRPr="00A44149">
        <w:rPr>
          <w:rFonts w:ascii="Times New Roman" w:hAnsi="Times New Roman" w:cs="Times New Roman"/>
          <w:sz w:val="24"/>
        </w:rPr>
        <w:t>Bouckaert</w:t>
      </w:r>
      <w:proofErr w:type="spellEnd"/>
      <w:r w:rsidRPr="00A44149">
        <w:rPr>
          <w:rFonts w:ascii="Times New Roman" w:hAnsi="Times New Roman" w:cs="Times New Roman"/>
          <w:sz w:val="24"/>
        </w:rPr>
        <w:t xml:space="preserve"> P X, et al. Predictive value and clinical impact of basal FSH in </w:t>
      </w:r>
      <w:proofErr w:type="spellStart"/>
      <w:r w:rsidRPr="00A44149">
        <w:rPr>
          <w:rFonts w:ascii="Times New Roman" w:hAnsi="Times New Roman" w:cs="Times New Roman"/>
          <w:sz w:val="24"/>
        </w:rPr>
        <w:t>subfertile</w:t>
      </w:r>
      <w:proofErr w:type="spellEnd"/>
      <w:r w:rsidRPr="00A44149">
        <w:rPr>
          <w:rFonts w:ascii="Times New Roman" w:hAnsi="Times New Roman" w:cs="Times New Roman"/>
          <w:sz w:val="24"/>
        </w:rPr>
        <w:t xml:space="preserve">, ovulatory women. J Clin Endocrinol </w:t>
      </w:r>
      <w:proofErr w:type="spellStart"/>
      <w:r w:rsidRPr="00A44149">
        <w:rPr>
          <w:rFonts w:ascii="Times New Roman" w:hAnsi="Times New Roman" w:cs="Times New Roman"/>
          <w:sz w:val="24"/>
        </w:rPr>
        <w:t>Metab</w:t>
      </w:r>
      <w:proofErr w:type="spellEnd"/>
      <w:r w:rsidRPr="00A44149">
        <w:rPr>
          <w:rFonts w:ascii="Times New Roman" w:hAnsi="Times New Roman" w:cs="Times New Roman"/>
          <w:sz w:val="24"/>
        </w:rPr>
        <w:t>. 2007;92(6):2163-2168.</w:t>
      </w:r>
    </w:p>
    <w:p w14:paraId="6BFAE34B" w14:textId="016F5686" w:rsidR="00A44149" w:rsidRDefault="00520E0C" w:rsidP="00A44149">
      <w:pPr>
        <w:pStyle w:val="ListParagraph"/>
        <w:numPr>
          <w:ilvl w:val="0"/>
          <w:numId w:val="5"/>
        </w:numPr>
        <w:ind w:left="180"/>
        <w:jc w:val="both"/>
        <w:rPr>
          <w:rFonts w:ascii="Times New Roman" w:hAnsi="Times New Roman" w:cs="Times New Roman"/>
          <w:sz w:val="24"/>
        </w:rPr>
      </w:pPr>
      <w:r w:rsidRPr="00520E0C">
        <w:rPr>
          <w:rFonts w:ascii="Times New Roman" w:hAnsi="Times New Roman" w:cs="Times New Roman"/>
          <w:sz w:val="24"/>
        </w:rPr>
        <w:t xml:space="preserve">Ledger, W. L. (2012). The menstrual cycle. In D. K. Edmonds (Ed.), Dewhurst's textbook of obstetrics and </w:t>
      </w:r>
      <w:proofErr w:type="spellStart"/>
      <w:r w:rsidRPr="00520E0C">
        <w:rPr>
          <w:rFonts w:ascii="Times New Roman" w:hAnsi="Times New Roman" w:cs="Times New Roman"/>
          <w:sz w:val="24"/>
        </w:rPr>
        <w:t>gynaecology</w:t>
      </w:r>
      <w:proofErr w:type="spellEnd"/>
      <w:r w:rsidRPr="00520E0C">
        <w:rPr>
          <w:rFonts w:ascii="Times New Roman" w:hAnsi="Times New Roman" w:cs="Times New Roman"/>
          <w:sz w:val="24"/>
        </w:rPr>
        <w:t xml:space="preserve"> (8th ed., pp. 487-494). Wiley-Blackwell. </w:t>
      </w:r>
      <w:hyperlink r:id="rId24" w:history="1">
        <w:r w:rsidRPr="002F29B3">
          <w:rPr>
            <w:rStyle w:val="Hyperlink"/>
            <w:rFonts w:ascii="Times New Roman" w:hAnsi="Times New Roman" w:cs="Times New Roman"/>
            <w:sz w:val="24"/>
          </w:rPr>
          <w:t>https://tools.ovid.com/ovidweb/ovidbook.cgi?T=JB&amp;MODE=ovid&amp;NEWS=N&amp;PAGE=toc&amp;D=books&amp;AN=01600000%231%2f1</w:t>
        </w:r>
      </w:hyperlink>
      <w:r>
        <w:rPr>
          <w:rFonts w:ascii="Times New Roman" w:hAnsi="Times New Roman" w:cs="Times New Roman"/>
          <w:sz w:val="24"/>
        </w:rPr>
        <w:t xml:space="preserve"> </w:t>
      </w:r>
      <w:r w:rsidR="003C1AD9" w:rsidRPr="00A44149">
        <w:rPr>
          <w:rFonts w:ascii="Times New Roman" w:hAnsi="Times New Roman" w:cs="Times New Roman"/>
          <w:sz w:val="24"/>
        </w:rPr>
        <w:t xml:space="preserve">  </w:t>
      </w:r>
    </w:p>
    <w:p w14:paraId="12EEADA2" w14:textId="4D8D5406" w:rsidR="00A44149" w:rsidRDefault="00116D42" w:rsidP="00A44149">
      <w:pPr>
        <w:pStyle w:val="ListParagraph"/>
        <w:numPr>
          <w:ilvl w:val="0"/>
          <w:numId w:val="5"/>
        </w:numPr>
        <w:ind w:left="180"/>
        <w:jc w:val="both"/>
        <w:rPr>
          <w:rFonts w:ascii="Times New Roman" w:hAnsi="Times New Roman" w:cs="Times New Roman"/>
          <w:sz w:val="24"/>
        </w:rPr>
      </w:pPr>
      <w:proofErr w:type="spellStart"/>
      <w:r w:rsidRPr="00116D42">
        <w:rPr>
          <w:rFonts w:ascii="Times New Roman" w:hAnsi="Times New Roman" w:cs="Times New Roman"/>
          <w:sz w:val="24"/>
        </w:rPr>
        <w:t>Schlechte</w:t>
      </w:r>
      <w:proofErr w:type="spellEnd"/>
      <w:r w:rsidRPr="00116D42">
        <w:rPr>
          <w:rFonts w:ascii="Times New Roman" w:hAnsi="Times New Roman" w:cs="Times New Roman"/>
          <w:sz w:val="24"/>
        </w:rPr>
        <w:t xml:space="preserve">, J. A. (2007). Long-term management of prolactinomas. *Journal of Clinical Endocrinology &amp; Metabolism*, *92*(8), 2861–2865. </w:t>
      </w:r>
      <w:hyperlink r:id="rId25" w:history="1">
        <w:r w:rsidRPr="002F29B3">
          <w:rPr>
            <w:rStyle w:val="Hyperlink"/>
            <w:rFonts w:ascii="Times New Roman" w:hAnsi="Times New Roman" w:cs="Times New Roman"/>
            <w:sz w:val="24"/>
          </w:rPr>
          <w:t>https://doi.org/10.1210/jc.2007-0836</w:t>
        </w:r>
      </w:hyperlink>
      <w:r>
        <w:rPr>
          <w:rFonts w:ascii="Times New Roman" w:hAnsi="Times New Roman" w:cs="Times New Roman"/>
          <w:sz w:val="24"/>
        </w:rPr>
        <w:t xml:space="preserve"> </w:t>
      </w:r>
      <w:r w:rsidR="003C1AD9" w:rsidRPr="00A44149">
        <w:rPr>
          <w:rFonts w:ascii="Times New Roman" w:hAnsi="Times New Roman" w:cs="Times New Roman"/>
          <w:sz w:val="24"/>
        </w:rPr>
        <w:t xml:space="preserve">  </w:t>
      </w:r>
    </w:p>
    <w:p w14:paraId="6987DD37" w14:textId="45E69630" w:rsidR="00A44149" w:rsidRDefault="005C2C3F" w:rsidP="00A44149">
      <w:pPr>
        <w:pStyle w:val="ListParagraph"/>
        <w:numPr>
          <w:ilvl w:val="0"/>
          <w:numId w:val="5"/>
        </w:numPr>
        <w:ind w:left="180"/>
        <w:jc w:val="both"/>
        <w:rPr>
          <w:rFonts w:ascii="Times New Roman" w:hAnsi="Times New Roman" w:cs="Times New Roman"/>
          <w:sz w:val="24"/>
        </w:rPr>
      </w:pPr>
      <w:r w:rsidRPr="005C2C3F">
        <w:rPr>
          <w:rFonts w:ascii="Times New Roman" w:hAnsi="Times New Roman" w:cs="Times New Roman"/>
          <w:sz w:val="24"/>
        </w:rPr>
        <w:t xml:space="preserve">Kumar, P., &amp; </w:t>
      </w:r>
      <w:proofErr w:type="spellStart"/>
      <w:r w:rsidRPr="005C2C3F">
        <w:rPr>
          <w:rFonts w:ascii="Times New Roman" w:hAnsi="Times New Roman" w:cs="Times New Roman"/>
          <w:sz w:val="24"/>
        </w:rPr>
        <w:t>Sait</w:t>
      </w:r>
      <w:proofErr w:type="spellEnd"/>
      <w:r w:rsidRPr="005C2C3F">
        <w:rPr>
          <w:rFonts w:ascii="Times New Roman" w:hAnsi="Times New Roman" w:cs="Times New Roman"/>
          <w:sz w:val="24"/>
        </w:rPr>
        <w:t xml:space="preserve">, S. F. (2011). Luteinizing hormone and its dilemma in ovulation induction. Journal of Human Reproductive Sciences, 4(1), 2–7. </w:t>
      </w:r>
      <w:hyperlink r:id="rId26" w:history="1">
        <w:r w:rsidRPr="002F29B3">
          <w:rPr>
            <w:rStyle w:val="Hyperlink"/>
            <w:rFonts w:ascii="Times New Roman" w:hAnsi="Times New Roman" w:cs="Times New Roman"/>
            <w:sz w:val="24"/>
          </w:rPr>
          <w:t>https://doi.org/10.4103/0974-1208.82351</w:t>
        </w:r>
      </w:hyperlink>
      <w:r>
        <w:rPr>
          <w:rFonts w:ascii="Times New Roman" w:hAnsi="Times New Roman" w:cs="Times New Roman"/>
          <w:sz w:val="24"/>
        </w:rPr>
        <w:t xml:space="preserve"> </w:t>
      </w:r>
      <w:r w:rsidR="003C1AD9" w:rsidRPr="00A44149">
        <w:rPr>
          <w:rFonts w:ascii="Times New Roman" w:hAnsi="Times New Roman" w:cs="Times New Roman"/>
          <w:sz w:val="24"/>
        </w:rPr>
        <w:t>.</w:t>
      </w:r>
      <w:r w:rsidR="00371494" w:rsidRPr="00A44149">
        <w:rPr>
          <w:rFonts w:ascii="Times New Roman" w:hAnsi="Times New Roman" w:cs="Times New Roman"/>
          <w:sz w:val="24"/>
        </w:rPr>
        <w:t xml:space="preserve">  </w:t>
      </w:r>
    </w:p>
    <w:p w14:paraId="1C3E7E1E" w14:textId="77777777" w:rsidR="00EC1B89" w:rsidRDefault="00D8177B" w:rsidP="00A44149">
      <w:pPr>
        <w:pStyle w:val="ListParagraph"/>
        <w:numPr>
          <w:ilvl w:val="0"/>
          <w:numId w:val="5"/>
        </w:numPr>
        <w:ind w:left="180"/>
        <w:jc w:val="both"/>
        <w:rPr>
          <w:rFonts w:ascii="Times New Roman" w:hAnsi="Times New Roman" w:cs="Times New Roman"/>
          <w:sz w:val="24"/>
        </w:rPr>
      </w:pPr>
      <w:proofErr w:type="spellStart"/>
      <w:r w:rsidRPr="00A44149">
        <w:rPr>
          <w:rFonts w:ascii="Times New Roman" w:hAnsi="Times New Roman" w:cs="Times New Roman"/>
          <w:sz w:val="24"/>
        </w:rPr>
        <w:t>Mellveen</w:t>
      </w:r>
      <w:proofErr w:type="spellEnd"/>
      <w:r w:rsidRPr="00A44149">
        <w:rPr>
          <w:rFonts w:ascii="Times New Roman" w:hAnsi="Times New Roman" w:cs="Times New Roman"/>
          <w:sz w:val="24"/>
        </w:rPr>
        <w:t xml:space="preserve"> M, Skull J O, Ledger W L. Evaluation of the utility of multiple endocrine and ultrasound measure of ovarian reserve in the prediction of cycle cancellation in high risk IVF population. Hum </w:t>
      </w:r>
      <w:proofErr w:type="spellStart"/>
      <w:r w:rsidRPr="00A44149">
        <w:rPr>
          <w:rFonts w:ascii="Times New Roman" w:hAnsi="Times New Roman" w:cs="Times New Roman"/>
          <w:sz w:val="24"/>
        </w:rPr>
        <w:t>Reprod</w:t>
      </w:r>
      <w:proofErr w:type="spellEnd"/>
      <w:r w:rsidRPr="00A44149">
        <w:rPr>
          <w:rFonts w:ascii="Times New Roman" w:hAnsi="Times New Roman" w:cs="Times New Roman"/>
          <w:sz w:val="24"/>
        </w:rPr>
        <w:t>. 2006; 22(3):778–785.</w:t>
      </w:r>
      <w:r w:rsidR="00371494" w:rsidRPr="00A44149">
        <w:rPr>
          <w:rFonts w:ascii="Times New Roman" w:hAnsi="Times New Roman" w:cs="Times New Roman"/>
          <w:sz w:val="24"/>
        </w:rPr>
        <w:t xml:space="preserve">    </w:t>
      </w:r>
    </w:p>
    <w:p w14:paraId="24791766" w14:textId="355DE42F" w:rsidR="000427FF" w:rsidRPr="00EC1B89" w:rsidRDefault="00B93481" w:rsidP="00A44149">
      <w:pPr>
        <w:pStyle w:val="ListParagraph"/>
        <w:numPr>
          <w:ilvl w:val="0"/>
          <w:numId w:val="5"/>
        </w:numPr>
        <w:ind w:left="180"/>
        <w:jc w:val="both"/>
        <w:rPr>
          <w:rFonts w:ascii="Times New Roman" w:hAnsi="Times New Roman" w:cs="Times New Roman"/>
          <w:sz w:val="24"/>
        </w:rPr>
      </w:pPr>
      <w:r w:rsidRPr="00B93481">
        <w:rPr>
          <w:rFonts w:ascii="Times New Roman" w:hAnsi="Times New Roman" w:cs="Times New Roman"/>
          <w:sz w:val="24"/>
        </w:rPr>
        <w:t xml:space="preserve">Wang, X., </w:t>
      </w:r>
      <w:proofErr w:type="spellStart"/>
      <w:r w:rsidRPr="00B93481">
        <w:rPr>
          <w:rFonts w:ascii="Times New Roman" w:hAnsi="Times New Roman" w:cs="Times New Roman"/>
          <w:sz w:val="24"/>
        </w:rPr>
        <w:t>Jin</w:t>
      </w:r>
      <w:proofErr w:type="spellEnd"/>
      <w:r w:rsidRPr="00B93481">
        <w:rPr>
          <w:rFonts w:ascii="Times New Roman" w:hAnsi="Times New Roman" w:cs="Times New Roman"/>
          <w:sz w:val="24"/>
        </w:rPr>
        <w:t xml:space="preserve">, L., Mao, Y., Shi, J., Huang, R., Jiang, Y., Zhang, C., &amp; Liang, X. (2021). Evaluation of Ovarian Reserve Tests and Age in the Prediction of Poor Ovarian Response to Controlled Ovarian Stimulation-A Real-World Data Analysis of 89,002 Patients. *Frontiers in Endocrinology*, *12*, 702061. </w:t>
      </w:r>
      <w:hyperlink r:id="rId27" w:history="1">
        <w:r w:rsidRPr="002F29B3">
          <w:rPr>
            <w:rStyle w:val="Hyperlink"/>
            <w:rFonts w:ascii="Times New Roman" w:hAnsi="Times New Roman" w:cs="Times New Roman"/>
            <w:sz w:val="24"/>
          </w:rPr>
          <w:t>https://doi.org/10.3389/fendo.2021.702061</w:t>
        </w:r>
      </w:hyperlink>
      <w:r>
        <w:rPr>
          <w:rFonts w:ascii="Times New Roman" w:hAnsi="Times New Roman" w:cs="Times New Roman"/>
          <w:sz w:val="24"/>
        </w:rPr>
        <w:t xml:space="preserve"> </w:t>
      </w:r>
      <w:r w:rsidR="00D8177B" w:rsidRPr="00EC1B89">
        <w:rPr>
          <w:rFonts w:ascii="Times New Roman" w:hAnsi="Times New Roman" w:cs="Times New Roman"/>
          <w:sz w:val="24"/>
        </w:rPr>
        <w:t xml:space="preserve">. </w:t>
      </w:r>
      <w:r w:rsidR="00371494" w:rsidRPr="00EC1B89">
        <w:rPr>
          <w:rFonts w:ascii="Times New Roman" w:hAnsi="Times New Roman" w:cs="Times New Roman"/>
          <w:sz w:val="24"/>
        </w:rPr>
        <w:t xml:space="preserve">                              </w:t>
      </w:r>
    </w:p>
    <w:sectPr w:rsidR="000427FF" w:rsidRPr="00EC1B89">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6D0DD" w14:textId="77777777" w:rsidR="002E7B24" w:rsidRDefault="002E7B24" w:rsidP="00AD3511">
      <w:pPr>
        <w:spacing w:after="0" w:line="240" w:lineRule="auto"/>
      </w:pPr>
      <w:r>
        <w:separator/>
      </w:r>
    </w:p>
  </w:endnote>
  <w:endnote w:type="continuationSeparator" w:id="0">
    <w:p w14:paraId="23440B82" w14:textId="77777777" w:rsidR="002E7B24" w:rsidRDefault="002E7B24" w:rsidP="00AD3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B524E" w14:textId="77777777" w:rsidR="00AD3511" w:rsidRDefault="00AD35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F6D2A" w14:textId="77777777" w:rsidR="00AD3511" w:rsidRDefault="00AD35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9C8B5" w14:textId="77777777" w:rsidR="00AD3511" w:rsidRDefault="00AD3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D9743" w14:textId="77777777" w:rsidR="002E7B24" w:rsidRDefault="002E7B24" w:rsidP="00AD3511">
      <w:pPr>
        <w:spacing w:after="0" w:line="240" w:lineRule="auto"/>
      </w:pPr>
      <w:r>
        <w:separator/>
      </w:r>
    </w:p>
  </w:footnote>
  <w:footnote w:type="continuationSeparator" w:id="0">
    <w:p w14:paraId="350D7F00" w14:textId="77777777" w:rsidR="002E7B24" w:rsidRDefault="002E7B24" w:rsidP="00AD3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B5579" w14:textId="6EFF3922" w:rsidR="00AD3511" w:rsidRDefault="00AD3511">
    <w:pPr>
      <w:pStyle w:val="Header"/>
    </w:pPr>
    <w:r>
      <w:rPr>
        <w:noProof/>
      </w:rPr>
      <w:pict w14:anchorId="4A8F1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682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3A90F" w14:textId="2F0B9E2E" w:rsidR="00AD3511" w:rsidRDefault="00AD3511">
    <w:pPr>
      <w:pStyle w:val="Header"/>
    </w:pPr>
    <w:r>
      <w:rPr>
        <w:noProof/>
      </w:rPr>
      <w:pict w14:anchorId="70029B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682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AA33A" w14:textId="770A4EDE" w:rsidR="00AD3511" w:rsidRDefault="00AD3511">
    <w:pPr>
      <w:pStyle w:val="Header"/>
    </w:pPr>
    <w:r>
      <w:rPr>
        <w:noProof/>
      </w:rPr>
      <w:pict w14:anchorId="45D77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682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45261"/>
    <w:multiLevelType w:val="multilevel"/>
    <w:tmpl w:val="049452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EE4F08"/>
    <w:multiLevelType w:val="multilevel"/>
    <w:tmpl w:val="2CEE4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5561516"/>
    <w:multiLevelType w:val="multilevel"/>
    <w:tmpl w:val="555615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63D4535"/>
    <w:multiLevelType w:val="multilevel"/>
    <w:tmpl w:val="763D45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E636835"/>
    <w:multiLevelType w:val="hybridMultilevel"/>
    <w:tmpl w:val="37BA3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66C3"/>
    <w:rsid w:val="000427FF"/>
    <w:rsid w:val="0007112B"/>
    <w:rsid w:val="00081C98"/>
    <w:rsid w:val="000D15CF"/>
    <w:rsid w:val="0010532E"/>
    <w:rsid w:val="00116D42"/>
    <w:rsid w:val="00131AEF"/>
    <w:rsid w:val="00133C11"/>
    <w:rsid w:val="001770AC"/>
    <w:rsid w:val="00191518"/>
    <w:rsid w:val="001D3379"/>
    <w:rsid w:val="002477EB"/>
    <w:rsid w:val="00262E4F"/>
    <w:rsid w:val="002975C5"/>
    <w:rsid w:val="002E7B24"/>
    <w:rsid w:val="00310D40"/>
    <w:rsid w:val="00356BCC"/>
    <w:rsid w:val="00367A16"/>
    <w:rsid w:val="003702FC"/>
    <w:rsid w:val="00371494"/>
    <w:rsid w:val="003A090E"/>
    <w:rsid w:val="003A2FB9"/>
    <w:rsid w:val="003C1AD9"/>
    <w:rsid w:val="003D6BAF"/>
    <w:rsid w:val="00404022"/>
    <w:rsid w:val="004662F7"/>
    <w:rsid w:val="00467F75"/>
    <w:rsid w:val="00471C19"/>
    <w:rsid w:val="00477365"/>
    <w:rsid w:val="004A09E9"/>
    <w:rsid w:val="004A5AFD"/>
    <w:rsid w:val="0050256F"/>
    <w:rsid w:val="005109E6"/>
    <w:rsid w:val="00520E0C"/>
    <w:rsid w:val="00524C49"/>
    <w:rsid w:val="0057348F"/>
    <w:rsid w:val="00590510"/>
    <w:rsid w:val="00596908"/>
    <w:rsid w:val="005B1495"/>
    <w:rsid w:val="005B2F04"/>
    <w:rsid w:val="005C2C3F"/>
    <w:rsid w:val="005F2CDB"/>
    <w:rsid w:val="0061145C"/>
    <w:rsid w:val="006256CE"/>
    <w:rsid w:val="00685AD1"/>
    <w:rsid w:val="00704930"/>
    <w:rsid w:val="00741921"/>
    <w:rsid w:val="00767608"/>
    <w:rsid w:val="007E0CD1"/>
    <w:rsid w:val="00860FC8"/>
    <w:rsid w:val="00884939"/>
    <w:rsid w:val="00953648"/>
    <w:rsid w:val="00956A5B"/>
    <w:rsid w:val="009908DC"/>
    <w:rsid w:val="009A3335"/>
    <w:rsid w:val="009C2E77"/>
    <w:rsid w:val="009C530E"/>
    <w:rsid w:val="009C66C3"/>
    <w:rsid w:val="00A44149"/>
    <w:rsid w:val="00A57749"/>
    <w:rsid w:val="00A87353"/>
    <w:rsid w:val="00AA3BEE"/>
    <w:rsid w:val="00AC2A16"/>
    <w:rsid w:val="00AD3511"/>
    <w:rsid w:val="00AE0E90"/>
    <w:rsid w:val="00AF2173"/>
    <w:rsid w:val="00B16A00"/>
    <w:rsid w:val="00B5449D"/>
    <w:rsid w:val="00B93481"/>
    <w:rsid w:val="00BD0D3C"/>
    <w:rsid w:val="00BE4C08"/>
    <w:rsid w:val="00C20F8E"/>
    <w:rsid w:val="00C73D52"/>
    <w:rsid w:val="00C9523D"/>
    <w:rsid w:val="00CA4020"/>
    <w:rsid w:val="00CB0EAE"/>
    <w:rsid w:val="00CB6D46"/>
    <w:rsid w:val="00D8177B"/>
    <w:rsid w:val="00D85EDF"/>
    <w:rsid w:val="00DC7716"/>
    <w:rsid w:val="00DD2660"/>
    <w:rsid w:val="00DD51AB"/>
    <w:rsid w:val="00DF4B74"/>
    <w:rsid w:val="00E06FF9"/>
    <w:rsid w:val="00E6214F"/>
    <w:rsid w:val="00E966B2"/>
    <w:rsid w:val="00EC14F9"/>
    <w:rsid w:val="00EC1B89"/>
    <w:rsid w:val="00F24023"/>
    <w:rsid w:val="00F43264"/>
    <w:rsid w:val="00F84DD7"/>
    <w:rsid w:val="00FA272A"/>
    <w:rsid w:val="00FB63C1"/>
    <w:rsid w:val="00FE3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F4B991A"/>
  <w15:docId w15:val="{68981198-BF99-4126-B4EB-ED9B0874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A5AFD"/>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AFD"/>
    <w:rPr>
      <w:rFonts w:ascii="Tahoma" w:hAnsi="Tahoma" w:cs="Tahoma"/>
      <w:sz w:val="16"/>
      <w:szCs w:val="16"/>
    </w:rPr>
  </w:style>
  <w:style w:type="paragraph" w:styleId="ListParagraph">
    <w:name w:val="List Paragraph"/>
    <w:basedOn w:val="Normal"/>
    <w:uiPriority w:val="34"/>
    <w:qFormat/>
    <w:rsid w:val="00DC7716"/>
    <w:pPr>
      <w:spacing w:after="160" w:line="259" w:lineRule="auto"/>
      <w:ind w:left="720"/>
      <w:contextualSpacing/>
    </w:pPr>
    <w:rPr>
      <w:lang w:val="en-US"/>
    </w:rPr>
  </w:style>
  <w:style w:type="character" w:styleId="Hyperlink">
    <w:name w:val="Hyperlink"/>
    <w:basedOn w:val="DefaultParagraphFont"/>
    <w:uiPriority w:val="99"/>
    <w:unhideWhenUsed/>
    <w:rsid w:val="00467F75"/>
    <w:rPr>
      <w:color w:val="0000FF" w:themeColor="hyperlink"/>
      <w:u w:val="single"/>
    </w:rPr>
  </w:style>
  <w:style w:type="character" w:styleId="UnresolvedMention">
    <w:name w:val="Unresolved Mention"/>
    <w:basedOn w:val="DefaultParagraphFont"/>
    <w:uiPriority w:val="99"/>
    <w:semiHidden/>
    <w:unhideWhenUsed/>
    <w:rsid w:val="00467F75"/>
    <w:rPr>
      <w:color w:val="605E5C"/>
      <w:shd w:val="clear" w:color="auto" w:fill="E1DFDD"/>
    </w:rPr>
  </w:style>
  <w:style w:type="paragraph" w:styleId="Header">
    <w:name w:val="header"/>
    <w:basedOn w:val="Normal"/>
    <w:link w:val="HeaderChar"/>
    <w:uiPriority w:val="99"/>
    <w:unhideWhenUsed/>
    <w:rsid w:val="00AD3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511"/>
  </w:style>
  <w:style w:type="paragraph" w:styleId="Footer">
    <w:name w:val="footer"/>
    <w:basedOn w:val="Normal"/>
    <w:link w:val="FooterChar"/>
    <w:uiPriority w:val="99"/>
    <w:unhideWhenUsed/>
    <w:rsid w:val="00AD3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001354">
      <w:bodyDiv w:val="1"/>
      <w:marLeft w:val="0"/>
      <w:marRight w:val="0"/>
      <w:marTop w:val="0"/>
      <w:marBottom w:val="0"/>
      <w:divBdr>
        <w:top w:val="none" w:sz="0" w:space="0" w:color="auto"/>
        <w:left w:val="none" w:sz="0" w:space="0" w:color="auto"/>
        <w:bottom w:val="none" w:sz="0" w:space="0" w:color="auto"/>
        <w:right w:val="none" w:sz="0" w:space="0" w:color="auto"/>
      </w:divBdr>
    </w:div>
    <w:div w:id="551427883">
      <w:bodyDiv w:val="1"/>
      <w:marLeft w:val="0"/>
      <w:marRight w:val="0"/>
      <w:marTop w:val="0"/>
      <w:marBottom w:val="0"/>
      <w:divBdr>
        <w:top w:val="none" w:sz="0" w:space="0" w:color="auto"/>
        <w:left w:val="none" w:sz="0" w:space="0" w:color="auto"/>
        <w:bottom w:val="none" w:sz="0" w:space="0" w:color="auto"/>
        <w:right w:val="none" w:sz="0" w:space="0" w:color="auto"/>
      </w:divBdr>
    </w:div>
    <w:div w:id="932511787">
      <w:bodyDiv w:val="1"/>
      <w:marLeft w:val="0"/>
      <w:marRight w:val="0"/>
      <w:marTop w:val="0"/>
      <w:marBottom w:val="0"/>
      <w:divBdr>
        <w:top w:val="none" w:sz="0" w:space="0" w:color="auto"/>
        <w:left w:val="none" w:sz="0" w:space="0" w:color="auto"/>
        <w:bottom w:val="none" w:sz="0" w:space="0" w:color="auto"/>
        <w:right w:val="none" w:sz="0" w:space="0" w:color="auto"/>
      </w:divBdr>
    </w:div>
    <w:div w:id="1515729844">
      <w:bodyDiv w:val="1"/>
      <w:marLeft w:val="0"/>
      <w:marRight w:val="0"/>
      <w:marTop w:val="0"/>
      <w:marBottom w:val="0"/>
      <w:divBdr>
        <w:top w:val="none" w:sz="0" w:space="0" w:color="auto"/>
        <w:left w:val="none" w:sz="0" w:space="0" w:color="auto"/>
        <w:bottom w:val="none" w:sz="0" w:space="0" w:color="auto"/>
        <w:right w:val="none" w:sz="0" w:space="0" w:color="auto"/>
      </w:divBdr>
    </w:div>
    <w:div w:id="1832594683">
      <w:bodyDiv w:val="1"/>
      <w:marLeft w:val="0"/>
      <w:marRight w:val="0"/>
      <w:marTop w:val="0"/>
      <w:marBottom w:val="0"/>
      <w:divBdr>
        <w:top w:val="none" w:sz="0" w:space="0" w:color="auto"/>
        <w:left w:val="none" w:sz="0" w:space="0" w:color="auto"/>
        <w:bottom w:val="none" w:sz="0" w:space="0" w:color="auto"/>
        <w:right w:val="none" w:sz="0" w:space="0" w:color="auto"/>
      </w:divBdr>
    </w:div>
    <w:div w:id="2000188610">
      <w:bodyDiv w:val="1"/>
      <w:marLeft w:val="0"/>
      <w:marRight w:val="0"/>
      <w:marTop w:val="0"/>
      <w:marBottom w:val="0"/>
      <w:divBdr>
        <w:top w:val="none" w:sz="0" w:space="0" w:color="auto"/>
        <w:left w:val="none" w:sz="0" w:space="0" w:color="auto"/>
        <w:bottom w:val="none" w:sz="0" w:space="0" w:color="auto"/>
        <w:right w:val="none" w:sz="0" w:space="0" w:color="auto"/>
      </w:divBdr>
    </w:div>
    <w:div w:id="2009282750">
      <w:bodyDiv w:val="1"/>
      <w:marLeft w:val="0"/>
      <w:marRight w:val="0"/>
      <w:marTop w:val="0"/>
      <w:marBottom w:val="0"/>
      <w:divBdr>
        <w:top w:val="none" w:sz="0" w:space="0" w:color="auto"/>
        <w:left w:val="none" w:sz="0" w:space="0" w:color="auto"/>
        <w:bottom w:val="none" w:sz="0" w:space="0" w:color="auto"/>
        <w:right w:val="none" w:sz="0" w:space="0" w:color="auto"/>
      </w:divBdr>
    </w:div>
    <w:div w:id="2045909042">
      <w:bodyDiv w:val="1"/>
      <w:marLeft w:val="0"/>
      <w:marRight w:val="0"/>
      <w:marTop w:val="0"/>
      <w:marBottom w:val="0"/>
      <w:divBdr>
        <w:top w:val="none" w:sz="0" w:space="0" w:color="auto"/>
        <w:left w:val="none" w:sz="0" w:space="0" w:color="auto"/>
        <w:bottom w:val="none" w:sz="0" w:space="0" w:color="auto"/>
        <w:right w:val="none" w:sz="0" w:space="0" w:color="auto"/>
      </w:divBdr>
    </w:div>
    <w:div w:id="2052997821">
      <w:bodyDiv w:val="1"/>
      <w:marLeft w:val="0"/>
      <w:marRight w:val="0"/>
      <w:marTop w:val="0"/>
      <w:marBottom w:val="0"/>
      <w:divBdr>
        <w:top w:val="none" w:sz="0" w:space="0" w:color="auto"/>
        <w:left w:val="none" w:sz="0" w:space="0" w:color="auto"/>
        <w:bottom w:val="none" w:sz="0" w:space="0" w:color="auto"/>
        <w:right w:val="none" w:sz="0" w:space="0" w:color="auto"/>
      </w:divBdr>
    </w:div>
    <w:div w:id="213990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8203/2320-1770.ijrcog20190862" TargetMode="External"/><Relationship Id="rId18" Type="http://schemas.openxmlformats.org/officeDocument/2006/relationships/hyperlink" Target="https://doi.org/10.1093/humrep/17.12.3065" TargetMode="External"/><Relationship Id="rId26" Type="http://schemas.openxmlformats.org/officeDocument/2006/relationships/hyperlink" Target="https://doi.org/10.4103/0974-1208.82351" TargetMode="External"/><Relationship Id="rId3" Type="http://schemas.openxmlformats.org/officeDocument/2006/relationships/settings" Target="settings.xml"/><Relationship Id="rId21" Type="http://schemas.openxmlformats.org/officeDocument/2006/relationships/hyperlink" Target="https://doi.org/10.1093/ije/29.2.285" TargetMode="External"/><Relationship Id="rId34"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https://doi.org/10.4314/njps.v24i2.52920" TargetMode="External"/><Relationship Id="rId17" Type="http://schemas.openxmlformats.org/officeDocument/2006/relationships/hyperlink" Target="https://doi.org/10.1093/humrep/deg135" TargetMode="External"/><Relationship Id="rId25" Type="http://schemas.openxmlformats.org/officeDocument/2006/relationships/hyperlink" Target="https://doi.org/10.1210/jc.2007-0836"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93/humrep/deg473" TargetMode="External"/><Relationship Id="rId20" Type="http://schemas.openxmlformats.org/officeDocument/2006/relationships/hyperlink" Target="https://www.ncbi.nlm.nih.gov/pmc/articles/PMC3895825/"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314/wajm.v22i2.27946" TargetMode="External"/><Relationship Id="rId24" Type="http://schemas.openxmlformats.org/officeDocument/2006/relationships/hyperlink" Target="https://tools.ovid.com/ovidweb/ovidbook.cgi?T=JB&amp;MODE=ovid&amp;NEWS=N&amp;PAGE=toc&amp;D=books&amp;AN=01600000%231%2f1"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s0303-7207(98)00171-3" TargetMode="External"/><Relationship Id="rId23" Type="http://schemas.openxmlformats.org/officeDocument/2006/relationships/hyperlink" Target="https://doi.org/10.7860/JCDR/2012/5101.2624" TargetMode="External"/><Relationship Id="rId28" Type="http://schemas.openxmlformats.org/officeDocument/2006/relationships/header" Target="header1.xml"/><Relationship Id="rId10" Type="http://schemas.openxmlformats.org/officeDocument/2006/relationships/hyperlink" Target="https://doi.org/10.2471/BLT.10.011210" TargetMode="External"/><Relationship Id="rId19" Type="http://schemas.openxmlformats.org/officeDocument/2006/relationships/hyperlink" Target="https://doi.org/10.1093/humrep/dep366"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accessmedicine.mhmedical.com/book.aspx?bookid=498" TargetMode="External"/><Relationship Id="rId14" Type="http://schemas.openxmlformats.org/officeDocument/2006/relationships/hyperlink" Target="https://doi.org/10.1016/s0378-5122(98)00075-9" TargetMode="External"/><Relationship Id="rId22" Type="http://schemas.openxmlformats.org/officeDocument/2006/relationships/hyperlink" Target="https://doi.org/10.24911/IJMDC.51-1542882156" TargetMode="External"/><Relationship Id="rId27" Type="http://schemas.openxmlformats.org/officeDocument/2006/relationships/hyperlink" Target="https://doi.org/10.3389/fendo.2021.702061"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576</TotalTime>
  <Pages>10</Pages>
  <Words>4178</Words>
  <Characters>23819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EVIDENCE EKPOMA</dc:creator>
  <cp:lastModifiedBy>SDI 1084</cp:lastModifiedBy>
  <cp:revision>75</cp:revision>
  <dcterms:created xsi:type="dcterms:W3CDTF">2025-01-02T16:01:00Z</dcterms:created>
  <dcterms:modified xsi:type="dcterms:W3CDTF">2025-12-18T11:22:00Z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d75f04ea186eebdcc8d401041b3060e2ba6b35773cfe2eddb389cd2e50e52d03</vt:lpwstr>
  </property>
</Properties>
</file>