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77554" w14:textId="77777777" w:rsidR="006B02D7" w:rsidRDefault="006B02D7">
      <w:pPr>
        <w:jc w:val="right"/>
        <w:rPr>
          <w:rFonts w:ascii="Arial" w:eastAsia="Calibri" w:hAnsi="Arial" w:cs="Arial"/>
          <w:b/>
          <w:bCs/>
          <w:sz w:val="28"/>
          <w:szCs w:val="28"/>
        </w:rPr>
      </w:pPr>
      <w:r w:rsidRPr="006B02D7">
        <w:rPr>
          <w:rFonts w:ascii="Arial" w:eastAsia="Calibri" w:hAnsi="Arial" w:cs="Arial"/>
          <w:b/>
          <w:bCs/>
          <w:sz w:val="28"/>
          <w:szCs w:val="28"/>
        </w:rPr>
        <w:t xml:space="preserve">Original Research Article </w:t>
      </w:r>
    </w:p>
    <w:p w14:paraId="35740F21" w14:textId="77777777" w:rsidR="006B02D7" w:rsidRDefault="006B02D7">
      <w:pPr>
        <w:jc w:val="right"/>
        <w:rPr>
          <w:rFonts w:ascii="Arial" w:eastAsia="Calibri" w:hAnsi="Arial" w:cs="Arial"/>
          <w:b/>
          <w:bCs/>
          <w:sz w:val="28"/>
          <w:szCs w:val="28"/>
        </w:rPr>
      </w:pPr>
    </w:p>
    <w:p w14:paraId="354FD14F" w14:textId="15ECB8A3" w:rsidR="00AD291E" w:rsidRDefault="00AA6E6F">
      <w:pPr>
        <w:jc w:val="right"/>
        <w:rPr>
          <w:rFonts w:ascii="Arial" w:eastAsia="Calibri" w:hAnsi="Arial" w:cs="Arial"/>
          <w:sz w:val="28"/>
          <w:szCs w:val="28"/>
        </w:rPr>
      </w:pPr>
      <w:r>
        <w:rPr>
          <w:rFonts w:ascii="Arial" w:eastAsia="Calibri" w:hAnsi="Arial" w:cs="Arial"/>
          <w:b/>
          <w:bCs/>
          <w:sz w:val="28"/>
          <w:szCs w:val="28"/>
        </w:rPr>
        <w:t xml:space="preserve">Assessment of Anion Gap and Kidney Functioning in Male Bodybuilders Engaged in Intensive Exercise in Port Harcourt Metropolis </w:t>
      </w:r>
    </w:p>
    <w:p w14:paraId="1E0BD1F3" w14:textId="35CE59F2" w:rsidR="00163464" w:rsidRDefault="00163464">
      <w:pPr>
        <w:spacing w:before="0" w:beforeAutospacing="0" w:after="0"/>
        <w:jc w:val="right"/>
        <w:rPr>
          <w:rFonts w:ascii="Arial" w:eastAsia="Calibri" w:hAnsi="Arial" w:cs="Arial"/>
          <w:b/>
          <w:bCs/>
          <w:sz w:val="20"/>
          <w:szCs w:val="20"/>
        </w:rPr>
      </w:pPr>
    </w:p>
    <w:p w14:paraId="485D7201" w14:textId="77777777" w:rsidR="00FF553C" w:rsidRDefault="00FF553C">
      <w:pPr>
        <w:spacing w:before="0" w:beforeAutospacing="0" w:after="0"/>
        <w:jc w:val="right"/>
        <w:rPr>
          <w:rFonts w:ascii="Arial" w:eastAsia="Calibri" w:hAnsi="Arial" w:cs="Arial"/>
          <w:b/>
          <w:bCs/>
          <w:sz w:val="20"/>
          <w:szCs w:val="20"/>
        </w:rPr>
      </w:pPr>
    </w:p>
    <w:p w14:paraId="11698AE0" w14:textId="77777777" w:rsidR="00AD291E" w:rsidRDefault="00AA6E6F">
      <w:pPr>
        <w:spacing w:before="0" w:beforeAutospacing="0" w:after="0"/>
        <w:jc w:val="right"/>
        <w:rPr>
          <w:rFonts w:ascii="Arial" w:hAnsi="Arial" w:cs="Arial"/>
          <w:sz w:val="20"/>
          <w:szCs w:val="20"/>
        </w:rPr>
      </w:pPr>
      <w:r>
        <w:rPr>
          <w:rFonts w:ascii="Arial" w:eastAsia="Calibri" w:hAnsi="Arial" w:cs="Arial"/>
          <w:b/>
          <w:bCs/>
          <w:sz w:val="20"/>
          <w:szCs w:val="20"/>
        </w:rPr>
        <w:t xml:space="preserve"> </w:t>
      </w:r>
    </w:p>
    <w:p w14:paraId="19016F78" w14:textId="77777777" w:rsidR="00AD291E" w:rsidRDefault="00AA6E6F">
      <w:pPr>
        <w:rPr>
          <w:rFonts w:ascii="Arial" w:eastAsia="Calibri" w:hAnsi="Arial" w:cs="Arial"/>
          <w:b/>
          <w:sz w:val="22"/>
          <w:szCs w:val="22"/>
        </w:rPr>
      </w:pPr>
      <w:r>
        <w:rPr>
          <w:rFonts w:ascii="Arial" w:eastAsia="Calibri" w:hAnsi="Arial" w:cs="Arial"/>
          <w:b/>
          <w:bCs/>
          <w:sz w:val="22"/>
          <w:szCs w:val="22"/>
        </w:rPr>
        <w:t>ABSTRACT</w:t>
      </w:r>
    </w:p>
    <w:p w14:paraId="671E1BFE" w14:textId="77777777" w:rsidR="00AD291E" w:rsidRDefault="00AA6E6F">
      <w:pPr>
        <w:spacing w:before="0" w:beforeAutospacing="0" w:after="0" w:line="240" w:lineRule="auto"/>
        <w:jc w:val="both"/>
        <w:rPr>
          <w:rFonts w:ascii="Arial" w:eastAsia="Calibri" w:hAnsi="Arial" w:cs="Arial"/>
          <w:sz w:val="20"/>
          <w:szCs w:val="20"/>
        </w:rPr>
      </w:pPr>
      <w:r>
        <w:rPr>
          <w:rFonts w:ascii="Arial" w:eastAsia="Calibri" w:hAnsi="Arial" w:cs="Arial"/>
          <w:b/>
          <w:bCs/>
          <w:sz w:val="20"/>
          <w:szCs w:val="20"/>
        </w:rPr>
        <w:t>Aim</w:t>
      </w:r>
      <w:r>
        <w:rPr>
          <w:rFonts w:ascii="Arial" w:eastAsia="Calibri" w:hAnsi="Arial" w:cs="Arial"/>
          <w:sz w:val="20"/>
          <w:szCs w:val="20"/>
        </w:rPr>
        <w:t xml:space="preserve">: Bodybuilding has become a growing profession among young men of recent influencing kidney functioning, acid-base balance </w:t>
      </w:r>
      <w:proofErr w:type="gramStart"/>
      <w:r>
        <w:rPr>
          <w:rFonts w:ascii="Arial" w:eastAsia="Calibri" w:hAnsi="Arial" w:cs="Arial"/>
          <w:sz w:val="20"/>
          <w:szCs w:val="20"/>
        </w:rPr>
        <w:t>and  the</w:t>
      </w:r>
      <w:proofErr w:type="gramEnd"/>
      <w:r>
        <w:rPr>
          <w:rFonts w:ascii="Arial" w:eastAsia="Calibri" w:hAnsi="Arial" w:cs="Arial"/>
          <w:sz w:val="20"/>
          <w:szCs w:val="20"/>
        </w:rPr>
        <w:t xml:space="preserve"> overall health of an individual hence the assessment of serum urea, creatinine, electrolytes and the anion gap in male bodybuilders engaged in intensive exercise in Port Harcourt Metropolis.</w:t>
      </w:r>
    </w:p>
    <w:p w14:paraId="0924D178" w14:textId="77777777" w:rsidR="00AD291E" w:rsidRDefault="00AA6E6F">
      <w:pPr>
        <w:spacing w:before="0" w:beforeAutospacing="0" w:after="0" w:line="240" w:lineRule="auto"/>
        <w:jc w:val="both"/>
        <w:rPr>
          <w:rFonts w:ascii="Arial" w:hAnsi="Arial" w:cs="Arial"/>
          <w:sz w:val="20"/>
          <w:szCs w:val="20"/>
        </w:rPr>
      </w:pPr>
      <w:r>
        <w:rPr>
          <w:rFonts w:ascii="Arial" w:eastAsia="Calibri" w:hAnsi="Arial" w:cs="Arial"/>
          <w:b/>
          <w:bCs/>
          <w:sz w:val="20"/>
          <w:szCs w:val="20"/>
        </w:rPr>
        <w:t>Study Design</w:t>
      </w:r>
      <w:r>
        <w:rPr>
          <w:rFonts w:ascii="Arial" w:eastAsia="Calibri" w:hAnsi="Arial" w:cs="Arial"/>
          <w:sz w:val="20"/>
          <w:szCs w:val="20"/>
        </w:rPr>
        <w:t xml:space="preserve">: It is a cross sectional study that lasted for 6months between the periods of May 2025 to November 2025 </w:t>
      </w:r>
    </w:p>
    <w:p w14:paraId="6484952D" w14:textId="77777777" w:rsidR="00AD291E" w:rsidRDefault="00AA6E6F">
      <w:pPr>
        <w:spacing w:before="0" w:beforeAutospacing="0" w:after="0" w:line="240" w:lineRule="auto"/>
        <w:jc w:val="both"/>
        <w:rPr>
          <w:rFonts w:ascii="Arial" w:hAnsi="Arial" w:cs="Arial"/>
          <w:sz w:val="20"/>
          <w:szCs w:val="20"/>
        </w:rPr>
      </w:pPr>
      <w:r>
        <w:rPr>
          <w:rFonts w:ascii="Arial" w:eastAsia="Calibri" w:hAnsi="Arial" w:cs="Arial"/>
          <w:b/>
          <w:bCs/>
          <w:sz w:val="20"/>
          <w:szCs w:val="20"/>
        </w:rPr>
        <w:t>Method</w:t>
      </w:r>
      <w:r>
        <w:rPr>
          <w:rFonts w:ascii="Arial" w:eastAsia="Calibri" w:hAnsi="Arial" w:cs="Arial"/>
          <w:sz w:val="20"/>
          <w:szCs w:val="20"/>
        </w:rPr>
        <w:t xml:space="preserve">: Forty-one (41) participants were recruited; comprising of twenty </w:t>
      </w:r>
      <w:proofErr w:type="gramStart"/>
      <w:r>
        <w:rPr>
          <w:rFonts w:ascii="Arial" w:eastAsia="Calibri" w:hAnsi="Arial" w:cs="Arial"/>
          <w:sz w:val="20"/>
          <w:szCs w:val="20"/>
        </w:rPr>
        <w:t>one  male</w:t>
      </w:r>
      <w:proofErr w:type="gramEnd"/>
      <w:r>
        <w:rPr>
          <w:rFonts w:ascii="Arial" w:eastAsia="Calibri" w:hAnsi="Arial" w:cs="Arial"/>
          <w:sz w:val="20"/>
          <w:szCs w:val="20"/>
        </w:rPr>
        <w:t xml:space="preserve"> bodybuilders and twenty  male controls who gave their informed consent. serum urea, creatinine and electrolytes were determined from blood samples collected using enzymatic </w:t>
      </w:r>
      <w:proofErr w:type="gramStart"/>
      <w:r>
        <w:rPr>
          <w:rFonts w:ascii="Arial" w:eastAsia="Calibri" w:hAnsi="Arial" w:cs="Arial"/>
          <w:sz w:val="20"/>
          <w:szCs w:val="20"/>
        </w:rPr>
        <w:t>and  colorimetric</w:t>
      </w:r>
      <w:proofErr w:type="gramEnd"/>
      <w:r>
        <w:rPr>
          <w:rFonts w:ascii="Arial" w:eastAsia="Calibri" w:hAnsi="Arial" w:cs="Arial"/>
          <w:sz w:val="20"/>
          <w:szCs w:val="20"/>
        </w:rPr>
        <w:t xml:space="preserve"> techniques respectively. The anion gap was computed from measured electrolytes. Statistical analysis was done using t-test and Pearson’s correlation in conjunction with relevant information from the structured questionnaires. </w:t>
      </w:r>
    </w:p>
    <w:p w14:paraId="4D5BBC1C" w14:textId="77777777" w:rsidR="00AD291E" w:rsidRDefault="00AA6E6F">
      <w:pPr>
        <w:pStyle w:val="NormalWeb"/>
        <w:spacing w:beforeAutospacing="0" w:afterAutospacing="0"/>
        <w:jc w:val="both"/>
        <w:rPr>
          <w:rFonts w:ascii="Arial" w:eastAsia="Calibri" w:hAnsi="Arial" w:cs="Arial"/>
          <w:sz w:val="20"/>
          <w:szCs w:val="20"/>
        </w:rPr>
      </w:pPr>
      <w:r>
        <w:rPr>
          <w:rFonts w:ascii="Arial" w:eastAsia="Calibri" w:hAnsi="Arial" w:cs="Arial"/>
          <w:b/>
          <w:bCs/>
          <w:sz w:val="20"/>
          <w:szCs w:val="20"/>
        </w:rPr>
        <w:t>Results</w:t>
      </w:r>
      <w:r>
        <w:rPr>
          <w:rFonts w:ascii="Arial" w:eastAsia="Calibri" w:hAnsi="Arial" w:cs="Arial"/>
          <w:sz w:val="20"/>
          <w:szCs w:val="20"/>
        </w:rPr>
        <w:t xml:space="preserve">: There was a significant increase </w:t>
      </w:r>
      <w:proofErr w:type="gramStart"/>
      <w:r>
        <w:rPr>
          <w:rFonts w:ascii="Arial" w:eastAsia="Calibri" w:hAnsi="Arial" w:cs="Arial"/>
          <w:sz w:val="20"/>
          <w:szCs w:val="20"/>
        </w:rPr>
        <w:t>in  serum</w:t>
      </w:r>
      <w:proofErr w:type="gramEnd"/>
      <w:r>
        <w:rPr>
          <w:rFonts w:ascii="Arial" w:eastAsia="Calibri" w:hAnsi="Arial" w:cs="Arial"/>
          <w:sz w:val="20"/>
          <w:szCs w:val="20"/>
        </w:rPr>
        <w:t xml:space="preserve"> urea (</w:t>
      </w:r>
      <w:r>
        <w:rPr>
          <w:rFonts w:ascii="Arial" w:hAnsi="Arial" w:cs="Arial"/>
          <w:color w:val="000000"/>
          <w:sz w:val="20"/>
          <w:szCs w:val="20"/>
        </w:rPr>
        <w:t>6.599 ± 2.128</w:t>
      </w:r>
      <w:r>
        <w:rPr>
          <w:rFonts w:ascii="Arial" w:eastAsia="Calibri" w:hAnsi="Arial" w:cs="Arial"/>
          <w:sz w:val="20"/>
          <w:szCs w:val="20"/>
        </w:rPr>
        <w:t xml:space="preserve"> mmol/L) and creatinine (</w:t>
      </w:r>
      <w:r>
        <w:rPr>
          <w:rFonts w:ascii="Arial" w:hAnsi="Arial" w:cs="Arial"/>
          <w:sz w:val="20"/>
          <w:szCs w:val="20"/>
        </w:rPr>
        <w:t xml:space="preserve">133.5 </w:t>
      </w:r>
      <w:r>
        <w:rPr>
          <w:rFonts w:ascii="Arial" w:hAnsi="Arial" w:cs="Arial"/>
          <w:color w:val="000000"/>
          <w:sz w:val="20"/>
          <w:szCs w:val="20"/>
        </w:rPr>
        <w:t> ± 73.67</w:t>
      </w:r>
      <w:r>
        <w:rPr>
          <w:rFonts w:ascii="Arial" w:eastAsia="Calibri" w:hAnsi="Arial" w:cs="Arial"/>
          <w:sz w:val="20"/>
          <w:szCs w:val="20"/>
        </w:rPr>
        <w:t xml:space="preserve"> µmol/L) levels in the bodybuilders compared to controls (</w:t>
      </w:r>
      <w:r>
        <w:rPr>
          <w:rFonts w:ascii="Arial" w:hAnsi="Arial" w:cs="Arial"/>
          <w:color w:val="000000"/>
          <w:sz w:val="20"/>
          <w:szCs w:val="20"/>
        </w:rPr>
        <w:t>2.445 ± 0.993</w:t>
      </w:r>
      <w:r>
        <w:rPr>
          <w:rFonts w:ascii="Arial" w:eastAsia="Calibri" w:hAnsi="Arial" w:cs="Arial"/>
          <w:sz w:val="20"/>
          <w:szCs w:val="20"/>
        </w:rPr>
        <w:t xml:space="preserve"> mmol/L and </w:t>
      </w:r>
      <w:r>
        <w:rPr>
          <w:rFonts w:ascii="Arial" w:hAnsi="Arial" w:cs="Arial"/>
          <w:color w:val="000000"/>
          <w:sz w:val="20"/>
          <w:szCs w:val="20"/>
        </w:rPr>
        <w:t>77.17  ± 12.89</w:t>
      </w:r>
      <w:r>
        <w:rPr>
          <w:rFonts w:ascii="Arial" w:eastAsia="Calibri" w:hAnsi="Arial" w:cs="Arial"/>
          <w:sz w:val="20"/>
          <w:szCs w:val="20"/>
        </w:rPr>
        <w:t xml:space="preserve"> µmol/L respectively (p &lt; 0.05), suggesting enhanced protein metabolism, hence a burden on the kidney. Potassium levels were significantly increased in bodybuilders (</w:t>
      </w:r>
      <w:r>
        <w:rPr>
          <w:rFonts w:ascii="Arial" w:hAnsi="Arial" w:cs="Arial"/>
          <w:color w:val="000000"/>
          <w:sz w:val="20"/>
          <w:szCs w:val="20"/>
        </w:rPr>
        <w:t>4.206 ± 0.576</w:t>
      </w:r>
      <w:r>
        <w:rPr>
          <w:rFonts w:ascii="Arial" w:eastAsia="Calibri" w:hAnsi="Arial" w:cs="Arial"/>
          <w:sz w:val="20"/>
          <w:szCs w:val="20"/>
        </w:rPr>
        <w:t xml:space="preserve"> mmol/L) compared to the controls (</w:t>
      </w:r>
      <w:r>
        <w:rPr>
          <w:rFonts w:ascii="Arial" w:hAnsi="Arial" w:cs="Arial"/>
          <w:color w:val="000000"/>
          <w:sz w:val="20"/>
          <w:szCs w:val="20"/>
        </w:rPr>
        <w:t>3.480 ± 0.346</w:t>
      </w:r>
      <w:r>
        <w:rPr>
          <w:rFonts w:ascii="Arial" w:eastAsia="Calibri" w:hAnsi="Arial" w:cs="Arial"/>
          <w:sz w:val="20"/>
          <w:szCs w:val="20"/>
        </w:rPr>
        <w:t xml:space="preserve"> mmol/L (p </w:t>
      </w:r>
      <w:r>
        <w:rPr>
          <w:rFonts w:ascii="Arial" w:hAnsi="Arial" w:cs="Arial"/>
          <w:color w:val="000000"/>
          <w:sz w:val="20"/>
          <w:szCs w:val="20"/>
        </w:rPr>
        <w:t>&lt;0.0001</w:t>
      </w:r>
      <w:r>
        <w:rPr>
          <w:rFonts w:ascii="Arial" w:eastAsia="Calibri" w:hAnsi="Arial" w:cs="Arial"/>
          <w:sz w:val="20"/>
          <w:szCs w:val="20"/>
        </w:rPr>
        <w:t xml:space="preserve">), while other electrolytes and the anion gap were not significantly different, indicating a normal muscle functioning and acid-base </w:t>
      </w:r>
      <w:proofErr w:type="spellStart"/>
      <w:proofErr w:type="gramStart"/>
      <w:r>
        <w:rPr>
          <w:rFonts w:ascii="Arial" w:eastAsia="Calibri" w:hAnsi="Arial" w:cs="Arial"/>
          <w:sz w:val="20"/>
          <w:szCs w:val="20"/>
        </w:rPr>
        <w:t>balance.Though</w:t>
      </w:r>
      <w:proofErr w:type="spellEnd"/>
      <w:proofErr w:type="gramEnd"/>
      <w:r>
        <w:rPr>
          <w:rFonts w:ascii="Arial" w:eastAsia="Calibri" w:hAnsi="Arial" w:cs="Arial"/>
          <w:sz w:val="20"/>
          <w:szCs w:val="20"/>
        </w:rPr>
        <w:t xml:space="preserve">, urea levels correlated positively with years of bodybuilding (r = 0.67, p = 0.001). </w:t>
      </w:r>
    </w:p>
    <w:p w14:paraId="534C5311" w14:textId="77777777" w:rsidR="00AD291E" w:rsidRDefault="00AA6E6F">
      <w:pPr>
        <w:spacing w:before="0" w:beforeAutospacing="0" w:after="0" w:line="240" w:lineRule="auto"/>
        <w:jc w:val="both"/>
        <w:rPr>
          <w:rFonts w:ascii="Arial" w:eastAsia="Calibri" w:hAnsi="Arial" w:cs="Arial"/>
          <w:sz w:val="20"/>
          <w:szCs w:val="20"/>
        </w:rPr>
      </w:pPr>
      <w:r>
        <w:rPr>
          <w:rFonts w:ascii="Arial" w:eastAsia="Calibri" w:hAnsi="Arial" w:cs="Arial"/>
          <w:b/>
          <w:bCs/>
          <w:sz w:val="20"/>
          <w:szCs w:val="20"/>
        </w:rPr>
        <w:t>Conclusion:</w:t>
      </w:r>
      <w:r>
        <w:rPr>
          <w:rFonts w:ascii="Arial" w:eastAsia="Calibri" w:hAnsi="Arial" w:cs="Arial"/>
          <w:sz w:val="20"/>
          <w:szCs w:val="20"/>
        </w:rPr>
        <w:t xml:space="preserve"> The increased serum urea and creatinine levels observed with no acid-base imbalances does not suggest a kidney dysfunction rather it might be a </w:t>
      </w:r>
      <w:proofErr w:type="gramStart"/>
      <w:r>
        <w:rPr>
          <w:rFonts w:ascii="Arial" w:eastAsia="Calibri" w:hAnsi="Arial" w:cs="Arial"/>
          <w:sz w:val="20"/>
          <w:szCs w:val="20"/>
        </w:rPr>
        <w:t>normal adaptive responses</w:t>
      </w:r>
      <w:proofErr w:type="gramEnd"/>
      <w:r>
        <w:rPr>
          <w:rFonts w:ascii="Arial" w:eastAsia="Calibri" w:hAnsi="Arial" w:cs="Arial"/>
          <w:sz w:val="20"/>
          <w:szCs w:val="20"/>
        </w:rPr>
        <w:t xml:space="preserve"> to kidney stress due to the intensive training exercises and dietary practices among bodybuilders. This underscores the importance of awareness and monitoring of these biochemical markers to help mitigate risk for metabolic and chronic renal diseases. </w:t>
      </w:r>
    </w:p>
    <w:p w14:paraId="321B854C" w14:textId="77777777" w:rsidR="00AD291E" w:rsidRDefault="00AA6E6F">
      <w:pPr>
        <w:jc w:val="both"/>
        <w:rPr>
          <w:rFonts w:ascii="Arial" w:eastAsia="Calibri" w:hAnsi="Arial" w:cs="Arial"/>
          <w:i/>
          <w:sz w:val="20"/>
          <w:szCs w:val="20"/>
        </w:rPr>
      </w:pPr>
      <w:r>
        <w:rPr>
          <w:rFonts w:ascii="Arial" w:eastAsia="Calibri" w:hAnsi="Arial" w:cs="Arial"/>
          <w:b/>
          <w:i/>
          <w:sz w:val="20"/>
          <w:szCs w:val="20"/>
        </w:rPr>
        <w:t>Keywords:</w:t>
      </w:r>
      <w:r>
        <w:rPr>
          <w:rFonts w:ascii="Arial" w:eastAsia="Calibri" w:hAnsi="Arial" w:cs="Arial"/>
          <w:i/>
          <w:sz w:val="20"/>
          <w:szCs w:val="20"/>
        </w:rPr>
        <w:t xml:space="preserve"> Kidney function test, anion gap, body builders, metabolic imbalance and renal disease.</w:t>
      </w:r>
    </w:p>
    <w:p w14:paraId="76586407" w14:textId="77777777" w:rsidR="00AD291E" w:rsidRDefault="00AA6E6F">
      <w:pPr>
        <w:rPr>
          <w:rFonts w:ascii="Arial" w:hAnsi="Arial" w:cs="Arial"/>
        </w:rPr>
      </w:pPr>
      <w:r>
        <w:rPr>
          <w:rFonts w:ascii="Arial" w:hAnsi="Arial" w:cs="Arial"/>
          <w:b/>
          <w:bCs/>
          <w:sz w:val="22"/>
          <w:szCs w:val="22"/>
        </w:rPr>
        <w:t>1.0 INTRODUCTION</w:t>
      </w:r>
    </w:p>
    <w:p w14:paraId="3802664A" w14:textId="77777777" w:rsidR="00AD291E" w:rsidRDefault="00AA6E6F">
      <w:pPr>
        <w:spacing w:line="240" w:lineRule="auto"/>
        <w:jc w:val="both"/>
        <w:rPr>
          <w:rFonts w:ascii="Arial" w:hAnsi="Arial" w:cs="Arial"/>
          <w:sz w:val="22"/>
          <w:szCs w:val="22"/>
        </w:rPr>
      </w:pPr>
      <w:r>
        <w:rPr>
          <w:rFonts w:ascii="Arial" w:hAnsi="Arial" w:cs="Arial"/>
          <w:sz w:val="22"/>
          <w:szCs w:val="22"/>
        </w:rPr>
        <w:t xml:space="preserve">Bodybuilding involves high-intensity physical exercises, training and incorporation of dietary regimens in developing muscle mass, strength, physique and physical fitness (ASFA, 2022). It can be in the form of competitive sport showcasing  muscular development and symmetry on stage, a life style choice or as a profession for some simply to enhance  physical </w:t>
      </w:r>
      <w:proofErr w:type="spellStart"/>
      <w:r>
        <w:rPr>
          <w:rFonts w:ascii="Arial" w:hAnsi="Arial" w:cs="Arial"/>
          <w:sz w:val="22"/>
          <w:szCs w:val="22"/>
        </w:rPr>
        <w:t>fitness.This</w:t>
      </w:r>
      <w:proofErr w:type="spellEnd"/>
      <w:r>
        <w:rPr>
          <w:rFonts w:ascii="Arial" w:hAnsi="Arial" w:cs="Arial"/>
          <w:sz w:val="22"/>
          <w:szCs w:val="22"/>
        </w:rPr>
        <w:t xml:space="preserve"> exercise has some health implications; alteration of muscle metabolism, electrolyte shifts, affecting hydration and   acid  base balance (Popkin et al., 2010; Hew-Butler et al., 2019), stress on the organs (World Economic Forum (2024).Bodybuilding is a form of resistance training aimed at increasing skeletal muscle mass and definition through structured exercise programs, often combined with high-protein diets and supplementation (</w:t>
      </w:r>
      <w:proofErr w:type="spellStart"/>
      <w:r>
        <w:rPr>
          <w:rFonts w:ascii="Arial" w:eastAsia="sans-serif" w:hAnsi="Arial" w:cs="Arial"/>
          <w:color w:val="202122"/>
          <w:sz w:val="22"/>
          <w:szCs w:val="22"/>
          <w:shd w:val="clear" w:color="auto" w:fill="FFFFFF"/>
        </w:rPr>
        <w:t>Verboeket</w:t>
      </w:r>
      <w:proofErr w:type="spellEnd"/>
      <w:r>
        <w:rPr>
          <w:rFonts w:ascii="Arial" w:eastAsia="sans-serif" w:hAnsi="Arial" w:cs="Arial"/>
          <w:color w:val="202122"/>
          <w:sz w:val="22"/>
          <w:szCs w:val="22"/>
          <w:shd w:val="clear" w:color="auto" w:fill="FFFFFF"/>
        </w:rPr>
        <w:t xml:space="preserve">-van de </w:t>
      </w:r>
      <w:proofErr w:type="spellStart"/>
      <w:r>
        <w:rPr>
          <w:rFonts w:ascii="Arial" w:eastAsia="sans-serif" w:hAnsi="Arial" w:cs="Arial"/>
          <w:color w:val="202122"/>
          <w:sz w:val="22"/>
          <w:szCs w:val="22"/>
          <w:shd w:val="clear" w:color="auto" w:fill="FFFFFF"/>
        </w:rPr>
        <w:t>Venne</w:t>
      </w:r>
      <w:proofErr w:type="spellEnd"/>
      <w:r>
        <w:rPr>
          <w:rFonts w:ascii="Arial" w:hAnsi="Arial" w:cs="Arial"/>
          <w:sz w:val="22"/>
          <w:szCs w:val="22"/>
        </w:rPr>
        <w:t xml:space="preserve"> et al ., </w:t>
      </w:r>
      <w:r>
        <w:rPr>
          <w:rFonts w:ascii="Arial" w:hAnsi="Arial" w:cs="Arial"/>
          <w:sz w:val="22"/>
          <w:szCs w:val="22"/>
        </w:rPr>
        <w:lastRenderedPageBreak/>
        <w:t xml:space="preserve">1993, </w:t>
      </w:r>
      <w:r>
        <w:rPr>
          <w:rStyle w:val="HTMLCite"/>
          <w:rFonts w:ascii="Arial" w:eastAsia="sans-serif" w:hAnsi="Arial" w:cs="Arial"/>
          <w:i w:val="0"/>
          <w:iCs w:val="0"/>
          <w:color w:val="202122"/>
          <w:sz w:val="22"/>
          <w:szCs w:val="22"/>
          <w:shd w:val="clear" w:color="auto" w:fill="FFFFFF"/>
        </w:rPr>
        <w:t>Kreider</w:t>
      </w:r>
      <w:r>
        <w:rPr>
          <w:rFonts w:ascii="Arial" w:hAnsi="Arial" w:cs="Arial"/>
          <w:sz w:val="22"/>
          <w:szCs w:val="22"/>
        </w:rPr>
        <w:t xml:space="preserve"> et al., 2017),while it promotes musculoskeletal development, it also places considerable metabolic and physiological demands on the body, particularly the kidneys and the body’s acid-base balance.</w:t>
      </w:r>
    </w:p>
    <w:p w14:paraId="4F1B0790" w14:textId="77777777" w:rsidR="00AD291E" w:rsidRDefault="00AA6E6F">
      <w:pPr>
        <w:spacing w:line="240" w:lineRule="auto"/>
        <w:jc w:val="both"/>
        <w:rPr>
          <w:rFonts w:ascii="Arial" w:hAnsi="Arial" w:cs="Arial"/>
          <w:sz w:val="22"/>
          <w:szCs w:val="22"/>
        </w:rPr>
      </w:pPr>
      <w:r>
        <w:rPr>
          <w:rFonts w:ascii="Arial" w:hAnsi="Arial" w:cs="Arial"/>
          <w:sz w:val="22"/>
          <w:szCs w:val="22"/>
        </w:rPr>
        <w:t>The kidney plays a pivotal role in maintaining homeostasis by regulating fluid balance, electrolyte composition, and acid-base status. Metabolic changes induced by intense exercise can influence renal perfusion, glomerular filtration rate (GFR), and the excretion of nitrogenous waste products such as urea and creatinine (</w:t>
      </w:r>
      <w:proofErr w:type="spellStart"/>
      <w:r>
        <w:rPr>
          <w:rFonts w:ascii="Arial" w:hAnsi="Arial" w:cs="Arial"/>
          <w:sz w:val="22"/>
          <w:szCs w:val="22"/>
        </w:rPr>
        <w:t>Poortmans</w:t>
      </w:r>
      <w:proofErr w:type="spellEnd"/>
      <w:r>
        <w:rPr>
          <w:rFonts w:ascii="Arial" w:hAnsi="Arial" w:cs="Arial"/>
          <w:sz w:val="22"/>
          <w:szCs w:val="22"/>
        </w:rPr>
        <w:t xml:space="preserve"> &amp; </w:t>
      </w:r>
      <w:proofErr w:type="spellStart"/>
      <w:r>
        <w:rPr>
          <w:rFonts w:ascii="Arial" w:hAnsi="Arial" w:cs="Arial"/>
          <w:sz w:val="22"/>
          <w:szCs w:val="22"/>
        </w:rPr>
        <w:t>Vanderstraeten</w:t>
      </w:r>
      <w:proofErr w:type="spellEnd"/>
      <w:r>
        <w:rPr>
          <w:rFonts w:ascii="Arial" w:hAnsi="Arial" w:cs="Arial"/>
          <w:sz w:val="22"/>
          <w:szCs w:val="22"/>
        </w:rPr>
        <w:t>, 1994). Additionally, heavy exercise induces changes in electrolyte levels (Na⁺, K⁺, Cl⁻, Ca²⁺) and blood pH due to increased lactate production, potentially affecting the calculated anion gap (</w:t>
      </w:r>
      <w:proofErr w:type="spellStart"/>
      <w:r>
        <w:rPr>
          <w:rFonts w:ascii="Arial" w:hAnsi="Arial" w:cs="Arial"/>
          <w:sz w:val="22"/>
          <w:szCs w:val="22"/>
        </w:rPr>
        <w:t>Lindinger</w:t>
      </w:r>
      <w:proofErr w:type="spellEnd"/>
      <w:r>
        <w:rPr>
          <w:rFonts w:ascii="Arial" w:hAnsi="Arial" w:cs="Arial"/>
          <w:sz w:val="22"/>
          <w:szCs w:val="22"/>
        </w:rPr>
        <w:t>, 2021).</w:t>
      </w:r>
    </w:p>
    <w:p w14:paraId="5AFE019E" w14:textId="77777777" w:rsidR="00AD291E" w:rsidRDefault="00AA6E6F">
      <w:pPr>
        <w:spacing w:before="0" w:beforeAutospacing="0" w:after="0" w:line="240" w:lineRule="auto"/>
        <w:jc w:val="both"/>
        <w:rPr>
          <w:rFonts w:ascii="Arial" w:hAnsi="Arial" w:cs="Arial"/>
          <w:sz w:val="22"/>
          <w:szCs w:val="22"/>
        </w:rPr>
      </w:pPr>
      <w:r>
        <w:rPr>
          <w:rFonts w:ascii="Arial" w:hAnsi="Arial" w:cs="Arial"/>
          <w:sz w:val="22"/>
          <w:szCs w:val="22"/>
        </w:rPr>
        <w:t xml:space="preserve">Anion Gap is calculated value that helps assess acid-base balance in the body, particularly in identifying metabolic </w:t>
      </w:r>
      <w:proofErr w:type="spellStart"/>
      <w:proofErr w:type="gramStart"/>
      <w:r>
        <w:rPr>
          <w:rFonts w:ascii="Arial" w:hAnsi="Arial" w:cs="Arial"/>
          <w:sz w:val="22"/>
          <w:szCs w:val="22"/>
        </w:rPr>
        <w:t>acidosis.It</w:t>
      </w:r>
      <w:proofErr w:type="spellEnd"/>
      <w:proofErr w:type="gramEnd"/>
      <w:r>
        <w:rPr>
          <w:rFonts w:ascii="Arial" w:hAnsi="Arial" w:cs="Arial"/>
          <w:sz w:val="22"/>
          <w:szCs w:val="22"/>
        </w:rPr>
        <w:t xml:space="preserve"> is derived from the concentrations of major electrolytes in the blood. </w:t>
      </w:r>
      <w:proofErr w:type="spellStart"/>
      <w:proofErr w:type="gramStart"/>
      <w:r>
        <w:rPr>
          <w:rFonts w:ascii="Arial" w:hAnsi="Arial" w:cs="Arial"/>
          <w:sz w:val="22"/>
          <w:szCs w:val="22"/>
        </w:rPr>
        <w:t>However,intense</w:t>
      </w:r>
      <w:proofErr w:type="spellEnd"/>
      <w:proofErr w:type="gramEnd"/>
      <w:r>
        <w:rPr>
          <w:rFonts w:ascii="Arial" w:hAnsi="Arial" w:cs="Arial"/>
          <w:sz w:val="22"/>
          <w:szCs w:val="22"/>
        </w:rPr>
        <w:t xml:space="preserve"> exercise, such as bodybuilding, can lead to lactic acid production, especially if workouts are vigorous and prolonged (Brooks, 2018). Many bodybuilders engage in extreme training schedules without adequate medical monitoring, potentially predisposing them to metabolic derangement and early onset of renal dysfunction </w:t>
      </w:r>
      <w:proofErr w:type="spellStart"/>
      <w:proofErr w:type="gramStart"/>
      <w:r>
        <w:rPr>
          <w:rFonts w:ascii="Arial" w:hAnsi="Arial" w:cs="Arial"/>
          <w:sz w:val="22"/>
          <w:szCs w:val="22"/>
        </w:rPr>
        <w:t>hence,monitoring</w:t>
      </w:r>
      <w:proofErr w:type="spellEnd"/>
      <w:proofErr w:type="gramEnd"/>
      <w:r>
        <w:rPr>
          <w:rFonts w:ascii="Arial" w:hAnsi="Arial" w:cs="Arial"/>
          <w:sz w:val="22"/>
          <w:szCs w:val="22"/>
        </w:rPr>
        <w:t xml:space="preserve"> the anion gap can help assess acid-base balance and identify acid accumulation and potential metabolic issues likewise determining urea and creatinine in relation to  the kidney functioning in the context of this intensive exercise (body building).</w:t>
      </w:r>
    </w:p>
    <w:p w14:paraId="5D90F039" w14:textId="77777777" w:rsidR="00AD291E" w:rsidRDefault="00AD291E">
      <w:pPr>
        <w:spacing w:before="0" w:beforeAutospacing="0" w:after="0" w:line="240" w:lineRule="auto"/>
        <w:jc w:val="both"/>
        <w:rPr>
          <w:rFonts w:ascii="Arial" w:hAnsi="Arial" w:cs="Arial"/>
          <w:sz w:val="22"/>
          <w:szCs w:val="22"/>
        </w:rPr>
      </w:pPr>
    </w:p>
    <w:p w14:paraId="1C5CB524" w14:textId="77777777" w:rsidR="00AD291E" w:rsidRDefault="00AA6E6F">
      <w:pPr>
        <w:ind w:left="256" w:hangingChars="116" w:hanging="256"/>
        <w:jc w:val="both"/>
        <w:rPr>
          <w:rFonts w:ascii="Arial" w:hAnsi="Arial" w:cs="Arial"/>
          <w:b/>
          <w:bCs/>
          <w:sz w:val="22"/>
          <w:szCs w:val="22"/>
        </w:rPr>
      </w:pPr>
      <w:r>
        <w:rPr>
          <w:rFonts w:ascii="Arial" w:hAnsi="Arial" w:cs="Arial"/>
          <w:b/>
          <w:bCs/>
          <w:sz w:val="22"/>
          <w:szCs w:val="22"/>
        </w:rPr>
        <w:t>2.0 MATERIALS AND METHODS</w:t>
      </w:r>
    </w:p>
    <w:p w14:paraId="2B9DF847" w14:textId="77777777" w:rsidR="00AD291E" w:rsidRDefault="00AA6E6F">
      <w:pPr>
        <w:autoSpaceDE w:val="0"/>
        <w:spacing w:before="0" w:beforeAutospacing="0" w:after="0"/>
        <w:jc w:val="both"/>
        <w:rPr>
          <w:rFonts w:ascii="Arial" w:hAnsi="Arial" w:cs="Arial"/>
          <w:sz w:val="22"/>
          <w:szCs w:val="22"/>
          <w:lang w:val="en-GB"/>
        </w:rPr>
      </w:pPr>
      <w:r>
        <w:rPr>
          <w:rFonts w:ascii="Arial" w:eastAsia="Calibri" w:hAnsi="Arial" w:cs="Arial"/>
          <w:b/>
          <w:bCs/>
          <w:sz w:val="22"/>
          <w:szCs w:val="22"/>
        </w:rPr>
        <w:t xml:space="preserve">2.1 Area of </w:t>
      </w:r>
      <w:proofErr w:type="gramStart"/>
      <w:r>
        <w:rPr>
          <w:rFonts w:ascii="Arial" w:eastAsia="Calibri" w:hAnsi="Arial" w:cs="Arial"/>
          <w:b/>
          <w:bCs/>
          <w:sz w:val="22"/>
          <w:szCs w:val="22"/>
        </w:rPr>
        <w:t>Study :</w:t>
      </w:r>
      <w:proofErr w:type="gramEnd"/>
      <w:r>
        <w:rPr>
          <w:rFonts w:ascii="Arial" w:eastAsia="Calibri" w:hAnsi="Arial" w:cs="Arial"/>
          <w:sz w:val="22"/>
          <w:szCs w:val="22"/>
        </w:rPr>
        <w:t xml:space="preserve"> </w:t>
      </w:r>
      <w:r>
        <w:rPr>
          <w:rFonts w:ascii="Arial" w:hAnsi="Arial" w:cs="Arial"/>
          <w:sz w:val="22"/>
          <w:szCs w:val="22"/>
          <w:lang w:val="en-GB"/>
        </w:rPr>
        <w:t>Th</w:t>
      </w:r>
      <w:r>
        <w:rPr>
          <w:rFonts w:ascii="Arial" w:hAnsi="Arial" w:cs="Arial"/>
          <w:sz w:val="22"/>
          <w:szCs w:val="22"/>
        </w:rPr>
        <w:t>e</w:t>
      </w:r>
      <w:r>
        <w:rPr>
          <w:rFonts w:ascii="Arial" w:hAnsi="Arial" w:cs="Arial"/>
          <w:sz w:val="22"/>
          <w:szCs w:val="22"/>
          <w:lang w:val="en-GB"/>
        </w:rPr>
        <w:t xml:space="preserve"> study </w:t>
      </w:r>
      <w:r>
        <w:rPr>
          <w:rFonts w:ascii="Arial" w:hAnsi="Arial" w:cs="Arial"/>
          <w:sz w:val="22"/>
          <w:szCs w:val="22"/>
        </w:rPr>
        <w:t>area is</w:t>
      </w:r>
      <w:r>
        <w:rPr>
          <w:rFonts w:ascii="Arial" w:hAnsi="Arial" w:cs="Arial"/>
          <w:sz w:val="22"/>
          <w:szCs w:val="22"/>
          <w:lang w:val="en-GB"/>
        </w:rPr>
        <w:t xml:space="preserve"> Port</w:t>
      </w:r>
      <w:r>
        <w:rPr>
          <w:rFonts w:ascii="Arial" w:hAnsi="Arial" w:cs="Arial"/>
          <w:sz w:val="22"/>
          <w:szCs w:val="22"/>
        </w:rPr>
        <w:t xml:space="preserve"> </w:t>
      </w:r>
      <w:r>
        <w:rPr>
          <w:rFonts w:ascii="Arial" w:hAnsi="Arial" w:cs="Arial"/>
          <w:sz w:val="22"/>
          <w:szCs w:val="22"/>
          <w:lang w:val="en-GB"/>
        </w:rPr>
        <w:t xml:space="preserve">Harcourt, the capital </w:t>
      </w:r>
      <w:r>
        <w:rPr>
          <w:rFonts w:ascii="Arial" w:hAnsi="Arial" w:cs="Arial"/>
          <w:sz w:val="22"/>
          <w:szCs w:val="22"/>
        </w:rPr>
        <w:t xml:space="preserve">city </w:t>
      </w:r>
      <w:r>
        <w:rPr>
          <w:rFonts w:ascii="Arial" w:hAnsi="Arial" w:cs="Arial"/>
          <w:sz w:val="22"/>
          <w:szCs w:val="22"/>
          <w:lang w:val="en-GB"/>
        </w:rPr>
        <w:t>of Rivers state with 23 local government areas</w:t>
      </w:r>
      <w:r>
        <w:rPr>
          <w:rFonts w:ascii="Arial" w:hAnsi="Arial" w:cs="Arial"/>
          <w:sz w:val="22"/>
          <w:szCs w:val="22"/>
        </w:rPr>
        <w:t>. This city</w:t>
      </w:r>
      <w:r>
        <w:rPr>
          <w:rFonts w:ascii="Arial" w:hAnsi="Arial" w:cs="Arial"/>
          <w:sz w:val="22"/>
          <w:szCs w:val="22"/>
          <w:lang w:val="en-GB"/>
        </w:rPr>
        <w:t xml:space="preserve"> lies along the Bonny River, in the Niger Delta region of Nigeria. Port Harcourt is a metropolis considered </w:t>
      </w:r>
      <w:r>
        <w:rPr>
          <w:rFonts w:ascii="Arial" w:hAnsi="Arial" w:cs="Arial"/>
          <w:sz w:val="22"/>
          <w:szCs w:val="22"/>
        </w:rPr>
        <w:t xml:space="preserve">to be </w:t>
      </w:r>
      <w:r>
        <w:rPr>
          <w:rFonts w:ascii="Arial" w:hAnsi="Arial" w:cs="Arial"/>
          <w:sz w:val="22"/>
          <w:szCs w:val="22"/>
          <w:lang w:val="en-GB"/>
        </w:rPr>
        <w:t>the commercial</w:t>
      </w:r>
      <w:r>
        <w:rPr>
          <w:rFonts w:ascii="Arial" w:hAnsi="Arial" w:cs="Arial"/>
          <w:sz w:val="22"/>
          <w:szCs w:val="22"/>
        </w:rPr>
        <w:t xml:space="preserve"> / industrial</w:t>
      </w:r>
      <w:r>
        <w:rPr>
          <w:rFonts w:ascii="Arial" w:hAnsi="Arial" w:cs="Arial"/>
          <w:sz w:val="22"/>
          <w:szCs w:val="22"/>
          <w:lang w:val="en-GB"/>
        </w:rPr>
        <w:t xml:space="preserve"> centre of the Nigeria oil Industry</w:t>
      </w:r>
      <w:r>
        <w:rPr>
          <w:rFonts w:ascii="Arial" w:hAnsi="Arial" w:cs="Arial"/>
          <w:sz w:val="22"/>
          <w:szCs w:val="22"/>
        </w:rPr>
        <w:t xml:space="preserve"> </w:t>
      </w:r>
      <w:proofErr w:type="gramStart"/>
      <w:r>
        <w:rPr>
          <w:rFonts w:ascii="Arial" w:hAnsi="Arial" w:cs="Arial"/>
          <w:sz w:val="22"/>
          <w:szCs w:val="22"/>
        </w:rPr>
        <w:t xml:space="preserve">having </w:t>
      </w:r>
      <w:r>
        <w:rPr>
          <w:rFonts w:ascii="Arial" w:hAnsi="Arial" w:cs="Arial"/>
          <w:sz w:val="22"/>
          <w:szCs w:val="22"/>
          <w:lang w:val="en-GB"/>
        </w:rPr>
        <w:t xml:space="preserve"> large</w:t>
      </w:r>
      <w:proofErr w:type="gramEnd"/>
      <w:r>
        <w:rPr>
          <w:rFonts w:ascii="Arial" w:hAnsi="Arial" w:cs="Arial"/>
          <w:sz w:val="22"/>
          <w:szCs w:val="22"/>
          <w:lang w:val="en-GB"/>
        </w:rPr>
        <w:t xml:space="preserve"> number of multinational firms</w:t>
      </w:r>
      <w:r>
        <w:rPr>
          <w:rFonts w:ascii="Arial" w:hAnsi="Arial" w:cs="Arial"/>
          <w:sz w:val="22"/>
          <w:szCs w:val="22"/>
        </w:rPr>
        <w:t>.The socioeconomic development have paved way for up shoots of many</w:t>
      </w:r>
      <w:r>
        <w:rPr>
          <w:rFonts w:ascii="Arial" w:hAnsi="Arial" w:cs="Arial"/>
          <w:sz w:val="22"/>
          <w:szCs w:val="22"/>
          <w:lang w:val="en-GB"/>
        </w:rPr>
        <w:t xml:space="preserve"> </w:t>
      </w:r>
      <w:r>
        <w:rPr>
          <w:rFonts w:ascii="Arial" w:hAnsi="Arial" w:cs="Arial"/>
          <w:sz w:val="22"/>
          <w:szCs w:val="22"/>
        </w:rPr>
        <w:t>fitness centers and bodybuilding gyms especially in urban regions.</w:t>
      </w:r>
    </w:p>
    <w:p w14:paraId="664A793B" w14:textId="77777777" w:rsidR="00AD291E" w:rsidRDefault="00AD291E">
      <w:pPr>
        <w:spacing w:before="0" w:beforeAutospacing="0" w:after="0" w:line="240" w:lineRule="auto"/>
        <w:jc w:val="both"/>
        <w:rPr>
          <w:b/>
          <w:bCs/>
          <w:sz w:val="22"/>
          <w:szCs w:val="22"/>
        </w:rPr>
      </w:pPr>
    </w:p>
    <w:p w14:paraId="5219CA8A" w14:textId="77777777" w:rsidR="00AD291E" w:rsidRDefault="00AA6E6F">
      <w:pPr>
        <w:spacing w:before="0" w:beforeAutospacing="0" w:after="0" w:line="240" w:lineRule="auto"/>
        <w:jc w:val="both"/>
        <w:rPr>
          <w:rFonts w:ascii="Arial" w:hAnsi="Arial" w:cs="Arial"/>
          <w:sz w:val="22"/>
          <w:szCs w:val="22"/>
        </w:rPr>
      </w:pPr>
      <w:r>
        <w:rPr>
          <w:rFonts w:ascii="Arial" w:hAnsi="Arial" w:cs="Arial"/>
          <w:b/>
          <w:bCs/>
          <w:sz w:val="22"/>
          <w:szCs w:val="22"/>
        </w:rPr>
        <w:t xml:space="preserve">2.2 Study Design / Sample Size: </w:t>
      </w:r>
      <w:r>
        <w:rPr>
          <w:rFonts w:ascii="Arial" w:hAnsi="Arial" w:cs="Arial"/>
          <w:sz w:val="22"/>
          <w:szCs w:val="22"/>
        </w:rPr>
        <w:t xml:space="preserve">This is a cross sectional study adopting </w:t>
      </w:r>
      <w:proofErr w:type="gramStart"/>
      <w:r>
        <w:rPr>
          <w:rFonts w:ascii="Arial" w:hAnsi="Arial" w:cs="Arial"/>
          <w:sz w:val="22"/>
          <w:szCs w:val="22"/>
        </w:rPr>
        <w:t>a  convenience</w:t>
      </w:r>
      <w:proofErr w:type="gramEnd"/>
      <w:r>
        <w:rPr>
          <w:rFonts w:ascii="Arial" w:hAnsi="Arial" w:cs="Arial"/>
          <w:sz w:val="22"/>
          <w:szCs w:val="22"/>
        </w:rPr>
        <w:t xml:space="preserve"> Sampling technique  with 41 bodybuilders ( Male bodybuilders aged 20-40 years, active in intensive body building training greater than or equal to 24 hours/week for at least 6 months) as test subjects and 40 non body builders as control Subjects.</w:t>
      </w:r>
    </w:p>
    <w:p w14:paraId="427BDE82" w14:textId="77777777" w:rsidR="00AD291E" w:rsidRDefault="00AD291E">
      <w:pPr>
        <w:spacing w:before="0" w:beforeAutospacing="0" w:after="0" w:line="240" w:lineRule="auto"/>
        <w:jc w:val="both"/>
        <w:rPr>
          <w:sz w:val="22"/>
          <w:szCs w:val="22"/>
        </w:rPr>
      </w:pPr>
    </w:p>
    <w:p w14:paraId="2513FAEB" w14:textId="77777777" w:rsidR="00AD291E" w:rsidRDefault="00AA6E6F">
      <w:pPr>
        <w:spacing w:line="240" w:lineRule="auto"/>
        <w:jc w:val="both"/>
        <w:rPr>
          <w:rFonts w:ascii="Arial" w:hAnsi="Arial" w:cs="Arial"/>
          <w:sz w:val="22"/>
          <w:szCs w:val="22"/>
        </w:rPr>
      </w:pPr>
      <w:r>
        <w:rPr>
          <w:rFonts w:ascii="Arial" w:hAnsi="Arial" w:cs="Arial"/>
          <w:b/>
          <w:bCs/>
          <w:sz w:val="22"/>
          <w:szCs w:val="22"/>
        </w:rPr>
        <w:t xml:space="preserve">2.3 Gym </w:t>
      </w:r>
      <w:proofErr w:type="spellStart"/>
      <w:proofErr w:type="gramStart"/>
      <w:r>
        <w:rPr>
          <w:rFonts w:ascii="Arial" w:hAnsi="Arial" w:cs="Arial"/>
          <w:b/>
          <w:bCs/>
          <w:sz w:val="22"/>
          <w:szCs w:val="22"/>
        </w:rPr>
        <w:t>Centres</w:t>
      </w:r>
      <w:proofErr w:type="spellEnd"/>
      <w:r>
        <w:rPr>
          <w:rFonts w:ascii="Arial" w:hAnsi="Arial" w:cs="Arial"/>
          <w:sz w:val="22"/>
          <w:szCs w:val="22"/>
        </w:rPr>
        <w:t xml:space="preserve"> :The</w:t>
      </w:r>
      <w:proofErr w:type="gramEnd"/>
      <w:r>
        <w:rPr>
          <w:rFonts w:ascii="Arial" w:hAnsi="Arial" w:cs="Arial"/>
          <w:sz w:val="22"/>
          <w:szCs w:val="22"/>
        </w:rPr>
        <w:t xml:space="preserve"> study covered three gyms in Port Harcourt which include: The Forge, Beautifiers Fitness Center and Image Plus Fitness. </w:t>
      </w:r>
    </w:p>
    <w:p w14:paraId="0A8DCD1C" w14:textId="77777777" w:rsidR="00AD291E" w:rsidRDefault="00AA6E6F">
      <w:pPr>
        <w:spacing w:before="0" w:beforeAutospacing="0" w:after="0" w:line="240" w:lineRule="auto"/>
        <w:jc w:val="both"/>
        <w:rPr>
          <w:rFonts w:ascii="Arial" w:hAnsi="Arial" w:cs="Arial"/>
          <w:sz w:val="22"/>
          <w:szCs w:val="22"/>
        </w:rPr>
      </w:pPr>
      <w:r>
        <w:rPr>
          <w:rFonts w:ascii="Arial" w:hAnsi="Arial" w:cs="Arial"/>
          <w:b/>
          <w:bCs/>
          <w:sz w:val="22"/>
          <w:szCs w:val="22"/>
        </w:rPr>
        <w:t>2.4 Inclusion Criteria:</w:t>
      </w:r>
      <w:r>
        <w:rPr>
          <w:rFonts w:ascii="Arial" w:hAnsi="Arial" w:cs="Arial"/>
          <w:sz w:val="22"/>
          <w:szCs w:val="22"/>
        </w:rPr>
        <w:t xml:space="preserve"> Males engaged in regular bodybuilding, </w:t>
      </w:r>
      <w:proofErr w:type="gramStart"/>
      <w:r>
        <w:rPr>
          <w:rFonts w:ascii="Arial" w:hAnsi="Arial" w:cs="Arial"/>
          <w:sz w:val="22"/>
          <w:szCs w:val="22"/>
        </w:rPr>
        <w:t>No</w:t>
      </w:r>
      <w:proofErr w:type="gramEnd"/>
      <w:r>
        <w:rPr>
          <w:rFonts w:ascii="Arial" w:hAnsi="Arial" w:cs="Arial"/>
          <w:sz w:val="22"/>
          <w:szCs w:val="22"/>
        </w:rPr>
        <w:t xml:space="preserve"> history of chronic kidney disease, diabetes or metabolic disorders, Not on any medications affecting kidney function or electrolyte balance.</w:t>
      </w:r>
    </w:p>
    <w:p w14:paraId="7D026670" w14:textId="77777777" w:rsidR="00AD291E" w:rsidRDefault="00AD291E">
      <w:pPr>
        <w:spacing w:before="0" w:beforeAutospacing="0" w:after="0" w:line="240" w:lineRule="auto"/>
        <w:jc w:val="both"/>
        <w:rPr>
          <w:rFonts w:ascii="Arial" w:hAnsi="Arial" w:cs="Arial"/>
          <w:sz w:val="22"/>
          <w:szCs w:val="22"/>
        </w:rPr>
      </w:pPr>
    </w:p>
    <w:p w14:paraId="6020CA86" w14:textId="77777777" w:rsidR="00AD291E" w:rsidRDefault="00AA6E6F">
      <w:pPr>
        <w:autoSpaceDE w:val="0"/>
        <w:spacing w:before="0" w:beforeAutospacing="0" w:after="0" w:line="255" w:lineRule="auto"/>
        <w:jc w:val="both"/>
        <w:rPr>
          <w:rFonts w:ascii="Arial" w:eastAsia="Calibri" w:hAnsi="Arial" w:cs="Arial"/>
          <w:sz w:val="22"/>
          <w:szCs w:val="22"/>
        </w:rPr>
      </w:pPr>
      <w:r>
        <w:rPr>
          <w:rFonts w:ascii="Arial" w:hAnsi="Arial" w:cs="Arial"/>
          <w:b/>
          <w:bCs/>
          <w:sz w:val="22"/>
          <w:szCs w:val="22"/>
        </w:rPr>
        <w:t>2.5 Exclusion Criteria:</w:t>
      </w:r>
      <w:r>
        <w:rPr>
          <w:rFonts w:ascii="Arial" w:hAnsi="Arial" w:cs="Arial"/>
          <w:sz w:val="22"/>
          <w:szCs w:val="22"/>
        </w:rPr>
        <w:t xml:space="preserve"> Males on intensive exercises but with history of chronic kidney disease, liver disease, or metabolic disorders. Those on recent acute </w:t>
      </w:r>
      <w:proofErr w:type="gramStart"/>
      <w:r>
        <w:rPr>
          <w:rFonts w:ascii="Arial" w:hAnsi="Arial" w:cs="Arial"/>
          <w:sz w:val="22"/>
          <w:szCs w:val="22"/>
        </w:rPr>
        <w:t>illness ,</w:t>
      </w:r>
      <w:proofErr w:type="gramEnd"/>
      <w:r>
        <w:rPr>
          <w:rFonts w:ascii="Arial" w:hAnsi="Arial" w:cs="Arial"/>
          <w:sz w:val="22"/>
          <w:szCs w:val="22"/>
        </w:rPr>
        <w:t xml:space="preserve"> infection and on </w:t>
      </w:r>
      <w:proofErr w:type="spellStart"/>
      <w:r>
        <w:rPr>
          <w:rFonts w:ascii="Arial" w:hAnsi="Arial" w:cs="Arial"/>
          <w:sz w:val="22"/>
          <w:szCs w:val="22"/>
        </w:rPr>
        <w:t>nephro</w:t>
      </w:r>
      <w:proofErr w:type="spellEnd"/>
      <w:r>
        <w:rPr>
          <w:rFonts w:ascii="Arial" w:hAnsi="Arial" w:cs="Arial"/>
          <w:sz w:val="22"/>
          <w:szCs w:val="22"/>
        </w:rPr>
        <w:t xml:space="preserve"> toxic drugs or performance-enhancing substances in the past three </w:t>
      </w:r>
      <w:proofErr w:type="spellStart"/>
      <w:r>
        <w:rPr>
          <w:rFonts w:ascii="Arial" w:hAnsi="Arial" w:cs="Arial"/>
          <w:sz w:val="22"/>
          <w:szCs w:val="22"/>
        </w:rPr>
        <w:t>months.Those</w:t>
      </w:r>
      <w:proofErr w:type="spellEnd"/>
      <w:r>
        <w:rPr>
          <w:rFonts w:ascii="Arial" w:eastAsia="Calibri" w:hAnsi="Arial" w:cs="Arial"/>
          <w:sz w:val="22"/>
          <w:szCs w:val="22"/>
        </w:rPr>
        <w:t xml:space="preserve"> not willing to give their consent were excluded.</w:t>
      </w:r>
    </w:p>
    <w:p w14:paraId="65066FFD" w14:textId="77777777" w:rsidR="00AD291E" w:rsidRDefault="00AD291E">
      <w:pPr>
        <w:autoSpaceDE w:val="0"/>
        <w:spacing w:before="0" w:beforeAutospacing="0" w:after="0" w:line="255" w:lineRule="auto"/>
        <w:jc w:val="both"/>
        <w:rPr>
          <w:rFonts w:ascii="Arial" w:eastAsia="Calibri" w:hAnsi="Arial" w:cs="Arial"/>
          <w:sz w:val="22"/>
          <w:szCs w:val="22"/>
        </w:rPr>
      </w:pPr>
    </w:p>
    <w:p w14:paraId="430319AC" w14:textId="77777777" w:rsidR="00AD291E" w:rsidRDefault="00AA6E6F">
      <w:pPr>
        <w:autoSpaceDE w:val="0"/>
        <w:spacing w:before="0" w:beforeAutospacing="0" w:after="0"/>
        <w:jc w:val="both"/>
        <w:rPr>
          <w:rFonts w:ascii="Arial" w:eastAsia="Calibri" w:hAnsi="Arial" w:cs="Arial"/>
          <w:bCs/>
          <w:sz w:val="22"/>
          <w:szCs w:val="22"/>
        </w:rPr>
      </w:pPr>
      <w:r>
        <w:rPr>
          <w:rFonts w:ascii="Arial" w:eastAsia="Calibri" w:hAnsi="Arial" w:cs="Arial"/>
          <w:b/>
          <w:sz w:val="22"/>
          <w:szCs w:val="22"/>
        </w:rPr>
        <w:t>2.6 Ethical Clearance:</w:t>
      </w:r>
      <w:r>
        <w:rPr>
          <w:rFonts w:ascii="Arial" w:eastAsia="Calibri" w:hAnsi="Arial" w:cs="Arial"/>
          <w:bCs/>
          <w:sz w:val="22"/>
          <w:szCs w:val="22"/>
        </w:rPr>
        <w:t xml:space="preserve"> Ethical approval was given by the Health Research Ethics Committee, Ministry of </w:t>
      </w:r>
      <w:proofErr w:type="gramStart"/>
      <w:r>
        <w:rPr>
          <w:rFonts w:ascii="Arial" w:eastAsia="Calibri" w:hAnsi="Arial" w:cs="Arial"/>
          <w:bCs/>
          <w:sz w:val="22"/>
          <w:szCs w:val="22"/>
        </w:rPr>
        <w:t>Health,  with</w:t>
      </w:r>
      <w:proofErr w:type="gramEnd"/>
      <w:r>
        <w:rPr>
          <w:rFonts w:ascii="Arial" w:eastAsia="Calibri" w:hAnsi="Arial" w:cs="Arial"/>
          <w:bCs/>
          <w:sz w:val="22"/>
          <w:szCs w:val="22"/>
        </w:rPr>
        <w:t xml:space="preserve"> reference no RSHMB/RSHREC/2025/083.</w:t>
      </w:r>
    </w:p>
    <w:p w14:paraId="68FCB060" w14:textId="77777777" w:rsidR="00AD291E" w:rsidRDefault="00AD291E">
      <w:pPr>
        <w:autoSpaceDE w:val="0"/>
        <w:spacing w:before="0" w:beforeAutospacing="0" w:after="0"/>
        <w:jc w:val="both"/>
        <w:rPr>
          <w:rFonts w:ascii="Arial" w:eastAsia="Calibri" w:hAnsi="Arial" w:cs="Arial"/>
          <w:bCs/>
          <w:sz w:val="22"/>
          <w:szCs w:val="22"/>
        </w:rPr>
      </w:pPr>
    </w:p>
    <w:p w14:paraId="41074B5C" w14:textId="77777777" w:rsidR="00AD291E" w:rsidRDefault="00AA6E6F">
      <w:pPr>
        <w:spacing w:before="0" w:beforeAutospacing="0" w:after="0" w:line="240" w:lineRule="auto"/>
        <w:jc w:val="both"/>
        <w:rPr>
          <w:rFonts w:ascii="Arial" w:hAnsi="Arial" w:cs="Arial"/>
          <w:sz w:val="22"/>
          <w:szCs w:val="22"/>
        </w:rPr>
      </w:pPr>
      <w:r>
        <w:rPr>
          <w:rFonts w:ascii="Arial" w:eastAsia="Calibri" w:hAnsi="Arial" w:cs="Arial"/>
          <w:b/>
          <w:bCs/>
          <w:sz w:val="22"/>
          <w:szCs w:val="22"/>
        </w:rPr>
        <w:t xml:space="preserve">2.7 Collection of </w:t>
      </w:r>
      <w:proofErr w:type="spellStart"/>
      <w:proofErr w:type="gramStart"/>
      <w:r>
        <w:rPr>
          <w:rFonts w:ascii="Arial" w:eastAsia="Calibri" w:hAnsi="Arial" w:cs="Arial"/>
          <w:b/>
          <w:bCs/>
          <w:sz w:val="22"/>
          <w:szCs w:val="22"/>
        </w:rPr>
        <w:t>Samples:</w:t>
      </w:r>
      <w:r>
        <w:rPr>
          <w:rFonts w:ascii="Arial" w:hAnsi="Arial" w:cs="Arial"/>
          <w:sz w:val="22"/>
          <w:szCs w:val="22"/>
        </w:rPr>
        <w:t>Fasting</w:t>
      </w:r>
      <w:proofErr w:type="spellEnd"/>
      <w:proofErr w:type="gramEnd"/>
      <w:r>
        <w:rPr>
          <w:rFonts w:ascii="Arial" w:hAnsi="Arial" w:cs="Arial"/>
          <w:sz w:val="22"/>
          <w:szCs w:val="22"/>
        </w:rPr>
        <w:t xml:space="preserve"> blood samples (3 ml) was collected by </w:t>
      </w:r>
      <w:proofErr w:type="spellStart"/>
      <w:r>
        <w:rPr>
          <w:rFonts w:ascii="Arial" w:hAnsi="Arial" w:cs="Arial"/>
          <w:sz w:val="22"/>
          <w:szCs w:val="22"/>
        </w:rPr>
        <w:t>venopuncture</w:t>
      </w:r>
      <w:proofErr w:type="spellEnd"/>
      <w:r>
        <w:rPr>
          <w:rFonts w:ascii="Arial" w:hAnsi="Arial" w:cs="Arial"/>
          <w:sz w:val="22"/>
          <w:szCs w:val="22"/>
        </w:rPr>
        <w:t xml:space="preserve"> from the antecubital vein, into sterile plain bottles, under aseptic conditions. This was allowed to clot and centrifuged at 3000 rpm for 5 min. Serum was collected for determination of Sodium (Na+), Chloride (Cl-), Bicarbonate (HCO3-), urea and Creatinine using standard methods using </w:t>
      </w:r>
      <w:r>
        <w:rPr>
          <w:rFonts w:ascii="Arial" w:eastAsia="Calibri" w:hAnsi="Arial" w:cs="Arial"/>
          <w:sz w:val="22"/>
          <w:szCs w:val="22"/>
        </w:rPr>
        <w:t xml:space="preserve">  colorimetric and </w:t>
      </w:r>
      <w:proofErr w:type="gramStart"/>
      <w:r>
        <w:rPr>
          <w:rFonts w:ascii="Arial" w:eastAsia="Calibri" w:hAnsi="Arial" w:cs="Arial"/>
          <w:sz w:val="22"/>
          <w:szCs w:val="22"/>
        </w:rPr>
        <w:t>enzymatic  techniques</w:t>
      </w:r>
      <w:proofErr w:type="gramEnd"/>
      <w:r>
        <w:rPr>
          <w:rFonts w:ascii="Arial" w:eastAsia="Calibri" w:hAnsi="Arial" w:cs="Arial"/>
          <w:sz w:val="22"/>
          <w:szCs w:val="22"/>
        </w:rPr>
        <w:t xml:space="preserve"> respectively. </w:t>
      </w:r>
      <w:r>
        <w:rPr>
          <w:rFonts w:ascii="Arial" w:hAnsi="Arial" w:cs="Arial"/>
          <w:sz w:val="22"/>
          <w:szCs w:val="22"/>
        </w:rPr>
        <w:t xml:space="preserve">Anion Gap </w:t>
      </w:r>
      <w:proofErr w:type="gramStart"/>
      <w:r>
        <w:rPr>
          <w:rFonts w:ascii="Arial" w:hAnsi="Arial" w:cs="Arial"/>
          <w:sz w:val="22"/>
          <w:szCs w:val="22"/>
        </w:rPr>
        <w:t>was  Calculated</w:t>
      </w:r>
      <w:proofErr w:type="gramEnd"/>
      <w:r>
        <w:rPr>
          <w:rFonts w:ascii="Arial" w:hAnsi="Arial" w:cs="Arial"/>
          <w:sz w:val="22"/>
          <w:szCs w:val="22"/>
        </w:rPr>
        <w:t xml:space="preserve"> using the formula ; [Na+] - ([Cl-] + [HCO3-])</w:t>
      </w:r>
    </w:p>
    <w:p w14:paraId="4FE2E542" w14:textId="77777777" w:rsidR="00AD291E" w:rsidRDefault="00AD291E">
      <w:pPr>
        <w:spacing w:before="0" w:beforeAutospacing="0" w:after="0" w:line="240" w:lineRule="auto"/>
        <w:jc w:val="both"/>
        <w:rPr>
          <w:sz w:val="22"/>
          <w:szCs w:val="22"/>
        </w:rPr>
      </w:pPr>
    </w:p>
    <w:p w14:paraId="4E81F0D7" w14:textId="77777777" w:rsidR="00AD291E" w:rsidRDefault="00AA6E6F">
      <w:pPr>
        <w:widowControl w:val="0"/>
        <w:autoSpaceDE w:val="0"/>
        <w:autoSpaceDN w:val="0"/>
        <w:adjustRightInd w:val="0"/>
        <w:spacing w:before="0" w:beforeAutospacing="0" w:after="0"/>
        <w:jc w:val="both"/>
        <w:rPr>
          <w:rFonts w:ascii="Arial" w:hAnsi="Arial" w:cs="Arial"/>
          <w:bCs/>
          <w:sz w:val="22"/>
          <w:szCs w:val="22"/>
        </w:rPr>
      </w:pPr>
      <w:r>
        <w:rPr>
          <w:rFonts w:ascii="Arial" w:hAnsi="Arial" w:cs="Arial"/>
          <w:b/>
          <w:sz w:val="22"/>
          <w:szCs w:val="22"/>
        </w:rPr>
        <w:t xml:space="preserve">2.8 Statistical </w:t>
      </w:r>
      <w:proofErr w:type="spellStart"/>
      <w:proofErr w:type="gramStart"/>
      <w:r>
        <w:rPr>
          <w:rFonts w:ascii="Arial" w:hAnsi="Arial" w:cs="Arial"/>
          <w:b/>
          <w:sz w:val="22"/>
          <w:szCs w:val="22"/>
        </w:rPr>
        <w:t>Analysis</w:t>
      </w:r>
      <w:r>
        <w:rPr>
          <w:rFonts w:ascii="Arial" w:hAnsi="Arial" w:cs="Arial"/>
          <w:bCs/>
          <w:sz w:val="22"/>
          <w:szCs w:val="22"/>
        </w:rPr>
        <w:t>:The</w:t>
      </w:r>
      <w:proofErr w:type="spellEnd"/>
      <w:proofErr w:type="gramEnd"/>
      <w:r>
        <w:rPr>
          <w:rFonts w:ascii="Arial" w:hAnsi="Arial" w:cs="Arial"/>
          <w:bCs/>
          <w:sz w:val="22"/>
          <w:szCs w:val="22"/>
        </w:rPr>
        <w:t xml:space="preserve"> statistical software used for the analysis is the using </w:t>
      </w:r>
      <w:proofErr w:type="spellStart"/>
      <w:r>
        <w:rPr>
          <w:rFonts w:ascii="Arial" w:hAnsi="Arial" w:cs="Arial"/>
          <w:bCs/>
          <w:sz w:val="22"/>
          <w:szCs w:val="22"/>
        </w:rPr>
        <w:t>Graphpad</w:t>
      </w:r>
      <w:proofErr w:type="spellEnd"/>
      <w:r>
        <w:rPr>
          <w:rFonts w:ascii="Arial" w:hAnsi="Arial" w:cs="Arial"/>
          <w:bCs/>
          <w:sz w:val="22"/>
          <w:szCs w:val="22"/>
        </w:rPr>
        <w:t xml:space="preserve"> Prism software version 9.0.0.21 Data are presented as Means ± SD, </w:t>
      </w:r>
      <w:r>
        <w:rPr>
          <w:rFonts w:ascii="Arial" w:eastAsia="Calibri" w:hAnsi="Arial" w:cs="Arial"/>
          <w:bCs/>
          <w:sz w:val="22"/>
          <w:szCs w:val="22"/>
        </w:rPr>
        <w:t>Statistical analysis was done using t-test and Pearson’s correlation in conjunction with relevant information from the structured questionnaires.</w:t>
      </w:r>
      <w:r>
        <w:rPr>
          <w:rFonts w:ascii="Arial" w:hAnsi="Arial" w:cs="Arial"/>
          <w:bCs/>
          <w:sz w:val="22"/>
          <w:szCs w:val="22"/>
        </w:rPr>
        <w:t xml:space="preserve"> Variation in means of parameters was considered statistically significant at p &lt; 0.05.</w:t>
      </w:r>
    </w:p>
    <w:p w14:paraId="6A01361B" w14:textId="77777777" w:rsidR="00AD291E" w:rsidRDefault="00AD291E">
      <w:pPr>
        <w:autoSpaceDE w:val="0"/>
        <w:spacing w:before="0" w:beforeAutospacing="0" w:after="0"/>
        <w:jc w:val="both"/>
        <w:rPr>
          <w:rFonts w:ascii="Arial" w:hAnsi="Arial" w:cs="Arial"/>
          <w:sz w:val="22"/>
          <w:szCs w:val="22"/>
        </w:rPr>
      </w:pPr>
    </w:p>
    <w:p w14:paraId="4B858705" w14:textId="77777777" w:rsidR="00AD291E" w:rsidRDefault="00AA6E6F">
      <w:pPr>
        <w:autoSpaceDE w:val="0"/>
        <w:spacing w:before="0" w:beforeAutospacing="0" w:after="0"/>
        <w:jc w:val="both"/>
        <w:rPr>
          <w:rFonts w:ascii="Arial" w:hAnsi="Arial" w:cs="Arial"/>
          <w:sz w:val="23"/>
          <w:szCs w:val="23"/>
        </w:rPr>
      </w:pPr>
      <w:r>
        <w:rPr>
          <w:rFonts w:ascii="Arial" w:hAnsi="Arial" w:cs="Arial"/>
          <w:sz w:val="23"/>
          <w:szCs w:val="23"/>
        </w:rPr>
        <w:t xml:space="preserve"> </w:t>
      </w:r>
    </w:p>
    <w:p w14:paraId="5C99A328" w14:textId="77777777" w:rsidR="00AD291E" w:rsidRDefault="00AD291E">
      <w:pPr>
        <w:autoSpaceDE w:val="0"/>
        <w:spacing w:before="0" w:beforeAutospacing="0" w:after="0"/>
        <w:jc w:val="both"/>
        <w:rPr>
          <w:rFonts w:ascii="Arial" w:eastAsia="Calibri" w:hAnsi="Arial" w:cs="Arial"/>
          <w:bCs/>
          <w:sz w:val="22"/>
          <w:szCs w:val="22"/>
        </w:rPr>
      </w:pPr>
    </w:p>
    <w:p w14:paraId="0D15154B" w14:textId="77777777" w:rsidR="00AD291E" w:rsidRDefault="00AD291E">
      <w:pPr>
        <w:autoSpaceDE w:val="0"/>
        <w:spacing w:before="0" w:beforeAutospacing="0" w:after="0" w:line="255" w:lineRule="auto"/>
        <w:jc w:val="both"/>
        <w:rPr>
          <w:rFonts w:ascii="Arial" w:eastAsia="Calibri" w:hAnsi="Arial" w:cs="Arial"/>
          <w:sz w:val="20"/>
          <w:szCs w:val="20"/>
        </w:rPr>
      </w:pPr>
    </w:p>
    <w:p w14:paraId="7CDE96F7" w14:textId="77777777" w:rsidR="00AD291E" w:rsidRDefault="00AD291E">
      <w:pPr>
        <w:spacing w:before="0" w:beforeAutospacing="0" w:after="0" w:line="240" w:lineRule="auto"/>
        <w:jc w:val="both"/>
        <w:rPr>
          <w:rFonts w:ascii="Arial" w:hAnsi="Arial" w:cs="Arial"/>
          <w:sz w:val="22"/>
          <w:szCs w:val="22"/>
        </w:rPr>
      </w:pPr>
    </w:p>
    <w:p w14:paraId="02526ED5" w14:textId="77777777" w:rsidR="00AD291E" w:rsidRDefault="00AD291E">
      <w:pPr>
        <w:spacing w:before="0" w:beforeAutospacing="0" w:after="0" w:line="240" w:lineRule="auto"/>
        <w:jc w:val="both"/>
        <w:rPr>
          <w:rFonts w:ascii="Arial" w:hAnsi="Arial" w:cs="Arial"/>
          <w:sz w:val="22"/>
          <w:szCs w:val="22"/>
        </w:rPr>
      </w:pPr>
    </w:p>
    <w:p w14:paraId="2F72807A" w14:textId="77777777" w:rsidR="00AD291E" w:rsidRDefault="00AD291E">
      <w:pPr>
        <w:spacing w:before="0" w:beforeAutospacing="0" w:after="0" w:line="240" w:lineRule="auto"/>
        <w:jc w:val="both"/>
      </w:pPr>
    </w:p>
    <w:p w14:paraId="56B78A69" w14:textId="77777777" w:rsidR="00AD291E" w:rsidRDefault="00AD291E">
      <w:pPr>
        <w:spacing w:before="0" w:beforeAutospacing="0" w:after="0" w:line="240" w:lineRule="auto"/>
        <w:jc w:val="both"/>
      </w:pPr>
    </w:p>
    <w:p w14:paraId="5A45B090" w14:textId="77777777" w:rsidR="00AD291E" w:rsidRDefault="00AD291E">
      <w:pPr>
        <w:spacing w:before="0" w:beforeAutospacing="0" w:after="0" w:line="240" w:lineRule="auto"/>
        <w:jc w:val="both"/>
      </w:pPr>
    </w:p>
    <w:p w14:paraId="3E937D06" w14:textId="77777777" w:rsidR="00AD291E" w:rsidRDefault="00AA6E6F">
      <w:pPr>
        <w:autoSpaceDE w:val="0"/>
        <w:spacing w:before="0" w:beforeAutospacing="0" w:after="0"/>
        <w:rPr>
          <w:rFonts w:ascii="Arial" w:eastAsia="Calibri" w:hAnsi="Arial" w:cs="Arial"/>
        </w:rPr>
      </w:pPr>
      <w:r>
        <w:rPr>
          <w:rFonts w:ascii="Arial" w:eastAsia="Calibri" w:hAnsi="Arial" w:cs="Arial"/>
        </w:rPr>
        <w:t xml:space="preserve"> </w:t>
      </w:r>
    </w:p>
    <w:p w14:paraId="3B301A8F" w14:textId="77777777" w:rsidR="00AD291E" w:rsidRDefault="00AA6E6F">
      <w:pPr>
        <w:autoSpaceDE w:val="0"/>
        <w:spacing w:before="0" w:beforeAutospacing="0" w:after="0"/>
        <w:jc w:val="both"/>
        <w:rPr>
          <w:rFonts w:ascii="Arial" w:eastAsia="Calibri" w:hAnsi="Arial" w:cs="Arial"/>
        </w:rPr>
      </w:pPr>
      <w:r>
        <w:rPr>
          <w:rFonts w:ascii="Arial" w:eastAsia="Calibri" w:hAnsi="Arial" w:cs="Arial"/>
        </w:rPr>
        <w:t xml:space="preserve"> </w:t>
      </w:r>
    </w:p>
    <w:p w14:paraId="3F77AF73" w14:textId="77777777" w:rsidR="00AD291E" w:rsidRDefault="00AD291E">
      <w:pPr>
        <w:autoSpaceDE w:val="0"/>
        <w:spacing w:before="0" w:beforeAutospacing="0" w:after="0" w:line="255" w:lineRule="auto"/>
        <w:jc w:val="both"/>
        <w:rPr>
          <w:rFonts w:ascii="Arial" w:eastAsia="Calibri" w:hAnsi="Arial" w:cs="Arial"/>
          <w:sz w:val="20"/>
          <w:szCs w:val="20"/>
        </w:rPr>
      </w:pPr>
    </w:p>
    <w:p w14:paraId="6D929DE6" w14:textId="77777777" w:rsidR="00AD291E" w:rsidRDefault="00AA6E6F">
      <w:pPr>
        <w:autoSpaceDE w:val="0"/>
        <w:spacing w:before="0" w:beforeAutospacing="0" w:after="0"/>
        <w:jc w:val="both"/>
        <w:rPr>
          <w:rFonts w:ascii="Arial" w:eastAsia="Calibri" w:hAnsi="Arial" w:cs="Arial"/>
        </w:rPr>
      </w:pPr>
      <w:r>
        <w:rPr>
          <w:rFonts w:ascii="Arial" w:eastAsia="Calibri" w:hAnsi="Arial" w:cs="Arial"/>
        </w:rPr>
        <w:t xml:space="preserve"> </w:t>
      </w:r>
    </w:p>
    <w:p w14:paraId="2CC07991" w14:textId="77777777" w:rsidR="00AD291E" w:rsidRDefault="00AA6E6F">
      <w:pPr>
        <w:autoSpaceDE w:val="0"/>
        <w:spacing w:before="0" w:beforeAutospacing="0" w:after="0"/>
        <w:jc w:val="both"/>
        <w:rPr>
          <w:rFonts w:ascii="Arial" w:eastAsia="Calibri" w:hAnsi="Arial" w:cs="Arial"/>
          <w:color w:val="FF0000"/>
        </w:rPr>
      </w:pPr>
      <w:r>
        <w:rPr>
          <w:rFonts w:ascii="Arial" w:eastAsia="Calibri" w:hAnsi="Arial" w:cs="Arial"/>
          <w:color w:val="FF0000"/>
        </w:rPr>
        <w:t xml:space="preserve"> </w:t>
      </w:r>
    </w:p>
    <w:p w14:paraId="6F0470A3" w14:textId="77777777" w:rsidR="00AD291E" w:rsidRDefault="00AA6E6F">
      <w:pPr>
        <w:autoSpaceDE w:val="0"/>
        <w:spacing w:before="0" w:beforeAutospacing="0" w:after="0"/>
        <w:ind w:left="90"/>
        <w:jc w:val="both"/>
        <w:rPr>
          <w:rFonts w:ascii="Arial" w:hAnsi="Arial" w:cs="Arial"/>
        </w:rPr>
      </w:pPr>
      <w:r>
        <w:rPr>
          <w:rFonts w:ascii="Arial" w:hAnsi="Arial" w:cs="Arial"/>
        </w:rPr>
        <w:t xml:space="preserve"> </w:t>
      </w:r>
    </w:p>
    <w:p w14:paraId="18620990" w14:textId="77777777" w:rsidR="00AD291E" w:rsidRDefault="00AA6E6F">
      <w:pPr>
        <w:widowControl w:val="0"/>
        <w:spacing w:before="0" w:beforeAutospacing="0" w:after="0"/>
        <w:jc w:val="both"/>
        <w:rPr>
          <w:rFonts w:ascii="Arial" w:hAnsi="Arial" w:cs="Arial"/>
        </w:rPr>
      </w:pPr>
      <w:r>
        <w:rPr>
          <w:rFonts w:ascii="Arial" w:hAnsi="Arial" w:cs="Arial"/>
        </w:rPr>
        <w:t xml:space="preserve"> </w:t>
      </w:r>
    </w:p>
    <w:p w14:paraId="0415A5F8" w14:textId="77777777" w:rsidR="00AD291E" w:rsidRDefault="00AD291E">
      <w:pPr>
        <w:spacing w:before="0" w:beforeAutospacing="0" w:after="0" w:line="240" w:lineRule="auto"/>
        <w:jc w:val="both"/>
      </w:pPr>
    </w:p>
    <w:p w14:paraId="4D8CC79A" w14:textId="77777777" w:rsidR="00AD291E" w:rsidRDefault="00AD291E">
      <w:pPr>
        <w:spacing w:before="0" w:beforeAutospacing="0" w:after="0" w:line="240" w:lineRule="auto"/>
        <w:jc w:val="both"/>
      </w:pPr>
    </w:p>
    <w:p w14:paraId="2CD234BD" w14:textId="77777777" w:rsidR="00AD291E" w:rsidRDefault="00AD291E">
      <w:pPr>
        <w:spacing w:before="0" w:beforeAutospacing="0" w:after="0" w:line="240" w:lineRule="auto"/>
        <w:jc w:val="both"/>
      </w:pPr>
    </w:p>
    <w:p w14:paraId="173E0FAE" w14:textId="77777777" w:rsidR="00AD291E" w:rsidRDefault="00AD291E">
      <w:pPr>
        <w:spacing w:before="0" w:beforeAutospacing="0" w:after="0" w:line="240" w:lineRule="auto"/>
        <w:jc w:val="both"/>
      </w:pPr>
    </w:p>
    <w:p w14:paraId="42EC3198" w14:textId="77777777" w:rsidR="00AD291E" w:rsidRDefault="00AD291E">
      <w:pPr>
        <w:spacing w:before="0" w:beforeAutospacing="0" w:after="0" w:line="240" w:lineRule="auto"/>
        <w:jc w:val="both"/>
      </w:pPr>
    </w:p>
    <w:p w14:paraId="7A377493" w14:textId="77777777" w:rsidR="00AD291E" w:rsidRDefault="00AD291E">
      <w:pPr>
        <w:spacing w:before="0" w:beforeAutospacing="0" w:after="0" w:line="240" w:lineRule="auto"/>
        <w:jc w:val="both"/>
        <w:rPr>
          <w:rFonts w:ascii="Arial" w:hAnsi="Arial" w:cs="Arial"/>
          <w:sz w:val="22"/>
          <w:szCs w:val="22"/>
        </w:rPr>
      </w:pPr>
    </w:p>
    <w:p w14:paraId="3C801BDF" w14:textId="77777777" w:rsidR="00AD291E" w:rsidRDefault="00AD291E">
      <w:pPr>
        <w:spacing w:before="0" w:beforeAutospacing="0" w:after="0" w:line="240" w:lineRule="auto"/>
        <w:jc w:val="both"/>
        <w:rPr>
          <w:rFonts w:ascii="Arial" w:hAnsi="Arial" w:cs="Arial"/>
          <w:sz w:val="22"/>
          <w:szCs w:val="22"/>
        </w:rPr>
      </w:pPr>
    </w:p>
    <w:p w14:paraId="19BA0637" w14:textId="77777777" w:rsidR="00AD291E" w:rsidRDefault="00AA6E6F">
      <w:pPr>
        <w:spacing w:before="0" w:beforeAutospacing="0" w:after="0" w:line="240" w:lineRule="auto"/>
        <w:jc w:val="both"/>
        <w:rPr>
          <w:rFonts w:ascii="Arial" w:hAnsi="Arial" w:cs="Arial"/>
          <w:sz w:val="22"/>
          <w:szCs w:val="22"/>
        </w:rPr>
      </w:pPr>
      <w:r>
        <w:rPr>
          <w:rFonts w:ascii="Arial" w:hAnsi="Arial" w:cs="Arial"/>
          <w:b/>
          <w:bCs/>
          <w:sz w:val="22"/>
          <w:szCs w:val="22"/>
        </w:rPr>
        <w:t>3.0 RESULTS</w:t>
      </w:r>
    </w:p>
    <w:p w14:paraId="108D3B68" w14:textId="77777777" w:rsidR="00AD291E" w:rsidRDefault="00AD291E">
      <w:pPr>
        <w:spacing w:before="0" w:beforeAutospacing="0" w:after="0" w:line="240" w:lineRule="auto"/>
        <w:jc w:val="both"/>
        <w:rPr>
          <w:rFonts w:ascii="Arial" w:hAnsi="Arial" w:cs="Arial"/>
          <w:sz w:val="22"/>
          <w:szCs w:val="22"/>
        </w:rPr>
      </w:pPr>
    </w:p>
    <w:p w14:paraId="152CCCF1" w14:textId="77777777" w:rsidR="00AD291E" w:rsidRDefault="00AA6E6F">
      <w:pPr>
        <w:spacing w:before="0" w:beforeAutospacing="0" w:after="0" w:line="240" w:lineRule="auto"/>
        <w:jc w:val="both"/>
        <w:rPr>
          <w:rFonts w:ascii="Arial" w:hAnsi="Arial" w:cs="Arial"/>
          <w:sz w:val="22"/>
          <w:szCs w:val="22"/>
        </w:rPr>
      </w:pPr>
      <w:r>
        <w:rPr>
          <w:rFonts w:ascii="Arial" w:hAnsi="Arial" w:cs="Arial"/>
          <w:b/>
          <w:bCs/>
          <w:sz w:val="21"/>
          <w:szCs w:val="21"/>
        </w:rPr>
        <w:t xml:space="preserve">Table 1: Mean ± SD of Serum </w:t>
      </w:r>
      <w:proofErr w:type="gramStart"/>
      <w:r>
        <w:rPr>
          <w:rFonts w:ascii="Arial" w:hAnsi="Arial" w:cs="Arial"/>
          <w:b/>
          <w:bCs/>
          <w:sz w:val="21"/>
          <w:szCs w:val="21"/>
        </w:rPr>
        <w:t>Urea ,</w:t>
      </w:r>
      <w:proofErr w:type="gramEnd"/>
      <w:r>
        <w:rPr>
          <w:rFonts w:ascii="Arial" w:hAnsi="Arial" w:cs="Arial"/>
          <w:b/>
          <w:bCs/>
          <w:sz w:val="21"/>
          <w:szCs w:val="21"/>
        </w:rPr>
        <w:t xml:space="preserve"> Creatinine Levels and Ages of Bodybuilders and Controls</w:t>
      </w:r>
    </w:p>
    <w:p w14:paraId="72BEE9F4" w14:textId="77777777" w:rsidR="00AD291E" w:rsidRDefault="00AD291E">
      <w:pPr>
        <w:spacing w:before="0" w:beforeAutospacing="0" w:after="0" w:line="240" w:lineRule="auto"/>
        <w:jc w:val="both"/>
        <w:rPr>
          <w:rFonts w:ascii="Arial" w:hAnsi="Arial" w:cs="Arial"/>
          <w:sz w:val="22"/>
          <w:szCs w:val="22"/>
        </w:rPr>
      </w:pPr>
    </w:p>
    <w:tbl>
      <w:tblPr>
        <w:tblpPr w:leftFromText="180" w:rightFromText="180" w:vertAnchor="text" w:horzAnchor="page" w:tblpX="1708" w:tblpY="137"/>
        <w:tblOverlap w:val="never"/>
        <w:tblW w:w="9318" w:type="dxa"/>
        <w:tblCellMar>
          <w:left w:w="0" w:type="dxa"/>
          <w:right w:w="0" w:type="dxa"/>
        </w:tblCellMar>
        <w:tblLook w:val="04A0" w:firstRow="1" w:lastRow="0" w:firstColumn="1" w:lastColumn="0" w:noHBand="0" w:noVBand="1"/>
      </w:tblPr>
      <w:tblGrid>
        <w:gridCol w:w="2357"/>
        <w:gridCol w:w="1989"/>
        <w:gridCol w:w="1944"/>
        <w:gridCol w:w="3028"/>
      </w:tblGrid>
      <w:tr w:rsidR="00AD291E" w14:paraId="1ADC2187" w14:textId="77777777">
        <w:trPr>
          <w:trHeight w:val="816"/>
        </w:trPr>
        <w:tc>
          <w:tcPr>
            <w:tcW w:w="2357" w:type="dxa"/>
            <w:tcBorders>
              <w:top w:val="single" w:sz="6" w:space="0" w:color="000008"/>
              <w:bottom w:val="single" w:sz="6" w:space="0" w:color="000008"/>
            </w:tcBorders>
            <w:tcMar>
              <w:left w:w="108" w:type="dxa"/>
              <w:right w:w="108" w:type="dxa"/>
            </w:tcMar>
            <w:vAlign w:val="center"/>
          </w:tcPr>
          <w:p w14:paraId="21221C85" w14:textId="77777777" w:rsidR="00AD291E" w:rsidRDefault="00AA6E6F">
            <w:pPr>
              <w:pStyle w:val="NormalWeb"/>
              <w:jc w:val="center"/>
              <w:rPr>
                <w:rFonts w:ascii="Arial" w:hAnsi="Arial" w:cs="Arial"/>
                <w:sz w:val="22"/>
                <w:szCs w:val="22"/>
              </w:rPr>
            </w:pPr>
            <w:r>
              <w:rPr>
                <w:rFonts w:ascii="Arial" w:hAnsi="Arial" w:cs="Arial"/>
                <w:color w:val="000000"/>
                <w:sz w:val="22"/>
                <w:szCs w:val="22"/>
              </w:rPr>
              <w:t>Subjects</w:t>
            </w:r>
          </w:p>
        </w:tc>
        <w:tc>
          <w:tcPr>
            <w:tcW w:w="1989" w:type="dxa"/>
            <w:tcBorders>
              <w:top w:val="single" w:sz="6" w:space="0" w:color="000008"/>
              <w:bottom w:val="single" w:sz="6" w:space="0" w:color="000008"/>
            </w:tcBorders>
            <w:tcMar>
              <w:left w:w="108" w:type="dxa"/>
              <w:right w:w="108" w:type="dxa"/>
            </w:tcMar>
            <w:vAlign w:val="center"/>
          </w:tcPr>
          <w:p w14:paraId="34ACDCEE" w14:textId="77777777" w:rsidR="00AD291E" w:rsidRDefault="00AA6E6F">
            <w:pPr>
              <w:pStyle w:val="NormalWeb"/>
              <w:jc w:val="both"/>
              <w:rPr>
                <w:rFonts w:ascii="Arial" w:hAnsi="Arial" w:cs="Arial"/>
                <w:sz w:val="22"/>
                <w:szCs w:val="22"/>
              </w:rPr>
            </w:pPr>
            <w:r>
              <w:rPr>
                <w:rFonts w:ascii="Arial" w:hAnsi="Arial" w:cs="Arial"/>
                <w:color w:val="000000"/>
                <w:sz w:val="22"/>
                <w:szCs w:val="22"/>
              </w:rPr>
              <w:t>Urea (mmol/L)</w:t>
            </w:r>
          </w:p>
        </w:tc>
        <w:tc>
          <w:tcPr>
            <w:tcW w:w="1944" w:type="dxa"/>
            <w:tcBorders>
              <w:top w:val="single" w:sz="6" w:space="0" w:color="000008"/>
              <w:bottom w:val="single" w:sz="6" w:space="0" w:color="000008"/>
            </w:tcBorders>
            <w:tcMar>
              <w:left w:w="108" w:type="dxa"/>
              <w:right w:w="108" w:type="dxa"/>
            </w:tcMar>
          </w:tcPr>
          <w:p w14:paraId="66A45C4B" w14:textId="77777777" w:rsidR="00AD291E" w:rsidRDefault="00AA6E6F">
            <w:pPr>
              <w:rPr>
                <w:rFonts w:ascii="Arial" w:hAnsi="Arial" w:cs="Arial"/>
                <w:sz w:val="22"/>
                <w:szCs w:val="22"/>
              </w:rPr>
            </w:pPr>
            <w:r>
              <w:rPr>
                <w:rFonts w:ascii="Arial" w:hAnsi="Arial" w:cs="Arial"/>
                <w:sz w:val="22"/>
                <w:szCs w:val="22"/>
              </w:rPr>
              <w:t xml:space="preserve">Creatinine </w:t>
            </w:r>
            <w:r>
              <w:rPr>
                <w:rFonts w:ascii="Arial" w:hAnsi="Arial" w:cs="Arial"/>
                <w:color w:val="000000"/>
                <w:sz w:val="22"/>
                <w:szCs w:val="22"/>
              </w:rPr>
              <w:t>(</w:t>
            </w:r>
            <w:proofErr w:type="spellStart"/>
            <w:r>
              <w:rPr>
                <w:rFonts w:ascii="Arial" w:hAnsi="Arial" w:cs="Arial"/>
                <w:color w:val="000000"/>
                <w:sz w:val="22"/>
                <w:szCs w:val="22"/>
              </w:rPr>
              <w:t>μmol</w:t>
            </w:r>
            <w:proofErr w:type="spellEnd"/>
            <w:r>
              <w:rPr>
                <w:rFonts w:ascii="Arial" w:hAnsi="Arial" w:cs="Arial"/>
                <w:color w:val="000000"/>
                <w:sz w:val="22"/>
                <w:szCs w:val="22"/>
              </w:rPr>
              <w:t>/L)</w:t>
            </w:r>
          </w:p>
        </w:tc>
        <w:tc>
          <w:tcPr>
            <w:tcW w:w="3028" w:type="dxa"/>
            <w:tcBorders>
              <w:top w:val="single" w:sz="6" w:space="0" w:color="000008"/>
              <w:bottom w:val="single" w:sz="6" w:space="0" w:color="000008"/>
            </w:tcBorders>
            <w:tcMar>
              <w:left w:w="108" w:type="dxa"/>
              <w:right w:w="108" w:type="dxa"/>
            </w:tcMar>
            <w:vAlign w:val="center"/>
          </w:tcPr>
          <w:p w14:paraId="4A758E2D" w14:textId="77777777" w:rsidR="00AD291E" w:rsidRDefault="00AA6E6F">
            <w:pPr>
              <w:pStyle w:val="NormalWeb"/>
              <w:jc w:val="both"/>
              <w:rPr>
                <w:rFonts w:ascii="Arial" w:hAnsi="Arial" w:cs="Arial"/>
                <w:color w:val="000000"/>
                <w:sz w:val="22"/>
                <w:szCs w:val="22"/>
              </w:rPr>
            </w:pPr>
            <w:r>
              <w:rPr>
                <w:rFonts w:ascii="Arial" w:hAnsi="Arial" w:cs="Arial"/>
                <w:color w:val="000000"/>
                <w:sz w:val="22"/>
                <w:szCs w:val="22"/>
              </w:rPr>
              <w:t>Age (</w:t>
            </w:r>
            <w:proofErr w:type="gramStart"/>
            <w:r>
              <w:rPr>
                <w:rFonts w:ascii="Arial" w:hAnsi="Arial" w:cs="Arial"/>
                <w:color w:val="000000"/>
                <w:sz w:val="22"/>
                <w:szCs w:val="22"/>
              </w:rPr>
              <w:t>years)   </w:t>
            </w:r>
            <w:proofErr w:type="gramEnd"/>
            <w:r>
              <w:rPr>
                <w:rFonts w:ascii="Arial" w:hAnsi="Arial" w:cs="Arial"/>
                <w:color w:val="000000"/>
                <w:sz w:val="22"/>
                <w:szCs w:val="22"/>
              </w:rPr>
              <w:t>   </w:t>
            </w:r>
          </w:p>
        </w:tc>
      </w:tr>
      <w:tr w:rsidR="00AD291E" w14:paraId="2354410F" w14:textId="77777777">
        <w:trPr>
          <w:trHeight w:val="2974"/>
        </w:trPr>
        <w:tc>
          <w:tcPr>
            <w:tcW w:w="2357" w:type="dxa"/>
            <w:tcBorders>
              <w:top w:val="single" w:sz="6" w:space="0" w:color="000008"/>
              <w:bottom w:val="single" w:sz="6" w:space="0" w:color="000008"/>
            </w:tcBorders>
            <w:tcMar>
              <w:left w:w="108" w:type="dxa"/>
              <w:right w:w="108" w:type="dxa"/>
            </w:tcMar>
            <w:vAlign w:val="center"/>
          </w:tcPr>
          <w:p w14:paraId="09FEEEF8"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lastRenderedPageBreak/>
              <w:t>Bodybuilders (41)</w:t>
            </w:r>
          </w:p>
          <w:p w14:paraId="1422590B"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t>Control (40)</w:t>
            </w:r>
          </w:p>
          <w:p w14:paraId="04BEB046"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t>t-value</w:t>
            </w:r>
          </w:p>
          <w:p w14:paraId="227D2687"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t>p-value</w:t>
            </w:r>
          </w:p>
          <w:p w14:paraId="363BCC41" w14:textId="77777777" w:rsidR="00AD291E" w:rsidRDefault="00AA6E6F">
            <w:pPr>
              <w:pStyle w:val="NormalWeb"/>
              <w:jc w:val="center"/>
              <w:rPr>
                <w:rFonts w:ascii="Arial" w:hAnsi="Arial" w:cs="Arial"/>
                <w:sz w:val="22"/>
                <w:szCs w:val="22"/>
              </w:rPr>
            </w:pPr>
            <w:r>
              <w:rPr>
                <w:rFonts w:ascii="Arial" w:hAnsi="Arial" w:cs="Arial"/>
                <w:color w:val="000000"/>
                <w:sz w:val="22"/>
                <w:szCs w:val="22"/>
              </w:rPr>
              <w:t>Remark</w:t>
            </w:r>
          </w:p>
        </w:tc>
        <w:tc>
          <w:tcPr>
            <w:tcW w:w="1989" w:type="dxa"/>
            <w:tcBorders>
              <w:top w:val="single" w:sz="6" w:space="0" w:color="000008"/>
              <w:bottom w:val="single" w:sz="6" w:space="0" w:color="000008"/>
            </w:tcBorders>
            <w:tcMar>
              <w:left w:w="108" w:type="dxa"/>
              <w:right w:w="108" w:type="dxa"/>
            </w:tcMar>
            <w:vAlign w:val="center"/>
          </w:tcPr>
          <w:p w14:paraId="2F17B0D5" w14:textId="77777777" w:rsidR="00AD291E" w:rsidRDefault="00AA6E6F">
            <w:pPr>
              <w:pStyle w:val="NormalWeb"/>
              <w:rPr>
                <w:rFonts w:ascii="Arial" w:hAnsi="Arial" w:cs="Arial"/>
                <w:color w:val="000000"/>
                <w:sz w:val="22"/>
                <w:szCs w:val="22"/>
              </w:rPr>
            </w:pPr>
            <w:r>
              <w:rPr>
                <w:rFonts w:ascii="Arial" w:hAnsi="Arial" w:cs="Arial"/>
                <w:color w:val="000000"/>
                <w:sz w:val="22"/>
                <w:szCs w:val="22"/>
              </w:rPr>
              <w:t>6.599 ± 2.128</w:t>
            </w:r>
          </w:p>
          <w:p w14:paraId="3AE79F57" w14:textId="77777777" w:rsidR="00AD291E" w:rsidRDefault="00AA6E6F">
            <w:pPr>
              <w:pStyle w:val="NormalWeb"/>
              <w:rPr>
                <w:rFonts w:ascii="Arial" w:hAnsi="Arial" w:cs="Arial"/>
                <w:color w:val="000000"/>
                <w:sz w:val="22"/>
                <w:szCs w:val="22"/>
              </w:rPr>
            </w:pPr>
            <w:r>
              <w:rPr>
                <w:rFonts w:ascii="Arial" w:hAnsi="Arial" w:cs="Arial"/>
                <w:color w:val="000000"/>
                <w:sz w:val="22"/>
                <w:szCs w:val="22"/>
              </w:rPr>
              <w:t>2.445 ± 0.993</w:t>
            </w:r>
          </w:p>
          <w:p w14:paraId="62D89CC7" w14:textId="77777777" w:rsidR="00AD291E" w:rsidRDefault="00AA6E6F">
            <w:pPr>
              <w:pStyle w:val="NormalWeb"/>
              <w:rPr>
                <w:rFonts w:ascii="Arial" w:hAnsi="Arial" w:cs="Arial"/>
                <w:color w:val="000000"/>
                <w:sz w:val="22"/>
                <w:szCs w:val="22"/>
              </w:rPr>
            </w:pPr>
            <w:r>
              <w:rPr>
                <w:rFonts w:ascii="Arial" w:hAnsi="Arial" w:cs="Arial"/>
                <w:color w:val="000000"/>
                <w:sz w:val="22"/>
                <w:szCs w:val="22"/>
              </w:rPr>
              <w:t>8.070</w:t>
            </w:r>
          </w:p>
          <w:p w14:paraId="2B0365C5" w14:textId="77777777" w:rsidR="00AD291E" w:rsidRDefault="00AA6E6F">
            <w:pPr>
              <w:pStyle w:val="NormalWeb"/>
              <w:rPr>
                <w:rFonts w:ascii="Arial" w:hAnsi="Arial" w:cs="Arial"/>
                <w:color w:val="000000"/>
                <w:sz w:val="22"/>
                <w:szCs w:val="22"/>
              </w:rPr>
            </w:pPr>
            <w:r>
              <w:rPr>
                <w:rFonts w:ascii="Arial" w:hAnsi="Arial" w:cs="Arial"/>
                <w:color w:val="000000"/>
                <w:sz w:val="22"/>
                <w:szCs w:val="22"/>
              </w:rPr>
              <w:t>&lt;0.0001</w:t>
            </w:r>
          </w:p>
          <w:p w14:paraId="3C640A7D" w14:textId="77777777" w:rsidR="00AD291E" w:rsidRDefault="00AA6E6F">
            <w:pPr>
              <w:pStyle w:val="NormalWeb"/>
              <w:rPr>
                <w:rFonts w:ascii="Arial" w:hAnsi="Arial" w:cs="Arial"/>
                <w:sz w:val="22"/>
                <w:szCs w:val="22"/>
              </w:rPr>
            </w:pPr>
            <w:r>
              <w:rPr>
                <w:rFonts w:ascii="Arial" w:hAnsi="Arial" w:cs="Arial"/>
                <w:color w:val="000000"/>
                <w:sz w:val="22"/>
                <w:szCs w:val="22"/>
              </w:rPr>
              <w:t>S</w:t>
            </w:r>
          </w:p>
        </w:tc>
        <w:tc>
          <w:tcPr>
            <w:tcW w:w="1944" w:type="dxa"/>
            <w:tcBorders>
              <w:top w:val="single" w:sz="6" w:space="0" w:color="000008"/>
              <w:bottom w:val="single" w:sz="6" w:space="0" w:color="000008"/>
            </w:tcBorders>
            <w:tcMar>
              <w:left w:w="108" w:type="dxa"/>
              <w:right w:w="108" w:type="dxa"/>
            </w:tcMar>
            <w:vAlign w:val="bottom"/>
          </w:tcPr>
          <w:p w14:paraId="64F321AB" w14:textId="77777777" w:rsidR="00AD291E" w:rsidRDefault="00AA6E6F">
            <w:pPr>
              <w:rPr>
                <w:rFonts w:ascii="Arial" w:hAnsi="Arial" w:cs="Arial"/>
                <w:color w:val="000000"/>
                <w:sz w:val="22"/>
                <w:szCs w:val="22"/>
              </w:rPr>
            </w:pPr>
            <w:proofErr w:type="gramStart"/>
            <w:r>
              <w:rPr>
                <w:rFonts w:ascii="Arial" w:hAnsi="Arial" w:cs="Arial"/>
                <w:sz w:val="22"/>
                <w:szCs w:val="22"/>
              </w:rPr>
              <w:t xml:space="preserve">133.5 </w:t>
            </w:r>
            <w:r>
              <w:rPr>
                <w:rFonts w:ascii="Arial" w:hAnsi="Arial" w:cs="Arial"/>
                <w:color w:val="000000"/>
                <w:sz w:val="22"/>
                <w:szCs w:val="22"/>
              </w:rPr>
              <w:t> ±</w:t>
            </w:r>
            <w:proofErr w:type="gramEnd"/>
            <w:r>
              <w:rPr>
                <w:rFonts w:ascii="Arial" w:hAnsi="Arial" w:cs="Arial"/>
                <w:color w:val="000000"/>
                <w:sz w:val="22"/>
                <w:szCs w:val="22"/>
              </w:rPr>
              <w:t xml:space="preserve"> 73.67</w:t>
            </w:r>
          </w:p>
          <w:p w14:paraId="5E5F892B" w14:textId="77777777" w:rsidR="00AD291E" w:rsidRDefault="00AA6E6F">
            <w:pPr>
              <w:rPr>
                <w:rFonts w:ascii="Arial" w:hAnsi="Arial" w:cs="Arial"/>
                <w:color w:val="000000"/>
                <w:sz w:val="22"/>
                <w:szCs w:val="22"/>
              </w:rPr>
            </w:pPr>
            <w:proofErr w:type="gramStart"/>
            <w:r>
              <w:rPr>
                <w:rFonts w:ascii="Arial" w:hAnsi="Arial" w:cs="Arial"/>
                <w:color w:val="000000"/>
                <w:sz w:val="22"/>
                <w:szCs w:val="22"/>
              </w:rPr>
              <w:t>77.17  ±</w:t>
            </w:r>
            <w:proofErr w:type="gramEnd"/>
            <w:r>
              <w:rPr>
                <w:rFonts w:ascii="Arial" w:hAnsi="Arial" w:cs="Arial"/>
                <w:color w:val="000000"/>
                <w:sz w:val="22"/>
                <w:szCs w:val="22"/>
              </w:rPr>
              <w:t xml:space="preserve"> 12.89</w:t>
            </w:r>
          </w:p>
          <w:p w14:paraId="121E0D9E" w14:textId="77777777" w:rsidR="00AD291E" w:rsidRDefault="00AA6E6F">
            <w:pPr>
              <w:rPr>
                <w:rFonts w:ascii="Arial" w:hAnsi="Arial" w:cs="Arial"/>
                <w:color w:val="000000"/>
                <w:sz w:val="22"/>
                <w:szCs w:val="22"/>
              </w:rPr>
            </w:pPr>
            <w:r>
              <w:rPr>
                <w:rFonts w:ascii="Arial" w:hAnsi="Arial" w:cs="Arial"/>
                <w:color w:val="000000"/>
                <w:sz w:val="22"/>
                <w:szCs w:val="22"/>
              </w:rPr>
              <w:t>3.449</w:t>
            </w:r>
          </w:p>
          <w:p w14:paraId="25FD1575" w14:textId="77777777" w:rsidR="00AD291E" w:rsidRDefault="00AA6E6F">
            <w:pPr>
              <w:rPr>
                <w:rFonts w:ascii="Arial" w:hAnsi="Arial" w:cs="Arial"/>
                <w:color w:val="000000"/>
                <w:sz w:val="22"/>
                <w:szCs w:val="22"/>
              </w:rPr>
            </w:pPr>
            <w:r>
              <w:rPr>
                <w:rFonts w:ascii="Arial" w:hAnsi="Arial" w:cs="Arial"/>
                <w:color w:val="000000"/>
                <w:sz w:val="22"/>
                <w:szCs w:val="22"/>
              </w:rPr>
              <w:t>0.0024</w:t>
            </w:r>
          </w:p>
          <w:p w14:paraId="792CDFAD" w14:textId="77777777" w:rsidR="00AD291E" w:rsidRDefault="00AA6E6F">
            <w:pPr>
              <w:rPr>
                <w:rFonts w:ascii="Arial" w:hAnsi="Arial" w:cs="Arial"/>
                <w:sz w:val="22"/>
                <w:szCs w:val="22"/>
              </w:rPr>
            </w:pPr>
            <w:r>
              <w:rPr>
                <w:rFonts w:ascii="Arial" w:hAnsi="Arial" w:cs="Arial"/>
                <w:color w:val="000000"/>
                <w:sz w:val="22"/>
                <w:szCs w:val="22"/>
              </w:rPr>
              <w:t>S</w:t>
            </w:r>
          </w:p>
        </w:tc>
        <w:tc>
          <w:tcPr>
            <w:tcW w:w="3028" w:type="dxa"/>
            <w:tcBorders>
              <w:top w:val="single" w:sz="6" w:space="0" w:color="000008"/>
              <w:bottom w:val="single" w:sz="6" w:space="0" w:color="000008"/>
            </w:tcBorders>
            <w:tcMar>
              <w:left w:w="108" w:type="dxa"/>
              <w:right w:w="108" w:type="dxa"/>
            </w:tcMar>
            <w:vAlign w:val="center"/>
          </w:tcPr>
          <w:p w14:paraId="498DD633" w14:textId="77777777" w:rsidR="00AD291E" w:rsidRDefault="00AA6E6F">
            <w:pPr>
              <w:pStyle w:val="NormalWeb"/>
              <w:rPr>
                <w:rFonts w:ascii="Arial" w:hAnsi="Arial" w:cs="Arial"/>
                <w:color w:val="000000"/>
                <w:sz w:val="22"/>
                <w:szCs w:val="22"/>
              </w:rPr>
            </w:pPr>
            <w:r>
              <w:rPr>
                <w:rFonts w:ascii="Arial" w:hAnsi="Arial" w:cs="Arial"/>
                <w:color w:val="000000"/>
                <w:sz w:val="22"/>
                <w:szCs w:val="22"/>
              </w:rPr>
              <w:t>28.00 ± 5.099</w:t>
            </w:r>
          </w:p>
          <w:p w14:paraId="615F4129" w14:textId="77777777" w:rsidR="00AD291E" w:rsidRDefault="00AA6E6F">
            <w:pPr>
              <w:pStyle w:val="NormalWeb"/>
              <w:rPr>
                <w:rFonts w:ascii="Arial" w:hAnsi="Arial" w:cs="Arial"/>
                <w:color w:val="000000"/>
                <w:sz w:val="22"/>
                <w:szCs w:val="22"/>
              </w:rPr>
            </w:pPr>
            <w:r>
              <w:rPr>
                <w:rFonts w:ascii="Arial" w:hAnsi="Arial" w:cs="Arial"/>
                <w:color w:val="000000"/>
                <w:sz w:val="22"/>
                <w:szCs w:val="22"/>
              </w:rPr>
              <w:t>22.95 ± 2.685</w:t>
            </w:r>
          </w:p>
          <w:p w14:paraId="1E53AB8C" w14:textId="77777777" w:rsidR="00AD291E" w:rsidRDefault="00AA6E6F">
            <w:pPr>
              <w:pStyle w:val="NormalWeb"/>
              <w:rPr>
                <w:rFonts w:ascii="Arial" w:hAnsi="Arial" w:cs="Arial"/>
                <w:color w:val="000000"/>
                <w:sz w:val="22"/>
                <w:szCs w:val="22"/>
              </w:rPr>
            </w:pPr>
            <w:r>
              <w:rPr>
                <w:rFonts w:ascii="Arial" w:hAnsi="Arial" w:cs="Arial"/>
                <w:color w:val="000000"/>
                <w:sz w:val="22"/>
                <w:szCs w:val="22"/>
              </w:rPr>
              <w:t>3.994</w:t>
            </w:r>
          </w:p>
          <w:p w14:paraId="0AE8D1AF" w14:textId="77777777" w:rsidR="00AD291E" w:rsidRDefault="00AA6E6F">
            <w:pPr>
              <w:pStyle w:val="NormalWeb"/>
              <w:rPr>
                <w:rFonts w:ascii="Arial" w:hAnsi="Arial" w:cs="Arial"/>
                <w:color w:val="000000"/>
                <w:sz w:val="22"/>
                <w:szCs w:val="22"/>
              </w:rPr>
            </w:pPr>
            <w:r>
              <w:rPr>
                <w:rFonts w:ascii="Arial" w:hAnsi="Arial" w:cs="Arial"/>
                <w:color w:val="000000"/>
                <w:sz w:val="22"/>
                <w:szCs w:val="22"/>
              </w:rPr>
              <w:t>0.0004</w:t>
            </w:r>
          </w:p>
          <w:p w14:paraId="20C0E66A" w14:textId="77777777" w:rsidR="00AD291E" w:rsidRDefault="00AA6E6F">
            <w:pPr>
              <w:pStyle w:val="NormalWeb"/>
              <w:rPr>
                <w:rFonts w:ascii="Arial" w:hAnsi="Arial" w:cs="Arial"/>
                <w:color w:val="000000"/>
                <w:sz w:val="22"/>
                <w:szCs w:val="22"/>
              </w:rPr>
            </w:pPr>
            <w:r>
              <w:rPr>
                <w:rFonts w:ascii="Arial" w:hAnsi="Arial" w:cs="Arial"/>
                <w:color w:val="000000"/>
                <w:sz w:val="22"/>
                <w:szCs w:val="22"/>
              </w:rPr>
              <w:t>S</w:t>
            </w:r>
          </w:p>
        </w:tc>
      </w:tr>
    </w:tbl>
    <w:p w14:paraId="72509A0A" w14:textId="77777777" w:rsidR="00AD291E" w:rsidRDefault="00AA6E6F">
      <w:pPr>
        <w:rPr>
          <w:rFonts w:ascii="Arial" w:hAnsi="Arial"/>
          <w:sz w:val="20"/>
          <w:szCs w:val="20"/>
        </w:rPr>
      </w:pPr>
      <w:r>
        <w:rPr>
          <w:rFonts w:ascii="Arial" w:hAnsi="Arial"/>
          <w:sz w:val="20"/>
          <w:szCs w:val="20"/>
        </w:rPr>
        <w:t xml:space="preserve">Key: S - Significant (p&lt;0.05) </w:t>
      </w:r>
    </w:p>
    <w:p w14:paraId="19325750" w14:textId="77777777" w:rsidR="00AD291E" w:rsidRDefault="00AD291E">
      <w:pPr>
        <w:spacing w:before="0" w:beforeAutospacing="0" w:after="0" w:line="240" w:lineRule="auto"/>
        <w:jc w:val="both"/>
      </w:pPr>
    </w:p>
    <w:p w14:paraId="3B4C5E45" w14:textId="77777777" w:rsidR="00AD291E" w:rsidRDefault="00AD291E">
      <w:pPr>
        <w:rPr>
          <w:rFonts w:ascii="Arial" w:hAnsi="Arial" w:cs="Arial"/>
          <w:sz w:val="22"/>
          <w:szCs w:val="22"/>
        </w:rPr>
      </w:pPr>
    </w:p>
    <w:p w14:paraId="7BC95E78" w14:textId="77777777" w:rsidR="00AD291E" w:rsidRDefault="00AD291E">
      <w:pPr>
        <w:rPr>
          <w:rFonts w:ascii="Arial" w:hAnsi="Arial" w:cs="Arial"/>
          <w:sz w:val="22"/>
          <w:szCs w:val="22"/>
        </w:rPr>
      </w:pPr>
    </w:p>
    <w:p w14:paraId="773A26E3" w14:textId="77777777" w:rsidR="00AD291E" w:rsidRDefault="00AA6E6F">
      <w:pPr>
        <w:rPr>
          <w:rFonts w:ascii="Arial" w:hAnsi="Arial" w:cs="Arial"/>
          <w:b/>
          <w:bCs/>
          <w:sz w:val="22"/>
          <w:szCs w:val="22"/>
        </w:rPr>
      </w:pPr>
      <w:r>
        <w:rPr>
          <w:rFonts w:ascii="Arial" w:hAnsi="Arial" w:cs="Arial"/>
          <w:b/>
          <w:bCs/>
          <w:sz w:val="22"/>
          <w:szCs w:val="22"/>
        </w:rPr>
        <w:t>Table 2: Mean ± SD of serum Electrolyte Levels and Ages of Bodybuilders and Controls</w:t>
      </w:r>
    </w:p>
    <w:tbl>
      <w:tblPr>
        <w:tblpPr w:leftFromText="180" w:rightFromText="180" w:vertAnchor="text" w:horzAnchor="page" w:tblpX="932" w:tblpY="378"/>
        <w:tblOverlap w:val="never"/>
        <w:tblW w:w="5206" w:type="pct"/>
        <w:tblLayout w:type="fixed"/>
        <w:tblCellMar>
          <w:left w:w="0" w:type="dxa"/>
          <w:right w:w="0" w:type="dxa"/>
        </w:tblCellMar>
        <w:tblLook w:val="04A0" w:firstRow="1" w:lastRow="0" w:firstColumn="1" w:lastColumn="0" w:noHBand="0" w:noVBand="1"/>
      </w:tblPr>
      <w:tblGrid>
        <w:gridCol w:w="1541"/>
        <w:gridCol w:w="1582"/>
        <w:gridCol w:w="1635"/>
        <w:gridCol w:w="1757"/>
        <w:gridCol w:w="1587"/>
        <w:gridCol w:w="1869"/>
      </w:tblGrid>
      <w:tr w:rsidR="00AD291E" w14:paraId="61DBC1E5" w14:textId="77777777">
        <w:trPr>
          <w:trHeight w:val="700"/>
        </w:trPr>
        <w:tc>
          <w:tcPr>
            <w:tcW w:w="772" w:type="pct"/>
            <w:tcBorders>
              <w:top w:val="single" w:sz="6" w:space="0" w:color="000008"/>
              <w:bottom w:val="single" w:sz="6" w:space="0" w:color="000008"/>
            </w:tcBorders>
            <w:tcMar>
              <w:left w:w="108" w:type="dxa"/>
              <w:right w:w="108" w:type="dxa"/>
            </w:tcMar>
            <w:vAlign w:val="center"/>
          </w:tcPr>
          <w:p w14:paraId="0CF2D811" w14:textId="77777777" w:rsidR="00AD291E" w:rsidRDefault="00AA6E6F">
            <w:pPr>
              <w:pStyle w:val="NormalWeb"/>
              <w:jc w:val="center"/>
              <w:rPr>
                <w:rFonts w:ascii="Arial" w:hAnsi="Arial" w:cs="Arial"/>
                <w:sz w:val="22"/>
                <w:szCs w:val="22"/>
              </w:rPr>
            </w:pPr>
            <w:r>
              <w:rPr>
                <w:rFonts w:ascii="Arial" w:hAnsi="Arial" w:cs="Arial"/>
                <w:color w:val="000000"/>
                <w:sz w:val="22"/>
                <w:szCs w:val="22"/>
              </w:rPr>
              <w:t>Subjects</w:t>
            </w:r>
          </w:p>
        </w:tc>
        <w:tc>
          <w:tcPr>
            <w:tcW w:w="793" w:type="pct"/>
            <w:tcBorders>
              <w:top w:val="single" w:sz="6" w:space="0" w:color="000008"/>
              <w:bottom w:val="single" w:sz="6" w:space="0" w:color="000008"/>
            </w:tcBorders>
            <w:tcMar>
              <w:left w:w="108" w:type="dxa"/>
              <w:right w:w="108" w:type="dxa"/>
            </w:tcMar>
            <w:vAlign w:val="center"/>
          </w:tcPr>
          <w:p w14:paraId="5B57B28E"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Age</w:t>
            </w:r>
          </w:p>
          <w:p w14:paraId="4E69DC22"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 (years)</w:t>
            </w:r>
          </w:p>
        </w:tc>
        <w:tc>
          <w:tcPr>
            <w:tcW w:w="820" w:type="pct"/>
            <w:tcBorders>
              <w:top w:val="single" w:sz="6" w:space="0" w:color="000008"/>
              <w:bottom w:val="single" w:sz="6" w:space="0" w:color="000008"/>
            </w:tcBorders>
            <w:tcMar>
              <w:left w:w="108" w:type="dxa"/>
              <w:right w:w="108" w:type="dxa"/>
            </w:tcMar>
            <w:vAlign w:val="center"/>
          </w:tcPr>
          <w:p w14:paraId="4E2EE96E"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Sodium </w:t>
            </w:r>
          </w:p>
          <w:p w14:paraId="78BDFC12"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880" w:type="pct"/>
            <w:tcBorders>
              <w:top w:val="single" w:sz="6" w:space="0" w:color="000008"/>
              <w:bottom w:val="single" w:sz="6" w:space="0" w:color="000008"/>
            </w:tcBorders>
            <w:tcMar>
              <w:left w:w="108" w:type="dxa"/>
              <w:right w:w="108" w:type="dxa"/>
            </w:tcMar>
            <w:vAlign w:val="center"/>
          </w:tcPr>
          <w:p w14:paraId="2B7C39F3"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Potassium </w:t>
            </w:r>
          </w:p>
          <w:p w14:paraId="57C7D90C"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796" w:type="pct"/>
            <w:tcBorders>
              <w:top w:val="single" w:sz="6" w:space="0" w:color="000008"/>
              <w:bottom w:val="single" w:sz="6" w:space="0" w:color="000008"/>
            </w:tcBorders>
            <w:tcMar>
              <w:left w:w="108" w:type="dxa"/>
              <w:right w:w="108" w:type="dxa"/>
            </w:tcMar>
            <w:vAlign w:val="center"/>
          </w:tcPr>
          <w:p w14:paraId="28DE7CEC"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Chloride </w:t>
            </w:r>
          </w:p>
          <w:p w14:paraId="7A6B4239"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936" w:type="pct"/>
            <w:tcBorders>
              <w:top w:val="single" w:sz="6" w:space="0" w:color="000008"/>
              <w:bottom w:val="single" w:sz="6" w:space="0" w:color="000008"/>
            </w:tcBorders>
            <w:tcMar>
              <w:left w:w="108" w:type="dxa"/>
              <w:right w:w="108" w:type="dxa"/>
            </w:tcMar>
            <w:vAlign w:val="center"/>
          </w:tcPr>
          <w:p w14:paraId="7FD87266"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Bicarbonate</w:t>
            </w:r>
          </w:p>
          <w:p w14:paraId="2DA9B043"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 (mmol/L)</w:t>
            </w:r>
          </w:p>
        </w:tc>
      </w:tr>
      <w:tr w:rsidR="00AD291E" w14:paraId="2181F5F2" w14:textId="77777777">
        <w:trPr>
          <w:trHeight w:val="909"/>
        </w:trPr>
        <w:tc>
          <w:tcPr>
            <w:tcW w:w="772" w:type="pct"/>
            <w:tcBorders>
              <w:top w:val="single" w:sz="6" w:space="0" w:color="000008"/>
              <w:bottom w:val="nil"/>
            </w:tcBorders>
            <w:tcMar>
              <w:left w:w="108" w:type="dxa"/>
              <w:right w:w="108" w:type="dxa"/>
            </w:tcMar>
            <w:vAlign w:val="center"/>
          </w:tcPr>
          <w:p w14:paraId="46AA59F0" w14:textId="77777777" w:rsidR="00AD291E" w:rsidRDefault="00AA6E6F">
            <w:pPr>
              <w:pStyle w:val="NormalWeb"/>
              <w:jc w:val="center"/>
              <w:rPr>
                <w:rFonts w:ascii="Arial" w:hAnsi="Arial" w:cs="Arial"/>
                <w:sz w:val="22"/>
                <w:szCs w:val="22"/>
              </w:rPr>
            </w:pPr>
            <w:proofErr w:type="gramStart"/>
            <w:r>
              <w:rPr>
                <w:rFonts w:ascii="Arial" w:hAnsi="Arial" w:cs="Arial"/>
                <w:color w:val="000000"/>
                <w:sz w:val="22"/>
                <w:szCs w:val="22"/>
              </w:rPr>
              <w:t>Bodybuilders  (</w:t>
            </w:r>
            <w:proofErr w:type="gramEnd"/>
            <w:r>
              <w:rPr>
                <w:rFonts w:ascii="Arial" w:hAnsi="Arial" w:cs="Arial"/>
                <w:color w:val="000000"/>
                <w:sz w:val="22"/>
                <w:szCs w:val="22"/>
              </w:rPr>
              <w:t>41)</w:t>
            </w:r>
          </w:p>
        </w:tc>
        <w:tc>
          <w:tcPr>
            <w:tcW w:w="793" w:type="pct"/>
            <w:tcBorders>
              <w:top w:val="single" w:sz="6" w:space="0" w:color="000008"/>
              <w:bottom w:val="nil"/>
            </w:tcBorders>
            <w:tcMar>
              <w:left w:w="108" w:type="dxa"/>
              <w:right w:w="108" w:type="dxa"/>
            </w:tcMar>
            <w:vAlign w:val="center"/>
          </w:tcPr>
          <w:p w14:paraId="10492DAC" w14:textId="77777777" w:rsidR="00AD291E" w:rsidRDefault="00AA6E6F">
            <w:pPr>
              <w:pStyle w:val="NormalWeb"/>
              <w:jc w:val="center"/>
              <w:rPr>
                <w:rFonts w:ascii="Arial" w:hAnsi="Arial" w:cs="Arial"/>
                <w:sz w:val="22"/>
                <w:szCs w:val="22"/>
              </w:rPr>
            </w:pPr>
            <w:r>
              <w:rPr>
                <w:rFonts w:ascii="Arial" w:hAnsi="Arial" w:cs="Arial"/>
                <w:color w:val="000000"/>
                <w:sz w:val="22"/>
                <w:szCs w:val="22"/>
              </w:rPr>
              <w:t>28.00 ± 5.099</w:t>
            </w:r>
          </w:p>
        </w:tc>
        <w:tc>
          <w:tcPr>
            <w:tcW w:w="820" w:type="pct"/>
            <w:tcBorders>
              <w:top w:val="single" w:sz="6" w:space="0" w:color="000008"/>
              <w:bottom w:val="nil"/>
            </w:tcBorders>
            <w:tcMar>
              <w:left w:w="108" w:type="dxa"/>
              <w:right w:w="108" w:type="dxa"/>
            </w:tcMar>
            <w:vAlign w:val="center"/>
          </w:tcPr>
          <w:p w14:paraId="6269DF06" w14:textId="77777777" w:rsidR="00AD291E" w:rsidRDefault="00AA6E6F">
            <w:pPr>
              <w:pStyle w:val="NormalWeb"/>
              <w:jc w:val="center"/>
              <w:rPr>
                <w:rFonts w:ascii="Arial" w:hAnsi="Arial" w:cs="Arial"/>
                <w:sz w:val="22"/>
                <w:szCs w:val="22"/>
              </w:rPr>
            </w:pPr>
            <w:r>
              <w:rPr>
                <w:rFonts w:ascii="Arial" w:hAnsi="Arial" w:cs="Arial"/>
                <w:color w:val="000000"/>
                <w:sz w:val="22"/>
                <w:szCs w:val="22"/>
              </w:rPr>
              <w:t>137.4 ± 8.552</w:t>
            </w:r>
          </w:p>
        </w:tc>
        <w:tc>
          <w:tcPr>
            <w:tcW w:w="880" w:type="pct"/>
            <w:tcBorders>
              <w:top w:val="single" w:sz="6" w:space="0" w:color="000008"/>
              <w:bottom w:val="nil"/>
            </w:tcBorders>
            <w:tcMar>
              <w:left w:w="108" w:type="dxa"/>
              <w:right w:w="108" w:type="dxa"/>
            </w:tcMar>
            <w:vAlign w:val="center"/>
          </w:tcPr>
          <w:p w14:paraId="129DC438" w14:textId="77777777" w:rsidR="00AD291E" w:rsidRDefault="00AA6E6F">
            <w:pPr>
              <w:pStyle w:val="NormalWeb"/>
              <w:jc w:val="center"/>
              <w:rPr>
                <w:rFonts w:ascii="Arial" w:hAnsi="Arial" w:cs="Arial"/>
                <w:sz w:val="22"/>
                <w:szCs w:val="22"/>
              </w:rPr>
            </w:pPr>
            <w:r>
              <w:rPr>
                <w:rFonts w:ascii="Arial" w:hAnsi="Arial" w:cs="Arial"/>
                <w:color w:val="000000"/>
                <w:sz w:val="22"/>
                <w:szCs w:val="22"/>
              </w:rPr>
              <w:t>4.206 ± 0.576</w:t>
            </w:r>
          </w:p>
        </w:tc>
        <w:tc>
          <w:tcPr>
            <w:tcW w:w="796" w:type="pct"/>
            <w:tcBorders>
              <w:top w:val="single" w:sz="6" w:space="0" w:color="000008"/>
              <w:bottom w:val="nil"/>
            </w:tcBorders>
            <w:tcMar>
              <w:left w:w="108" w:type="dxa"/>
              <w:right w:w="108" w:type="dxa"/>
            </w:tcMar>
            <w:vAlign w:val="center"/>
          </w:tcPr>
          <w:p w14:paraId="497D666B" w14:textId="77777777" w:rsidR="00AD291E" w:rsidRDefault="00AA6E6F">
            <w:pPr>
              <w:pStyle w:val="NormalWeb"/>
              <w:jc w:val="center"/>
              <w:rPr>
                <w:rFonts w:ascii="Arial" w:hAnsi="Arial" w:cs="Arial"/>
                <w:sz w:val="22"/>
                <w:szCs w:val="22"/>
              </w:rPr>
            </w:pPr>
            <w:r>
              <w:rPr>
                <w:rFonts w:ascii="Arial" w:hAnsi="Arial" w:cs="Arial"/>
                <w:color w:val="000000"/>
                <w:sz w:val="22"/>
                <w:szCs w:val="22"/>
              </w:rPr>
              <w:t>106.0 ± 18.63</w:t>
            </w:r>
          </w:p>
        </w:tc>
        <w:tc>
          <w:tcPr>
            <w:tcW w:w="936" w:type="pct"/>
            <w:tcBorders>
              <w:top w:val="single" w:sz="6" w:space="0" w:color="000008"/>
              <w:bottom w:val="nil"/>
            </w:tcBorders>
            <w:tcMar>
              <w:left w:w="108" w:type="dxa"/>
              <w:right w:w="108" w:type="dxa"/>
            </w:tcMar>
            <w:vAlign w:val="center"/>
          </w:tcPr>
          <w:p w14:paraId="6ACEFB0C" w14:textId="77777777" w:rsidR="00AD291E" w:rsidRDefault="00AA6E6F">
            <w:pPr>
              <w:pStyle w:val="NormalWeb"/>
              <w:jc w:val="center"/>
              <w:rPr>
                <w:rFonts w:ascii="Arial" w:hAnsi="Arial" w:cs="Arial"/>
                <w:sz w:val="22"/>
                <w:szCs w:val="22"/>
              </w:rPr>
            </w:pPr>
            <w:r>
              <w:rPr>
                <w:rFonts w:ascii="Arial" w:hAnsi="Arial" w:cs="Arial"/>
                <w:color w:val="000000"/>
                <w:sz w:val="22"/>
                <w:szCs w:val="22"/>
              </w:rPr>
              <w:t>24.81 ± 3.600</w:t>
            </w:r>
          </w:p>
        </w:tc>
      </w:tr>
      <w:tr w:rsidR="00AD291E" w14:paraId="10A396FD" w14:textId="77777777">
        <w:trPr>
          <w:trHeight w:val="361"/>
        </w:trPr>
        <w:tc>
          <w:tcPr>
            <w:tcW w:w="772" w:type="pct"/>
            <w:tcBorders>
              <w:top w:val="nil"/>
              <w:bottom w:val="nil"/>
            </w:tcBorders>
            <w:tcMar>
              <w:left w:w="108" w:type="dxa"/>
              <w:right w:w="108" w:type="dxa"/>
            </w:tcMar>
            <w:vAlign w:val="center"/>
          </w:tcPr>
          <w:p w14:paraId="11C4FEB0" w14:textId="77777777" w:rsidR="00AD291E" w:rsidRDefault="00AA6E6F">
            <w:pPr>
              <w:pStyle w:val="NormalWeb"/>
              <w:jc w:val="center"/>
              <w:rPr>
                <w:rFonts w:ascii="Arial" w:hAnsi="Arial" w:cs="Arial"/>
                <w:sz w:val="22"/>
                <w:szCs w:val="22"/>
              </w:rPr>
            </w:pPr>
            <w:r>
              <w:rPr>
                <w:rFonts w:ascii="Arial" w:hAnsi="Arial" w:cs="Arial"/>
                <w:color w:val="000000"/>
                <w:sz w:val="22"/>
                <w:szCs w:val="22"/>
              </w:rPr>
              <w:t>Control (40)</w:t>
            </w:r>
          </w:p>
        </w:tc>
        <w:tc>
          <w:tcPr>
            <w:tcW w:w="793" w:type="pct"/>
            <w:tcBorders>
              <w:top w:val="nil"/>
              <w:bottom w:val="nil"/>
            </w:tcBorders>
            <w:tcMar>
              <w:left w:w="108" w:type="dxa"/>
              <w:right w:w="108" w:type="dxa"/>
            </w:tcMar>
            <w:vAlign w:val="center"/>
          </w:tcPr>
          <w:p w14:paraId="4D6B5B23" w14:textId="77777777" w:rsidR="00AD291E" w:rsidRDefault="00AA6E6F">
            <w:pPr>
              <w:pStyle w:val="NormalWeb"/>
              <w:jc w:val="center"/>
              <w:rPr>
                <w:rFonts w:ascii="Arial" w:hAnsi="Arial" w:cs="Arial"/>
                <w:sz w:val="22"/>
                <w:szCs w:val="22"/>
              </w:rPr>
            </w:pPr>
            <w:r>
              <w:rPr>
                <w:rFonts w:ascii="Arial" w:hAnsi="Arial" w:cs="Arial"/>
                <w:color w:val="000000"/>
                <w:sz w:val="22"/>
                <w:szCs w:val="22"/>
              </w:rPr>
              <w:t>22.95 ± 2.685</w:t>
            </w:r>
          </w:p>
        </w:tc>
        <w:tc>
          <w:tcPr>
            <w:tcW w:w="820" w:type="pct"/>
            <w:tcBorders>
              <w:top w:val="nil"/>
              <w:bottom w:val="nil"/>
            </w:tcBorders>
            <w:tcMar>
              <w:left w:w="108" w:type="dxa"/>
              <w:right w:w="108" w:type="dxa"/>
            </w:tcMar>
            <w:vAlign w:val="center"/>
          </w:tcPr>
          <w:p w14:paraId="2A942635" w14:textId="77777777" w:rsidR="00AD291E" w:rsidRDefault="00AA6E6F">
            <w:pPr>
              <w:pStyle w:val="NormalWeb"/>
              <w:jc w:val="center"/>
              <w:rPr>
                <w:rFonts w:ascii="Arial" w:hAnsi="Arial" w:cs="Arial"/>
                <w:sz w:val="22"/>
                <w:szCs w:val="22"/>
              </w:rPr>
            </w:pPr>
            <w:r>
              <w:rPr>
                <w:rFonts w:ascii="Arial" w:hAnsi="Arial" w:cs="Arial"/>
                <w:color w:val="000000"/>
                <w:sz w:val="22"/>
                <w:szCs w:val="22"/>
              </w:rPr>
              <w:t>138.8 ± 2.302</w:t>
            </w:r>
          </w:p>
        </w:tc>
        <w:tc>
          <w:tcPr>
            <w:tcW w:w="880" w:type="pct"/>
            <w:tcBorders>
              <w:top w:val="nil"/>
              <w:bottom w:val="nil"/>
            </w:tcBorders>
            <w:tcMar>
              <w:left w:w="108" w:type="dxa"/>
              <w:right w:w="108" w:type="dxa"/>
            </w:tcMar>
            <w:vAlign w:val="center"/>
          </w:tcPr>
          <w:p w14:paraId="108A8697" w14:textId="77777777" w:rsidR="00AD291E" w:rsidRDefault="00AA6E6F">
            <w:pPr>
              <w:pStyle w:val="NormalWeb"/>
              <w:jc w:val="center"/>
              <w:rPr>
                <w:rFonts w:ascii="Arial" w:hAnsi="Arial" w:cs="Arial"/>
                <w:sz w:val="22"/>
                <w:szCs w:val="22"/>
              </w:rPr>
            </w:pPr>
            <w:r>
              <w:rPr>
                <w:rFonts w:ascii="Arial" w:hAnsi="Arial" w:cs="Arial"/>
                <w:color w:val="000000"/>
                <w:sz w:val="22"/>
                <w:szCs w:val="22"/>
              </w:rPr>
              <w:t>3.480 ± 0.346</w:t>
            </w:r>
          </w:p>
        </w:tc>
        <w:tc>
          <w:tcPr>
            <w:tcW w:w="796" w:type="pct"/>
            <w:tcBorders>
              <w:top w:val="nil"/>
              <w:bottom w:val="nil"/>
            </w:tcBorders>
            <w:tcMar>
              <w:left w:w="108" w:type="dxa"/>
              <w:right w:w="108" w:type="dxa"/>
            </w:tcMar>
            <w:vAlign w:val="center"/>
          </w:tcPr>
          <w:p w14:paraId="2D59FF56" w14:textId="77777777" w:rsidR="00AD291E" w:rsidRDefault="00AA6E6F">
            <w:pPr>
              <w:pStyle w:val="NormalWeb"/>
              <w:jc w:val="center"/>
              <w:rPr>
                <w:rFonts w:ascii="Arial" w:hAnsi="Arial" w:cs="Arial"/>
                <w:sz w:val="22"/>
                <w:szCs w:val="22"/>
              </w:rPr>
            </w:pPr>
            <w:r>
              <w:rPr>
                <w:rFonts w:ascii="Arial" w:hAnsi="Arial" w:cs="Arial"/>
                <w:color w:val="000000"/>
                <w:sz w:val="22"/>
                <w:szCs w:val="22"/>
              </w:rPr>
              <w:t>106.0 ± 2.61</w:t>
            </w:r>
          </w:p>
        </w:tc>
        <w:tc>
          <w:tcPr>
            <w:tcW w:w="936" w:type="pct"/>
            <w:tcBorders>
              <w:top w:val="nil"/>
              <w:bottom w:val="nil"/>
            </w:tcBorders>
            <w:tcMar>
              <w:left w:w="108" w:type="dxa"/>
              <w:right w:w="108" w:type="dxa"/>
            </w:tcMar>
            <w:vAlign w:val="center"/>
          </w:tcPr>
          <w:p w14:paraId="70A54DB9" w14:textId="77777777" w:rsidR="00AD291E" w:rsidRDefault="00AA6E6F">
            <w:pPr>
              <w:pStyle w:val="NormalWeb"/>
              <w:jc w:val="center"/>
              <w:rPr>
                <w:rFonts w:ascii="Arial" w:hAnsi="Arial" w:cs="Arial"/>
                <w:sz w:val="22"/>
                <w:szCs w:val="22"/>
              </w:rPr>
            </w:pPr>
            <w:r>
              <w:rPr>
                <w:rFonts w:ascii="Arial" w:hAnsi="Arial" w:cs="Arial"/>
                <w:color w:val="000000"/>
                <w:sz w:val="22"/>
                <w:szCs w:val="22"/>
              </w:rPr>
              <w:t>24.82 ± 1.754</w:t>
            </w:r>
          </w:p>
        </w:tc>
      </w:tr>
      <w:tr w:rsidR="00AD291E" w14:paraId="6B9A9D43" w14:textId="77777777">
        <w:trPr>
          <w:trHeight w:val="645"/>
        </w:trPr>
        <w:tc>
          <w:tcPr>
            <w:tcW w:w="772" w:type="pct"/>
            <w:tcBorders>
              <w:top w:val="nil"/>
              <w:bottom w:val="nil"/>
            </w:tcBorders>
            <w:tcMar>
              <w:left w:w="108" w:type="dxa"/>
              <w:right w:w="108" w:type="dxa"/>
            </w:tcMar>
            <w:vAlign w:val="center"/>
          </w:tcPr>
          <w:p w14:paraId="6EE42739" w14:textId="77777777" w:rsidR="00AD291E" w:rsidRDefault="00AA6E6F">
            <w:pPr>
              <w:pStyle w:val="NormalWeb"/>
              <w:jc w:val="center"/>
              <w:rPr>
                <w:rFonts w:ascii="Arial" w:hAnsi="Arial" w:cs="Arial"/>
                <w:sz w:val="22"/>
                <w:szCs w:val="22"/>
              </w:rPr>
            </w:pPr>
            <w:r>
              <w:rPr>
                <w:rFonts w:ascii="Arial" w:hAnsi="Arial" w:cs="Arial"/>
                <w:color w:val="000000"/>
                <w:sz w:val="22"/>
                <w:szCs w:val="22"/>
              </w:rPr>
              <w:t>t-value</w:t>
            </w:r>
          </w:p>
        </w:tc>
        <w:tc>
          <w:tcPr>
            <w:tcW w:w="793" w:type="pct"/>
            <w:tcBorders>
              <w:top w:val="nil"/>
              <w:bottom w:val="nil"/>
            </w:tcBorders>
            <w:tcMar>
              <w:left w:w="108" w:type="dxa"/>
              <w:right w:w="108" w:type="dxa"/>
            </w:tcMar>
            <w:vAlign w:val="center"/>
          </w:tcPr>
          <w:p w14:paraId="41C1A234" w14:textId="77777777" w:rsidR="00AD291E" w:rsidRDefault="00AA6E6F">
            <w:pPr>
              <w:pStyle w:val="NormalWeb"/>
              <w:jc w:val="center"/>
              <w:rPr>
                <w:rFonts w:ascii="Arial" w:hAnsi="Arial" w:cs="Arial"/>
                <w:sz w:val="22"/>
                <w:szCs w:val="22"/>
              </w:rPr>
            </w:pPr>
            <w:r>
              <w:rPr>
                <w:rFonts w:ascii="Arial" w:hAnsi="Arial" w:cs="Arial"/>
                <w:color w:val="000000"/>
                <w:sz w:val="22"/>
                <w:szCs w:val="22"/>
              </w:rPr>
              <w:t>3.994</w:t>
            </w:r>
          </w:p>
        </w:tc>
        <w:tc>
          <w:tcPr>
            <w:tcW w:w="820" w:type="pct"/>
            <w:tcBorders>
              <w:top w:val="nil"/>
              <w:bottom w:val="nil"/>
            </w:tcBorders>
            <w:tcMar>
              <w:left w:w="108" w:type="dxa"/>
              <w:right w:w="108" w:type="dxa"/>
            </w:tcMar>
            <w:vAlign w:val="center"/>
          </w:tcPr>
          <w:p w14:paraId="3C787F54" w14:textId="77777777" w:rsidR="00AD291E" w:rsidRDefault="00AA6E6F">
            <w:pPr>
              <w:pStyle w:val="NormalWeb"/>
              <w:jc w:val="center"/>
              <w:rPr>
                <w:rFonts w:ascii="Arial" w:hAnsi="Arial" w:cs="Arial"/>
                <w:sz w:val="22"/>
                <w:szCs w:val="22"/>
              </w:rPr>
            </w:pPr>
            <w:r>
              <w:rPr>
                <w:rFonts w:ascii="Arial" w:hAnsi="Arial" w:cs="Arial"/>
                <w:color w:val="000000"/>
                <w:sz w:val="22"/>
                <w:szCs w:val="22"/>
              </w:rPr>
              <w:t>0.734</w:t>
            </w:r>
          </w:p>
        </w:tc>
        <w:tc>
          <w:tcPr>
            <w:tcW w:w="880" w:type="pct"/>
            <w:tcBorders>
              <w:top w:val="nil"/>
              <w:bottom w:val="nil"/>
            </w:tcBorders>
            <w:tcMar>
              <w:left w:w="108" w:type="dxa"/>
              <w:right w:w="108" w:type="dxa"/>
            </w:tcMar>
            <w:vAlign w:val="center"/>
          </w:tcPr>
          <w:p w14:paraId="75B99C91" w14:textId="77777777" w:rsidR="00AD291E" w:rsidRDefault="00AA6E6F">
            <w:pPr>
              <w:pStyle w:val="NormalWeb"/>
              <w:jc w:val="center"/>
              <w:rPr>
                <w:rFonts w:ascii="Arial" w:hAnsi="Arial" w:cs="Arial"/>
                <w:sz w:val="22"/>
                <w:szCs w:val="22"/>
              </w:rPr>
            </w:pPr>
            <w:r>
              <w:rPr>
                <w:rFonts w:ascii="Arial" w:hAnsi="Arial" w:cs="Arial"/>
                <w:color w:val="000000"/>
                <w:sz w:val="22"/>
                <w:szCs w:val="22"/>
              </w:rPr>
              <w:t>4.924</w:t>
            </w:r>
          </w:p>
        </w:tc>
        <w:tc>
          <w:tcPr>
            <w:tcW w:w="796" w:type="pct"/>
            <w:tcBorders>
              <w:top w:val="nil"/>
              <w:bottom w:val="nil"/>
            </w:tcBorders>
            <w:tcMar>
              <w:left w:w="108" w:type="dxa"/>
              <w:right w:w="108" w:type="dxa"/>
            </w:tcMar>
            <w:vAlign w:val="center"/>
          </w:tcPr>
          <w:p w14:paraId="6CB86BD2" w14:textId="77777777" w:rsidR="00AD291E" w:rsidRDefault="00AA6E6F">
            <w:pPr>
              <w:pStyle w:val="NormalWeb"/>
              <w:jc w:val="center"/>
              <w:rPr>
                <w:rFonts w:ascii="Arial" w:hAnsi="Arial" w:cs="Arial"/>
                <w:sz w:val="22"/>
                <w:szCs w:val="22"/>
              </w:rPr>
            </w:pPr>
            <w:r>
              <w:rPr>
                <w:rFonts w:ascii="Arial" w:hAnsi="Arial" w:cs="Arial"/>
                <w:color w:val="000000"/>
                <w:sz w:val="22"/>
                <w:szCs w:val="22"/>
              </w:rPr>
              <w:t>0.016</w:t>
            </w:r>
          </w:p>
        </w:tc>
        <w:tc>
          <w:tcPr>
            <w:tcW w:w="936" w:type="pct"/>
            <w:tcBorders>
              <w:top w:val="nil"/>
              <w:bottom w:val="nil"/>
            </w:tcBorders>
            <w:tcMar>
              <w:left w:w="108" w:type="dxa"/>
              <w:right w:w="108" w:type="dxa"/>
            </w:tcMar>
            <w:vAlign w:val="center"/>
          </w:tcPr>
          <w:p w14:paraId="7A0D4EF2" w14:textId="77777777" w:rsidR="00AD291E" w:rsidRDefault="00AA6E6F">
            <w:pPr>
              <w:pStyle w:val="NormalWeb"/>
              <w:jc w:val="center"/>
              <w:rPr>
                <w:rFonts w:ascii="Arial" w:hAnsi="Arial" w:cs="Arial"/>
                <w:sz w:val="22"/>
                <w:szCs w:val="22"/>
              </w:rPr>
            </w:pPr>
            <w:r>
              <w:rPr>
                <w:rFonts w:ascii="Arial" w:hAnsi="Arial" w:cs="Arial"/>
                <w:color w:val="000000"/>
                <w:sz w:val="22"/>
                <w:szCs w:val="22"/>
              </w:rPr>
              <w:t>0.016</w:t>
            </w:r>
          </w:p>
        </w:tc>
      </w:tr>
      <w:tr w:rsidR="00AD291E" w14:paraId="543B75B2" w14:textId="77777777">
        <w:trPr>
          <w:trHeight w:val="358"/>
        </w:trPr>
        <w:tc>
          <w:tcPr>
            <w:tcW w:w="772" w:type="pct"/>
            <w:tcBorders>
              <w:top w:val="nil"/>
              <w:bottom w:val="nil"/>
            </w:tcBorders>
            <w:tcMar>
              <w:left w:w="108" w:type="dxa"/>
              <w:right w:w="108" w:type="dxa"/>
            </w:tcMar>
            <w:vAlign w:val="center"/>
          </w:tcPr>
          <w:p w14:paraId="258FFD37" w14:textId="77777777" w:rsidR="00AD291E" w:rsidRDefault="00AA6E6F">
            <w:pPr>
              <w:pStyle w:val="NormalWeb"/>
              <w:jc w:val="center"/>
              <w:rPr>
                <w:rFonts w:ascii="Arial" w:hAnsi="Arial" w:cs="Arial"/>
                <w:sz w:val="22"/>
                <w:szCs w:val="22"/>
              </w:rPr>
            </w:pPr>
            <w:r>
              <w:rPr>
                <w:rFonts w:ascii="Arial" w:hAnsi="Arial" w:cs="Arial"/>
                <w:color w:val="000000"/>
                <w:sz w:val="22"/>
                <w:szCs w:val="22"/>
              </w:rPr>
              <w:t>p-value</w:t>
            </w:r>
          </w:p>
        </w:tc>
        <w:tc>
          <w:tcPr>
            <w:tcW w:w="793" w:type="pct"/>
            <w:tcBorders>
              <w:top w:val="nil"/>
              <w:bottom w:val="nil"/>
            </w:tcBorders>
            <w:tcMar>
              <w:left w:w="108" w:type="dxa"/>
              <w:right w:w="108" w:type="dxa"/>
            </w:tcMar>
            <w:vAlign w:val="center"/>
          </w:tcPr>
          <w:p w14:paraId="1FF1F3C9" w14:textId="77777777" w:rsidR="00AD291E" w:rsidRDefault="00AA6E6F">
            <w:pPr>
              <w:pStyle w:val="NormalWeb"/>
              <w:jc w:val="center"/>
              <w:rPr>
                <w:rFonts w:ascii="Arial" w:hAnsi="Arial" w:cs="Arial"/>
                <w:sz w:val="22"/>
                <w:szCs w:val="22"/>
              </w:rPr>
            </w:pPr>
            <w:r>
              <w:rPr>
                <w:rFonts w:ascii="Arial" w:hAnsi="Arial" w:cs="Arial"/>
                <w:color w:val="000000"/>
                <w:sz w:val="22"/>
                <w:szCs w:val="22"/>
              </w:rPr>
              <w:t>0.0004</w:t>
            </w:r>
          </w:p>
        </w:tc>
        <w:tc>
          <w:tcPr>
            <w:tcW w:w="820" w:type="pct"/>
            <w:tcBorders>
              <w:top w:val="nil"/>
              <w:bottom w:val="nil"/>
            </w:tcBorders>
            <w:tcMar>
              <w:left w:w="108" w:type="dxa"/>
              <w:right w:w="108" w:type="dxa"/>
            </w:tcMar>
            <w:vAlign w:val="center"/>
          </w:tcPr>
          <w:p w14:paraId="20222077" w14:textId="77777777" w:rsidR="00AD291E" w:rsidRDefault="00AA6E6F">
            <w:pPr>
              <w:pStyle w:val="NormalWeb"/>
              <w:jc w:val="center"/>
              <w:rPr>
                <w:rFonts w:ascii="Arial" w:hAnsi="Arial" w:cs="Arial"/>
                <w:sz w:val="22"/>
                <w:szCs w:val="22"/>
              </w:rPr>
            </w:pPr>
            <w:r>
              <w:rPr>
                <w:rFonts w:ascii="Arial" w:hAnsi="Arial" w:cs="Arial"/>
                <w:color w:val="000000"/>
                <w:sz w:val="22"/>
                <w:szCs w:val="22"/>
              </w:rPr>
              <w:t>0.4707</w:t>
            </w:r>
          </w:p>
        </w:tc>
        <w:tc>
          <w:tcPr>
            <w:tcW w:w="880" w:type="pct"/>
            <w:tcBorders>
              <w:top w:val="nil"/>
              <w:bottom w:val="nil"/>
            </w:tcBorders>
            <w:tcMar>
              <w:left w:w="108" w:type="dxa"/>
              <w:right w:w="108" w:type="dxa"/>
            </w:tcMar>
            <w:vAlign w:val="center"/>
          </w:tcPr>
          <w:p w14:paraId="584442C8" w14:textId="77777777" w:rsidR="00AD291E" w:rsidRDefault="00AA6E6F">
            <w:pPr>
              <w:pStyle w:val="NormalWeb"/>
              <w:jc w:val="center"/>
              <w:rPr>
                <w:rFonts w:ascii="Arial" w:hAnsi="Arial" w:cs="Arial"/>
                <w:sz w:val="22"/>
                <w:szCs w:val="22"/>
              </w:rPr>
            </w:pPr>
            <w:r>
              <w:rPr>
                <w:rFonts w:ascii="Arial" w:hAnsi="Arial" w:cs="Arial"/>
                <w:color w:val="000000"/>
                <w:sz w:val="22"/>
                <w:szCs w:val="22"/>
              </w:rPr>
              <w:t>&lt;0.0001</w:t>
            </w:r>
          </w:p>
        </w:tc>
        <w:tc>
          <w:tcPr>
            <w:tcW w:w="796" w:type="pct"/>
            <w:tcBorders>
              <w:top w:val="nil"/>
              <w:bottom w:val="nil"/>
            </w:tcBorders>
            <w:tcMar>
              <w:left w:w="108" w:type="dxa"/>
              <w:right w:w="108" w:type="dxa"/>
            </w:tcMar>
          </w:tcPr>
          <w:p w14:paraId="4DC2CC6B" w14:textId="77777777" w:rsidR="00AD291E" w:rsidRDefault="00AA6E6F">
            <w:pPr>
              <w:pStyle w:val="NormalWeb"/>
              <w:jc w:val="center"/>
              <w:rPr>
                <w:rFonts w:ascii="Arial" w:hAnsi="Arial" w:cs="Arial"/>
                <w:sz w:val="22"/>
                <w:szCs w:val="22"/>
              </w:rPr>
            </w:pPr>
            <w:r>
              <w:rPr>
                <w:rFonts w:ascii="Arial" w:hAnsi="Arial" w:cs="Arial"/>
                <w:color w:val="000000"/>
                <w:sz w:val="22"/>
                <w:szCs w:val="22"/>
              </w:rPr>
              <w:t>0.9871</w:t>
            </w:r>
          </w:p>
        </w:tc>
        <w:tc>
          <w:tcPr>
            <w:tcW w:w="936" w:type="pct"/>
            <w:tcBorders>
              <w:top w:val="nil"/>
              <w:bottom w:val="nil"/>
            </w:tcBorders>
            <w:tcMar>
              <w:left w:w="108" w:type="dxa"/>
              <w:right w:w="108" w:type="dxa"/>
            </w:tcMar>
            <w:vAlign w:val="center"/>
          </w:tcPr>
          <w:p w14:paraId="452915F0" w14:textId="77777777" w:rsidR="00AD291E" w:rsidRDefault="00AA6E6F">
            <w:pPr>
              <w:pStyle w:val="NormalWeb"/>
              <w:jc w:val="center"/>
              <w:rPr>
                <w:rFonts w:ascii="Arial" w:hAnsi="Arial" w:cs="Arial"/>
                <w:sz w:val="22"/>
                <w:szCs w:val="22"/>
              </w:rPr>
            </w:pPr>
            <w:r>
              <w:rPr>
                <w:rFonts w:ascii="Arial" w:hAnsi="Arial" w:cs="Arial"/>
                <w:color w:val="000000"/>
                <w:sz w:val="22"/>
                <w:szCs w:val="22"/>
              </w:rPr>
              <w:t>0.9872</w:t>
            </w:r>
          </w:p>
        </w:tc>
      </w:tr>
      <w:tr w:rsidR="00AD291E" w14:paraId="1B80D5B7" w14:textId="77777777">
        <w:trPr>
          <w:trHeight w:val="725"/>
        </w:trPr>
        <w:tc>
          <w:tcPr>
            <w:tcW w:w="772" w:type="pct"/>
            <w:tcBorders>
              <w:top w:val="nil"/>
              <w:bottom w:val="single" w:sz="6" w:space="0" w:color="000008"/>
            </w:tcBorders>
            <w:tcMar>
              <w:left w:w="108" w:type="dxa"/>
              <w:right w:w="108" w:type="dxa"/>
            </w:tcMar>
            <w:vAlign w:val="center"/>
          </w:tcPr>
          <w:p w14:paraId="081F21E2" w14:textId="77777777" w:rsidR="00AD291E" w:rsidRDefault="00AA6E6F">
            <w:pPr>
              <w:pStyle w:val="NormalWeb"/>
              <w:jc w:val="center"/>
              <w:rPr>
                <w:rFonts w:ascii="Arial" w:hAnsi="Arial" w:cs="Arial"/>
                <w:sz w:val="22"/>
                <w:szCs w:val="22"/>
              </w:rPr>
            </w:pPr>
            <w:r>
              <w:rPr>
                <w:rFonts w:ascii="Arial" w:hAnsi="Arial" w:cs="Arial"/>
                <w:color w:val="000000"/>
                <w:sz w:val="22"/>
                <w:szCs w:val="22"/>
              </w:rPr>
              <w:t>Remark</w:t>
            </w:r>
          </w:p>
        </w:tc>
        <w:tc>
          <w:tcPr>
            <w:tcW w:w="793" w:type="pct"/>
            <w:tcBorders>
              <w:top w:val="nil"/>
              <w:bottom w:val="single" w:sz="6" w:space="0" w:color="000008"/>
            </w:tcBorders>
            <w:tcMar>
              <w:left w:w="108" w:type="dxa"/>
              <w:right w:w="108" w:type="dxa"/>
            </w:tcMar>
            <w:vAlign w:val="center"/>
          </w:tcPr>
          <w:p w14:paraId="2D638404" w14:textId="77777777" w:rsidR="00AD291E" w:rsidRDefault="00AA6E6F">
            <w:pPr>
              <w:pStyle w:val="NormalWeb"/>
              <w:jc w:val="center"/>
              <w:rPr>
                <w:rFonts w:ascii="Arial" w:hAnsi="Arial" w:cs="Arial"/>
                <w:sz w:val="22"/>
                <w:szCs w:val="22"/>
              </w:rPr>
            </w:pPr>
            <w:r>
              <w:rPr>
                <w:rFonts w:ascii="Arial" w:hAnsi="Arial" w:cs="Arial"/>
                <w:color w:val="000000"/>
                <w:sz w:val="22"/>
                <w:szCs w:val="22"/>
              </w:rPr>
              <w:t>S</w:t>
            </w:r>
          </w:p>
        </w:tc>
        <w:tc>
          <w:tcPr>
            <w:tcW w:w="820" w:type="pct"/>
            <w:tcBorders>
              <w:top w:val="nil"/>
              <w:bottom w:val="single" w:sz="6" w:space="0" w:color="000008"/>
            </w:tcBorders>
            <w:tcMar>
              <w:left w:w="108" w:type="dxa"/>
              <w:right w:w="108" w:type="dxa"/>
            </w:tcMar>
            <w:vAlign w:val="center"/>
          </w:tcPr>
          <w:p w14:paraId="5DCC47AC"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c>
          <w:tcPr>
            <w:tcW w:w="880" w:type="pct"/>
            <w:tcBorders>
              <w:top w:val="nil"/>
              <w:bottom w:val="single" w:sz="6" w:space="0" w:color="000008"/>
            </w:tcBorders>
            <w:tcMar>
              <w:left w:w="108" w:type="dxa"/>
              <w:right w:w="108" w:type="dxa"/>
            </w:tcMar>
            <w:vAlign w:val="center"/>
          </w:tcPr>
          <w:p w14:paraId="00E6707F" w14:textId="77777777" w:rsidR="00AD291E" w:rsidRDefault="00AA6E6F">
            <w:pPr>
              <w:pStyle w:val="NormalWeb"/>
              <w:jc w:val="center"/>
              <w:rPr>
                <w:rFonts w:ascii="Arial" w:hAnsi="Arial" w:cs="Arial"/>
                <w:sz w:val="22"/>
                <w:szCs w:val="22"/>
              </w:rPr>
            </w:pPr>
            <w:r>
              <w:rPr>
                <w:rFonts w:ascii="Arial" w:hAnsi="Arial" w:cs="Arial"/>
                <w:color w:val="000000"/>
                <w:sz w:val="22"/>
                <w:szCs w:val="22"/>
              </w:rPr>
              <w:t>S</w:t>
            </w:r>
          </w:p>
        </w:tc>
        <w:tc>
          <w:tcPr>
            <w:tcW w:w="796" w:type="pct"/>
            <w:tcBorders>
              <w:top w:val="nil"/>
              <w:bottom w:val="single" w:sz="6" w:space="0" w:color="000008"/>
            </w:tcBorders>
            <w:tcMar>
              <w:left w:w="108" w:type="dxa"/>
              <w:right w:w="108" w:type="dxa"/>
            </w:tcMar>
            <w:vAlign w:val="center"/>
          </w:tcPr>
          <w:p w14:paraId="237677E7"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c>
          <w:tcPr>
            <w:tcW w:w="936" w:type="pct"/>
            <w:tcBorders>
              <w:top w:val="nil"/>
              <w:bottom w:val="single" w:sz="6" w:space="0" w:color="000008"/>
            </w:tcBorders>
            <w:tcMar>
              <w:left w:w="108" w:type="dxa"/>
              <w:right w:w="108" w:type="dxa"/>
            </w:tcMar>
            <w:vAlign w:val="center"/>
          </w:tcPr>
          <w:p w14:paraId="12E2A280"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r>
    </w:tbl>
    <w:p w14:paraId="38939B12" w14:textId="77777777" w:rsidR="00AD291E" w:rsidRDefault="00AA6E6F">
      <w:pPr>
        <w:rPr>
          <w:rFonts w:ascii="Arial" w:hAnsi="Arial"/>
          <w:sz w:val="20"/>
          <w:szCs w:val="20"/>
        </w:rPr>
      </w:pPr>
      <w:r>
        <w:rPr>
          <w:rFonts w:ascii="Arial" w:hAnsi="Arial"/>
          <w:sz w:val="20"/>
          <w:szCs w:val="20"/>
        </w:rPr>
        <w:t>Key: S - Significant (p&lt;0.05), NS - Non-Significant (P&gt;0.05)</w:t>
      </w:r>
    </w:p>
    <w:p w14:paraId="11B0CB9C" w14:textId="77777777" w:rsidR="00AD291E" w:rsidRDefault="00AD291E">
      <w:pPr>
        <w:rPr>
          <w:rFonts w:ascii="Arial" w:hAnsi="Arial" w:cs="Arial"/>
          <w:sz w:val="22"/>
          <w:szCs w:val="22"/>
        </w:rPr>
      </w:pPr>
    </w:p>
    <w:p w14:paraId="467FD52C" w14:textId="77777777" w:rsidR="00AD291E" w:rsidRDefault="00AD291E">
      <w:pPr>
        <w:rPr>
          <w:rFonts w:ascii="Arial" w:hAnsi="Arial"/>
          <w:sz w:val="22"/>
          <w:szCs w:val="22"/>
        </w:rPr>
      </w:pPr>
    </w:p>
    <w:p w14:paraId="3121C6FC" w14:textId="77777777" w:rsidR="00AD291E" w:rsidRDefault="00AD291E">
      <w:pPr>
        <w:rPr>
          <w:rFonts w:ascii="Arial" w:hAnsi="Arial"/>
          <w:sz w:val="22"/>
          <w:szCs w:val="22"/>
        </w:rPr>
      </w:pPr>
    </w:p>
    <w:p w14:paraId="77DB8EC1" w14:textId="77777777" w:rsidR="00AD291E" w:rsidRDefault="00AA6E6F">
      <w:pPr>
        <w:rPr>
          <w:rFonts w:ascii="Arial" w:hAnsi="Arial"/>
          <w:b/>
          <w:bCs/>
          <w:sz w:val="22"/>
          <w:szCs w:val="22"/>
        </w:rPr>
      </w:pPr>
      <w:r>
        <w:rPr>
          <w:rFonts w:ascii="Arial" w:hAnsi="Arial"/>
          <w:b/>
          <w:bCs/>
          <w:sz w:val="22"/>
          <w:szCs w:val="22"/>
        </w:rPr>
        <w:t>Table 3: Mean ± SD of serum Anion Gap Levels and Ages of Bodybuilders and Controls</w:t>
      </w:r>
    </w:p>
    <w:tbl>
      <w:tblPr>
        <w:tblW w:w="8640" w:type="dxa"/>
        <w:tblCellMar>
          <w:left w:w="0" w:type="dxa"/>
          <w:right w:w="0" w:type="dxa"/>
        </w:tblCellMar>
        <w:tblLook w:val="04A0" w:firstRow="1" w:lastRow="0" w:firstColumn="1" w:lastColumn="0" w:noHBand="0" w:noVBand="1"/>
      </w:tblPr>
      <w:tblGrid>
        <w:gridCol w:w="2880"/>
        <w:gridCol w:w="2880"/>
        <w:gridCol w:w="2880"/>
      </w:tblGrid>
      <w:tr w:rsidR="00AD291E" w14:paraId="4E123504" w14:textId="77777777">
        <w:trPr>
          <w:trHeight w:val="485"/>
        </w:trPr>
        <w:tc>
          <w:tcPr>
            <w:tcW w:w="2880" w:type="dxa"/>
            <w:tcBorders>
              <w:top w:val="single" w:sz="6" w:space="0" w:color="000008"/>
              <w:bottom w:val="single" w:sz="6" w:space="0" w:color="000008"/>
            </w:tcBorders>
            <w:tcMar>
              <w:left w:w="108" w:type="dxa"/>
              <w:right w:w="108" w:type="dxa"/>
            </w:tcMar>
            <w:vAlign w:val="center"/>
          </w:tcPr>
          <w:p w14:paraId="3D0080D1" w14:textId="77777777" w:rsidR="00AD291E" w:rsidRDefault="00AA6E6F">
            <w:pPr>
              <w:pStyle w:val="NormalWeb"/>
              <w:jc w:val="center"/>
              <w:rPr>
                <w:rFonts w:ascii="Arial" w:hAnsi="Arial" w:cs="Arial"/>
                <w:sz w:val="22"/>
                <w:szCs w:val="22"/>
              </w:rPr>
            </w:pPr>
            <w:r>
              <w:rPr>
                <w:rFonts w:ascii="Arial" w:hAnsi="Arial" w:cs="Arial"/>
                <w:color w:val="000000"/>
                <w:sz w:val="22"/>
                <w:szCs w:val="22"/>
              </w:rPr>
              <w:t>Subjects</w:t>
            </w:r>
          </w:p>
        </w:tc>
        <w:tc>
          <w:tcPr>
            <w:tcW w:w="2880" w:type="dxa"/>
            <w:tcBorders>
              <w:top w:val="single" w:sz="6" w:space="0" w:color="000008"/>
              <w:bottom w:val="single" w:sz="6" w:space="0" w:color="000008"/>
            </w:tcBorders>
            <w:tcMar>
              <w:left w:w="108" w:type="dxa"/>
              <w:right w:w="108" w:type="dxa"/>
            </w:tcMar>
            <w:vAlign w:val="center"/>
          </w:tcPr>
          <w:p w14:paraId="575AB1C2" w14:textId="77777777" w:rsidR="00AD291E" w:rsidRDefault="00AA6E6F">
            <w:pPr>
              <w:pStyle w:val="NormalWeb"/>
              <w:jc w:val="center"/>
              <w:rPr>
                <w:rFonts w:ascii="Arial" w:hAnsi="Arial" w:cs="Arial"/>
                <w:sz w:val="22"/>
                <w:szCs w:val="22"/>
              </w:rPr>
            </w:pPr>
            <w:r>
              <w:rPr>
                <w:rFonts w:ascii="Arial" w:hAnsi="Arial" w:cs="Arial"/>
                <w:color w:val="000000"/>
                <w:sz w:val="22"/>
                <w:szCs w:val="22"/>
              </w:rPr>
              <w:t>Anion gap (mmol/L)</w:t>
            </w:r>
          </w:p>
        </w:tc>
        <w:tc>
          <w:tcPr>
            <w:tcW w:w="2880" w:type="dxa"/>
            <w:tcBorders>
              <w:top w:val="single" w:sz="6" w:space="0" w:color="000008"/>
              <w:bottom w:val="single" w:sz="6" w:space="0" w:color="000008"/>
            </w:tcBorders>
            <w:tcMar>
              <w:left w:w="108" w:type="dxa"/>
              <w:right w:w="108" w:type="dxa"/>
            </w:tcMar>
            <w:vAlign w:val="center"/>
          </w:tcPr>
          <w:p w14:paraId="4D624587" w14:textId="77777777" w:rsidR="00AD291E" w:rsidRDefault="00AA6E6F">
            <w:pPr>
              <w:pStyle w:val="NormalWeb"/>
              <w:jc w:val="center"/>
              <w:rPr>
                <w:rFonts w:ascii="Arial" w:hAnsi="Arial" w:cs="Arial"/>
                <w:sz w:val="22"/>
                <w:szCs w:val="22"/>
              </w:rPr>
            </w:pPr>
            <w:r>
              <w:rPr>
                <w:rFonts w:ascii="Arial" w:hAnsi="Arial" w:cs="Arial"/>
                <w:color w:val="000000"/>
                <w:sz w:val="22"/>
                <w:szCs w:val="22"/>
              </w:rPr>
              <w:t>Age (years)</w:t>
            </w:r>
          </w:p>
        </w:tc>
      </w:tr>
      <w:tr w:rsidR="00AD291E" w14:paraId="428D1ABE" w14:textId="77777777">
        <w:trPr>
          <w:trHeight w:val="556"/>
        </w:trPr>
        <w:tc>
          <w:tcPr>
            <w:tcW w:w="2880" w:type="dxa"/>
            <w:tcBorders>
              <w:top w:val="single" w:sz="6" w:space="0" w:color="000008"/>
              <w:bottom w:val="nil"/>
            </w:tcBorders>
            <w:tcMar>
              <w:left w:w="108" w:type="dxa"/>
              <w:right w:w="108" w:type="dxa"/>
            </w:tcMar>
            <w:vAlign w:val="center"/>
          </w:tcPr>
          <w:p w14:paraId="2B88C6A7" w14:textId="77777777" w:rsidR="00AD291E" w:rsidRDefault="00AA6E6F">
            <w:pPr>
              <w:pStyle w:val="NormalWeb"/>
              <w:jc w:val="center"/>
              <w:rPr>
                <w:rFonts w:ascii="Arial" w:hAnsi="Arial" w:cs="Arial"/>
                <w:sz w:val="22"/>
                <w:szCs w:val="22"/>
              </w:rPr>
            </w:pPr>
            <w:r>
              <w:rPr>
                <w:rFonts w:ascii="Arial" w:hAnsi="Arial" w:cs="Arial"/>
                <w:color w:val="000000"/>
                <w:sz w:val="22"/>
                <w:szCs w:val="22"/>
              </w:rPr>
              <w:lastRenderedPageBreak/>
              <w:t>Bodybuilders (41)</w:t>
            </w:r>
          </w:p>
        </w:tc>
        <w:tc>
          <w:tcPr>
            <w:tcW w:w="2880" w:type="dxa"/>
            <w:tcBorders>
              <w:top w:val="single" w:sz="6" w:space="0" w:color="000008"/>
              <w:bottom w:val="nil"/>
            </w:tcBorders>
            <w:tcMar>
              <w:left w:w="108" w:type="dxa"/>
              <w:right w:w="108" w:type="dxa"/>
            </w:tcMar>
            <w:vAlign w:val="center"/>
          </w:tcPr>
          <w:p w14:paraId="3939B33C" w14:textId="77777777" w:rsidR="00AD291E" w:rsidRDefault="00AA6E6F">
            <w:pPr>
              <w:pStyle w:val="NormalWeb"/>
              <w:jc w:val="center"/>
              <w:rPr>
                <w:rFonts w:ascii="Arial" w:hAnsi="Arial" w:cs="Arial"/>
                <w:sz w:val="22"/>
                <w:szCs w:val="22"/>
              </w:rPr>
            </w:pPr>
            <w:r>
              <w:rPr>
                <w:rFonts w:ascii="Arial" w:hAnsi="Arial" w:cs="Arial"/>
                <w:color w:val="000000"/>
                <w:sz w:val="22"/>
                <w:szCs w:val="22"/>
              </w:rPr>
              <w:t>10.80 ± 22.56</w:t>
            </w:r>
          </w:p>
        </w:tc>
        <w:tc>
          <w:tcPr>
            <w:tcW w:w="2880" w:type="dxa"/>
            <w:tcBorders>
              <w:top w:val="single" w:sz="6" w:space="0" w:color="000008"/>
              <w:bottom w:val="nil"/>
            </w:tcBorders>
            <w:tcMar>
              <w:left w:w="108" w:type="dxa"/>
              <w:right w:w="108" w:type="dxa"/>
            </w:tcMar>
            <w:vAlign w:val="center"/>
          </w:tcPr>
          <w:p w14:paraId="759DD1F8" w14:textId="77777777" w:rsidR="00AD291E" w:rsidRDefault="00AA6E6F">
            <w:pPr>
              <w:pStyle w:val="NormalWeb"/>
              <w:jc w:val="center"/>
              <w:rPr>
                <w:rFonts w:ascii="Arial" w:hAnsi="Arial" w:cs="Arial"/>
                <w:sz w:val="22"/>
                <w:szCs w:val="22"/>
              </w:rPr>
            </w:pPr>
            <w:r>
              <w:rPr>
                <w:rFonts w:ascii="Arial" w:hAnsi="Arial" w:cs="Arial"/>
                <w:color w:val="000000"/>
                <w:sz w:val="22"/>
                <w:szCs w:val="22"/>
              </w:rPr>
              <w:t>28.00 ± 5.099</w:t>
            </w:r>
          </w:p>
        </w:tc>
      </w:tr>
      <w:tr w:rsidR="00AD291E" w14:paraId="1D96EB00" w14:textId="77777777">
        <w:trPr>
          <w:trHeight w:val="542"/>
        </w:trPr>
        <w:tc>
          <w:tcPr>
            <w:tcW w:w="2880" w:type="dxa"/>
            <w:tcBorders>
              <w:top w:val="nil"/>
              <w:bottom w:val="nil"/>
            </w:tcBorders>
            <w:tcMar>
              <w:left w:w="108" w:type="dxa"/>
              <w:right w:w="108" w:type="dxa"/>
            </w:tcMar>
            <w:vAlign w:val="center"/>
          </w:tcPr>
          <w:p w14:paraId="3A47CA68" w14:textId="77777777" w:rsidR="00AD291E" w:rsidRDefault="00AA6E6F">
            <w:pPr>
              <w:pStyle w:val="NormalWeb"/>
              <w:jc w:val="center"/>
              <w:rPr>
                <w:rFonts w:ascii="Arial" w:hAnsi="Arial" w:cs="Arial"/>
                <w:sz w:val="22"/>
                <w:szCs w:val="22"/>
              </w:rPr>
            </w:pPr>
            <w:r>
              <w:rPr>
                <w:rFonts w:ascii="Arial" w:hAnsi="Arial" w:cs="Arial"/>
                <w:color w:val="000000"/>
                <w:sz w:val="22"/>
                <w:szCs w:val="22"/>
              </w:rPr>
              <w:t>Control (40)</w:t>
            </w:r>
          </w:p>
        </w:tc>
        <w:tc>
          <w:tcPr>
            <w:tcW w:w="2880" w:type="dxa"/>
            <w:tcBorders>
              <w:top w:val="nil"/>
              <w:bottom w:val="nil"/>
            </w:tcBorders>
            <w:tcMar>
              <w:left w:w="108" w:type="dxa"/>
              <w:right w:w="108" w:type="dxa"/>
            </w:tcMar>
            <w:vAlign w:val="center"/>
          </w:tcPr>
          <w:p w14:paraId="6F2CDA62" w14:textId="77777777" w:rsidR="00AD291E" w:rsidRDefault="00AA6E6F">
            <w:pPr>
              <w:pStyle w:val="NormalWeb"/>
              <w:jc w:val="center"/>
              <w:rPr>
                <w:rFonts w:ascii="Arial" w:hAnsi="Arial" w:cs="Arial"/>
                <w:sz w:val="22"/>
                <w:szCs w:val="22"/>
              </w:rPr>
            </w:pPr>
            <w:r>
              <w:rPr>
                <w:rFonts w:ascii="Arial" w:hAnsi="Arial" w:cs="Arial"/>
                <w:color w:val="000000"/>
                <w:sz w:val="22"/>
                <w:szCs w:val="22"/>
              </w:rPr>
              <w:t>11.55 ± 2.69</w:t>
            </w:r>
          </w:p>
        </w:tc>
        <w:tc>
          <w:tcPr>
            <w:tcW w:w="2880" w:type="dxa"/>
            <w:tcBorders>
              <w:top w:val="nil"/>
              <w:bottom w:val="nil"/>
            </w:tcBorders>
            <w:tcMar>
              <w:left w:w="108" w:type="dxa"/>
              <w:right w:w="108" w:type="dxa"/>
            </w:tcMar>
            <w:vAlign w:val="center"/>
          </w:tcPr>
          <w:p w14:paraId="26C2E34E" w14:textId="77777777" w:rsidR="00AD291E" w:rsidRDefault="00AA6E6F">
            <w:pPr>
              <w:pStyle w:val="NormalWeb"/>
              <w:jc w:val="center"/>
              <w:rPr>
                <w:rFonts w:ascii="Arial" w:hAnsi="Arial" w:cs="Arial"/>
                <w:sz w:val="22"/>
                <w:szCs w:val="22"/>
              </w:rPr>
            </w:pPr>
            <w:r>
              <w:rPr>
                <w:rFonts w:ascii="Arial" w:hAnsi="Arial" w:cs="Arial"/>
                <w:color w:val="000000"/>
                <w:sz w:val="22"/>
                <w:szCs w:val="22"/>
              </w:rPr>
              <w:t>22.95 ± 2.685</w:t>
            </w:r>
          </w:p>
        </w:tc>
      </w:tr>
      <w:tr w:rsidR="00AD291E" w14:paraId="543C5A36" w14:textId="77777777">
        <w:trPr>
          <w:trHeight w:val="472"/>
        </w:trPr>
        <w:tc>
          <w:tcPr>
            <w:tcW w:w="2880" w:type="dxa"/>
            <w:tcBorders>
              <w:top w:val="nil"/>
              <w:bottom w:val="nil"/>
            </w:tcBorders>
            <w:tcMar>
              <w:left w:w="108" w:type="dxa"/>
              <w:right w:w="108" w:type="dxa"/>
            </w:tcMar>
            <w:vAlign w:val="center"/>
          </w:tcPr>
          <w:p w14:paraId="41C2134D" w14:textId="77777777" w:rsidR="00AD291E" w:rsidRDefault="00AA6E6F">
            <w:pPr>
              <w:pStyle w:val="NormalWeb"/>
              <w:jc w:val="center"/>
              <w:rPr>
                <w:rFonts w:ascii="Arial" w:hAnsi="Arial" w:cs="Arial"/>
                <w:sz w:val="22"/>
                <w:szCs w:val="22"/>
              </w:rPr>
            </w:pPr>
            <w:r>
              <w:rPr>
                <w:rFonts w:ascii="Arial" w:hAnsi="Arial" w:cs="Arial"/>
                <w:color w:val="000000"/>
                <w:sz w:val="22"/>
                <w:szCs w:val="22"/>
              </w:rPr>
              <w:t>t-value</w:t>
            </w:r>
          </w:p>
        </w:tc>
        <w:tc>
          <w:tcPr>
            <w:tcW w:w="2880" w:type="dxa"/>
            <w:tcBorders>
              <w:top w:val="nil"/>
              <w:bottom w:val="nil"/>
            </w:tcBorders>
            <w:tcMar>
              <w:left w:w="108" w:type="dxa"/>
              <w:right w:w="108" w:type="dxa"/>
            </w:tcMar>
            <w:vAlign w:val="center"/>
          </w:tcPr>
          <w:p w14:paraId="4D6B4292" w14:textId="77777777" w:rsidR="00AD291E" w:rsidRDefault="00AA6E6F">
            <w:pPr>
              <w:pStyle w:val="NormalWeb"/>
              <w:jc w:val="center"/>
              <w:rPr>
                <w:rFonts w:ascii="Arial" w:hAnsi="Arial" w:cs="Arial"/>
                <w:sz w:val="22"/>
                <w:szCs w:val="22"/>
              </w:rPr>
            </w:pPr>
            <w:r>
              <w:rPr>
                <w:rFonts w:ascii="Arial" w:hAnsi="Arial" w:cs="Arial"/>
                <w:color w:val="000000"/>
                <w:sz w:val="22"/>
                <w:szCs w:val="22"/>
              </w:rPr>
              <w:t>0.151</w:t>
            </w:r>
          </w:p>
        </w:tc>
        <w:tc>
          <w:tcPr>
            <w:tcW w:w="2880" w:type="dxa"/>
            <w:tcBorders>
              <w:top w:val="nil"/>
              <w:bottom w:val="nil"/>
            </w:tcBorders>
            <w:tcMar>
              <w:left w:w="108" w:type="dxa"/>
              <w:right w:w="108" w:type="dxa"/>
            </w:tcMar>
            <w:vAlign w:val="center"/>
          </w:tcPr>
          <w:p w14:paraId="26E5AD76" w14:textId="77777777" w:rsidR="00AD291E" w:rsidRDefault="00AA6E6F">
            <w:pPr>
              <w:pStyle w:val="NormalWeb"/>
              <w:jc w:val="center"/>
              <w:rPr>
                <w:rFonts w:ascii="Arial" w:hAnsi="Arial" w:cs="Arial"/>
                <w:sz w:val="22"/>
                <w:szCs w:val="22"/>
              </w:rPr>
            </w:pPr>
            <w:r>
              <w:rPr>
                <w:rFonts w:ascii="Arial" w:hAnsi="Arial" w:cs="Arial"/>
                <w:color w:val="000000"/>
                <w:sz w:val="22"/>
                <w:szCs w:val="22"/>
              </w:rPr>
              <w:t>3.994</w:t>
            </w:r>
          </w:p>
        </w:tc>
      </w:tr>
      <w:tr w:rsidR="00AD291E" w14:paraId="233BC592" w14:textId="77777777">
        <w:trPr>
          <w:trHeight w:val="482"/>
        </w:trPr>
        <w:tc>
          <w:tcPr>
            <w:tcW w:w="2880" w:type="dxa"/>
            <w:tcBorders>
              <w:top w:val="nil"/>
              <w:bottom w:val="nil"/>
            </w:tcBorders>
            <w:tcMar>
              <w:left w:w="108" w:type="dxa"/>
              <w:right w:w="108" w:type="dxa"/>
            </w:tcMar>
            <w:vAlign w:val="center"/>
          </w:tcPr>
          <w:p w14:paraId="2A5DBB5C" w14:textId="77777777" w:rsidR="00AD291E" w:rsidRDefault="00AA6E6F">
            <w:pPr>
              <w:pStyle w:val="NormalWeb"/>
              <w:jc w:val="center"/>
              <w:rPr>
                <w:rFonts w:ascii="Arial" w:hAnsi="Arial" w:cs="Arial"/>
                <w:sz w:val="22"/>
                <w:szCs w:val="22"/>
              </w:rPr>
            </w:pPr>
            <w:r>
              <w:rPr>
                <w:rFonts w:ascii="Arial" w:hAnsi="Arial" w:cs="Arial"/>
                <w:color w:val="000000"/>
                <w:sz w:val="22"/>
                <w:szCs w:val="22"/>
              </w:rPr>
              <w:t>p-value</w:t>
            </w:r>
          </w:p>
        </w:tc>
        <w:tc>
          <w:tcPr>
            <w:tcW w:w="2880" w:type="dxa"/>
            <w:tcBorders>
              <w:top w:val="nil"/>
              <w:bottom w:val="nil"/>
            </w:tcBorders>
            <w:tcMar>
              <w:left w:w="108" w:type="dxa"/>
              <w:right w:w="108" w:type="dxa"/>
            </w:tcMar>
            <w:vAlign w:val="center"/>
          </w:tcPr>
          <w:p w14:paraId="68E987EB" w14:textId="77777777" w:rsidR="00AD291E" w:rsidRDefault="00AA6E6F">
            <w:pPr>
              <w:pStyle w:val="NormalWeb"/>
              <w:jc w:val="center"/>
              <w:rPr>
                <w:rFonts w:ascii="Arial" w:hAnsi="Arial" w:cs="Arial"/>
                <w:sz w:val="22"/>
                <w:szCs w:val="22"/>
              </w:rPr>
            </w:pPr>
            <w:r>
              <w:rPr>
                <w:rFonts w:ascii="Arial" w:hAnsi="Arial" w:cs="Arial"/>
                <w:color w:val="000000"/>
                <w:sz w:val="22"/>
                <w:szCs w:val="22"/>
              </w:rPr>
              <w:t>0.8818</w:t>
            </w:r>
          </w:p>
        </w:tc>
        <w:tc>
          <w:tcPr>
            <w:tcW w:w="2880" w:type="dxa"/>
            <w:tcBorders>
              <w:top w:val="nil"/>
              <w:bottom w:val="nil"/>
            </w:tcBorders>
            <w:tcMar>
              <w:left w:w="108" w:type="dxa"/>
              <w:right w:w="108" w:type="dxa"/>
            </w:tcMar>
            <w:vAlign w:val="center"/>
          </w:tcPr>
          <w:p w14:paraId="621037DB" w14:textId="77777777" w:rsidR="00AD291E" w:rsidRDefault="00AA6E6F">
            <w:pPr>
              <w:pStyle w:val="NormalWeb"/>
              <w:jc w:val="center"/>
              <w:rPr>
                <w:rFonts w:ascii="Arial" w:hAnsi="Arial" w:cs="Arial"/>
                <w:sz w:val="22"/>
                <w:szCs w:val="22"/>
              </w:rPr>
            </w:pPr>
            <w:r>
              <w:rPr>
                <w:rFonts w:ascii="Arial" w:hAnsi="Arial" w:cs="Arial"/>
                <w:color w:val="000000"/>
                <w:sz w:val="22"/>
                <w:szCs w:val="22"/>
              </w:rPr>
              <w:t>0.0004</w:t>
            </w:r>
          </w:p>
        </w:tc>
      </w:tr>
      <w:tr w:rsidR="00AD291E" w14:paraId="39182B79" w14:textId="77777777">
        <w:trPr>
          <w:trHeight w:val="477"/>
        </w:trPr>
        <w:tc>
          <w:tcPr>
            <w:tcW w:w="2880" w:type="dxa"/>
            <w:tcBorders>
              <w:top w:val="nil"/>
              <w:bottom w:val="single" w:sz="6" w:space="0" w:color="000008"/>
            </w:tcBorders>
            <w:tcMar>
              <w:left w:w="108" w:type="dxa"/>
              <w:right w:w="108" w:type="dxa"/>
            </w:tcMar>
            <w:vAlign w:val="center"/>
          </w:tcPr>
          <w:p w14:paraId="471732ED" w14:textId="77777777" w:rsidR="00AD291E" w:rsidRDefault="00AA6E6F">
            <w:pPr>
              <w:pStyle w:val="NormalWeb"/>
              <w:jc w:val="center"/>
              <w:rPr>
                <w:rFonts w:ascii="Arial" w:hAnsi="Arial" w:cs="Arial"/>
                <w:sz w:val="22"/>
                <w:szCs w:val="22"/>
              </w:rPr>
            </w:pPr>
            <w:r>
              <w:rPr>
                <w:rFonts w:ascii="Arial" w:hAnsi="Arial" w:cs="Arial"/>
                <w:color w:val="000000"/>
                <w:sz w:val="22"/>
                <w:szCs w:val="22"/>
              </w:rPr>
              <w:t>Remark</w:t>
            </w:r>
          </w:p>
        </w:tc>
        <w:tc>
          <w:tcPr>
            <w:tcW w:w="2880" w:type="dxa"/>
            <w:tcBorders>
              <w:top w:val="nil"/>
              <w:bottom w:val="single" w:sz="6" w:space="0" w:color="000008"/>
            </w:tcBorders>
            <w:tcMar>
              <w:left w:w="108" w:type="dxa"/>
              <w:right w:w="108" w:type="dxa"/>
            </w:tcMar>
            <w:vAlign w:val="center"/>
          </w:tcPr>
          <w:p w14:paraId="60099379"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c>
          <w:tcPr>
            <w:tcW w:w="2880" w:type="dxa"/>
            <w:tcBorders>
              <w:top w:val="nil"/>
              <w:bottom w:val="single" w:sz="6" w:space="0" w:color="000008"/>
            </w:tcBorders>
            <w:tcMar>
              <w:left w:w="108" w:type="dxa"/>
              <w:right w:w="108" w:type="dxa"/>
            </w:tcMar>
            <w:vAlign w:val="center"/>
          </w:tcPr>
          <w:p w14:paraId="6A6B7FF1" w14:textId="77777777" w:rsidR="00AD291E" w:rsidRDefault="00AA6E6F">
            <w:pPr>
              <w:pStyle w:val="NormalWeb"/>
              <w:jc w:val="center"/>
              <w:rPr>
                <w:rFonts w:ascii="Arial" w:hAnsi="Arial" w:cs="Arial"/>
                <w:sz w:val="22"/>
                <w:szCs w:val="22"/>
              </w:rPr>
            </w:pPr>
            <w:r>
              <w:rPr>
                <w:rFonts w:ascii="Arial" w:hAnsi="Arial" w:cs="Arial"/>
                <w:color w:val="000000"/>
                <w:sz w:val="22"/>
                <w:szCs w:val="22"/>
              </w:rPr>
              <w:t>S</w:t>
            </w:r>
          </w:p>
        </w:tc>
      </w:tr>
    </w:tbl>
    <w:p w14:paraId="6F48A283" w14:textId="77777777" w:rsidR="00AD291E" w:rsidRDefault="00AA6E6F">
      <w:pPr>
        <w:spacing w:before="0" w:beforeAutospacing="0" w:after="0" w:line="240" w:lineRule="auto"/>
        <w:rPr>
          <w:rFonts w:ascii="Arial" w:hAnsi="Arial"/>
          <w:sz w:val="20"/>
          <w:szCs w:val="20"/>
        </w:rPr>
      </w:pPr>
      <w:r>
        <w:rPr>
          <w:rFonts w:ascii="Arial" w:hAnsi="Arial"/>
          <w:sz w:val="20"/>
          <w:szCs w:val="20"/>
        </w:rPr>
        <w:t>Key: S - Significant (p&lt;0.05), NS - Non-Significant (P&gt;0.05)</w:t>
      </w:r>
    </w:p>
    <w:p w14:paraId="508F6876" w14:textId="77777777" w:rsidR="00AD291E" w:rsidRDefault="00AD291E">
      <w:pPr>
        <w:rPr>
          <w:rFonts w:ascii="Arial" w:hAnsi="Arial"/>
          <w:sz w:val="22"/>
          <w:szCs w:val="22"/>
        </w:rPr>
      </w:pPr>
    </w:p>
    <w:p w14:paraId="28A74DDC" w14:textId="77777777" w:rsidR="00AD291E" w:rsidRDefault="00AD291E">
      <w:pPr>
        <w:rPr>
          <w:rFonts w:ascii="Arial" w:hAnsi="Arial"/>
          <w:sz w:val="22"/>
          <w:szCs w:val="22"/>
        </w:rPr>
      </w:pPr>
    </w:p>
    <w:p w14:paraId="3562C657" w14:textId="77777777" w:rsidR="00AD291E" w:rsidRDefault="00AD291E">
      <w:pPr>
        <w:rPr>
          <w:rFonts w:ascii="Arial" w:hAnsi="Arial"/>
          <w:sz w:val="22"/>
          <w:szCs w:val="22"/>
        </w:rPr>
      </w:pPr>
    </w:p>
    <w:p w14:paraId="295FD425" w14:textId="77777777" w:rsidR="00AD291E" w:rsidRDefault="00AA6E6F">
      <w:pPr>
        <w:rPr>
          <w:rFonts w:ascii="Arial" w:hAnsi="Arial"/>
          <w:b/>
          <w:bCs/>
          <w:sz w:val="21"/>
          <w:szCs w:val="21"/>
        </w:rPr>
      </w:pPr>
      <w:r>
        <w:rPr>
          <w:rFonts w:ascii="Arial" w:hAnsi="Arial"/>
          <w:b/>
          <w:bCs/>
          <w:sz w:val="21"/>
          <w:szCs w:val="21"/>
        </w:rPr>
        <w:t>Table 4: Mean ± SD of serum Urea and Creatinine Levels Based on Duration of Bodybuilding</w:t>
      </w:r>
    </w:p>
    <w:tbl>
      <w:tblPr>
        <w:tblW w:w="9575" w:type="dxa"/>
        <w:tblCellMar>
          <w:left w:w="0" w:type="dxa"/>
          <w:right w:w="0" w:type="dxa"/>
        </w:tblCellMar>
        <w:tblLook w:val="04A0" w:firstRow="1" w:lastRow="0" w:firstColumn="1" w:lastColumn="0" w:noHBand="0" w:noVBand="1"/>
      </w:tblPr>
      <w:tblGrid>
        <w:gridCol w:w="3107"/>
        <w:gridCol w:w="3234"/>
        <w:gridCol w:w="3234"/>
      </w:tblGrid>
      <w:tr w:rsidR="00AD291E" w14:paraId="7AB1740C" w14:textId="77777777">
        <w:trPr>
          <w:trHeight w:val="584"/>
        </w:trPr>
        <w:tc>
          <w:tcPr>
            <w:tcW w:w="3107" w:type="dxa"/>
            <w:tcBorders>
              <w:top w:val="single" w:sz="6" w:space="0" w:color="000008"/>
              <w:bottom w:val="single" w:sz="6" w:space="0" w:color="000008"/>
            </w:tcBorders>
            <w:tcMar>
              <w:left w:w="108" w:type="dxa"/>
              <w:right w:w="108" w:type="dxa"/>
            </w:tcMar>
            <w:vAlign w:val="center"/>
          </w:tcPr>
          <w:p w14:paraId="5C5A4F6E"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w:t>
            </w:r>
          </w:p>
        </w:tc>
        <w:tc>
          <w:tcPr>
            <w:tcW w:w="3234" w:type="dxa"/>
            <w:tcBorders>
              <w:top w:val="single" w:sz="6" w:space="0" w:color="000008"/>
              <w:bottom w:val="single" w:sz="6" w:space="0" w:color="000008"/>
            </w:tcBorders>
            <w:tcMar>
              <w:left w:w="108" w:type="dxa"/>
              <w:right w:w="108" w:type="dxa"/>
            </w:tcMar>
            <w:vAlign w:val="center"/>
          </w:tcPr>
          <w:p w14:paraId="0FA60D73" w14:textId="77777777" w:rsidR="00AD291E" w:rsidRDefault="00AA6E6F">
            <w:pPr>
              <w:pStyle w:val="NormalWeb"/>
              <w:jc w:val="center"/>
              <w:rPr>
                <w:rFonts w:ascii="Arial" w:hAnsi="Arial" w:cs="Arial"/>
                <w:sz w:val="22"/>
                <w:szCs w:val="22"/>
              </w:rPr>
            </w:pPr>
            <w:r>
              <w:rPr>
                <w:rFonts w:ascii="Arial" w:hAnsi="Arial" w:cs="Arial"/>
                <w:color w:val="000000"/>
                <w:sz w:val="22"/>
                <w:szCs w:val="22"/>
              </w:rPr>
              <w:t>Urea (mmol/L)</w:t>
            </w:r>
          </w:p>
        </w:tc>
        <w:tc>
          <w:tcPr>
            <w:tcW w:w="3234" w:type="dxa"/>
            <w:tcBorders>
              <w:top w:val="single" w:sz="6" w:space="0" w:color="000008"/>
              <w:bottom w:val="single" w:sz="6" w:space="0" w:color="000008"/>
            </w:tcBorders>
            <w:tcMar>
              <w:left w:w="108" w:type="dxa"/>
              <w:right w:w="108" w:type="dxa"/>
            </w:tcMar>
            <w:vAlign w:val="center"/>
          </w:tcPr>
          <w:p w14:paraId="705EAA20" w14:textId="77777777" w:rsidR="00AD291E" w:rsidRDefault="00AA6E6F">
            <w:pPr>
              <w:pStyle w:val="NormalWeb"/>
              <w:jc w:val="center"/>
              <w:rPr>
                <w:rFonts w:ascii="Arial" w:hAnsi="Arial" w:cs="Arial"/>
                <w:sz w:val="22"/>
                <w:szCs w:val="22"/>
              </w:rPr>
            </w:pPr>
            <w:r>
              <w:rPr>
                <w:rFonts w:ascii="Arial" w:hAnsi="Arial" w:cs="Arial"/>
                <w:color w:val="000000"/>
                <w:sz w:val="22"/>
                <w:szCs w:val="22"/>
              </w:rPr>
              <w:t>Creatinine (</w:t>
            </w:r>
            <w:proofErr w:type="spellStart"/>
            <w:r>
              <w:rPr>
                <w:rFonts w:ascii="Arial" w:hAnsi="Arial" w:cs="Arial"/>
                <w:color w:val="000000"/>
                <w:sz w:val="22"/>
                <w:szCs w:val="22"/>
              </w:rPr>
              <w:t>μmol</w:t>
            </w:r>
            <w:proofErr w:type="spellEnd"/>
            <w:r>
              <w:rPr>
                <w:rFonts w:ascii="Arial" w:hAnsi="Arial" w:cs="Arial"/>
                <w:color w:val="000000"/>
                <w:sz w:val="22"/>
                <w:szCs w:val="22"/>
              </w:rPr>
              <w:t>/L)</w:t>
            </w:r>
          </w:p>
        </w:tc>
      </w:tr>
      <w:tr w:rsidR="00AD291E" w14:paraId="494AB7EF" w14:textId="77777777">
        <w:trPr>
          <w:trHeight w:val="584"/>
        </w:trPr>
        <w:tc>
          <w:tcPr>
            <w:tcW w:w="3107" w:type="dxa"/>
            <w:tcBorders>
              <w:top w:val="single" w:sz="6" w:space="0" w:color="000008"/>
              <w:bottom w:val="nil"/>
            </w:tcBorders>
            <w:tcMar>
              <w:left w:w="108" w:type="dxa"/>
              <w:right w:w="108" w:type="dxa"/>
            </w:tcMar>
            <w:vAlign w:val="center"/>
          </w:tcPr>
          <w:p w14:paraId="04BDFC41" w14:textId="77777777" w:rsidR="00AD291E" w:rsidRDefault="00AA6E6F">
            <w:pPr>
              <w:pStyle w:val="NormalWeb"/>
              <w:jc w:val="center"/>
              <w:rPr>
                <w:rFonts w:ascii="Arial" w:hAnsi="Arial" w:cs="Arial"/>
                <w:sz w:val="22"/>
                <w:szCs w:val="22"/>
              </w:rPr>
            </w:pPr>
            <w:r>
              <w:rPr>
                <w:rFonts w:ascii="Arial" w:hAnsi="Arial" w:cs="Arial"/>
                <w:color w:val="000000"/>
                <w:sz w:val="22"/>
                <w:szCs w:val="22"/>
              </w:rPr>
              <w:t>≤ 2 years (24)</w:t>
            </w:r>
          </w:p>
        </w:tc>
        <w:tc>
          <w:tcPr>
            <w:tcW w:w="3234" w:type="dxa"/>
            <w:tcBorders>
              <w:top w:val="single" w:sz="6" w:space="0" w:color="000008"/>
              <w:bottom w:val="nil"/>
            </w:tcBorders>
            <w:tcMar>
              <w:left w:w="108" w:type="dxa"/>
              <w:right w:w="108" w:type="dxa"/>
            </w:tcMar>
            <w:vAlign w:val="center"/>
          </w:tcPr>
          <w:p w14:paraId="078301E3" w14:textId="77777777" w:rsidR="00AD291E" w:rsidRDefault="00AA6E6F">
            <w:pPr>
              <w:pStyle w:val="NormalWeb"/>
              <w:jc w:val="center"/>
              <w:rPr>
                <w:rFonts w:ascii="Arial" w:hAnsi="Arial" w:cs="Arial"/>
                <w:sz w:val="22"/>
                <w:szCs w:val="22"/>
              </w:rPr>
            </w:pPr>
            <w:r>
              <w:rPr>
                <w:rFonts w:ascii="Arial" w:hAnsi="Arial" w:cs="Arial"/>
                <w:color w:val="000000"/>
                <w:sz w:val="22"/>
                <w:szCs w:val="22"/>
              </w:rPr>
              <w:t>5.661 ± 0.636</w:t>
            </w:r>
          </w:p>
        </w:tc>
        <w:tc>
          <w:tcPr>
            <w:tcW w:w="3234" w:type="dxa"/>
            <w:tcBorders>
              <w:top w:val="single" w:sz="6" w:space="0" w:color="000008"/>
              <w:bottom w:val="nil"/>
            </w:tcBorders>
            <w:tcMar>
              <w:left w:w="108" w:type="dxa"/>
              <w:right w:w="108" w:type="dxa"/>
            </w:tcMar>
            <w:vAlign w:val="center"/>
          </w:tcPr>
          <w:p w14:paraId="47EC24C0"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t>120.0 ± 34.42</w:t>
            </w:r>
          </w:p>
        </w:tc>
      </w:tr>
      <w:tr w:rsidR="00AD291E" w14:paraId="6B637986" w14:textId="77777777">
        <w:trPr>
          <w:trHeight w:val="584"/>
        </w:trPr>
        <w:tc>
          <w:tcPr>
            <w:tcW w:w="3107" w:type="dxa"/>
            <w:tcBorders>
              <w:top w:val="nil"/>
              <w:bottom w:val="nil"/>
            </w:tcBorders>
            <w:tcMar>
              <w:left w:w="108" w:type="dxa"/>
              <w:right w:w="108" w:type="dxa"/>
            </w:tcMar>
            <w:vAlign w:val="center"/>
          </w:tcPr>
          <w:p w14:paraId="527F3207" w14:textId="77777777" w:rsidR="00AD291E" w:rsidRDefault="00AA6E6F">
            <w:pPr>
              <w:pStyle w:val="NormalWeb"/>
              <w:jc w:val="center"/>
              <w:rPr>
                <w:rFonts w:ascii="Arial" w:hAnsi="Arial" w:cs="Arial"/>
                <w:sz w:val="22"/>
                <w:szCs w:val="22"/>
              </w:rPr>
            </w:pPr>
            <w:r>
              <w:rPr>
                <w:rFonts w:ascii="Arial" w:hAnsi="Arial" w:cs="Arial"/>
                <w:color w:val="000000"/>
                <w:sz w:val="22"/>
                <w:szCs w:val="22"/>
              </w:rPr>
              <w:t>&gt; 2 years (17)</w:t>
            </w:r>
          </w:p>
        </w:tc>
        <w:tc>
          <w:tcPr>
            <w:tcW w:w="3234" w:type="dxa"/>
            <w:tcBorders>
              <w:top w:val="nil"/>
              <w:bottom w:val="nil"/>
            </w:tcBorders>
            <w:tcMar>
              <w:left w:w="108" w:type="dxa"/>
              <w:right w:w="108" w:type="dxa"/>
            </w:tcMar>
            <w:vAlign w:val="center"/>
          </w:tcPr>
          <w:p w14:paraId="74AF0717" w14:textId="77777777" w:rsidR="00AD291E" w:rsidRDefault="00AA6E6F">
            <w:pPr>
              <w:pStyle w:val="NormalWeb"/>
              <w:jc w:val="center"/>
              <w:rPr>
                <w:rFonts w:ascii="Arial" w:hAnsi="Arial" w:cs="Arial"/>
                <w:sz w:val="22"/>
                <w:szCs w:val="22"/>
              </w:rPr>
            </w:pPr>
            <w:r>
              <w:rPr>
                <w:rFonts w:ascii="Arial" w:hAnsi="Arial" w:cs="Arial"/>
                <w:color w:val="000000"/>
                <w:sz w:val="22"/>
                <w:szCs w:val="22"/>
              </w:rPr>
              <w:t>7.850 ± 2.773</w:t>
            </w:r>
          </w:p>
        </w:tc>
        <w:tc>
          <w:tcPr>
            <w:tcW w:w="3234" w:type="dxa"/>
            <w:tcBorders>
              <w:top w:val="nil"/>
              <w:bottom w:val="nil"/>
            </w:tcBorders>
            <w:tcMar>
              <w:left w:w="108" w:type="dxa"/>
              <w:right w:w="108" w:type="dxa"/>
            </w:tcMar>
            <w:vAlign w:val="center"/>
          </w:tcPr>
          <w:p w14:paraId="79AFE14E"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t>151.5 ± 106.3</w:t>
            </w:r>
          </w:p>
        </w:tc>
      </w:tr>
      <w:tr w:rsidR="00AD291E" w14:paraId="49EC977F" w14:textId="77777777">
        <w:trPr>
          <w:trHeight w:val="584"/>
        </w:trPr>
        <w:tc>
          <w:tcPr>
            <w:tcW w:w="3107" w:type="dxa"/>
            <w:tcBorders>
              <w:top w:val="nil"/>
              <w:bottom w:val="nil"/>
            </w:tcBorders>
            <w:tcMar>
              <w:left w:w="108" w:type="dxa"/>
              <w:right w:w="108" w:type="dxa"/>
            </w:tcMar>
            <w:vAlign w:val="center"/>
          </w:tcPr>
          <w:p w14:paraId="623A0430" w14:textId="77777777" w:rsidR="00AD291E" w:rsidRDefault="00AA6E6F">
            <w:pPr>
              <w:pStyle w:val="NormalWeb"/>
              <w:jc w:val="center"/>
              <w:rPr>
                <w:rFonts w:ascii="Arial" w:hAnsi="Arial" w:cs="Arial"/>
                <w:sz w:val="22"/>
                <w:szCs w:val="22"/>
              </w:rPr>
            </w:pPr>
            <w:r>
              <w:rPr>
                <w:rFonts w:ascii="Arial" w:hAnsi="Arial" w:cs="Arial"/>
                <w:color w:val="000000"/>
                <w:sz w:val="22"/>
                <w:szCs w:val="22"/>
              </w:rPr>
              <w:t>t-value</w:t>
            </w:r>
          </w:p>
        </w:tc>
        <w:tc>
          <w:tcPr>
            <w:tcW w:w="3234" w:type="dxa"/>
            <w:tcBorders>
              <w:top w:val="nil"/>
              <w:bottom w:val="nil"/>
            </w:tcBorders>
            <w:tcMar>
              <w:left w:w="108" w:type="dxa"/>
              <w:right w:w="108" w:type="dxa"/>
            </w:tcMar>
            <w:vAlign w:val="center"/>
          </w:tcPr>
          <w:p w14:paraId="66BF7EAD" w14:textId="77777777" w:rsidR="00AD291E" w:rsidRDefault="00AA6E6F">
            <w:pPr>
              <w:pStyle w:val="NormalWeb"/>
              <w:jc w:val="center"/>
              <w:rPr>
                <w:rFonts w:ascii="Arial" w:hAnsi="Arial" w:cs="Arial"/>
                <w:sz w:val="22"/>
                <w:szCs w:val="22"/>
              </w:rPr>
            </w:pPr>
            <w:r>
              <w:rPr>
                <w:rFonts w:ascii="Arial" w:hAnsi="Arial" w:cs="Arial"/>
                <w:color w:val="000000"/>
                <w:sz w:val="22"/>
                <w:szCs w:val="22"/>
              </w:rPr>
              <w:t>2.323</w:t>
            </w:r>
          </w:p>
        </w:tc>
        <w:tc>
          <w:tcPr>
            <w:tcW w:w="3234" w:type="dxa"/>
            <w:tcBorders>
              <w:top w:val="nil"/>
              <w:bottom w:val="nil"/>
            </w:tcBorders>
            <w:tcMar>
              <w:left w:w="108" w:type="dxa"/>
              <w:right w:w="108" w:type="dxa"/>
            </w:tcMar>
            <w:vAlign w:val="center"/>
          </w:tcPr>
          <w:p w14:paraId="5B6B9980"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t>0.855</w:t>
            </w:r>
          </w:p>
        </w:tc>
      </w:tr>
      <w:tr w:rsidR="00AD291E" w14:paraId="272D24F2" w14:textId="77777777">
        <w:trPr>
          <w:trHeight w:val="584"/>
        </w:trPr>
        <w:tc>
          <w:tcPr>
            <w:tcW w:w="3107" w:type="dxa"/>
            <w:tcBorders>
              <w:top w:val="nil"/>
              <w:bottom w:val="nil"/>
            </w:tcBorders>
            <w:tcMar>
              <w:left w:w="108" w:type="dxa"/>
              <w:right w:w="108" w:type="dxa"/>
            </w:tcMar>
            <w:vAlign w:val="center"/>
          </w:tcPr>
          <w:p w14:paraId="147CAE5E" w14:textId="77777777" w:rsidR="00AD291E" w:rsidRDefault="00AA6E6F">
            <w:pPr>
              <w:pStyle w:val="NormalWeb"/>
              <w:jc w:val="center"/>
              <w:rPr>
                <w:rFonts w:ascii="Arial" w:hAnsi="Arial" w:cs="Arial"/>
                <w:sz w:val="22"/>
                <w:szCs w:val="22"/>
              </w:rPr>
            </w:pPr>
            <w:r>
              <w:rPr>
                <w:rFonts w:ascii="Arial" w:hAnsi="Arial" w:cs="Arial"/>
                <w:color w:val="000000"/>
                <w:sz w:val="22"/>
                <w:szCs w:val="22"/>
              </w:rPr>
              <w:t>p-value</w:t>
            </w:r>
          </w:p>
        </w:tc>
        <w:tc>
          <w:tcPr>
            <w:tcW w:w="3234" w:type="dxa"/>
            <w:tcBorders>
              <w:top w:val="nil"/>
              <w:bottom w:val="nil"/>
            </w:tcBorders>
            <w:tcMar>
              <w:left w:w="108" w:type="dxa"/>
              <w:right w:w="108" w:type="dxa"/>
            </w:tcMar>
            <w:vAlign w:val="center"/>
          </w:tcPr>
          <w:p w14:paraId="0E3A0DB7" w14:textId="77777777" w:rsidR="00AD291E" w:rsidRDefault="00AA6E6F">
            <w:pPr>
              <w:pStyle w:val="NormalWeb"/>
              <w:jc w:val="center"/>
              <w:rPr>
                <w:rFonts w:ascii="Arial" w:hAnsi="Arial" w:cs="Arial"/>
                <w:sz w:val="22"/>
                <w:szCs w:val="22"/>
              </w:rPr>
            </w:pPr>
            <w:r>
              <w:rPr>
                <w:rFonts w:ascii="Arial" w:hAnsi="Arial" w:cs="Arial"/>
                <w:color w:val="000000"/>
                <w:sz w:val="22"/>
                <w:szCs w:val="22"/>
              </w:rPr>
              <w:t>0.046</w:t>
            </w:r>
          </w:p>
        </w:tc>
        <w:tc>
          <w:tcPr>
            <w:tcW w:w="3234" w:type="dxa"/>
            <w:tcBorders>
              <w:top w:val="nil"/>
              <w:bottom w:val="nil"/>
            </w:tcBorders>
            <w:tcMar>
              <w:left w:w="108" w:type="dxa"/>
              <w:right w:w="108" w:type="dxa"/>
            </w:tcMar>
            <w:vAlign w:val="center"/>
          </w:tcPr>
          <w:p w14:paraId="642CD67B"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t>0.414</w:t>
            </w:r>
          </w:p>
        </w:tc>
      </w:tr>
      <w:tr w:rsidR="00AD291E" w14:paraId="608C1BE8" w14:textId="77777777">
        <w:trPr>
          <w:trHeight w:val="592"/>
        </w:trPr>
        <w:tc>
          <w:tcPr>
            <w:tcW w:w="3107" w:type="dxa"/>
            <w:tcBorders>
              <w:top w:val="nil"/>
              <w:bottom w:val="single" w:sz="6" w:space="0" w:color="000008"/>
            </w:tcBorders>
            <w:tcMar>
              <w:left w:w="108" w:type="dxa"/>
              <w:right w:w="108" w:type="dxa"/>
            </w:tcMar>
            <w:vAlign w:val="center"/>
          </w:tcPr>
          <w:p w14:paraId="09EF1FD9" w14:textId="77777777" w:rsidR="00AD291E" w:rsidRDefault="00AA6E6F">
            <w:pPr>
              <w:pStyle w:val="NormalWeb"/>
              <w:jc w:val="center"/>
              <w:rPr>
                <w:rFonts w:ascii="Arial" w:hAnsi="Arial" w:cs="Arial"/>
                <w:sz w:val="22"/>
                <w:szCs w:val="22"/>
              </w:rPr>
            </w:pPr>
            <w:r>
              <w:rPr>
                <w:rFonts w:ascii="Arial" w:hAnsi="Arial" w:cs="Arial"/>
                <w:color w:val="000000"/>
                <w:sz w:val="22"/>
                <w:szCs w:val="22"/>
              </w:rPr>
              <w:t>Remark</w:t>
            </w:r>
          </w:p>
        </w:tc>
        <w:tc>
          <w:tcPr>
            <w:tcW w:w="3234" w:type="dxa"/>
            <w:tcBorders>
              <w:top w:val="nil"/>
              <w:bottom w:val="single" w:sz="6" w:space="0" w:color="000008"/>
            </w:tcBorders>
            <w:tcMar>
              <w:left w:w="108" w:type="dxa"/>
              <w:right w:w="108" w:type="dxa"/>
            </w:tcMar>
            <w:vAlign w:val="center"/>
          </w:tcPr>
          <w:p w14:paraId="35A589B2" w14:textId="77777777" w:rsidR="00AD291E" w:rsidRDefault="00AA6E6F">
            <w:pPr>
              <w:pStyle w:val="NormalWeb"/>
              <w:jc w:val="center"/>
              <w:rPr>
                <w:rFonts w:ascii="Arial" w:hAnsi="Arial" w:cs="Arial"/>
                <w:sz w:val="22"/>
                <w:szCs w:val="22"/>
              </w:rPr>
            </w:pPr>
            <w:r>
              <w:rPr>
                <w:rFonts w:ascii="Arial" w:hAnsi="Arial" w:cs="Arial"/>
                <w:color w:val="000000"/>
                <w:sz w:val="22"/>
                <w:szCs w:val="22"/>
              </w:rPr>
              <w:t>S</w:t>
            </w:r>
          </w:p>
        </w:tc>
        <w:tc>
          <w:tcPr>
            <w:tcW w:w="3234" w:type="dxa"/>
            <w:tcBorders>
              <w:top w:val="nil"/>
              <w:bottom w:val="single" w:sz="6" w:space="0" w:color="000008"/>
            </w:tcBorders>
            <w:tcMar>
              <w:left w:w="108" w:type="dxa"/>
              <w:right w:w="108" w:type="dxa"/>
            </w:tcMar>
            <w:vAlign w:val="center"/>
          </w:tcPr>
          <w:p w14:paraId="2AA03E8B" w14:textId="77777777" w:rsidR="00AD291E" w:rsidRDefault="00AA6E6F">
            <w:pPr>
              <w:pStyle w:val="NormalWeb"/>
              <w:jc w:val="center"/>
              <w:rPr>
                <w:rFonts w:ascii="Arial" w:hAnsi="Arial" w:cs="Arial"/>
                <w:color w:val="000000"/>
                <w:sz w:val="22"/>
                <w:szCs w:val="22"/>
              </w:rPr>
            </w:pPr>
            <w:r>
              <w:rPr>
                <w:rFonts w:ascii="Arial" w:hAnsi="Arial" w:cs="Arial"/>
                <w:color w:val="000000"/>
                <w:sz w:val="22"/>
                <w:szCs w:val="22"/>
              </w:rPr>
              <w:t>NS</w:t>
            </w:r>
          </w:p>
        </w:tc>
      </w:tr>
    </w:tbl>
    <w:p w14:paraId="7A178312" w14:textId="77777777" w:rsidR="00AD291E" w:rsidRDefault="00AA6E6F">
      <w:pPr>
        <w:spacing w:before="0" w:beforeAutospacing="0" w:after="0" w:line="240" w:lineRule="auto"/>
        <w:rPr>
          <w:rFonts w:ascii="Arial" w:hAnsi="Arial"/>
          <w:sz w:val="22"/>
          <w:szCs w:val="22"/>
        </w:rPr>
      </w:pPr>
      <w:r>
        <w:rPr>
          <w:rFonts w:ascii="Arial" w:hAnsi="Arial"/>
          <w:sz w:val="20"/>
          <w:szCs w:val="20"/>
        </w:rPr>
        <w:t>Key: S - Significant (p&lt;0.05), NS - Non-Significant (P&gt;0.05)</w:t>
      </w:r>
    </w:p>
    <w:p w14:paraId="730C4A0A" w14:textId="77777777" w:rsidR="00AD291E" w:rsidRDefault="00AD291E">
      <w:pPr>
        <w:rPr>
          <w:rFonts w:ascii="Arial" w:hAnsi="Arial"/>
          <w:sz w:val="22"/>
          <w:szCs w:val="22"/>
        </w:rPr>
      </w:pPr>
    </w:p>
    <w:p w14:paraId="5700B6B1" w14:textId="77777777" w:rsidR="00AD291E" w:rsidRDefault="00AA6E6F">
      <w:pPr>
        <w:rPr>
          <w:rFonts w:ascii="Arial" w:hAnsi="Arial"/>
          <w:b/>
          <w:bCs/>
          <w:sz w:val="22"/>
          <w:szCs w:val="22"/>
        </w:rPr>
      </w:pPr>
      <w:r>
        <w:rPr>
          <w:rFonts w:ascii="Arial" w:hAnsi="Arial"/>
          <w:b/>
          <w:bCs/>
          <w:sz w:val="22"/>
          <w:szCs w:val="22"/>
        </w:rPr>
        <w:t>Table 5: Mean ± SD of Serum Electrolyte Levels Based on Duration of Bodybuilding</w:t>
      </w:r>
    </w:p>
    <w:p w14:paraId="516D92D2" w14:textId="77777777" w:rsidR="00AD291E" w:rsidRDefault="00AD291E">
      <w:pPr>
        <w:rPr>
          <w:rFonts w:ascii="Arial" w:hAnsi="Arial"/>
          <w:sz w:val="22"/>
          <w:szCs w:val="22"/>
        </w:rPr>
      </w:pPr>
    </w:p>
    <w:tbl>
      <w:tblPr>
        <w:tblW w:w="10039" w:type="dxa"/>
        <w:tblInd w:w="-141" w:type="dxa"/>
        <w:tblLayout w:type="fixed"/>
        <w:tblCellMar>
          <w:left w:w="0" w:type="dxa"/>
          <w:right w:w="0" w:type="dxa"/>
        </w:tblCellMar>
        <w:tblLook w:val="04A0" w:firstRow="1" w:lastRow="0" w:firstColumn="1" w:lastColumn="0" w:noHBand="0" w:noVBand="1"/>
      </w:tblPr>
      <w:tblGrid>
        <w:gridCol w:w="1641"/>
        <w:gridCol w:w="2059"/>
        <w:gridCol w:w="2192"/>
        <w:gridCol w:w="2080"/>
        <w:gridCol w:w="2067"/>
      </w:tblGrid>
      <w:tr w:rsidR="00AD291E" w14:paraId="6113D638" w14:textId="77777777">
        <w:trPr>
          <w:trHeight w:val="90"/>
        </w:trPr>
        <w:tc>
          <w:tcPr>
            <w:tcW w:w="1641" w:type="dxa"/>
            <w:tcBorders>
              <w:top w:val="single" w:sz="6" w:space="0" w:color="000008"/>
              <w:bottom w:val="single" w:sz="6" w:space="0" w:color="000008"/>
            </w:tcBorders>
            <w:tcMar>
              <w:left w:w="108" w:type="dxa"/>
              <w:right w:w="108" w:type="dxa"/>
            </w:tcMar>
            <w:vAlign w:val="center"/>
          </w:tcPr>
          <w:p w14:paraId="73A6590E"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w:t>
            </w:r>
          </w:p>
        </w:tc>
        <w:tc>
          <w:tcPr>
            <w:tcW w:w="2059" w:type="dxa"/>
            <w:tcBorders>
              <w:top w:val="single" w:sz="6" w:space="0" w:color="000008"/>
              <w:bottom w:val="single" w:sz="6" w:space="0" w:color="000008"/>
            </w:tcBorders>
            <w:tcMar>
              <w:left w:w="108" w:type="dxa"/>
              <w:right w:w="108" w:type="dxa"/>
            </w:tcMar>
            <w:vAlign w:val="center"/>
          </w:tcPr>
          <w:p w14:paraId="4FB354F6"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Sodium </w:t>
            </w:r>
          </w:p>
          <w:p w14:paraId="2DCF4A58"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2192" w:type="dxa"/>
            <w:tcBorders>
              <w:top w:val="single" w:sz="6" w:space="0" w:color="000008"/>
              <w:bottom w:val="single" w:sz="6" w:space="0" w:color="000008"/>
            </w:tcBorders>
            <w:tcMar>
              <w:left w:w="108" w:type="dxa"/>
              <w:right w:w="108" w:type="dxa"/>
            </w:tcMar>
            <w:vAlign w:val="center"/>
          </w:tcPr>
          <w:p w14:paraId="0463D7CE"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Potassium</w:t>
            </w:r>
          </w:p>
          <w:p w14:paraId="055AB868"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 (mmol/L)</w:t>
            </w:r>
          </w:p>
        </w:tc>
        <w:tc>
          <w:tcPr>
            <w:tcW w:w="2080" w:type="dxa"/>
            <w:tcBorders>
              <w:top w:val="single" w:sz="6" w:space="0" w:color="000008"/>
              <w:bottom w:val="single" w:sz="6" w:space="0" w:color="000008"/>
            </w:tcBorders>
            <w:tcMar>
              <w:left w:w="108" w:type="dxa"/>
              <w:right w:w="108" w:type="dxa"/>
            </w:tcMar>
            <w:vAlign w:val="center"/>
          </w:tcPr>
          <w:p w14:paraId="04611499"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Chloride </w:t>
            </w:r>
          </w:p>
          <w:p w14:paraId="1B5FE882"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2067" w:type="dxa"/>
            <w:tcBorders>
              <w:top w:val="single" w:sz="6" w:space="0" w:color="000008"/>
              <w:bottom w:val="single" w:sz="6" w:space="0" w:color="000008"/>
            </w:tcBorders>
            <w:tcMar>
              <w:left w:w="108" w:type="dxa"/>
              <w:right w:w="108" w:type="dxa"/>
            </w:tcMar>
            <w:vAlign w:val="center"/>
          </w:tcPr>
          <w:p w14:paraId="49677C2C" w14:textId="77777777" w:rsidR="00AD291E" w:rsidRDefault="00AA6E6F">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Bicarbonate </w:t>
            </w:r>
          </w:p>
          <w:p w14:paraId="22137FA0" w14:textId="77777777" w:rsidR="00AD291E" w:rsidRDefault="00AA6E6F">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r>
      <w:tr w:rsidR="00AD291E" w14:paraId="6755D2DE" w14:textId="77777777">
        <w:trPr>
          <w:trHeight w:val="736"/>
        </w:trPr>
        <w:tc>
          <w:tcPr>
            <w:tcW w:w="1641" w:type="dxa"/>
            <w:tcBorders>
              <w:top w:val="single" w:sz="6" w:space="0" w:color="000008"/>
              <w:bottom w:val="nil"/>
            </w:tcBorders>
            <w:tcMar>
              <w:left w:w="108" w:type="dxa"/>
              <w:right w:w="108" w:type="dxa"/>
            </w:tcMar>
            <w:vAlign w:val="center"/>
          </w:tcPr>
          <w:p w14:paraId="510E0BEB" w14:textId="77777777" w:rsidR="00AD291E" w:rsidRDefault="00AA6E6F">
            <w:pPr>
              <w:pStyle w:val="NormalWeb"/>
              <w:jc w:val="center"/>
              <w:rPr>
                <w:rFonts w:ascii="Arial" w:hAnsi="Arial" w:cs="Arial"/>
                <w:sz w:val="22"/>
                <w:szCs w:val="22"/>
              </w:rPr>
            </w:pPr>
            <w:r>
              <w:rPr>
                <w:rFonts w:ascii="Arial" w:hAnsi="Arial" w:cs="Arial"/>
                <w:color w:val="000000"/>
                <w:sz w:val="22"/>
                <w:szCs w:val="22"/>
              </w:rPr>
              <w:t>≤ 2 years (24)</w:t>
            </w:r>
          </w:p>
        </w:tc>
        <w:tc>
          <w:tcPr>
            <w:tcW w:w="2059" w:type="dxa"/>
            <w:tcBorders>
              <w:top w:val="single" w:sz="6" w:space="0" w:color="000008"/>
              <w:bottom w:val="nil"/>
            </w:tcBorders>
            <w:tcMar>
              <w:left w:w="108" w:type="dxa"/>
              <w:right w:w="108" w:type="dxa"/>
            </w:tcMar>
            <w:vAlign w:val="center"/>
          </w:tcPr>
          <w:p w14:paraId="22EC0D97" w14:textId="77777777" w:rsidR="00AD291E" w:rsidRDefault="00AA6E6F">
            <w:pPr>
              <w:pStyle w:val="NormalWeb"/>
              <w:jc w:val="center"/>
              <w:rPr>
                <w:rFonts w:ascii="Arial" w:hAnsi="Arial" w:cs="Arial"/>
                <w:sz w:val="22"/>
                <w:szCs w:val="22"/>
              </w:rPr>
            </w:pPr>
            <w:r>
              <w:rPr>
                <w:rFonts w:ascii="Arial" w:hAnsi="Arial" w:cs="Arial"/>
                <w:color w:val="000000"/>
                <w:sz w:val="22"/>
                <w:szCs w:val="22"/>
              </w:rPr>
              <w:t>135.4 ± 9.49</w:t>
            </w:r>
          </w:p>
        </w:tc>
        <w:tc>
          <w:tcPr>
            <w:tcW w:w="2192" w:type="dxa"/>
            <w:tcBorders>
              <w:top w:val="single" w:sz="6" w:space="0" w:color="000008"/>
              <w:bottom w:val="nil"/>
            </w:tcBorders>
            <w:tcMar>
              <w:left w:w="108" w:type="dxa"/>
              <w:right w:w="108" w:type="dxa"/>
            </w:tcMar>
            <w:vAlign w:val="center"/>
          </w:tcPr>
          <w:p w14:paraId="54D21DD1" w14:textId="77777777" w:rsidR="00AD291E" w:rsidRDefault="00AA6E6F">
            <w:pPr>
              <w:pStyle w:val="NormalWeb"/>
              <w:jc w:val="center"/>
              <w:rPr>
                <w:rFonts w:ascii="Arial" w:hAnsi="Arial" w:cs="Arial"/>
                <w:sz w:val="22"/>
                <w:szCs w:val="22"/>
              </w:rPr>
            </w:pPr>
            <w:r>
              <w:rPr>
                <w:rFonts w:ascii="Arial" w:hAnsi="Arial" w:cs="Arial"/>
                <w:color w:val="000000"/>
                <w:sz w:val="22"/>
                <w:szCs w:val="22"/>
              </w:rPr>
              <w:t>4.143 ± 0.474</w:t>
            </w:r>
          </w:p>
        </w:tc>
        <w:tc>
          <w:tcPr>
            <w:tcW w:w="2080" w:type="dxa"/>
            <w:tcBorders>
              <w:top w:val="single" w:sz="6" w:space="0" w:color="000008"/>
              <w:bottom w:val="nil"/>
            </w:tcBorders>
            <w:tcMar>
              <w:left w:w="108" w:type="dxa"/>
              <w:right w:w="108" w:type="dxa"/>
            </w:tcMar>
            <w:vAlign w:val="center"/>
          </w:tcPr>
          <w:p w14:paraId="1BCEAB1A" w14:textId="77777777" w:rsidR="00AD291E" w:rsidRDefault="00AA6E6F">
            <w:pPr>
              <w:pStyle w:val="NormalWeb"/>
              <w:jc w:val="center"/>
              <w:rPr>
                <w:rFonts w:ascii="Arial" w:hAnsi="Arial" w:cs="Arial"/>
                <w:sz w:val="22"/>
                <w:szCs w:val="22"/>
              </w:rPr>
            </w:pPr>
            <w:r>
              <w:rPr>
                <w:rFonts w:ascii="Arial" w:hAnsi="Arial" w:cs="Arial"/>
                <w:color w:val="000000"/>
                <w:sz w:val="22"/>
                <w:szCs w:val="22"/>
              </w:rPr>
              <w:t>106.9 ± 20.90</w:t>
            </w:r>
          </w:p>
        </w:tc>
        <w:tc>
          <w:tcPr>
            <w:tcW w:w="2067" w:type="dxa"/>
            <w:tcBorders>
              <w:top w:val="single" w:sz="6" w:space="0" w:color="000008"/>
              <w:bottom w:val="nil"/>
            </w:tcBorders>
            <w:tcMar>
              <w:left w:w="108" w:type="dxa"/>
              <w:right w:w="108" w:type="dxa"/>
            </w:tcMar>
            <w:vAlign w:val="center"/>
          </w:tcPr>
          <w:p w14:paraId="6286C58E" w14:textId="77777777" w:rsidR="00AD291E" w:rsidRDefault="00AA6E6F">
            <w:pPr>
              <w:pStyle w:val="NormalWeb"/>
              <w:jc w:val="center"/>
              <w:rPr>
                <w:rFonts w:ascii="Arial" w:hAnsi="Arial" w:cs="Arial"/>
                <w:sz w:val="22"/>
                <w:szCs w:val="22"/>
              </w:rPr>
            </w:pPr>
            <w:r>
              <w:rPr>
                <w:rFonts w:ascii="Arial" w:hAnsi="Arial" w:cs="Arial"/>
                <w:color w:val="000000"/>
                <w:sz w:val="22"/>
                <w:szCs w:val="22"/>
              </w:rPr>
              <w:t>25.02 ± 3.51</w:t>
            </w:r>
          </w:p>
        </w:tc>
      </w:tr>
      <w:tr w:rsidR="00AD291E" w14:paraId="24568012" w14:textId="77777777">
        <w:trPr>
          <w:trHeight w:val="655"/>
        </w:trPr>
        <w:tc>
          <w:tcPr>
            <w:tcW w:w="1641" w:type="dxa"/>
            <w:tcBorders>
              <w:top w:val="nil"/>
              <w:bottom w:val="nil"/>
            </w:tcBorders>
            <w:tcMar>
              <w:left w:w="108" w:type="dxa"/>
              <w:right w:w="108" w:type="dxa"/>
            </w:tcMar>
            <w:vAlign w:val="center"/>
          </w:tcPr>
          <w:p w14:paraId="62877945" w14:textId="77777777" w:rsidR="00AD291E" w:rsidRDefault="00AA6E6F">
            <w:pPr>
              <w:pStyle w:val="NormalWeb"/>
              <w:jc w:val="center"/>
              <w:rPr>
                <w:rFonts w:ascii="Arial" w:hAnsi="Arial" w:cs="Arial"/>
                <w:sz w:val="22"/>
                <w:szCs w:val="22"/>
              </w:rPr>
            </w:pPr>
            <w:r>
              <w:rPr>
                <w:rFonts w:ascii="Arial" w:hAnsi="Arial" w:cs="Arial"/>
                <w:color w:val="000000"/>
                <w:sz w:val="22"/>
                <w:szCs w:val="22"/>
              </w:rPr>
              <w:t>&gt; 2 years (17)</w:t>
            </w:r>
          </w:p>
        </w:tc>
        <w:tc>
          <w:tcPr>
            <w:tcW w:w="2059" w:type="dxa"/>
            <w:tcBorders>
              <w:top w:val="nil"/>
              <w:bottom w:val="nil"/>
            </w:tcBorders>
            <w:tcMar>
              <w:left w:w="108" w:type="dxa"/>
              <w:right w:w="108" w:type="dxa"/>
            </w:tcMar>
            <w:vAlign w:val="center"/>
          </w:tcPr>
          <w:p w14:paraId="0244381E" w14:textId="77777777" w:rsidR="00AD291E" w:rsidRDefault="00AA6E6F">
            <w:pPr>
              <w:pStyle w:val="NormalWeb"/>
              <w:jc w:val="center"/>
              <w:rPr>
                <w:rFonts w:ascii="Arial" w:hAnsi="Arial" w:cs="Arial"/>
                <w:sz w:val="22"/>
                <w:szCs w:val="22"/>
              </w:rPr>
            </w:pPr>
            <w:r>
              <w:rPr>
                <w:rFonts w:ascii="Arial" w:hAnsi="Arial" w:cs="Arial"/>
                <w:color w:val="000000"/>
                <w:sz w:val="22"/>
                <w:szCs w:val="22"/>
              </w:rPr>
              <w:t>140.1 ± 6.68</w:t>
            </w:r>
          </w:p>
        </w:tc>
        <w:tc>
          <w:tcPr>
            <w:tcW w:w="2192" w:type="dxa"/>
            <w:tcBorders>
              <w:top w:val="nil"/>
              <w:bottom w:val="nil"/>
            </w:tcBorders>
            <w:tcMar>
              <w:left w:w="108" w:type="dxa"/>
              <w:right w:w="108" w:type="dxa"/>
            </w:tcMar>
            <w:vAlign w:val="center"/>
          </w:tcPr>
          <w:p w14:paraId="0E298788" w14:textId="77777777" w:rsidR="00AD291E" w:rsidRDefault="00AA6E6F">
            <w:pPr>
              <w:pStyle w:val="NormalWeb"/>
              <w:jc w:val="center"/>
              <w:rPr>
                <w:rFonts w:ascii="Arial" w:hAnsi="Arial" w:cs="Arial"/>
                <w:sz w:val="22"/>
                <w:szCs w:val="22"/>
              </w:rPr>
            </w:pPr>
            <w:r>
              <w:rPr>
                <w:rFonts w:ascii="Arial" w:hAnsi="Arial" w:cs="Arial"/>
                <w:color w:val="000000"/>
                <w:sz w:val="22"/>
                <w:szCs w:val="22"/>
              </w:rPr>
              <w:t>4.290 ± 0.711</w:t>
            </w:r>
          </w:p>
        </w:tc>
        <w:tc>
          <w:tcPr>
            <w:tcW w:w="2080" w:type="dxa"/>
            <w:tcBorders>
              <w:top w:val="nil"/>
              <w:bottom w:val="nil"/>
            </w:tcBorders>
            <w:tcMar>
              <w:left w:w="108" w:type="dxa"/>
              <w:right w:w="108" w:type="dxa"/>
            </w:tcMar>
            <w:vAlign w:val="center"/>
          </w:tcPr>
          <w:p w14:paraId="6A411B76" w14:textId="77777777" w:rsidR="00AD291E" w:rsidRDefault="00AA6E6F">
            <w:pPr>
              <w:pStyle w:val="NormalWeb"/>
              <w:jc w:val="center"/>
              <w:rPr>
                <w:rFonts w:ascii="Arial" w:hAnsi="Arial" w:cs="Arial"/>
                <w:sz w:val="22"/>
                <w:szCs w:val="22"/>
              </w:rPr>
            </w:pPr>
            <w:r>
              <w:rPr>
                <w:rFonts w:ascii="Arial" w:hAnsi="Arial" w:cs="Arial"/>
                <w:color w:val="000000"/>
                <w:sz w:val="22"/>
                <w:szCs w:val="22"/>
              </w:rPr>
              <w:t>104.8 ± 16.27</w:t>
            </w:r>
          </w:p>
        </w:tc>
        <w:tc>
          <w:tcPr>
            <w:tcW w:w="2067" w:type="dxa"/>
            <w:tcBorders>
              <w:top w:val="nil"/>
              <w:bottom w:val="nil"/>
            </w:tcBorders>
            <w:tcMar>
              <w:left w:w="108" w:type="dxa"/>
              <w:right w:w="108" w:type="dxa"/>
            </w:tcMar>
            <w:vAlign w:val="center"/>
          </w:tcPr>
          <w:p w14:paraId="5EC77168" w14:textId="77777777" w:rsidR="00AD291E" w:rsidRDefault="00AA6E6F">
            <w:pPr>
              <w:pStyle w:val="NormalWeb"/>
              <w:jc w:val="center"/>
              <w:rPr>
                <w:rFonts w:ascii="Arial" w:hAnsi="Arial" w:cs="Arial"/>
                <w:sz w:val="22"/>
                <w:szCs w:val="22"/>
              </w:rPr>
            </w:pPr>
            <w:r>
              <w:rPr>
                <w:rFonts w:ascii="Arial" w:hAnsi="Arial" w:cs="Arial"/>
                <w:color w:val="000000"/>
                <w:sz w:val="22"/>
                <w:szCs w:val="22"/>
              </w:rPr>
              <w:t>24.52 ± 3.92</w:t>
            </w:r>
          </w:p>
        </w:tc>
      </w:tr>
      <w:tr w:rsidR="00AD291E" w14:paraId="0DDBEAE2" w14:textId="77777777">
        <w:trPr>
          <w:trHeight w:val="543"/>
        </w:trPr>
        <w:tc>
          <w:tcPr>
            <w:tcW w:w="1641" w:type="dxa"/>
            <w:tcBorders>
              <w:top w:val="nil"/>
              <w:bottom w:val="nil"/>
            </w:tcBorders>
            <w:tcMar>
              <w:left w:w="108" w:type="dxa"/>
              <w:right w:w="108" w:type="dxa"/>
            </w:tcMar>
            <w:vAlign w:val="center"/>
          </w:tcPr>
          <w:p w14:paraId="257BEB7D" w14:textId="77777777" w:rsidR="00AD291E" w:rsidRDefault="00AA6E6F">
            <w:pPr>
              <w:pStyle w:val="NormalWeb"/>
              <w:jc w:val="center"/>
              <w:rPr>
                <w:rFonts w:ascii="Arial" w:hAnsi="Arial" w:cs="Arial"/>
                <w:sz w:val="22"/>
                <w:szCs w:val="22"/>
              </w:rPr>
            </w:pPr>
            <w:r>
              <w:rPr>
                <w:rFonts w:ascii="Arial" w:hAnsi="Arial" w:cs="Arial"/>
                <w:color w:val="000000"/>
                <w:sz w:val="22"/>
                <w:szCs w:val="22"/>
              </w:rPr>
              <w:lastRenderedPageBreak/>
              <w:t>t-value</w:t>
            </w:r>
          </w:p>
        </w:tc>
        <w:tc>
          <w:tcPr>
            <w:tcW w:w="2059" w:type="dxa"/>
            <w:tcBorders>
              <w:top w:val="nil"/>
              <w:bottom w:val="nil"/>
            </w:tcBorders>
            <w:tcMar>
              <w:left w:w="108" w:type="dxa"/>
              <w:right w:w="108" w:type="dxa"/>
            </w:tcMar>
            <w:vAlign w:val="center"/>
          </w:tcPr>
          <w:p w14:paraId="1E05CFB0" w14:textId="77777777" w:rsidR="00AD291E" w:rsidRDefault="00AA6E6F">
            <w:pPr>
              <w:pStyle w:val="NormalWeb"/>
              <w:jc w:val="center"/>
              <w:rPr>
                <w:rFonts w:ascii="Arial" w:hAnsi="Arial" w:cs="Arial"/>
                <w:sz w:val="22"/>
                <w:szCs w:val="22"/>
              </w:rPr>
            </w:pPr>
            <w:r>
              <w:rPr>
                <w:rFonts w:ascii="Arial" w:hAnsi="Arial" w:cs="Arial"/>
                <w:color w:val="000000"/>
                <w:sz w:val="22"/>
                <w:szCs w:val="22"/>
              </w:rPr>
              <w:t>1.328</w:t>
            </w:r>
          </w:p>
        </w:tc>
        <w:tc>
          <w:tcPr>
            <w:tcW w:w="2192" w:type="dxa"/>
            <w:tcBorders>
              <w:top w:val="nil"/>
              <w:bottom w:val="nil"/>
            </w:tcBorders>
            <w:tcMar>
              <w:left w:w="108" w:type="dxa"/>
              <w:right w:w="108" w:type="dxa"/>
            </w:tcMar>
            <w:vAlign w:val="center"/>
          </w:tcPr>
          <w:p w14:paraId="5FFD4C08" w14:textId="77777777" w:rsidR="00AD291E" w:rsidRDefault="00AA6E6F">
            <w:pPr>
              <w:pStyle w:val="NormalWeb"/>
              <w:jc w:val="center"/>
              <w:rPr>
                <w:rFonts w:ascii="Arial" w:hAnsi="Arial" w:cs="Arial"/>
                <w:sz w:val="22"/>
                <w:szCs w:val="22"/>
              </w:rPr>
            </w:pPr>
            <w:r>
              <w:rPr>
                <w:rFonts w:ascii="Arial" w:hAnsi="Arial" w:cs="Arial"/>
                <w:color w:val="000000"/>
                <w:sz w:val="22"/>
                <w:szCs w:val="22"/>
              </w:rPr>
              <w:t>0.537</w:t>
            </w:r>
          </w:p>
        </w:tc>
        <w:tc>
          <w:tcPr>
            <w:tcW w:w="2080" w:type="dxa"/>
            <w:tcBorders>
              <w:top w:val="nil"/>
              <w:bottom w:val="nil"/>
            </w:tcBorders>
            <w:tcMar>
              <w:left w:w="108" w:type="dxa"/>
              <w:right w:w="108" w:type="dxa"/>
            </w:tcMar>
            <w:vAlign w:val="center"/>
          </w:tcPr>
          <w:p w14:paraId="135AB87C" w14:textId="77777777" w:rsidR="00AD291E" w:rsidRDefault="00AA6E6F">
            <w:pPr>
              <w:pStyle w:val="NormalWeb"/>
              <w:jc w:val="center"/>
              <w:rPr>
                <w:rFonts w:ascii="Arial" w:hAnsi="Arial" w:cs="Arial"/>
                <w:sz w:val="22"/>
                <w:szCs w:val="22"/>
              </w:rPr>
            </w:pPr>
            <w:r>
              <w:rPr>
                <w:rFonts w:ascii="Arial" w:hAnsi="Arial" w:cs="Arial"/>
                <w:color w:val="000000"/>
                <w:sz w:val="22"/>
                <w:szCs w:val="22"/>
              </w:rPr>
              <w:t>0.262</w:t>
            </w:r>
          </w:p>
        </w:tc>
        <w:tc>
          <w:tcPr>
            <w:tcW w:w="2067" w:type="dxa"/>
            <w:tcBorders>
              <w:top w:val="nil"/>
              <w:bottom w:val="nil"/>
            </w:tcBorders>
            <w:tcMar>
              <w:left w:w="108" w:type="dxa"/>
              <w:right w:w="108" w:type="dxa"/>
            </w:tcMar>
            <w:vAlign w:val="center"/>
          </w:tcPr>
          <w:p w14:paraId="1A641DE7" w14:textId="77777777" w:rsidR="00AD291E" w:rsidRDefault="00AA6E6F">
            <w:pPr>
              <w:pStyle w:val="NormalWeb"/>
              <w:jc w:val="center"/>
              <w:rPr>
                <w:rFonts w:ascii="Arial" w:hAnsi="Arial" w:cs="Arial"/>
                <w:sz w:val="22"/>
                <w:szCs w:val="22"/>
              </w:rPr>
            </w:pPr>
            <w:r>
              <w:rPr>
                <w:rFonts w:ascii="Arial" w:hAnsi="Arial" w:cs="Arial"/>
                <w:color w:val="000000"/>
                <w:sz w:val="22"/>
                <w:szCs w:val="22"/>
              </w:rPr>
              <w:t>0.301</w:t>
            </w:r>
          </w:p>
        </w:tc>
      </w:tr>
      <w:tr w:rsidR="00AD291E" w14:paraId="600E6DF5" w14:textId="77777777">
        <w:trPr>
          <w:trHeight w:val="543"/>
        </w:trPr>
        <w:tc>
          <w:tcPr>
            <w:tcW w:w="1641" w:type="dxa"/>
            <w:tcBorders>
              <w:top w:val="nil"/>
              <w:bottom w:val="nil"/>
            </w:tcBorders>
            <w:tcMar>
              <w:left w:w="108" w:type="dxa"/>
              <w:right w:w="108" w:type="dxa"/>
            </w:tcMar>
            <w:vAlign w:val="center"/>
          </w:tcPr>
          <w:p w14:paraId="48CE89E9" w14:textId="77777777" w:rsidR="00AD291E" w:rsidRDefault="00AA6E6F">
            <w:pPr>
              <w:pStyle w:val="NormalWeb"/>
              <w:jc w:val="center"/>
              <w:rPr>
                <w:rFonts w:ascii="Arial" w:hAnsi="Arial" w:cs="Arial"/>
                <w:sz w:val="22"/>
                <w:szCs w:val="22"/>
              </w:rPr>
            </w:pPr>
            <w:r>
              <w:rPr>
                <w:rFonts w:ascii="Arial" w:hAnsi="Arial" w:cs="Arial"/>
                <w:color w:val="000000"/>
                <w:sz w:val="22"/>
                <w:szCs w:val="22"/>
              </w:rPr>
              <w:t>p-value</w:t>
            </w:r>
          </w:p>
        </w:tc>
        <w:tc>
          <w:tcPr>
            <w:tcW w:w="2059" w:type="dxa"/>
            <w:tcBorders>
              <w:top w:val="nil"/>
              <w:bottom w:val="nil"/>
            </w:tcBorders>
            <w:tcMar>
              <w:left w:w="108" w:type="dxa"/>
              <w:right w:w="108" w:type="dxa"/>
            </w:tcMar>
            <w:vAlign w:val="center"/>
          </w:tcPr>
          <w:p w14:paraId="368D971F" w14:textId="77777777" w:rsidR="00AD291E" w:rsidRDefault="00AA6E6F">
            <w:pPr>
              <w:pStyle w:val="NormalWeb"/>
              <w:jc w:val="center"/>
              <w:rPr>
                <w:rFonts w:ascii="Arial" w:hAnsi="Arial" w:cs="Arial"/>
                <w:sz w:val="22"/>
                <w:szCs w:val="22"/>
              </w:rPr>
            </w:pPr>
            <w:r>
              <w:rPr>
                <w:rFonts w:ascii="Arial" w:hAnsi="Arial" w:cs="Arial"/>
                <w:color w:val="000000"/>
                <w:sz w:val="22"/>
                <w:szCs w:val="22"/>
              </w:rPr>
              <w:t>0.200</w:t>
            </w:r>
          </w:p>
        </w:tc>
        <w:tc>
          <w:tcPr>
            <w:tcW w:w="2192" w:type="dxa"/>
            <w:tcBorders>
              <w:top w:val="nil"/>
              <w:bottom w:val="nil"/>
            </w:tcBorders>
            <w:tcMar>
              <w:left w:w="108" w:type="dxa"/>
              <w:right w:w="108" w:type="dxa"/>
            </w:tcMar>
            <w:vAlign w:val="center"/>
          </w:tcPr>
          <w:p w14:paraId="70EB542E" w14:textId="77777777" w:rsidR="00AD291E" w:rsidRDefault="00AA6E6F">
            <w:pPr>
              <w:pStyle w:val="NormalWeb"/>
              <w:jc w:val="center"/>
              <w:rPr>
                <w:rFonts w:ascii="Arial" w:hAnsi="Arial" w:cs="Arial"/>
                <w:sz w:val="22"/>
                <w:szCs w:val="22"/>
              </w:rPr>
            </w:pPr>
            <w:r>
              <w:rPr>
                <w:rFonts w:ascii="Arial" w:hAnsi="Arial" w:cs="Arial"/>
                <w:color w:val="000000"/>
                <w:sz w:val="22"/>
                <w:szCs w:val="22"/>
              </w:rPr>
              <w:t>0.600</w:t>
            </w:r>
          </w:p>
        </w:tc>
        <w:tc>
          <w:tcPr>
            <w:tcW w:w="2080" w:type="dxa"/>
            <w:tcBorders>
              <w:top w:val="nil"/>
              <w:bottom w:val="nil"/>
            </w:tcBorders>
            <w:tcMar>
              <w:left w:w="108" w:type="dxa"/>
              <w:right w:w="108" w:type="dxa"/>
            </w:tcMar>
          </w:tcPr>
          <w:p w14:paraId="0F095356" w14:textId="77777777" w:rsidR="00AD291E" w:rsidRDefault="00AA6E6F">
            <w:pPr>
              <w:pStyle w:val="NormalWeb"/>
              <w:jc w:val="center"/>
              <w:rPr>
                <w:rFonts w:ascii="Arial" w:hAnsi="Arial" w:cs="Arial"/>
                <w:sz w:val="22"/>
                <w:szCs w:val="22"/>
              </w:rPr>
            </w:pPr>
            <w:r>
              <w:rPr>
                <w:rFonts w:ascii="Arial" w:hAnsi="Arial" w:cs="Arial"/>
                <w:color w:val="000000"/>
                <w:sz w:val="22"/>
                <w:szCs w:val="22"/>
              </w:rPr>
              <w:t>0.797</w:t>
            </w:r>
          </w:p>
        </w:tc>
        <w:tc>
          <w:tcPr>
            <w:tcW w:w="2067" w:type="dxa"/>
            <w:tcBorders>
              <w:top w:val="nil"/>
              <w:bottom w:val="nil"/>
            </w:tcBorders>
            <w:tcMar>
              <w:left w:w="108" w:type="dxa"/>
              <w:right w:w="108" w:type="dxa"/>
            </w:tcMar>
            <w:vAlign w:val="center"/>
          </w:tcPr>
          <w:p w14:paraId="73CECFFF" w14:textId="77777777" w:rsidR="00AD291E" w:rsidRDefault="00AA6E6F">
            <w:pPr>
              <w:pStyle w:val="NormalWeb"/>
              <w:jc w:val="center"/>
              <w:rPr>
                <w:rFonts w:ascii="Arial" w:hAnsi="Arial" w:cs="Arial"/>
                <w:sz w:val="22"/>
                <w:szCs w:val="22"/>
              </w:rPr>
            </w:pPr>
            <w:r>
              <w:rPr>
                <w:rFonts w:ascii="Arial" w:hAnsi="Arial" w:cs="Arial"/>
                <w:color w:val="000000"/>
                <w:sz w:val="22"/>
                <w:szCs w:val="22"/>
              </w:rPr>
              <w:t>0.767</w:t>
            </w:r>
          </w:p>
        </w:tc>
      </w:tr>
      <w:tr w:rsidR="00AD291E" w14:paraId="162EDC8D" w14:textId="77777777">
        <w:trPr>
          <w:trHeight w:val="581"/>
        </w:trPr>
        <w:tc>
          <w:tcPr>
            <w:tcW w:w="1641" w:type="dxa"/>
            <w:tcBorders>
              <w:top w:val="nil"/>
              <w:bottom w:val="single" w:sz="6" w:space="0" w:color="000008"/>
            </w:tcBorders>
            <w:tcMar>
              <w:left w:w="108" w:type="dxa"/>
              <w:right w:w="108" w:type="dxa"/>
            </w:tcMar>
            <w:vAlign w:val="center"/>
          </w:tcPr>
          <w:p w14:paraId="249D47D1" w14:textId="77777777" w:rsidR="00AD291E" w:rsidRDefault="00AA6E6F">
            <w:pPr>
              <w:pStyle w:val="NormalWeb"/>
              <w:jc w:val="center"/>
              <w:rPr>
                <w:rFonts w:ascii="Arial" w:hAnsi="Arial" w:cs="Arial"/>
                <w:sz w:val="22"/>
                <w:szCs w:val="22"/>
              </w:rPr>
            </w:pPr>
            <w:r>
              <w:rPr>
                <w:rFonts w:ascii="Arial" w:hAnsi="Arial" w:cs="Arial"/>
                <w:color w:val="000000"/>
                <w:sz w:val="22"/>
                <w:szCs w:val="22"/>
              </w:rPr>
              <w:t>Remark</w:t>
            </w:r>
          </w:p>
        </w:tc>
        <w:tc>
          <w:tcPr>
            <w:tcW w:w="2059" w:type="dxa"/>
            <w:tcBorders>
              <w:top w:val="nil"/>
              <w:bottom w:val="single" w:sz="6" w:space="0" w:color="000008"/>
            </w:tcBorders>
            <w:tcMar>
              <w:left w:w="108" w:type="dxa"/>
              <w:right w:w="108" w:type="dxa"/>
            </w:tcMar>
            <w:vAlign w:val="center"/>
          </w:tcPr>
          <w:p w14:paraId="40D8E169"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c>
          <w:tcPr>
            <w:tcW w:w="2192" w:type="dxa"/>
            <w:tcBorders>
              <w:top w:val="nil"/>
              <w:bottom w:val="single" w:sz="6" w:space="0" w:color="000008"/>
            </w:tcBorders>
            <w:tcMar>
              <w:left w:w="108" w:type="dxa"/>
              <w:right w:w="108" w:type="dxa"/>
            </w:tcMar>
          </w:tcPr>
          <w:p w14:paraId="5B4C53BB"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c>
          <w:tcPr>
            <w:tcW w:w="2080" w:type="dxa"/>
            <w:tcBorders>
              <w:top w:val="nil"/>
              <w:bottom w:val="single" w:sz="6" w:space="0" w:color="000008"/>
            </w:tcBorders>
            <w:tcMar>
              <w:left w:w="108" w:type="dxa"/>
              <w:right w:w="108" w:type="dxa"/>
            </w:tcMar>
          </w:tcPr>
          <w:p w14:paraId="1A351DEE"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c>
          <w:tcPr>
            <w:tcW w:w="2067" w:type="dxa"/>
            <w:tcBorders>
              <w:top w:val="nil"/>
              <w:bottom w:val="single" w:sz="6" w:space="0" w:color="000008"/>
            </w:tcBorders>
            <w:tcMar>
              <w:left w:w="108" w:type="dxa"/>
              <w:right w:w="108" w:type="dxa"/>
            </w:tcMar>
          </w:tcPr>
          <w:p w14:paraId="02C9E3A5"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r>
    </w:tbl>
    <w:p w14:paraId="1ECFDC20" w14:textId="77777777" w:rsidR="00AD291E" w:rsidRDefault="00AA6E6F">
      <w:pPr>
        <w:spacing w:before="0" w:beforeAutospacing="0" w:after="0" w:line="240" w:lineRule="auto"/>
        <w:rPr>
          <w:rFonts w:ascii="Arial" w:hAnsi="Arial"/>
          <w:sz w:val="22"/>
          <w:szCs w:val="22"/>
        </w:rPr>
      </w:pPr>
      <w:r>
        <w:rPr>
          <w:rFonts w:ascii="Arial" w:hAnsi="Arial"/>
          <w:sz w:val="20"/>
          <w:szCs w:val="20"/>
        </w:rPr>
        <w:t>Key: NS - Non-Significant (P&gt;0.05)</w:t>
      </w:r>
    </w:p>
    <w:p w14:paraId="273C8C5F" w14:textId="77777777" w:rsidR="00AD291E" w:rsidRDefault="00AD291E">
      <w:pPr>
        <w:rPr>
          <w:rFonts w:ascii="Arial" w:hAnsi="Arial"/>
          <w:sz w:val="22"/>
          <w:szCs w:val="22"/>
        </w:rPr>
      </w:pPr>
    </w:p>
    <w:p w14:paraId="58E1DCB2" w14:textId="77777777" w:rsidR="00AD291E" w:rsidRDefault="00AD291E">
      <w:pPr>
        <w:rPr>
          <w:rFonts w:ascii="Arial" w:hAnsi="Arial"/>
          <w:sz w:val="22"/>
          <w:szCs w:val="22"/>
        </w:rPr>
      </w:pPr>
    </w:p>
    <w:p w14:paraId="6BDC7DBD" w14:textId="77777777" w:rsidR="00AD291E" w:rsidRDefault="00AD291E">
      <w:pPr>
        <w:rPr>
          <w:rFonts w:ascii="Arial" w:hAnsi="Arial"/>
          <w:sz w:val="22"/>
          <w:szCs w:val="22"/>
        </w:rPr>
      </w:pPr>
    </w:p>
    <w:p w14:paraId="04D0BD24" w14:textId="77777777" w:rsidR="00AD291E" w:rsidRDefault="00AA6E6F">
      <w:pPr>
        <w:rPr>
          <w:rFonts w:ascii="Arial" w:hAnsi="Arial"/>
          <w:b/>
          <w:bCs/>
          <w:sz w:val="22"/>
          <w:szCs w:val="22"/>
        </w:rPr>
      </w:pPr>
      <w:r>
        <w:rPr>
          <w:rFonts w:ascii="Arial" w:hAnsi="Arial"/>
          <w:b/>
          <w:bCs/>
          <w:sz w:val="22"/>
          <w:szCs w:val="22"/>
        </w:rPr>
        <w:t>Table 6: Mean ± SD of Serum Anion Gap Levels Based on Duration of Bodybuilding</w:t>
      </w:r>
    </w:p>
    <w:tbl>
      <w:tblPr>
        <w:tblW w:w="8879" w:type="dxa"/>
        <w:tblCellMar>
          <w:left w:w="0" w:type="dxa"/>
          <w:right w:w="0" w:type="dxa"/>
        </w:tblCellMar>
        <w:tblLook w:val="04A0" w:firstRow="1" w:lastRow="0" w:firstColumn="1" w:lastColumn="0" w:noHBand="0" w:noVBand="1"/>
      </w:tblPr>
      <w:tblGrid>
        <w:gridCol w:w="3939"/>
        <w:gridCol w:w="4940"/>
      </w:tblGrid>
      <w:tr w:rsidR="00AD291E" w14:paraId="6C3DE25C" w14:textId="77777777">
        <w:trPr>
          <w:trHeight w:val="564"/>
        </w:trPr>
        <w:tc>
          <w:tcPr>
            <w:tcW w:w="3939" w:type="dxa"/>
            <w:tcBorders>
              <w:top w:val="single" w:sz="6" w:space="0" w:color="000008"/>
              <w:bottom w:val="single" w:sz="6" w:space="0" w:color="000008"/>
            </w:tcBorders>
            <w:tcMar>
              <w:left w:w="108" w:type="dxa"/>
              <w:right w:w="108" w:type="dxa"/>
            </w:tcMar>
            <w:vAlign w:val="center"/>
          </w:tcPr>
          <w:p w14:paraId="56F4BCC2"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w:t>
            </w:r>
          </w:p>
        </w:tc>
        <w:tc>
          <w:tcPr>
            <w:tcW w:w="4940" w:type="dxa"/>
            <w:tcBorders>
              <w:top w:val="single" w:sz="6" w:space="0" w:color="000008"/>
              <w:bottom w:val="single" w:sz="6" w:space="0" w:color="000008"/>
            </w:tcBorders>
            <w:tcMar>
              <w:left w:w="108" w:type="dxa"/>
              <w:right w:w="108" w:type="dxa"/>
            </w:tcMar>
            <w:vAlign w:val="center"/>
          </w:tcPr>
          <w:p w14:paraId="05FA3E8A" w14:textId="77777777" w:rsidR="00AD291E" w:rsidRDefault="00AA6E6F">
            <w:pPr>
              <w:pStyle w:val="NormalWeb"/>
              <w:jc w:val="center"/>
              <w:rPr>
                <w:rFonts w:ascii="Arial" w:hAnsi="Arial" w:cs="Arial"/>
                <w:sz w:val="22"/>
                <w:szCs w:val="22"/>
              </w:rPr>
            </w:pPr>
            <w:r>
              <w:rPr>
                <w:rFonts w:ascii="Arial" w:hAnsi="Arial" w:cs="Arial"/>
                <w:color w:val="000000"/>
                <w:sz w:val="22"/>
                <w:szCs w:val="22"/>
              </w:rPr>
              <w:t>Anion gap (mmol/L)</w:t>
            </w:r>
          </w:p>
        </w:tc>
      </w:tr>
      <w:tr w:rsidR="00AD291E" w14:paraId="1F0AB375" w14:textId="77777777">
        <w:trPr>
          <w:trHeight w:val="564"/>
        </w:trPr>
        <w:tc>
          <w:tcPr>
            <w:tcW w:w="3939" w:type="dxa"/>
            <w:tcBorders>
              <w:top w:val="single" w:sz="6" w:space="0" w:color="000008"/>
              <w:bottom w:val="nil"/>
            </w:tcBorders>
            <w:tcMar>
              <w:left w:w="108" w:type="dxa"/>
              <w:right w:w="108" w:type="dxa"/>
            </w:tcMar>
            <w:vAlign w:val="center"/>
          </w:tcPr>
          <w:p w14:paraId="1D21E666" w14:textId="77777777" w:rsidR="00AD291E" w:rsidRDefault="00AA6E6F">
            <w:pPr>
              <w:pStyle w:val="NormalWeb"/>
              <w:jc w:val="center"/>
              <w:rPr>
                <w:rFonts w:ascii="Arial" w:hAnsi="Arial" w:cs="Arial"/>
                <w:sz w:val="22"/>
                <w:szCs w:val="22"/>
              </w:rPr>
            </w:pPr>
            <w:r>
              <w:rPr>
                <w:rFonts w:ascii="Arial" w:hAnsi="Arial" w:cs="Arial"/>
                <w:color w:val="000000"/>
                <w:sz w:val="22"/>
                <w:szCs w:val="22"/>
              </w:rPr>
              <w:t>≤ 2 years (24)</w:t>
            </w:r>
          </w:p>
        </w:tc>
        <w:tc>
          <w:tcPr>
            <w:tcW w:w="4940" w:type="dxa"/>
            <w:tcBorders>
              <w:top w:val="single" w:sz="6" w:space="0" w:color="000008"/>
              <w:bottom w:val="nil"/>
            </w:tcBorders>
            <w:tcMar>
              <w:left w:w="108" w:type="dxa"/>
              <w:right w:w="108" w:type="dxa"/>
            </w:tcMar>
            <w:vAlign w:val="center"/>
          </w:tcPr>
          <w:p w14:paraId="38909E03" w14:textId="77777777" w:rsidR="00AD291E" w:rsidRDefault="00AA6E6F">
            <w:pPr>
              <w:pStyle w:val="NormalWeb"/>
              <w:jc w:val="center"/>
              <w:rPr>
                <w:rFonts w:ascii="Arial" w:hAnsi="Arial" w:cs="Arial"/>
                <w:sz w:val="22"/>
                <w:szCs w:val="22"/>
              </w:rPr>
            </w:pPr>
            <w:r>
              <w:rPr>
                <w:rFonts w:ascii="Arial" w:hAnsi="Arial" w:cs="Arial"/>
                <w:color w:val="000000"/>
                <w:sz w:val="22"/>
                <w:szCs w:val="22"/>
              </w:rPr>
              <w:t>7.607 ± 23.36</w:t>
            </w:r>
          </w:p>
        </w:tc>
      </w:tr>
      <w:tr w:rsidR="00AD291E" w14:paraId="066CDBAC" w14:textId="77777777">
        <w:trPr>
          <w:trHeight w:val="564"/>
        </w:trPr>
        <w:tc>
          <w:tcPr>
            <w:tcW w:w="3939" w:type="dxa"/>
            <w:tcBorders>
              <w:top w:val="nil"/>
              <w:bottom w:val="nil"/>
            </w:tcBorders>
            <w:tcMar>
              <w:left w:w="108" w:type="dxa"/>
              <w:right w:w="108" w:type="dxa"/>
            </w:tcMar>
            <w:vAlign w:val="center"/>
          </w:tcPr>
          <w:p w14:paraId="78934539" w14:textId="77777777" w:rsidR="00AD291E" w:rsidRDefault="00AA6E6F">
            <w:pPr>
              <w:pStyle w:val="NormalWeb"/>
              <w:jc w:val="center"/>
              <w:rPr>
                <w:rFonts w:ascii="Arial" w:hAnsi="Arial" w:cs="Arial"/>
                <w:sz w:val="22"/>
                <w:szCs w:val="22"/>
              </w:rPr>
            </w:pPr>
            <w:r>
              <w:rPr>
                <w:rFonts w:ascii="Arial" w:hAnsi="Arial" w:cs="Arial"/>
                <w:color w:val="000000"/>
                <w:sz w:val="22"/>
                <w:szCs w:val="22"/>
              </w:rPr>
              <w:t>&gt; 2 years (17)</w:t>
            </w:r>
          </w:p>
        </w:tc>
        <w:tc>
          <w:tcPr>
            <w:tcW w:w="4940" w:type="dxa"/>
            <w:tcBorders>
              <w:top w:val="nil"/>
              <w:bottom w:val="nil"/>
            </w:tcBorders>
            <w:tcMar>
              <w:left w:w="108" w:type="dxa"/>
              <w:right w:w="108" w:type="dxa"/>
            </w:tcMar>
            <w:vAlign w:val="center"/>
          </w:tcPr>
          <w:p w14:paraId="44D3A4FA" w14:textId="77777777" w:rsidR="00AD291E" w:rsidRDefault="00AA6E6F">
            <w:pPr>
              <w:pStyle w:val="NormalWeb"/>
              <w:jc w:val="center"/>
              <w:rPr>
                <w:rFonts w:ascii="Arial" w:hAnsi="Arial" w:cs="Arial"/>
                <w:sz w:val="22"/>
                <w:szCs w:val="22"/>
              </w:rPr>
            </w:pPr>
            <w:r>
              <w:rPr>
                <w:rFonts w:ascii="Arial" w:hAnsi="Arial" w:cs="Arial"/>
                <w:color w:val="000000"/>
                <w:sz w:val="22"/>
                <w:szCs w:val="22"/>
              </w:rPr>
              <w:t>15.06 ± 22.05</w:t>
            </w:r>
          </w:p>
        </w:tc>
      </w:tr>
      <w:tr w:rsidR="00AD291E" w14:paraId="60772291" w14:textId="77777777">
        <w:trPr>
          <w:trHeight w:val="564"/>
        </w:trPr>
        <w:tc>
          <w:tcPr>
            <w:tcW w:w="3939" w:type="dxa"/>
            <w:tcBorders>
              <w:top w:val="nil"/>
              <w:bottom w:val="nil"/>
            </w:tcBorders>
            <w:tcMar>
              <w:left w:w="108" w:type="dxa"/>
              <w:right w:w="108" w:type="dxa"/>
            </w:tcMar>
            <w:vAlign w:val="center"/>
          </w:tcPr>
          <w:p w14:paraId="19340897" w14:textId="77777777" w:rsidR="00AD291E" w:rsidRDefault="00AA6E6F">
            <w:pPr>
              <w:pStyle w:val="NormalWeb"/>
              <w:jc w:val="center"/>
              <w:rPr>
                <w:rFonts w:ascii="Arial" w:hAnsi="Arial" w:cs="Arial"/>
                <w:sz w:val="22"/>
                <w:szCs w:val="22"/>
              </w:rPr>
            </w:pPr>
            <w:r>
              <w:rPr>
                <w:rFonts w:ascii="Arial" w:hAnsi="Arial" w:cs="Arial"/>
                <w:color w:val="000000"/>
                <w:sz w:val="22"/>
                <w:szCs w:val="22"/>
              </w:rPr>
              <w:t>t-value</w:t>
            </w:r>
          </w:p>
        </w:tc>
        <w:tc>
          <w:tcPr>
            <w:tcW w:w="4940" w:type="dxa"/>
            <w:tcBorders>
              <w:top w:val="nil"/>
              <w:bottom w:val="nil"/>
            </w:tcBorders>
            <w:tcMar>
              <w:left w:w="108" w:type="dxa"/>
              <w:right w:w="108" w:type="dxa"/>
            </w:tcMar>
            <w:vAlign w:val="center"/>
          </w:tcPr>
          <w:p w14:paraId="7C3A37AF" w14:textId="77777777" w:rsidR="00AD291E" w:rsidRDefault="00AA6E6F">
            <w:pPr>
              <w:pStyle w:val="NormalWeb"/>
              <w:jc w:val="center"/>
              <w:rPr>
                <w:rFonts w:ascii="Arial" w:hAnsi="Arial" w:cs="Arial"/>
                <w:sz w:val="22"/>
                <w:szCs w:val="22"/>
              </w:rPr>
            </w:pPr>
            <w:r>
              <w:rPr>
                <w:rFonts w:ascii="Arial" w:hAnsi="Arial" w:cs="Arial"/>
                <w:color w:val="000000"/>
                <w:sz w:val="22"/>
                <w:szCs w:val="22"/>
              </w:rPr>
              <w:t>0.7474</w:t>
            </w:r>
          </w:p>
        </w:tc>
      </w:tr>
      <w:tr w:rsidR="00AD291E" w14:paraId="0C519A38" w14:textId="77777777">
        <w:trPr>
          <w:trHeight w:val="564"/>
        </w:trPr>
        <w:tc>
          <w:tcPr>
            <w:tcW w:w="3939" w:type="dxa"/>
            <w:tcBorders>
              <w:top w:val="nil"/>
              <w:bottom w:val="nil"/>
            </w:tcBorders>
            <w:tcMar>
              <w:left w:w="108" w:type="dxa"/>
              <w:right w:w="108" w:type="dxa"/>
            </w:tcMar>
            <w:vAlign w:val="center"/>
          </w:tcPr>
          <w:p w14:paraId="55760764" w14:textId="77777777" w:rsidR="00AD291E" w:rsidRDefault="00AA6E6F">
            <w:pPr>
              <w:pStyle w:val="NormalWeb"/>
              <w:jc w:val="center"/>
              <w:rPr>
                <w:rFonts w:ascii="Arial" w:hAnsi="Arial" w:cs="Arial"/>
                <w:sz w:val="22"/>
                <w:szCs w:val="22"/>
              </w:rPr>
            </w:pPr>
            <w:r>
              <w:rPr>
                <w:rFonts w:ascii="Arial" w:hAnsi="Arial" w:cs="Arial"/>
                <w:color w:val="000000"/>
                <w:sz w:val="22"/>
                <w:szCs w:val="22"/>
              </w:rPr>
              <w:t>p-value</w:t>
            </w:r>
          </w:p>
        </w:tc>
        <w:tc>
          <w:tcPr>
            <w:tcW w:w="4940" w:type="dxa"/>
            <w:tcBorders>
              <w:top w:val="nil"/>
              <w:bottom w:val="nil"/>
            </w:tcBorders>
            <w:tcMar>
              <w:left w:w="108" w:type="dxa"/>
              <w:right w:w="108" w:type="dxa"/>
            </w:tcMar>
            <w:vAlign w:val="center"/>
          </w:tcPr>
          <w:p w14:paraId="2C0664B1" w14:textId="77777777" w:rsidR="00AD291E" w:rsidRDefault="00AA6E6F">
            <w:pPr>
              <w:pStyle w:val="NormalWeb"/>
              <w:jc w:val="center"/>
              <w:rPr>
                <w:rFonts w:ascii="Arial" w:hAnsi="Arial" w:cs="Arial"/>
                <w:sz w:val="22"/>
                <w:szCs w:val="22"/>
              </w:rPr>
            </w:pPr>
            <w:r>
              <w:rPr>
                <w:rFonts w:ascii="Arial" w:hAnsi="Arial" w:cs="Arial"/>
                <w:color w:val="000000"/>
                <w:sz w:val="22"/>
                <w:szCs w:val="22"/>
              </w:rPr>
              <w:t>0.4645</w:t>
            </w:r>
          </w:p>
        </w:tc>
      </w:tr>
      <w:tr w:rsidR="00AD291E" w14:paraId="1D097A26" w14:textId="77777777">
        <w:trPr>
          <w:trHeight w:val="634"/>
        </w:trPr>
        <w:tc>
          <w:tcPr>
            <w:tcW w:w="3939" w:type="dxa"/>
            <w:tcBorders>
              <w:top w:val="nil"/>
              <w:bottom w:val="single" w:sz="6" w:space="0" w:color="000008"/>
            </w:tcBorders>
            <w:tcMar>
              <w:left w:w="108" w:type="dxa"/>
              <w:right w:w="108" w:type="dxa"/>
            </w:tcMar>
            <w:vAlign w:val="center"/>
          </w:tcPr>
          <w:p w14:paraId="3196077F" w14:textId="77777777" w:rsidR="00AD291E" w:rsidRDefault="00AA6E6F">
            <w:pPr>
              <w:pStyle w:val="NormalWeb"/>
              <w:jc w:val="center"/>
              <w:rPr>
                <w:rFonts w:ascii="Arial" w:hAnsi="Arial" w:cs="Arial"/>
                <w:sz w:val="22"/>
                <w:szCs w:val="22"/>
              </w:rPr>
            </w:pPr>
            <w:r>
              <w:rPr>
                <w:rFonts w:ascii="Arial" w:hAnsi="Arial" w:cs="Arial"/>
                <w:color w:val="000000"/>
                <w:sz w:val="22"/>
                <w:szCs w:val="22"/>
              </w:rPr>
              <w:t>Remark</w:t>
            </w:r>
          </w:p>
        </w:tc>
        <w:tc>
          <w:tcPr>
            <w:tcW w:w="4940" w:type="dxa"/>
            <w:tcBorders>
              <w:top w:val="nil"/>
              <w:bottom w:val="single" w:sz="6" w:space="0" w:color="000008"/>
            </w:tcBorders>
            <w:tcMar>
              <w:left w:w="108" w:type="dxa"/>
              <w:right w:w="108" w:type="dxa"/>
            </w:tcMar>
            <w:vAlign w:val="center"/>
          </w:tcPr>
          <w:p w14:paraId="63AA72F8" w14:textId="77777777" w:rsidR="00AD291E" w:rsidRDefault="00AA6E6F">
            <w:pPr>
              <w:pStyle w:val="NormalWeb"/>
              <w:jc w:val="center"/>
              <w:rPr>
                <w:rFonts w:ascii="Arial" w:hAnsi="Arial" w:cs="Arial"/>
                <w:sz w:val="22"/>
                <w:szCs w:val="22"/>
              </w:rPr>
            </w:pPr>
            <w:r>
              <w:rPr>
                <w:rFonts w:ascii="Arial" w:hAnsi="Arial" w:cs="Arial"/>
                <w:color w:val="000000"/>
                <w:sz w:val="22"/>
                <w:szCs w:val="22"/>
              </w:rPr>
              <w:t>NS</w:t>
            </w:r>
          </w:p>
        </w:tc>
      </w:tr>
    </w:tbl>
    <w:p w14:paraId="0F9FC66B" w14:textId="77777777" w:rsidR="00AD291E" w:rsidRDefault="00AA6E6F">
      <w:pPr>
        <w:spacing w:before="0" w:beforeAutospacing="0" w:after="0" w:line="240" w:lineRule="auto"/>
        <w:rPr>
          <w:rFonts w:ascii="Arial" w:hAnsi="Arial"/>
          <w:sz w:val="22"/>
          <w:szCs w:val="22"/>
        </w:rPr>
      </w:pPr>
      <w:r>
        <w:rPr>
          <w:rFonts w:ascii="Arial" w:hAnsi="Arial"/>
          <w:sz w:val="20"/>
          <w:szCs w:val="20"/>
        </w:rPr>
        <w:t>Key: NS - Non-Significant (P&gt;0.05)</w:t>
      </w:r>
    </w:p>
    <w:p w14:paraId="7F8BBCB3" w14:textId="77777777" w:rsidR="00AD291E" w:rsidRDefault="00AD291E">
      <w:pPr>
        <w:rPr>
          <w:rFonts w:ascii="Arial" w:hAnsi="Arial"/>
          <w:sz w:val="22"/>
          <w:szCs w:val="22"/>
        </w:rPr>
      </w:pPr>
    </w:p>
    <w:p w14:paraId="2ED32A52" w14:textId="77777777" w:rsidR="00AD291E" w:rsidRDefault="00AA6E6F">
      <w:pPr>
        <w:rPr>
          <w:rFonts w:ascii="Arial" w:hAnsi="Arial"/>
          <w:b/>
          <w:bCs/>
          <w:sz w:val="22"/>
          <w:szCs w:val="22"/>
        </w:rPr>
      </w:pPr>
      <w:r>
        <w:rPr>
          <w:rFonts w:ascii="Arial" w:hAnsi="Arial"/>
          <w:b/>
          <w:bCs/>
          <w:sz w:val="22"/>
          <w:szCs w:val="22"/>
        </w:rPr>
        <w:t>Table 7: Correlation Between Age of Bodybuilders and Kidney Function Parameters</w:t>
      </w:r>
    </w:p>
    <w:tbl>
      <w:tblPr>
        <w:tblW w:w="9697" w:type="dxa"/>
        <w:tblCellMar>
          <w:left w:w="0" w:type="dxa"/>
          <w:right w:w="0" w:type="dxa"/>
        </w:tblCellMar>
        <w:tblLook w:val="04A0" w:firstRow="1" w:lastRow="0" w:firstColumn="1" w:lastColumn="0" w:noHBand="0" w:noVBand="1"/>
      </w:tblPr>
      <w:tblGrid>
        <w:gridCol w:w="2407"/>
        <w:gridCol w:w="2419"/>
        <w:gridCol w:w="2789"/>
        <w:gridCol w:w="926"/>
        <w:gridCol w:w="1156"/>
      </w:tblGrid>
      <w:tr w:rsidR="00AD291E" w14:paraId="7C75FF2D" w14:textId="77777777">
        <w:trPr>
          <w:trHeight w:val="619"/>
        </w:trPr>
        <w:tc>
          <w:tcPr>
            <w:tcW w:w="2407" w:type="dxa"/>
            <w:tcBorders>
              <w:top w:val="single" w:sz="6" w:space="0" w:color="000008"/>
              <w:bottom w:val="single" w:sz="6" w:space="0" w:color="000008"/>
            </w:tcBorders>
            <w:tcMar>
              <w:left w:w="108" w:type="dxa"/>
              <w:right w:w="108" w:type="dxa"/>
            </w:tcMar>
            <w:vAlign w:val="center"/>
          </w:tcPr>
          <w:p w14:paraId="760B590A" w14:textId="77777777" w:rsidR="00AD291E" w:rsidRDefault="00AA6E6F">
            <w:pPr>
              <w:pStyle w:val="NormalWeb"/>
              <w:jc w:val="center"/>
              <w:rPr>
                <w:rFonts w:ascii="Arial" w:hAnsi="Arial" w:cs="Arial"/>
                <w:sz w:val="22"/>
                <w:szCs w:val="22"/>
              </w:rPr>
            </w:pPr>
            <w:r>
              <w:rPr>
                <w:rFonts w:ascii="Arial" w:hAnsi="Arial" w:cs="Arial"/>
                <w:color w:val="000000"/>
                <w:sz w:val="22"/>
                <w:szCs w:val="22"/>
              </w:rPr>
              <w:t>Independent Variable</w:t>
            </w:r>
          </w:p>
        </w:tc>
        <w:tc>
          <w:tcPr>
            <w:tcW w:w="2419" w:type="dxa"/>
            <w:tcBorders>
              <w:top w:val="single" w:sz="6" w:space="0" w:color="000008"/>
              <w:bottom w:val="single" w:sz="6" w:space="0" w:color="000008"/>
            </w:tcBorders>
            <w:tcMar>
              <w:left w:w="108" w:type="dxa"/>
              <w:right w:w="108" w:type="dxa"/>
            </w:tcMar>
            <w:vAlign w:val="center"/>
          </w:tcPr>
          <w:p w14:paraId="2C63B8E3" w14:textId="77777777" w:rsidR="00AD291E" w:rsidRDefault="00AA6E6F">
            <w:pPr>
              <w:pStyle w:val="NormalWeb"/>
              <w:jc w:val="center"/>
              <w:rPr>
                <w:rFonts w:ascii="Arial" w:hAnsi="Arial" w:cs="Arial"/>
                <w:sz w:val="22"/>
                <w:szCs w:val="22"/>
              </w:rPr>
            </w:pPr>
            <w:r>
              <w:rPr>
                <w:rFonts w:ascii="Arial" w:hAnsi="Arial" w:cs="Arial"/>
                <w:color w:val="000000"/>
                <w:sz w:val="22"/>
                <w:szCs w:val="22"/>
              </w:rPr>
              <w:t>Dependent Variable</w:t>
            </w:r>
          </w:p>
        </w:tc>
        <w:tc>
          <w:tcPr>
            <w:tcW w:w="2789" w:type="dxa"/>
            <w:tcBorders>
              <w:top w:val="single" w:sz="6" w:space="0" w:color="000008"/>
              <w:bottom w:val="single" w:sz="6" w:space="0" w:color="000008"/>
            </w:tcBorders>
            <w:tcMar>
              <w:left w:w="108" w:type="dxa"/>
              <w:right w:w="108" w:type="dxa"/>
            </w:tcMar>
            <w:vAlign w:val="center"/>
          </w:tcPr>
          <w:p w14:paraId="08B8B7CE" w14:textId="77777777" w:rsidR="00AD291E" w:rsidRDefault="00AA6E6F">
            <w:pPr>
              <w:pStyle w:val="NormalWeb"/>
              <w:jc w:val="center"/>
              <w:rPr>
                <w:rFonts w:ascii="Arial" w:hAnsi="Arial" w:cs="Arial"/>
                <w:sz w:val="22"/>
                <w:szCs w:val="22"/>
              </w:rPr>
            </w:pPr>
            <w:r>
              <w:rPr>
                <w:rFonts w:ascii="Arial" w:hAnsi="Arial" w:cs="Arial"/>
                <w:color w:val="000000"/>
                <w:sz w:val="22"/>
                <w:szCs w:val="22"/>
              </w:rPr>
              <w:t>Correlation Coefficient (r)</w:t>
            </w:r>
          </w:p>
        </w:tc>
        <w:tc>
          <w:tcPr>
            <w:tcW w:w="926" w:type="dxa"/>
            <w:tcBorders>
              <w:top w:val="single" w:sz="6" w:space="0" w:color="000008"/>
              <w:bottom w:val="single" w:sz="6" w:space="0" w:color="000008"/>
            </w:tcBorders>
            <w:tcMar>
              <w:left w:w="108" w:type="dxa"/>
              <w:right w:w="108" w:type="dxa"/>
            </w:tcMar>
            <w:vAlign w:val="center"/>
          </w:tcPr>
          <w:p w14:paraId="31701D6C" w14:textId="77777777" w:rsidR="00AD291E" w:rsidRDefault="00AA6E6F">
            <w:pPr>
              <w:pStyle w:val="NormalWeb"/>
              <w:jc w:val="center"/>
              <w:rPr>
                <w:rFonts w:ascii="Arial" w:hAnsi="Arial" w:cs="Arial"/>
                <w:sz w:val="22"/>
                <w:szCs w:val="22"/>
              </w:rPr>
            </w:pPr>
            <w:r>
              <w:rPr>
                <w:rFonts w:ascii="Arial" w:hAnsi="Arial" w:cs="Arial"/>
                <w:color w:val="000000"/>
                <w:sz w:val="22"/>
                <w:szCs w:val="22"/>
              </w:rPr>
              <w:t>p-value</w:t>
            </w:r>
          </w:p>
        </w:tc>
        <w:tc>
          <w:tcPr>
            <w:tcW w:w="1156" w:type="dxa"/>
            <w:tcBorders>
              <w:top w:val="single" w:sz="6" w:space="0" w:color="000008"/>
              <w:bottom w:val="single" w:sz="6" w:space="0" w:color="000008"/>
            </w:tcBorders>
            <w:tcMar>
              <w:left w:w="108" w:type="dxa"/>
              <w:right w:w="108" w:type="dxa"/>
            </w:tcMar>
            <w:vAlign w:val="center"/>
          </w:tcPr>
          <w:p w14:paraId="35258BEE" w14:textId="77777777" w:rsidR="00AD291E" w:rsidRDefault="00AA6E6F">
            <w:pPr>
              <w:pStyle w:val="NormalWeb"/>
              <w:jc w:val="center"/>
              <w:rPr>
                <w:rFonts w:ascii="Arial" w:hAnsi="Arial" w:cs="Arial"/>
                <w:sz w:val="22"/>
                <w:szCs w:val="22"/>
              </w:rPr>
            </w:pPr>
            <w:r>
              <w:rPr>
                <w:rFonts w:ascii="Arial" w:hAnsi="Arial" w:cs="Arial"/>
                <w:color w:val="000000"/>
                <w:sz w:val="22"/>
                <w:szCs w:val="22"/>
              </w:rPr>
              <w:t>Remark</w:t>
            </w:r>
          </w:p>
        </w:tc>
      </w:tr>
      <w:tr w:rsidR="00AD291E" w14:paraId="3AC14D6C" w14:textId="77777777">
        <w:trPr>
          <w:trHeight w:val="537"/>
        </w:trPr>
        <w:tc>
          <w:tcPr>
            <w:tcW w:w="2407" w:type="dxa"/>
            <w:tcBorders>
              <w:top w:val="single" w:sz="6" w:space="0" w:color="000008"/>
              <w:bottom w:val="nil"/>
            </w:tcBorders>
            <w:tcMar>
              <w:left w:w="108" w:type="dxa"/>
              <w:right w:w="108" w:type="dxa"/>
            </w:tcMar>
            <w:vAlign w:val="center"/>
          </w:tcPr>
          <w:p w14:paraId="55CB59C2" w14:textId="77777777" w:rsidR="00AD291E" w:rsidRDefault="00AA6E6F">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single" w:sz="6" w:space="0" w:color="000008"/>
              <w:bottom w:val="nil"/>
            </w:tcBorders>
            <w:tcMar>
              <w:left w:w="108" w:type="dxa"/>
              <w:right w:w="108" w:type="dxa"/>
            </w:tcMar>
            <w:vAlign w:val="center"/>
          </w:tcPr>
          <w:p w14:paraId="753F3D6B" w14:textId="77777777" w:rsidR="00AD291E" w:rsidRDefault="00AA6E6F">
            <w:pPr>
              <w:pStyle w:val="NormalWeb"/>
              <w:jc w:val="center"/>
              <w:rPr>
                <w:rFonts w:ascii="Arial" w:hAnsi="Arial" w:cs="Arial"/>
                <w:sz w:val="22"/>
                <w:szCs w:val="22"/>
              </w:rPr>
            </w:pPr>
            <w:r>
              <w:rPr>
                <w:rFonts w:ascii="Arial" w:hAnsi="Arial" w:cs="Arial"/>
                <w:color w:val="000000"/>
                <w:sz w:val="22"/>
                <w:szCs w:val="22"/>
              </w:rPr>
              <w:t>Urea (mmol/L)</w:t>
            </w:r>
          </w:p>
        </w:tc>
        <w:tc>
          <w:tcPr>
            <w:tcW w:w="2789" w:type="dxa"/>
            <w:tcBorders>
              <w:top w:val="single" w:sz="6" w:space="0" w:color="000008"/>
              <w:bottom w:val="nil"/>
            </w:tcBorders>
            <w:tcMar>
              <w:left w:w="108" w:type="dxa"/>
              <w:right w:w="108" w:type="dxa"/>
            </w:tcMar>
            <w:vAlign w:val="center"/>
          </w:tcPr>
          <w:p w14:paraId="162418D3" w14:textId="77777777" w:rsidR="00AD291E" w:rsidRDefault="00AA6E6F">
            <w:pPr>
              <w:pStyle w:val="NormalWeb"/>
              <w:jc w:val="center"/>
              <w:rPr>
                <w:rFonts w:ascii="Arial" w:hAnsi="Arial" w:cs="Arial"/>
                <w:sz w:val="22"/>
                <w:szCs w:val="22"/>
              </w:rPr>
            </w:pPr>
            <w:r>
              <w:rPr>
                <w:rFonts w:ascii="Arial" w:hAnsi="Arial" w:cs="Arial"/>
                <w:color w:val="000000"/>
                <w:sz w:val="22"/>
                <w:szCs w:val="22"/>
              </w:rPr>
              <w:t>0.1633</w:t>
            </w:r>
          </w:p>
        </w:tc>
        <w:tc>
          <w:tcPr>
            <w:tcW w:w="926" w:type="dxa"/>
            <w:tcBorders>
              <w:top w:val="single" w:sz="6" w:space="0" w:color="000008"/>
              <w:bottom w:val="nil"/>
            </w:tcBorders>
            <w:tcMar>
              <w:left w:w="108" w:type="dxa"/>
              <w:right w:w="108" w:type="dxa"/>
            </w:tcMar>
            <w:vAlign w:val="center"/>
          </w:tcPr>
          <w:p w14:paraId="01D92050" w14:textId="77777777" w:rsidR="00AD291E" w:rsidRDefault="00AA6E6F">
            <w:pPr>
              <w:pStyle w:val="NormalWeb"/>
              <w:jc w:val="center"/>
              <w:rPr>
                <w:rFonts w:ascii="Arial" w:hAnsi="Arial" w:cs="Arial"/>
                <w:sz w:val="22"/>
                <w:szCs w:val="22"/>
              </w:rPr>
            </w:pPr>
            <w:r>
              <w:rPr>
                <w:rFonts w:ascii="Arial" w:hAnsi="Arial" w:cs="Arial"/>
                <w:color w:val="000000"/>
                <w:sz w:val="22"/>
                <w:szCs w:val="22"/>
              </w:rPr>
              <w:t>0.4795</w:t>
            </w:r>
          </w:p>
        </w:tc>
        <w:tc>
          <w:tcPr>
            <w:tcW w:w="1156" w:type="dxa"/>
            <w:tcBorders>
              <w:top w:val="single" w:sz="6" w:space="0" w:color="000008"/>
              <w:bottom w:val="nil"/>
            </w:tcBorders>
            <w:tcMar>
              <w:left w:w="108" w:type="dxa"/>
              <w:right w:w="108" w:type="dxa"/>
            </w:tcMar>
            <w:vAlign w:val="center"/>
          </w:tcPr>
          <w:p w14:paraId="01B93F62" w14:textId="77777777" w:rsidR="00AD291E" w:rsidRDefault="00AA6E6F">
            <w:pPr>
              <w:pStyle w:val="NormalWeb"/>
              <w:jc w:val="center"/>
              <w:rPr>
                <w:rFonts w:ascii="Arial" w:hAnsi="Arial" w:cs="Arial"/>
                <w:sz w:val="22"/>
                <w:szCs w:val="22"/>
              </w:rPr>
            </w:pPr>
            <w:r>
              <w:rPr>
                <w:rFonts w:ascii="Arial" w:hAnsi="Arial" w:cs="Arial"/>
                <w:color w:val="000000"/>
                <w:sz w:val="22"/>
                <w:szCs w:val="22"/>
              </w:rPr>
              <w:t>NS, W</w:t>
            </w:r>
          </w:p>
        </w:tc>
      </w:tr>
      <w:tr w:rsidR="00AD291E" w14:paraId="54D65F0C" w14:textId="77777777">
        <w:trPr>
          <w:trHeight w:val="536"/>
        </w:trPr>
        <w:tc>
          <w:tcPr>
            <w:tcW w:w="2407" w:type="dxa"/>
            <w:tcBorders>
              <w:top w:val="nil"/>
              <w:bottom w:val="nil"/>
            </w:tcBorders>
            <w:tcMar>
              <w:left w:w="108" w:type="dxa"/>
              <w:right w:w="108" w:type="dxa"/>
            </w:tcMar>
            <w:vAlign w:val="center"/>
          </w:tcPr>
          <w:p w14:paraId="24C40944" w14:textId="77777777" w:rsidR="00AD291E" w:rsidRDefault="00AA6E6F">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nil"/>
            </w:tcBorders>
            <w:tcMar>
              <w:left w:w="108" w:type="dxa"/>
              <w:right w:w="108" w:type="dxa"/>
            </w:tcMar>
            <w:vAlign w:val="center"/>
          </w:tcPr>
          <w:p w14:paraId="0FA42A28" w14:textId="77777777" w:rsidR="00AD291E" w:rsidRDefault="00AA6E6F">
            <w:pPr>
              <w:pStyle w:val="NormalWeb"/>
              <w:jc w:val="center"/>
              <w:rPr>
                <w:rFonts w:ascii="Arial" w:hAnsi="Arial" w:cs="Arial"/>
                <w:sz w:val="22"/>
                <w:szCs w:val="22"/>
              </w:rPr>
            </w:pPr>
            <w:r>
              <w:rPr>
                <w:rFonts w:ascii="Arial" w:hAnsi="Arial" w:cs="Arial"/>
                <w:color w:val="000000"/>
                <w:sz w:val="22"/>
                <w:szCs w:val="22"/>
              </w:rPr>
              <w:t>Creatinine (</w:t>
            </w:r>
            <w:proofErr w:type="spellStart"/>
            <w:r>
              <w:rPr>
                <w:rFonts w:ascii="Arial" w:hAnsi="Arial" w:cs="Arial"/>
                <w:color w:val="000000"/>
                <w:sz w:val="22"/>
                <w:szCs w:val="22"/>
              </w:rPr>
              <w:t>μmol</w:t>
            </w:r>
            <w:proofErr w:type="spellEnd"/>
            <w:r>
              <w:rPr>
                <w:rFonts w:ascii="Arial" w:hAnsi="Arial" w:cs="Arial"/>
                <w:color w:val="000000"/>
                <w:sz w:val="22"/>
                <w:szCs w:val="22"/>
              </w:rPr>
              <w:t>/l)</w:t>
            </w:r>
          </w:p>
        </w:tc>
        <w:tc>
          <w:tcPr>
            <w:tcW w:w="2789" w:type="dxa"/>
            <w:tcBorders>
              <w:top w:val="nil"/>
              <w:bottom w:val="nil"/>
            </w:tcBorders>
            <w:tcMar>
              <w:left w:w="108" w:type="dxa"/>
              <w:right w:w="108" w:type="dxa"/>
            </w:tcMar>
            <w:vAlign w:val="center"/>
          </w:tcPr>
          <w:p w14:paraId="27F1F9B4" w14:textId="77777777" w:rsidR="00AD291E" w:rsidRDefault="00AA6E6F">
            <w:pPr>
              <w:pStyle w:val="NormalWeb"/>
              <w:jc w:val="center"/>
              <w:rPr>
                <w:rFonts w:ascii="Arial" w:hAnsi="Arial" w:cs="Arial"/>
                <w:sz w:val="22"/>
                <w:szCs w:val="22"/>
              </w:rPr>
            </w:pPr>
            <w:r>
              <w:rPr>
                <w:rFonts w:ascii="Arial" w:hAnsi="Arial" w:cs="Arial"/>
                <w:color w:val="000000"/>
                <w:sz w:val="22"/>
                <w:szCs w:val="22"/>
              </w:rPr>
              <w:t>0.1477</w:t>
            </w:r>
          </w:p>
        </w:tc>
        <w:tc>
          <w:tcPr>
            <w:tcW w:w="926" w:type="dxa"/>
            <w:tcBorders>
              <w:top w:val="nil"/>
              <w:bottom w:val="nil"/>
            </w:tcBorders>
            <w:tcMar>
              <w:left w:w="108" w:type="dxa"/>
              <w:right w:w="108" w:type="dxa"/>
            </w:tcMar>
            <w:vAlign w:val="center"/>
          </w:tcPr>
          <w:p w14:paraId="09053893" w14:textId="77777777" w:rsidR="00AD291E" w:rsidRDefault="00AA6E6F">
            <w:pPr>
              <w:pStyle w:val="NormalWeb"/>
              <w:jc w:val="center"/>
              <w:rPr>
                <w:rFonts w:ascii="Arial" w:hAnsi="Arial" w:cs="Arial"/>
                <w:sz w:val="22"/>
                <w:szCs w:val="22"/>
              </w:rPr>
            </w:pPr>
            <w:r>
              <w:rPr>
                <w:rFonts w:ascii="Arial" w:hAnsi="Arial" w:cs="Arial"/>
                <w:color w:val="000000"/>
                <w:sz w:val="22"/>
                <w:szCs w:val="22"/>
              </w:rPr>
              <w:t>0.5228</w:t>
            </w:r>
          </w:p>
        </w:tc>
        <w:tc>
          <w:tcPr>
            <w:tcW w:w="1156" w:type="dxa"/>
            <w:tcBorders>
              <w:top w:val="nil"/>
              <w:bottom w:val="nil"/>
            </w:tcBorders>
            <w:tcMar>
              <w:left w:w="108" w:type="dxa"/>
              <w:right w:w="108" w:type="dxa"/>
            </w:tcMar>
            <w:vAlign w:val="center"/>
          </w:tcPr>
          <w:p w14:paraId="28580C23" w14:textId="77777777" w:rsidR="00AD291E" w:rsidRDefault="00AA6E6F">
            <w:pPr>
              <w:pStyle w:val="NormalWeb"/>
              <w:jc w:val="center"/>
              <w:rPr>
                <w:rFonts w:ascii="Arial" w:hAnsi="Arial" w:cs="Arial"/>
                <w:sz w:val="22"/>
                <w:szCs w:val="22"/>
              </w:rPr>
            </w:pPr>
            <w:r>
              <w:rPr>
                <w:rFonts w:ascii="Arial" w:hAnsi="Arial" w:cs="Arial"/>
                <w:color w:val="000000"/>
                <w:sz w:val="22"/>
                <w:szCs w:val="22"/>
              </w:rPr>
              <w:t>NS, W</w:t>
            </w:r>
          </w:p>
        </w:tc>
      </w:tr>
      <w:tr w:rsidR="00AD291E" w14:paraId="6CFA5DC8" w14:textId="77777777">
        <w:trPr>
          <w:trHeight w:val="618"/>
        </w:trPr>
        <w:tc>
          <w:tcPr>
            <w:tcW w:w="2407" w:type="dxa"/>
            <w:tcBorders>
              <w:top w:val="nil"/>
              <w:bottom w:val="nil"/>
            </w:tcBorders>
            <w:tcMar>
              <w:left w:w="108" w:type="dxa"/>
              <w:right w:w="108" w:type="dxa"/>
            </w:tcMar>
            <w:vAlign w:val="center"/>
          </w:tcPr>
          <w:p w14:paraId="3F094260" w14:textId="77777777" w:rsidR="00AD291E" w:rsidRDefault="00AA6E6F">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nil"/>
            </w:tcBorders>
            <w:tcMar>
              <w:left w:w="108" w:type="dxa"/>
              <w:right w:w="108" w:type="dxa"/>
            </w:tcMar>
            <w:vAlign w:val="center"/>
          </w:tcPr>
          <w:p w14:paraId="61442FBE" w14:textId="77777777" w:rsidR="00AD291E" w:rsidRDefault="00AA6E6F">
            <w:pPr>
              <w:pStyle w:val="NormalWeb"/>
              <w:jc w:val="center"/>
              <w:rPr>
                <w:rFonts w:ascii="Arial" w:hAnsi="Arial" w:cs="Arial"/>
                <w:sz w:val="22"/>
                <w:szCs w:val="22"/>
              </w:rPr>
            </w:pPr>
            <w:r>
              <w:rPr>
                <w:rFonts w:ascii="Arial" w:hAnsi="Arial" w:cs="Arial"/>
                <w:color w:val="000000"/>
                <w:sz w:val="22"/>
                <w:szCs w:val="22"/>
              </w:rPr>
              <w:t>Sodium (mmol/L)</w:t>
            </w:r>
          </w:p>
        </w:tc>
        <w:tc>
          <w:tcPr>
            <w:tcW w:w="2789" w:type="dxa"/>
            <w:tcBorders>
              <w:top w:val="nil"/>
              <w:bottom w:val="nil"/>
            </w:tcBorders>
            <w:tcMar>
              <w:left w:w="108" w:type="dxa"/>
              <w:right w:w="108" w:type="dxa"/>
            </w:tcMar>
            <w:vAlign w:val="center"/>
          </w:tcPr>
          <w:p w14:paraId="0FE8882F" w14:textId="77777777" w:rsidR="00AD291E" w:rsidRDefault="00AA6E6F">
            <w:pPr>
              <w:pStyle w:val="NormalWeb"/>
              <w:jc w:val="center"/>
              <w:rPr>
                <w:rFonts w:ascii="Arial" w:hAnsi="Arial" w:cs="Arial"/>
                <w:sz w:val="22"/>
                <w:szCs w:val="22"/>
              </w:rPr>
            </w:pPr>
            <w:r>
              <w:rPr>
                <w:rFonts w:ascii="Arial" w:hAnsi="Arial" w:cs="Arial"/>
                <w:color w:val="000000"/>
                <w:sz w:val="22"/>
                <w:szCs w:val="22"/>
              </w:rPr>
              <w:t>-0.2259</w:t>
            </w:r>
          </w:p>
        </w:tc>
        <w:tc>
          <w:tcPr>
            <w:tcW w:w="926" w:type="dxa"/>
            <w:tcBorders>
              <w:top w:val="nil"/>
              <w:bottom w:val="nil"/>
            </w:tcBorders>
            <w:tcMar>
              <w:left w:w="108" w:type="dxa"/>
              <w:right w:w="108" w:type="dxa"/>
            </w:tcMar>
            <w:vAlign w:val="center"/>
          </w:tcPr>
          <w:p w14:paraId="66BD25B9" w14:textId="77777777" w:rsidR="00AD291E" w:rsidRDefault="00AA6E6F">
            <w:pPr>
              <w:pStyle w:val="NormalWeb"/>
              <w:jc w:val="center"/>
              <w:rPr>
                <w:rFonts w:ascii="Arial" w:hAnsi="Arial" w:cs="Arial"/>
                <w:sz w:val="22"/>
                <w:szCs w:val="22"/>
              </w:rPr>
            </w:pPr>
            <w:r>
              <w:rPr>
                <w:rFonts w:ascii="Arial" w:hAnsi="Arial" w:cs="Arial"/>
                <w:color w:val="000000"/>
                <w:sz w:val="22"/>
                <w:szCs w:val="22"/>
              </w:rPr>
              <w:t>0.3249</w:t>
            </w:r>
          </w:p>
        </w:tc>
        <w:tc>
          <w:tcPr>
            <w:tcW w:w="1156" w:type="dxa"/>
            <w:tcBorders>
              <w:top w:val="nil"/>
              <w:bottom w:val="nil"/>
            </w:tcBorders>
            <w:tcMar>
              <w:left w:w="108" w:type="dxa"/>
              <w:right w:w="108" w:type="dxa"/>
            </w:tcMar>
            <w:vAlign w:val="center"/>
          </w:tcPr>
          <w:p w14:paraId="015D2252" w14:textId="77777777" w:rsidR="00AD291E" w:rsidRDefault="00AA6E6F">
            <w:pPr>
              <w:pStyle w:val="NormalWeb"/>
              <w:jc w:val="center"/>
              <w:rPr>
                <w:rFonts w:ascii="Arial" w:hAnsi="Arial" w:cs="Arial"/>
                <w:sz w:val="22"/>
                <w:szCs w:val="22"/>
              </w:rPr>
            </w:pPr>
            <w:r>
              <w:rPr>
                <w:rFonts w:ascii="Arial" w:hAnsi="Arial" w:cs="Arial"/>
                <w:color w:val="000000"/>
                <w:sz w:val="22"/>
                <w:szCs w:val="22"/>
              </w:rPr>
              <w:t>NS, SNC</w:t>
            </w:r>
          </w:p>
        </w:tc>
      </w:tr>
      <w:tr w:rsidR="00AD291E" w14:paraId="14F08185" w14:textId="77777777">
        <w:trPr>
          <w:trHeight w:val="375"/>
        </w:trPr>
        <w:tc>
          <w:tcPr>
            <w:tcW w:w="2407" w:type="dxa"/>
            <w:tcBorders>
              <w:top w:val="nil"/>
              <w:bottom w:val="nil"/>
            </w:tcBorders>
            <w:tcMar>
              <w:left w:w="108" w:type="dxa"/>
              <w:right w:w="108" w:type="dxa"/>
            </w:tcMar>
            <w:vAlign w:val="center"/>
          </w:tcPr>
          <w:p w14:paraId="5BECB220" w14:textId="77777777" w:rsidR="00AD291E" w:rsidRDefault="00AA6E6F">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nil"/>
            </w:tcBorders>
            <w:tcMar>
              <w:left w:w="108" w:type="dxa"/>
              <w:right w:w="108" w:type="dxa"/>
            </w:tcMar>
            <w:vAlign w:val="center"/>
          </w:tcPr>
          <w:p w14:paraId="227A4D5E" w14:textId="77777777" w:rsidR="00AD291E" w:rsidRDefault="00AA6E6F">
            <w:pPr>
              <w:pStyle w:val="NormalWeb"/>
              <w:jc w:val="center"/>
              <w:rPr>
                <w:rFonts w:ascii="Arial" w:hAnsi="Arial" w:cs="Arial"/>
                <w:sz w:val="22"/>
                <w:szCs w:val="22"/>
              </w:rPr>
            </w:pPr>
            <w:r>
              <w:rPr>
                <w:rFonts w:ascii="Arial" w:hAnsi="Arial" w:cs="Arial"/>
                <w:color w:val="000000"/>
                <w:sz w:val="22"/>
                <w:szCs w:val="22"/>
              </w:rPr>
              <w:t>Potassium (mmol/L)</w:t>
            </w:r>
          </w:p>
        </w:tc>
        <w:tc>
          <w:tcPr>
            <w:tcW w:w="2789" w:type="dxa"/>
            <w:tcBorders>
              <w:top w:val="nil"/>
              <w:bottom w:val="nil"/>
            </w:tcBorders>
            <w:tcMar>
              <w:left w:w="108" w:type="dxa"/>
              <w:right w:w="108" w:type="dxa"/>
            </w:tcMar>
            <w:vAlign w:val="center"/>
          </w:tcPr>
          <w:p w14:paraId="48F6DD86" w14:textId="77777777" w:rsidR="00AD291E" w:rsidRDefault="00AA6E6F">
            <w:pPr>
              <w:pStyle w:val="NormalWeb"/>
              <w:jc w:val="center"/>
              <w:rPr>
                <w:rFonts w:ascii="Arial" w:hAnsi="Arial" w:cs="Arial"/>
                <w:sz w:val="22"/>
                <w:szCs w:val="22"/>
              </w:rPr>
            </w:pPr>
            <w:r>
              <w:rPr>
                <w:rFonts w:ascii="Arial" w:hAnsi="Arial" w:cs="Arial"/>
                <w:color w:val="000000"/>
                <w:sz w:val="22"/>
                <w:szCs w:val="22"/>
              </w:rPr>
              <w:t>-0.1750</w:t>
            </w:r>
          </w:p>
        </w:tc>
        <w:tc>
          <w:tcPr>
            <w:tcW w:w="926" w:type="dxa"/>
            <w:tcBorders>
              <w:top w:val="nil"/>
              <w:bottom w:val="nil"/>
            </w:tcBorders>
            <w:tcMar>
              <w:left w:w="108" w:type="dxa"/>
              <w:right w:w="108" w:type="dxa"/>
            </w:tcMar>
            <w:vAlign w:val="center"/>
          </w:tcPr>
          <w:p w14:paraId="419D375E" w14:textId="77777777" w:rsidR="00AD291E" w:rsidRDefault="00AA6E6F">
            <w:pPr>
              <w:pStyle w:val="NormalWeb"/>
              <w:jc w:val="center"/>
              <w:rPr>
                <w:rFonts w:ascii="Arial" w:hAnsi="Arial" w:cs="Arial"/>
                <w:sz w:val="22"/>
                <w:szCs w:val="22"/>
              </w:rPr>
            </w:pPr>
            <w:r>
              <w:rPr>
                <w:rFonts w:ascii="Arial" w:hAnsi="Arial" w:cs="Arial"/>
                <w:color w:val="000000"/>
                <w:sz w:val="22"/>
                <w:szCs w:val="22"/>
              </w:rPr>
              <w:t>0.4479</w:t>
            </w:r>
          </w:p>
        </w:tc>
        <w:tc>
          <w:tcPr>
            <w:tcW w:w="1156" w:type="dxa"/>
            <w:tcBorders>
              <w:top w:val="nil"/>
              <w:bottom w:val="nil"/>
            </w:tcBorders>
            <w:tcMar>
              <w:left w:w="108" w:type="dxa"/>
              <w:right w:w="108" w:type="dxa"/>
            </w:tcMar>
            <w:vAlign w:val="center"/>
          </w:tcPr>
          <w:p w14:paraId="4761FB3F" w14:textId="77777777" w:rsidR="00AD291E" w:rsidRDefault="00AA6E6F">
            <w:pPr>
              <w:pStyle w:val="NormalWeb"/>
              <w:jc w:val="center"/>
              <w:rPr>
                <w:rFonts w:ascii="Arial" w:hAnsi="Arial" w:cs="Arial"/>
                <w:sz w:val="22"/>
                <w:szCs w:val="22"/>
              </w:rPr>
            </w:pPr>
            <w:r>
              <w:rPr>
                <w:rFonts w:ascii="Arial" w:hAnsi="Arial" w:cs="Arial"/>
                <w:color w:val="000000"/>
                <w:sz w:val="22"/>
                <w:szCs w:val="22"/>
              </w:rPr>
              <w:t>NS, SNC</w:t>
            </w:r>
          </w:p>
        </w:tc>
      </w:tr>
      <w:tr w:rsidR="00AD291E" w14:paraId="104626FA" w14:textId="77777777">
        <w:trPr>
          <w:trHeight w:val="522"/>
        </w:trPr>
        <w:tc>
          <w:tcPr>
            <w:tcW w:w="2407" w:type="dxa"/>
            <w:tcBorders>
              <w:top w:val="nil"/>
              <w:bottom w:val="nil"/>
            </w:tcBorders>
            <w:tcMar>
              <w:left w:w="108" w:type="dxa"/>
              <w:right w:w="108" w:type="dxa"/>
            </w:tcMar>
            <w:vAlign w:val="center"/>
          </w:tcPr>
          <w:p w14:paraId="69A598CA" w14:textId="77777777" w:rsidR="00AD291E" w:rsidRDefault="00AA6E6F">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nil"/>
            </w:tcBorders>
            <w:tcMar>
              <w:left w:w="108" w:type="dxa"/>
              <w:right w:w="108" w:type="dxa"/>
            </w:tcMar>
            <w:vAlign w:val="center"/>
          </w:tcPr>
          <w:p w14:paraId="10E3768C" w14:textId="77777777" w:rsidR="00AD291E" w:rsidRDefault="00AA6E6F">
            <w:pPr>
              <w:pStyle w:val="NormalWeb"/>
              <w:jc w:val="center"/>
              <w:rPr>
                <w:rFonts w:ascii="Arial" w:hAnsi="Arial" w:cs="Arial"/>
                <w:sz w:val="22"/>
                <w:szCs w:val="22"/>
              </w:rPr>
            </w:pPr>
            <w:r>
              <w:rPr>
                <w:rFonts w:ascii="Arial" w:hAnsi="Arial" w:cs="Arial"/>
                <w:color w:val="000000"/>
                <w:sz w:val="22"/>
                <w:szCs w:val="22"/>
              </w:rPr>
              <w:t>Chloride (mmol/L)</w:t>
            </w:r>
          </w:p>
        </w:tc>
        <w:tc>
          <w:tcPr>
            <w:tcW w:w="2789" w:type="dxa"/>
            <w:tcBorders>
              <w:top w:val="nil"/>
              <w:bottom w:val="nil"/>
            </w:tcBorders>
            <w:tcMar>
              <w:left w:w="108" w:type="dxa"/>
              <w:right w:w="108" w:type="dxa"/>
            </w:tcMar>
            <w:vAlign w:val="center"/>
          </w:tcPr>
          <w:p w14:paraId="01478153" w14:textId="77777777" w:rsidR="00AD291E" w:rsidRDefault="00AA6E6F">
            <w:pPr>
              <w:pStyle w:val="NormalWeb"/>
              <w:jc w:val="center"/>
              <w:rPr>
                <w:rFonts w:ascii="Arial" w:hAnsi="Arial" w:cs="Arial"/>
                <w:sz w:val="22"/>
                <w:szCs w:val="22"/>
              </w:rPr>
            </w:pPr>
            <w:r>
              <w:rPr>
                <w:rFonts w:ascii="Arial" w:hAnsi="Arial" w:cs="Arial"/>
                <w:color w:val="000000"/>
                <w:sz w:val="22"/>
                <w:szCs w:val="22"/>
              </w:rPr>
              <w:t>-0.1571</w:t>
            </w:r>
          </w:p>
        </w:tc>
        <w:tc>
          <w:tcPr>
            <w:tcW w:w="926" w:type="dxa"/>
            <w:tcBorders>
              <w:top w:val="nil"/>
              <w:bottom w:val="nil"/>
            </w:tcBorders>
            <w:tcMar>
              <w:left w:w="108" w:type="dxa"/>
              <w:right w:w="108" w:type="dxa"/>
            </w:tcMar>
            <w:vAlign w:val="center"/>
          </w:tcPr>
          <w:p w14:paraId="2F3903ED" w14:textId="77777777" w:rsidR="00AD291E" w:rsidRDefault="00AA6E6F">
            <w:pPr>
              <w:pStyle w:val="NormalWeb"/>
              <w:jc w:val="center"/>
              <w:rPr>
                <w:rFonts w:ascii="Arial" w:hAnsi="Arial" w:cs="Arial"/>
                <w:sz w:val="22"/>
                <w:szCs w:val="22"/>
              </w:rPr>
            </w:pPr>
            <w:r>
              <w:rPr>
                <w:rFonts w:ascii="Arial" w:hAnsi="Arial" w:cs="Arial"/>
                <w:color w:val="000000"/>
                <w:sz w:val="22"/>
                <w:szCs w:val="22"/>
              </w:rPr>
              <w:t>0.4964</w:t>
            </w:r>
          </w:p>
        </w:tc>
        <w:tc>
          <w:tcPr>
            <w:tcW w:w="1156" w:type="dxa"/>
            <w:tcBorders>
              <w:top w:val="nil"/>
              <w:bottom w:val="nil"/>
            </w:tcBorders>
            <w:tcMar>
              <w:left w:w="108" w:type="dxa"/>
              <w:right w:w="108" w:type="dxa"/>
            </w:tcMar>
            <w:vAlign w:val="center"/>
          </w:tcPr>
          <w:p w14:paraId="39586C79" w14:textId="77777777" w:rsidR="00AD291E" w:rsidRDefault="00AA6E6F">
            <w:pPr>
              <w:pStyle w:val="NormalWeb"/>
              <w:jc w:val="center"/>
              <w:rPr>
                <w:rFonts w:ascii="Arial" w:hAnsi="Arial" w:cs="Arial"/>
                <w:sz w:val="22"/>
                <w:szCs w:val="22"/>
              </w:rPr>
            </w:pPr>
            <w:r>
              <w:rPr>
                <w:rFonts w:ascii="Arial" w:hAnsi="Arial" w:cs="Arial"/>
                <w:color w:val="000000"/>
                <w:sz w:val="22"/>
                <w:szCs w:val="22"/>
              </w:rPr>
              <w:t>NS, SNC</w:t>
            </w:r>
          </w:p>
        </w:tc>
      </w:tr>
      <w:tr w:rsidR="00AD291E" w14:paraId="14CD2A27" w14:textId="77777777">
        <w:trPr>
          <w:trHeight w:val="618"/>
        </w:trPr>
        <w:tc>
          <w:tcPr>
            <w:tcW w:w="2407" w:type="dxa"/>
            <w:tcBorders>
              <w:top w:val="nil"/>
              <w:bottom w:val="nil"/>
            </w:tcBorders>
            <w:tcMar>
              <w:left w:w="108" w:type="dxa"/>
              <w:right w:w="108" w:type="dxa"/>
            </w:tcMar>
            <w:vAlign w:val="center"/>
          </w:tcPr>
          <w:p w14:paraId="6E520BDA" w14:textId="77777777" w:rsidR="00AD291E" w:rsidRDefault="00AA6E6F">
            <w:pPr>
              <w:pStyle w:val="NormalWeb"/>
              <w:jc w:val="center"/>
              <w:rPr>
                <w:rFonts w:ascii="Arial" w:hAnsi="Arial" w:cs="Arial"/>
                <w:sz w:val="22"/>
                <w:szCs w:val="22"/>
              </w:rPr>
            </w:pPr>
            <w:r>
              <w:rPr>
                <w:rFonts w:ascii="Arial" w:hAnsi="Arial" w:cs="Arial"/>
                <w:color w:val="000000"/>
                <w:sz w:val="22"/>
                <w:szCs w:val="22"/>
              </w:rPr>
              <w:lastRenderedPageBreak/>
              <w:t>Age (Years)</w:t>
            </w:r>
          </w:p>
        </w:tc>
        <w:tc>
          <w:tcPr>
            <w:tcW w:w="2419" w:type="dxa"/>
            <w:tcBorders>
              <w:top w:val="nil"/>
              <w:bottom w:val="nil"/>
            </w:tcBorders>
            <w:tcMar>
              <w:left w:w="108" w:type="dxa"/>
              <w:right w:w="108" w:type="dxa"/>
            </w:tcMar>
            <w:vAlign w:val="center"/>
          </w:tcPr>
          <w:p w14:paraId="5C9D8B87" w14:textId="77777777" w:rsidR="00AD291E" w:rsidRDefault="00AA6E6F">
            <w:pPr>
              <w:pStyle w:val="NormalWeb"/>
              <w:jc w:val="center"/>
              <w:rPr>
                <w:rFonts w:ascii="Arial" w:hAnsi="Arial" w:cs="Arial"/>
                <w:sz w:val="22"/>
                <w:szCs w:val="22"/>
              </w:rPr>
            </w:pPr>
            <w:r>
              <w:rPr>
                <w:rFonts w:ascii="Arial" w:hAnsi="Arial" w:cs="Arial"/>
                <w:color w:val="000000"/>
                <w:sz w:val="22"/>
                <w:szCs w:val="22"/>
              </w:rPr>
              <w:t>Bicarbonate (mmol/L)</w:t>
            </w:r>
          </w:p>
        </w:tc>
        <w:tc>
          <w:tcPr>
            <w:tcW w:w="2789" w:type="dxa"/>
            <w:tcBorders>
              <w:top w:val="nil"/>
              <w:bottom w:val="nil"/>
            </w:tcBorders>
            <w:tcMar>
              <w:left w:w="108" w:type="dxa"/>
              <w:right w:w="108" w:type="dxa"/>
            </w:tcMar>
            <w:vAlign w:val="center"/>
          </w:tcPr>
          <w:p w14:paraId="22FE9216" w14:textId="77777777" w:rsidR="00AD291E" w:rsidRDefault="00AA6E6F">
            <w:pPr>
              <w:pStyle w:val="NormalWeb"/>
              <w:jc w:val="center"/>
              <w:rPr>
                <w:rFonts w:ascii="Arial" w:hAnsi="Arial" w:cs="Arial"/>
                <w:sz w:val="22"/>
                <w:szCs w:val="22"/>
              </w:rPr>
            </w:pPr>
            <w:r>
              <w:rPr>
                <w:rFonts w:ascii="Arial" w:hAnsi="Arial" w:cs="Arial"/>
                <w:color w:val="000000"/>
                <w:sz w:val="22"/>
                <w:szCs w:val="22"/>
              </w:rPr>
              <w:t>-0.1042</w:t>
            </w:r>
          </w:p>
        </w:tc>
        <w:tc>
          <w:tcPr>
            <w:tcW w:w="926" w:type="dxa"/>
            <w:tcBorders>
              <w:top w:val="nil"/>
              <w:bottom w:val="nil"/>
            </w:tcBorders>
            <w:tcMar>
              <w:left w:w="108" w:type="dxa"/>
              <w:right w:w="108" w:type="dxa"/>
            </w:tcMar>
            <w:vAlign w:val="center"/>
          </w:tcPr>
          <w:p w14:paraId="1B3719E1" w14:textId="77777777" w:rsidR="00AD291E" w:rsidRDefault="00AA6E6F">
            <w:pPr>
              <w:pStyle w:val="NormalWeb"/>
              <w:jc w:val="center"/>
              <w:rPr>
                <w:rFonts w:ascii="Arial" w:hAnsi="Arial" w:cs="Arial"/>
                <w:sz w:val="22"/>
                <w:szCs w:val="22"/>
              </w:rPr>
            </w:pPr>
            <w:r>
              <w:rPr>
                <w:rFonts w:ascii="Arial" w:hAnsi="Arial" w:cs="Arial"/>
                <w:color w:val="000000"/>
                <w:sz w:val="22"/>
                <w:szCs w:val="22"/>
              </w:rPr>
              <w:t>0.6529</w:t>
            </w:r>
          </w:p>
        </w:tc>
        <w:tc>
          <w:tcPr>
            <w:tcW w:w="1156" w:type="dxa"/>
            <w:tcBorders>
              <w:top w:val="nil"/>
              <w:bottom w:val="nil"/>
            </w:tcBorders>
            <w:tcMar>
              <w:left w:w="108" w:type="dxa"/>
              <w:right w:w="108" w:type="dxa"/>
            </w:tcMar>
            <w:vAlign w:val="center"/>
          </w:tcPr>
          <w:p w14:paraId="2BE895F2" w14:textId="77777777" w:rsidR="00AD291E" w:rsidRDefault="00AA6E6F">
            <w:pPr>
              <w:pStyle w:val="NormalWeb"/>
              <w:jc w:val="center"/>
              <w:rPr>
                <w:rFonts w:ascii="Arial" w:hAnsi="Arial" w:cs="Arial"/>
                <w:sz w:val="22"/>
                <w:szCs w:val="22"/>
              </w:rPr>
            </w:pPr>
            <w:r>
              <w:rPr>
                <w:rFonts w:ascii="Arial" w:hAnsi="Arial" w:cs="Arial"/>
                <w:color w:val="000000"/>
                <w:sz w:val="22"/>
                <w:szCs w:val="22"/>
              </w:rPr>
              <w:t>NS, SNC</w:t>
            </w:r>
          </w:p>
        </w:tc>
      </w:tr>
      <w:tr w:rsidR="00AD291E" w14:paraId="25D58E9F" w14:textId="77777777">
        <w:trPr>
          <w:trHeight w:val="574"/>
        </w:trPr>
        <w:tc>
          <w:tcPr>
            <w:tcW w:w="2407" w:type="dxa"/>
            <w:tcBorders>
              <w:top w:val="nil"/>
              <w:bottom w:val="single" w:sz="6" w:space="0" w:color="000008"/>
            </w:tcBorders>
            <w:tcMar>
              <w:left w:w="108" w:type="dxa"/>
              <w:right w:w="108" w:type="dxa"/>
            </w:tcMar>
            <w:vAlign w:val="center"/>
          </w:tcPr>
          <w:p w14:paraId="1DD6C75A" w14:textId="77777777" w:rsidR="00AD291E" w:rsidRDefault="00AA6E6F">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single" w:sz="6" w:space="0" w:color="000008"/>
            </w:tcBorders>
            <w:tcMar>
              <w:left w:w="108" w:type="dxa"/>
              <w:right w:w="108" w:type="dxa"/>
            </w:tcMar>
            <w:vAlign w:val="center"/>
          </w:tcPr>
          <w:p w14:paraId="53AA8F7A" w14:textId="77777777" w:rsidR="00AD291E" w:rsidRDefault="00AA6E6F">
            <w:pPr>
              <w:pStyle w:val="NormalWeb"/>
              <w:jc w:val="center"/>
              <w:rPr>
                <w:rFonts w:ascii="Arial" w:hAnsi="Arial" w:cs="Arial"/>
                <w:sz w:val="22"/>
                <w:szCs w:val="22"/>
              </w:rPr>
            </w:pPr>
            <w:r>
              <w:rPr>
                <w:rFonts w:ascii="Arial" w:hAnsi="Arial" w:cs="Arial"/>
                <w:color w:val="000000"/>
                <w:sz w:val="22"/>
                <w:szCs w:val="22"/>
              </w:rPr>
              <w:t>Anion Gap (mmol/L)</w:t>
            </w:r>
          </w:p>
        </w:tc>
        <w:tc>
          <w:tcPr>
            <w:tcW w:w="2789" w:type="dxa"/>
            <w:tcBorders>
              <w:top w:val="nil"/>
              <w:bottom w:val="single" w:sz="6" w:space="0" w:color="000008"/>
            </w:tcBorders>
            <w:tcMar>
              <w:left w:w="108" w:type="dxa"/>
              <w:right w:w="108" w:type="dxa"/>
            </w:tcMar>
            <w:vAlign w:val="center"/>
          </w:tcPr>
          <w:p w14:paraId="514F159C" w14:textId="77777777" w:rsidR="00AD291E" w:rsidRDefault="00AA6E6F">
            <w:pPr>
              <w:pStyle w:val="NormalWeb"/>
              <w:jc w:val="center"/>
              <w:rPr>
                <w:rFonts w:ascii="Arial" w:hAnsi="Arial" w:cs="Arial"/>
                <w:sz w:val="22"/>
                <w:szCs w:val="22"/>
              </w:rPr>
            </w:pPr>
            <w:r>
              <w:rPr>
                <w:rFonts w:ascii="Arial" w:hAnsi="Arial" w:cs="Arial"/>
                <w:color w:val="000000"/>
                <w:sz w:val="22"/>
                <w:szCs w:val="22"/>
              </w:rPr>
              <w:t>0.0563</w:t>
            </w:r>
          </w:p>
        </w:tc>
        <w:tc>
          <w:tcPr>
            <w:tcW w:w="926" w:type="dxa"/>
            <w:tcBorders>
              <w:top w:val="nil"/>
              <w:bottom w:val="single" w:sz="6" w:space="0" w:color="000008"/>
            </w:tcBorders>
            <w:tcMar>
              <w:left w:w="108" w:type="dxa"/>
              <w:right w:w="108" w:type="dxa"/>
            </w:tcMar>
            <w:vAlign w:val="center"/>
          </w:tcPr>
          <w:p w14:paraId="61FCD6CA" w14:textId="77777777" w:rsidR="00AD291E" w:rsidRDefault="00AA6E6F">
            <w:pPr>
              <w:pStyle w:val="NormalWeb"/>
              <w:jc w:val="center"/>
              <w:rPr>
                <w:rFonts w:ascii="Arial" w:hAnsi="Arial" w:cs="Arial"/>
                <w:sz w:val="22"/>
                <w:szCs w:val="22"/>
              </w:rPr>
            </w:pPr>
            <w:r>
              <w:rPr>
                <w:rFonts w:ascii="Arial" w:hAnsi="Arial" w:cs="Arial"/>
                <w:color w:val="000000"/>
                <w:sz w:val="22"/>
                <w:szCs w:val="22"/>
              </w:rPr>
              <w:t>0.8084</w:t>
            </w:r>
          </w:p>
        </w:tc>
        <w:tc>
          <w:tcPr>
            <w:tcW w:w="1156" w:type="dxa"/>
            <w:tcBorders>
              <w:top w:val="nil"/>
              <w:bottom w:val="single" w:sz="6" w:space="0" w:color="000008"/>
            </w:tcBorders>
            <w:tcMar>
              <w:left w:w="108" w:type="dxa"/>
              <w:right w:w="108" w:type="dxa"/>
            </w:tcMar>
            <w:vAlign w:val="center"/>
          </w:tcPr>
          <w:p w14:paraId="3BC8EA69" w14:textId="77777777" w:rsidR="00AD291E" w:rsidRDefault="00AA6E6F">
            <w:pPr>
              <w:pStyle w:val="NormalWeb"/>
              <w:jc w:val="center"/>
              <w:rPr>
                <w:rFonts w:ascii="Arial" w:hAnsi="Arial" w:cs="Arial"/>
                <w:sz w:val="22"/>
                <w:szCs w:val="22"/>
              </w:rPr>
            </w:pPr>
            <w:r>
              <w:rPr>
                <w:rFonts w:ascii="Arial" w:hAnsi="Arial" w:cs="Arial"/>
                <w:color w:val="000000"/>
                <w:sz w:val="22"/>
                <w:szCs w:val="22"/>
              </w:rPr>
              <w:t>NS, W</w:t>
            </w:r>
          </w:p>
        </w:tc>
      </w:tr>
    </w:tbl>
    <w:p w14:paraId="0CCD2063" w14:textId="77777777" w:rsidR="00AD291E" w:rsidRDefault="00AA6E6F">
      <w:pPr>
        <w:spacing w:before="0" w:beforeAutospacing="0" w:after="0" w:line="240" w:lineRule="auto"/>
        <w:rPr>
          <w:rFonts w:ascii="Arial" w:hAnsi="Arial"/>
          <w:sz w:val="20"/>
          <w:szCs w:val="20"/>
        </w:rPr>
      </w:pPr>
      <w:r>
        <w:rPr>
          <w:rFonts w:ascii="Arial" w:hAnsi="Arial" w:cs="Arial"/>
          <w:sz w:val="20"/>
          <w:szCs w:val="20"/>
        </w:rPr>
        <w:t>Key: NS - Non-Significant (p&gt;0.05), W - Weak (r~0), SNC - Strong Negative Correlation (r&lt;0)</w:t>
      </w:r>
    </w:p>
    <w:p w14:paraId="34603967" w14:textId="77777777" w:rsidR="00AD291E" w:rsidRDefault="00AD291E">
      <w:pPr>
        <w:rPr>
          <w:rFonts w:ascii="Arial" w:hAnsi="Arial"/>
          <w:sz w:val="22"/>
          <w:szCs w:val="22"/>
        </w:rPr>
      </w:pPr>
    </w:p>
    <w:p w14:paraId="6A86EA2D" w14:textId="77777777" w:rsidR="00AD291E" w:rsidRDefault="00AD291E">
      <w:pPr>
        <w:rPr>
          <w:rFonts w:ascii="Arial" w:hAnsi="Arial"/>
          <w:sz w:val="22"/>
          <w:szCs w:val="22"/>
        </w:rPr>
      </w:pPr>
    </w:p>
    <w:p w14:paraId="54D29E4F" w14:textId="77777777" w:rsidR="00AD291E" w:rsidRDefault="00AA6E6F">
      <w:pPr>
        <w:rPr>
          <w:rFonts w:ascii="Arial" w:hAnsi="Arial" w:cs="Arial"/>
          <w:sz w:val="22"/>
          <w:szCs w:val="22"/>
        </w:rPr>
      </w:pPr>
      <w:r>
        <w:rPr>
          <w:rFonts w:ascii="Arial" w:hAnsi="Arial" w:cs="Arial"/>
          <w:b/>
          <w:bCs/>
          <w:sz w:val="22"/>
          <w:szCs w:val="22"/>
        </w:rPr>
        <w:t>Table 8: Correlation Between Duration of Bodybuilding and Kidney Function Parameters</w:t>
      </w:r>
    </w:p>
    <w:tbl>
      <w:tblPr>
        <w:tblW w:w="9577" w:type="dxa"/>
        <w:tblCellMar>
          <w:left w:w="0" w:type="dxa"/>
          <w:right w:w="0" w:type="dxa"/>
        </w:tblCellMar>
        <w:tblLook w:val="04A0" w:firstRow="1" w:lastRow="0" w:firstColumn="1" w:lastColumn="0" w:noHBand="0" w:noVBand="1"/>
      </w:tblPr>
      <w:tblGrid>
        <w:gridCol w:w="2377"/>
        <w:gridCol w:w="2389"/>
        <w:gridCol w:w="2754"/>
        <w:gridCol w:w="915"/>
        <w:gridCol w:w="1142"/>
      </w:tblGrid>
      <w:tr w:rsidR="00AD291E" w14:paraId="5E105F6D" w14:textId="77777777">
        <w:trPr>
          <w:trHeight w:val="618"/>
        </w:trPr>
        <w:tc>
          <w:tcPr>
            <w:tcW w:w="2377" w:type="dxa"/>
            <w:tcBorders>
              <w:top w:val="single" w:sz="6" w:space="0" w:color="000008"/>
              <w:bottom w:val="single" w:sz="6" w:space="0" w:color="000008"/>
            </w:tcBorders>
            <w:tcMar>
              <w:left w:w="108" w:type="dxa"/>
              <w:right w:w="108" w:type="dxa"/>
            </w:tcMar>
            <w:vAlign w:val="center"/>
          </w:tcPr>
          <w:p w14:paraId="2F100DFF" w14:textId="77777777" w:rsidR="00AD291E" w:rsidRDefault="00AA6E6F">
            <w:pPr>
              <w:pStyle w:val="NormalWeb"/>
              <w:jc w:val="center"/>
              <w:rPr>
                <w:rFonts w:ascii="Arial" w:hAnsi="Arial" w:cs="Arial"/>
                <w:sz w:val="22"/>
                <w:szCs w:val="22"/>
              </w:rPr>
            </w:pPr>
            <w:r>
              <w:rPr>
                <w:rFonts w:ascii="Arial" w:hAnsi="Arial" w:cs="Arial"/>
                <w:color w:val="000000"/>
                <w:sz w:val="22"/>
                <w:szCs w:val="22"/>
              </w:rPr>
              <w:t>Independent Variable</w:t>
            </w:r>
          </w:p>
        </w:tc>
        <w:tc>
          <w:tcPr>
            <w:tcW w:w="2389" w:type="dxa"/>
            <w:tcBorders>
              <w:top w:val="single" w:sz="6" w:space="0" w:color="000008"/>
              <w:bottom w:val="single" w:sz="6" w:space="0" w:color="000008"/>
            </w:tcBorders>
            <w:tcMar>
              <w:left w:w="108" w:type="dxa"/>
              <w:right w:w="108" w:type="dxa"/>
            </w:tcMar>
            <w:vAlign w:val="center"/>
          </w:tcPr>
          <w:p w14:paraId="15F5CC8D" w14:textId="77777777" w:rsidR="00AD291E" w:rsidRDefault="00AA6E6F">
            <w:pPr>
              <w:pStyle w:val="NormalWeb"/>
              <w:jc w:val="center"/>
              <w:rPr>
                <w:rFonts w:ascii="Arial" w:hAnsi="Arial" w:cs="Arial"/>
                <w:sz w:val="22"/>
                <w:szCs w:val="22"/>
              </w:rPr>
            </w:pPr>
            <w:r>
              <w:rPr>
                <w:rFonts w:ascii="Arial" w:hAnsi="Arial" w:cs="Arial"/>
                <w:color w:val="000000"/>
                <w:sz w:val="22"/>
                <w:szCs w:val="22"/>
              </w:rPr>
              <w:t>Dependent Variable</w:t>
            </w:r>
          </w:p>
        </w:tc>
        <w:tc>
          <w:tcPr>
            <w:tcW w:w="2754" w:type="dxa"/>
            <w:tcBorders>
              <w:top w:val="single" w:sz="6" w:space="0" w:color="000008"/>
              <w:bottom w:val="single" w:sz="6" w:space="0" w:color="000008"/>
            </w:tcBorders>
            <w:tcMar>
              <w:left w:w="108" w:type="dxa"/>
              <w:right w:w="108" w:type="dxa"/>
            </w:tcMar>
            <w:vAlign w:val="center"/>
          </w:tcPr>
          <w:p w14:paraId="11B4F9B1" w14:textId="77777777" w:rsidR="00AD291E" w:rsidRDefault="00AA6E6F">
            <w:pPr>
              <w:pStyle w:val="NormalWeb"/>
              <w:jc w:val="center"/>
              <w:rPr>
                <w:rFonts w:ascii="Arial" w:hAnsi="Arial" w:cs="Arial"/>
                <w:sz w:val="22"/>
                <w:szCs w:val="22"/>
              </w:rPr>
            </w:pPr>
            <w:r>
              <w:rPr>
                <w:rFonts w:ascii="Arial" w:hAnsi="Arial" w:cs="Arial"/>
                <w:color w:val="000000"/>
                <w:sz w:val="22"/>
                <w:szCs w:val="22"/>
              </w:rPr>
              <w:t>Correlation Coefficient (r)</w:t>
            </w:r>
          </w:p>
        </w:tc>
        <w:tc>
          <w:tcPr>
            <w:tcW w:w="915" w:type="dxa"/>
            <w:tcBorders>
              <w:top w:val="single" w:sz="6" w:space="0" w:color="000008"/>
              <w:bottom w:val="single" w:sz="6" w:space="0" w:color="000008"/>
            </w:tcBorders>
            <w:tcMar>
              <w:left w:w="108" w:type="dxa"/>
              <w:right w:w="108" w:type="dxa"/>
            </w:tcMar>
            <w:vAlign w:val="center"/>
          </w:tcPr>
          <w:p w14:paraId="66DBC52E" w14:textId="77777777" w:rsidR="00AD291E" w:rsidRDefault="00AA6E6F">
            <w:pPr>
              <w:pStyle w:val="NormalWeb"/>
              <w:jc w:val="center"/>
              <w:rPr>
                <w:rFonts w:ascii="Arial" w:hAnsi="Arial" w:cs="Arial"/>
                <w:sz w:val="22"/>
                <w:szCs w:val="22"/>
              </w:rPr>
            </w:pPr>
            <w:r>
              <w:rPr>
                <w:rFonts w:ascii="Arial" w:hAnsi="Arial" w:cs="Arial"/>
                <w:color w:val="000000"/>
                <w:sz w:val="22"/>
                <w:szCs w:val="22"/>
              </w:rPr>
              <w:t>p-value</w:t>
            </w:r>
          </w:p>
        </w:tc>
        <w:tc>
          <w:tcPr>
            <w:tcW w:w="1142" w:type="dxa"/>
            <w:tcBorders>
              <w:top w:val="single" w:sz="6" w:space="0" w:color="000008"/>
              <w:bottom w:val="single" w:sz="6" w:space="0" w:color="000008"/>
            </w:tcBorders>
            <w:tcMar>
              <w:left w:w="108" w:type="dxa"/>
              <w:right w:w="108" w:type="dxa"/>
            </w:tcMar>
            <w:vAlign w:val="center"/>
          </w:tcPr>
          <w:p w14:paraId="1828534D" w14:textId="77777777" w:rsidR="00AD291E" w:rsidRDefault="00AA6E6F">
            <w:pPr>
              <w:pStyle w:val="NormalWeb"/>
              <w:jc w:val="center"/>
              <w:rPr>
                <w:rFonts w:ascii="Arial" w:hAnsi="Arial" w:cs="Arial"/>
                <w:sz w:val="22"/>
                <w:szCs w:val="22"/>
              </w:rPr>
            </w:pPr>
            <w:r>
              <w:rPr>
                <w:rFonts w:ascii="Arial" w:hAnsi="Arial" w:cs="Arial"/>
                <w:color w:val="000000"/>
                <w:sz w:val="22"/>
                <w:szCs w:val="22"/>
              </w:rPr>
              <w:t>Remark</w:t>
            </w:r>
          </w:p>
        </w:tc>
      </w:tr>
      <w:tr w:rsidR="00AD291E" w14:paraId="4A5AFD21" w14:textId="77777777">
        <w:trPr>
          <w:trHeight w:val="560"/>
        </w:trPr>
        <w:tc>
          <w:tcPr>
            <w:tcW w:w="2377" w:type="dxa"/>
            <w:tcBorders>
              <w:top w:val="single" w:sz="6" w:space="0" w:color="000008"/>
              <w:bottom w:val="nil"/>
            </w:tcBorders>
            <w:tcMar>
              <w:left w:w="108" w:type="dxa"/>
              <w:right w:w="108" w:type="dxa"/>
            </w:tcMar>
            <w:vAlign w:val="center"/>
          </w:tcPr>
          <w:p w14:paraId="3529CA1D"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single" w:sz="6" w:space="0" w:color="000008"/>
              <w:bottom w:val="nil"/>
            </w:tcBorders>
            <w:tcMar>
              <w:left w:w="108" w:type="dxa"/>
              <w:right w:w="108" w:type="dxa"/>
            </w:tcMar>
            <w:vAlign w:val="center"/>
          </w:tcPr>
          <w:p w14:paraId="1F3B9B7F" w14:textId="77777777" w:rsidR="00AD291E" w:rsidRDefault="00AA6E6F">
            <w:pPr>
              <w:pStyle w:val="NormalWeb"/>
              <w:jc w:val="center"/>
              <w:rPr>
                <w:rFonts w:ascii="Arial" w:hAnsi="Arial" w:cs="Arial"/>
                <w:sz w:val="22"/>
                <w:szCs w:val="22"/>
              </w:rPr>
            </w:pPr>
            <w:r>
              <w:rPr>
                <w:rFonts w:ascii="Arial" w:hAnsi="Arial" w:cs="Arial"/>
                <w:color w:val="000000"/>
                <w:sz w:val="22"/>
                <w:szCs w:val="22"/>
              </w:rPr>
              <w:t>Urea (mmol/L)</w:t>
            </w:r>
          </w:p>
        </w:tc>
        <w:tc>
          <w:tcPr>
            <w:tcW w:w="2754" w:type="dxa"/>
            <w:tcBorders>
              <w:top w:val="single" w:sz="6" w:space="0" w:color="000008"/>
              <w:bottom w:val="nil"/>
            </w:tcBorders>
            <w:tcMar>
              <w:left w:w="108" w:type="dxa"/>
              <w:right w:w="108" w:type="dxa"/>
            </w:tcMar>
          </w:tcPr>
          <w:p w14:paraId="4CC90C43" w14:textId="77777777" w:rsidR="00AD291E" w:rsidRDefault="00AA6E6F">
            <w:pPr>
              <w:pStyle w:val="NormalWeb"/>
              <w:jc w:val="center"/>
              <w:rPr>
                <w:rFonts w:ascii="Arial" w:hAnsi="Arial" w:cs="Arial"/>
                <w:sz w:val="22"/>
                <w:szCs w:val="22"/>
              </w:rPr>
            </w:pPr>
            <w:r>
              <w:rPr>
                <w:rFonts w:ascii="Arial" w:hAnsi="Arial" w:cs="Arial"/>
                <w:color w:val="000000"/>
                <w:sz w:val="22"/>
                <w:szCs w:val="22"/>
              </w:rPr>
              <w:t>0.6668</w:t>
            </w:r>
          </w:p>
        </w:tc>
        <w:tc>
          <w:tcPr>
            <w:tcW w:w="915" w:type="dxa"/>
            <w:tcBorders>
              <w:top w:val="single" w:sz="6" w:space="0" w:color="000008"/>
              <w:bottom w:val="nil"/>
            </w:tcBorders>
            <w:tcMar>
              <w:left w:w="108" w:type="dxa"/>
              <w:right w:w="108" w:type="dxa"/>
            </w:tcMar>
          </w:tcPr>
          <w:p w14:paraId="57E837DC" w14:textId="77777777" w:rsidR="00AD291E" w:rsidRDefault="00AA6E6F">
            <w:pPr>
              <w:pStyle w:val="NormalWeb"/>
              <w:jc w:val="center"/>
              <w:rPr>
                <w:rFonts w:ascii="Arial" w:hAnsi="Arial" w:cs="Arial"/>
                <w:sz w:val="22"/>
                <w:szCs w:val="22"/>
              </w:rPr>
            </w:pPr>
            <w:r>
              <w:rPr>
                <w:rFonts w:ascii="Arial" w:hAnsi="Arial" w:cs="Arial"/>
                <w:color w:val="000000"/>
                <w:sz w:val="22"/>
                <w:szCs w:val="22"/>
              </w:rPr>
              <w:t>0.0010</w:t>
            </w:r>
          </w:p>
        </w:tc>
        <w:tc>
          <w:tcPr>
            <w:tcW w:w="1142" w:type="dxa"/>
            <w:tcBorders>
              <w:top w:val="single" w:sz="6" w:space="0" w:color="000008"/>
              <w:bottom w:val="nil"/>
            </w:tcBorders>
            <w:tcMar>
              <w:left w:w="108" w:type="dxa"/>
              <w:right w:w="108" w:type="dxa"/>
            </w:tcMar>
            <w:vAlign w:val="center"/>
          </w:tcPr>
          <w:p w14:paraId="02B3E4BE" w14:textId="77777777" w:rsidR="00AD291E" w:rsidRDefault="00AA6E6F">
            <w:pPr>
              <w:pStyle w:val="NormalWeb"/>
              <w:jc w:val="center"/>
              <w:rPr>
                <w:rFonts w:ascii="Arial" w:hAnsi="Arial" w:cs="Arial"/>
                <w:sz w:val="22"/>
                <w:szCs w:val="22"/>
              </w:rPr>
            </w:pPr>
            <w:r>
              <w:rPr>
                <w:rFonts w:ascii="Arial" w:hAnsi="Arial" w:cs="Arial"/>
                <w:color w:val="000000"/>
                <w:sz w:val="22"/>
                <w:szCs w:val="22"/>
              </w:rPr>
              <w:t>S, SPC</w:t>
            </w:r>
          </w:p>
        </w:tc>
      </w:tr>
      <w:tr w:rsidR="00AD291E" w14:paraId="71DA9413" w14:textId="77777777">
        <w:trPr>
          <w:trHeight w:val="614"/>
        </w:trPr>
        <w:tc>
          <w:tcPr>
            <w:tcW w:w="2377" w:type="dxa"/>
            <w:tcBorders>
              <w:top w:val="nil"/>
              <w:bottom w:val="nil"/>
            </w:tcBorders>
            <w:tcMar>
              <w:left w:w="108" w:type="dxa"/>
              <w:right w:w="108" w:type="dxa"/>
            </w:tcMar>
            <w:vAlign w:val="center"/>
          </w:tcPr>
          <w:p w14:paraId="1FADA5FF"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14:paraId="63C5EB4C" w14:textId="77777777" w:rsidR="00AD291E" w:rsidRDefault="00AA6E6F">
            <w:pPr>
              <w:pStyle w:val="NormalWeb"/>
              <w:jc w:val="center"/>
              <w:rPr>
                <w:rFonts w:ascii="Arial" w:hAnsi="Arial" w:cs="Arial"/>
                <w:sz w:val="22"/>
                <w:szCs w:val="22"/>
              </w:rPr>
            </w:pPr>
            <w:r>
              <w:rPr>
                <w:rFonts w:ascii="Arial" w:hAnsi="Arial" w:cs="Arial"/>
                <w:color w:val="000000"/>
                <w:sz w:val="22"/>
                <w:szCs w:val="22"/>
              </w:rPr>
              <w:t>Creatinine (</w:t>
            </w:r>
            <w:proofErr w:type="spellStart"/>
            <w:r>
              <w:rPr>
                <w:rFonts w:ascii="Arial" w:hAnsi="Arial" w:cs="Arial"/>
                <w:color w:val="000000"/>
                <w:sz w:val="22"/>
                <w:szCs w:val="22"/>
              </w:rPr>
              <w:t>μmol</w:t>
            </w:r>
            <w:proofErr w:type="spellEnd"/>
            <w:r>
              <w:rPr>
                <w:rFonts w:ascii="Arial" w:hAnsi="Arial" w:cs="Arial"/>
                <w:color w:val="000000"/>
                <w:sz w:val="22"/>
                <w:szCs w:val="22"/>
              </w:rPr>
              <w:t>/l)</w:t>
            </w:r>
          </w:p>
        </w:tc>
        <w:tc>
          <w:tcPr>
            <w:tcW w:w="2754" w:type="dxa"/>
            <w:tcBorders>
              <w:top w:val="nil"/>
              <w:bottom w:val="nil"/>
            </w:tcBorders>
            <w:tcMar>
              <w:left w:w="108" w:type="dxa"/>
              <w:right w:w="108" w:type="dxa"/>
            </w:tcMar>
          </w:tcPr>
          <w:p w14:paraId="3AE09D46" w14:textId="77777777" w:rsidR="00AD291E" w:rsidRDefault="00AA6E6F">
            <w:pPr>
              <w:pStyle w:val="NormalWeb"/>
              <w:jc w:val="center"/>
              <w:rPr>
                <w:rFonts w:ascii="Arial" w:hAnsi="Arial" w:cs="Arial"/>
                <w:sz w:val="22"/>
                <w:szCs w:val="22"/>
              </w:rPr>
            </w:pPr>
            <w:r>
              <w:rPr>
                <w:rFonts w:ascii="Arial" w:hAnsi="Arial" w:cs="Arial"/>
                <w:color w:val="000000"/>
                <w:sz w:val="22"/>
                <w:szCs w:val="22"/>
              </w:rPr>
              <w:t>-0.03513</w:t>
            </w:r>
          </w:p>
        </w:tc>
        <w:tc>
          <w:tcPr>
            <w:tcW w:w="915" w:type="dxa"/>
            <w:tcBorders>
              <w:top w:val="nil"/>
              <w:bottom w:val="nil"/>
            </w:tcBorders>
            <w:tcMar>
              <w:left w:w="108" w:type="dxa"/>
              <w:right w:w="108" w:type="dxa"/>
            </w:tcMar>
          </w:tcPr>
          <w:p w14:paraId="55FE5807" w14:textId="77777777" w:rsidR="00AD291E" w:rsidRDefault="00AA6E6F">
            <w:pPr>
              <w:pStyle w:val="NormalWeb"/>
              <w:jc w:val="center"/>
              <w:rPr>
                <w:rFonts w:ascii="Arial" w:hAnsi="Arial" w:cs="Arial"/>
                <w:sz w:val="22"/>
                <w:szCs w:val="22"/>
              </w:rPr>
            </w:pPr>
            <w:r>
              <w:rPr>
                <w:rFonts w:ascii="Arial" w:hAnsi="Arial" w:cs="Arial"/>
                <w:color w:val="000000"/>
                <w:sz w:val="22"/>
                <w:szCs w:val="22"/>
              </w:rPr>
              <w:t>0.8798</w:t>
            </w:r>
          </w:p>
        </w:tc>
        <w:tc>
          <w:tcPr>
            <w:tcW w:w="1142" w:type="dxa"/>
            <w:tcBorders>
              <w:top w:val="nil"/>
              <w:bottom w:val="nil"/>
            </w:tcBorders>
            <w:tcMar>
              <w:left w:w="108" w:type="dxa"/>
              <w:right w:w="108" w:type="dxa"/>
            </w:tcMar>
            <w:vAlign w:val="center"/>
          </w:tcPr>
          <w:p w14:paraId="1983D6F7" w14:textId="77777777" w:rsidR="00AD291E" w:rsidRDefault="00AA6E6F">
            <w:pPr>
              <w:pStyle w:val="NormalWeb"/>
              <w:jc w:val="center"/>
              <w:rPr>
                <w:rFonts w:ascii="Arial" w:hAnsi="Arial" w:cs="Arial"/>
                <w:sz w:val="22"/>
                <w:szCs w:val="22"/>
              </w:rPr>
            </w:pPr>
            <w:r>
              <w:rPr>
                <w:rFonts w:ascii="Arial" w:hAnsi="Arial" w:cs="Arial"/>
                <w:color w:val="000000"/>
                <w:sz w:val="22"/>
                <w:szCs w:val="22"/>
              </w:rPr>
              <w:t>NS, SNC</w:t>
            </w:r>
          </w:p>
        </w:tc>
      </w:tr>
      <w:tr w:rsidR="00AD291E" w14:paraId="69204C93" w14:textId="77777777">
        <w:trPr>
          <w:trHeight w:val="532"/>
        </w:trPr>
        <w:tc>
          <w:tcPr>
            <w:tcW w:w="2377" w:type="dxa"/>
            <w:tcBorders>
              <w:top w:val="nil"/>
              <w:bottom w:val="nil"/>
            </w:tcBorders>
            <w:tcMar>
              <w:left w:w="108" w:type="dxa"/>
              <w:right w:w="108" w:type="dxa"/>
            </w:tcMar>
            <w:vAlign w:val="center"/>
          </w:tcPr>
          <w:p w14:paraId="696F8EA4"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14:paraId="77C01F96" w14:textId="77777777" w:rsidR="00AD291E" w:rsidRDefault="00AA6E6F">
            <w:pPr>
              <w:pStyle w:val="NormalWeb"/>
              <w:jc w:val="center"/>
              <w:rPr>
                <w:rFonts w:ascii="Arial" w:hAnsi="Arial" w:cs="Arial"/>
                <w:sz w:val="22"/>
                <w:szCs w:val="22"/>
              </w:rPr>
            </w:pPr>
            <w:r>
              <w:rPr>
                <w:rFonts w:ascii="Arial" w:hAnsi="Arial" w:cs="Arial"/>
                <w:color w:val="000000"/>
                <w:sz w:val="22"/>
                <w:szCs w:val="22"/>
              </w:rPr>
              <w:t>Sodium (mmol/L)</w:t>
            </w:r>
          </w:p>
        </w:tc>
        <w:tc>
          <w:tcPr>
            <w:tcW w:w="2754" w:type="dxa"/>
            <w:tcBorders>
              <w:top w:val="nil"/>
              <w:bottom w:val="nil"/>
            </w:tcBorders>
            <w:tcMar>
              <w:left w:w="108" w:type="dxa"/>
              <w:right w:w="108" w:type="dxa"/>
            </w:tcMar>
          </w:tcPr>
          <w:p w14:paraId="2088C0EB" w14:textId="77777777" w:rsidR="00AD291E" w:rsidRDefault="00AA6E6F">
            <w:pPr>
              <w:pStyle w:val="NormalWeb"/>
              <w:jc w:val="center"/>
              <w:rPr>
                <w:rFonts w:ascii="Arial" w:hAnsi="Arial" w:cs="Arial"/>
                <w:sz w:val="22"/>
                <w:szCs w:val="22"/>
              </w:rPr>
            </w:pPr>
            <w:r>
              <w:rPr>
                <w:rFonts w:ascii="Arial" w:hAnsi="Arial" w:cs="Arial"/>
                <w:color w:val="000000"/>
                <w:sz w:val="22"/>
                <w:szCs w:val="22"/>
              </w:rPr>
              <w:t>0.2459</w:t>
            </w:r>
          </w:p>
        </w:tc>
        <w:tc>
          <w:tcPr>
            <w:tcW w:w="915" w:type="dxa"/>
            <w:tcBorders>
              <w:top w:val="nil"/>
              <w:bottom w:val="nil"/>
            </w:tcBorders>
            <w:tcMar>
              <w:left w:w="108" w:type="dxa"/>
              <w:right w:w="108" w:type="dxa"/>
            </w:tcMar>
          </w:tcPr>
          <w:p w14:paraId="395DC1ED" w14:textId="77777777" w:rsidR="00AD291E" w:rsidRDefault="00AA6E6F">
            <w:pPr>
              <w:pStyle w:val="NormalWeb"/>
              <w:jc w:val="center"/>
              <w:rPr>
                <w:rFonts w:ascii="Arial" w:hAnsi="Arial" w:cs="Arial"/>
                <w:sz w:val="22"/>
                <w:szCs w:val="22"/>
              </w:rPr>
            </w:pPr>
            <w:r>
              <w:rPr>
                <w:rFonts w:ascii="Arial" w:hAnsi="Arial" w:cs="Arial"/>
                <w:color w:val="000000"/>
                <w:sz w:val="22"/>
                <w:szCs w:val="22"/>
              </w:rPr>
              <w:t>0.2826</w:t>
            </w:r>
          </w:p>
        </w:tc>
        <w:tc>
          <w:tcPr>
            <w:tcW w:w="1142" w:type="dxa"/>
            <w:tcBorders>
              <w:top w:val="nil"/>
              <w:bottom w:val="nil"/>
            </w:tcBorders>
            <w:tcMar>
              <w:left w:w="108" w:type="dxa"/>
              <w:right w:w="108" w:type="dxa"/>
            </w:tcMar>
            <w:vAlign w:val="center"/>
          </w:tcPr>
          <w:p w14:paraId="5CE570AC" w14:textId="77777777" w:rsidR="00AD291E" w:rsidRDefault="00AA6E6F">
            <w:pPr>
              <w:pStyle w:val="NormalWeb"/>
              <w:jc w:val="center"/>
              <w:rPr>
                <w:rFonts w:ascii="Arial" w:hAnsi="Arial" w:cs="Arial"/>
                <w:sz w:val="22"/>
                <w:szCs w:val="22"/>
              </w:rPr>
            </w:pPr>
            <w:r>
              <w:rPr>
                <w:rFonts w:ascii="Arial" w:hAnsi="Arial" w:cs="Arial"/>
                <w:color w:val="000000"/>
                <w:sz w:val="22"/>
                <w:szCs w:val="22"/>
              </w:rPr>
              <w:t>NS, W</w:t>
            </w:r>
          </w:p>
        </w:tc>
      </w:tr>
      <w:tr w:rsidR="00AD291E" w14:paraId="064FC8A2" w14:textId="77777777">
        <w:trPr>
          <w:trHeight w:val="628"/>
        </w:trPr>
        <w:tc>
          <w:tcPr>
            <w:tcW w:w="2377" w:type="dxa"/>
            <w:tcBorders>
              <w:top w:val="nil"/>
              <w:bottom w:val="nil"/>
            </w:tcBorders>
            <w:tcMar>
              <w:left w:w="108" w:type="dxa"/>
              <w:right w:w="108" w:type="dxa"/>
            </w:tcMar>
            <w:vAlign w:val="center"/>
          </w:tcPr>
          <w:p w14:paraId="1726984B"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14:paraId="3EAD3682" w14:textId="77777777" w:rsidR="00AD291E" w:rsidRDefault="00AA6E6F">
            <w:pPr>
              <w:pStyle w:val="NormalWeb"/>
              <w:jc w:val="center"/>
              <w:rPr>
                <w:rFonts w:ascii="Arial" w:hAnsi="Arial" w:cs="Arial"/>
                <w:sz w:val="22"/>
                <w:szCs w:val="22"/>
              </w:rPr>
            </w:pPr>
            <w:r>
              <w:rPr>
                <w:rFonts w:ascii="Arial" w:hAnsi="Arial" w:cs="Arial"/>
                <w:color w:val="000000"/>
                <w:sz w:val="22"/>
                <w:szCs w:val="22"/>
              </w:rPr>
              <w:t>Potassium (mmol/L)</w:t>
            </w:r>
          </w:p>
        </w:tc>
        <w:tc>
          <w:tcPr>
            <w:tcW w:w="2754" w:type="dxa"/>
            <w:tcBorders>
              <w:top w:val="nil"/>
              <w:bottom w:val="nil"/>
            </w:tcBorders>
            <w:tcMar>
              <w:left w:w="108" w:type="dxa"/>
              <w:right w:w="108" w:type="dxa"/>
            </w:tcMar>
          </w:tcPr>
          <w:p w14:paraId="1610FB16" w14:textId="77777777" w:rsidR="00AD291E" w:rsidRDefault="00AA6E6F">
            <w:pPr>
              <w:pStyle w:val="NormalWeb"/>
              <w:jc w:val="center"/>
              <w:rPr>
                <w:rFonts w:ascii="Arial" w:hAnsi="Arial" w:cs="Arial"/>
                <w:sz w:val="22"/>
                <w:szCs w:val="22"/>
              </w:rPr>
            </w:pPr>
            <w:r>
              <w:rPr>
                <w:rFonts w:ascii="Arial" w:hAnsi="Arial" w:cs="Arial"/>
                <w:color w:val="000000"/>
                <w:sz w:val="22"/>
                <w:szCs w:val="22"/>
              </w:rPr>
              <w:t>0.1306</w:t>
            </w:r>
          </w:p>
        </w:tc>
        <w:tc>
          <w:tcPr>
            <w:tcW w:w="915" w:type="dxa"/>
            <w:tcBorders>
              <w:top w:val="nil"/>
              <w:bottom w:val="nil"/>
            </w:tcBorders>
            <w:tcMar>
              <w:left w:w="108" w:type="dxa"/>
              <w:right w:w="108" w:type="dxa"/>
            </w:tcMar>
          </w:tcPr>
          <w:p w14:paraId="247D3703" w14:textId="77777777" w:rsidR="00AD291E" w:rsidRDefault="00AA6E6F">
            <w:pPr>
              <w:pStyle w:val="NormalWeb"/>
              <w:jc w:val="center"/>
              <w:rPr>
                <w:rFonts w:ascii="Arial" w:hAnsi="Arial" w:cs="Arial"/>
                <w:sz w:val="22"/>
                <w:szCs w:val="22"/>
              </w:rPr>
            </w:pPr>
            <w:r>
              <w:rPr>
                <w:rFonts w:ascii="Arial" w:hAnsi="Arial" w:cs="Arial"/>
                <w:color w:val="000000"/>
                <w:sz w:val="22"/>
                <w:szCs w:val="22"/>
              </w:rPr>
              <w:t>0.5726</w:t>
            </w:r>
          </w:p>
        </w:tc>
        <w:tc>
          <w:tcPr>
            <w:tcW w:w="1142" w:type="dxa"/>
            <w:tcBorders>
              <w:top w:val="nil"/>
              <w:bottom w:val="nil"/>
            </w:tcBorders>
            <w:tcMar>
              <w:left w:w="108" w:type="dxa"/>
              <w:right w:w="108" w:type="dxa"/>
            </w:tcMar>
            <w:vAlign w:val="center"/>
          </w:tcPr>
          <w:p w14:paraId="72B43485" w14:textId="77777777" w:rsidR="00AD291E" w:rsidRDefault="00AA6E6F">
            <w:pPr>
              <w:pStyle w:val="NormalWeb"/>
              <w:jc w:val="center"/>
              <w:rPr>
                <w:rFonts w:ascii="Arial" w:hAnsi="Arial" w:cs="Arial"/>
                <w:sz w:val="22"/>
                <w:szCs w:val="22"/>
              </w:rPr>
            </w:pPr>
            <w:r>
              <w:rPr>
                <w:rFonts w:ascii="Arial" w:hAnsi="Arial" w:cs="Arial"/>
                <w:color w:val="000000"/>
                <w:sz w:val="22"/>
                <w:szCs w:val="22"/>
              </w:rPr>
              <w:t>NS, W</w:t>
            </w:r>
          </w:p>
        </w:tc>
      </w:tr>
      <w:tr w:rsidR="00AD291E" w14:paraId="5176D5C0" w14:textId="77777777">
        <w:trPr>
          <w:trHeight w:val="615"/>
        </w:trPr>
        <w:tc>
          <w:tcPr>
            <w:tcW w:w="2377" w:type="dxa"/>
            <w:tcBorders>
              <w:top w:val="nil"/>
              <w:bottom w:val="nil"/>
            </w:tcBorders>
            <w:tcMar>
              <w:left w:w="108" w:type="dxa"/>
              <w:right w:w="108" w:type="dxa"/>
            </w:tcMar>
            <w:vAlign w:val="center"/>
          </w:tcPr>
          <w:p w14:paraId="3DD09B22"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14:paraId="06DC4E9B" w14:textId="77777777" w:rsidR="00AD291E" w:rsidRDefault="00AA6E6F">
            <w:pPr>
              <w:pStyle w:val="NormalWeb"/>
              <w:jc w:val="center"/>
              <w:rPr>
                <w:rFonts w:ascii="Arial" w:hAnsi="Arial" w:cs="Arial"/>
                <w:sz w:val="22"/>
                <w:szCs w:val="22"/>
              </w:rPr>
            </w:pPr>
            <w:r>
              <w:rPr>
                <w:rFonts w:ascii="Arial" w:hAnsi="Arial" w:cs="Arial"/>
                <w:color w:val="000000"/>
                <w:sz w:val="22"/>
                <w:szCs w:val="22"/>
              </w:rPr>
              <w:t>Chloride (mmol/L)</w:t>
            </w:r>
          </w:p>
        </w:tc>
        <w:tc>
          <w:tcPr>
            <w:tcW w:w="2754" w:type="dxa"/>
            <w:tcBorders>
              <w:top w:val="nil"/>
              <w:bottom w:val="nil"/>
            </w:tcBorders>
            <w:tcMar>
              <w:left w:w="108" w:type="dxa"/>
              <w:right w:w="108" w:type="dxa"/>
            </w:tcMar>
          </w:tcPr>
          <w:p w14:paraId="4CC04F53" w14:textId="77777777" w:rsidR="00AD291E" w:rsidRDefault="00AA6E6F">
            <w:pPr>
              <w:pStyle w:val="NormalWeb"/>
              <w:jc w:val="center"/>
              <w:rPr>
                <w:rFonts w:ascii="Arial" w:hAnsi="Arial" w:cs="Arial"/>
                <w:sz w:val="22"/>
                <w:szCs w:val="22"/>
              </w:rPr>
            </w:pPr>
            <w:r>
              <w:rPr>
                <w:rFonts w:ascii="Arial" w:hAnsi="Arial" w:cs="Arial"/>
                <w:color w:val="000000"/>
                <w:sz w:val="22"/>
                <w:szCs w:val="22"/>
              </w:rPr>
              <w:t>0.02055</w:t>
            </w:r>
          </w:p>
        </w:tc>
        <w:tc>
          <w:tcPr>
            <w:tcW w:w="915" w:type="dxa"/>
            <w:tcBorders>
              <w:top w:val="nil"/>
              <w:bottom w:val="nil"/>
            </w:tcBorders>
            <w:tcMar>
              <w:left w:w="108" w:type="dxa"/>
              <w:right w:w="108" w:type="dxa"/>
            </w:tcMar>
          </w:tcPr>
          <w:p w14:paraId="08AFF3C7" w14:textId="77777777" w:rsidR="00AD291E" w:rsidRDefault="00AA6E6F">
            <w:pPr>
              <w:pStyle w:val="NormalWeb"/>
              <w:jc w:val="center"/>
              <w:rPr>
                <w:rFonts w:ascii="Arial" w:hAnsi="Arial" w:cs="Arial"/>
                <w:sz w:val="22"/>
                <w:szCs w:val="22"/>
              </w:rPr>
            </w:pPr>
            <w:r>
              <w:rPr>
                <w:rFonts w:ascii="Arial" w:hAnsi="Arial" w:cs="Arial"/>
                <w:color w:val="000000"/>
                <w:sz w:val="22"/>
                <w:szCs w:val="22"/>
              </w:rPr>
              <w:t>0.9296</w:t>
            </w:r>
          </w:p>
        </w:tc>
        <w:tc>
          <w:tcPr>
            <w:tcW w:w="1142" w:type="dxa"/>
            <w:tcBorders>
              <w:top w:val="nil"/>
              <w:bottom w:val="nil"/>
            </w:tcBorders>
            <w:tcMar>
              <w:left w:w="108" w:type="dxa"/>
              <w:right w:w="108" w:type="dxa"/>
            </w:tcMar>
            <w:vAlign w:val="center"/>
          </w:tcPr>
          <w:p w14:paraId="6127DDDA" w14:textId="77777777" w:rsidR="00AD291E" w:rsidRDefault="00AA6E6F">
            <w:pPr>
              <w:pStyle w:val="NormalWeb"/>
              <w:jc w:val="center"/>
              <w:rPr>
                <w:rFonts w:ascii="Arial" w:hAnsi="Arial" w:cs="Arial"/>
                <w:sz w:val="22"/>
                <w:szCs w:val="22"/>
              </w:rPr>
            </w:pPr>
            <w:r>
              <w:rPr>
                <w:rFonts w:ascii="Arial" w:hAnsi="Arial" w:cs="Arial"/>
                <w:color w:val="000000"/>
                <w:sz w:val="22"/>
                <w:szCs w:val="22"/>
              </w:rPr>
              <w:t>NS, W</w:t>
            </w:r>
          </w:p>
        </w:tc>
      </w:tr>
      <w:tr w:rsidR="00AD291E" w14:paraId="63DAC708" w14:textId="77777777">
        <w:trPr>
          <w:trHeight w:val="546"/>
        </w:trPr>
        <w:tc>
          <w:tcPr>
            <w:tcW w:w="2377" w:type="dxa"/>
            <w:tcBorders>
              <w:top w:val="nil"/>
              <w:bottom w:val="nil"/>
            </w:tcBorders>
            <w:tcMar>
              <w:left w:w="108" w:type="dxa"/>
              <w:right w:w="108" w:type="dxa"/>
            </w:tcMar>
            <w:vAlign w:val="center"/>
          </w:tcPr>
          <w:p w14:paraId="56F3139F"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14:paraId="464491AE" w14:textId="77777777" w:rsidR="00AD291E" w:rsidRDefault="00AA6E6F">
            <w:pPr>
              <w:pStyle w:val="NormalWeb"/>
              <w:jc w:val="center"/>
              <w:rPr>
                <w:rFonts w:ascii="Arial" w:hAnsi="Arial" w:cs="Arial"/>
                <w:sz w:val="22"/>
                <w:szCs w:val="22"/>
              </w:rPr>
            </w:pPr>
            <w:r>
              <w:rPr>
                <w:rFonts w:ascii="Arial" w:hAnsi="Arial" w:cs="Arial"/>
                <w:color w:val="000000"/>
                <w:sz w:val="22"/>
                <w:szCs w:val="22"/>
              </w:rPr>
              <w:t>Bicarbonate (mmol/L)</w:t>
            </w:r>
          </w:p>
        </w:tc>
        <w:tc>
          <w:tcPr>
            <w:tcW w:w="2754" w:type="dxa"/>
            <w:tcBorders>
              <w:top w:val="nil"/>
              <w:bottom w:val="nil"/>
            </w:tcBorders>
            <w:tcMar>
              <w:left w:w="108" w:type="dxa"/>
              <w:right w:w="108" w:type="dxa"/>
            </w:tcMar>
          </w:tcPr>
          <w:p w14:paraId="4F958EA9" w14:textId="77777777" w:rsidR="00AD291E" w:rsidRDefault="00AA6E6F">
            <w:pPr>
              <w:pStyle w:val="NormalWeb"/>
              <w:jc w:val="center"/>
              <w:rPr>
                <w:rFonts w:ascii="Arial" w:hAnsi="Arial" w:cs="Arial"/>
                <w:sz w:val="22"/>
                <w:szCs w:val="22"/>
              </w:rPr>
            </w:pPr>
            <w:r>
              <w:rPr>
                <w:rFonts w:ascii="Arial" w:hAnsi="Arial" w:cs="Arial"/>
                <w:color w:val="000000"/>
                <w:sz w:val="22"/>
                <w:szCs w:val="22"/>
              </w:rPr>
              <w:t>0.1505</w:t>
            </w:r>
          </w:p>
        </w:tc>
        <w:tc>
          <w:tcPr>
            <w:tcW w:w="915" w:type="dxa"/>
            <w:tcBorders>
              <w:top w:val="nil"/>
              <w:bottom w:val="nil"/>
            </w:tcBorders>
            <w:tcMar>
              <w:left w:w="108" w:type="dxa"/>
              <w:right w:w="108" w:type="dxa"/>
            </w:tcMar>
          </w:tcPr>
          <w:p w14:paraId="378ECA0E" w14:textId="77777777" w:rsidR="00AD291E" w:rsidRDefault="00AA6E6F">
            <w:pPr>
              <w:pStyle w:val="NormalWeb"/>
              <w:jc w:val="center"/>
              <w:rPr>
                <w:rFonts w:ascii="Arial" w:hAnsi="Arial" w:cs="Arial"/>
                <w:sz w:val="22"/>
                <w:szCs w:val="22"/>
              </w:rPr>
            </w:pPr>
            <w:r>
              <w:rPr>
                <w:rFonts w:ascii="Arial" w:hAnsi="Arial" w:cs="Arial"/>
                <w:color w:val="000000"/>
                <w:sz w:val="22"/>
                <w:szCs w:val="22"/>
              </w:rPr>
              <w:t>0.5150</w:t>
            </w:r>
          </w:p>
        </w:tc>
        <w:tc>
          <w:tcPr>
            <w:tcW w:w="1142" w:type="dxa"/>
            <w:tcBorders>
              <w:top w:val="nil"/>
              <w:bottom w:val="nil"/>
            </w:tcBorders>
            <w:tcMar>
              <w:left w:w="108" w:type="dxa"/>
              <w:right w:w="108" w:type="dxa"/>
            </w:tcMar>
            <w:vAlign w:val="center"/>
          </w:tcPr>
          <w:p w14:paraId="7BEA3AB2" w14:textId="77777777" w:rsidR="00AD291E" w:rsidRDefault="00AA6E6F">
            <w:pPr>
              <w:pStyle w:val="NormalWeb"/>
              <w:jc w:val="center"/>
              <w:rPr>
                <w:rFonts w:ascii="Arial" w:hAnsi="Arial" w:cs="Arial"/>
                <w:sz w:val="22"/>
                <w:szCs w:val="22"/>
              </w:rPr>
            </w:pPr>
            <w:r>
              <w:rPr>
                <w:rFonts w:ascii="Arial" w:hAnsi="Arial" w:cs="Arial"/>
                <w:color w:val="000000"/>
                <w:sz w:val="22"/>
                <w:szCs w:val="22"/>
              </w:rPr>
              <w:t>NS, W</w:t>
            </w:r>
          </w:p>
        </w:tc>
      </w:tr>
      <w:tr w:rsidR="00AD291E" w14:paraId="0EB646A8" w14:textId="77777777">
        <w:trPr>
          <w:trHeight w:val="565"/>
        </w:trPr>
        <w:tc>
          <w:tcPr>
            <w:tcW w:w="2377" w:type="dxa"/>
            <w:tcBorders>
              <w:top w:val="nil"/>
              <w:bottom w:val="single" w:sz="6" w:space="0" w:color="000008"/>
            </w:tcBorders>
            <w:tcMar>
              <w:left w:w="108" w:type="dxa"/>
              <w:right w:w="108" w:type="dxa"/>
            </w:tcMar>
            <w:vAlign w:val="center"/>
          </w:tcPr>
          <w:p w14:paraId="5B126E39" w14:textId="77777777" w:rsidR="00AD291E" w:rsidRDefault="00AA6E6F">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single" w:sz="6" w:space="0" w:color="000008"/>
            </w:tcBorders>
            <w:tcMar>
              <w:left w:w="108" w:type="dxa"/>
              <w:right w:w="108" w:type="dxa"/>
            </w:tcMar>
            <w:vAlign w:val="center"/>
          </w:tcPr>
          <w:p w14:paraId="6D1B6542" w14:textId="77777777" w:rsidR="00AD291E" w:rsidRDefault="00AA6E6F">
            <w:pPr>
              <w:pStyle w:val="NormalWeb"/>
              <w:jc w:val="center"/>
              <w:rPr>
                <w:rFonts w:ascii="Arial" w:hAnsi="Arial" w:cs="Arial"/>
                <w:sz w:val="22"/>
                <w:szCs w:val="22"/>
              </w:rPr>
            </w:pPr>
            <w:r>
              <w:rPr>
                <w:rFonts w:ascii="Arial" w:hAnsi="Arial" w:cs="Arial"/>
                <w:color w:val="000000"/>
                <w:sz w:val="22"/>
                <w:szCs w:val="22"/>
              </w:rPr>
              <w:t>Anion Gap (mmol/L)</w:t>
            </w:r>
          </w:p>
        </w:tc>
        <w:tc>
          <w:tcPr>
            <w:tcW w:w="2754" w:type="dxa"/>
            <w:tcBorders>
              <w:top w:val="nil"/>
              <w:bottom w:val="single" w:sz="6" w:space="0" w:color="000008"/>
            </w:tcBorders>
            <w:tcMar>
              <w:left w:w="108" w:type="dxa"/>
              <w:right w:w="108" w:type="dxa"/>
            </w:tcMar>
          </w:tcPr>
          <w:p w14:paraId="4F088C09" w14:textId="77777777" w:rsidR="00AD291E" w:rsidRDefault="00AA6E6F">
            <w:pPr>
              <w:pStyle w:val="NormalWeb"/>
              <w:jc w:val="center"/>
              <w:rPr>
                <w:rFonts w:ascii="Arial" w:hAnsi="Arial" w:cs="Arial"/>
                <w:sz w:val="22"/>
                <w:szCs w:val="22"/>
              </w:rPr>
            </w:pPr>
            <w:r>
              <w:rPr>
                <w:rFonts w:ascii="Arial" w:hAnsi="Arial" w:cs="Arial"/>
                <w:color w:val="000000"/>
                <w:sz w:val="22"/>
                <w:szCs w:val="22"/>
              </w:rPr>
              <w:t>0.02187</w:t>
            </w:r>
          </w:p>
        </w:tc>
        <w:tc>
          <w:tcPr>
            <w:tcW w:w="915" w:type="dxa"/>
            <w:tcBorders>
              <w:top w:val="nil"/>
              <w:bottom w:val="single" w:sz="6" w:space="0" w:color="000008"/>
            </w:tcBorders>
            <w:tcMar>
              <w:left w:w="108" w:type="dxa"/>
              <w:right w:w="108" w:type="dxa"/>
            </w:tcMar>
          </w:tcPr>
          <w:p w14:paraId="15F1273D" w14:textId="77777777" w:rsidR="00AD291E" w:rsidRDefault="00AA6E6F">
            <w:pPr>
              <w:pStyle w:val="NormalWeb"/>
              <w:jc w:val="center"/>
              <w:rPr>
                <w:rFonts w:ascii="Arial" w:hAnsi="Arial" w:cs="Arial"/>
                <w:sz w:val="22"/>
                <w:szCs w:val="22"/>
              </w:rPr>
            </w:pPr>
            <w:r>
              <w:rPr>
                <w:rFonts w:ascii="Arial" w:hAnsi="Arial" w:cs="Arial"/>
                <w:color w:val="000000"/>
                <w:sz w:val="22"/>
                <w:szCs w:val="22"/>
              </w:rPr>
              <w:t>0.9250</w:t>
            </w:r>
          </w:p>
        </w:tc>
        <w:tc>
          <w:tcPr>
            <w:tcW w:w="1142" w:type="dxa"/>
            <w:tcBorders>
              <w:top w:val="nil"/>
              <w:bottom w:val="single" w:sz="6" w:space="0" w:color="000008"/>
            </w:tcBorders>
            <w:tcMar>
              <w:left w:w="108" w:type="dxa"/>
              <w:right w:w="108" w:type="dxa"/>
            </w:tcMar>
            <w:vAlign w:val="center"/>
          </w:tcPr>
          <w:p w14:paraId="5F7B0D33" w14:textId="77777777" w:rsidR="00AD291E" w:rsidRDefault="00AA6E6F">
            <w:pPr>
              <w:pStyle w:val="NormalWeb"/>
              <w:jc w:val="center"/>
              <w:rPr>
                <w:rFonts w:ascii="Arial" w:hAnsi="Arial" w:cs="Arial"/>
                <w:sz w:val="22"/>
                <w:szCs w:val="22"/>
              </w:rPr>
            </w:pPr>
            <w:r>
              <w:rPr>
                <w:rFonts w:ascii="Arial" w:hAnsi="Arial" w:cs="Arial"/>
                <w:color w:val="000000"/>
                <w:sz w:val="22"/>
                <w:szCs w:val="22"/>
              </w:rPr>
              <w:t>NS, W</w:t>
            </w:r>
          </w:p>
        </w:tc>
      </w:tr>
    </w:tbl>
    <w:p w14:paraId="01C14871" w14:textId="77777777" w:rsidR="00AD291E" w:rsidRDefault="00AA6E6F">
      <w:pPr>
        <w:spacing w:before="0" w:beforeAutospacing="0" w:after="0" w:line="240" w:lineRule="auto"/>
        <w:rPr>
          <w:rFonts w:ascii="Arial" w:hAnsi="Arial" w:cs="Arial"/>
          <w:sz w:val="20"/>
          <w:szCs w:val="20"/>
        </w:rPr>
      </w:pPr>
      <w:r>
        <w:rPr>
          <w:rFonts w:ascii="Arial" w:hAnsi="Arial" w:cs="Arial"/>
          <w:sz w:val="20"/>
          <w:szCs w:val="20"/>
        </w:rPr>
        <w:t>Key: S - Significant (P&lt;0.05), NS - Non-Significant (p&gt;0.05), W - Weak (r~0), SPC - Strong Positive Correlation (r~1), SNC - Strong Negative Correlation (r&lt;0)</w:t>
      </w:r>
    </w:p>
    <w:p w14:paraId="6F04CD5F" w14:textId="77777777" w:rsidR="00AD291E" w:rsidRDefault="00AD291E">
      <w:pPr>
        <w:rPr>
          <w:rFonts w:ascii="Arial" w:hAnsi="Arial"/>
          <w:sz w:val="22"/>
          <w:szCs w:val="22"/>
        </w:rPr>
      </w:pPr>
    </w:p>
    <w:p w14:paraId="2647A9CE" w14:textId="77777777" w:rsidR="00AD291E" w:rsidRDefault="00AA6E6F">
      <w:pPr>
        <w:rPr>
          <w:rFonts w:ascii="Arial" w:hAnsi="Arial"/>
          <w:sz w:val="22"/>
          <w:szCs w:val="22"/>
        </w:rPr>
      </w:pPr>
      <w:r>
        <w:rPr>
          <w:rFonts w:ascii="Arial" w:hAnsi="Arial"/>
          <w:b/>
          <w:bCs/>
          <w:sz w:val="22"/>
          <w:szCs w:val="22"/>
        </w:rPr>
        <w:t>4.0 DISCUSSION</w:t>
      </w:r>
    </w:p>
    <w:p w14:paraId="264A0ACC" w14:textId="77777777" w:rsidR="00AD291E" w:rsidRDefault="00AA6E6F">
      <w:pPr>
        <w:jc w:val="both"/>
        <w:rPr>
          <w:rFonts w:ascii="Arial" w:hAnsi="Arial" w:cs="Arial"/>
          <w:sz w:val="22"/>
          <w:szCs w:val="22"/>
        </w:rPr>
      </w:pPr>
      <w:r>
        <w:rPr>
          <w:rFonts w:ascii="Arial" w:eastAsia="Calibri" w:hAnsi="Arial" w:cs="Arial"/>
          <w:sz w:val="22"/>
          <w:szCs w:val="22"/>
        </w:rPr>
        <w:t xml:space="preserve">There was a significant increase </w:t>
      </w:r>
      <w:proofErr w:type="gramStart"/>
      <w:r>
        <w:rPr>
          <w:rFonts w:ascii="Arial" w:eastAsia="Calibri" w:hAnsi="Arial" w:cs="Arial"/>
          <w:sz w:val="22"/>
          <w:szCs w:val="22"/>
        </w:rPr>
        <w:t>in  serum</w:t>
      </w:r>
      <w:proofErr w:type="gramEnd"/>
      <w:r>
        <w:rPr>
          <w:rFonts w:ascii="Arial" w:eastAsia="Calibri" w:hAnsi="Arial" w:cs="Arial"/>
          <w:sz w:val="22"/>
          <w:szCs w:val="22"/>
        </w:rPr>
        <w:t xml:space="preserve"> urea (</w:t>
      </w:r>
      <w:r>
        <w:rPr>
          <w:rFonts w:ascii="Arial" w:hAnsi="Arial" w:cs="Arial"/>
          <w:sz w:val="22"/>
          <w:szCs w:val="22"/>
        </w:rPr>
        <w:t>6.599 ± 2.128</w:t>
      </w:r>
      <w:r>
        <w:rPr>
          <w:rFonts w:ascii="Arial" w:eastAsia="Calibri" w:hAnsi="Arial" w:cs="Arial"/>
          <w:sz w:val="22"/>
          <w:szCs w:val="22"/>
        </w:rPr>
        <w:t xml:space="preserve"> mmol/L) and creatinine (</w:t>
      </w:r>
      <w:r>
        <w:rPr>
          <w:rFonts w:ascii="Arial" w:hAnsi="Arial" w:cs="Arial"/>
          <w:sz w:val="22"/>
          <w:szCs w:val="22"/>
        </w:rPr>
        <w:t>133.5  ± 73.67</w:t>
      </w:r>
      <w:r>
        <w:rPr>
          <w:rFonts w:ascii="Arial" w:eastAsia="Calibri" w:hAnsi="Arial" w:cs="Arial"/>
          <w:sz w:val="22"/>
          <w:szCs w:val="22"/>
        </w:rPr>
        <w:t>µmol/L) levels in the bodybuilders compared to controls (</w:t>
      </w:r>
      <w:r>
        <w:rPr>
          <w:rFonts w:ascii="Arial" w:hAnsi="Arial" w:cs="Arial"/>
          <w:sz w:val="22"/>
          <w:szCs w:val="22"/>
        </w:rPr>
        <w:t>2.445 ± 0.993</w:t>
      </w:r>
      <w:r>
        <w:rPr>
          <w:rFonts w:ascii="Arial" w:eastAsia="Calibri" w:hAnsi="Arial" w:cs="Arial"/>
          <w:sz w:val="22"/>
          <w:szCs w:val="22"/>
        </w:rPr>
        <w:t xml:space="preserve"> mmol/L and </w:t>
      </w:r>
      <w:r>
        <w:rPr>
          <w:rFonts w:ascii="Arial" w:hAnsi="Arial" w:cs="Arial"/>
          <w:sz w:val="22"/>
          <w:szCs w:val="22"/>
        </w:rPr>
        <w:t>77.17  ± 12.89</w:t>
      </w:r>
      <w:r>
        <w:rPr>
          <w:rFonts w:ascii="Arial" w:eastAsia="Calibri" w:hAnsi="Arial" w:cs="Arial"/>
          <w:sz w:val="22"/>
          <w:szCs w:val="22"/>
        </w:rPr>
        <w:t xml:space="preserve"> µmol/L respectively (p &lt; 0.05), suggesting enhanced protein metabolism, hence a burden on the kidney. </w:t>
      </w:r>
      <w:r>
        <w:rPr>
          <w:rFonts w:ascii="Arial" w:hAnsi="Arial" w:cs="Arial"/>
          <w:sz w:val="22"/>
          <w:szCs w:val="22"/>
        </w:rPr>
        <w:t xml:space="preserve">This indicates increased protein catabolism associated with intensive resistance </w:t>
      </w:r>
      <w:proofErr w:type="spellStart"/>
      <w:proofErr w:type="gramStart"/>
      <w:r>
        <w:rPr>
          <w:rFonts w:ascii="Arial" w:hAnsi="Arial" w:cs="Arial"/>
          <w:sz w:val="22"/>
          <w:szCs w:val="22"/>
        </w:rPr>
        <w:t>training,the</w:t>
      </w:r>
      <w:proofErr w:type="spellEnd"/>
      <w:proofErr w:type="gramEnd"/>
      <w:r>
        <w:rPr>
          <w:rFonts w:ascii="Arial" w:hAnsi="Arial" w:cs="Arial"/>
          <w:sz w:val="22"/>
          <w:szCs w:val="22"/>
        </w:rPr>
        <w:t xml:space="preserve"> elevations in urea follows the strenuous exercise that has enhanced amino acid metabolism and nitrogen </w:t>
      </w:r>
      <w:proofErr w:type="spellStart"/>
      <w:r>
        <w:rPr>
          <w:rFonts w:ascii="Arial" w:hAnsi="Arial" w:cs="Arial"/>
          <w:sz w:val="22"/>
          <w:szCs w:val="22"/>
        </w:rPr>
        <w:t>excretion.therefore</w:t>
      </w:r>
      <w:proofErr w:type="spellEnd"/>
      <w:r>
        <w:rPr>
          <w:rFonts w:ascii="Arial" w:hAnsi="Arial" w:cs="Arial"/>
          <w:sz w:val="22"/>
          <w:szCs w:val="22"/>
        </w:rPr>
        <w:t xml:space="preserve">, this is just an increased protein metabolism and muscle mass( </w:t>
      </w:r>
      <w:proofErr w:type="spellStart"/>
      <w:r>
        <w:rPr>
          <w:rFonts w:ascii="Arial" w:hAnsi="Arial" w:cs="Arial"/>
          <w:sz w:val="22"/>
          <w:szCs w:val="22"/>
        </w:rPr>
        <w:t>Poortmans</w:t>
      </w:r>
      <w:proofErr w:type="spellEnd"/>
      <w:r>
        <w:rPr>
          <w:rFonts w:ascii="Arial" w:hAnsi="Arial" w:cs="Arial"/>
          <w:sz w:val="22"/>
          <w:szCs w:val="22"/>
        </w:rPr>
        <w:t xml:space="preserve"> &amp; </w:t>
      </w:r>
      <w:proofErr w:type="spellStart"/>
      <w:r>
        <w:rPr>
          <w:rFonts w:ascii="Arial" w:hAnsi="Arial" w:cs="Arial"/>
          <w:sz w:val="22"/>
          <w:szCs w:val="22"/>
        </w:rPr>
        <w:t>Dellalieux</w:t>
      </w:r>
      <w:proofErr w:type="spellEnd"/>
      <w:r>
        <w:rPr>
          <w:rFonts w:ascii="Arial" w:hAnsi="Arial" w:cs="Arial"/>
          <w:sz w:val="22"/>
          <w:szCs w:val="22"/>
        </w:rPr>
        <w:t xml:space="preserve">, (2000) ; </w:t>
      </w:r>
      <w:proofErr w:type="spellStart"/>
      <w:r>
        <w:rPr>
          <w:rFonts w:ascii="Arial" w:hAnsi="Arial" w:cs="Arial"/>
          <w:sz w:val="22"/>
          <w:szCs w:val="22"/>
        </w:rPr>
        <w:t>Banfi</w:t>
      </w:r>
      <w:proofErr w:type="spellEnd"/>
      <w:r>
        <w:rPr>
          <w:rFonts w:ascii="Arial" w:hAnsi="Arial" w:cs="Arial"/>
          <w:sz w:val="22"/>
          <w:szCs w:val="22"/>
        </w:rPr>
        <w:t xml:space="preserve"> et al., 2012), not literally a </w:t>
      </w:r>
      <w:proofErr w:type="spellStart"/>
      <w:r>
        <w:rPr>
          <w:rFonts w:ascii="Arial" w:hAnsi="Arial" w:cs="Arial"/>
          <w:sz w:val="22"/>
          <w:szCs w:val="22"/>
        </w:rPr>
        <w:t>renal</w:t>
      </w:r>
      <w:proofErr w:type="spellEnd"/>
      <w:r>
        <w:rPr>
          <w:rFonts w:ascii="Arial" w:hAnsi="Arial" w:cs="Arial"/>
          <w:sz w:val="22"/>
          <w:szCs w:val="22"/>
        </w:rPr>
        <w:t xml:space="preserve"> damage as seen in the increased levels of urea and creatinine which is in consistence with the study of </w:t>
      </w:r>
      <w:proofErr w:type="spellStart"/>
      <w:r>
        <w:rPr>
          <w:rFonts w:ascii="Arial" w:hAnsi="Arial" w:cs="Arial"/>
          <w:sz w:val="22"/>
          <w:szCs w:val="22"/>
        </w:rPr>
        <w:t>Poortmans</w:t>
      </w:r>
      <w:proofErr w:type="spellEnd"/>
      <w:r>
        <w:rPr>
          <w:rFonts w:ascii="Arial" w:hAnsi="Arial" w:cs="Arial"/>
          <w:sz w:val="22"/>
          <w:szCs w:val="22"/>
        </w:rPr>
        <w:t xml:space="preserve"> &amp; </w:t>
      </w:r>
      <w:proofErr w:type="spellStart"/>
      <w:r>
        <w:rPr>
          <w:rFonts w:ascii="Arial" w:hAnsi="Arial" w:cs="Arial"/>
          <w:sz w:val="22"/>
          <w:szCs w:val="22"/>
        </w:rPr>
        <w:t>Vanderstraeten</w:t>
      </w:r>
      <w:proofErr w:type="spellEnd"/>
      <w:r>
        <w:rPr>
          <w:rFonts w:ascii="Arial" w:hAnsi="Arial" w:cs="Arial"/>
          <w:sz w:val="22"/>
          <w:szCs w:val="22"/>
        </w:rPr>
        <w:t>, (1994). Also, the elevated creatinine levels among bodybuilders likely reflects greater muscle mass rather than renal impairment, as creatinine is a byproduct of muscle metabolism (</w:t>
      </w:r>
      <w:proofErr w:type="spellStart"/>
      <w:r>
        <w:rPr>
          <w:rFonts w:ascii="Arial" w:hAnsi="Arial" w:cs="Arial"/>
          <w:sz w:val="22"/>
          <w:szCs w:val="22"/>
        </w:rPr>
        <w:t>Banfi</w:t>
      </w:r>
      <w:proofErr w:type="spellEnd"/>
      <w:r>
        <w:rPr>
          <w:rFonts w:ascii="Arial" w:hAnsi="Arial" w:cs="Arial"/>
          <w:sz w:val="22"/>
          <w:szCs w:val="22"/>
        </w:rPr>
        <w:t xml:space="preserve"> et al., 2012). Studies have consistently shown that </w:t>
      </w:r>
      <w:r>
        <w:rPr>
          <w:rFonts w:ascii="Arial" w:hAnsi="Arial" w:cs="Arial"/>
          <w:sz w:val="22"/>
          <w:szCs w:val="22"/>
        </w:rPr>
        <w:lastRenderedPageBreak/>
        <w:t xml:space="preserve">resistance-trained individuals present with higher baseline creatinine due to increased muscle turnover rather than decreased glomerular filtration (Kreider et al., 2017). </w:t>
      </w:r>
    </w:p>
    <w:p w14:paraId="018CE81D" w14:textId="77777777" w:rsidR="00AD291E" w:rsidRDefault="00AA6E6F">
      <w:pPr>
        <w:spacing w:line="240" w:lineRule="auto"/>
        <w:jc w:val="both"/>
        <w:rPr>
          <w:rFonts w:ascii="Arial" w:hAnsi="Arial" w:cs="Arial"/>
          <w:sz w:val="22"/>
          <w:szCs w:val="22"/>
        </w:rPr>
      </w:pPr>
      <w:r>
        <w:rPr>
          <w:rFonts w:ascii="Arial" w:eastAsia="Calibri" w:hAnsi="Arial" w:cs="Arial"/>
          <w:sz w:val="22"/>
          <w:szCs w:val="22"/>
        </w:rPr>
        <w:t>Serum</w:t>
      </w:r>
      <w:r>
        <w:rPr>
          <w:rFonts w:ascii="Arial" w:hAnsi="Arial" w:cs="Arial"/>
          <w:sz w:val="22"/>
          <w:szCs w:val="22"/>
        </w:rPr>
        <w:t xml:space="preserve"> electrolyte assessment revealed no significant difference in sodium, chloride, or bicarbonate levels between bodybuilders and controls (</w:t>
      </w:r>
      <w:r>
        <w:rPr>
          <w:rFonts w:ascii="Arial" w:hAnsi="Arial" w:cs="Arial"/>
          <w:i/>
          <w:iCs/>
          <w:sz w:val="22"/>
          <w:szCs w:val="22"/>
        </w:rPr>
        <w:t>p</w:t>
      </w:r>
      <w:r>
        <w:rPr>
          <w:rFonts w:ascii="Arial" w:hAnsi="Arial" w:cs="Arial"/>
          <w:sz w:val="22"/>
          <w:szCs w:val="22"/>
        </w:rPr>
        <w:t xml:space="preserve"> &gt; 0.05), implying that intensive exercise did not significantly disturb electrolyte homeostasis in the study population. This finding aligns with the report by Hew-Butler et al. (2019), stating that trained athletes typically maintain stable electrolyte levels through adaptive mechanisms. However, </w:t>
      </w:r>
      <w:r>
        <w:rPr>
          <w:rFonts w:ascii="Arial" w:eastAsia="Calibri" w:hAnsi="Arial" w:cs="Arial"/>
          <w:sz w:val="22"/>
          <w:szCs w:val="22"/>
        </w:rPr>
        <w:t>Potassium levels were significantly increased in bodybuilders (</w:t>
      </w:r>
      <w:r>
        <w:rPr>
          <w:rFonts w:ascii="Arial" w:hAnsi="Arial" w:cs="Arial"/>
          <w:sz w:val="22"/>
          <w:szCs w:val="22"/>
        </w:rPr>
        <w:t>4.206 ± 0.576</w:t>
      </w:r>
      <w:r>
        <w:rPr>
          <w:rFonts w:ascii="Arial" w:eastAsia="Calibri" w:hAnsi="Arial" w:cs="Arial"/>
          <w:sz w:val="22"/>
          <w:szCs w:val="22"/>
        </w:rPr>
        <w:t xml:space="preserve"> mmol/L) compared to the controls (</w:t>
      </w:r>
      <w:r>
        <w:rPr>
          <w:rFonts w:ascii="Arial" w:hAnsi="Arial" w:cs="Arial"/>
          <w:sz w:val="22"/>
          <w:szCs w:val="22"/>
        </w:rPr>
        <w:t>3.480 ± 0.346</w:t>
      </w:r>
      <w:r>
        <w:rPr>
          <w:rFonts w:ascii="Arial" w:eastAsia="Calibri" w:hAnsi="Arial" w:cs="Arial"/>
          <w:sz w:val="22"/>
          <w:szCs w:val="22"/>
        </w:rPr>
        <w:t xml:space="preserve"> mmol/L (p </w:t>
      </w:r>
      <w:r>
        <w:rPr>
          <w:rFonts w:ascii="Arial" w:hAnsi="Arial" w:cs="Arial"/>
          <w:sz w:val="22"/>
          <w:szCs w:val="22"/>
        </w:rPr>
        <w:t>&lt;0.0001</w:t>
      </w:r>
      <w:r>
        <w:rPr>
          <w:rFonts w:ascii="Arial" w:eastAsia="Calibri" w:hAnsi="Arial" w:cs="Arial"/>
          <w:sz w:val="22"/>
          <w:szCs w:val="22"/>
        </w:rPr>
        <w:t>). The e</w:t>
      </w:r>
      <w:r>
        <w:rPr>
          <w:rFonts w:ascii="Arial" w:hAnsi="Arial" w:cs="Arial"/>
          <w:sz w:val="22"/>
          <w:szCs w:val="22"/>
        </w:rPr>
        <w:t xml:space="preserve">levated potassium level may result from repeated muscle contraction and intracellular potassium efflux during resistance training, as previously described by </w:t>
      </w:r>
      <w:proofErr w:type="spellStart"/>
      <w:proofErr w:type="gramStart"/>
      <w:r>
        <w:rPr>
          <w:rFonts w:ascii="Arial" w:hAnsi="Arial" w:cs="Arial"/>
          <w:sz w:val="22"/>
          <w:szCs w:val="22"/>
        </w:rPr>
        <w:t>Gennari</w:t>
      </w:r>
      <w:proofErr w:type="spellEnd"/>
      <w:r>
        <w:rPr>
          <w:rFonts w:ascii="Arial" w:hAnsi="Arial" w:cs="Arial"/>
          <w:sz w:val="22"/>
          <w:szCs w:val="22"/>
        </w:rPr>
        <w:t>,(</w:t>
      </w:r>
      <w:proofErr w:type="gramEnd"/>
      <w:r>
        <w:rPr>
          <w:rFonts w:ascii="Arial" w:hAnsi="Arial" w:cs="Arial"/>
          <w:sz w:val="22"/>
          <w:szCs w:val="22"/>
        </w:rPr>
        <w:t>1998) and Jones et al. (2019). This transient hyperkalemia is a known physiological adaptation in strength athletes, reflecting increased muscle activity and efficient renal clearance post-exercise. On the other hand,</w:t>
      </w:r>
      <w:r>
        <w:rPr>
          <w:rFonts w:ascii="Arial" w:eastAsia="Calibri" w:hAnsi="Arial" w:cs="Arial"/>
          <w:sz w:val="22"/>
          <w:szCs w:val="22"/>
        </w:rPr>
        <w:t xml:space="preserve"> other electrolytes and the anion gap were not significantly different, indicating a normal muscle functioning and acid-base balance. </w:t>
      </w:r>
      <w:proofErr w:type="gramStart"/>
      <w:r>
        <w:rPr>
          <w:rFonts w:ascii="Arial" w:hAnsi="Arial" w:cs="Arial"/>
          <w:sz w:val="22"/>
          <w:szCs w:val="22"/>
        </w:rPr>
        <w:t>.This</w:t>
      </w:r>
      <w:proofErr w:type="gramEnd"/>
      <w:r>
        <w:rPr>
          <w:rFonts w:ascii="Arial" w:hAnsi="Arial" w:cs="Arial"/>
          <w:sz w:val="22"/>
          <w:szCs w:val="22"/>
        </w:rPr>
        <w:t xml:space="preserve"> Maintained acid-base balance and electrolytes remaining within normal limits despite the exercise stress  indicates an  adequate renal adaptation (Hew-Butler et al., 2015; Abramowitz et al., 2012). This suggests that despite elevated metabolic activity, intensive exercise did not significantly alter the acid-base balance of the bodybuilders. The finding supports the concept that well-trained individuals possess adequate renal and buffering capacity to compensate for exercise-induced acid production (Kraut &amp; </w:t>
      </w:r>
      <w:proofErr w:type="spellStart"/>
      <w:r>
        <w:rPr>
          <w:rFonts w:ascii="Arial" w:hAnsi="Arial" w:cs="Arial"/>
          <w:sz w:val="22"/>
          <w:szCs w:val="22"/>
        </w:rPr>
        <w:t>Madias</w:t>
      </w:r>
      <w:proofErr w:type="spellEnd"/>
      <w:r>
        <w:rPr>
          <w:rFonts w:ascii="Arial" w:hAnsi="Arial" w:cs="Arial"/>
          <w:sz w:val="22"/>
          <w:szCs w:val="22"/>
        </w:rPr>
        <w:t xml:space="preserve">, 2010; Abramowitz et al., 2012). From this observation, there was no evidence of metabolic acidosis because the anion gap was unchanged. </w:t>
      </w:r>
    </w:p>
    <w:p w14:paraId="15B15643" w14:textId="77777777" w:rsidR="00AD291E" w:rsidRDefault="00AA6E6F">
      <w:pPr>
        <w:spacing w:line="240" w:lineRule="auto"/>
        <w:jc w:val="both"/>
        <w:rPr>
          <w:rFonts w:ascii="Arial" w:hAnsi="Arial" w:cs="Arial"/>
          <w:sz w:val="22"/>
          <w:szCs w:val="22"/>
        </w:rPr>
      </w:pPr>
      <w:r>
        <w:rPr>
          <w:rFonts w:ascii="Arial" w:hAnsi="Arial" w:cs="Arial"/>
          <w:sz w:val="22"/>
          <w:szCs w:val="22"/>
        </w:rPr>
        <w:t xml:space="preserve">Prolonged bodybuilding duration (&gt; 2 years) was also associated with significantly higher urea levels (7.850 ± 2.773 mmol/L), demonstrating a cumulative effect of sustained protein turnover over time. A positive correlation between bodybuilding duration and urea concentration (r = 0.6668; </w:t>
      </w:r>
      <w:r>
        <w:rPr>
          <w:rFonts w:ascii="Arial" w:hAnsi="Arial" w:cs="Arial"/>
          <w:i/>
          <w:iCs/>
          <w:sz w:val="22"/>
          <w:szCs w:val="22"/>
        </w:rPr>
        <w:t>p</w:t>
      </w:r>
      <w:r>
        <w:rPr>
          <w:rFonts w:ascii="Arial" w:hAnsi="Arial" w:cs="Arial"/>
          <w:sz w:val="22"/>
          <w:szCs w:val="22"/>
        </w:rPr>
        <w:t xml:space="preserve"> = 0.0010) further reinforces this relationship, aligning with Morton et al. (2018), who found that long-term high-protein intake elevates urea levels even in individuals with normal renal function.</w:t>
      </w:r>
    </w:p>
    <w:p w14:paraId="4F4704E2" w14:textId="77777777" w:rsidR="00AD291E" w:rsidRDefault="00AA6E6F">
      <w:pPr>
        <w:spacing w:line="240" w:lineRule="auto"/>
        <w:jc w:val="both"/>
        <w:rPr>
          <w:rFonts w:ascii="Arial" w:hAnsi="Arial" w:cs="Arial"/>
          <w:sz w:val="22"/>
          <w:szCs w:val="22"/>
        </w:rPr>
      </w:pPr>
      <w:r>
        <w:rPr>
          <w:rFonts w:ascii="Arial" w:hAnsi="Arial" w:cs="Arial"/>
          <w:sz w:val="22"/>
          <w:szCs w:val="22"/>
        </w:rPr>
        <w:t xml:space="preserve">Correlation analyses revealed no significant relationship between age and biochemical indices, implying that within the studied age range (20-40 years), age did not substantially influence kidney function or electrolyte balance. This aligns with findings from </w:t>
      </w:r>
      <w:proofErr w:type="spellStart"/>
      <w:r>
        <w:rPr>
          <w:rFonts w:ascii="Arial" w:hAnsi="Arial" w:cs="Arial"/>
          <w:sz w:val="22"/>
          <w:szCs w:val="22"/>
        </w:rPr>
        <w:t>Banfi</w:t>
      </w:r>
      <w:proofErr w:type="spellEnd"/>
      <w:r>
        <w:rPr>
          <w:rFonts w:ascii="Arial" w:hAnsi="Arial" w:cs="Arial"/>
          <w:sz w:val="22"/>
          <w:szCs w:val="22"/>
        </w:rPr>
        <w:t xml:space="preserve"> et al. (2012) that in healthy adults, age-related renal changes are minimal below midlife. It also confirms </w:t>
      </w:r>
      <w:proofErr w:type="gramStart"/>
      <w:r>
        <w:rPr>
          <w:rFonts w:ascii="Arial" w:hAnsi="Arial" w:cs="Arial"/>
          <w:sz w:val="22"/>
          <w:szCs w:val="22"/>
        </w:rPr>
        <w:t>that  duration</w:t>
      </w:r>
      <w:proofErr w:type="gramEnd"/>
      <w:r>
        <w:rPr>
          <w:rFonts w:ascii="Arial" w:hAnsi="Arial" w:cs="Arial"/>
          <w:sz w:val="22"/>
          <w:szCs w:val="22"/>
        </w:rPr>
        <w:t xml:space="preserve">  of  training did not compromise renal or metabolic stability among the participants.</w:t>
      </w:r>
    </w:p>
    <w:p w14:paraId="72932E73" w14:textId="77777777" w:rsidR="00AD291E" w:rsidRDefault="00AD291E">
      <w:pPr>
        <w:spacing w:before="0" w:beforeAutospacing="0" w:after="0" w:line="240" w:lineRule="auto"/>
        <w:jc w:val="both"/>
        <w:rPr>
          <w:rFonts w:ascii="Arial" w:hAnsi="Arial"/>
          <w:sz w:val="22"/>
          <w:szCs w:val="22"/>
        </w:rPr>
      </w:pPr>
    </w:p>
    <w:p w14:paraId="1369D9EE" w14:textId="77777777" w:rsidR="00AD291E" w:rsidRDefault="00AA6E6F">
      <w:pPr>
        <w:spacing w:before="0" w:beforeAutospacing="0" w:after="0" w:line="240" w:lineRule="auto"/>
        <w:jc w:val="both"/>
        <w:rPr>
          <w:rFonts w:ascii="Arial" w:hAnsi="Arial" w:cs="Arial"/>
          <w:sz w:val="22"/>
          <w:szCs w:val="22"/>
        </w:rPr>
      </w:pPr>
      <w:r>
        <w:rPr>
          <w:rFonts w:ascii="Arial" w:hAnsi="Arial" w:cs="Arial"/>
          <w:b/>
          <w:bCs/>
          <w:sz w:val="22"/>
          <w:szCs w:val="22"/>
        </w:rPr>
        <w:t>5.0 CONCLUSION</w:t>
      </w:r>
    </w:p>
    <w:p w14:paraId="5EDA4584" w14:textId="77777777" w:rsidR="00AD291E" w:rsidRDefault="00AA6E6F">
      <w:pPr>
        <w:spacing w:before="0" w:beforeAutospacing="0" w:after="0" w:line="240" w:lineRule="auto"/>
        <w:jc w:val="both"/>
        <w:rPr>
          <w:rFonts w:ascii="Arial" w:eastAsia="Calibri" w:hAnsi="Arial" w:cs="Arial"/>
          <w:sz w:val="22"/>
          <w:szCs w:val="22"/>
        </w:rPr>
      </w:pPr>
      <w:r>
        <w:rPr>
          <w:rFonts w:ascii="Arial" w:hAnsi="Arial" w:cs="Arial"/>
          <w:sz w:val="22"/>
          <w:szCs w:val="22"/>
        </w:rPr>
        <w:t xml:space="preserve">Intensive bodybuilding causes physiological elevation in urea and creatinine </w:t>
      </w:r>
      <w:r>
        <w:rPr>
          <w:rFonts w:ascii="Arial" w:eastAsia="Calibri" w:hAnsi="Arial" w:cs="Arial"/>
          <w:sz w:val="22"/>
          <w:szCs w:val="22"/>
        </w:rPr>
        <w:t xml:space="preserve">The increased urea and creatinine levels observed without acid-base </w:t>
      </w:r>
      <w:proofErr w:type="gramStart"/>
      <w:r>
        <w:rPr>
          <w:rFonts w:ascii="Arial" w:eastAsia="Calibri" w:hAnsi="Arial" w:cs="Arial"/>
          <w:sz w:val="22"/>
          <w:szCs w:val="22"/>
        </w:rPr>
        <w:t>imbalances  suggest</w:t>
      </w:r>
      <w:proofErr w:type="gramEnd"/>
      <w:r>
        <w:rPr>
          <w:rFonts w:ascii="Arial" w:eastAsia="Calibri" w:hAnsi="Arial" w:cs="Arial"/>
          <w:sz w:val="22"/>
          <w:szCs w:val="22"/>
        </w:rPr>
        <w:t xml:space="preserve"> it was not a kidney dysfunction rather it might be a normal adaptive responses to kidney stress due to the intensive training exercises and dietary practices among bodybuilders. This underscores the importance of awareness and monitoring of these biochemical markers to </w:t>
      </w:r>
      <w:proofErr w:type="spellStart"/>
      <w:r>
        <w:rPr>
          <w:rFonts w:ascii="Arial" w:hAnsi="Arial" w:cs="Arial"/>
          <w:sz w:val="22"/>
          <w:szCs w:val="22"/>
        </w:rPr>
        <w:t>to</w:t>
      </w:r>
      <w:proofErr w:type="spellEnd"/>
      <w:r>
        <w:rPr>
          <w:rFonts w:ascii="Arial" w:hAnsi="Arial" w:cs="Arial"/>
          <w:sz w:val="22"/>
          <w:szCs w:val="22"/>
        </w:rPr>
        <w:t xml:space="preserve"> differentiate adaptation from dysfunction in metabolic pathways </w:t>
      </w:r>
      <w:r>
        <w:rPr>
          <w:rFonts w:ascii="Arial" w:eastAsia="Calibri" w:hAnsi="Arial" w:cs="Arial"/>
          <w:sz w:val="22"/>
          <w:szCs w:val="22"/>
        </w:rPr>
        <w:t xml:space="preserve">helping </w:t>
      </w:r>
      <w:proofErr w:type="gramStart"/>
      <w:r>
        <w:rPr>
          <w:rFonts w:ascii="Arial" w:eastAsia="Calibri" w:hAnsi="Arial" w:cs="Arial"/>
          <w:sz w:val="22"/>
          <w:szCs w:val="22"/>
        </w:rPr>
        <w:t>to  mitigate</w:t>
      </w:r>
      <w:proofErr w:type="gramEnd"/>
      <w:r>
        <w:rPr>
          <w:rFonts w:ascii="Arial" w:eastAsia="Calibri" w:hAnsi="Arial" w:cs="Arial"/>
          <w:sz w:val="22"/>
          <w:szCs w:val="22"/>
        </w:rPr>
        <w:t xml:space="preserve"> risk for metabolic and chronic renal diseases. </w:t>
      </w:r>
    </w:p>
    <w:p w14:paraId="76A9D2C9" w14:textId="77777777" w:rsidR="00AD291E" w:rsidRDefault="00AD291E">
      <w:pPr>
        <w:spacing w:before="0" w:beforeAutospacing="0" w:after="0" w:line="240" w:lineRule="auto"/>
        <w:jc w:val="both"/>
        <w:rPr>
          <w:rFonts w:ascii="Arial" w:eastAsia="Calibri" w:hAnsi="Arial" w:cs="Arial"/>
          <w:sz w:val="22"/>
          <w:szCs w:val="22"/>
        </w:rPr>
      </w:pPr>
    </w:p>
    <w:p w14:paraId="5EB5057F" w14:textId="77777777" w:rsidR="00AD291E" w:rsidRDefault="00AA6E6F">
      <w:pPr>
        <w:spacing w:before="0" w:beforeAutospacing="0" w:after="0" w:line="240" w:lineRule="auto"/>
        <w:jc w:val="both"/>
        <w:rPr>
          <w:rFonts w:ascii="Arial" w:eastAsia="sans-serif" w:hAnsi="Arial" w:cs="Arial"/>
          <w:sz w:val="22"/>
          <w:szCs w:val="22"/>
          <w:shd w:val="clear" w:color="auto" w:fill="FFFFFF"/>
        </w:rPr>
      </w:pPr>
      <w:bookmarkStart w:id="0" w:name="_GoBack"/>
      <w:bookmarkEnd w:id="0"/>
      <w:r>
        <w:rPr>
          <w:rFonts w:ascii="Arial" w:eastAsia="sans-serif" w:hAnsi="Arial" w:cs="Arial"/>
          <w:b/>
          <w:bCs/>
          <w:sz w:val="22"/>
          <w:szCs w:val="22"/>
          <w:shd w:val="clear" w:color="auto" w:fill="FFFFFF"/>
        </w:rPr>
        <w:t>DISCLAIMER (ARTIFICIAL INTELLIGENCE).</w:t>
      </w:r>
      <w:r>
        <w:rPr>
          <w:rFonts w:ascii="Arial" w:eastAsia="sans-serif" w:hAnsi="Arial" w:cs="Arial"/>
          <w:sz w:val="22"/>
          <w:szCs w:val="22"/>
          <w:shd w:val="clear" w:color="auto" w:fill="FFFFFF"/>
        </w:rPr>
        <w:t xml:space="preserve"> </w:t>
      </w:r>
    </w:p>
    <w:p w14:paraId="61A0CCD3" w14:textId="77777777" w:rsidR="00AD291E" w:rsidRDefault="00AA6E6F">
      <w:pPr>
        <w:spacing w:before="0" w:beforeAutospacing="0" w:after="0" w:line="240" w:lineRule="auto"/>
        <w:jc w:val="both"/>
        <w:rPr>
          <w:rFonts w:ascii="Arial" w:hAnsi="Arial"/>
          <w:sz w:val="22"/>
          <w:szCs w:val="22"/>
        </w:rPr>
      </w:pPr>
      <w:r>
        <w:rPr>
          <w:rFonts w:ascii="Arial" w:eastAsia="sans-serif" w:hAnsi="Arial" w:cs="Arial"/>
          <w:sz w:val="22"/>
          <w:szCs w:val="22"/>
          <w:shd w:val="clear" w:color="auto" w:fill="FFFFFF"/>
        </w:rPr>
        <w:t xml:space="preserve">The authors hereby declare that </w:t>
      </w:r>
      <w:proofErr w:type="spellStart"/>
      <w:r>
        <w:rPr>
          <w:rFonts w:ascii="Arial" w:eastAsia="sans-serif" w:hAnsi="Arial" w:cs="Arial"/>
          <w:sz w:val="22"/>
          <w:szCs w:val="22"/>
          <w:shd w:val="clear" w:color="auto" w:fill="FFFFFF"/>
        </w:rPr>
        <w:t>ChatGPT</w:t>
      </w:r>
      <w:proofErr w:type="spellEnd"/>
      <w:r>
        <w:rPr>
          <w:rFonts w:ascii="Arial" w:eastAsia="sans-serif" w:hAnsi="Arial" w:cs="Arial"/>
          <w:sz w:val="22"/>
          <w:szCs w:val="22"/>
          <w:shd w:val="clear" w:color="auto" w:fill="FFFFFF"/>
        </w:rPr>
        <w:t xml:space="preserve"> was partially used for editing purposes </w:t>
      </w:r>
      <w:proofErr w:type="gramStart"/>
      <w:r>
        <w:rPr>
          <w:rFonts w:ascii="Arial" w:eastAsia="sans-serif" w:hAnsi="Arial" w:cs="Arial"/>
          <w:sz w:val="22"/>
          <w:szCs w:val="22"/>
          <w:shd w:val="clear" w:color="auto" w:fill="FFFFFF"/>
        </w:rPr>
        <w:t>and  was</w:t>
      </w:r>
      <w:proofErr w:type="gramEnd"/>
      <w:r>
        <w:rPr>
          <w:rFonts w:ascii="Arial" w:eastAsia="sans-serif" w:hAnsi="Arial" w:cs="Arial"/>
          <w:sz w:val="22"/>
          <w:szCs w:val="22"/>
          <w:shd w:val="clear" w:color="auto" w:fill="FFFFFF"/>
        </w:rPr>
        <w:t xml:space="preserve"> not used to write the content of this manuscript. </w:t>
      </w:r>
      <w:r>
        <w:rPr>
          <w:rFonts w:ascii="Arial" w:hAnsi="Arial"/>
          <w:sz w:val="22"/>
          <w:szCs w:val="22"/>
        </w:rPr>
        <w:t>.</w:t>
      </w:r>
    </w:p>
    <w:p w14:paraId="70DEA5DF" w14:textId="77777777" w:rsidR="00AD291E" w:rsidRDefault="00AD291E">
      <w:pPr>
        <w:spacing w:before="0" w:beforeAutospacing="0" w:after="0" w:line="240" w:lineRule="auto"/>
        <w:jc w:val="both"/>
        <w:rPr>
          <w:rFonts w:ascii="Arial" w:hAnsi="Arial"/>
          <w:sz w:val="22"/>
          <w:szCs w:val="22"/>
        </w:rPr>
      </w:pPr>
    </w:p>
    <w:p w14:paraId="288E5972" w14:textId="77777777" w:rsidR="00AD291E" w:rsidRDefault="00AA6E6F">
      <w:pPr>
        <w:spacing w:before="0" w:beforeAutospacing="0" w:after="0" w:line="240" w:lineRule="auto"/>
        <w:rPr>
          <w:rFonts w:ascii="Arial" w:hAnsi="Arial"/>
          <w:b/>
          <w:bCs/>
          <w:sz w:val="22"/>
          <w:szCs w:val="22"/>
        </w:rPr>
      </w:pPr>
      <w:r>
        <w:rPr>
          <w:rFonts w:ascii="Arial" w:hAnsi="Arial"/>
          <w:b/>
          <w:bCs/>
          <w:sz w:val="22"/>
          <w:szCs w:val="22"/>
        </w:rPr>
        <w:lastRenderedPageBreak/>
        <w:t>REFERENCES</w:t>
      </w:r>
    </w:p>
    <w:p w14:paraId="780A2096" w14:textId="77777777" w:rsidR="00AD291E" w:rsidRDefault="00AD291E">
      <w:pPr>
        <w:spacing w:before="0" w:beforeAutospacing="0" w:after="0" w:line="240" w:lineRule="auto"/>
        <w:rPr>
          <w:rFonts w:ascii="Arial" w:hAnsi="Arial"/>
          <w:b/>
          <w:bCs/>
          <w:sz w:val="22"/>
          <w:szCs w:val="22"/>
        </w:rPr>
      </w:pPr>
    </w:p>
    <w:p w14:paraId="379100D8" w14:textId="75063DE4" w:rsidR="00AD291E" w:rsidRDefault="00AA6E6F">
      <w:pPr>
        <w:numPr>
          <w:ilvl w:val="0"/>
          <w:numId w:val="1"/>
        </w:numPr>
        <w:spacing w:before="0" w:beforeAutospacing="0" w:after="0" w:line="240" w:lineRule="auto"/>
        <w:jc w:val="both"/>
        <w:rPr>
          <w:rFonts w:ascii="Arial" w:hAnsi="Arial"/>
          <w:sz w:val="22"/>
          <w:szCs w:val="22"/>
        </w:rPr>
      </w:pPr>
      <w:r>
        <w:rPr>
          <w:rFonts w:ascii="Arial" w:hAnsi="Arial"/>
          <w:sz w:val="22"/>
          <w:szCs w:val="22"/>
        </w:rPr>
        <w:t xml:space="preserve">ASFA (2022). The Online Resource </w:t>
      </w:r>
      <w:proofErr w:type="gramStart"/>
      <w:r>
        <w:rPr>
          <w:rFonts w:ascii="Arial" w:hAnsi="Arial"/>
          <w:sz w:val="22"/>
          <w:szCs w:val="22"/>
        </w:rPr>
        <w:t>for  fitness</w:t>
      </w:r>
      <w:proofErr w:type="gramEnd"/>
      <w:r>
        <w:rPr>
          <w:rFonts w:ascii="Arial" w:hAnsi="Arial"/>
          <w:sz w:val="22"/>
          <w:szCs w:val="22"/>
        </w:rPr>
        <w:t xml:space="preserve"> Professionals. American Sports and Fitness Association.</w:t>
      </w:r>
      <w:r w:rsidR="00EF540A">
        <w:rPr>
          <w:rFonts w:ascii="Arial" w:hAnsi="Arial"/>
          <w:sz w:val="22"/>
          <w:szCs w:val="22"/>
        </w:rPr>
        <w:t xml:space="preserve"> </w:t>
      </w:r>
      <w:hyperlink r:id="rId7" w:history="1">
        <w:r w:rsidR="00EF540A" w:rsidRPr="00E90A74">
          <w:rPr>
            <w:rStyle w:val="Hyperlink"/>
            <w:rFonts w:ascii="Arial" w:hAnsi="Arial"/>
            <w:sz w:val="22"/>
            <w:szCs w:val="22"/>
          </w:rPr>
          <w:t>https://www.asfa.com/</w:t>
        </w:r>
      </w:hyperlink>
      <w:r w:rsidR="00EF540A">
        <w:rPr>
          <w:rFonts w:ascii="Arial" w:hAnsi="Arial"/>
          <w:sz w:val="22"/>
          <w:szCs w:val="22"/>
        </w:rPr>
        <w:t xml:space="preserve"> </w:t>
      </w:r>
    </w:p>
    <w:p w14:paraId="50DA3D1A" w14:textId="7F70ECC0" w:rsidR="00AD291E" w:rsidRDefault="00EF540A">
      <w:pPr>
        <w:spacing w:before="0" w:beforeAutospacing="0" w:after="0" w:line="240" w:lineRule="auto"/>
        <w:jc w:val="both"/>
        <w:rPr>
          <w:rFonts w:ascii="Arial" w:hAnsi="Arial"/>
          <w:sz w:val="22"/>
          <w:szCs w:val="22"/>
        </w:rPr>
      </w:pPr>
      <w:r>
        <w:rPr>
          <w:rFonts w:ascii="Arial" w:hAnsi="Arial"/>
          <w:sz w:val="22"/>
          <w:szCs w:val="22"/>
        </w:rPr>
        <w:t xml:space="preserve"> </w:t>
      </w:r>
    </w:p>
    <w:p w14:paraId="5F66F818" w14:textId="477B87AF" w:rsidR="00AD291E" w:rsidRDefault="00AA6E6F">
      <w:pPr>
        <w:numPr>
          <w:ilvl w:val="0"/>
          <w:numId w:val="1"/>
        </w:numPr>
        <w:spacing w:before="0" w:beforeAutospacing="0" w:after="0" w:line="240" w:lineRule="auto"/>
        <w:jc w:val="both"/>
        <w:rPr>
          <w:rFonts w:ascii="Arial" w:hAnsi="Arial"/>
          <w:sz w:val="22"/>
          <w:szCs w:val="22"/>
        </w:rPr>
      </w:pPr>
      <w:r>
        <w:rPr>
          <w:rFonts w:ascii="Arial" w:hAnsi="Arial"/>
          <w:sz w:val="22"/>
          <w:szCs w:val="22"/>
        </w:rPr>
        <w:t xml:space="preserve">Popkin, B. M, </w:t>
      </w:r>
      <w:proofErr w:type="spellStart"/>
      <w:r>
        <w:rPr>
          <w:rFonts w:ascii="Arial" w:hAnsi="Arial"/>
          <w:sz w:val="22"/>
          <w:szCs w:val="22"/>
        </w:rPr>
        <w:t>D'Anci</w:t>
      </w:r>
      <w:proofErr w:type="spellEnd"/>
      <w:r>
        <w:rPr>
          <w:rFonts w:ascii="Arial" w:hAnsi="Arial"/>
          <w:sz w:val="22"/>
          <w:szCs w:val="22"/>
        </w:rPr>
        <w:t xml:space="preserve">, K. E &amp; Rosenberg, I. H (2010). Water, hydration, and health. </w:t>
      </w:r>
      <w:proofErr w:type="gramStart"/>
      <w:r>
        <w:rPr>
          <w:rFonts w:ascii="Arial" w:hAnsi="Arial"/>
          <w:sz w:val="22"/>
          <w:szCs w:val="22"/>
        </w:rPr>
        <w:t>Nutrition  Revelation</w:t>
      </w:r>
      <w:proofErr w:type="gramEnd"/>
      <w:r>
        <w:rPr>
          <w:rFonts w:ascii="Arial" w:hAnsi="Arial"/>
          <w:sz w:val="22"/>
          <w:szCs w:val="22"/>
        </w:rPr>
        <w:t>, 68(8), 439-458.</w:t>
      </w:r>
      <w:r w:rsidR="00EF540A">
        <w:rPr>
          <w:rFonts w:ascii="Arial" w:hAnsi="Arial"/>
          <w:sz w:val="22"/>
          <w:szCs w:val="22"/>
        </w:rPr>
        <w:t xml:space="preserve"> </w:t>
      </w:r>
      <w:hyperlink r:id="rId8" w:history="1">
        <w:r w:rsidR="00EF540A" w:rsidRPr="00E90A74">
          <w:rPr>
            <w:rStyle w:val="Hyperlink"/>
            <w:rFonts w:ascii="Arial" w:hAnsi="Arial"/>
            <w:sz w:val="22"/>
            <w:szCs w:val="22"/>
          </w:rPr>
          <w:t>https://doi.org/10.1111/j.1753-4887.2010.00304.x</w:t>
        </w:r>
      </w:hyperlink>
      <w:r w:rsidR="00EF540A">
        <w:rPr>
          <w:rFonts w:ascii="Arial" w:hAnsi="Arial"/>
          <w:sz w:val="22"/>
          <w:szCs w:val="22"/>
        </w:rPr>
        <w:t xml:space="preserve"> </w:t>
      </w:r>
    </w:p>
    <w:p w14:paraId="0C488EE8" w14:textId="77777777" w:rsidR="00AD291E" w:rsidRDefault="00AD291E">
      <w:pPr>
        <w:spacing w:before="0" w:beforeAutospacing="0" w:after="0" w:line="240" w:lineRule="auto"/>
        <w:jc w:val="both"/>
        <w:rPr>
          <w:rFonts w:ascii="Arial" w:hAnsi="Arial"/>
          <w:sz w:val="22"/>
          <w:szCs w:val="22"/>
        </w:rPr>
      </w:pPr>
    </w:p>
    <w:p w14:paraId="569F1A1E" w14:textId="01917705" w:rsidR="00AD291E" w:rsidRDefault="00AA6E6F">
      <w:pPr>
        <w:numPr>
          <w:ilvl w:val="0"/>
          <w:numId w:val="1"/>
        </w:numPr>
        <w:spacing w:before="0" w:beforeAutospacing="0" w:after="0" w:line="240" w:lineRule="auto"/>
        <w:jc w:val="both"/>
        <w:rPr>
          <w:rFonts w:ascii="Arial" w:hAnsi="Arial"/>
          <w:sz w:val="22"/>
          <w:szCs w:val="22"/>
        </w:rPr>
      </w:pPr>
      <w:r>
        <w:rPr>
          <w:rFonts w:ascii="Arial" w:hAnsi="Arial"/>
          <w:sz w:val="22"/>
          <w:szCs w:val="22"/>
        </w:rPr>
        <w:t xml:space="preserve">Hew-Butler, T., Valerie G. S. &amp; </w:t>
      </w:r>
      <w:proofErr w:type="spellStart"/>
      <w:r>
        <w:rPr>
          <w:rFonts w:ascii="Arial" w:hAnsi="Arial"/>
          <w:sz w:val="22"/>
          <w:szCs w:val="22"/>
        </w:rPr>
        <w:t>Sabou</w:t>
      </w:r>
      <w:proofErr w:type="spellEnd"/>
      <w:r>
        <w:rPr>
          <w:rFonts w:ascii="Arial" w:hAnsi="Arial"/>
          <w:sz w:val="22"/>
          <w:szCs w:val="22"/>
        </w:rPr>
        <w:t xml:space="preserve"> J (2019). Exercise-associated electrolyte disorders. Current Opinion in Endocrine and Metabolic Research, 9, 51-55.</w:t>
      </w:r>
      <w:r w:rsidR="00EF540A">
        <w:rPr>
          <w:rFonts w:ascii="Arial" w:hAnsi="Arial"/>
          <w:sz w:val="22"/>
          <w:szCs w:val="22"/>
        </w:rPr>
        <w:t xml:space="preserve"> </w:t>
      </w:r>
      <w:hyperlink r:id="rId9" w:history="1">
        <w:r w:rsidR="00EF540A" w:rsidRPr="00E90A74">
          <w:rPr>
            <w:rStyle w:val="Hyperlink"/>
            <w:rFonts w:ascii="Arial" w:hAnsi="Arial"/>
            <w:sz w:val="22"/>
            <w:szCs w:val="22"/>
          </w:rPr>
          <w:t>https://doi.org/10.1016/j.coemr.2019.06.014</w:t>
        </w:r>
      </w:hyperlink>
      <w:r w:rsidR="00EF540A">
        <w:rPr>
          <w:rFonts w:ascii="Arial" w:hAnsi="Arial"/>
          <w:sz w:val="22"/>
          <w:szCs w:val="22"/>
        </w:rPr>
        <w:t xml:space="preserve"> </w:t>
      </w:r>
    </w:p>
    <w:p w14:paraId="30B9E7D0" w14:textId="691123BB" w:rsidR="00AD291E" w:rsidRDefault="00EF540A">
      <w:pPr>
        <w:spacing w:before="0" w:beforeAutospacing="0" w:after="0" w:line="240" w:lineRule="auto"/>
        <w:jc w:val="both"/>
        <w:rPr>
          <w:rFonts w:ascii="Arial" w:hAnsi="Arial"/>
          <w:sz w:val="22"/>
          <w:szCs w:val="22"/>
        </w:rPr>
      </w:pPr>
      <w:r>
        <w:rPr>
          <w:rFonts w:ascii="Arial" w:hAnsi="Arial"/>
          <w:sz w:val="22"/>
          <w:szCs w:val="22"/>
        </w:rPr>
        <w:t xml:space="preserve"> </w:t>
      </w:r>
    </w:p>
    <w:p w14:paraId="66FED427" w14:textId="1ACC3915" w:rsidR="00AD291E" w:rsidRDefault="00AA6E6F">
      <w:pPr>
        <w:numPr>
          <w:ilvl w:val="0"/>
          <w:numId w:val="1"/>
        </w:numPr>
        <w:spacing w:before="0" w:beforeAutospacing="0" w:after="0" w:line="240" w:lineRule="auto"/>
        <w:jc w:val="both"/>
        <w:rPr>
          <w:rFonts w:ascii="Arial" w:eastAsia="sans-serif" w:hAnsi="Arial" w:cs="Arial"/>
          <w:color w:val="202122"/>
          <w:sz w:val="21"/>
          <w:szCs w:val="21"/>
          <w:shd w:val="clear" w:color="auto" w:fill="FFFFFF"/>
        </w:rPr>
      </w:pPr>
      <w:r>
        <w:rPr>
          <w:rFonts w:ascii="Arial" w:hAnsi="Arial"/>
          <w:sz w:val="22"/>
          <w:szCs w:val="22"/>
        </w:rPr>
        <w:t>World Economic Forum (2024). This is how stress affects every organ in our bodies. Health and Healthcare Systems.http://www.health.harvard.edu/staying-healthy/understanding-the-stress-response.</w:t>
      </w:r>
      <w:r w:rsidR="00EF540A" w:rsidRPr="00EF540A">
        <w:t xml:space="preserve"> </w:t>
      </w:r>
      <w:hyperlink r:id="rId10" w:history="1">
        <w:r w:rsidR="00EF540A" w:rsidRPr="00E90A74">
          <w:rPr>
            <w:rStyle w:val="Hyperlink"/>
            <w:rFonts w:ascii="Arial" w:hAnsi="Arial"/>
            <w:sz w:val="22"/>
            <w:szCs w:val="22"/>
          </w:rPr>
          <w:t>https://www.weforum.org/agenda/2024/05/how-stress-affects-every-organ-in-our-bodies/</w:t>
        </w:r>
      </w:hyperlink>
      <w:r w:rsidR="00EF540A">
        <w:rPr>
          <w:rFonts w:ascii="Arial" w:hAnsi="Arial"/>
          <w:sz w:val="22"/>
          <w:szCs w:val="22"/>
        </w:rPr>
        <w:t xml:space="preserve"> </w:t>
      </w:r>
    </w:p>
    <w:p w14:paraId="591DC1D8" w14:textId="77777777" w:rsidR="00AD291E" w:rsidRDefault="00AD291E">
      <w:pPr>
        <w:spacing w:before="0" w:beforeAutospacing="0" w:after="0" w:line="240" w:lineRule="auto"/>
        <w:jc w:val="both"/>
        <w:rPr>
          <w:rFonts w:ascii="Arial" w:eastAsia="sans-serif" w:hAnsi="Arial" w:cs="Arial"/>
          <w:color w:val="202122"/>
          <w:sz w:val="21"/>
          <w:szCs w:val="21"/>
          <w:shd w:val="clear" w:color="auto" w:fill="FFFFFF"/>
        </w:rPr>
      </w:pPr>
    </w:p>
    <w:p w14:paraId="65A267F7" w14:textId="4FBEB947" w:rsidR="00AD291E" w:rsidRDefault="00AA6E6F">
      <w:pPr>
        <w:numPr>
          <w:ilvl w:val="0"/>
          <w:numId w:val="1"/>
        </w:numPr>
        <w:spacing w:before="0" w:beforeAutospacing="0" w:after="0" w:line="240" w:lineRule="auto"/>
        <w:jc w:val="both"/>
        <w:rPr>
          <w:rFonts w:ascii="Arial" w:hAnsi="Arial" w:cs="Arial"/>
        </w:rPr>
      </w:pPr>
      <w:proofErr w:type="spellStart"/>
      <w:r>
        <w:rPr>
          <w:rFonts w:ascii="Arial" w:eastAsia="sans-serif" w:hAnsi="Arial" w:cs="Arial"/>
          <w:sz w:val="22"/>
          <w:szCs w:val="22"/>
          <w:shd w:val="clear" w:color="auto" w:fill="FFFFFF"/>
        </w:rPr>
        <w:t>Verboeket</w:t>
      </w:r>
      <w:proofErr w:type="spellEnd"/>
      <w:r>
        <w:rPr>
          <w:rFonts w:ascii="Arial" w:eastAsia="sans-serif" w:hAnsi="Arial" w:cs="Arial"/>
          <w:sz w:val="22"/>
          <w:szCs w:val="22"/>
          <w:shd w:val="clear" w:color="auto" w:fill="FFFFFF"/>
        </w:rPr>
        <w:t xml:space="preserve">-van de </w:t>
      </w:r>
      <w:proofErr w:type="spellStart"/>
      <w:r>
        <w:rPr>
          <w:rFonts w:ascii="Arial" w:eastAsia="sans-serif" w:hAnsi="Arial" w:cs="Arial"/>
          <w:sz w:val="22"/>
          <w:szCs w:val="22"/>
          <w:shd w:val="clear" w:color="auto" w:fill="FFFFFF"/>
        </w:rPr>
        <w:t>Venne</w:t>
      </w:r>
      <w:proofErr w:type="spellEnd"/>
      <w:r>
        <w:rPr>
          <w:rFonts w:ascii="Arial" w:eastAsia="sans-serif" w:hAnsi="Arial" w:cs="Arial"/>
          <w:sz w:val="22"/>
          <w:szCs w:val="22"/>
          <w:shd w:val="clear" w:color="auto" w:fill="FFFFFF"/>
        </w:rPr>
        <w:t xml:space="preserve">, W.P, </w:t>
      </w:r>
      <w:proofErr w:type="spellStart"/>
      <w:r>
        <w:rPr>
          <w:rFonts w:ascii="Arial" w:eastAsia="sans-serif" w:hAnsi="Arial" w:cs="Arial"/>
          <w:sz w:val="22"/>
          <w:szCs w:val="22"/>
          <w:shd w:val="clear" w:color="auto" w:fill="FFFFFF"/>
        </w:rPr>
        <w:t>Westerterp</w:t>
      </w:r>
      <w:proofErr w:type="spellEnd"/>
      <w:r>
        <w:rPr>
          <w:rFonts w:ascii="Arial" w:eastAsia="sans-serif" w:hAnsi="Arial" w:cs="Arial"/>
          <w:sz w:val="22"/>
          <w:szCs w:val="22"/>
          <w:shd w:val="clear" w:color="auto" w:fill="FFFFFF"/>
        </w:rPr>
        <w:t xml:space="preserve">, K.R &amp; </w:t>
      </w:r>
      <w:proofErr w:type="gramStart"/>
      <w:r>
        <w:rPr>
          <w:rFonts w:ascii="Arial" w:eastAsia="sans-serif" w:hAnsi="Arial" w:cs="Arial"/>
          <w:sz w:val="22"/>
          <w:szCs w:val="22"/>
          <w:shd w:val="clear" w:color="auto" w:fill="FFFFFF"/>
        </w:rPr>
        <w:t>Kester,  A.D</w:t>
      </w:r>
      <w:proofErr w:type="gramEnd"/>
      <w:r>
        <w:rPr>
          <w:rFonts w:ascii="Arial" w:eastAsia="sans-serif" w:hAnsi="Arial" w:cs="Arial"/>
          <w:sz w:val="22"/>
          <w:szCs w:val="22"/>
          <w:shd w:val="clear" w:color="auto" w:fill="FFFFFF"/>
        </w:rPr>
        <w:t xml:space="preserve"> ( 1993). </w:t>
      </w:r>
      <w:hyperlink r:id="rId11" w:history="1">
        <w:r>
          <w:rPr>
            <w:rStyle w:val="Hyperlink"/>
            <w:rFonts w:ascii="Arial" w:eastAsia="sans-serif" w:hAnsi="Arial" w:cs="Arial"/>
            <w:color w:val="auto"/>
            <w:sz w:val="22"/>
            <w:szCs w:val="22"/>
            <w:u w:val="none"/>
          </w:rPr>
          <w:t>Effect of the pattern of food intake on human energy metabolism"</w:t>
        </w:r>
      </w:hyperlink>
      <w:r>
        <w:rPr>
          <w:rFonts w:ascii="Arial" w:eastAsia="sans-serif" w:hAnsi="Arial" w:cs="Arial"/>
          <w:sz w:val="22"/>
          <w:szCs w:val="22"/>
          <w:shd w:val="clear" w:color="auto" w:fill="FFFFFF"/>
        </w:rPr>
        <w:t>. The British Journal of Nutrition, 70 (1), 103–15. </w:t>
      </w:r>
      <w:hyperlink r:id="rId12" w:history="1">
        <w:r w:rsidR="00400CD8" w:rsidRPr="00E90A74">
          <w:rPr>
            <w:rStyle w:val="Hyperlink"/>
          </w:rPr>
          <w:t>https://doi.org/10.1079/bjn19930108</w:t>
        </w:r>
      </w:hyperlink>
      <w:r w:rsidR="00400CD8">
        <w:t xml:space="preserve"> </w:t>
      </w:r>
    </w:p>
    <w:p w14:paraId="227B492C" w14:textId="77777777" w:rsidR="00AD291E" w:rsidRDefault="00AD291E">
      <w:pPr>
        <w:spacing w:before="0" w:beforeAutospacing="0" w:after="0" w:line="240" w:lineRule="auto"/>
        <w:jc w:val="both"/>
        <w:rPr>
          <w:rFonts w:ascii="Arial" w:hAnsi="Arial" w:cs="Arial"/>
        </w:rPr>
      </w:pPr>
    </w:p>
    <w:p w14:paraId="6EB2D9AC" w14:textId="65085E26" w:rsidR="00AD291E" w:rsidRDefault="00AA6E6F">
      <w:pPr>
        <w:numPr>
          <w:ilvl w:val="0"/>
          <w:numId w:val="1"/>
        </w:numPr>
        <w:spacing w:before="0" w:beforeAutospacing="0" w:after="0" w:line="240" w:lineRule="auto"/>
        <w:jc w:val="both"/>
        <w:rPr>
          <w:rFonts w:ascii="Arial" w:hAnsi="Arial"/>
          <w:sz w:val="22"/>
          <w:szCs w:val="22"/>
        </w:rPr>
      </w:pPr>
      <w:r>
        <w:rPr>
          <w:rFonts w:ascii="sans-serif" w:eastAsia="sans-serif" w:hAnsi="sans-serif" w:cs="sans-serif"/>
          <w:color w:val="202122"/>
          <w:sz w:val="22"/>
          <w:szCs w:val="22"/>
          <w:shd w:val="clear" w:color="auto" w:fill="FFFFFF"/>
        </w:rPr>
        <w:t> </w:t>
      </w:r>
      <w:r>
        <w:rPr>
          <w:rStyle w:val="HTMLCite"/>
          <w:rFonts w:ascii="Arial" w:eastAsia="sans-serif" w:hAnsi="Arial" w:cs="Arial"/>
          <w:i w:val="0"/>
          <w:iCs w:val="0"/>
          <w:color w:val="202122"/>
          <w:sz w:val="22"/>
          <w:szCs w:val="22"/>
          <w:shd w:val="clear" w:color="auto" w:fill="FFFFFF"/>
        </w:rPr>
        <w:t xml:space="preserve">Kreider, R.B., Kalman, D.S., Antonio, J., </w:t>
      </w:r>
      <w:proofErr w:type="spellStart"/>
      <w:r>
        <w:rPr>
          <w:rStyle w:val="HTMLCite"/>
          <w:rFonts w:ascii="Arial" w:eastAsia="sans-serif" w:hAnsi="Arial" w:cs="Arial"/>
          <w:i w:val="0"/>
          <w:iCs w:val="0"/>
          <w:color w:val="202122"/>
          <w:sz w:val="22"/>
          <w:szCs w:val="22"/>
          <w:shd w:val="clear" w:color="auto" w:fill="FFFFFF"/>
        </w:rPr>
        <w:t>Ziegenfuss</w:t>
      </w:r>
      <w:proofErr w:type="spellEnd"/>
      <w:r>
        <w:rPr>
          <w:rStyle w:val="HTMLCite"/>
          <w:rFonts w:ascii="Arial" w:eastAsia="sans-serif" w:hAnsi="Arial" w:cs="Arial"/>
          <w:i w:val="0"/>
          <w:iCs w:val="0"/>
          <w:color w:val="202122"/>
          <w:sz w:val="22"/>
          <w:szCs w:val="22"/>
          <w:shd w:val="clear" w:color="auto" w:fill="FFFFFF"/>
        </w:rPr>
        <w:t xml:space="preserve">, T. N., Wildman, R., Collins, R., </w:t>
      </w:r>
      <w:proofErr w:type="spellStart"/>
      <w:r>
        <w:rPr>
          <w:rStyle w:val="HTMLCite"/>
          <w:rFonts w:ascii="Arial" w:eastAsia="sans-serif" w:hAnsi="Arial" w:cs="Arial"/>
          <w:i w:val="0"/>
          <w:iCs w:val="0"/>
          <w:color w:val="202122"/>
          <w:sz w:val="22"/>
          <w:szCs w:val="22"/>
          <w:shd w:val="clear" w:color="auto" w:fill="FFFFFF"/>
        </w:rPr>
        <w:t>Candow</w:t>
      </w:r>
      <w:proofErr w:type="spellEnd"/>
      <w:r>
        <w:rPr>
          <w:rStyle w:val="HTMLCite"/>
          <w:rFonts w:ascii="Arial" w:eastAsia="sans-serif" w:hAnsi="Arial" w:cs="Arial"/>
          <w:i w:val="0"/>
          <w:iCs w:val="0"/>
          <w:color w:val="202122"/>
          <w:sz w:val="22"/>
          <w:szCs w:val="22"/>
          <w:shd w:val="clear" w:color="auto" w:fill="FFFFFF"/>
        </w:rPr>
        <w:t>, D.G., Kleiner, S.M.</w:t>
      </w:r>
      <w:proofErr w:type="gramStart"/>
      <w:r>
        <w:rPr>
          <w:rStyle w:val="HTMLCite"/>
          <w:rFonts w:ascii="Arial" w:eastAsia="sans-serif" w:hAnsi="Arial" w:cs="Arial"/>
          <w:i w:val="0"/>
          <w:iCs w:val="0"/>
          <w:color w:val="202122"/>
          <w:sz w:val="22"/>
          <w:szCs w:val="22"/>
          <w:shd w:val="clear" w:color="auto" w:fill="FFFFFF"/>
        </w:rPr>
        <w:t>,  Almada</w:t>
      </w:r>
      <w:proofErr w:type="gramEnd"/>
      <w:r>
        <w:rPr>
          <w:rStyle w:val="HTMLCite"/>
          <w:rFonts w:ascii="Arial" w:eastAsia="sans-serif" w:hAnsi="Arial" w:cs="Arial"/>
          <w:i w:val="0"/>
          <w:iCs w:val="0"/>
          <w:color w:val="202122"/>
          <w:sz w:val="22"/>
          <w:szCs w:val="22"/>
          <w:shd w:val="clear" w:color="auto" w:fill="FFFFFF"/>
        </w:rPr>
        <w:t xml:space="preserve">, A. L. &amp; Lopez, H.L (2017). International Society of Sports Nutrition Position Stand: Safety and efficacy of creatine supplementation in </w:t>
      </w:r>
      <w:proofErr w:type="spellStart"/>
      <w:proofErr w:type="gramStart"/>
      <w:r>
        <w:rPr>
          <w:rStyle w:val="HTMLCite"/>
          <w:rFonts w:ascii="Arial" w:eastAsia="sans-serif" w:hAnsi="Arial" w:cs="Arial"/>
          <w:i w:val="0"/>
          <w:iCs w:val="0"/>
          <w:color w:val="202122"/>
          <w:sz w:val="22"/>
          <w:szCs w:val="22"/>
          <w:shd w:val="clear" w:color="auto" w:fill="FFFFFF"/>
        </w:rPr>
        <w:t>exercise.sport</w:t>
      </w:r>
      <w:proofErr w:type="spellEnd"/>
      <w:proofErr w:type="gramEnd"/>
      <w:r>
        <w:rPr>
          <w:rStyle w:val="HTMLCite"/>
          <w:rFonts w:ascii="Arial" w:eastAsia="sans-serif" w:hAnsi="Arial" w:cs="Arial"/>
          <w:i w:val="0"/>
          <w:iCs w:val="0"/>
          <w:color w:val="202122"/>
          <w:sz w:val="22"/>
          <w:szCs w:val="22"/>
          <w:shd w:val="clear" w:color="auto" w:fill="FFFFFF"/>
        </w:rPr>
        <w:t xml:space="preserve"> and Medicine. Journal of the International Society of Sports Nutrition, 14 (1), 18. </w:t>
      </w:r>
      <w:hyperlink r:id="rId13" w:tooltip="Doi (identifier)" w:history="1">
        <w:r>
          <w:rPr>
            <w:rStyle w:val="Hyperlink"/>
            <w:rFonts w:ascii="Arial" w:eastAsia="sans-serif" w:hAnsi="Arial" w:cs="Arial"/>
            <w:color w:val="auto"/>
            <w:sz w:val="22"/>
            <w:szCs w:val="22"/>
            <w:u w:val="none"/>
            <w:shd w:val="clear" w:color="auto" w:fill="FFFFFF"/>
          </w:rPr>
          <w:t>doi</w:t>
        </w:r>
      </w:hyperlink>
      <w:r>
        <w:rPr>
          <w:rStyle w:val="HTMLCite"/>
          <w:rFonts w:ascii="Arial" w:eastAsia="sans-serif" w:hAnsi="Arial" w:cs="Arial"/>
          <w:i w:val="0"/>
          <w:iCs w:val="0"/>
          <w:sz w:val="22"/>
          <w:szCs w:val="22"/>
          <w:shd w:val="clear" w:color="auto" w:fill="FFFFFF"/>
        </w:rPr>
        <w:t>:</w:t>
      </w:r>
      <w:hyperlink r:id="rId14" w:history="1">
        <w:r>
          <w:rPr>
            <w:rStyle w:val="Hyperlink"/>
            <w:rFonts w:ascii="Arial" w:eastAsia="sans-serif" w:hAnsi="Arial" w:cs="Arial"/>
            <w:color w:val="auto"/>
            <w:sz w:val="22"/>
            <w:szCs w:val="22"/>
            <w:u w:val="none"/>
            <w:shd w:val="clear" w:color="auto" w:fill="FFFFFF"/>
          </w:rPr>
          <w:t>10.1186/s12970-017-0173-z</w:t>
        </w:r>
      </w:hyperlink>
      <w:r>
        <w:rPr>
          <w:rStyle w:val="HTMLCite"/>
          <w:rFonts w:ascii="Arial" w:eastAsia="sans-serif" w:hAnsi="Arial" w:cs="Arial"/>
          <w:i w:val="0"/>
          <w:iCs w:val="0"/>
          <w:sz w:val="22"/>
          <w:szCs w:val="22"/>
          <w:shd w:val="clear" w:color="auto" w:fill="FFFFFF"/>
        </w:rPr>
        <w:t>. </w:t>
      </w:r>
      <w:hyperlink r:id="rId15" w:tooltip="ISSN (identifier)" w:history="1">
        <w:r>
          <w:rPr>
            <w:rStyle w:val="Hyperlink"/>
            <w:rFonts w:ascii="Arial" w:eastAsia="sans-serif" w:hAnsi="Arial" w:cs="Arial"/>
            <w:color w:val="auto"/>
            <w:sz w:val="22"/>
            <w:szCs w:val="22"/>
            <w:u w:val="none"/>
            <w:shd w:val="clear" w:color="auto" w:fill="FFFFFF"/>
          </w:rPr>
          <w:t>ISSN</w:t>
        </w:r>
      </w:hyperlink>
      <w:r>
        <w:rPr>
          <w:rStyle w:val="HTMLCite"/>
          <w:rFonts w:ascii="Arial" w:eastAsia="sans-serif" w:hAnsi="Arial" w:cs="Arial"/>
          <w:i w:val="0"/>
          <w:iCs w:val="0"/>
          <w:sz w:val="22"/>
          <w:szCs w:val="22"/>
          <w:shd w:val="clear" w:color="auto" w:fill="FFFFFF"/>
        </w:rPr>
        <w:t> </w:t>
      </w:r>
      <w:hyperlink r:id="rId16" w:history="1">
        <w:r>
          <w:rPr>
            <w:rStyle w:val="Hyperlink"/>
            <w:rFonts w:ascii="Arial" w:eastAsia="sans-serif" w:hAnsi="Arial" w:cs="Arial"/>
            <w:color w:val="auto"/>
            <w:sz w:val="22"/>
            <w:szCs w:val="22"/>
            <w:u w:val="none"/>
            <w:shd w:val="clear" w:color="auto" w:fill="FFFFFF"/>
          </w:rPr>
          <w:t>1550-2783</w:t>
        </w:r>
      </w:hyperlink>
      <w:r>
        <w:rPr>
          <w:rStyle w:val="HTMLCite"/>
          <w:rFonts w:ascii="Arial" w:eastAsia="sans-serif" w:hAnsi="Arial" w:cs="Arial"/>
          <w:i w:val="0"/>
          <w:iCs w:val="0"/>
          <w:sz w:val="22"/>
          <w:szCs w:val="22"/>
          <w:shd w:val="clear" w:color="auto" w:fill="FFFFFF"/>
        </w:rPr>
        <w:t>. </w:t>
      </w:r>
      <w:hyperlink r:id="rId17" w:tooltip="PMC (identifier)" w:history="1">
        <w:r>
          <w:rPr>
            <w:rStyle w:val="Hyperlink"/>
            <w:rFonts w:ascii="Arial" w:eastAsia="sans-serif" w:hAnsi="Arial" w:cs="Arial"/>
            <w:color w:val="auto"/>
            <w:sz w:val="22"/>
            <w:szCs w:val="22"/>
            <w:u w:val="none"/>
            <w:shd w:val="clear" w:color="auto" w:fill="FFFFFF"/>
          </w:rPr>
          <w:t>PMC</w:t>
        </w:r>
      </w:hyperlink>
      <w:r>
        <w:rPr>
          <w:rStyle w:val="HTMLCite"/>
          <w:rFonts w:ascii="Arial" w:eastAsia="sans-serif" w:hAnsi="Arial" w:cs="Arial"/>
          <w:i w:val="0"/>
          <w:iCs w:val="0"/>
          <w:sz w:val="22"/>
          <w:szCs w:val="22"/>
          <w:shd w:val="clear" w:color="auto" w:fill="FFFFFF"/>
        </w:rPr>
        <w:t> </w:t>
      </w:r>
      <w:hyperlink r:id="rId18" w:history="1">
        <w:r>
          <w:rPr>
            <w:rStyle w:val="Hyperlink"/>
            <w:rFonts w:ascii="Arial" w:eastAsia="sans-serif" w:hAnsi="Arial" w:cs="Arial"/>
            <w:color w:val="auto"/>
            <w:sz w:val="22"/>
            <w:szCs w:val="22"/>
            <w:u w:val="none"/>
            <w:shd w:val="clear" w:color="auto" w:fill="FFFFFF"/>
          </w:rPr>
          <w:t>5469049</w:t>
        </w:r>
      </w:hyperlink>
      <w:r>
        <w:rPr>
          <w:rStyle w:val="HTMLCite"/>
          <w:rFonts w:ascii="Arial" w:eastAsia="sans-serif" w:hAnsi="Arial" w:cs="Arial"/>
          <w:i w:val="0"/>
          <w:iCs w:val="0"/>
          <w:sz w:val="22"/>
          <w:szCs w:val="22"/>
          <w:shd w:val="clear" w:color="auto" w:fill="FFFFFF"/>
        </w:rPr>
        <w:t>. </w:t>
      </w:r>
      <w:hyperlink r:id="rId19" w:tooltip="PMID (identifier)" w:history="1">
        <w:r>
          <w:rPr>
            <w:rStyle w:val="Hyperlink"/>
            <w:rFonts w:ascii="Arial" w:eastAsia="sans-serif" w:hAnsi="Arial" w:cs="Arial"/>
            <w:color w:val="auto"/>
            <w:sz w:val="22"/>
            <w:szCs w:val="22"/>
            <w:u w:val="none"/>
            <w:shd w:val="clear" w:color="auto" w:fill="FFFFFF"/>
          </w:rPr>
          <w:t>PMID</w:t>
        </w:r>
      </w:hyperlink>
      <w:r>
        <w:rPr>
          <w:rStyle w:val="HTMLCite"/>
          <w:rFonts w:ascii="Arial" w:eastAsia="sans-serif" w:hAnsi="Arial" w:cs="Arial"/>
          <w:i w:val="0"/>
          <w:iCs w:val="0"/>
          <w:sz w:val="22"/>
          <w:szCs w:val="22"/>
          <w:shd w:val="clear" w:color="auto" w:fill="FFFFFF"/>
        </w:rPr>
        <w:t> </w:t>
      </w:r>
      <w:hyperlink r:id="rId20" w:history="1">
        <w:r>
          <w:rPr>
            <w:rStyle w:val="Hyperlink"/>
            <w:rFonts w:ascii="Arial" w:eastAsia="sans-serif" w:hAnsi="Arial" w:cs="Arial"/>
            <w:color w:val="auto"/>
            <w:sz w:val="22"/>
            <w:szCs w:val="22"/>
            <w:u w:val="none"/>
            <w:shd w:val="clear" w:color="auto" w:fill="FFFFFF"/>
          </w:rPr>
          <w:t>28615996</w:t>
        </w:r>
      </w:hyperlink>
      <w:r>
        <w:rPr>
          <w:rStyle w:val="HTMLCite"/>
          <w:rFonts w:ascii="Arial" w:eastAsia="sans-serif" w:hAnsi="Arial" w:cs="Arial"/>
          <w:i w:val="0"/>
          <w:iCs w:val="0"/>
          <w:sz w:val="21"/>
          <w:szCs w:val="21"/>
          <w:shd w:val="clear" w:color="auto" w:fill="FFFFFF"/>
        </w:rPr>
        <w:t>.</w:t>
      </w:r>
      <w:r w:rsidR="00EF540A">
        <w:rPr>
          <w:rStyle w:val="HTMLCite"/>
          <w:rFonts w:ascii="Arial" w:eastAsia="sans-serif" w:hAnsi="Arial" w:cs="Arial"/>
          <w:i w:val="0"/>
          <w:iCs w:val="0"/>
          <w:sz w:val="21"/>
          <w:szCs w:val="21"/>
          <w:shd w:val="clear" w:color="auto" w:fill="FFFFFF"/>
        </w:rPr>
        <w:t xml:space="preserve"> </w:t>
      </w:r>
      <w:hyperlink r:id="rId21" w:history="1">
        <w:r w:rsidR="00EF540A" w:rsidRPr="00E90A74">
          <w:rPr>
            <w:rStyle w:val="Hyperlink"/>
            <w:rFonts w:ascii="Arial" w:eastAsia="sans-serif" w:hAnsi="Arial" w:cs="Arial"/>
            <w:sz w:val="21"/>
            <w:szCs w:val="21"/>
            <w:shd w:val="clear" w:color="auto" w:fill="FFFFFF"/>
          </w:rPr>
          <w:t>https://doi.org/10.1186/s12970-017-0173-z</w:t>
        </w:r>
      </w:hyperlink>
      <w:r w:rsidR="00EF540A">
        <w:rPr>
          <w:rStyle w:val="HTMLCite"/>
          <w:rFonts w:ascii="Arial" w:eastAsia="sans-serif" w:hAnsi="Arial" w:cs="Arial"/>
          <w:i w:val="0"/>
          <w:iCs w:val="0"/>
          <w:sz w:val="21"/>
          <w:szCs w:val="21"/>
          <w:shd w:val="clear" w:color="auto" w:fill="FFFFFF"/>
        </w:rPr>
        <w:t xml:space="preserve"> </w:t>
      </w:r>
    </w:p>
    <w:p w14:paraId="5E55A0A1" w14:textId="77777777" w:rsidR="00AD291E" w:rsidRDefault="00AD291E">
      <w:pPr>
        <w:spacing w:before="0" w:beforeAutospacing="0" w:after="0" w:line="240" w:lineRule="auto"/>
        <w:jc w:val="both"/>
        <w:rPr>
          <w:rFonts w:ascii="Arial" w:hAnsi="Arial"/>
          <w:sz w:val="22"/>
          <w:szCs w:val="22"/>
        </w:rPr>
      </w:pPr>
    </w:p>
    <w:p w14:paraId="16003827" w14:textId="00268A7C" w:rsidR="00AD291E" w:rsidRDefault="00AA6E6F">
      <w:pPr>
        <w:numPr>
          <w:ilvl w:val="0"/>
          <w:numId w:val="1"/>
        </w:numPr>
        <w:spacing w:before="0" w:beforeAutospacing="0" w:after="0" w:line="240" w:lineRule="auto"/>
        <w:jc w:val="both"/>
        <w:rPr>
          <w:rFonts w:ascii="Arial" w:hAnsi="Arial" w:cs="Arial"/>
          <w:sz w:val="22"/>
          <w:szCs w:val="22"/>
        </w:rPr>
      </w:pPr>
      <w:proofErr w:type="spellStart"/>
      <w:r>
        <w:rPr>
          <w:rFonts w:ascii="Arial" w:hAnsi="Arial"/>
          <w:sz w:val="22"/>
          <w:szCs w:val="22"/>
        </w:rPr>
        <w:t>Poortmans</w:t>
      </w:r>
      <w:proofErr w:type="spellEnd"/>
      <w:r>
        <w:rPr>
          <w:rFonts w:ascii="Arial" w:hAnsi="Arial"/>
          <w:sz w:val="22"/>
          <w:szCs w:val="22"/>
        </w:rPr>
        <w:t xml:space="preserve">, J. R., &amp; </w:t>
      </w:r>
      <w:proofErr w:type="spellStart"/>
      <w:r>
        <w:rPr>
          <w:rFonts w:ascii="Arial" w:hAnsi="Arial"/>
          <w:sz w:val="22"/>
          <w:szCs w:val="22"/>
        </w:rPr>
        <w:t>Vanderstraeten</w:t>
      </w:r>
      <w:proofErr w:type="spellEnd"/>
      <w:r>
        <w:rPr>
          <w:rFonts w:ascii="Arial" w:hAnsi="Arial"/>
          <w:sz w:val="22"/>
          <w:szCs w:val="22"/>
        </w:rPr>
        <w:t>, J. (1994). Kidney function during exercise in healthy and diseased humans. Sports Medicine, 18(6), 419-437.</w:t>
      </w:r>
      <w:r w:rsidR="00EF540A">
        <w:rPr>
          <w:rFonts w:ascii="Arial" w:hAnsi="Arial"/>
          <w:sz w:val="22"/>
          <w:szCs w:val="22"/>
        </w:rPr>
        <w:t xml:space="preserve"> </w:t>
      </w:r>
      <w:hyperlink r:id="rId22" w:history="1">
        <w:r w:rsidR="00EF540A" w:rsidRPr="00E90A74">
          <w:rPr>
            <w:rStyle w:val="Hyperlink"/>
            <w:rFonts w:ascii="Arial" w:hAnsi="Arial"/>
            <w:sz w:val="22"/>
            <w:szCs w:val="22"/>
          </w:rPr>
          <w:t>https://doi.org/10.2165/00007256-199418060-00006</w:t>
        </w:r>
      </w:hyperlink>
      <w:r w:rsidR="00EF540A">
        <w:rPr>
          <w:rFonts w:ascii="Arial" w:hAnsi="Arial"/>
          <w:sz w:val="22"/>
          <w:szCs w:val="22"/>
        </w:rPr>
        <w:t xml:space="preserve"> </w:t>
      </w:r>
    </w:p>
    <w:p w14:paraId="2176E6B8" w14:textId="77777777" w:rsidR="00AD291E" w:rsidRDefault="00AD291E">
      <w:pPr>
        <w:spacing w:before="0" w:beforeAutospacing="0" w:after="0" w:line="240" w:lineRule="auto"/>
        <w:jc w:val="both"/>
        <w:rPr>
          <w:rFonts w:ascii="Arial" w:hAnsi="Arial" w:cs="Arial"/>
          <w:sz w:val="22"/>
          <w:szCs w:val="22"/>
        </w:rPr>
      </w:pPr>
    </w:p>
    <w:p w14:paraId="697DDD4F" w14:textId="77777777" w:rsidR="00AD291E" w:rsidRDefault="00AA6E6F">
      <w:pPr>
        <w:numPr>
          <w:ilvl w:val="0"/>
          <w:numId w:val="1"/>
        </w:numPr>
        <w:spacing w:before="0" w:beforeAutospacing="0" w:after="0" w:line="240" w:lineRule="auto"/>
        <w:jc w:val="both"/>
        <w:rPr>
          <w:rFonts w:ascii="Arial" w:hAnsi="Arial"/>
          <w:sz w:val="22"/>
          <w:szCs w:val="22"/>
        </w:rPr>
      </w:pPr>
      <w:proofErr w:type="spellStart"/>
      <w:r>
        <w:rPr>
          <w:rFonts w:ascii="Arial" w:hAnsi="Arial" w:cs="Arial"/>
          <w:sz w:val="22"/>
          <w:szCs w:val="22"/>
        </w:rPr>
        <w:t>Lindinger</w:t>
      </w:r>
      <w:proofErr w:type="spellEnd"/>
      <w:r>
        <w:rPr>
          <w:rFonts w:ascii="Arial" w:hAnsi="Arial" w:cs="Arial"/>
          <w:sz w:val="22"/>
          <w:szCs w:val="22"/>
        </w:rPr>
        <w:t>, M. I. (2021). Acid-base balance and its regulation during exercise and recovery. Frontiers in Physiology, 12, 668498.</w:t>
      </w:r>
    </w:p>
    <w:p w14:paraId="1CA00FF2" w14:textId="77777777" w:rsidR="00AD291E" w:rsidRDefault="00AD291E">
      <w:pPr>
        <w:spacing w:before="0" w:beforeAutospacing="0" w:after="0" w:line="240" w:lineRule="auto"/>
        <w:jc w:val="both"/>
        <w:rPr>
          <w:rFonts w:ascii="Arial" w:hAnsi="Arial"/>
          <w:sz w:val="22"/>
          <w:szCs w:val="22"/>
        </w:rPr>
      </w:pPr>
    </w:p>
    <w:p w14:paraId="43906E23" w14:textId="2D1D2ADD" w:rsidR="00AD291E" w:rsidRDefault="00AA6E6F">
      <w:pPr>
        <w:numPr>
          <w:ilvl w:val="0"/>
          <w:numId w:val="1"/>
        </w:numPr>
        <w:spacing w:before="0" w:beforeAutospacing="0" w:after="0" w:line="240" w:lineRule="auto"/>
        <w:jc w:val="both"/>
        <w:rPr>
          <w:rFonts w:ascii="Arial" w:hAnsi="Arial"/>
          <w:sz w:val="22"/>
          <w:szCs w:val="22"/>
        </w:rPr>
      </w:pPr>
      <w:r>
        <w:rPr>
          <w:rFonts w:ascii="Arial" w:hAnsi="Arial"/>
          <w:sz w:val="22"/>
          <w:szCs w:val="22"/>
        </w:rPr>
        <w:t>Brooks, G. A. (2018). The science and translation of lactate shuttle theory. Cell Metabolism, 27(4), 757–785.</w:t>
      </w:r>
      <w:r w:rsidR="00EF540A">
        <w:rPr>
          <w:rFonts w:ascii="Arial" w:hAnsi="Arial"/>
          <w:sz w:val="22"/>
          <w:szCs w:val="22"/>
        </w:rPr>
        <w:t xml:space="preserve"> </w:t>
      </w:r>
      <w:hyperlink r:id="rId23" w:history="1">
        <w:r w:rsidR="00EF540A" w:rsidRPr="00E90A74">
          <w:rPr>
            <w:rStyle w:val="Hyperlink"/>
            <w:rFonts w:ascii="Arial" w:hAnsi="Arial"/>
            <w:sz w:val="22"/>
            <w:szCs w:val="22"/>
          </w:rPr>
          <w:t>https://doi.org/10.1016/j.cmet.2018.03.008</w:t>
        </w:r>
      </w:hyperlink>
      <w:r w:rsidR="00EF540A">
        <w:rPr>
          <w:rFonts w:ascii="Arial" w:hAnsi="Arial"/>
          <w:sz w:val="22"/>
          <w:szCs w:val="22"/>
        </w:rPr>
        <w:t xml:space="preserve"> </w:t>
      </w:r>
    </w:p>
    <w:p w14:paraId="16DE0989" w14:textId="77777777" w:rsidR="00AD291E" w:rsidRDefault="00AD291E">
      <w:pPr>
        <w:spacing w:before="0" w:beforeAutospacing="0" w:after="0" w:line="240" w:lineRule="auto"/>
        <w:jc w:val="both"/>
        <w:rPr>
          <w:rFonts w:ascii="Arial" w:hAnsi="Arial"/>
          <w:sz w:val="22"/>
          <w:szCs w:val="22"/>
        </w:rPr>
      </w:pPr>
    </w:p>
    <w:p w14:paraId="5F2097EC" w14:textId="6178A617" w:rsidR="00AD291E" w:rsidRDefault="00AA6E6F">
      <w:pPr>
        <w:numPr>
          <w:ilvl w:val="0"/>
          <w:numId w:val="1"/>
        </w:numPr>
        <w:spacing w:before="0" w:beforeAutospacing="0" w:after="0" w:line="240" w:lineRule="auto"/>
        <w:jc w:val="both"/>
        <w:rPr>
          <w:rFonts w:ascii="Arial" w:hAnsi="Arial" w:cs="Arial"/>
          <w:sz w:val="22"/>
          <w:szCs w:val="22"/>
        </w:rPr>
      </w:pPr>
      <w:proofErr w:type="spellStart"/>
      <w:r>
        <w:rPr>
          <w:rFonts w:ascii="Arial" w:hAnsi="Arial" w:cs="Arial"/>
          <w:sz w:val="22"/>
          <w:szCs w:val="22"/>
        </w:rPr>
        <w:t>Poortmans</w:t>
      </w:r>
      <w:proofErr w:type="spellEnd"/>
      <w:r>
        <w:rPr>
          <w:rFonts w:ascii="Arial" w:hAnsi="Arial" w:cs="Arial"/>
          <w:sz w:val="22"/>
          <w:szCs w:val="22"/>
        </w:rPr>
        <w:t xml:space="preserve">, J. R., &amp; </w:t>
      </w:r>
      <w:proofErr w:type="spellStart"/>
      <w:r>
        <w:rPr>
          <w:rFonts w:ascii="Arial" w:hAnsi="Arial" w:cs="Arial"/>
          <w:sz w:val="22"/>
          <w:szCs w:val="22"/>
        </w:rPr>
        <w:t>Dellalieux</w:t>
      </w:r>
      <w:proofErr w:type="spellEnd"/>
      <w:r>
        <w:rPr>
          <w:rFonts w:ascii="Arial" w:hAnsi="Arial" w:cs="Arial"/>
          <w:sz w:val="22"/>
          <w:szCs w:val="22"/>
        </w:rPr>
        <w:t>, O. (2000). Do regular high protein diets have potential health risks on kidney function in athletes? International Journal of Sport Nutrition and Exercise Metabolism, 10(1), 28-38.</w:t>
      </w:r>
      <w:r w:rsidR="00EF540A">
        <w:rPr>
          <w:rFonts w:ascii="Arial" w:hAnsi="Arial" w:cs="Arial"/>
          <w:sz w:val="22"/>
          <w:szCs w:val="22"/>
        </w:rPr>
        <w:t xml:space="preserve"> </w:t>
      </w:r>
      <w:hyperlink r:id="rId24" w:history="1">
        <w:r w:rsidR="00EF540A" w:rsidRPr="00E90A74">
          <w:rPr>
            <w:rStyle w:val="Hyperlink"/>
            <w:rFonts w:ascii="Arial" w:hAnsi="Arial" w:cs="Arial"/>
            <w:sz w:val="22"/>
            <w:szCs w:val="22"/>
          </w:rPr>
          <w:t>https://doi.org/10.1123/ijsnem.10.1.28</w:t>
        </w:r>
      </w:hyperlink>
      <w:r w:rsidR="00EF540A">
        <w:rPr>
          <w:rFonts w:ascii="Arial" w:hAnsi="Arial" w:cs="Arial"/>
          <w:sz w:val="22"/>
          <w:szCs w:val="22"/>
        </w:rPr>
        <w:t xml:space="preserve"> </w:t>
      </w:r>
    </w:p>
    <w:p w14:paraId="007119B2" w14:textId="77777777" w:rsidR="00AD291E" w:rsidRDefault="00AD291E">
      <w:pPr>
        <w:spacing w:before="0" w:beforeAutospacing="0" w:after="0" w:line="240" w:lineRule="auto"/>
        <w:jc w:val="both"/>
        <w:rPr>
          <w:rFonts w:ascii="Arial" w:hAnsi="Arial" w:cs="Arial"/>
          <w:sz w:val="22"/>
          <w:szCs w:val="22"/>
        </w:rPr>
      </w:pPr>
    </w:p>
    <w:p w14:paraId="0DF376CB" w14:textId="529E2C95" w:rsidR="00AD291E" w:rsidRDefault="00AA6E6F">
      <w:pPr>
        <w:numPr>
          <w:ilvl w:val="0"/>
          <w:numId w:val="1"/>
        </w:numPr>
        <w:spacing w:before="0" w:beforeAutospacing="0" w:after="0" w:line="240" w:lineRule="auto"/>
        <w:jc w:val="both"/>
        <w:rPr>
          <w:rFonts w:ascii="Arial" w:hAnsi="Arial" w:cs="Arial"/>
          <w:sz w:val="22"/>
          <w:szCs w:val="22"/>
        </w:rPr>
      </w:pPr>
      <w:proofErr w:type="spellStart"/>
      <w:r>
        <w:rPr>
          <w:rFonts w:ascii="Arial" w:hAnsi="Arial" w:cs="Arial"/>
          <w:sz w:val="22"/>
          <w:szCs w:val="22"/>
        </w:rPr>
        <w:t>Banfi</w:t>
      </w:r>
      <w:proofErr w:type="spellEnd"/>
      <w:r>
        <w:rPr>
          <w:rFonts w:ascii="Arial" w:hAnsi="Arial" w:cs="Arial"/>
          <w:sz w:val="22"/>
          <w:szCs w:val="22"/>
        </w:rPr>
        <w:t xml:space="preserve">, G., </w:t>
      </w:r>
      <w:proofErr w:type="spellStart"/>
      <w:r>
        <w:rPr>
          <w:rFonts w:ascii="Arial" w:hAnsi="Arial" w:cs="Arial"/>
          <w:sz w:val="22"/>
          <w:szCs w:val="22"/>
        </w:rPr>
        <w:t>Colombini</w:t>
      </w:r>
      <w:proofErr w:type="spellEnd"/>
      <w:r>
        <w:rPr>
          <w:rFonts w:ascii="Arial" w:hAnsi="Arial" w:cs="Arial"/>
          <w:sz w:val="22"/>
          <w:szCs w:val="22"/>
        </w:rPr>
        <w:t xml:space="preserve">, A., Lombardi, G., &amp; </w:t>
      </w:r>
      <w:proofErr w:type="spellStart"/>
      <w:r>
        <w:rPr>
          <w:rFonts w:ascii="Arial" w:hAnsi="Arial" w:cs="Arial"/>
          <w:sz w:val="22"/>
          <w:szCs w:val="22"/>
        </w:rPr>
        <w:t>Lubkowska</w:t>
      </w:r>
      <w:proofErr w:type="spellEnd"/>
      <w:r>
        <w:rPr>
          <w:rFonts w:ascii="Arial" w:hAnsi="Arial" w:cs="Arial"/>
          <w:sz w:val="22"/>
          <w:szCs w:val="22"/>
        </w:rPr>
        <w:t xml:space="preserve">, A. (2012). Metabolic markers in sports medicine. Advances in Clinical Chemistry, 56, 1-54. </w:t>
      </w:r>
      <w:r w:rsidR="00EF540A">
        <w:rPr>
          <w:rFonts w:ascii="Arial" w:hAnsi="Arial" w:cs="Arial"/>
          <w:sz w:val="22"/>
          <w:szCs w:val="22"/>
        </w:rPr>
        <w:t xml:space="preserve"> </w:t>
      </w:r>
      <w:hyperlink r:id="rId25" w:history="1">
        <w:r w:rsidR="00EF540A" w:rsidRPr="00E90A74">
          <w:rPr>
            <w:rStyle w:val="Hyperlink"/>
            <w:rFonts w:ascii="Arial" w:hAnsi="Arial" w:cs="Arial"/>
            <w:sz w:val="22"/>
            <w:szCs w:val="22"/>
          </w:rPr>
          <w:t>https://doi.org/10.1016/B978-0-12-394317-0.00015-7</w:t>
        </w:r>
      </w:hyperlink>
      <w:r w:rsidR="00EF540A">
        <w:rPr>
          <w:rFonts w:ascii="Arial" w:hAnsi="Arial" w:cs="Arial"/>
          <w:sz w:val="22"/>
          <w:szCs w:val="22"/>
        </w:rPr>
        <w:t xml:space="preserve"> </w:t>
      </w:r>
    </w:p>
    <w:p w14:paraId="5020F4E8" w14:textId="77777777" w:rsidR="00AD291E" w:rsidRDefault="00AD291E">
      <w:pPr>
        <w:spacing w:before="0" w:beforeAutospacing="0" w:after="0" w:line="240" w:lineRule="auto"/>
        <w:jc w:val="both"/>
        <w:rPr>
          <w:rFonts w:ascii="Arial" w:hAnsi="Arial" w:cs="Arial"/>
          <w:sz w:val="22"/>
          <w:szCs w:val="22"/>
        </w:rPr>
      </w:pPr>
    </w:p>
    <w:p w14:paraId="1B603F3D" w14:textId="1FF9D635" w:rsidR="00AD291E" w:rsidRDefault="00AA6E6F">
      <w:pPr>
        <w:numPr>
          <w:ilvl w:val="0"/>
          <w:numId w:val="1"/>
        </w:numPr>
        <w:spacing w:before="0" w:beforeAutospacing="0" w:after="0" w:line="240" w:lineRule="auto"/>
        <w:jc w:val="both"/>
        <w:rPr>
          <w:rFonts w:ascii="Arial" w:hAnsi="Arial" w:cs="Arial"/>
          <w:sz w:val="22"/>
          <w:szCs w:val="22"/>
        </w:rPr>
      </w:pPr>
      <w:proofErr w:type="spellStart"/>
      <w:r>
        <w:rPr>
          <w:rFonts w:ascii="Arial" w:hAnsi="Arial" w:cs="Arial"/>
          <w:sz w:val="22"/>
          <w:szCs w:val="22"/>
        </w:rPr>
        <w:t>Gennari</w:t>
      </w:r>
      <w:proofErr w:type="spellEnd"/>
      <w:r>
        <w:rPr>
          <w:rFonts w:ascii="Arial" w:hAnsi="Arial" w:cs="Arial"/>
          <w:sz w:val="22"/>
          <w:szCs w:val="22"/>
        </w:rPr>
        <w:t xml:space="preserve">, F. J. (1998). Hypokalemia. New England Journal of Medicine, 339(7), 451-458. </w:t>
      </w:r>
      <w:r w:rsidR="00EF540A">
        <w:rPr>
          <w:rFonts w:ascii="Arial" w:hAnsi="Arial" w:cs="Arial"/>
          <w:sz w:val="22"/>
          <w:szCs w:val="22"/>
        </w:rPr>
        <w:t xml:space="preserve"> </w:t>
      </w:r>
      <w:hyperlink r:id="rId26" w:history="1">
        <w:r w:rsidR="00EF540A" w:rsidRPr="00E90A74">
          <w:rPr>
            <w:rStyle w:val="Hyperlink"/>
            <w:rFonts w:ascii="Arial" w:hAnsi="Arial" w:cs="Arial"/>
            <w:sz w:val="22"/>
            <w:szCs w:val="22"/>
          </w:rPr>
          <w:t>https://doi.org/10.1056/NEJM199808133390707</w:t>
        </w:r>
      </w:hyperlink>
      <w:r w:rsidR="00EF540A">
        <w:rPr>
          <w:rFonts w:ascii="Arial" w:hAnsi="Arial" w:cs="Arial"/>
          <w:sz w:val="22"/>
          <w:szCs w:val="22"/>
        </w:rPr>
        <w:t xml:space="preserve"> </w:t>
      </w:r>
    </w:p>
    <w:p w14:paraId="5666C5F3" w14:textId="77777777" w:rsidR="00AD291E" w:rsidRDefault="00AD291E">
      <w:pPr>
        <w:spacing w:before="0" w:beforeAutospacing="0" w:after="0" w:line="240" w:lineRule="auto"/>
        <w:jc w:val="both"/>
        <w:rPr>
          <w:rFonts w:ascii="Arial" w:hAnsi="Arial" w:cs="Arial"/>
          <w:sz w:val="22"/>
          <w:szCs w:val="22"/>
        </w:rPr>
      </w:pPr>
    </w:p>
    <w:p w14:paraId="3FC4DD5C" w14:textId="77777777" w:rsidR="00AD291E" w:rsidRDefault="00AA6E6F">
      <w:pPr>
        <w:numPr>
          <w:ilvl w:val="0"/>
          <w:numId w:val="1"/>
        </w:numPr>
        <w:spacing w:before="0" w:beforeAutospacing="0" w:after="0" w:line="240" w:lineRule="auto"/>
        <w:jc w:val="both"/>
        <w:rPr>
          <w:rFonts w:ascii="Arial" w:hAnsi="Arial"/>
          <w:sz w:val="22"/>
          <w:szCs w:val="22"/>
        </w:rPr>
      </w:pPr>
      <w:r>
        <w:rPr>
          <w:rFonts w:ascii="Arial" w:hAnsi="Arial" w:cs="Arial"/>
          <w:sz w:val="22"/>
          <w:szCs w:val="22"/>
        </w:rPr>
        <w:t xml:space="preserve">Jones, T. W., </w:t>
      </w:r>
      <w:proofErr w:type="spellStart"/>
      <w:r>
        <w:rPr>
          <w:rFonts w:ascii="Arial" w:hAnsi="Arial" w:cs="Arial"/>
          <w:sz w:val="22"/>
          <w:szCs w:val="22"/>
        </w:rPr>
        <w:t>Howatson</w:t>
      </w:r>
      <w:proofErr w:type="spellEnd"/>
      <w:r>
        <w:rPr>
          <w:rFonts w:ascii="Arial" w:hAnsi="Arial" w:cs="Arial"/>
          <w:sz w:val="22"/>
          <w:szCs w:val="22"/>
        </w:rPr>
        <w:t>, G., Russell, M., &amp; French, D. N. (2019). Performance and biochemical responses to combined training in athletes. Sports Medicine, 49(11), 1701-1719.</w:t>
      </w:r>
    </w:p>
    <w:p w14:paraId="7E6CE357" w14:textId="77777777" w:rsidR="00AD291E" w:rsidRDefault="00AD291E">
      <w:pPr>
        <w:spacing w:before="0" w:beforeAutospacing="0" w:after="0" w:line="240" w:lineRule="auto"/>
        <w:jc w:val="both"/>
        <w:rPr>
          <w:rFonts w:ascii="Arial" w:hAnsi="Arial"/>
          <w:sz w:val="22"/>
          <w:szCs w:val="22"/>
        </w:rPr>
      </w:pPr>
    </w:p>
    <w:p w14:paraId="325A8767" w14:textId="37BAD521" w:rsidR="00AD291E" w:rsidRDefault="00AA6E6F">
      <w:pPr>
        <w:numPr>
          <w:ilvl w:val="0"/>
          <w:numId w:val="1"/>
        </w:numPr>
        <w:spacing w:before="0" w:beforeAutospacing="0" w:after="0" w:line="240" w:lineRule="auto"/>
        <w:jc w:val="both"/>
        <w:rPr>
          <w:rFonts w:ascii="Arial" w:hAnsi="Arial"/>
          <w:sz w:val="22"/>
          <w:szCs w:val="22"/>
        </w:rPr>
      </w:pPr>
      <w:r>
        <w:rPr>
          <w:rFonts w:ascii="Arial" w:hAnsi="Arial"/>
          <w:sz w:val="22"/>
          <w:szCs w:val="22"/>
        </w:rPr>
        <w:t xml:space="preserve">Hew-Butler, T., Rosner, M. H., </w:t>
      </w:r>
      <w:proofErr w:type="spellStart"/>
      <w:r>
        <w:rPr>
          <w:rFonts w:ascii="Arial" w:hAnsi="Arial"/>
          <w:sz w:val="22"/>
          <w:szCs w:val="22"/>
        </w:rPr>
        <w:t>Fowkes-Godek</w:t>
      </w:r>
      <w:proofErr w:type="spellEnd"/>
      <w:r>
        <w:rPr>
          <w:rFonts w:ascii="Arial" w:hAnsi="Arial"/>
          <w:sz w:val="22"/>
          <w:szCs w:val="22"/>
        </w:rPr>
        <w:t xml:space="preserve">, S., Dugas, J. P., Hoffman, M. D., Lewis, D. P &amp; </w:t>
      </w:r>
      <w:proofErr w:type="spellStart"/>
      <w:r>
        <w:rPr>
          <w:rFonts w:ascii="Arial" w:hAnsi="Arial"/>
          <w:sz w:val="22"/>
          <w:szCs w:val="22"/>
        </w:rPr>
        <w:t>Verbalis</w:t>
      </w:r>
      <w:proofErr w:type="spellEnd"/>
      <w:r>
        <w:rPr>
          <w:rFonts w:ascii="Arial" w:hAnsi="Arial"/>
          <w:sz w:val="22"/>
          <w:szCs w:val="22"/>
        </w:rPr>
        <w:t xml:space="preserve">, J. G. (2015). Statement of the Third International Exercise-Associated Hyponatremia Consensus Development Conference. Clinical Journal of Sport Medicine, 25(4), 303-320. </w:t>
      </w:r>
      <w:r w:rsidR="00EF540A">
        <w:rPr>
          <w:rFonts w:ascii="Arial" w:hAnsi="Arial"/>
          <w:sz w:val="22"/>
          <w:szCs w:val="22"/>
        </w:rPr>
        <w:t xml:space="preserve"> </w:t>
      </w:r>
      <w:hyperlink r:id="rId27" w:history="1">
        <w:r w:rsidR="00EF540A" w:rsidRPr="00E90A74">
          <w:rPr>
            <w:rStyle w:val="Hyperlink"/>
            <w:rFonts w:ascii="Arial" w:hAnsi="Arial"/>
            <w:sz w:val="22"/>
            <w:szCs w:val="22"/>
          </w:rPr>
          <w:t>https://doi.org/10.1097/JSM.0000000000000221</w:t>
        </w:r>
      </w:hyperlink>
      <w:r w:rsidR="00EF540A">
        <w:rPr>
          <w:rFonts w:ascii="Arial" w:hAnsi="Arial"/>
          <w:sz w:val="22"/>
          <w:szCs w:val="22"/>
        </w:rPr>
        <w:t xml:space="preserve"> </w:t>
      </w:r>
    </w:p>
    <w:p w14:paraId="56094B90" w14:textId="77777777" w:rsidR="00AD291E" w:rsidRDefault="00AD291E">
      <w:pPr>
        <w:spacing w:before="0" w:beforeAutospacing="0" w:after="0" w:line="240" w:lineRule="auto"/>
        <w:jc w:val="both"/>
        <w:rPr>
          <w:rFonts w:ascii="Arial" w:hAnsi="Arial"/>
          <w:sz w:val="22"/>
          <w:szCs w:val="22"/>
        </w:rPr>
      </w:pPr>
    </w:p>
    <w:p w14:paraId="3DA4C8A7" w14:textId="00F43B7E" w:rsidR="00AD291E" w:rsidRDefault="00AA6E6F">
      <w:pPr>
        <w:numPr>
          <w:ilvl w:val="0"/>
          <w:numId w:val="1"/>
        </w:numPr>
        <w:spacing w:before="0" w:beforeAutospacing="0" w:after="0" w:line="240" w:lineRule="auto"/>
        <w:jc w:val="both"/>
        <w:rPr>
          <w:rFonts w:ascii="Arial" w:hAnsi="Arial" w:cs="Arial"/>
          <w:sz w:val="22"/>
          <w:szCs w:val="22"/>
        </w:rPr>
      </w:pPr>
      <w:r>
        <w:rPr>
          <w:rFonts w:ascii="Arial" w:hAnsi="Arial" w:cs="Arial"/>
          <w:sz w:val="22"/>
          <w:szCs w:val="22"/>
        </w:rPr>
        <w:t xml:space="preserve"> </w:t>
      </w:r>
      <w:r>
        <w:rPr>
          <w:rFonts w:ascii="Arial" w:hAnsi="Arial"/>
          <w:sz w:val="22"/>
          <w:szCs w:val="22"/>
        </w:rPr>
        <w:t>Abramowitz, M. K., Hostetter, T. H., &amp; Melamed, M. L. (2012). The serum anion gap is altered in early kidney disease and associates with mortality. Kidney International, 82(6), 701-709.</w:t>
      </w:r>
      <w:r w:rsidR="00EF540A">
        <w:rPr>
          <w:rFonts w:ascii="Arial" w:hAnsi="Arial"/>
          <w:sz w:val="22"/>
          <w:szCs w:val="22"/>
        </w:rPr>
        <w:t xml:space="preserve"> </w:t>
      </w:r>
      <w:hyperlink r:id="rId28" w:history="1">
        <w:r w:rsidR="00EF540A" w:rsidRPr="00E90A74">
          <w:rPr>
            <w:rStyle w:val="Hyperlink"/>
            <w:rFonts w:ascii="Arial" w:hAnsi="Arial"/>
            <w:sz w:val="22"/>
            <w:szCs w:val="22"/>
          </w:rPr>
          <w:t>https://doi.org/10.1038/ki.2012.196</w:t>
        </w:r>
      </w:hyperlink>
      <w:r w:rsidR="00EF540A">
        <w:rPr>
          <w:rFonts w:ascii="Arial" w:hAnsi="Arial"/>
          <w:sz w:val="22"/>
          <w:szCs w:val="22"/>
        </w:rPr>
        <w:t xml:space="preserve"> </w:t>
      </w:r>
    </w:p>
    <w:p w14:paraId="75B27360" w14:textId="77777777" w:rsidR="00AD291E" w:rsidRDefault="00AD291E">
      <w:pPr>
        <w:spacing w:before="0" w:beforeAutospacing="0" w:after="0" w:line="240" w:lineRule="auto"/>
        <w:jc w:val="both"/>
        <w:rPr>
          <w:rFonts w:ascii="Arial" w:hAnsi="Arial" w:cs="Arial"/>
          <w:sz w:val="22"/>
          <w:szCs w:val="22"/>
        </w:rPr>
      </w:pPr>
    </w:p>
    <w:p w14:paraId="5A01195E" w14:textId="0D439C12" w:rsidR="00AD291E" w:rsidRDefault="00AA6E6F">
      <w:pPr>
        <w:numPr>
          <w:ilvl w:val="0"/>
          <w:numId w:val="1"/>
        </w:numPr>
        <w:spacing w:before="0" w:beforeAutospacing="0" w:after="0" w:line="240" w:lineRule="auto"/>
        <w:jc w:val="both"/>
        <w:rPr>
          <w:rFonts w:ascii="Arial" w:hAnsi="Arial" w:cs="Arial"/>
          <w:sz w:val="22"/>
          <w:szCs w:val="22"/>
        </w:rPr>
      </w:pPr>
      <w:r>
        <w:rPr>
          <w:rFonts w:ascii="Arial" w:hAnsi="Arial" w:cs="Arial"/>
          <w:sz w:val="22"/>
          <w:szCs w:val="22"/>
        </w:rPr>
        <w:t xml:space="preserve">Kraut, J. A., &amp; </w:t>
      </w:r>
      <w:proofErr w:type="spellStart"/>
      <w:r>
        <w:rPr>
          <w:rFonts w:ascii="Arial" w:hAnsi="Arial" w:cs="Arial"/>
          <w:sz w:val="22"/>
          <w:szCs w:val="22"/>
        </w:rPr>
        <w:t>Madias</w:t>
      </w:r>
      <w:proofErr w:type="spellEnd"/>
      <w:r>
        <w:rPr>
          <w:rFonts w:ascii="Arial" w:hAnsi="Arial" w:cs="Arial"/>
          <w:sz w:val="22"/>
          <w:szCs w:val="22"/>
        </w:rPr>
        <w:t>, N. E. (2010). Metabolic acidosis: Pathophysiology, diagnosis and management. Nature Reviews Nephrology, 6(5), 274-285.</w:t>
      </w:r>
      <w:r w:rsidR="00EF540A">
        <w:rPr>
          <w:rFonts w:ascii="Arial" w:hAnsi="Arial" w:cs="Arial"/>
          <w:sz w:val="22"/>
          <w:szCs w:val="22"/>
        </w:rPr>
        <w:t xml:space="preserve"> </w:t>
      </w:r>
      <w:hyperlink r:id="rId29" w:history="1">
        <w:r w:rsidR="00EF540A" w:rsidRPr="00E90A74">
          <w:rPr>
            <w:rStyle w:val="Hyperlink"/>
            <w:rFonts w:ascii="Arial" w:hAnsi="Arial" w:cs="Arial"/>
            <w:sz w:val="22"/>
            <w:szCs w:val="22"/>
          </w:rPr>
          <w:t>https://doi.org/10.1038/nrneph.2010.33</w:t>
        </w:r>
      </w:hyperlink>
      <w:r w:rsidR="00EF540A">
        <w:rPr>
          <w:rFonts w:ascii="Arial" w:hAnsi="Arial" w:cs="Arial"/>
          <w:sz w:val="22"/>
          <w:szCs w:val="22"/>
        </w:rPr>
        <w:t xml:space="preserve"> </w:t>
      </w:r>
    </w:p>
    <w:p w14:paraId="77370FC6" w14:textId="77777777" w:rsidR="00AD291E" w:rsidRDefault="00AD291E">
      <w:pPr>
        <w:spacing w:before="0" w:beforeAutospacing="0" w:after="0" w:line="240" w:lineRule="auto"/>
        <w:jc w:val="both"/>
        <w:rPr>
          <w:rFonts w:ascii="Arial" w:hAnsi="Arial" w:cs="Arial"/>
          <w:sz w:val="22"/>
          <w:szCs w:val="22"/>
        </w:rPr>
      </w:pPr>
    </w:p>
    <w:p w14:paraId="16651CF6" w14:textId="77777777" w:rsidR="00AD291E" w:rsidRDefault="00AA6E6F">
      <w:pPr>
        <w:numPr>
          <w:ilvl w:val="0"/>
          <w:numId w:val="1"/>
        </w:numPr>
        <w:spacing w:before="0" w:beforeAutospacing="0" w:after="0" w:line="240" w:lineRule="auto"/>
        <w:jc w:val="both"/>
        <w:rPr>
          <w:rFonts w:ascii="Arial" w:hAnsi="Arial" w:cs="Arial"/>
          <w:sz w:val="22"/>
          <w:szCs w:val="22"/>
        </w:rPr>
      </w:pPr>
      <w:r>
        <w:rPr>
          <w:rFonts w:ascii="Arial" w:hAnsi="Arial" w:cs="Arial"/>
          <w:sz w:val="22"/>
          <w:szCs w:val="22"/>
        </w:rPr>
        <w:t xml:space="preserve">Morton, R. W., Murphy, K. T., McKellar, S. R., Schoenfeld, B. J., </w:t>
      </w:r>
      <w:proofErr w:type="spellStart"/>
      <w:r>
        <w:rPr>
          <w:rFonts w:ascii="Arial" w:hAnsi="Arial" w:cs="Arial"/>
          <w:sz w:val="22"/>
          <w:szCs w:val="22"/>
        </w:rPr>
        <w:t>Henselmans</w:t>
      </w:r>
      <w:proofErr w:type="spellEnd"/>
      <w:r>
        <w:rPr>
          <w:rFonts w:ascii="Arial" w:hAnsi="Arial" w:cs="Arial"/>
          <w:sz w:val="22"/>
          <w:szCs w:val="22"/>
        </w:rPr>
        <w:t xml:space="preserve">, M., Helms, E.&amp; Phillips, S. M. (2018). A systematic review, meta-analysis and meta-regression of the effect of protein supplementation on resistance training-induced gains in muscle mass and strength in healthy adults. British Journal of Sports Medicine, </w:t>
      </w:r>
      <w:r>
        <w:rPr>
          <w:rFonts w:ascii="Arial" w:hAnsi="Arial" w:cs="Arial"/>
          <w:i/>
          <w:iCs/>
          <w:sz w:val="22"/>
          <w:szCs w:val="22"/>
        </w:rPr>
        <w:t>52</w:t>
      </w:r>
      <w:r>
        <w:rPr>
          <w:rFonts w:ascii="Arial" w:hAnsi="Arial" w:cs="Arial"/>
          <w:sz w:val="22"/>
          <w:szCs w:val="22"/>
        </w:rPr>
        <w:t>(6), 376-384.</w:t>
      </w:r>
    </w:p>
    <w:p w14:paraId="4014D0ED" w14:textId="7711CCA5" w:rsidR="00AD291E" w:rsidRDefault="00EF540A">
      <w:pPr>
        <w:spacing w:before="0" w:beforeAutospacing="0" w:after="0" w:line="240" w:lineRule="auto"/>
        <w:jc w:val="both"/>
        <w:rPr>
          <w:rFonts w:ascii="Arial" w:hAnsi="Arial" w:cs="Arial"/>
          <w:sz w:val="22"/>
          <w:szCs w:val="22"/>
        </w:rPr>
      </w:pPr>
      <w:r>
        <w:rPr>
          <w:rFonts w:ascii="Arial" w:hAnsi="Arial" w:cs="Arial"/>
          <w:sz w:val="22"/>
          <w:szCs w:val="22"/>
        </w:rPr>
        <w:t xml:space="preserve"> </w:t>
      </w:r>
      <w:hyperlink r:id="rId30" w:history="1">
        <w:r w:rsidRPr="00E90A74">
          <w:rPr>
            <w:rStyle w:val="Hyperlink"/>
            <w:rFonts w:ascii="Arial" w:hAnsi="Arial" w:cs="Arial"/>
            <w:sz w:val="22"/>
            <w:szCs w:val="22"/>
          </w:rPr>
          <w:t>https://doi.org/10.1136/bjsports-2017-097608</w:t>
        </w:r>
      </w:hyperlink>
      <w:r>
        <w:rPr>
          <w:rFonts w:ascii="Arial" w:hAnsi="Arial" w:cs="Arial"/>
          <w:sz w:val="22"/>
          <w:szCs w:val="22"/>
        </w:rPr>
        <w:t xml:space="preserve"> </w:t>
      </w:r>
    </w:p>
    <w:p w14:paraId="799FD97A" w14:textId="77777777" w:rsidR="00AD291E" w:rsidRDefault="00AD291E">
      <w:pPr>
        <w:spacing w:line="480" w:lineRule="auto"/>
        <w:ind w:left="720" w:hanging="720"/>
        <w:jc w:val="both"/>
        <w:rPr>
          <w:rFonts w:ascii="Times New Roman" w:hAnsi="Times New Roman"/>
        </w:rPr>
      </w:pPr>
    </w:p>
    <w:p w14:paraId="0467252B" w14:textId="77777777" w:rsidR="00AD291E" w:rsidRDefault="00AD291E">
      <w:pPr>
        <w:spacing w:before="0" w:beforeAutospacing="0" w:after="0" w:line="240" w:lineRule="auto"/>
        <w:rPr>
          <w:rFonts w:ascii="Arial" w:hAnsi="Arial"/>
          <w:sz w:val="22"/>
          <w:szCs w:val="22"/>
        </w:rPr>
      </w:pPr>
    </w:p>
    <w:p w14:paraId="0409A23D" w14:textId="77777777" w:rsidR="00AD291E" w:rsidRDefault="00AD291E">
      <w:pPr>
        <w:spacing w:before="0" w:beforeAutospacing="0" w:after="0" w:line="240" w:lineRule="auto"/>
        <w:rPr>
          <w:rFonts w:ascii="Arial" w:eastAsia="sans-serif" w:hAnsi="Arial" w:cs="Arial"/>
          <w:color w:val="202122"/>
          <w:sz w:val="21"/>
          <w:szCs w:val="21"/>
          <w:shd w:val="clear" w:color="auto" w:fill="FFFFFF"/>
        </w:rPr>
      </w:pPr>
    </w:p>
    <w:p w14:paraId="00A1B9CF" w14:textId="77777777" w:rsidR="00AD291E" w:rsidRDefault="00AD291E">
      <w:pPr>
        <w:spacing w:before="0" w:beforeAutospacing="0" w:after="0" w:line="240" w:lineRule="auto"/>
        <w:rPr>
          <w:rFonts w:ascii="Arial" w:hAnsi="Arial"/>
          <w:sz w:val="22"/>
          <w:szCs w:val="22"/>
        </w:rPr>
      </w:pPr>
    </w:p>
    <w:p w14:paraId="5761DDCA" w14:textId="77777777" w:rsidR="00AD291E" w:rsidRDefault="00AD291E">
      <w:pPr>
        <w:spacing w:line="240" w:lineRule="auto"/>
        <w:ind w:left="720" w:hanging="720"/>
        <w:jc w:val="both"/>
        <w:rPr>
          <w:rFonts w:ascii="Arial" w:hAnsi="Arial" w:cs="Arial"/>
          <w:sz w:val="22"/>
          <w:szCs w:val="22"/>
        </w:rPr>
      </w:pPr>
    </w:p>
    <w:p w14:paraId="608672F0" w14:textId="77777777" w:rsidR="00AD291E" w:rsidRDefault="00AD291E">
      <w:pPr>
        <w:spacing w:before="0" w:beforeAutospacing="0" w:after="0" w:line="240" w:lineRule="auto"/>
        <w:jc w:val="both"/>
        <w:rPr>
          <w:rFonts w:ascii="Arial" w:eastAsia="SimSun" w:hAnsi="Arial" w:cs="Arial"/>
          <w:sz w:val="20"/>
          <w:szCs w:val="20"/>
        </w:rPr>
      </w:pPr>
    </w:p>
    <w:p w14:paraId="20F43D5A" w14:textId="77777777" w:rsidR="00AD291E" w:rsidRDefault="00AD291E">
      <w:pPr>
        <w:spacing w:before="0" w:beforeAutospacing="0" w:after="0" w:line="240" w:lineRule="auto"/>
        <w:jc w:val="both"/>
        <w:rPr>
          <w:rFonts w:ascii="Arial" w:eastAsia="SimSun" w:hAnsi="Arial" w:cs="Arial"/>
          <w:sz w:val="20"/>
          <w:szCs w:val="20"/>
        </w:rPr>
      </w:pPr>
    </w:p>
    <w:sectPr w:rsidR="00AD291E">
      <w:headerReference w:type="even" r:id="rId31"/>
      <w:headerReference w:type="default" r:id="rId32"/>
      <w:footerReference w:type="even" r:id="rId33"/>
      <w:footerReference w:type="default" r:id="rId34"/>
      <w:headerReference w:type="first" r:id="rId35"/>
      <w:footerReference w:type="first" r:id="rId36"/>
      <w:pgSz w:w="12240" w:h="15840"/>
      <w:pgMar w:top="12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F5FFF" w14:textId="77777777" w:rsidR="007E42C8" w:rsidRDefault="007E42C8">
      <w:pPr>
        <w:spacing w:line="240" w:lineRule="auto"/>
      </w:pPr>
      <w:r>
        <w:separator/>
      </w:r>
    </w:p>
  </w:endnote>
  <w:endnote w:type="continuationSeparator" w:id="0">
    <w:p w14:paraId="147FEFD0" w14:textId="77777777" w:rsidR="007E42C8" w:rsidRDefault="007E4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8B8C" w14:textId="77777777" w:rsidR="00FF553C" w:rsidRDefault="00FF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CDD4" w14:textId="77777777" w:rsidR="00FF553C" w:rsidRDefault="00FF5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9550" w14:textId="77777777" w:rsidR="00FF553C" w:rsidRDefault="00FF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1B5FB" w14:textId="77777777" w:rsidR="007E42C8" w:rsidRDefault="007E42C8">
      <w:pPr>
        <w:spacing w:before="0" w:after="0"/>
      </w:pPr>
      <w:r>
        <w:separator/>
      </w:r>
    </w:p>
  </w:footnote>
  <w:footnote w:type="continuationSeparator" w:id="0">
    <w:p w14:paraId="5264FB0C" w14:textId="77777777" w:rsidR="007E42C8" w:rsidRDefault="007E42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0081" w14:textId="4845D495" w:rsidR="00FF553C" w:rsidRDefault="00FF553C">
    <w:pPr>
      <w:pStyle w:val="Header"/>
    </w:pPr>
    <w:r>
      <w:rPr>
        <w:noProof/>
      </w:rPr>
      <w:pict w14:anchorId="3AC23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316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3B93" w14:textId="1BCC830E" w:rsidR="00FF553C" w:rsidRDefault="00FF553C">
    <w:pPr>
      <w:pStyle w:val="Header"/>
    </w:pPr>
    <w:r>
      <w:rPr>
        <w:noProof/>
      </w:rPr>
      <w:pict w14:anchorId="36B01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316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F4CE" w14:textId="37AA94F4" w:rsidR="00FF553C" w:rsidRDefault="00FF553C">
    <w:pPr>
      <w:pStyle w:val="Header"/>
    </w:pPr>
    <w:r>
      <w:rPr>
        <w:noProof/>
      </w:rPr>
      <w:pict w14:anchorId="3D671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316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9F194"/>
    <w:multiLevelType w:val="singleLevel"/>
    <w:tmpl w:val="79F9F19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E817AA"/>
    <w:rsid w:val="00053E67"/>
    <w:rsid w:val="000A0EFE"/>
    <w:rsid w:val="001271B9"/>
    <w:rsid w:val="00163464"/>
    <w:rsid w:val="00316130"/>
    <w:rsid w:val="00400CD8"/>
    <w:rsid w:val="004E110F"/>
    <w:rsid w:val="00515BE2"/>
    <w:rsid w:val="006B02D7"/>
    <w:rsid w:val="006B1A08"/>
    <w:rsid w:val="007E42C8"/>
    <w:rsid w:val="007F0309"/>
    <w:rsid w:val="008C522D"/>
    <w:rsid w:val="00AA6E6F"/>
    <w:rsid w:val="00AD291E"/>
    <w:rsid w:val="00AD34C4"/>
    <w:rsid w:val="00B80C58"/>
    <w:rsid w:val="00E37330"/>
    <w:rsid w:val="00E817AA"/>
    <w:rsid w:val="00EF540A"/>
    <w:rsid w:val="00FF553C"/>
    <w:rsid w:val="02B71F1C"/>
    <w:rsid w:val="09EB05D3"/>
    <w:rsid w:val="09EB54A2"/>
    <w:rsid w:val="0C8D16BA"/>
    <w:rsid w:val="0D8F063E"/>
    <w:rsid w:val="111979B0"/>
    <w:rsid w:val="135C3ABE"/>
    <w:rsid w:val="14F36CC2"/>
    <w:rsid w:val="179404C3"/>
    <w:rsid w:val="1ECE2FB1"/>
    <w:rsid w:val="1F6677AD"/>
    <w:rsid w:val="21FA5ED4"/>
    <w:rsid w:val="222021B9"/>
    <w:rsid w:val="222D4521"/>
    <w:rsid w:val="27FC6813"/>
    <w:rsid w:val="28492C4E"/>
    <w:rsid w:val="29324CA0"/>
    <w:rsid w:val="2A5B023D"/>
    <w:rsid w:val="2AE00615"/>
    <w:rsid w:val="2B0D45AC"/>
    <w:rsid w:val="30F2548A"/>
    <w:rsid w:val="319F235E"/>
    <w:rsid w:val="3350487A"/>
    <w:rsid w:val="35AC4364"/>
    <w:rsid w:val="367159BE"/>
    <w:rsid w:val="3726533A"/>
    <w:rsid w:val="42AF5DDA"/>
    <w:rsid w:val="47266E5E"/>
    <w:rsid w:val="48777D12"/>
    <w:rsid w:val="48FA4779"/>
    <w:rsid w:val="53474489"/>
    <w:rsid w:val="53C90182"/>
    <w:rsid w:val="543429FC"/>
    <w:rsid w:val="592D37E6"/>
    <w:rsid w:val="5A964920"/>
    <w:rsid w:val="5C0361D5"/>
    <w:rsid w:val="5F1C382A"/>
    <w:rsid w:val="632968A1"/>
    <w:rsid w:val="63394FD5"/>
    <w:rsid w:val="65A06158"/>
    <w:rsid w:val="66657CDF"/>
    <w:rsid w:val="6780223B"/>
    <w:rsid w:val="6A454CC1"/>
    <w:rsid w:val="6B8D3FB8"/>
    <w:rsid w:val="6D88339E"/>
    <w:rsid w:val="6DE805DC"/>
    <w:rsid w:val="7463267F"/>
    <w:rsid w:val="74CF5C54"/>
    <w:rsid w:val="75171C49"/>
    <w:rsid w:val="756B6CE8"/>
    <w:rsid w:val="770C3F97"/>
    <w:rsid w:val="7A980D74"/>
    <w:rsid w:val="7F8E585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B98FC"/>
  <w15:docId w15:val="{A7C62B47-C938-4C1D-B198-8AA0A518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73" w:lineRule="auto"/>
    </w:pPr>
    <w:rPr>
      <w:rFonts w:ascii="Calibri" w:eastAsia="Times New Roman" w:hAnsi="Calibri"/>
      <w:kern w:val="2"/>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B02D7"/>
    <w:rPr>
      <w:color w:val="605E5C"/>
      <w:shd w:val="clear" w:color="auto" w:fill="E1DFDD"/>
    </w:rPr>
  </w:style>
  <w:style w:type="paragraph" w:styleId="Header">
    <w:name w:val="header"/>
    <w:basedOn w:val="Normal"/>
    <w:link w:val="HeaderChar"/>
    <w:uiPriority w:val="99"/>
    <w:unhideWhenUsed/>
    <w:rsid w:val="00FF553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553C"/>
    <w:rPr>
      <w:rFonts w:ascii="Calibri" w:eastAsia="Times New Roman" w:hAnsi="Calibri"/>
      <w:kern w:val="2"/>
      <w:sz w:val="24"/>
      <w:szCs w:val="24"/>
      <w:lang w:val="en-US" w:eastAsia="en-US"/>
    </w:rPr>
  </w:style>
  <w:style w:type="paragraph" w:styleId="Footer">
    <w:name w:val="footer"/>
    <w:basedOn w:val="Normal"/>
    <w:link w:val="FooterChar"/>
    <w:uiPriority w:val="99"/>
    <w:unhideWhenUsed/>
    <w:rsid w:val="00FF553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F553C"/>
    <w:rPr>
      <w:rFonts w:ascii="Calibri" w:eastAsia="Times New Roman" w:hAnsi="Calibri"/>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n.wikipedia.org/wiki/Doi_(identifier)" TargetMode="External"/><Relationship Id="rId18" Type="http://schemas.openxmlformats.org/officeDocument/2006/relationships/hyperlink" Target="https://www.ncbi.nlm.nih.gov/pmc/articles/PMC5469049" TargetMode="External"/><Relationship Id="rId26" Type="http://schemas.openxmlformats.org/officeDocument/2006/relationships/hyperlink" Target="https://doi.org/10.1056/NEJM199808133390707" TargetMode="External"/><Relationship Id="rId21" Type="http://schemas.openxmlformats.org/officeDocument/2006/relationships/hyperlink" Target="https://doi.org/10.1186/s12970-017-0173-z" TargetMode="External"/><Relationship Id="rId34" Type="http://schemas.openxmlformats.org/officeDocument/2006/relationships/footer" Target="footer2.xml"/><Relationship Id="rId7" Type="http://schemas.openxmlformats.org/officeDocument/2006/relationships/hyperlink" Target="https://www.asfa.com/" TargetMode="External"/><Relationship Id="rId12" Type="http://schemas.openxmlformats.org/officeDocument/2006/relationships/hyperlink" Target="https://doi.org/10.1079/bjn19930108" TargetMode="External"/><Relationship Id="rId17" Type="http://schemas.openxmlformats.org/officeDocument/2006/relationships/hyperlink" Target="https://en.wikipedia.org/wiki/PMC_(identifier)" TargetMode="External"/><Relationship Id="rId25" Type="http://schemas.openxmlformats.org/officeDocument/2006/relationships/hyperlink" Target="https://doi.org/10.1016/B978-0-12-394317-0.00015-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arch.worldcat.org/issn/1550-2783" TargetMode="External"/><Relationship Id="rId20" Type="http://schemas.openxmlformats.org/officeDocument/2006/relationships/hyperlink" Target="https://pubmed.ncbi.nlm.nih.gov/28615996" TargetMode="External"/><Relationship Id="rId29" Type="http://schemas.openxmlformats.org/officeDocument/2006/relationships/hyperlink" Target="https://doi.org/10.1038/nrneph.201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9/BJN19930108" TargetMode="External"/><Relationship Id="rId24" Type="http://schemas.openxmlformats.org/officeDocument/2006/relationships/hyperlink" Target="https://doi.org/10.1123/ijsnem.10.1.2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ISSN_(identifier)" TargetMode="External"/><Relationship Id="rId23" Type="http://schemas.openxmlformats.org/officeDocument/2006/relationships/hyperlink" Target="https://doi.org/10.1016/j.cmet.2018.03.008" TargetMode="External"/><Relationship Id="rId28" Type="http://schemas.openxmlformats.org/officeDocument/2006/relationships/hyperlink" Target="https://doi.org/10.1038/ki.2012.196" TargetMode="External"/><Relationship Id="rId36" Type="http://schemas.openxmlformats.org/officeDocument/2006/relationships/footer" Target="footer3.xml"/><Relationship Id="rId10" Type="http://schemas.openxmlformats.org/officeDocument/2006/relationships/hyperlink" Target="https://www.weforum.org/agenda/2024/05/how-stress-affects-every-organ-in-our-bodies/" TargetMode="External"/><Relationship Id="rId19" Type="http://schemas.openxmlformats.org/officeDocument/2006/relationships/hyperlink" Target="https://en.wikipedia.org/wiki/PMID_(identifie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coemr.2019.06.014" TargetMode="External"/><Relationship Id="rId14" Type="http://schemas.openxmlformats.org/officeDocument/2006/relationships/hyperlink" Target="https://doi.org/10.1186/s12970-017-0173-z" TargetMode="External"/><Relationship Id="rId22" Type="http://schemas.openxmlformats.org/officeDocument/2006/relationships/hyperlink" Target="https://doi.org/10.2165/00007256-199418060-00006" TargetMode="External"/><Relationship Id="rId27" Type="http://schemas.openxmlformats.org/officeDocument/2006/relationships/hyperlink" Target="https://doi.org/10.1097/JSM.0000000000000221" TargetMode="External"/><Relationship Id="rId30" Type="http://schemas.openxmlformats.org/officeDocument/2006/relationships/hyperlink" Target="https://doi.org/10.1136/bjsports-2017-097608" TargetMode="External"/><Relationship Id="rId35" Type="http://schemas.openxmlformats.org/officeDocument/2006/relationships/header" Target="header3.xml"/><Relationship Id="rId8" Type="http://schemas.openxmlformats.org/officeDocument/2006/relationships/hyperlink" Target="https://doi.org/10.1111/j.1753-4887.2010.00304.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3152</Words>
  <Characters>17967</Characters>
  <Application>Microsoft Office Word</Application>
  <DocSecurity>0</DocSecurity>
  <Lines>149</Lines>
  <Paragraphs>42</Paragraphs>
  <ScaleCrop>false</ScaleCrop>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14</cp:revision>
  <dcterms:created xsi:type="dcterms:W3CDTF">2025-12-29T04:36:00Z</dcterms:created>
  <dcterms:modified xsi:type="dcterms:W3CDTF">2026-01-06T07:51:00Z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56699D8AAA74462AA421B97EA02663AB_12</vt:lpwstr>
  </property>
</Properties>
</file>