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E9E" w:rsidRDefault="00783E9E" w:rsidP="00783E9E">
      <w:pPr>
        <w:pStyle w:val="Heading2"/>
      </w:pPr>
      <w:bookmarkStart w:id="0" w:name="_GoBack"/>
      <w:bookmarkEnd w:id="0"/>
      <w:r>
        <w:t>Routine Immunization Coverage and Its Determinants in Nigeria: A Review</w:t>
      </w:r>
    </w:p>
    <w:p w:rsidR="00DC74C9" w:rsidRDefault="00DC74C9" w:rsidP="00DC74C9">
      <w:pPr>
        <w:pStyle w:val="Heading2"/>
      </w:pPr>
      <w:r>
        <w:t>Abstract</w:t>
      </w:r>
    </w:p>
    <w:p w:rsidR="00DC74C9" w:rsidRDefault="00DC74C9" w:rsidP="00DC74C9">
      <w:pPr>
        <w:pStyle w:val="NormalWeb"/>
      </w:pPr>
      <w:r>
        <w:t>Routine childhood immunization remains one of the most cost-effective public health interventions, yet Nigeria continues to experience substantial gaps in coverage, timeliness, and completion of recommended vaccine series. These gaps are not uniform: they cluster by geography, socioeconomic position, maternal education, service accessibility, and health system performance, and they are amplified by insecurity, mobility, and trust deficits. This review synthesizes evidence on routine immunization coverage and its determinants in Nigeria, focusing on multi-level drivers that shape vaccination initiation, continuation, and completion. We highlight consistent demand-side determinants such as caregiver education and empowerment, household wealth, health service utilization, and information exposure; supply-side determinants such as service readiness, health worker practices, vaccine logistics, and missed opportunities; and contextual determinants such as place of residence, subnational inequities, and conflict-related disruption. We further discuss the growing programmatic emphasis on “zero-dose” and under-immunized children, and summarize promising intervention directions including community-engaged delivery, facility-based quality improvement to reduce missed opportunities, and targeted demand-generation combined with reliable service availability. The review concludes that Nigeria’s coverage challenges are best understood as an interaction between household vulnerability and system reliability, mediated by local context. Sustainable gains require integrated strategies that strengthen primary health care delivery, improve data-driven microplanning, reduce dropout through continuity of care, and tailor approaches to high-risk geographies and populations.</w:t>
      </w:r>
    </w:p>
    <w:p w:rsidR="00DC74C9" w:rsidRDefault="00DC74C9" w:rsidP="00DC74C9">
      <w:pPr>
        <w:pStyle w:val="NormalWeb"/>
      </w:pPr>
      <w:r>
        <w:rPr>
          <w:rStyle w:val="Strong"/>
        </w:rPr>
        <w:t>Keywords:</w:t>
      </w:r>
      <w:r>
        <w:t xml:space="preserve"> routine immunization; Nigeria; coverage; determinants; zero-dose; missed opportunities; equity; primary health care</w:t>
      </w:r>
    </w:p>
    <w:p w:rsidR="00DC74C9" w:rsidRDefault="00DC74C9" w:rsidP="00DC74C9"/>
    <w:p w:rsidR="00DC74C9" w:rsidRDefault="00DC74C9" w:rsidP="00DC74C9">
      <w:pPr>
        <w:pStyle w:val="Heading2"/>
      </w:pPr>
      <w:r>
        <w:t>1. Introduction</w:t>
      </w:r>
    </w:p>
    <w:p w:rsidR="00DC74C9" w:rsidRDefault="00DC74C9" w:rsidP="00DC74C9">
      <w:pPr>
        <w:pStyle w:val="Heading3"/>
      </w:pPr>
      <w:r>
        <w:t>1.1 Background</w:t>
      </w:r>
    </w:p>
    <w:p w:rsidR="00DC74C9" w:rsidRDefault="00DC74C9" w:rsidP="00DC74C9">
      <w:pPr>
        <w:pStyle w:val="NormalWeb"/>
      </w:pPr>
      <w:r>
        <w:t>Routine immunization is foundational to child survival and health equity because it prevents morbidity and mortality from vaccine-preventable diseases while strengthening contact between families and primary health care services. Nigeria has made progress in immunization programming over decades, but coverage remains persistently heterogeneous and often insufficient to ensure population-level protection. Evidence from national surveys and multiple analytic studies shows that a child’s probability of being fully immunized in Nigeria is shaped by intersecting influences that operate at the child, caregiver, household, community, and health system levels (</w:t>
      </w:r>
      <w:proofErr w:type="spellStart"/>
      <w:r>
        <w:t>Adedokun</w:t>
      </w:r>
      <w:proofErr w:type="spellEnd"/>
      <w:r>
        <w:t xml:space="preserve"> et al., 2017; </w:t>
      </w:r>
      <w:proofErr w:type="spellStart"/>
      <w:r>
        <w:t>Aheto</w:t>
      </w:r>
      <w:proofErr w:type="spellEnd"/>
      <w:r>
        <w:t xml:space="preserve"> et al., 2022; </w:t>
      </w:r>
      <w:proofErr w:type="spellStart"/>
      <w:r>
        <w:t>Obanewa</w:t>
      </w:r>
      <w:proofErr w:type="spellEnd"/>
      <w:r>
        <w:t xml:space="preserve"> &amp; Newell, 2020).</w:t>
      </w:r>
    </w:p>
    <w:p w:rsidR="00DC74C9" w:rsidRDefault="00DC74C9" w:rsidP="00DC74C9">
      <w:pPr>
        <w:pStyle w:val="NormalWeb"/>
      </w:pPr>
      <w:r>
        <w:t xml:space="preserve">In recent years, global immunization policy has sharpened focus on children who have received </w:t>
      </w:r>
      <w:r w:rsidRPr="002C0DF9">
        <w:rPr>
          <w:rStyle w:val="Strong"/>
          <w:b w:val="0"/>
        </w:rPr>
        <w:t>no routine vaccines</w:t>
      </w:r>
      <w:r>
        <w:t xml:space="preserve"> (commonly termed </w:t>
      </w:r>
      <w:r w:rsidRPr="002C0DF9">
        <w:rPr>
          <w:rStyle w:val="Strong"/>
          <w:b w:val="0"/>
        </w:rPr>
        <w:t>zero-dose</w:t>
      </w:r>
      <w:r>
        <w:t xml:space="preserve">) and those who start but do not complete schedules (under-immunized or dropout). Within Nigeria, this framing is </w:t>
      </w:r>
      <w:r>
        <w:lastRenderedPageBreak/>
        <w:t>programmatically useful because it shifts attention from national averages toward identifying who is missed, where they live, and why services do not reach them consistently (</w:t>
      </w:r>
      <w:proofErr w:type="spellStart"/>
      <w:r>
        <w:t>Mahachi</w:t>
      </w:r>
      <w:proofErr w:type="spellEnd"/>
      <w:r>
        <w:t xml:space="preserve"> et al., 2022; Mohammed et al., 2024).</w:t>
      </w:r>
    </w:p>
    <w:p w:rsidR="00DC74C9" w:rsidRDefault="00DC74C9" w:rsidP="00DC74C9">
      <w:pPr>
        <w:pStyle w:val="Heading3"/>
      </w:pPr>
      <w:r>
        <w:t>1.2 Scope and objectives</w:t>
      </w:r>
    </w:p>
    <w:p w:rsidR="00DC74C9" w:rsidRDefault="00DC74C9" w:rsidP="00DC74C9">
      <w:pPr>
        <w:pStyle w:val="NormalWeb"/>
      </w:pPr>
      <w:r>
        <w:t xml:space="preserve">This review focuses on </w:t>
      </w:r>
      <w:r w:rsidRPr="002C0DF9">
        <w:rPr>
          <w:rStyle w:val="Strong"/>
          <w:b w:val="0"/>
        </w:rPr>
        <w:t>routine childhood immunization coverage and its determinants in Nigeria</w:t>
      </w:r>
      <w:r>
        <w:t>, emphasizing:</w:t>
      </w:r>
      <w:r>
        <w:br/>
        <w:t>(</w:t>
      </w:r>
      <w:proofErr w:type="spellStart"/>
      <w:r>
        <w:t>i</w:t>
      </w:r>
      <w:proofErr w:type="spellEnd"/>
      <w:r>
        <w:t>) what the literature indicates about coverage patterns and subnational inequities;</w:t>
      </w:r>
      <w:r>
        <w:br/>
        <w:t>(ii) determinants of vaccination initiation, timeliness, and completion across multiple levels;</w:t>
      </w:r>
      <w:r>
        <w:br/>
        <w:t>(iii) Nigeria-specific evidence on missed opportunities and service delivery barriers; and</w:t>
      </w:r>
      <w:r>
        <w:br/>
        <w:t>(iv) implications for policy and research aimed at reducing zero-dose prevalence and improving completion.</w:t>
      </w:r>
    </w:p>
    <w:p w:rsidR="00DC74C9" w:rsidRDefault="00DC74C9" w:rsidP="00DC74C9"/>
    <w:p w:rsidR="00DC74C9" w:rsidRDefault="00DC74C9" w:rsidP="00DC74C9">
      <w:pPr>
        <w:pStyle w:val="Heading2"/>
      </w:pPr>
      <w:r>
        <w:t>2. Methods for literature selection</w:t>
      </w:r>
    </w:p>
    <w:p w:rsidR="00DC74C9" w:rsidRDefault="00DC74C9" w:rsidP="00DC74C9">
      <w:pPr>
        <w:pStyle w:val="Heading3"/>
      </w:pPr>
      <w:r>
        <w:t>2.1 Databases and sources</w:t>
      </w:r>
    </w:p>
    <w:p w:rsidR="00DC74C9" w:rsidRDefault="00DC74C9" w:rsidP="00DC74C9">
      <w:pPr>
        <w:pStyle w:val="NormalWeb"/>
      </w:pPr>
      <w:r>
        <w:t xml:space="preserve">A targeted literature search was conducted in </w:t>
      </w:r>
      <w:r w:rsidRPr="002C0DF9">
        <w:rPr>
          <w:rStyle w:val="Strong"/>
          <w:b w:val="0"/>
        </w:rPr>
        <w:t>PubMed/MEDLINE</w:t>
      </w:r>
      <w:r w:rsidRPr="002C0DF9">
        <w:rPr>
          <w:b/>
        </w:rPr>
        <w:t xml:space="preserve">, </w:t>
      </w:r>
      <w:r w:rsidRPr="002C0DF9">
        <w:rPr>
          <w:rStyle w:val="Strong"/>
          <w:b w:val="0"/>
        </w:rPr>
        <w:t>Scopus</w:t>
      </w:r>
      <w:r>
        <w:t>, and publisher platforms for key immunization journals. We also used open-access repositories for full-text retrieval when available.</w:t>
      </w:r>
    </w:p>
    <w:p w:rsidR="00DC74C9" w:rsidRDefault="00DC74C9" w:rsidP="00DC74C9">
      <w:pPr>
        <w:pStyle w:val="Heading3"/>
      </w:pPr>
      <w:r>
        <w:t>2.2 Search strings and date range</w:t>
      </w:r>
    </w:p>
    <w:p w:rsidR="00DC74C9" w:rsidRDefault="00DC74C9" w:rsidP="00DC74C9">
      <w:pPr>
        <w:pStyle w:val="NormalWeb"/>
      </w:pPr>
      <w:r>
        <w:t>Searches were conducted using combinations of:</w:t>
      </w:r>
      <w:r>
        <w:br/>
        <w:t xml:space="preserve">“Nigeria” AND (“routine immunization” OR </w:t>
      </w:r>
      <w:proofErr w:type="spellStart"/>
      <w:r>
        <w:t>immunisation</w:t>
      </w:r>
      <w:proofErr w:type="spellEnd"/>
      <w:r>
        <w:t xml:space="preserve"> OR vaccination) AND (coverage OR determinant* OR </w:t>
      </w:r>
      <w:proofErr w:type="spellStart"/>
      <w:r>
        <w:t>inequ</w:t>
      </w:r>
      <w:proofErr w:type="spellEnd"/>
      <w:r>
        <w:t>* OR “zero-dose” OR dropout OR “missed opportunities” OR timeliness).</w:t>
      </w:r>
      <w:r>
        <w:br/>
        <w:t xml:space="preserve">The primary date range emphasized </w:t>
      </w:r>
      <w:r>
        <w:rPr>
          <w:rStyle w:val="Strong"/>
        </w:rPr>
        <w:t>2017–2025</w:t>
      </w:r>
      <w:r>
        <w:t>, while allowing inclusion of earlier Nigeria-specific studies when they were repeatedly cited as foundational for determinants frameworks or baseline patterns.</w:t>
      </w:r>
    </w:p>
    <w:p w:rsidR="00DC74C9" w:rsidRDefault="00DC74C9" w:rsidP="00DC74C9">
      <w:pPr>
        <w:pStyle w:val="Heading3"/>
      </w:pPr>
      <w:r>
        <w:t>2.3 Inclusion and exclusion logic</w:t>
      </w:r>
    </w:p>
    <w:p w:rsidR="00DC74C9" w:rsidRDefault="00DC74C9" w:rsidP="00DC74C9">
      <w:pPr>
        <w:pStyle w:val="NormalWeb"/>
      </w:pPr>
      <w:r>
        <w:t>Included articles were: peer-reviewed empirical studies, systematic/scoping reviews, or trials addressing routine childhood immunization coverage and/or determinants in Nigeria, with clear methods and reported outcomes. Excluded items were: editorials without primary data, studies not specific to Nigeria (unless used solely for conceptual framing), and non-routine vaccination topics that did not connect to routine childhood programs.</w:t>
      </w:r>
    </w:p>
    <w:p w:rsidR="00DC74C9" w:rsidRDefault="00DC74C9" w:rsidP="00DC74C9">
      <w:pPr>
        <w:pStyle w:val="Heading3"/>
      </w:pPr>
      <w:r>
        <w:t>2.4 Synthesis approach</w:t>
      </w:r>
    </w:p>
    <w:p w:rsidR="00DC74C9" w:rsidRDefault="00DC74C9" w:rsidP="00DC74C9">
      <w:pPr>
        <w:pStyle w:val="NormalWeb"/>
      </w:pPr>
      <w:r>
        <w:t>Evidence was synthesized narratively and organized into a multi-level determinants structure (individual/household/community/health system) and a programmatic pathway structure (initiation → continuation → completion), drawing on recurrent determinants and Nigeria-specific delivery constraints reported across study designs.</w:t>
      </w:r>
    </w:p>
    <w:p w:rsidR="00DC74C9" w:rsidRDefault="00DC74C9" w:rsidP="00DC74C9"/>
    <w:p w:rsidR="000E709D" w:rsidRPr="000E709D" w:rsidRDefault="000E709D" w:rsidP="000E709D">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0E709D">
        <w:rPr>
          <w:rFonts w:ascii="Times New Roman" w:eastAsia="Times New Roman" w:hAnsi="Times New Roman" w:cs="Times New Roman"/>
          <w:b/>
          <w:bCs/>
          <w:sz w:val="36"/>
          <w:szCs w:val="36"/>
          <w:lang w:val="en-US"/>
        </w:rPr>
        <w:t>3. Routine immunization coverage in Nigeria: patterns and measurement considerations</w:t>
      </w:r>
    </w:p>
    <w:p w:rsidR="000E709D" w:rsidRPr="000E709D" w:rsidRDefault="000E709D" w:rsidP="000E70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709D">
        <w:rPr>
          <w:rFonts w:ascii="Times New Roman" w:eastAsia="Times New Roman" w:hAnsi="Times New Roman" w:cs="Times New Roman"/>
          <w:b/>
          <w:bCs/>
          <w:sz w:val="27"/>
          <w:szCs w:val="27"/>
          <w:lang w:val="en-US"/>
        </w:rPr>
        <w:t>3.1. What “coverage” means in Nigerian routine immunization research</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Routine immunization coverage in Nigeria is most commonly operationalized using antigen-specific “received at least one dose” indicators (e.g., BCG, pentavalent/DTP series, measles-containing vaccine) and composite indicators such as “basic” or “full” immunization by a specified age (often 12–23 months). Across Nigeria-focused analyses using Demographic and Health Survey (DHS) data, these indicators consistently reveal substantial shortfalls and marked heterogeneity, with full immunization remaining much lower than single-antigen uptake and with pronounced differences by place of residence and subnational context (</w:t>
      </w:r>
      <w:proofErr w:type="spellStart"/>
      <w:r w:rsidRPr="000E709D">
        <w:rPr>
          <w:rFonts w:ascii="Times New Roman" w:eastAsia="Times New Roman" w:hAnsi="Times New Roman" w:cs="Times New Roman"/>
          <w:sz w:val="24"/>
          <w:szCs w:val="24"/>
          <w:lang w:val="en-US"/>
        </w:rPr>
        <w:t>Adedokun</w:t>
      </w:r>
      <w:proofErr w:type="spellEnd"/>
      <w:r w:rsidRPr="000E709D">
        <w:rPr>
          <w:rFonts w:ascii="Times New Roman" w:eastAsia="Times New Roman" w:hAnsi="Times New Roman" w:cs="Times New Roman"/>
          <w:sz w:val="24"/>
          <w:szCs w:val="24"/>
          <w:lang w:val="en-US"/>
        </w:rPr>
        <w:t xml:space="preserve"> et al., 2017; </w:t>
      </w:r>
      <w:proofErr w:type="spellStart"/>
      <w:r w:rsidRPr="000E709D">
        <w:rPr>
          <w:rFonts w:ascii="Times New Roman" w:eastAsia="Times New Roman" w:hAnsi="Times New Roman" w:cs="Times New Roman"/>
          <w:sz w:val="24"/>
          <w:szCs w:val="24"/>
          <w:lang w:val="en-US"/>
        </w:rPr>
        <w:t>Obanewa</w:t>
      </w:r>
      <w:proofErr w:type="spellEnd"/>
      <w:r w:rsidRPr="000E709D">
        <w:rPr>
          <w:rFonts w:ascii="Times New Roman" w:eastAsia="Times New Roman" w:hAnsi="Times New Roman" w:cs="Times New Roman"/>
          <w:sz w:val="24"/>
          <w:szCs w:val="24"/>
          <w:lang w:val="en-US"/>
        </w:rPr>
        <w:t xml:space="preserve"> &amp; Newell, 2020). Multilevel work further underscores that “coverage” is not a single construct but a cluster of related outcomes—initiation (ever vaccinated), completion (series completion), and composite completeness—each with different determinants and policy implications (</w:t>
      </w:r>
      <w:proofErr w:type="spellStart"/>
      <w:r w:rsidRPr="000E709D">
        <w:rPr>
          <w:rFonts w:ascii="Times New Roman" w:eastAsia="Times New Roman" w:hAnsi="Times New Roman" w:cs="Times New Roman"/>
          <w:sz w:val="24"/>
          <w:szCs w:val="24"/>
          <w:lang w:val="en-US"/>
        </w:rPr>
        <w:t>Aheto</w:t>
      </w:r>
      <w:proofErr w:type="spellEnd"/>
      <w:r w:rsidRPr="000E709D">
        <w:rPr>
          <w:rFonts w:ascii="Times New Roman" w:eastAsia="Times New Roman" w:hAnsi="Times New Roman" w:cs="Times New Roman"/>
          <w:sz w:val="24"/>
          <w:szCs w:val="24"/>
          <w:lang w:val="en-US"/>
        </w:rPr>
        <w:t xml:space="preserve"> et al., 2022).</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A core measurement issue is that immunization schedules evolve (e.g., introduction of newer antigens), while many surveys and secondary analyses retain “traditional EPI” composites for comparability across years and data systems. This creates a trade-off: trend comparability versus alignment with current program priorities. Consequently, interpretations of “coverage gaps” should explicitly state which antigen set is included and whether the endpoint is “ever received,” “received all required doses,” or “received by the recommended age window,” because these choices can materially change both estimates and the equity narrative (Shenton et al., 2020; </w:t>
      </w:r>
      <w:proofErr w:type="spellStart"/>
      <w:r w:rsidRPr="000E709D">
        <w:rPr>
          <w:rFonts w:ascii="Times New Roman" w:eastAsia="Times New Roman" w:hAnsi="Times New Roman" w:cs="Times New Roman"/>
          <w:sz w:val="24"/>
          <w:szCs w:val="24"/>
          <w:lang w:val="en-US"/>
        </w:rPr>
        <w:t>Cutts</w:t>
      </w:r>
      <w:proofErr w:type="spellEnd"/>
      <w:r w:rsidRPr="000E709D">
        <w:rPr>
          <w:rFonts w:ascii="Times New Roman" w:eastAsia="Times New Roman" w:hAnsi="Times New Roman" w:cs="Times New Roman"/>
          <w:sz w:val="24"/>
          <w:szCs w:val="24"/>
          <w:lang w:val="en-US"/>
        </w:rPr>
        <w:t xml:space="preserve"> et al., 2016).</w:t>
      </w:r>
    </w:p>
    <w:p w:rsidR="000E709D" w:rsidRPr="000E709D" w:rsidRDefault="000E709D" w:rsidP="000E70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709D">
        <w:rPr>
          <w:rFonts w:ascii="Times New Roman" w:eastAsia="Times New Roman" w:hAnsi="Times New Roman" w:cs="Times New Roman"/>
          <w:b/>
          <w:bCs/>
          <w:sz w:val="27"/>
          <w:szCs w:val="27"/>
          <w:lang w:val="en-US"/>
        </w:rPr>
        <w:t>3.2. Data sources behind Nigerian coverage estimates and why they diverge</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Nigeria’s coverage estimates typically come from two broad sources: routine administrative reports and household surveys. Administrative reporting is attractive for program monitoring because it is frequent and locally granular; however, denominator inaccuracies (target population estimates), incomplete reporting, and incentives that can bias reporting upward create well-documented limitations for assessing true routine immunization performance (</w:t>
      </w:r>
      <w:proofErr w:type="spellStart"/>
      <w:r w:rsidRPr="000E709D">
        <w:rPr>
          <w:rFonts w:ascii="Times New Roman" w:eastAsia="Times New Roman" w:hAnsi="Times New Roman" w:cs="Times New Roman"/>
          <w:sz w:val="24"/>
          <w:szCs w:val="24"/>
          <w:lang w:val="en-US"/>
        </w:rPr>
        <w:t>Dunkle</w:t>
      </w:r>
      <w:proofErr w:type="spellEnd"/>
      <w:r w:rsidRPr="000E709D">
        <w:rPr>
          <w:rFonts w:ascii="Times New Roman" w:eastAsia="Times New Roman" w:hAnsi="Times New Roman" w:cs="Times New Roman"/>
          <w:sz w:val="24"/>
          <w:szCs w:val="24"/>
          <w:lang w:val="en-US"/>
        </w:rPr>
        <w:t xml:space="preserve"> et al., 2014). These limitations are not merely technical: they shape how program managers perceive progress and where they target resources, especially in settings with rapid urban growth or displacement where denominators are unstable (</w:t>
      </w:r>
      <w:proofErr w:type="spellStart"/>
      <w:r w:rsidRPr="000E709D">
        <w:rPr>
          <w:rFonts w:ascii="Times New Roman" w:eastAsia="Times New Roman" w:hAnsi="Times New Roman" w:cs="Times New Roman"/>
          <w:sz w:val="24"/>
          <w:szCs w:val="24"/>
          <w:lang w:val="en-US"/>
        </w:rPr>
        <w:t>Dunkle</w:t>
      </w:r>
      <w:proofErr w:type="spellEnd"/>
      <w:r w:rsidRPr="000E709D">
        <w:rPr>
          <w:rFonts w:ascii="Times New Roman" w:eastAsia="Times New Roman" w:hAnsi="Times New Roman" w:cs="Times New Roman"/>
          <w:sz w:val="24"/>
          <w:szCs w:val="24"/>
          <w:lang w:val="en-US"/>
        </w:rPr>
        <w:t xml:space="preserve"> et al., 2014; Mohammed et al., 2024).</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Household surveys (DHS and MICS/NICS) are often treated as a more standardized “external” benchmark, but they also differ in sampling design, field procedures, and analytic weighting—features that can yield large fluctuations in national estimates even when underlying program performance changes more gradually. In Nigeria, methodological work shows that state-level weighting can meaningfully influence national vaccination estimates derived from household surveys, highlighting how design and weighting decisions can be mistaken for real program change if they are not transparently reported and interpreted (Dong et al., 2020). This issue is especially important when comparing survey rounds or </w:t>
      </w:r>
      <w:r w:rsidRPr="000E709D">
        <w:rPr>
          <w:rFonts w:ascii="Times New Roman" w:eastAsia="Times New Roman" w:hAnsi="Times New Roman" w:cs="Times New Roman"/>
          <w:sz w:val="24"/>
          <w:szCs w:val="24"/>
          <w:lang w:val="en-US"/>
        </w:rPr>
        <w:lastRenderedPageBreak/>
        <w:t>triangulating multiple survey platforms, because apparent “jumps” in national coverage may partly reflect measurement architecture rather than true shifts in service delivery.</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Subnational and operational-level surveys fill an additional niche. District-level cluster surveys in northern Nigeria, for example, were used to generate operationally relevant estimates and demonstrate the extent of within-region variability that can be masked by national averages, reinforcing that Nigeria’s coverage pattern is best understood as a mosaic of local trajectories rather than a single national curve (</w:t>
      </w:r>
      <w:proofErr w:type="spellStart"/>
      <w:r w:rsidRPr="000E709D">
        <w:rPr>
          <w:rFonts w:ascii="Times New Roman" w:eastAsia="Times New Roman" w:hAnsi="Times New Roman" w:cs="Times New Roman"/>
          <w:sz w:val="24"/>
          <w:szCs w:val="24"/>
          <w:lang w:val="en-US"/>
        </w:rPr>
        <w:t>Gunnala</w:t>
      </w:r>
      <w:proofErr w:type="spellEnd"/>
      <w:r w:rsidRPr="000E709D">
        <w:rPr>
          <w:rFonts w:ascii="Times New Roman" w:eastAsia="Times New Roman" w:hAnsi="Times New Roman" w:cs="Times New Roman"/>
          <w:sz w:val="24"/>
          <w:szCs w:val="24"/>
          <w:lang w:val="en-US"/>
        </w:rPr>
        <w:t xml:space="preserve"> et al., 2016).</w:t>
      </w:r>
    </w:p>
    <w:p w:rsidR="000E709D" w:rsidRPr="000E709D" w:rsidRDefault="000E709D" w:rsidP="000E70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709D">
        <w:rPr>
          <w:rFonts w:ascii="Times New Roman" w:eastAsia="Times New Roman" w:hAnsi="Times New Roman" w:cs="Times New Roman"/>
          <w:b/>
          <w:bCs/>
          <w:sz w:val="27"/>
          <w:szCs w:val="27"/>
          <w:lang w:val="en-US"/>
        </w:rPr>
        <w:t>3.3. Documentation versus recall: how “evidence rules” affect coverage patterns</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A critical determinant of measured coverage is the evidence hierarchy used to classify a child as vaccinated. Surveys often rely on home-based records (vaccination cards) where available, supplemented by caregiver recall when cards are missing. Yet card retention is socially patterned and programmatically influenced, meaning that “card-only” estimates can understate coverage in populations where documentation is poorly retained, while “card + recall” can overstate coverage if recall is imperfect or systematically biased (Dansereau et al., 2020; </w:t>
      </w:r>
      <w:proofErr w:type="spellStart"/>
      <w:r w:rsidRPr="000E709D">
        <w:rPr>
          <w:rFonts w:ascii="Times New Roman" w:eastAsia="Times New Roman" w:hAnsi="Times New Roman" w:cs="Times New Roman"/>
          <w:sz w:val="24"/>
          <w:szCs w:val="24"/>
          <w:lang w:val="en-US"/>
        </w:rPr>
        <w:t>Akwataghibe</w:t>
      </w:r>
      <w:proofErr w:type="spellEnd"/>
      <w:r w:rsidRPr="000E709D">
        <w:rPr>
          <w:rFonts w:ascii="Times New Roman" w:eastAsia="Times New Roman" w:hAnsi="Times New Roman" w:cs="Times New Roman"/>
          <w:sz w:val="24"/>
          <w:szCs w:val="24"/>
          <w:lang w:val="en-US"/>
        </w:rPr>
        <w:t xml:space="preserve"> et al., 2019). Empirically, Nigerian mixed-method evidence illustrates how card availability can be low and how coverage estimates can rise sharply when recall is added, creating a measurement sensitivity that must be explicitly stated in any interpretation of trends and inequities (</w:t>
      </w:r>
      <w:proofErr w:type="spellStart"/>
      <w:r w:rsidRPr="000E709D">
        <w:rPr>
          <w:rFonts w:ascii="Times New Roman" w:eastAsia="Times New Roman" w:hAnsi="Times New Roman" w:cs="Times New Roman"/>
          <w:sz w:val="24"/>
          <w:szCs w:val="24"/>
          <w:lang w:val="en-US"/>
        </w:rPr>
        <w:t>Akwataghibe</w:t>
      </w:r>
      <w:proofErr w:type="spellEnd"/>
      <w:r w:rsidRPr="000E709D">
        <w:rPr>
          <w:rFonts w:ascii="Times New Roman" w:eastAsia="Times New Roman" w:hAnsi="Times New Roman" w:cs="Times New Roman"/>
          <w:sz w:val="24"/>
          <w:szCs w:val="24"/>
          <w:lang w:val="en-US"/>
        </w:rPr>
        <w:t xml:space="preserve"> et al., 2019).</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The implications extend beyond point estimates. If card retention is higher among wealthier, more educated, or more urban households, then documentation-based evidence rules can exaggerate measured inequality (by undercounting vaccination among groups with weaker documentation). Conversely, if recall differs systematically by caregiver knowledge, exposure to counseling, or salience of clinic contacts, recall-based classification can introduce its own biases, especially for multi-dose series where dose number is harder to remember (Dansereau et al., 2020). Communication processes and frontline practices that encourage card use and reinforce schedule understanding therefore influence not only true uptake but also the </w:t>
      </w:r>
      <w:r w:rsidRPr="000E709D">
        <w:rPr>
          <w:rFonts w:ascii="Times New Roman" w:eastAsia="Times New Roman" w:hAnsi="Times New Roman" w:cs="Times New Roman"/>
          <w:i/>
          <w:iCs/>
          <w:sz w:val="24"/>
          <w:szCs w:val="24"/>
          <w:lang w:val="en-US"/>
        </w:rPr>
        <w:t>measured</w:t>
      </w:r>
      <w:r w:rsidRPr="000E709D">
        <w:rPr>
          <w:rFonts w:ascii="Times New Roman" w:eastAsia="Times New Roman" w:hAnsi="Times New Roman" w:cs="Times New Roman"/>
          <w:sz w:val="24"/>
          <w:szCs w:val="24"/>
          <w:lang w:val="en-US"/>
        </w:rPr>
        <w:t xml:space="preserve"> uptake, because they shape both caregiver knowledge and documentation completeness (Oku et al., 2017).</w:t>
      </w:r>
    </w:p>
    <w:p w:rsidR="000E709D" w:rsidRPr="000E709D" w:rsidRDefault="000E709D" w:rsidP="000E70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E709D">
        <w:rPr>
          <w:rFonts w:ascii="Times New Roman" w:eastAsia="Times New Roman" w:hAnsi="Times New Roman" w:cs="Times New Roman"/>
          <w:b/>
          <w:bCs/>
          <w:sz w:val="27"/>
          <w:szCs w:val="27"/>
          <w:lang w:val="en-US"/>
        </w:rPr>
        <w:t>3.4. Beyond “received”: completion, dropout, timeliness, and coverage in difficult contexts</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Nigeria’s coverage pattern is commonly described using initiation and completion gaps, with multi-dose series (such as pentavalent/DTP) revealing dropout between first contact and series completion. Regional and residence-based disparities are consistently prominent: analyses across multiple DHS rounds emphasize the role of place of residence, with persistent gaps between and within urban and rural contexts and evidence that national improvements can conceal stagnation in specific geographies (</w:t>
      </w:r>
      <w:proofErr w:type="spellStart"/>
      <w:r w:rsidRPr="000E709D">
        <w:rPr>
          <w:rFonts w:ascii="Times New Roman" w:eastAsia="Times New Roman" w:hAnsi="Times New Roman" w:cs="Times New Roman"/>
          <w:sz w:val="24"/>
          <w:szCs w:val="24"/>
          <w:lang w:val="en-US"/>
        </w:rPr>
        <w:t>Obanewa</w:t>
      </w:r>
      <w:proofErr w:type="spellEnd"/>
      <w:r w:rsidRPr="000E709D">
        <w:rPr>
          <w:rFonts w:ascii="Times New Roman" w:eastAsia="Times New Roman" w:hAnsi="Times New Roman" w:cs="Times New Roman"/>
          <w:sz w:val="24"/>
          <w:szCs w:val="24"/>
          <w:lang w:val="en-US"/>
        </w:rPr>
        <w:t xml:space="preserve"> &amp; Newell, 2020; </w:t>
      </w:r>
      <w:proofErr w:type="spellStart"/>
      <w:r w:rsidRPr="000E709D">
        <w:rPr>
          <w:rFonts w:ascii="Times New Roman" w:eastAsia="Times New Roman" w:hAnsi="Times New Roman" w:cs="Times New Roman"/>
          <w:sz w:val="24"/>
          <w:szCs w:val="24"/>
          <w:lang w:val="en-US"/>
        </w:rPr>
        <w:t>Adedokun</w:t>
      </w:r>
      <w:proofErr w:type="spellEnd"/>
      <w:r w:rsidRPr="000E709D">
        <w:rPr>
          <w:rFonts w:ascii="Times New Roman" w:eastAsia="Times New Roman" w:hAnsi="Times New Roman" w:cs="Times New Roman"/>
          <w:sz w:val="24"/>
          <w:szCs w:val="24"/>
          <w:lang w:val="en-US"/>
        </w:rPr>
        <w:t xml:space="preserve"> et al., 2017). Multilevel analyses further show that predictors can differ depending on whether the outcome is initiation, completion, or composite completeness, underscoring why single-indicator reporting can mislead targeting decisions (</w:t>
      </w:r>
      <w:proofErr w:type="spellStart"/>
      <w:r w:rsidRPr="000E709D">
        <w:rPr>
          <w:rFonts w:ascii="Times New Roman" w:eastAsia="Times New Roman" w:hAnsi="Times New Roman" w:cs="Times New Roman"/>
          <w:sz w:val="24"/>
          <w:szCs w:val="24"/>
          <w:lang w:val="en-US"/>
        </w:rPr>
        <w:t>Aheto</w:t>
      </w:r>
      <w:proofErr w:type="spellEnd"/>
      <w:r w:rsidRPr="000E709D">
        <w:rPr>
          <w:rFonts w:ascii="Times New Roman" w:eastAsia="Times New Roman" w:hAnsi="Times New Roman" w:cs="Times New Roman"/>
          <w:sz w:val="24"/>
          <w:szCs w:val="24"/>
          <w:lang w:val="en-US"/>
        </w:rPr>
        <w:t xml:space="preserve"> et al., 2022).</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Equity monitoring that incorporates dropout and multidimensional disadvantage adds nuance to the Nigerian picture. West Africa–wide tracking that includes Nigeria highlights how </w:t>
      </w:r>
      <w:r w:rsidRPr="000E709D">
        <w:rPr>
          <w:rFonts w:ascii="Times New Roman" w:eastAsia="Times New Roman" w:hAnsi="Times New Roman" w:cs="Times New Roman"/>
          <w:sz w:val="24"/>
          <w:szCs w:val="24"/>
          <w:lang w:val="en-US"/>
        </w:rPr>
        <w:lastRenderedPageBreak/>
        <w:t>dropout and equity gaps can persist even when some antigen coverage improves, supporting a shift toward reporting packages of indicators rather than single headline numbers (</w:t>
      </w:r>
      <w:proofErr w:type="spellStart"/>
      <w:r w:rsidRPr="000E709D">
        <w:rPr>
          <w:rFonts w:ascii="Times New Roman" w:eastAsia="Times New Roman" w:hAnsi="Times New Roman" w:cs="Times New Roman"/>
          <w:sz w:val="24"/>
          <w:szCs w:val="24"/>
          <w:lang w:val="en-US"/>
        </w:rPr>
        <w:t>Wariri</w:t>
      </w:r>
      <w:proofErr w:type="spellEnd"/>
      <w:r w:rsidRPr="000E709D">
        <w:rPr>
          <w:rFonts w:ascii="Times New Roman" w:eastAsia="Times New Roman" w:hAnsi="Times New Roman" w:cs="Times New Roman"/>
          <w:sz w:val="24"/>
          <w:szCs w:val="24"/>
          <w:lang w:val="en-US"/>
        </w:rPr>
        <w:t xml:space="preserve"> et al., 2019). Moreover, disruptions from insecurity, service interruptions, and public health emergencies can change not only uptake but also the reliability of data streams and denominator assumptions, complicating before–after comparisons unless measurement choices are standardized and clearly communicated (Mohammed et al., 2024; </w:t>
      </w:r>
      <w:proofErr w:type="spellStart"/>
      <w:r w:rsidRPr="000E709D">
        <w:rPr>
          <w:rFonts w:ascii="Times New Roman" w:eastAsia="Times New Roman" w:hAnsi="Times New Roman" w:cs="Times New Roman"/>
          <w:sz w:val="24"/>
          <w:szCs w:val="24"/>
          <w:lang w:val="en-US"/>
        </w:rPr>
        <w:t>Dunkle</w:t>
      </w:r>
      <w:proofErr w:type="spellEnd"/>
      <w:r w:rsidRPr="000E709D">
        <w:rPr>
          <w:rFonts w:ascii="Times New Roman" w:eastAsia="Times New Roman" w:hAnsi="Times New Roman" w:cs="Times New Roman"/>
          <w:sz w:val="24"/>
          <w:szCs w:val="24"/>
          <w:lang w:val="en-US"/>
        </w:rPr>
        <w:t xml:space="preserve"> et al., 2014). Emerging Nigerian literature also emphasizes “zero-dose” framing (children missing first routine doses) as a programmatic priority; from a measurement standpoint, this reframes coverage from “how many completed” to “who is not reached at all,” which is particularly sensitive to sampling, migration, and documentation rules (Mohammed et al., 2024).</w:t>
      </w:r>
    </w:p>
    <w:p w:rsidR="000E709D" w:rsidRPr="000E709D" w:rsidRDefault="000E709D" w:rsidP="000E709D">
      <w:pPr>
        <w:spacing w:before="100" w:beforeAutospacing="1" w:after="100" w:afterAutospacing="1" w:line="240" w:lineRule="auto"/>
        <w:rPr>
          <w:rFonts w:ascii="Times New Roman" w:eastAsia="Times New Roman" w:hAnsi="Times New Roman" w:cs="Times New Roman"/>
          <w:sz w:val="24"/>
          <w:szCs w:val="24"/>
          <w:lang w:val="en-US"/>
        </w:rPr>
      </w:pPr>
      <w:r w:rsidRPr="000E709D">
        <w:rPr>
          <w:rFonts w:ascii="Times New Roman" w:eastAsia="Times New Roman" w:hAnsi="Times New Roman" w:cs="Times New Roman"/>
          <w:sz w:val="24"/>
          <w:szCs w:val="24"/>
          <w:lang w:val="en-US"/>
        </w:rPr>
        <w:t xml:space="preserve">Finally, the broader methodological literature urges explicit reporting of survey design, vaccination ascertainment rules, and analytic choices (including weighting) when making claims about trends or determinants, because these elements directly affect comparability across time and studies (Shenton et al., 2020; Dong et al., 2020; </w:t>
      </w:r>
      <w:proofErr w:type="spellStart"/>
      <w:r w:rsidRPr="000E709D">
        <w:rPr>
          <w:rFonts w:ascii="Times New Roman" w:eastAsia="Times New Roman" w:hAnsi="Times New Roman" w:cs="Times New Roman"/>
          <w:sz w:val="24"/>
          <w:szCs w:val="24"/>
          <w:lang w:val="en-US"/>
        </w:rPr>
        <w:t>Cutts</w:t>
      </w:r>
      <w:proofErr w:type="spellEnd"/>
      <w:r w:rsidRPr="000E709D">
        <w:rPr>
          <w:rFonts w:ascii="Times New Roman" w:eastAsia="Times New Roman" w:hAnsi="Times New Roman" w:cs="Times New Roman"/>
          <w:sz w:val="24"/>
          <w:szCs w:val="24"/>
          <w:lang w:val="en-US"/>
        </w:rPr>
        <w:t xml:space="preserve"> et al., 2016). For Nigeria, where estimates are frequently used to guide resource allocation across highly diverse subnational contexts, transparent measurement practice is not a stylistic preference but a determinant of whether coverage “patterns” reflect reality or artifact.</w:t>
      </w:r>
    </w:p>
    <w:p w:rsidR="00DC74C9" w:rsidRDefault="00DC74C9" w:rsidP="00DC74C9">
      <w:pPr>
        <w:pStyle w:val="Heading2"/>
      </w:pPr>
      <w:r>
        <w:t>4. Determinants of routine immunization in Nigeria: a multi-level synthesis</w:t>
      </w:r>
    </w:p>
    <w:p w:rsidR="00DC74C9" w:rsidRDefault="00DC74C9" w:rsidP="00DC74C9">
      <w:pPr>
        <w:pStyle w:val="Heading3"/>
      </w:pPr>
      <w:r>
        <w:t>4.1 Child- and birth-related factors</w:t>
      </w:r>
    </w:p>
    <w:p w:rsidR="00DC74C9" w:rsidRDefault="00DC74C9" w:rsidP="00DC74C9">
      <w:pPr>
        <w:pStyle w:val="NormalWeb"/>
      </w:pPr>
      <w:r>
        <w:t>Child-level factors in Nigerian analyses often include birth order, age, and sex, though the most policy-relevant pathway is how child and birth characteristics interact with care-seeking and household constraints. Higher birth order may dilute time and resources, particularly when combined with poverty and limited support systems, increasing risk of incomplete vaccination. Where place of delivery and early postnatal contacts are measured, they commonly function as “gateway” exposures: children born in facilities or linked to early maternal/child health services are more likely to enter immunization schedules and remain connected long enough to complete them (</w:t>
      </w:r>
      <w:proofErr w:type="spellStart"/>
      <w:r>
        <w:t>Aheto</w:t>
      </w:r>
      <w:proofErr w:type="spellEnd"/>
      <w:r>
        <w:t xml:space="preserve"> et al., 2022; </w:t>
      </w:r>
      <w:proofErr w:type="spellStart"/>
      <w:r>
        <w:t>Adedokun</w:t>
      </w:r>
      <w:proofErr w:type="spellEnd"/>
      <w:r>
        <w:t xml:space="preserve"> et al., 2017).</w:t>
      </w:r>
    </w:p>
    <w:p w:rsidR="00DC74C9" w:rsidRDefault="00DC74C9" w:rsidP="00DC74C9">
      <w:pPr>
        <w:pStyle w:val="Heading3"/>
      </w:pPr>
      <w:r>
        <w:t>4.2 Caregiver education, knowledge, and agency</w:t>
      </w:r>
    </w:p>
    <w:p w:rsidR="00DC74C9" w:rsidRDefault="00DC74C9" w:rsidP="00DC74C9">
      <w:pPr>
        <w:pStyle w:val="NormalWeb"/>
      </w:pPr>
      <w:r>
        <w:t>Across Nigeria-focused studies, caregiver education is among the most consistent predictors of immunization outcomes, plausibly acting through improved health literacy, navigation skills, and empowerment in household decision-making (</w:t>
      </w:r>
      <w:proofErr w:type="spellStart"/>
      <w:r>
        <w:t>Adedokun</w:t>
      </w:r>
      <w:proofErr w:type="spellEnd"/>
      <w:r>
        <w:t xml:space="preserve"> et al., 2017; </w:t>
      </w:r>
      <w:proofErr w:type="spellStart"/>
      <w:r>
        <w:t>Olufadewa</w:t>
      </w:r>
      <w:proofErr w:type="spellEnd"/>
      <w:r>
        <w:t xml:space="preserve"> et al., 2024). Education also increases the likelihood that caregivers can interpret immunization schedules, remember appointment timing, and evaluate conflicting information. However, education is not merely an “individual trait”; it is often a proxy for broader structural advantage, including wealth and proximity to functional services.</w:t>
      </w:r>
    </w:p>
    <w:p w:rsidR="00DC74C9" w:rsidRDefault="00DC74C9" w:rsidP="00DC74C9">
      <w:pPr>
        <w:pStyle w:val="NormalWeb"/>
      </w:pPr>
      <w:r>
        <w:t>Caregiver knowledge and perceived importance of vaccines, as reported in mixed-methods and qualitative work, frequently influence whether families initiate vaccines and whether they persist through disruptions. Qualitative evidence highlights that caregivers interpret vaccination experiences through trust in providers, previous adverse events (real or rumored), community narratives, and perceived respect during service encounters (</w:t>
      </w:r>
      <w:proofErr w:type="spellStart"/>
      <w:r>
        <w:t>Akwataghibe</w:t>
      </w:r>
      <w:proofErr w:type="spellEnd"/>
      <w:r>
        <w:t xml:space="preserve"> et al., 2019; Oku et al., 2017).</w:t>
      </w:r>
    </w:p>
    <w:p w:rsidR="00DC74C9" w:rsidRDefault="00DC74C9" w:rsidP="00DC74C9">
      <w:pPr>
        <w:pStyle w:val="Heading3"/>
      </w:pPr>
      <w:r>
        <w:lastRenderedPageBreak/>
        <w:t>4.3 Household wealth, opportunity costs, and competing priorities</w:t>
      </w:r>
    </w:p>
    <w:p w:rsidR="00DC74C9" w:rsidRDefault="00DC74C9" w:rsidP="00DC74C9">
      <w:pPr>
        <w:pStyle w:val="NormalWeb"/>
      </w:pPr>
      <w:r>
        <w:t>Household wealth gradients are repeatedly observed in Nigeria’s immunization landscape. Wealth operates through transportation affordability, ability to allocate time away from income generation, and capacity to absorb the indirect costs of “free” services (</w:t>
      </w:r>
      <w:proofErr w:type="spellStart"/>
      <w:r>
        <w:t>Obanewa</w:t>
      </w:r>
      <w:proofErr w:type="spellEnd"/>
      <w:r>
        <w:t xml:space="preserve"> &amp; Newell, 2020; </w:t>
      </w:r>
      <w:proofErr w:type="spellStart"/>
      <w:r>
        <w:t>Olufadewa</w:t>
      </w:r>
      <w:proofErr w:type="spellEnd"/>
      <w:r>
        <w:t xml:space="preserve"> et al., 2024). In contexts where caregivers must travel or queue for long periods, opportunity costs become decisive, particularly for precarious livelihoods. This pathway is consistent with broader evidence that service reliability and convenience are critical in translating acceptance into completion.</w:t>
      </w:r>
    </w:p>
    <w:p w:rsidR="00DC74C9" w:rsidRDefault="00DC74C9" w:rsidP="00DC74C9">
      <w:pPr>
        <w:pStyle w:val="Heading3"/>
      </w:pPr>
      <w:r>
        <w:t>4.4 Paternal factors and intra-household decision-making</w:t>
      </w:r>
    </w:p>
    <w:p w:rsidR="00DC74C9" w:rsidRDefault="00DC74C9" w:rsidP="00DC74C9">
      <w:pPr>
        <w:pStyle w:val="NormalWeb"/>
      </w:pPr>
      <w:r>
        <w:t xml:space="preserve">While maternal factors dominate much of the immunization determinants literature, recent Nigeria-specific evidence indicates that paternal characteristics—education, involvement, and decision-making dynamics—may be relevant predictors of child vaccination, especially in contexts where fathers significantly influence health decisions or control financial resources (Azubuike &amp; </w:t>
      </w:r>
      <w:proofErr w:type="spellStart"/>
      <w:r>
        <w:t>Ardelt</w:t>
      </w:r>
      <w:proofErr w:type="spellEnd"/>
      <w:r>
        <w:t>, 2025). This does not diminish maternal agency; rather, it suggests that household decision-making is relational and that strategies which engage both parents may strengthen uptake and continuity.</w:t>
      </w:r>
    </w:p>
    <w:p w:rsidR="00DC74C9" w:rsidRDefault="00DC74C9" w:rsidP="00DC74C9">
      <w:pPr>
        <w:pStyle w:val="Heading3"/>
      </w:pPr>
      <w:r>
        <w:t>4.5 Community and geographic context: residence, clustering, and inequities</w:t>
      </w:r>
    </w:p>
    <w:p w:rsidR="00DC74C9" w:rsidRDefault="00DC74C9" w:rsidP="00DC74C9">
      <w:pPr>
        <w:pStyle w:val="NormalWeb"/>
      </w:pPr>
      <w:r>
        <w:t>Place-based determinants are central in Nigeria. Urban–rural differences are widely reported, but “urban” itself is heterogeneous; informal settlements can experience constraints similar to rural communities, including weak service readiness, poor information access, and limited continuity of care. Analyses using multiple DHS rounds show that residence is associated with immunization coverage even after adjusting for household characteristics, implying that community context and service environments matter independently (</w:t>
      </w:r>
      <w:proofErr w:type="spellStart"/>
      <w:r>
        <w:t>Obanewa</w:t>
      </w:r>
      <w:proofErr w:type="spellEnd"/>
      <w:r>
        <w:t xml:space="preserve"> &amp; Newell, 2020).</w:t>
      </w:r>
    </w:p>
    <w:p w:rsidR="00DC74C9" w:rsidRDefault="00DC74C9" w:rsidP="00DC74C9">
      <w:pPr>
        <w:pStyle w:val="NormalWeb"/>
      </w:pPr>
      <w:r>
        <w:t>Geospatial analyses also reinforce that under-immunization clusters and is shaped by local health system performance and accessibility. Recent Bayesian spatial work highlights geographic patterns in incomplete vaccination, consistent with a view of immunization as a system outcome rather than solely a household choice (Ahmed et al., 2024). Such clustering implies that targeted microplanning, outreach, and localized system strengthening may yield higher returns than uniform national strategies.</w:t>
      </w:r>
    </w:p>
    <w:p w:rsidR="00DC74C9" w:rsidRDefault="00DC74C9" w:rsidP="00DC74C9">
      <w:pPr>
        <w:pStyle w:val="Heading3"/>
      </w:pPr>
      <w:r>
        <w:t>4.6 Health system readiness, service quality, and front-line practices</w:t>
      </w:r>
    </w:p>
    <w:p w:rsidR="00DC74C9" w:rsidRDefault="00DC74C9" w:rsidP="00DC74C9">
      <w:pPr>
        <w:pStyle w:val="NormalWeb"/>
      </w:pPr>
      <w:r>
        <w:t>Even when caregivers are willing, immunization completion depends on reliable service delivery: vaccine availability, cold chain integrity, trained staff, and predictable session scheduling. Studies focused on logistics and management practices highlight gaps that can indirectly shape uptake and dropout, particularly when stockouts, canceled sessions, or inconsistent communication undermine caregiver confidence and impose repeat costs of return visits (</w:t>
      </w:r>
      <w:proofErr w:type="spellStart"/>
      <w:r>
        <w:t>Adebimpe</w:t>
      </w:r>
      <w:proofErr w:type="spellEnd"/>
      <w:r>
        <w:t xml:space="preserve"> &amp; Adeoye, 2021; Mohammed et al., 2024).</w:t>
      </w:r>
    </w:p>
    <w:p w:rsidR="00DC74C9" w:rsidRDefault="00DC74C9" w:rsidP="00DC74C9">
      <w:pPr>
        <w:pStyle w:val="NormalWeb"/>
      </w:pPr>
      <w:r>
        <w:t xml:space="preserve">Front-line practices matter as well. If health workers do not screen vaccination status during visits, fail to vaccinate when eligible, or do not communicate clearly about follow-up timing, children can become under-immunized despite contact with the health system. These </w:t>
      </w:r>
      <w:r>
        <w:lastRenderedPageBreak/>
        <w:t xml:space="preserve">pathways are captured by the concept of </w:t>
      </w:r>
      <w:r w:rsidRPr="002C0DF9">
        <w:rPr>
          <w:rStyle w:val="Strong"/>
          <w:b w:val="0"/>
        </w:rPr>
        <w:t>missed opportunities for vaccination</w:t>
      </w:r>
      <w:r>
        <w:t>, which is increasingly recognized as a modifiable service delivery failure rather than a caregiver deficit (</w:t>
      </w:r>
      <w:proofErr w:type="spellStart"/>
      <w:r>
        <w:t>Fatiregun</w:t>
      </w:r>
      <w:proofErr w:type="spellEnd"/>
      <w:r>
        <w:t xml:space="preserve"> et al., 2021).</w:t>
      </w:r>
    </w:p>
    <w:p w:rsidR="00DC74C9" w:rsidRDefault="00DC74C9" w:rsidP="00DC74C9">
      <w:pPr>
        <w:pStyle w:val="Heading3"/>
      </w:pPr>
      <w:r>
        <w:t>4.7 Communication, trust, and demand-side friction</w:t>
      </w:r>
    </w:p>
    <w:p w:rsidR="00DC74C9" w:rsidRDefault="00DC74C9" w:rsidP="00DC74C9">
      <w:pPr>
        <w:pStyle w:val="NormalWeb"/>
      </w:pPr>
      <w:r>
        <w:t>Nigeria’s immunization experience demonstrates that vaccination decisions unfold within a social environment where trust is fragile and misinformation may circulate. Qualitative studies show that caregivers value respectful, clear communication and that inconsistent messaging or poor interpersonal treatment can decrease confidence and reduce follow-through (Oku et al., 2017). Trust is also influenced by community leaders and social networks; consequently, community engagement approaches may be most effective when coupled with reliable service delivery that validates caregiver effort rather than punishes it with repeated disruption (</w:t>
      </w:r>
      <w:proofErr w:type="spellStart"/>
      <w:r>
        <w:t>Akwataghibe</w:t>
      </w:r>
      <w:proofErr w:type="spellEnd"/>
      <w:r>
        <w:t xml:space="preserve"> et al., 2019).</w:t>
      </w:r>
    </w:p>
    <w:p w:rsidR="00DC74C9" w:rsidRDefault="00DC74C9" w:rsidP="00DC74C9">
      <w:pPr>
        <w:pStyle w:val="Heading3"/>
      </w:pPr>
      <w:r>
        <w:t>4.8 Insecurity, mobility, and fragile settings</w:t>
      </w:r>
    </w:p>
    <w:p w:rsidR="00DC74C9" w:rsidRDefault="00DC74C9" w:rsidP="00DC74C9">
      <w:pPr>
        <w:pStyle w:val="NormalWeb"/>
      </w:pPr>
      <w:r>
        <w:t>Insecurity and mobility complicate both demand and supply. Families experiencing displacement, seasonal migration, or conflict exposure may face disruptions in care-seeking and lose continuity with facilities. On the supply side, insecurity can reduce health worker presence, interrupt outreach, and degrade supervision and supply chains. Nigeria-focused synthesis work emphasizes these barriers as part of the broader ecosystem of determinants that concentrate zero-dose and dropout in specific geographies (</w:t>
      </w:r>
      <w:proofErr w:type="spellStart"/>
      <w:r>
        <w:t>Mahachi</w:t>
      </w:r>
      <w:proofErr w:type="spellEnd"/>
      <w:r>
        <w:t xml:space="preserve"> et al., 2022; Mohammed et al., 2024).</w:t>
      </w:r>
    </w:p>
    <w:p w:rsidR="00DC74C9" w:rsidRDefault="00DC74C9" w:rsidP="00DC74C9"/>
    <w:p w:rsidR="00925CAF" w:rsidRDefault="00925CAF" w:rsidP="006907D2">
      <w:pPr>
        <w:pStyle w:val="Heading2"/>
      </w:pPr>
      <w:r>
        <w:t>5. Programmatic lens: from initiation to completion</w:t>
      </w:r>
    </w:p>
    <w:p w:rsidR="00925CAF" w:rsidRDefault="00925CAF" w:rsidP="006907D2">
      <w:pPr>
        <w:pStyle w:val="Heading3"/>
      </w:pPr>
      <w:r>
        <w:t>5.1. Why “initiation-to-completion” is a useful program frame</w:t>
      </w:r>
    </w:p>
    <w:p w:rsidR="00925CAF" w:rsidRDefault="00925CAF" w:rsidP="00925CAF">
      <w:pPr>
        <w:pStyle w:val="NormalWeb"/>
      </w:pPr>
      <w:r>
        <w:t>Routine immunization performance in Nigeria is often discussed as a single coverage number, but programs operate through a sequence of steps that can break at multiple points. A practical lens is the “</w:t>
      </w:r>
      <w:proofErr w:type="spellStart"/>
      <w:r>
        <w:t>immunisation</w:t>
      </w:r>
      <w:proofErr w:type="spellEnd"/>
      <w:r>
        <w:t xml:space="preserve"> cascade,” which conceptualizes movement from “zero-dose” (no routine vaccines, often proxied by not receiving a first DTP-/penta-containing dose) through initiation, continuation, and completion of the schedule (Cata-</w:t>
      </w:r>
      <w:proofErr w:type="spellStart"/>
      <w:r>
        <w:t>Preta</w:t>
      </w:r>
      <w:proofErr w:type="spellEnd"/>
      <w:r>
        <w:t xml:space="preserve"> et al., 2021). In Nigeria, this cascade logic aligns with multi-indicator evidence showing that predictors of starting the series (e.g., first pentavalent dose) and completing it (e.g., third pentavalent dose, measles vaccine) do not fully overlap; access-related factors may enable first contact, while service quality, continuity mechanisms, and caregiver constraints often shape dropout (</w:t>
      </w:r>
      <w:proofErr w:type="spellStart"/>
      <w:r>
        <w:t>Aheto</w:t>
      </w:r>
      <w:proofErr w:type="spellEnd"/>
      <w:r>
        <w:t xml:space="preserve"> et al., 2022). Framing performance as a cascade therefore shifts program attention from “coverage gaps” in the abstract toward stage-specific bottlenecks: who is not reached at all, who starts but does not return, and who returns but is not vaccinated due to process failures such as missed screening or stockouts.</w:t>
      </w:r>
    </w:p>
    <w:p w:rsidR="00925CAF" w:rsidRDefault="00925CAF" w:rsidP="006907D2">
      <w:pPr>
        <w:pStyle w:val="Heading3"/>
      </w:pPr>
      <w:r>
        <w:t>5.2. Initiation: reaching zero-dose and never-vaccinated children</w:t>
      </w:r>
    </w:p>
    <w:p w:rsidR="00925CAF" w:rsidRDefault="00925CAF" w:rsidP="00925CAF">
      <w:pPr>
        <w:pStyle w:val="NormalWeb"/>
      </w:pPr>
      <w:r>
        <w:t xml:space="preserve">At the initiation stage, the central challenge is equitable first contact with vaccination services, particularly among the most socially and geographically disadvantaged populations. </w:t>
      </w:r>
      <w:r>
        <w:lastRenderedPageBreak/>
        <w:t xml:space="preserve">High-resolution geospatial analyses using Nigeria’s 2021 survey data show substantial within-country heterogeneity in zero-dose and </w:t>
      </w:r>
      <w:proofErr w:type="spellStart"/>
      <w:r>
        <w:t>underimmunized</w:t>
      </w:r>
      <w:proofErr w:type="spellEnd"/>
      <w:r>
        <w:t xml:space="preserve"> prevalence, with higher burden concentrated in more deprived groups and in parts of the country where access and social determinants cluster (Jean Baptiste et al., 2024). Programmatically, this implies that “national average” strategies are insufficient: microplanning must be explicitly equity-weighted, combining outreach modalities (fixed, outreach, mobile) with locally credible demand creation. Evidence on never-vaccinated Nigerian children underscores that this is not a marginal group; it is socially patterned, often linked with poverty, low maternal education, rural residence, and limited media access, and it is disproportionately concentrated in northern zones (</w:t>
      </w:r>
      <w:proofErr w:type="spellStart"/>
      <w:r>
        <w:t>Chido-Amajuoyi</w:t>
      </w:r>
      <w:proofErr w:type="spellEnd"/>
      <w:r>
        <w:t xml:space="preserve"> et al., 2018). The program implication is that initiation is not only a logistics task (bringing services closer), but also a trust-and-information task, requiring culturally competent community engagement and reduction of indirect costs (time, transport, opportunity cost) that deter first attendance—points also synthesized in Nigeria-focused evidence on barriers and facilitators (Mohammed et al., 2024).</w:t>
      </w:r>
    </w:p>
    <w:p w:rsidR="00925CAF" w:rsidRDefault="00925CAF" w:rsidP="006907D2">
      <w:pPr>
        <w:pStyle w:val="Heading3"/>
      </w:pPr>
      <w:r>
        <w:t>5.3. Continuation: managing dropout, timeliness, and service reliability</w:t>
      </w:r>
    </w:p>
    <w:p w:rsidR="00925CAF" w:rsidRDefault="00925CAF" w:rsidP="00925CAF">
      <w:pPr>
        <w:pStyle w:val="NormalWeb"/>
      </w:pPr>
      <w:r>
        <w:t>Once a child initiates vaccination, completion depends on whether the system reliably supports repeated contacts at the right times. Multi-indicator modeling in Nigeria suggests that determinants related to healthcare access and socio-demographic disadvantage remain important across indicators, but completion is also shaped by factors not fully captured in household surveys—especially dimensions of service quality and community attitudes that influence repeated utilization (</w:t>
      </w:r>
      <w:proofErr w:type="spellStart"/>
      <w:r>
        <w:t>Aheto</w:t>
      </w:r>
      <w:proofErr w:type="spellEnd"/>
      <w:r>
        <w:t xml:space="preserve"> et al., 2022). From a programmatic standpoint, “dropout” is rarely a single-cause phenomenon: it can reflect supply interruptions (vaccine availability, session cancellations), weak appointment systems, unclear caregiver understanding of return dates, and competing household priorities. Timeliness matters because delays can accumulate across the series, increasing the probability that later doses are missed entirely. Nigeria-focused synthesis highlights reminder systems and caregiver-facing communication as recurrent facilitators, while identifying system deficiencies (logistics, staffing, organization of sessions) as persistent barriers that erode continuity (Mohammed et al., 2024). Operationally, continuity improves when facilities run predictable sessions, communicate clearly about next steps, and maintain a functional “defaulter management” loop that is feasible for frontline workers.</w:t>
      </w:r>
    </w:p>
    <w:p w:rsidR="00925CAF" w:rsidRDefault="00925CAF" w:rsidP="006907D2">
      <w:pPr>
        <w:pStyle w:val="Heading3"/>
      </w:pPr>
      <w:r>
        <w:t>5.4. Encounter quality: missed opportunities as a preventable “leak” in the cascade</w:t>
      </w:r>
    </w:p>
    <w:p w:rsidR="00925CAF" w:rsidRDefault="00925CAF" w:rsidP="00925CAF">
      <w:pPr>
        <w:pStyle w:val="NormalWeb"/>
      </w:pPr>
      <w:r>
        <w:t xml:space="preserve">Even when caregivers bring children to health facilities, vaccination may fail if eligibility is not assessed, vaccination cards are not checked, or vaccinators apply false contraindications. Missed opportunities for vaccination (MOV) are therefore a programmatically actionable failure mode because they occur </w:t>
      </w:r>
      <w:r>
        <w:rPr>
          <w:rStyle w:val="Emphasis"/>
        </w:rPr>
        <w:t>despite contact</w:t>
      </w:r>
      <w:r>
        <w:t xml:space="preserve"> with the health system. In Ondo State, MOV was documented at substantial levels among children visiting facilities, with many missed doses occurring during non-vaccination visits; later doses in the series were also less timely, and gaps in health worker knowledge and caregiver awareness contributed to the problem (</w:t>
      </w:r>
      <w:proofErr w:type="spellStart"/>
      <w:r>
        <w:t>Fatiregun</w:t>
      </w:r>
      <w:proofErr w:type="spellEnd"/>
      <w:r>
        <w:t xml:space="preserve"> et al., 2021). The broader MOV strategy literature emphasizes that routinely screening vaccination status at every encounter and strengthening health worker capacity to interpret schedules and contraindications can yield coverage gains without needing new service delivery platforms (</w:t>
      </w:r>
      <w:proofErr w:type="spellStart"/>
      <w:r>
        <w:t>Kaboré</w:t>
      </w:r>
      <w:proofErr w:type="spellEnd"/>
      <w:r>
        <w:t xml:space="preserve"> et al., 2020). For Nigeria, the cascade implication is direct: MOV reduction acts primarily on the “conversion” step—turning contact into </w:t>
      </w:r>
      <w:r>
        <w:lastRenderedPageBreak/>
        <w:t>vaccination—and can lower dropout by ensuring that children who do return are not turned away or overlooked.</w:t>
      </w:r>
    </w:p>
    <w:p w:rsidR="00925CAF" w:rsidRDefault="00925CAF" w:rsidP="006907D2">
      <w:pPr>
        <w:pStyle w:val="Heading3"/>
      </w:pPr>
      <w:r>
        <w:t>5.5. Completion: tracking, reminders, and data use for last-dose performance</w:t>
      </w:r>
    </w:p>
    <w:p w:rsidR="00925CAF" w:rsidRDefault="00925CAF" w:rsidP="00925CAF">
      <w:pPr>
        <w:pStyle w:val="NormalWeb"/>
      </w:pPr>
      <w:r>
        <w:t>Completion requires both caregiver follow-through and system memory. One promising continuity lever is structured reminders. A randomized controlled trial in Kano reported substantially higher completeness and timeliness of routine immunization among children whose caregivers received mobile reminders compared with controls, illustrating that relatively low-cost communication tools can strengthen return visits when embedded into routine workflow (</w:t>
      </w:r>
      <w:proofErr w:type="spellStart"/>
      <w:r>
        <w:t>Yunusa</w:t>
      </w:r>
      <w:proofErr w:type="spellEnd"/>
      <w:r>
        <w:t xml:space="preserve"> et al., 2024). However, reminders work best when paired with accurate registers, consistent session delivery, and active defaulter tracing—otherwise messages simply direct caregivers back into an unreliable service environment. Completion-oriented programming should therefore emphasize (</w:t>
      </w:r>
      <w:proofErr w:type="spellStart"/>
      <w:r>
        <w:t>i</w:t>
      </w:r>
      <w:proofErr w:type="spellEnd"/>
      <w:r>
        <w:t>) accurate child tracking across doses, (ii) practical appointment scheduling at the time of vaccination, (iii) community-linked follow-up for missed appointments, and (iv) local review of dropout patterns to target supportive supervision. Because Nigeria’s immunization inequities are spatially and socially concentrated, completion strategies must be equity-sensitive—prioritizing high-burden wards identified through geospatial and administrative data, and aligning supportive interventions (outreach, security-sensitive delivery models where needed, community intermediaries) with the specific constraints documented in different regions (Jean Baptiste et al., 2024; Mohammed et al., 2024).</w:t>
      </w:r>
    </w:p>
    <w:p w:rsidR="00DC74C9" w:rsidRDefault="00DC74C9" w:rsidP="00DC74C9"/>
    <w:p w:rsidR="00DC74C9" w:rsidRDefault="00DC74C9" w:rsidP="00DC74C9">
      <w:pPr>
        <w:pStyle w:val="Heading2"/>
      </w:pPr>
      <w:r>
        <w:t>6. Intervention evidence and promising directions</w:t>
      </w:r>
    </w:p>
    <w:p w:rsidR="00DC74C9" w:rsidRDefault="00DC74C9" w:rsidP="00DC74C9">
      <w:pPr>
        <w:pStyle w:val="Heading3"/>
      </w:pPr>
      <w:r>
        <w:t>6.1 Reducing missed opportunities and improving facility processes</w:t>
      </w:r>
    </w:p>
    <w:p w:rsidR="00DC74C9" w:rsidRDefault="00DC74C9" w:rsidP="00DC74C9">
      <w:pPr>
        <w:pStyle w:val="NormalWeb"/>
      </w:pPr>
      <w:r>
        <w:t>Facility-based strategies that reduce missed opportunities are conceptually attractive because they leverage existing health system contact: if a child visits a facility for any reason and is eligible for vaccines, vaccination should occur unless contraindicated. Evidence from Nigeria highlights that missed opportunities occur substantially and are linked to health worker knowledge gaps, workflow issues, and service organization (</w:t>
      </w:r>
      <w:proofErr w:type="spellStart"/>
      <w:r>
        <w:t>Fatiregun</w:t>
      </w:r>
      <w:proofErr w:type="spellEnd"/>
      <w:r>
        <w:t xml:space="preserve"> et al., 2021). Strengthening screening, integrating vaccination checks into all child visits, and improving staff training and supportive supervision are therefore likely to improve completion, especially for multi-dose series.</w:t>
      </w:r>
    </w:p>
    <w:p w:rsidR="00DC74C9" w:rsidRDefault="00DC74C9" w:rsidP="00DC74C9">
      <w:pPr>
        <w:pStyle w:val="Heading3"/>
      </w:pPr>
      <w:r>
        <w:t>6.2 Reminder systems and caregiver support</w:t>
      </w:r>
    </w:p>
    <w:p w:rsidR="00DC74C9" w:rsidRDefault="00DC74C9" w:rsidP="00DC74C9">
      <w:pPr>
        <w:pStyle w:val="NormalWeb"/>
      </w:pPr>
      <w:r>
        <w:t>Digital and mobile approaches are increasingly evaluated as complements to routine services. A randomized evaluation in northern Nigeria indicates that reminder-style interventions can improve timeliness and completion when paired with functional service delivery, reinforcing that behavioral nudges can be effective when structural barriers are not overwhelming (</w:t>
      </w:r>
      <w:proofErr w:type="spellStart"/>
      <w:r>
        <w:t>Yunusa</w:t>
      </w:r>
      <w:proofErr w:type="spellEnd"/>
      <w:r>
        <w:t xml:space="preserve"> et al., 2024). Such approaches should be designed with attention to language, literacy, phone access, and gendered control of mobile devices, and should be treated as a supplement rather than a substitute for reliable services.</w:t>
      </w:r>
    </w:p>
    <w:p w:rsidR="00DC74C9" w:rsidRDefault="00DC74C9" w:rsidP="00DC74C9">
      <w:pPr>
        <w:pStyle w:val="Heading3"/>
      </w:pPr>
      <w:r>
        <w:t>6.3 Community engagement and trust-building</w:t>
      </w:r>
    </w:p>
    <w:p w:rsidR="00DC74C9" w:rsidRDefault="00DC74C9" w:rsidP="00DC74C9">
      <w:pPr>
        <w:pStyle w:val="NormalWeb"/>
      </w:pPr>
      <w:r>
        <w:lastRenderedPageBreak/>
        <w:t>Mixed-methods and qualitative research consistently indicates that trust and community narratives shape uptake. Community engagement strategies that involve local leaders and adapt messages to community concerns may reduce hesitancy and increase initiation, but they must be synchronized with service reliability so that increased demand is met with consistent supply (</w:t>
      </w:r>
      <w:proofErr w:type="spellStart"/>
      <w:r>
        <w:t>Akwataghibe</w:t>
      </w:r>
      <w:proofErr w:type="spellEnd"/>
      <w:r>
        <w:t xml:space="preserve"> et al., 2019; Oku et al., 2017). When engagement is divorced from delivery, it risks worsening frustration and mistrust.</w:t>
      </w:r>
    </w:p>
    <w:p w:rsidR="00DC74C9" w:rsidRDefault="00DC74C9" w:rsidP="00DC74C9">
      <w:pPr>
        <w:pStyle w:val="Heading3"/>
      </w:pPr>
      <w:r>
        <w:t>6.4 Strengthening logistics and management</w:t>
      </w:r>
    </w:p>
    <w:p w:rsidR="00DC74C9" w:rsidRDefault="00DC74C9" w:rsidP="00DC74C9">
      <w:pPr>
        <w:pStyle w:val="NormalWeb"/>
      </w:pPr>
      <w:r>
        <w:t>Evidence on logistics management underscores that technical “back-end” systems influence “front-end” experience. When vaccine supply is inconsistent or temperature management is weak, session cancellations and stockouts can become routine, translating into dropout and eroding confidence (</w:t>
      </w:r>
      <w:proofErr w:type="spellStart"/>
      <w:r>
        <w:t>Adebimpe</w:t>
      </w:r>
      <w:proofErr w:type="spellEnd"/>
      <w:r>
        <w:t xml:space="preserve"> &amp; Adeoye, 2021). Investments in cold chain, forecasting, distribution, and monitoring—combined with accountability and supportive supervision—are therefore determinants-focused interventions, not merely administrative upgrades.</w:t>
      </w:r>
    </w:p>
    <w:p w:rsidR="00DC74C9" w:rsidRDefault="00DC74C9" w:rsidP="00DC74C9">
      <w:pPr>
        <w:pStyle w:val="Heading3"/>
      </w:pPr>
      <w:r>
        <w:t>6.5 Equity-focused targeting of high-risk geographies</w:t>
      </w:r>
    </w:p>
    <w:p w:rsidR="00DC74C9" w:rsidRDefault="00DC74C9" w:rsidP="00DC74C9">
      <w:pPr>
        <w:pStyle w:val="NormalWeb"/>
      </w:pPr>
      <w:r>
        <w:t>Spatial inequities in incomplete vaccination imply that Nigeria needs strong microplanning and targeted outreach. Bayesian spatial analysis provides tools to identify clusters of under-immunization and prioritize resources, but such targeting must be ethically implemented and paired with community dialogue to avoid stigma (Ahmed et al., 2024). Equity-focused targeting is particularly relevant for hard-to-reach populations, mobile groups, and areas affected by insecurity where conventional facility-based delivery is insufficient.</w:t>
      </w:r>
    </w:p>
    <w:p w:rsidR="00DC74C9" w:rsidRDefault="00DC74C9" w:rsidP="00DC74C9"/>
    <w:p w:rsidR="00DC74C9" w:rsidRDefault="00DC74C9" w:rsidP="00DC74C9">
      <w:pPr>
        <w:pStyle w:val="Heading2"/>
      </w:pPr>
      <w:r>
        <w:t>7. Research gaps and future directions</w:t>
      </w:r>
    </w:p>
    <w:p w:rsidR="00DC74C9" w:rsidRDefault="00DC74C9" w:rsidP="00DC74C9">
      <w:pPr>
        <w:pStyle w:val="NormalWeb"/>
      </w:pPr>
      <w:r>
        <w:t>Nigeria’s immunization evidence base is increasingly sophisticated, but several gaps remain. First, many studies identify correlates of vaccination status without fully disentangling causal mechanisms, which limits intervention precision. Second, more work is needed to understand the interaction between trust, misinformation exposure, and service reliability, particularly in contexts where community experience of governance and security shapes health system credibility. Third, program evaluations should more often distinguish between effects on initiation versus completion, because determinants differ across the immunization pathway (</w:t>
      </w:r>
      <w:proofErr w:type="spellStart"/>
      <w:r>
        <w:t>Aheto</w:t>
      </w:r>
      <w:proofErr w:type="spellEnd"/>
      <w:r>
        <w:t xml:space="preserve"> et al., 2022; Mohammed et al., 2024).</w:t>
      </w:r>
    </w:p>
    <w:p w:rsidR="00DC74C9" w:rsidRDefault="00DC74C9" w:rsidP="00DC74C9">
      <w:pPr>
        <w:pStyle w:val="NormalWeb"/>
      </w:pPr>
      <w:r>
        <w:t>Finally, as attention to zero-dose children increases, there is a risk of narrowing focus to identification metrics rather than solving delivery constraints. Future research should strengthen implementation science approaches that test integrated packages—combining outreach, community engagement, reminder support, and system reliability improvements—using outcomes that capture timeliness, completion, and equity, not only crude coverage.</w:t>
      </w:r>
    </w:p>
    <w:p w:rsidR="00DC74C9" w:rsidRDefault="00DC74C9" w:rsidP="00DC74C9"/>
    <w:p w:rsidR="00DC74C9" w:rsidRDefault="00DC74C9" w:rsidP="00DC74C9">
      <w:pPr>
        <w:pStyle w:val="Heading2"/>
      </w:pPr>
      <w:r>
        <w:t>8. Conclusions</w:t>
      </w:r>
    </w:p>
    <w:p w:rsidR="00925CAF" w:rsidRDefault="00925CAF" w:rsidP="00925CAF">
      <w:pPr>
        <w:pStyle w:val="NormalWeb"/>
        <w:numPr>
          <w:ilvl w:val="0"/>
          <w:numId w:val="10"/>
        </w:numPr>
      </w:pPr>
      <w:r>
        <w:lastRenderedPageBreak/>
        <w:t>Routine immunization coverage in Nigeria remains uneven, with persistent gaps in initiation, timeliness, and completion that cannot be adequately described by a single national coverage figure.</w:t>
      </w:r>
    </w:p>
    <w:p w:rsidR="00925CAF" w:rsidRDefault="00925CAF" w:rsidP="00925CAF">
      <w:pPr>
        <w:pStyle w:val="NormalWeb"/>
        <w:numPr>
          <w:ilvl w:val="0"/>
          <w:numId w:val="10"/>
        </w:numPr>
      </w:pPr>
      <w:r>
        <w:t>A cascade perspective—moving from zero-dose to initiation, continuation, and completion—provides a clearer operational framework for diagnosing where children are lost and for matching solutions to stage-specific bottlenecks.</w:t>
      </w:r>
    </w:p>
    <w:p w:rsidR="00925CAF" w:rsidRDefault="00925CAF" w:rsidP="00925CAF">
      <w:pPr>
        <w:pStyle w:val="NormalWeb"/>
        <w:numPr>
          <w:ilvl w:val="0"/>
          <w:numId w:val="10"/>
        </w:numPr>
      </w:pPr>
      <w:r>
        <w:t>The largest equity challenge lies in reaching children who are never vaccinated and in closing the geographic and socioeconomic clusters where under-immunization is concentrated.</w:t>
      </w:r>
    </w:p>
    <w:p w:rsidR="00925CAF" w:rsidRDefault="00925CAF" w:rsidP="00925CAF">
      <w:pPr>
        <w:pStyle w:val="NormalWeb"/>
        <w:numPr>
          <w:ilvl w:val="0"/>
          <w:numId w:val="10"/>
        </w:numPr>
      </w:pPr>
      <w:r>
        <w:t>Dropout between early and later doses reflects both household constraints and health-system reliability, emphasizing the need for predictable session delivery, clear caregiver communication, and feasible follow-up for missed visits.</w:t>
      </w:r>
    </w:p>
    <w:p w:rsidR="00925CAF" w:rsidRDefault="00925CAF" w:rsidP="00925CAF">
      <w:pPr>
        <w:pStyle w:val="NormalWeb"/>
        <w:numPr>
          <w:ilvl w:val="0"/>
          <w:numId w:val="10"/>
        </w:numPr>
      </w:pPr>
      <w:r>
        <w:t>Missed opportunities for vaccination represent a major, preventable “leak” in the system, and reducing them can improve coverage efficiently by converting existing health-facility contacts into completed vaccinations.</w:t>
      </w:r>
    </w:p>
    <w:p w:rsidR="00925CAF" w:rsidRDefault="00925CAF" w:rsidP="00925CAF">
      <w:pPr>
        <w:pStyle w:val="NormalWeb"/>
        <w:numPr>
          <w:ilvl w:val="0"/>
          <w:numId w:val="10"/>
        </w:numPr>
      </w:pPr>
      <w:r>
        <w:t>Strengthening routine immunization requires simultaneous attention to demand and supply: community trust-building and caregiver support must be paired with reliable vaccine availability, competent logistics, and a positive service experience.</w:t>
      </w:r>
    </w:p>
    <w:p w:rsidR="00925CAF" w:rsidRDefault="00925CAF" w:rsidP="00925CAF">
      <w:pPr>
        <w:pStyle w:val="NormalWeb"/>
        <w:numPr>
          <w:ilvl w:val="0"/>
          <w:numId w:val="10"/>
        </w:numPr>
      </w:pPr>
      <w:r>
        <w:t>Targeted microplanning, equity-focused outreach, and routine use of local data can help shift resources toward high-burden wards and underserved groups rather than relying on uniform strategies.</w:t>
      </w:r>
    </w:p>
    <w:p w:rsidR="00925CAF" w:rsidRDefault="00925CAF" w:rsidP="00925CAF">
      <w:pPr>
        <w:pStyle w:val="NormalWeb"/>
        <w:numPr>
          <w:ilvl w:val="0"/>
          <w:numId w:val="10"/>
        </w:numPr>
      </w:pPr>
      <w:r>
        <w:t>Digital adherence supports such as reminders can improve return visits and schedule completion when implemented within a functional system that consistently delivers vaccines at the time families present.</w:t>
      </w:r>
    </w:p>
    <w:p w:rsidR="00925CAF" w:rsidRDefault="00925CAF" w:rsidP="00925CAF">
      <w:pPr>
        <w:pStyle w:val="NormalWeb"/>
        <w:numPr>
          <w:ilvl w:val="0"/>
          <w:numId w:val="10"/>
        </w:numPr>
      </w:pPr>
      <w:r>
        <w:t>Sustainable progress depends on integrating immunization with broader primary health care and maternal–child services, ensuring that early contacts translate into continuous, complete protection.</w:t>
      </w:r>
    </w:p>
    <w:p w:rsidR="00925CAF" w:rsidRDefault="00925CAF" w:rsidP="00925CAF">
      <w:pPr>
        <w:pStyle w:val="NormalWeb"/>
        <w:numPr>
          <w:ilvl w:val="0"/>
          <w:numId w:val="10"/>
        </w:numPr>
      </w:pPr>
      <w:r>
        <w:t>Overall, Nigeria’s best path to higher and more equitable coverage is an integrated package that improves first contact, reduces dropout, prevents missed opportunities, and strengthens the reliability of routine service delivery.</w:t>
      </w:r>
    </w:p>
    <w:p w:rsidR="00DC74C9" w:rsidRDefault="00DC74C9" w:rsidP="00DC74C9"/>
    <w:p w:rsidR="00DC74C9" w:rsidRDefault="00DC74C9" w:rsidP="00DC74C9">
      <w:pPr>
        <w:pStyle w:val="Heading2"/>
      </w:pPr>
      <w:r>
        <w:t>9. Limitations</w:t>
      </w:r>
    </w:p>
    <w:p w:rsidR="00925CAF" w:rsidRDefault="00925CAF" w:rsidP="00925CAF">
      <w:pPr>
        <w:pStyle w:val="NormalWeb"/>
      </w:pPr>
      <w:proofErr w:type="gramStart"/>
      <w:r>
        <w:rPr>
          <w:rFonts w:hAnsi="Symbol"/>
        </w:rPr>
        <w:t></w:t>
      </w:r>
      <w:r>
        <w:t xml:space="preserve">  This</w:t>
      </w:r>
      <w:proofErr w:type="gramEnd"/>
      <w:r>
        <w:t xml:space="preserve"> review is based primarily on published peer-reviewed studies and may not fully capture relevant program reports, unpublished evaluations, or recent operational data that could change interpretations of current routine immunization performance.</w:t>
      </w:r>
    </w:p>
    <w:p w:rsidR="00925CAF" w:rsidRDefault="00925CAF" w:rsidP="00925CAF">
      <w:pPr>
        <w:pStyle w:val="NormalWeb"/>
      </w:pPr>
      <w:proofErr w:type="gramStart"/>
      <w:r>
        <w:rPr>
          <w:rFonts w:hAnsi="Symbol"/>
        </w:rPr>
        <w:t></w:t>
      </w:r>
      <w:r>
        <w:t xml:space="preserve">  Many</w:t>
      </w:r>
      <w:proofErr w:type="gramEnd"/>
      <w:r>
        <w:t xml:space="preserve"> included studies rely on cross-sectional survey datasets, which limits causal inference and makes it difficult to distinguish whether observed determinants are direct drivers of vaccination outcomes or proxies for broader unmeasured factors.</w:t>
      </w:r>
    </w:p>
    <w:p w:rsidR="00925CAF" w:rsidRDefault="00925CAF" w:rsidP="00925CAF">
      <w:pPr>
        <w:pStyle w:val="NormalWeb"/>
      </w:pPr>
      <w:proofErr w:type="gramStart"/>
      <w:r>
        <w:rPr>
          <w:rFonts w:hAnsi="Symbol"/>
        </w:rPr>
        <w:t></w:t>
      </w:r>
      <w:r>
        <w:t xml:space="preserve">  Definitions</w:t>
      </w:r>
      <w:proofErr w:type="gramEnd"/>
      <w:r>
        <w:t xml:space="preserve"> of “full immunization,” “basic vaccination,” “zero-dose,” “under-immunized,” and “timeliness” are not fully standardized across studies, reducing comparability and potentially affecting the consistency of synthesized conclusions.</w:t>
      </w:r>
    </w:p>
    <w:p w:rsidR="00925CAF" w:rsidRDefault="00925CAF" w:rsidP="00925CAF">
      <w:pPr>
        <w:pStyle w:val="NormalWeb"/>
      </w:pPr>
      <w:proofErr w:type="gramStart"/>
      <w:r>
        <w:rPr>
          <w:rFonts w:hAnsi="Symbol"/>
        </w:rPr>
        <w:lastRenderedPageBreak/>
        <w:t></w:t>
      </w:r>
      <w:r>
        <w:t xml:space="preserve">  Vaccination</w:t>
      </w:r>
      <w:proofErr w:type="gramEnd"/>
      <w:r>
        <w:t xml:space="preserve"> status measurement varies by source (card evidence, caregiver recall, or combined methods), and both missing cards and recall error can introduce misclassification that may bias coverage estimates and inequality gradients.</w:t>
      </w:r>
    </w:p>
    <w:p w:rsidR="00925CAF" w:rsidRDefault="00925CAF" w:rsidP="00925CAF">
      <w:pPr>
        <w:pStyle w:val="NormalWeb"/>
      </w:pPr>
      <w:proofErr w:type="gramStart"/>
      <w:r>
        <w:rPr>
          <w:rFonts w:hAnsi="Symbol"/>
        </w:rPr>
        <w:t></w:t>
      </w:r>
      <w:r>
        <w:t xml:space="preserve">  Subnational</w:t>
      </w:r>
      <w:proofErr w:type="gramEnd"/>
      <w:r>
        <w:t xml:space="preserve"> studies and facility-based assessments may have limited generalizability to the national context, especially in a country with large differences in geography, security, health system capacity, and sociocultural norms.</w:t>
      </w:r>
    </w:p>
    <w:p w:rsidR="00925CAF" w:rsidRDefault="00925CAF" w:rsidP="00925CAF">
      <w:pPr>
        <w:pStyle w:val="NormalWeb"/>
      </w:pPr>
      <w:proofErr w:type="gramStart"/>
      <w:r>
        <w:rPr>
          <w:rFonts w:hAnsi="Symbol"/>
        </w:rPr>
        <w:t></w:t>
      </w:r>
      <w:r>
        <w:t xml:space="preserve">  Important</w:t>
      </w:r>
      <w:proofErr w:type="gramEnd"/>
      <w:r>
        <w:t xml:space="preserve"> contextual drivers—such as insecurity, displacement, seasonal migration, informal costs, health worker absenteeism, and local governance quality—are inconsistently measured and may therefore be under-represented in quantitative syntheses.</w:t>
      </w:r>
    </w:p>
    <w:p w:rsidR="00925CAF" w:rsidRDefault="00925CAF" w:rsidP="00925CAF">
      <w:pPr>
        <w:pStyle w:val="NormalWeb"/>
      </w:pPr>
      <w:proofErr w:type="gramStart"/>
      <w:r>
        <w:rPr>
          <w:rFonts w:hAnsi="Symbol"/>
        </w:rPr>
        <w:t></w:t>
      </w:r>
      <w:r>
        <w:t xml:space="preserve">  Evidence</w:t>
      </w:r>
      <w:proofErr w:type="gramEnd"/>
      <w:r>
        <w:t xml:space="preserve"> on intervention effectiveness is comparatively limited relative to descriptive determinants studies, and results from pilot settings may not scale directly due to differences in infrastructure, staffing, funding continuity, and implementation fidelity.</w:t>
      </w:r>
    </w:p>
    <w:p w:rsidR="00925CAF" w:rsidRDefault="00925CAF" w:rsidP="00925CAF">
      <w:pPr>
        <w:pStyle w:val="NormalWeb"/>
      </w:pPr>
      <w:proofErr w:type="gramStart"/>
      <w:r>
        <w:rPr>
          <w:rFonts w:hAnsi="Symbol"/>
        </w:rPr>
        <w:t></w:t>
      </w:r>
      <w:r>
        <w:t xml:space="preserve">  Publication</w:t>
      </w:r>
      <w:proofErr w:type="gramEnd"/>
      <w:r>
        <w:t xml:space="preserve"> bias is possible, as studies reporting significant associations or positive intervention effects are more likely to be published than studies with null results or implementation challenges.</w:t>
      </w:r>
    </w:p>
    <w:p w:rsidR="00DC74C9" w:rsidRDefault="00DC74C9" w:rsidP="00DC74C9"/>
    <w:p w:rsidR="00DC74C9" w:rsidRDefault="00DC74C9" w:rsidP="00DC74C9">
      <w:pPr>
        <w:pStyle w:val="Heading2"/>
      </w:pPr>
      <w:r>
        <w:t xml:space="preserve">References </w:t>
      </w:r>
    </w:p>
    <w:p w:rsidR="00007AAB" w:rsidRDefault="00007AAB" w:rsidP="00007AAB">
      <w:pPr>
        <w:pStyle w:val="NormalWeb"/>
      </w:pPr>
      <w:proofErr w:type="spellStart"/>
      <w:r>
        <w:t>Adebimpe</w:t>
      </w:r>
      <w:proofErr w:type="spellEnd"/>
      <w:r>
        <w:t xml:space="preserve">, W. O., &amp; Adeoye, O. A. (2021). Knowledge and practice of vaccination logistics management among primary health care workers in Nigeria. </w:t>
      </w:r>
      <w:r>
        <w:rPr>
          <w:rStyle w:val="Emphasis"/>
        </w:rPr>
        <w:t xml:space="preserve">Human Vaccines &amp; </w:t>
      </w:r>
      <w:proofErr w:type="spellStart"/>
      <w:r>
        <w:rPr>
          <w:rStyle w:val="Emphasis"/>
        </w:rPr>
        <w:t>Immunotherapeutics</w:t>
      </w:r>
      <w:proofErr w:type="spellEnd"/>
      <w:r>
        <w:rPr>
          <w:rStyle w:val="Emphasis"/>
        </w:rPr>
        <w:t>, 17</w:t>
      </w:r>
      <w:r>
        <w:t xml:space="preserve">(5), 1490–1495. </w:t>
      </w:r>
      <w:hyperlink r:id="rId8" w:history="1">
        <w:r w:rsidR="006907D2" w:rsidRPr="004508BA">
          <w:rPr>
            <w:rStyle w:val="Hyperlink"/>
          </w:rPr>
          <w:t>https://doi.org/10.1080/21645515.2020.1827609</w:t>
        </w:r>
      </w:hyperlink>
      <w:r w:rsidR="006907D2">
        <w:t xml:space="preserve"> </w:t>
      </w:r>
    </w:p>
    <w:p w:rsidR="00007AAB" w:rsidRDefault="00007AAB" w:rsidP="00007AAB">
      <w:pPr>
        <w:pStyle w:val="NormalWeb"/>
      </w:pPr>
      <w:proofErr w:type="spellStart"/>
      <w:r>
        <w:t>Adedokun</w:t>
      </w:r>
      <w:proofErr w:type="spellEnd"/>
      <w:r>
        <w:t xml:space="preserve">, S. T., Uthman, O. A., &amp; </w:t>
      </w:r>
      <w:proofErr w:type="spellStart"/>
      <w:r>
        <w:t>Adekanmbi</w:t>
      </w:r>
      <w:proofErr w:type="spellEnd"/>
      <w:r>
        <w:t xml:space="preserve">, V. T. (2017). Incomplete childhood immunization in Nigeria: A multilevel analysis of individual and contextual factors. </w:t>
      </w:r>
      <w:r>
        <w:rPr>
          <w:rStyle w:val="Emphasis"/>
        </w:rPr>
        <w:t>BMC Public Health, 17</w:t>
      </w:r>
      <w:r>
        <w:t xml:space="preserve">, 381. </w:t>
      </w:r>
      <w:hyperlink r:id="rId9" w:history="1">
        <w:r w:rsidR="006907D2" w:rsidRPr="004508BA">
          <w:rPr>
            <w:rStyle w:val="Hyperlink"/>
          </w:rPr>
          <w:t>https://doi.org/10.1186/s12889-017-4137-7</w:t>
        </w:r>
      </w:hyperlink>
      <w:r w:rsidR="006907D2">
        <w:t xml:space="preserve"> </w:t>
      </w:r>
    </w:p>
    <w:p w:rsidR="00007AAB" w:rsidRDefault="00007AAB" w:rsidP="00007AAB">
      <w:pPr>
        <w:pStyle w:val="NormalWeb"/>
      </w:pPr>
      <w:proofErr w:type="spellStart"/>
      <w:r>
        <w:t>Adeloye</w:t>
      </w:r>
      <w:proofErr w:type="spellEnd"/>
      <w:r>
        <w:t xml:space="preserve">, D., Jacobs, W., </w:t>
      </w:r>
      <w:proofErr w:type="spellStart"/>
      <w:r>
        <w:t>Amuta</w:t>
      </w:r>
      <w:proofErr w:type="spellEnd"/>
      <w:r>
        <w:t xml:space="preserve">, A. O., </w:t>
      </w:r>
      <w:proofErr w:type="spellStart"/>
      <w:r>
        <w:t>Ogundipe</w:t>
      </w:r>
      <w:proofErr w:type="spellEnd"/>
      <w:r>
        <w:t xml:space="preserve">, O., </w:t>
      </w:r>
      <w:proofErr w:type="spellStart"/>
      <w:r>
        <w:t>Mosaku</w:t>
      </w:r>
      <w:proofErr w:type="spellEnd"/>
      <w:r>
        <w:t xml:space="preserve">, O., </w:t>
      </w:r>
      <w:proofErr w:type="spellStart"/>
      <w:r>
        <w:t>Gadanya</w:t>
      </w:r>
      <w:proofErr w:type="spellEnd"/>
      <w:r>
        <w:t xml:space="preserve">, M. A., &amp; Oni, G. (2017). Coverage and determinants of childhood immunization in Nigeria: A systematic review and meta-analysis. </w:t>
      </w:r>
      <w:r>
        <w:rPr>
          <w:rStyle w:val="Emphasis"/>
        </w:rPr>
        <w:t>Vaccine, 35</w:t>
      </w:r>
      <w:r>
        <w:t xml:space="preserve">(22), 2871–2881. </w:t>
      </w:r>
      <w:hyperlink r:id="rId10" w:history="1">
        <w:r w:rsidR="006907D2" w:rsidRPr="004508BA">
          <w:rPr>
            <w:rStyle w:val="Hyperlink"/>
          </w:rPr>
          <w:t>https://doi.org/10.1016/j.vaccine.2017.04.034</w:t>
        </w:r>
      </w:hyperlink>
      <w:r w:rsidR="006907D2">
        <w:t xml:space="preserve"> </w:t>
      </w:r>
    </w:p>
    <w:p w:rsidR="00007AAB" w:rsidRDefault="00007AAB" w:rsidP="00007AAB">
      <w:pPr>
        <w:pStyle w:val="NormalWeb"/>
      </w:pPr>
      <w:proofErr w:type="spellStart"/>
      <w:r>
        <w:t>Aheto</w:t>
      </w:r>
      <w:proofErr w:type="spellEnd"/>
      <w:r>
        <w:t xml:space="preserve">, J. M. K., Pannell, O., </w:t>
      </w:r>
      <w:proofErr w:type="spellStart"/>
      <w:r>
        <w:t>Dotse-Gborgbortsi</w:t>
      </w:r>
      <w:proofErr w:type="spellEnd"/>
      <w:r>
        <w:t xml:space="preserve">, W., </w:t>
      </w:r>
      <w:proofErr w:type="spellStart"/>
      <w:r>
        <w:t>Trimner</w:t>
      </w:r>
      <w:proofErr w:type="spellEnd"/>
      <w:r>
        <w:t xml:space="preserve">, M. K., </w:t>
      </w:r>
      <w:proofErr w:type="spellStart"/>
      <w:r>
        <w:t>Tatem</w:t>
      </w:r>
      <w:proofErr w:type="spellEnd"/>
      <w:r>
        <w:t xml:space="preserve">, A. J., Rhoda, D. A., </w:t>
      </w:r>
      <w:proofErr w:type="spellStart"/>
      <w:r>
        <w:t>Cutts</w:t>
      </w:r>
      <w:proofErr w:type="spellEnd"/>
      <w:r>
        <w:t xml:space="preserve">, F. T., &amp; </w:t>
      </w:r>
      <w:proofErr w:type="spellStart"/>
      <w:r>
        <w:t>Utazi</w:t>
      </w:r>
      <w:proofErr w:type="spellEnd"/>
      <w:r>
        <w:t xml:space="preserve">, C. E. (2022). Multilevel analysis of predictors of multiple indicators of childhood vaccination in Nigeria. </w:t>
      </w:r>
      <w:r>
        <w:rPr>
          <w:rStyle w:val="Emphasis"/>
        </w:rPr>
        <w:t>PLOS ONE, 17</w:t>
      </w:r>
      <w:r>
        <w:t xml:space="preserve">(5), e0269066. </w:t>
      </w:r>
      <w:hyperlink r:id="rId11" w:tgtFrame="_new" w:history="1">
        <w:r>
          <w:rPr>
            <w:rStyle w:val="Hyperlink"/>
          </w:rPr>
          <w:t>https://doi.org/10.1371/journal.pone.0269066</w:t>
        </w:r>
      </w:hyperlink>
    </w:p>
    <w:p w:rsidR="00007AAB" w:rsidRDefault="00007AAB" w:rsidP="00007AAB">
      <w:pPr>
        <w:pStyle w:val="NormalWeb"/>
      </w:pPr>
      <w:r>
        <w:t xml:space="preserve">Ahmed, L. Q., Adebowale, A. S., &amp; </w:t>
      </w:r>
      <w:proofErr w:type="spellStart"/>
      <w:r>
        <w:t>Palamuleni</w:t>
      </w:r>
      <w:proofErr w:type="spellEnd"/>
      <w:r>
        <w:t xml:space="preserve">, M. E. (2024). Bayesian spatial analysis of incomplete vaccination among children aged 12–23 months in Nigeria. </w:t>
      </w:r>
      <w:r>
        <w:rPr>
          <w:rStyle w:val="Emphasis"/>
        </w:rPr>
        <w:t>Scientific Reports, 14</w:t>
      </w:r>
      <w:r>
        <w:t xml:space="preserve">, 18297. </w:t>
      </w:r>
      <w:hyperlink r:id="rId12" w:history="1">
        <w:r w:rsidR="006907D2" w:rsidRPr="004508BA">
          <w:rPr>
            <w:rStyle w:val="Hyperlink"/>
          </w:rPr>
          <w:t>https://doi.org/10.1038/s41598-024-57345-y</w:t>
        </w:r>
      </w:hyperlink>
      <w:r w:rsidR="006907D2">
        <w:t xml:space="preserve"> </w:t>
      </w:r>
    </w:p>
    <w:p w:rsidR="00007AAB" w:rsidRDefault="00007AAB" w:rsidP="00007AAB">
      <w:pPr>
        <w:pStyle w:val="NormalWeb"/>
      </w:pPr>
      <w:proofErr w:type="spellStart"/>
      <w:r>
        <w:t>Akwataghibe</w:t>
      </w:r>
      <w:proofErr w:type="spellEnd"/>
      <w:r>
        <w:t xml:space="preserve">, N. N., </w:t>
      </w:r>
      <w:proofErr w:type="spellStart"/>
      <w:r>
        <w:t>Ogunsola</w:t>
      </w:r>
      <w:proofErr w:type="spellEnd"/>
      <w:r>
        <w:t xml:space="preserve">, E. A., </w:t>
      </w:r>
      <w:proofErr w:type="spellStart"/>
      <w:r>
        <w:t>Broerse</w:t>
      </w:r>
      <w:proofErr w:type="spellEnd"/>
      <w:r>
        <w:t xml:space="preserve">, J. E. W., Popoola, O. A., </w:t>
      </w:r>
      <w:proofErr w:type="spellStart"/>
      <w:r>
        <w:t>Agbo</w:t>
      </w:r>
      <w:proofErr w:type="spellEnd"/>
      <w:r>
        <w:t>, A. I., &amp; Dieleman, M. A. (2019). Exploring factors influencing immunization utilization in Nigeria—</w:t>
      </w:r>
      <w:r>
        <w:lastRenderedPageBreak/>
        <w:t xml:space="preserve">A mixed methods study. </w:t>
      </w:r>
      <w:r>
        <w:rPr>
          <w:rStyle w:val="Emphasis"/>
        </w:rPr>
        <w:t>Frontiers in Public Health, 7</w:t>
      </w:r>
      <w:r>
        <w:t xml:space="preserve">, 392. </w:t>
      </w:r>
      <w:hyperlink r:id="rId13" w:history="1">
        <w:r w:rsidR="006907D2" w:rsidRPr="004508BA">
          <w:rPr>
            <w:rStyle w:val="Hyperlink"/>
          </w:rPr>
          <w:t>https://doi.org/10.3389/fpubh.2019.00392</w:t>
        </w:r>
      </w:hyperlink>
      <w:r w:rsidR="006907D2">
        <w:t xml:space="preserve"> </w:t>
      </w:r>
    </w:p>
    <w:p w:rsidR="00007AAB" w:rsidRDefault="00007AAB" w:rsidP="00007AAB">
      <w:pPr>
        <w:pStyle w:val="NormalWeb"/>
      </w:pPr>
      <w:r>
        <w:t xml:space="preserve">Azubuike, C. D., &amp; </w:t>
      </w:r>
      <w:proofErr w:type="spellStart"/>
      <w:r>
        <w:t>Ardelt</w:t>
      </w:r>
      <w:proofErr w:type="spellEnd"/>
      <w:r>
        <w:t xml:space="preserve">, M. (2025). The influence of paternal characteristics on childhood vaccination in Nigeria. </w:t>
      </w:r>
      <w:r>
        <w:rPr>
          <w:rStyle w:val="Emphasis"/>
        </w:rPr>
        <w:t>Discover Public Health, 22</w:t>
      </w:r>
      <w:r>
        <w:t xml:space="preserve">, 123. </w:t>
      </w:r>
      <w:hyperlink r:id="rId14" w:history="1">
        <w:r w:rsidR="006907D2" w:rsidRPr="004508BA">
          <w:rPr>
            <w:rStyle w:val="Hyperlink"/>
          </w:rPr>
          <w:t>https://doi.org/10.1186/s12982-025-00512-x</w:t>
        </w:r>
      </w:hyperlink>
      <w:r w:rsidR="006907D2">
        <w:t xml:space="preserve"> </w:t>
      </w:r>
    </w:p>
    <w:p w:rsidR="00007AAB" w:rsidRDefault="00007AAB" w:rsidP="00007AAB">
      <w:pPr>
        <w:pStyle w:val="NormalWeb"/>
      </w:pPr>
      <w:r>
        <w:t>Cata-</w:t>
      </w:r>
      <w:proofErr w:type="spellStart"/>
      <w:r>
        <w:t>Preta</w:t>
      </w:r>
      <w:proofErr w:type="spellEnd"/>
      <w:r>
        <w:t xml:space="preserve">, B. O., Santos, T. M., Mengistu, T., Hogan, D. R., Barros, A. J. D., &amp; </w:t>
      </w:r>
      <w:proofErr w:type="spellStart"/>
      <w:r>
        <w:t>Victora</w:t>
      </w:r>
      <w:proofErr w:type="spellEnd"/>
      <w:r>
        <w:t xml:space="preserve">, C. G. (2021). Zero-dose children and the </w:t>
      </w:r>
      <w:proofErr w:type="spellStart"/>
      <w:r>
        <w:t>immunisation</w:t>
      </w:r>
      <w:proofErr w:type="spellEnd"/>
      <w:r>
        <w:t xml:space="preserve"> cascade: Understanding </w:t>
      </w:r>
      <w:proofErr w:type="spellStart"/>
      <w:r>
        <w:t>immunisation</w:t>
      </w:r>
      <w:proofErr w:type="spellEnd"/>
      <w:r>
        <w:t xml:space="preserve"> pathways in low and middle-income countries. </w:t>
      </w:r>
      <w:r>
        <w:rPr>
          <w:rStyle w:val="Emphasis"/>
        </w:rPr>
        <w:t>Vaccine, 39</w:t>
      </w:r>
      <w:r>
        <w:t xml:space="preserve">(32), 4564–4570. </w:t>
      </w:r>
      <w:hyperlink r:id="rId15" w:history="1">
        <w:r w:rsidR="006907D2" w:rsidRPr="004508BA">
          <w:rPr>
            <w:rStyle w:val="Hyperlink"/>
          </w:rPr>
          <w:t>https://doi.org/10.1016/j.vaccine.2021.02.072</w:t>
        </w:r>
      </w:hyperlink>
      <w:r w:rsidR="006907D2">
        <w:t xml:space="preserve"> </w:t>
      </w:r>
      <w:r>
        <w:t xml:space="preserve"> </w:t>
      </w:r>
    </w:p>
    <w:p w:rsidR="00007AAB" w:rsidRDefault="00007AAB" w:rsidP="00007AAB">
      <w:pPr>
        <w:pStyle w:val="NormalWeb"/>
      </w:pPr>
      <w:proofErr w:type="spellStart"/>
      <w:r>
        <w:t>Chido-Amajuoyi</w:t>
      </w:r>
      <w:proofErr w:type="spellEnd"/>
      <w:r>
        <w:t xml:space="preserve">, O. G., </w:t>
      </w:r>
      <w:proofErr w:type="spellStart"/>
      <w:r>
        <w:t>Wonodi</w:t>
      </w:r>
      <w:proofErr w:type="spellEnd"/>
      <w:r>
        <w:t xml:space="preserve">, C., </w:t>
      </w:r>
      <w:proofErr w:type="spellStart"/>
      <w:r>
        <w:t>Mantey</w:t>
      </w:r>
      <w:proofErr w:type="spellEnd"/>
      <w:r>
        <w:t xml:space="preserve">, D., Perez, A., &amp; </w:t>
      </w:r>
      <w:proofErr w:type="spellStart"/>
      <w:r>
        <w:t>Mcalister</w:t>
      </w:r>
      <w:proofErr w:type="spellEnd"/>
      <w:r>
        <w:t xml:space="preserve">, A. (2018). Prevalence and correlates of never vaccinated Nigerian children, aged 1–5 years. </w:t>
      </w:r>
      <w:r>
        <w:rPr>
          <w:rStyle w:val="Emphasis"/>
        </w:rPr>
        <w:t>Vaccine, 36</w:t>
      </w:r>
      <w:r>
        <w:t xml:space="preserve">(46), 6953–6960. </w:t>
      </w:r>
      <w:hyperlink r:id="rId16" w:history="1">
        <w:r w:rsidR="006907D2" w:rsidRPr="004508BA">
          <w:rPr>
            <w:rStyle w:val="Hyperlink"/>
          </w:rPr>
          <w:t>https://doi.org/10.1016/j.vaccine.2018.10.006</w:t>
        </w:r>
      </w:hyperlink>
      <w:r w:rsidR="006907D2">
        <w:t xml:space="preserve">  </w:t>
      </w:r>
    </w:p>
    <w:p w:rsidR="00007AAB" w:rsidRDefault="00007AAB" w:rsidP="00007AAB">
      <w:pPr>
        <w:pStyle w:val="NormalWeb"/>
      </w:pPr>
      <w:proofErr w:type="spellStart"/>
      <w:r>
        <w:t>Cutts</w:t>
      </w:r>
      <w:proofErr w:type="spellEnd"/>
      <w:r>
        <w:t xml:space="preserve">, F. T., </w:t>
      </w:r>
      <w:proofErr w:type="spellStart"/>
      <w:r>
        <w:t>Claquin</w:t>
      </w:r>
      <w:proofErr w:type="spellEnd"/>
      <w:r>
        <w:t xml:space="preserve">, P., </w:t>
      </w:r>
      <w:proofErr w:type="spellStart"/>
      <w:r>
        <w:t>Danovaro</w:t>
      </w:r>
      <w:proofErr w:type="spellEnd"/>
      <w:r>
        <w:t xml:space="preserve">-Holliday, M. C., &amp; Rhoda, D. A. (2016). Monitoring vaccination coverage: Defining the role of surveys. </w:t>
      </w:r>
      <w:r>
        <w:rPr>
          <w:rStyle w:val="Emphasis"/>
        </w:rPr>
        <w:t>Vaccine, 34</w:t>
      </w:r>
      <w:r>
        <w:t xml:space="preserve">(35), 4103–4109. </w:t>
      </w:r>
      <w:hyperlink r:id="rId17" w:history="1">
        <w:r w:rsidR="006907D2" w:rsidRPr="004508BA">
          <w:rPr>
            <w:rStyle w:val="Hyperlink"/>
          </w:rPr>
          <w:t>https://doi.org/10.1016/j.vaccine.2016.06.053</w:t>
        </w:r>
      </w:hyperlink>
      <w:r w:rsidR="006907D2">
        <w:t xml:space="preserve"> </w:t>
      </w:r>
    </w:p>
    <w:p w:rsidR="00007AAB" w:rsidRDefault="00007AAB" w:rsidP="00007AAB">
      <w:pPr>
        <w:pStyle w:val="NormalWeb"/>
      </w:pPr>
      <w:r>
        <w:t xml:space="preserve">Dansereau, E., Brown, D., </w:t>
      </w:r>
      <w:proofErr w:type="spellStart"/>
      <w:r>
        <w:t>Stashko</w:t>
      </w:r>
      <w:proofErr w:type="spellEnd"/>
      <w:r>
        <w:t xml:space="preserve">, L., &amp; </w:t>
      </w:r>
      <w:proofErr w:type="spellStart"/>
      <w:r>
        <w:t>Danovaro</w:t>
      </w:r>
      <w:proofErr w:type="spellEnd"/>
      <w:r>
        <w:t xml:space="preserve">-Holliday, M. C. (2020). A systematic review of the agreement of recall, home-based records, facility records, BCG scar, and serology for ascertaining vaccination status in low and middle-income countries. </w:t>
      </w:r>
      <w:r>
        <w:rPr>
          <w:rStyle w:val="Emphasis"/>
        </w:rPr>
        <w:t>Gates Open Research, 3</w:t>
      </w:r>
      <w:r>
        <w:t xml:space="preserve">, 923. </w:t>
      </w:r>
      <w:hyperlink r:id="rId18" w:history="1">
        <w:r w:rsidR="006907D2" w:rsidRPr="004508BA">
          <w:rPr>
            <w:rStyle w:val="Hyperlink"/>
          </w:rPr>
          <w:t>https://doi.org/10.12688/gatesopenres.12916.2</w:t>
        </w:r>
      </w:hyperlink>
      <w:r w:rsidR="006907D2">
        <w:t xml:space="preserve"> </w:t>
      </w:r>
    </w:p>
    <w:p w:rsidR="00007AAB" w:rsidRDefault="00007AAB" w:rsidP="00007AAB">
      <w:pPr>
        <w:pStyle w:val="NormalWeb"/>
      </w:pPr>
      <w:r>
        <w:t xml:space="preserve">Dong, T. Q., Rhoda, D. A., &amp; Mercer, L. D. (2020). Impact of state weights on national vaccination coverage estimates from household surveys in Nigeria. </w:t>
      </w:r>
      <w:r>
        <w:rPr>
          <w:rStyle w:val="Emphasis"/>
        </w:rPr>
        <w:t>Vaccine, 38</w:t>
      </w:r>
      <w:r>
        <w:t xml:space="preserve">(32), 5060–5070. </w:t>
      </w:r>
      <w:hyperlink r:id="rId19" w:history="1">
        <w:r w:rsidR="006907D2" w:rsidRPr="004508BA">
          <w:rPr>
            <w:rStyle w:val="Hyperlink"/>
          </w:rPr>
          <w:t>https://doi.org/10.1016/j.vaccine.2020.05.026</w:t>
        </w:r>
      </w:hyperlink>
      <w:r w:rsidR="006907D2">
        <w:t xml:space="preserve"> </w:t>
      </w:r>
    </w:p>
    <w:p w:rsidR="00007AAB" w:rsidRDefault="00007AAB" w:rsidP="00007AAB">
      <w:pPr>
        <w:pStyle w:val="NormalWeb"/>
      </w:pPr>
      <w:proofErr w:type="spellStart"/>
      <w:r>
        <w:t>Dunkle</w:t>
      </w:r>
      <w:proofErr w:type="spellEnd"/>
      <w:r>
        <w:t xml:space="preserve">, S. E., Wallace, A. S., MacNeil, A., Mustafa, M., </w:t>
      </w:r>
      <w:proofErr w:type="spellStart"/>
      <w:r>
        <w:t>Gasasira</w:t>
      </w:r>
      <w:proofErr w:type="spellEnd"/>
      <w:r>
        <w:t xml:space="preserve">, A., Ali, D., </w:t>
      </w:r>
      <w:proofErr w:type="spellStart"/>
      <w:r>
        <w:t>Elmousaad</w:t>
      </w:r>
      <w:proofErr w:type="spellEnd"/>
      <w:r>
        <w:t xml:space="preserve">, H., Mahoney, F., &amp; Sandhu, H. S. (2014). Limitations of using administratively reported immunization data for monitoring routine immunization system performance in Nigeria. </w:t>
      </w:r>
      <w:r>
        <w:rPr>
          <w:rStyle w:val="Emphasis"/>
        </w:rPr>
        <w:t>The Journal of Infectious Diseases, 210</w:t>
      </w:r>
      <w:r>
        <w:t xml:space="preserve">(Suppl 1), S523–S530. </w:t>
      </w:r>
      <w:hyperlink r:id="rId20" w:history="1">
        <w:r w:rsidR="006907D2" w:rsidRPr="004508BA">
          <w:rPr>
            <w:rStyle w:val="Hyperlink"/>
          </w:rPr>
          <w:t>https://doi.org/10.1093/infdis/jiu373</w:t>
        </w:r>
      </w:hyperlink>
      <w:r w:rsidR="006907D2">
        <w:t xml:space="preserve"> </w:t>
      </w:r>
    </w:p>
    <w:p w:rsidR="00007AAB" w:rsidRDefault="00007AAB" w:rsidP="00007AAB">
      <w:pPr>
        <w:pStyle w:val="NormalWeb"/>
      </w:pPr>
      <w:proofErr w:type="spellStart"/>
      <w:r>
        <w:t>Eze</w:t>
      </w:r>
      <w:proofErr w:type="spellEnd"/>
      <w:r>
        <w:t xml:space="preserve">, P., </w:t>
      </w:r>
      <w:proofErr w:type="spellStart"/>
      <w:r>
        <w:t>Agu</w:t>
      </w:r>
      <w:proofErr w:type="spellEnd"/>
      <w:r>
        <w:t xml:space="preserve">, U. J., </w:t>
      </w:r>
      <w:proofErr w:type="spellStart"/>
      <w:r>
        <w:t>Aniebo</w:t>
      </w:r>
      <w:proofErr w:type="spellEnd"/>
      <w:r>
        <w:t xml:space="preserve">, C. L., </w:t>
      </w:r>
      <w:proofErr w:type="spellStart"/>
      <w:r>
        <w:t>Agu</w:t>
      </w:r>
      <w:proofErr w:type="spellEnd"/>
      <w:r>
        <w:t xml:space="preserve">, S. A., </w:t>
      </w:r>
      <w:proofErr w:type="spellStart"/>
      <w:r>
        <w:t>Lawani</w:t>
      </w:r>
      <w:proofErr w:type="spellEnd"/>
      <w:r>
        <w:t xml:space="preserve">, L. O., &amp; Acharya, Y. (2021). Factors associated with incomplete </w:t>
      </w:r>
      <w:proofErr w:type="spellStart"/>
      <w:r>
        <w:t>immunisation</w:t>
      </w:r>
      <w:proofErr w:type="spellEnd"/>
      <w:r>
        <w:t xml:space="preserve"> in children aged 12–23 months at subnational level, Nigeria: A cross-sectional study. </w:t>
      </w:r>
      <w:r>
        <w:rPr>
          <w:rStyle w:val="Emphasis"/>
        </w:rPr>
        <w:t>BMJ Open, 11</w:t>
      </w:r>
      <w:r>
        <w:t xml:space="preserve">(6), e047445. </w:t>
      </w:r>
      <w:hyperlink r:id="rId21" w:history="1">
        <w:r w:rsidR="006907D2" w:rsidRPr="004508BA">
          <w:rPr>
            <w:rStyle w:val="Hyperlink"/>
          </w:rPr>
          <w:t>https://doi.org/10.1136/bmjopen-2020-047445</w:t>
        </w:r>
      </w:hyperlink>
      <w:r w:rsidR="006907D2">
        <w:t xml:space="preserve"> </w:t>
      </w:r>
    </w:p>
    <w:p w:rsidR="00007AAB" w:rsidRDefault="00007AAB" w:rsidP="00007AAB">
      <w:pPr>
        <w:pStyle w:val="NormalWeb"/>
      </w:pPr>
      <w:proofErr w:type="spellStart"/>
      <w:r>
        <w:t>Fatiregun</w:t>
      </w:r>
      <w:proofErr w:type="spellEnd"/>
      <w:r>
        <w:t xml:space="preserve">, A. A., Nic </w:t>
      </w:r>
      <w:proofErr w:type="spellStart"/>
      <w:r>
        <w:t>Lochlainn</w:t>
      </w:r>
      <w:proofErr w:type="spellEnd"/>
      <w:r>
        <w:t xml:space="preserve">, L., </w:t>
      </w:r>
      <w:proofErr w:type="spellStart"/>
      <w:r>
        <w:t>Kaboré</w:t>
      </w:r>
      <w:proofErr w:type="spellEnd"/>
      <w:r>
        <w:t xml:space="preserve">, L., </w:t>
      </w:r>
      <w:proofErr w:type="spellStart"/>
      <w:r>
        <w:t>Dosumu</w:t>
      </w:r>
      <w:proofErr w:type="spellEnd"/>
      <w:r>
        <w:t xml:space="preserve">, M., Isere, E., </w:t>
      </w:r>
      <w:proofErr w:type="spellStart"/>
      <w:r>
        <w:t>Olaoye</w:t>
      </w:r>
      <w:proofErr w:type="spellEnd"/>
      <w:r>
        <w:t xml:space="preserve">, I., </w:t>
      </w:r>
      <w:proofErr w:type="spellStart"/>
      <w:r>
        <w:t>Akanbiemu</w:t>
      </w:r>
      <w:proofErr w:type="spellEnd"/>
      <w:r>
        <w:t xml:space="preserve">, F. A., </w:t>
      </w:r>
      <w:proofErr w:type="spellStart"/>
      <w:r>
        <w:t>Olagbuji</w:t>
      </w:r>
      <w:proofErr w:type="spellEnd"/>
      <w:r>
        <w:t xml:space="preserve">, Y., </w:t>
      </w:r>
      <w:proofErr w:type="spellStart"/>
      <w:r>
        <w:t>Onyibe</w:t>
      </w:r>
      <w:proofErr w:type="spellEnd"/>
      <w:r>
        <w:t xml:space="preserve">, R., Boateng, K., Banda, R., &amp; </w:t>
      </w:r>
      <w:proofErr w:type="spellStart"/>
      <w:r>
        <w:t>Braka</w:t>
      </w:r>
      <w:proofErr w:type="spellEnd"/>
      <w:r>
        <w:t xml:space="preserve">, F. (2021). Missed opportunities for vaccination among children aged 0–23 months visiting health facilities in a southwest State of Nigeria, December 2019. </w:t>
      </w:r>
      <w:r>
        <w:rPr>
          <w:rStyle w:val="Emphasis"/>
        </w:rPr>
        <w:t>PLOS ONE, 16</w:t>
      </w:r>
      <w:r>
        <w:t xml:space="preserve">(8), e0252798. </w:t>
      </w:r>
      <w:hyperlink r:id="rId22" w:history="1">
        <w:r w:rsidR="006907D2" w:rsidRPr="004508BA">
          <w:rPr>
            <w:rStyle w:val="Hyperlink"/>
          </w:rPr>
          <w:t>https://doi.org/10.1371/journal.pone.0252798</w:t>
        </w:r>
      </w:hyperlink>
      <w:r w:rsidR="006907D2">
        <w:t xml:space="preserve"> </w:t>
      </w:r>
    </w:p>
    <w:p w:rsidR="00007AAB" w:rsidRDefault="00007AAB" w:rsidP="00007AAB">
      <w:pPr>
        <w:pStyle w:val="NormalWeb"/>
      </w:pPr>
      <w:proofErr w:type="spellStart"/>
      <w:r>
        <w:t>Gunnala</w:t>
      </w:r>
      <w:proofErr w:type="spellEnd"/>
      <w:r>
        <w:t xml:space="preserve">, R., </w:t>
      </w:r>
      <w:proofErr w:type="spellStart"/>
      <w:r>
        <w:t>Ogbuanu</w:t>
      </w:r>
      <w:proofErr w:type="spellEnd"/>
      <w:r>
        <w:t xml:space="preserve">, I. U., Adegoke, O. J., Scobie, H. M., </w:t>
      </w:r>
      <w:proofErr w:type="spellStart"/>
      <w:r>
        <w:t>Uba</w:t>
      </w:r>
      <w:proofErr w:type="spellEnd"/>
      <w:r>
        <w:t xml:space="preserve">, B. V., </w:t>
      </w:r>
      <w:proofErr w:type="spellStart"/>
      <w:r>
        <w:t>Wannemuehler</w:t>
      </w:r>
      <w:proofErr w:type="spellEnd"/>
      <w:r>
        <w:t xml:space="preserve">, K. A., Ruiz, A., </w:t>
      </w:r>
      <w:proofErr w:type="spellStart"/>
      <w:r>
        <w:t>Elmousaad</w:t>
      </w:r>
      <w:proofErr w:type="spellEnd"/>
      <w:r>
        <w:t xml:space="preserve">, H., </w:t>
      </w:r>
      <w:proofErr w:type="spellStart"/>
      <w:r>
        <w:t>Ohuabunwo</w:t>
      </w:r>
      <w:proofErr w:type="spellEnd"/>
      <w:r>
        <w:t xml:space="preserve">, C. J., Mustafa, M., </w:t>
      </w:r>
      <w:proofErr w:type="spellStart"/>
      <w:r>
        <w:t>Nguku</w:t>
      </w:r>
      <w:proofErr w:type="spellEnd"/>
      <w:r>
        <w:t xml:space="preserve">, P., Waziri, N. E., &amp; Vertefeuille, J. F. (2016). Routine vaccination coverage in Northern Nigeria: Results from 40 </w:t>
      </w:r>
      <w:r>
        <w:lastRenderedPageBreak/>
        <w:t xml:space="preserve">district-level cluster surveys, 2014–2015. </w:t>
      </w:r>
      <w:r>
        <w:rPr>
          <w:rStyle w:val="Emphasis"/>
        </w:rPr>
        <w:t>PLOS ONE, 11</w:t>
      </w:r>
      <w:r>
        <w:t xml:space="preserve">(12), e0167835. </w:t>
      </w:r>
      <w:hyperlink r:id="rId23" w:history="1">
        <w:r w:rsidR="006907D2" w:rsidRPr="004508BA">
          <w:rPr>
            <w:rStyle w:val="Hyperlink"/>
          </w:rPr>
          <w:t>https://doi.org/10.1371/journal.pone.0167835</w:t>
        </w:r>
      </w:hyperlink>
      <w:r w:rsidR="006907D2">
        <w:t xml:space="preserve"> </w:t>
      </w:r>
    </w:p>
    <w:p w:rsidR="00007AAB" w:rsidRDefault="00007AAB" w:rsidP="00007AAB">
      <w:pPr>
        <w:pStyle w:val="NormalWeb"/>
      </w:pPr>
      <w:r>
        <w:t xml:space="preserve">Jean Baptiste, A. E., </w:t>
      </w:r>
      <w:proofErr w:type="spellStart"/>
      <w:r>
        <w:t>Wagai</w:t>
      </w:r>
      <w:proofErr w:type="spellEnd"/>
      <w:r>
        <w:t xml:space="preserve">, J., </w:t>
      </w:r>
      <w:proofErr w:type="spellStart"/>
      <w:r>
        <w:t>Hahné</w:t>
      </w:r>
      <w:proofErr w:type="spellEnd"/>
      <w:r>
        <w:t xml:space="preserve">, S., Adeniran, A., Koko, R. I., de Vos, S., et al. (2024). High-resolution geospatial mapping of zero-dose and </w:t>
      </w:r>
      <w:proofErr w:type="spellStart"/>
      <w:r>
        <w:t>underimmunized</w:t>
      </w:r>
      <w:proofErr w:type="spellEnd"/>
      <w:r>
        <w:t xml:space="preserve"> children following Nigeria’s 2021 Multiple Indicator Cluster Survey/National Immunization Coverage Survey. </w:t>
      </w:r>
      <w:r>
        <w:rPr>
          <w:rStyle w:val="Emphasis"/>
        </w:rPr>
        <w:t>The Journal of Infectious Diseases, 230</w:t>
      </w:r>
      <w:r>
        <w:t xml:space="preserve">(1), e131–e138. </w:t>
      </w:r>
      <w:hyperlink r:id="rId24" w:tgtFrame="_new" w:history="1">
        <w:r>
          <w:rPr>
            <w:rStyle w:val="Hyperlink"/>
          </w:rPr>
          <w:t>https://doi.org/10.1093/infdis/jiad476</w:t>
        </w:r>
      </w:hyperlink>
    </w:p>
    <w:p w:rsidR="00007AAB" w:rsidRDefault="00007AAB" w:rsidP="00007AAB">
      <w:pPr>
        <w:pStyle w:val="NormalWeb"/>
      </w:pPr>
      <w:proofErr w:type="spellStart"/>
      <w:r>
        <w:t>Kaboré</w:t>
      </w:r>
      <w:proofErr w:type="spellEnd"/>
      <w:r>
        <w:t xml:space="preserve">, L., </w:t>
      </w:r>
      <w:proofErr w:type="spellStart"/>
      <w:r>
        <w:t>Meda</w:t>
      </w:r>
      <w:proofErr w:type="spellEnd"/>
      <w:r>
        <w:t xml:space="preserve">, B., </w:t>
      </w:r>
      <w:proofErr w:type="spellStart"/>
      <w:r>
        <w:t>Médah</w:t>
      </w:r>
      <w:proofErr w:type="spellEnd"/>
      <w:r>
        <w:t xml:space="preserve">, I., </w:t>
      </w:r>
      <w:proofErr w:type="spellStart"/>
      <w:r>
        <w:t>Shendale</w:t>
      </w:r>
      <w:proofErr w:type="spellEnd"/>
      <w:r>
        <w:t xml:space="preserve">, S., Nic </w:t>
      </w:r>
      <w:proofErr w:type="spellStart"/>
      <w:r>
        <w:t>Lochlainn</w:t>
      </w:r>
      <w:proofErr w:type="spellEnd"/>
      <w:r>
        <w:t xml:space="preserve">, L., Sanderson, C., et al. (2020). Assessment of missed opportunities for vaccination (MOV) in Burkina Faso using the World Health Organization’s revised MOV strategy: Findings and strategic considerations to improve routine childhood immunization coverage. </w:t>
      </w:r>
      <w:r>
        <w:rPr>
          <w:rStyle w:val="Emphasis"/>
        </w:rPr>
        <w:t>Vaccine, 38</w:t>
      </w:r>
      <w:r>
        <w:t xml:space="preserve">(48), 7603–7611. </w:t>
      </w:r>
      <w:hyperlink r:id="rId25" w:history="1">
        <w:r w:rsidR="006907D2" w:rsidRPr="004508BA">
          <w:rPr>
            <w:rStyle w:val="Hyperlink"/>
          </w:rPr>
          <w:t>https://doi.org/10.1016/j.vaccine.2020.10.021</w:t>
        </w:r>
      </w:hyperlink>
      <w:r w:rsidR="006907D2">
        <w:t xml:space="preserve"> </w:t>
      </w:r>
    </w:p>
    <w:p w:rsidR="00007AAB" w:rsidRDefault="00007AAB" w:rsidP="00007AAB">
      <w:pPr>
        <w:pStyle w:val="NormalWeb"/>
      </w:pPr>
      <w:proofErr w:type="spellStart"/>
      <w:r>
        <w:t>Mahachi</w:t>
      </w:r>
      <w:proofErr w:type="spellEnd"/>
      <w:r>
        <w:t xml:space="preserve">, K., </w:t>
      </w:r>
      <w:proofErr w:type="spellStart"/>
      <w:r>
        <w:t>Kessels</w:t>
      </w:r>
      <w:proofErr w:type="spellEnd"/>
      <w:r>
        <w:t xml:space="preserve">, J., Boateng, K., Jean Baptiste, A. E., </w:t>
      </w:r>
      <w:proofErr w:type="spellStart"/>
      <w:r>
        <w:t>Mitula</w:t>
      </w:r>
      <w:proofErr w:type="spellEnd"/>
      <w:r>
        <w:t xml:space="preserve">, P., </w:t>
      </w:r>
      <w:proofErr w:type="spellStart"/>
      <w:r>
        <w:t>Ekeman</w:t>
      </w:r>
      <w:proofErr w:type="spellEnd"/>
      <w:r>
        <w:t xml:space="preserve">, E., &amp; others. (2022). Zero- or missed-dose children in Nigeria: Contributing factors and interventions to overcome immunization service delivery challenges. </w:t>
      </w:r>
      <w:r>
        <w:rPr>
          <w:rStyle w:val="Emphasis"/>
        </w:rPr>
        <w:t>Vaccine, 40</w:t>
      </w:r>
      <w:r>
        <w:t xml:space="preserve">(37), 5433–5444. </w:t>
      </w:r>
      <w:hyperlink r:id="rId26" w:history="1">
        <w:r w:rsidR="006907D2" w:rsidRPr="004508BA">
          <w:rPr>
            <w:rStyle w:val="Hyperlink"/>
          </w:rPr>
          <w:t>https://doi.org/10.1016/j.vaccine.2022.07.058</w:t>
        </w:r>
      </w:hyperlink>
      <w:r w:rsidR="006907D2">
        <w:t xml:space="preserve"> </w:t>
      </w:r>
    </w:p>
    <w:p w:rsidR="00007AAB" w:rsidRDefault="00007AAB" w:rsidP="00007AAB">
      <w:pPr>
        <w:pStyle w:val="NormalWeb"/>
      </w:pPr>
      <w:r>
        <w:t xml:space="preserve">Mohammed, Y., Reynolds, H. W., Waziri, H., </w:t>
      </w:r>
      <w:proofErr w:type="spellStart"/>
      <w:r>
        <w:t>Attahiru</w:t>
      </w:r>
      <w:proofErr w:type="spellEnd"/>
      <w:r>
        <w:t xml:space="preserve">, A., </w:t>
      </w:r>
      <w:proofErr w:type="spellStart"/>
      <w:r>
        <w:t>Olowo-okere</w:t>
      </w:r>
      <w:proofErr w:type="spellEnd"/>
      <w:r>
        <w:t xml:space="preserve">, A., </w:t>
      </w:r>
      <w:proofErr w:type="spellStart"/>
      <w:r>
        <w:t>Kamateeka</w:t>
      </w:r>
      <w:proofErr w:type="spellEnd"/>
      <w:r>
        <w:t xml:space="preserve">, M., Waziri, N. E., </w:t>
      </w:r>
      <w:proofErr w:type="spellStart"/>
      <w:r>
        <w:t>Garba</w:t>
      </w:r>
      <w:proofErr w:type="spellEnd"/>
      <w:r>
        <w:t xml:space="preserve">, A. M., </w:t>
      </w:r>
      <w:proofErr w:type="spellStart"/>
      <w:r>
        <w:t>Corrêa</w:t>
      </w:r>
      <w:proofErr w:type="spellEnd"/>
      <w:r>
        <w:t xml:space="preserve">, G. C., </w:t>
      </w:r>
      <w:proofErr w:type="spellStart"/>
      <w:r>
        <w:t>Garba</w:t>
      </w:r>
      <w:proofErr w:type="spellEnd"/>
      <w:r>
        <w:t xml:space="preserve">, R., Vollmer, N., &amp; </w:t>
      </w:r>
      <w:proofErr w:type="spellStart"/>
      <w:r>
        <w:t>Nguku</w:t>
      </w:r>
      <w:proofErr w:type="spellEnd"/>
      <w:r>
        <w:t xml:space="preserve">, P. (2024). Exploring the landscape of routine immunization in Nigeria: A scoping review of barriers and facilitators. </w:t>
      </w:r>
      <w:r>
        <w:rPr>
          <w:rStyle w:val="Emphasis"/>
        </w:rPr>
        <w:t>Vaccine: X, 20</w:t>
      </w:r>
      <w:r>
        <w:t xml:space="preserve">, 100563. </w:t>
      </w:r>
      <w:hyperlink r:id="rId27" w:history="1">
        <w:r w:rsidR="006907D2" w:rsidRPr="004508BA">
          <w:rPr>
            <w:rStyle w:val="Hyperlink"/>
          </w:rPr>
          <w:t>https://doi.org/10.1016/j.jvacx.2024.100563</w:t>
        </w:r>
      </w:hyperlink>
      <w:r w:rsidR="006907D2">
        <w:t xml:space="preserve"> </w:t>
      </w:r>
    </w:p>
    <w:p w:rsidR="00007AAB" w:rsidRDefault="00007AAB" w:rsidP="00007AAB">
      <w:pPr>
        <w:pStyle w:val="NormalWeb"/>
      </w:pPr>
      <w:proofErr w:type="spellStart"/>
      <w:r>
        <w:t>Obanewa</w:t>
      </w:r>
      <w:proofErr w:type="spellEnd"/>
      <w:r>
        <w:t xml:space="preserve">, O. A., &amp; Newell, M. L. (2020). The role of place of residency in childhood </w:t>
      </w:r>
      <w:proofErr w:type="spellStart"/>
      <w:r>
        <w:t>immunisation</w:t>
      </w:r>
      <w:proofErr w:type="spellEnd"/>
      <w:r>
        <w:t xml:space="preserve"> coverage in Nigeria: Analysis of data from three DHS rounds 2003–2013. </w:t>
      </w:r>
      <w:r>
        <w:rPr>
          <w:rStyle w:val="Emphasis"/>
        </w:rPr>
        <w:t>BMC Public Health, 20</w:t>
      </w:r>
      <w:r>
        <w:t xml:space="preserve">(1), 123. </w:t>
      </w:r>
      <w:hyperlink r:id="rId28" w:history="1">
        <w:r w:rsidR="006907D2" w:rsidRPr="004508BA">
          <w:rPr>
            <w:rStyle w:val="Hyperlink"/>
          </w:rPr>
          <w:t>https://doi.org/10.1186/s12889-020-8170-6</w:t>
        </w:r>
      </w:hyperlink>
      <w:r w:rsidR="006907D2">
        <w:t xml:space="preserve"> </w:t>
      </w:r>
    </w:p>
    <w:p w:rsidR="00007AAB" w:rsidRDefault="00007AAB" w:rsidP="00007AAB">
      <w:pPr>
        <w:pStyle w:val="NormalWeb"/>
      </w:pPr>
      <w:r>
        <w:t>Oku, A., Oyo-</w:t>
      </w:r>
      <w:proofErr w:type="spellStart"/>
      <w:r>
        <w:t>Ita</w:t>
      </w:r>
      <w:proofErr w:type="spellEnd"/>
      <w:r>
        <w:t xml:space="preserve">, A., </w:t>
      </w:r>
      <w:proofErr w:type="spellStart"/>
      <w:r>
        <w:t>Glenton</w:t>
      </w:r>
      <w:proofErr w:type="spellEnd"/>
      <w:r>
        <w:t xml:space="preserve">, C., Fretheim, A., Ames, H., </w:t>
      </w:r>
      <w:proofErr w:type="spellStart"/>
      <w:r>
        <w:t>Muloliwa</w:t>
      </w:r>
      <w:proofErr w:type="spellEnd"/>
      <w:r>
        <w:t xml:space="preserve">, A., Kaufman, J., Hill, S., Cliff, J., Cartier, Y., </w:t>
      </w:r>
      <w:proofErr w:type="spellStart"/>
      <w:r>
        <w:t>Owoaje</w:t>
      </w:r>
      <w:proofErr w:type="spellEnd"/>
      <w:r>
        <w:t>, E., Bosch-</w:t>
      </w:r>
      <w:proofErr w:type="spellStart"/>
      <w:r>
        <w:t>Capblanch</w:t>
      </w:r>
      <w:proofErr w:type="spellEnd"/>
      <w:r>
        <w:t xml:space="preserve">, X., Rada, G., &amp; Lewin, S. (2017). Perceptions and experiences of childhood vaccination communication strategies among caregivers and health workers in Nigeria: A qualitative study. </w:t>
      </w:r>
      <w:r>
        <w:rPr>
          <w:rStyle w:val="Emphasis"/>
        </w:rPr>
        <w:t>PLOS ONE, 12</w:t>
      </w:r>
      <w:r>
        <w:t xml:space="preserve">(11), e0186733. </w:t>
      </w:r>
      <w:hyperlink r:id="rId29" w:history="1">
        <w:r w:rsidR="006907D2" w:rsidRPr="004508BA">
          <w:rPr>
            <w:rStyle w:val="Hyperlink"/>
          </w:rPr>
          <w:t>https://doi.org/10.1371/journal.pone.0186733</w:t>
        </w:r>
      </w:hyperlink>
      <w:r w:rsidR="006907D2">
        <w:t xml:space="preserve"> </w:t>
      </w:r>
    </w:p>
    <w:p w:rsidR="00007AAB" w:rsidRDefault="00007AAB" w:rsidP="00007AAB">
      <w:pPr>
        <w:pStyle w:val="NormalWeb"/>
      </w:pPr>
      <w:proofErr w:type="spellStart"/>
      <w:r>
        <w:t>Olufadewa</w:t>
      </w:r>
      <w:proofErr w:type="spellEnd"/>
      <w:r>
        <w:t xml:space="preserve">, I., Adesina, M., Oladele, R., </w:t>
      </w:r>
      <w:proofErr w:type="spellStart"/>
      <w:r>
        <w:t>Shonubi</w:t>
      </w:r>
      <w:proofErr w:type="spellEnd"/>
      <w:r>
        <w:t xml:space="preserve">, A., Bamidele, D., &amp; </w:t>
      </w:r>
      <w:proofErr w:type="spellStart"/>
      <w:r>
        <w:t>Obigwe</w:t>
      </w:r>
      <w:proofErr w:type="spellEnd"/>
      <w:r>
        <w:t xml:space="preserve">, E. (2024). Trends and predictors of full immunization coverage in Nigeria. </w:t>
      </w:r>
      <w:r>
        <w:rPr>
          <w:rStyle w:val="Emphasis"/>
        </w:rPr>
        <w:t>Discover Public Health, 21</w:t>
      </w:r>
      <w:r>
        <w:t xml:space="preserve">(1), 151. </w:t>
      </w:r>
      <w:hyperlink r:id="rId30" w:tgtFrame="_new" w:history="1">
        <w:r>
          <w:rPr>
            <w:rStyle w:val="Hyperlink"/>
          </w:rPr>
          <w:t>https://doi.org/10.1186/s12982-024-00283-x</w:t>
        </w:r>
      </w:hyperlink>
    </w:p>
    <w:p w:rsidR="00007AAB" w:rsidRDefault="00007AAB" w:rsidP="00007AAB">
      <w:pPr>
        <w:pStyle w:val="NormalWeb"/>
      </w:pPr>
      <w:r>
        <w:t xml:space="preserve">Sato, R. (2023). Zero-dose, under-immunized, and dropout children in Nigeria. </w:t>
      </w:r>
      <w:r>
        <w:rPr>
          <w:rStyle w:val="Emphasis"/>
        </w:rPr>
        <w:t>Vaccines, 11</w:t>
      </w:r>
      <w:r>
        <w:t xml:space="preserve">(1), 181. </w:t>
      </w:r>
      <w:hyperlink r:id="rId31" w:history="1">
        <w:r w:rsidR="006907D2" w:rsidRPr="004508BA">
          <w:rPr>
            <w:rStyle w:val="Hyperlink"/>
          </w:rPr>
          <w:t>https://doi.org/10.3390/vaccines11010181</w:t>
        </w:r>
      </w:hyperlink>
      <w:r w:rsidR="006907D2">
        <w:t xml:space="preserve"> </w:t>
      </w:r>
    </w:p>
    <w:p w:rsidR="00007AAB" w:rsidRDefault="00007AAB" w:rsidP="00007AAB">
      <w:pPr>
        <w:pStyle w:val="NormalWeb"/>
      </w:pPr>
      <w:r>
        <w:t xml:space="preserve">Shenton, L. M., Wagner, A. L., Ji, M., Carlson, B. F., &amp; Boulton, M. L. (2020). Vaccination assessments using the Demographic and Health Survey, 2005–2018: A scoping review. </w:t>
      </w:r>
      <w:r>
        <w:rPr>
          <w:rStyle w:val="Emphasis"/>
        </w:rPr>
        <w:t>BMJ Open, 10</w:t>
      </w:r>
      <w:r>
        <w:t xml:space="preserve">(12), e039693. </w:t>
      </w:r>
      <w:hyperlink r:id="rId32" w:history="1">
        <w:r w:rsidR="006907D2" w:rsidRPr="004508BA">
          <w:rPr>
            <w:rStyle w:val="Hyperlink"/>
          </w:rPr>
          <w:t>https://doi.org/10.1136/bmjopen-2020-039693</w:t>
        </w:r>
      </w:hyperlink>
      <w:r w:rsidR="006907D2">
        <w:t xml:space="preserve"> </w:t>
      </w:r>
    </w:p>
    <w:p w:rsidR="00007AAB" w:rsidRDefault="00007AAB" w:rsidP="00007AAB">
      <w:pPr>
        <w:pStyle w:val="NormalWeb"/>
      </w:pPr>
      <w:proofErr w:type="spellStart"/>
      <w:r>
        <w:t>Wariri</w:t>
      </w:r>
      <w:proofErr w:type="spellEnd"/>
      <w:r>
        <w:t xml:space="preserve">, O., </w:t>
      </w:r>
      <w:proofErr w:type="spellStart"/>
      <w:r>
        <w:t>Edem</w:t>
      </w:r>
      <w:proofErr w:type="spellEnd"/>
      <w:r>
        <w:t xml:space="preserve">, B., </w:t>
      </w:r>
      <w:proofErr w:type="spellStart"/>
      <w:r>
        <w:t>Nkereuwem</w:t>
      </w:r>
      <w:proofErr w:type="spellEnd"/>
      <w:r>
        <w:t xml:space="preserve">, E., </w:t>
      </w:r>
      <w:proofErr w:type="spellStart"/>
      <w:r>
        <w:t>Nkereuwem</w:t>
      </w:r>
      <w:proofErr w:type="spellEnd"/>
      <w:r>
        <w:t xml:space="preserve">, O. O., </w:t>
      </w:r>
      <w:proofErr w:type="spellStart"/>
      <w:r>
        <w:t>Umeh</w:t>
      </w:r>
      <w:proofErr w:type="spellEnd"/>
      <w:r>
        <w:t xml:space="preserve">, G., Clark, E., </w:t>
      </w:r>
      <w:proofErr w:type="spellStart"/>
      <w:r>
        <w:t>Idoko</w:t>
      </w:r>
      <w:proofErr w:type="spellEnd"/>
      <w:r>
        <w:t xml:space="preserve">, O. T., </w:t>
      </w:r>
      <w:proofErr w:type="spellStart"/>
      <w:r>
        <w:t>Nomhwange</w:t>
      </w:r>
      <w:proofErr w:type="spellEnd"/>
      <w:r>
        <w:t xml:space="preserve">, T., &amp; </w:t>
      </w:r>
      <w:proofErr w:type="spellStart"/>
      <w:r>
        <w:t>Kampmann</w:t>
      </w:r>
      <w:proofErr w:type="spellEnd"/>
      <w:r>
        <w:t xml:space="preserve">, B. (2019). Tracking coverage, dropout and multidimensional equity gaps in </w:t>
      </w:r>
      <w:proofErr w:type="spellStart"/>
      <w:r>
        <w:t>immunisation</w:t>
      </w:r>
      <w:proofErr w:type="spellEnd"/>
      <w:r>
        <w:t xml:space="preserve"> systems in West Africa, 2000–2017. </w:t>
      </w:r>
      <w:r>
        <w:rPr>
          <w:rStyle w:val="Emphasis"/>
        </w:rPr>
        <w:t>BMJ Global Health, 4</w:t>
      </w:r>
      <w:r>
        <w:t xml:space="preserve">(5), e001713. </w:t>
      </w:r>
      <w:hyperlink r:id="rId33" w:history="1">
        <w:r w:rsidRPr="007E69E1">
          <w:rPr>
            <w:rStyle w:val="Hyperlink"/>
          </w:rPr>
          <w:t>https://doi.org/10.1136/bmjgh-2019-001713</w:t>
        </w:r>
      </w:hyperlink>
    </w:p>
    <w:p w:rsidR="00007AAB" w:rsidRDefault="00007AAB" w:rsidP="00007AAB">
      <w:pPr>
        <w:pStyle w:val="NormalWeb"/>
      </w:pPr>
      <w:proofErr w:type="spellStart"/>
      <w:r>
        <w:lastRenderedPageBreak/>
        <w:t>Yunusa</w:t>
      </w:r>
      <w:proofErr w:type="spellEnd"/>
      <w:r>
        <w:t xml:space="preserve">, B., </w:t>
      </w:r>
      <w:proofErr w:type="spellStart"/>
      <w:r>
        <w:t>Garba</w:t>
      </w:r>
      <w:proofErr w:type="spellEnd"/>
      <w:r>
        <w:t xml:space="preserve">, A. M., &amp; Idris, L. O. (2024). Improving timeliness and completeness of routine childhood immunization in Kano, Nigeria: A randomized evaluation of mobile reminders and supportive follow-up. </w:t>
      </w:r>
      <w:r>
        <w:rPr>
          <w:rStyle w:val="Emphasis"/>
        </w:rPr>
        <w:t>Journal of Pediatric Health Care, 38</w:t>
      </w:r>
      <w:r>
        <w:t xml:space="preserve">(5), 727–736. </w:t>
      </w:r>
      <w:hyperlink r:id="rId34" w:history="1">
        <w:r w:rsidRPr="007E69E1">
          <w:rPr>
            <w:rStyle w:val="Hyperlink"/>
          </w:rPr>
          <w:t>https://doi.org/10.1016/j.pedhc.2024.03.002</w:t>
        </w:r>
      </w:hyperlink>
    </w:p>
    <w:p w:rsidR="00925CAF" w:rsidRDefault="00925CAF" w:rsidP="000E709D">
      <w:pPr>
        <w:pStyle w:val="NormalWeb"/>
      </w:pPr>
    </w:p>
    <w:p w:rsidR="000E709D" w:rsidRDefault="000E709D" w:rsidP="00DC74C9">
      <w:pPr>
        <w:pStyle w:val="NormalWeb"/>
      </w:pPr>
    </w:p>
    <w:p w:rsidR="00DC74C9" w:rsidRPr="00DC74C9" w:rsidRDefault="00DC74C9" w:rsidP="00783E9E">
      <w:pPr>
        <w:pStyle w:val="Heading2"/>
        <w:rPr>
          <w:b w:val="0"/>
          <w:sz w:val="24"/>
        </w:rPr>
      </w:pPr>
    </w:p>
    <w:sectPr w:rsidR="00DC74C9" w:rsidRPr="00DC74C9"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B5" w:rsidRDefault="00125AB5" w:rsidP="00B56755">
      <w:pPr>
        <w:spacing w:after="0" w:line="240" w:lineRule="auto"/>
      </w:pPr>
      <w:r>
        <w:separator/>
      </w:r>
    </w:p>
  </w:endnote>
  <w:endnote w:type="continuationSeparator" w:id="0">
    <w:p w:rsidR="00125AB5" w:rsidRDefault="00125AB5" w:rsidP="00B5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B5" w:rsidRDefault="00125AB5" w:rsidP="00B56755">
      <w:pPr>
        <w:spacing w:after="0" w:line="240" w:lineRule="auto"/>
      </w:pPr>
      <w:r>
        <w:separator/>
      </w:r>
    </w:p>
  </w:footnote>
  <w:footnote w:type="continuationSeparator" w:id="0">
    <w:p w:rsidR="00125AB5" w:rsidRDefault="00125AB5" w:rsidP="00B56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755" w:rsidRDefault="00B56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6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2"/>
  </w:num>
  <w:num w:numId="5">
    <w:abstractNumId w:val="9"/>
  </w:num>
  <w:num w:numId="6">
    <w:abstractNumId w:val="3"/>
  </w:num>
  <w:num w:numId="7">
    <w:abstractNumId w:val="0"/>
  </w:num>
  <w:num w:numId="8">
    <w:abstractNumId w:val="11"/>
  </w:num>
  <w:num w:numId="9">
    <w:abstractNumId w:val="4"/>
  </w:num>
  <w:num w:numId="10">
    <w:abstractNumId w:val="5"/>
  </w:num>
  <w:num w:numId="11">
    <w:abstractNumId w:val="8"/>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6037D"/>
    <w:rsid w:val="0006413B"/>
    <w:rsid w:val="000643E7"/>
    <w:rsid w:val="000A0EB4"/>
    <w:rsid w:val="000C4F0E"/>
    <w:rsid w:val="000E67D1"/>
    <w:rsid w:val="000E709D"/>
    <w:rsid w:val="000F27AA"/>
    <w:rsid w:val="00114147"/>
    <w:rsid w:val="00125AB5"/>
    <w:rsid w:val="001261CC"/>
    <w:rsid w:val="00126ADF"/>
    <w:rsid w:val="00131E50"/>
    <w:rsid w:val="00135191"/>
    <w:rsid w:val="00142919"/>
    <w:rsid w:val="001560E3"/>
    <w:rsid w:val="00186E2A"/>
    <w:rsid w:val="001A165A"/>
    <w:rsid w:val="001A3703"/>
    <w:rsid w:val="001A7A4E"/>
    <w:rsid w:val="001B5753"/>
    <w:rsid w:val="001E6EC5"/>
    <w:rsid w:val="00202F35"/>
    <w:rsid w:val="0022042D"/>
    <w:rsid w:val="002312EA"/>
    <w:rsid w:val="0024324D"/>
    <w:rsid w:val="00260455"/>
    <w:rsid w:val="00271A26"/>
    <w:rsid w:val="002778DD"/>
    <w:rsid w:val="00284F1F"/>
    <w:rsid w:val="002A4C47"/>
    <w:rsid w:val="002B76E6"/>
    <w:rsid w:val="002C0DF9"/>
    <w:rsid w:val="002C48BB"/>
    <w:rsid w:val="002F4C0C"/>
    <w:rsid w:val="00307595"/>
    <w:rsid w:val="0031286E"/>
    <w:rsid w:val="00332243"/>
    <w:rsid w:val="0035701C"/>
    <w:rsid w:val="003664CE"/>
    <w:rsid w:val="003975AE"/>
    <w:rsid w:val="003A104D"/>
    <w:rsid w:val="003A4787"/>
    <w:rsid w:val="003B035B"/>
    <w:rsid w:val="003B3553"/>
    <w:rsid w:val="003B400E"/>
    <w:rsid w:val="003B6CCD"/>
    <w:rsid w:val="003C31E9"/>
    <w:rsid w:val="003E35A3"/>
    <w:rsid w:val="003F02C5"/>
    <w:rsid w:val="003F6E91"/>
    <w:rsid w:val="00405181"/>
    <w:rsid w:val="004132B1"/>
    <w:rsid w:val="004148C1"/>
    <w:rsid w:val="004148F5"/>
    <w:rsid w:val="00416C8C"/>
    <w:rsid w:val="00456E20"/>
    <w:rsid w:val="004615AF"/>
    <w:rsid w:val="004A16BD"/>
    <w:rsid w:val="004A508F"/>
    <w:rsid w:val="004A5427"/>
    <w:rsid w:val="004C1A63"/>
    <w:rsid w:val="004C6306"/>
    <w:rsid w:val="004C7547"/>
    <w:rsid w:val="004E7311"/>
    <w:rsid w:val="00516AA1"/>
    <w:rsid w:val="00523936"/>
    <w:rsid w:val="0052448D"/>
    <w:rsid w:val="0054487D"/>
    <w:rsid w:val="0056389E"/>
    <w:rsid w:val="00564FB4"/>
    <w:rsid w:val="00571246"/>
    <w:rsid w:val="005D2267"/>
    <w:rsid w:val="0061521F"/>
    <w:rsid w:val="00622C65"/>
    <w:rsid w:val="00626F6E"/>
    <w:rsid w:val="00632906"/>
    <w:rsid w:val="00661483"/>
    <w:rsid w:val="006618F5"/>
    <w:rsid w:val="0067007E"/>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8275D"/>
    <w:rsid w:val="00783E9E"/>
    <w:rsid w:val="007B437D"/>
    <w:rsid w:val="007C7951"/>
    <w:rsid w:val="007D03BC"/>
    <w:rsid w:val="007D38FC"/>
    <w:rsid w:val="007E249F"/>
    <w:rsid w:val="007F1928"/>
    <w:rsid w:val="008017C0"/>
    <w:rsid w:val="00804929"/>
    <w:rsid w:val="008107F6"/>
    <w:rsid w:val="00812006"/>
    <w:rsid w:val="0083179B"/>
    <w:rsid w:val="008374C4"/>
    <w:rsid w:val="00856AFD"/>
    <w:rsid w:val="0087023A"/>
    <w:rsid w:val="00870945"/>
    <w:rsid w:val="00876190"/>
    <w:rsid w:val="008811F8"/>
    <w:rsid w:val="00883166"/>
    <w:rsid w:val="008A4BFC"/>
    <w:rsid w:val="008E71C6"/>
    <w:rsid w:val="008F3850"/>
    <w:rsid w:val="00925CAF"/>
    <w:rsid w:val="00951A3D"/>
    <w:rsid w:val="009929A7"/>
    <w:rsid w:val="00992B92"/>
    <w:rsid w:val="00994A4A"/>
    <w:rsid w:val="009B3A8A"/>
    <w:rsid w:val="009B55DE"/>
    <w:rsid w:val="009D0B9D"/>
    <w:rsid w:val="009D5BA5"/>
    <w:rsid w:val="009E5244"/>
    <w:rsid w:val="009F0120"/>
    <w:rsid w:val="00A029C3"/>
    <w:rsid w:val="00A2270F"/>
    <w:rsid w:val="00A27BF4"/>
    <w:rsid w:val="00A478B2"/>
    <w:rsid w:val="00A50845"/>
    <w:rsid w:val="00A5299F"/>
    <w:rsid w:val="00A54719"/>
    <w:rsid w:val="00A57A87"/>
    <w:rsid w:val="00A7055A"/>
    <w:rsid w:val="00AA2B64"/>
    <w:rsid w:val="00AA4644"/>
    <w:rsid w:val="00AB0C7A"/>
    <w:rsid w:val="00AB1103"/>
    <w:rsid w:val="00AE651D"/>
    <w:rsid w:val="00AF7425"/>
    <w:rsid w:val="00B06888"/>
    <w:rsid w:val="00B1065D"/>
    <w:rsid w:val="00B451DB"/>
    <w:rsid w:val="00B56755"/>
    <w:rsid w:val="00B84C19"/>
    <w:rsid w:val="00BB6828"/>
    <w:rsid w:val="00BC43AE"/>
    <w:rsid w:val="00BD22E5"/>
    <w:rsid w:val="00BF0896"/>
    <w:rsid w:val="00BF26BF"/>
    <w:rsid w:val="00C04B81"/>
    <w:rsid w:val="00C13468"/>
    <w:rsid w:val="00C3420C"/>
    <w:rsid w:val="00C40318"/>
    <w:rsid w:val="00C404E0"/>
    <w:rsid w:val="00C524EC"/>
    <w:rsid w:val="00C5683C"/>
    <w:rsid w:val="00C57B8F"/>
    <w:rsid w:val="00C6694F"/>
    <w:rsid w:val="00C7136B"/>
    <w:rsid w:val="00C93A8A"/>
    <w:rsid w:val="00C955E0"/>
    <w:rsid w:val="00CB6EB6"/>
    <w:rsid w:val="00CB75A8"/>
    <w:rsid w:val="00CE051F"/>
    <w:rsid w:val="00CE0C42"/>
    <w:rsid w:val="00CE5BFA"/>
    <w:rsid w:val="00D07932"/>
    <w:rsid w:val="00D2322A"/>
    <w:rsid w:val="00D40796"/>
    <w:rsid w:val="00D63323"/>
    <w:rsid w:val="00D71250"/>
    <w:rsid w:val="00D75C9D"/>
    <w:rsid w:val="00D9293B"/>
    <w:rsid w:val="00DC6BC2"/>
    <w:rsid w:val="00DC74C9"/>
    <w:rsid w:val="00DD62DF"/>
    <w:rsid w:val="00DF20BB"/>
    <w:rsid w:val="00DF5AB4"/>
    <w:rsid w:val="00E125DA"/>
    <w:rsid w:val="00E20962"/>
    <w:rsid w:val="00E643E8"/>
    <w:rsid w:val="00E7044C"/>
    <w:rsid w:val="00E76785"/>
    <w:rsid w:val="00EA45FD"/>
    <w:rsid w:val="00EC266D"/>
    <w:rsid w:val="00EC4D6C"/>
    <w:rsid w:val="00EE2E7D"/>
    <w:rsid w:val="00F13040"/>
    <w:rsid w:val="00F6047F"/>
    <w:rsid w:val="00F754E8"/>
    <w:rsid w:val="00FA03AB"/>
    <w:rsid w:val="00FA7321"/>
    <w:rsid w:val="00FB6475"/>
    <w:rsid w:val="00FC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33A1D14-19E9-41CC-95B6-2FDA3C37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B5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55"/>
  </w:style>
  <w:style w:type="paragraph" w:styleId="Footer">
    <w:name w:val="footer"/>
    <w:basedOn w:val="Normal"/>
    <w:link w:val="FooterChar"/>
    <w:uiPriority w:val="99"/>
    <w:unhideWhenUsed/>
    <w:rsid w:val="00B5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ubh.2019.00392" TargetMode="External"/><Relationship Id="rId18" Type="http://schemas.openxmlformats.org/officeDocument/2006/relationships/hyperlink" Target="https://doi.org/10.12688/gatesopenres.12916.2" TargetMode="External"/><Relationship Id="rId26" Type="http://schemas.openxmlformats.org/officeDocument/2006/relationships/hyperlink" Target="https://doi.org/10.1016/j.vaccine.2022.07.058" TargetMode="External"/><Relationship Id="rId39" Type="http://schemas.openxmlformats.org/officeDocument/2006/relationships/header" Target="header3.xml"/><Relationship Id="rId21" Type="http://schemas.openxmlformats.org/officeDocument/2006/relationships/hyperlink" Target="https://doi.org/10.1136/bmjopen-2020-047445" TargetMode="External"/><Relationship Id="rId34" Type="http://schemas.openxmlformats.org/officeDocument/2006/relationships/hyperlink" Target="https://doi.org/10.1016/j.pedhc.2024.03.00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vaccine.2018.10.006" TargetMode="External"/><Relationship Id="rId20" Type="http://schemas.openxmlformats.org/officeDocument/2006/relationships/hyperlink" Target="https://doi.org/10.1093/infdis/jiu373" TargetMode="External"/><Relationship Id="rId29" Type="http://schemas.openxmlformats.org/officeDocument/2006/relationships/hyperlink" Target="https://doi.org/10.1371/journal.pone.018673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69066" TargetMode="External"/><Relationship Id="rId24" Type="http://schemas.openxmlformats.org/officeDocument/2006/relationships/hyperlink" Target="https://doi.org/10.1093/infdis/jiad476" TargetMode="External"/><Relationship Id="rId32" Type="http://schemas.openxmlformats.org/officeDocument/2006/relationships/hyperlink" Target="https://doi.org/10.1136/bmjopen-2020-03969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vaccine.2021.02.072" TargetMode="External"/><Relationship Id="rId23" Type="http://schemas.openxmlformats.org/officeDocument/2006/relationships/hyperlink" Target="https://doi.org/10.1371/journal.pone.0167835" TargetMode="External"/><Relationship Id="rId28" Type="http://schemas.openxmlformats.org/officeDocument/2006/relationships/hyperlink" Target="https://doi.org/10.1186/s12889-020-8170-6" TargetMode="External"/><Relationship Id="rId36" Type="http://schemas.openxmlformats.org/officeDocument/2006/relationships/header" Target="header2.xml"/><Relationship Id="rId10" Type="http://schemas.openxmlformats.org/officeDocument/2006/relationships/hyperlink" Target="https://doi.org/10.1016/j.vaccine.2017.04.034" TargetMode="External"/><Relationship Id="rId19" Type="http://schemas.openxmlformats.org/officeDocument/2006/relationships/hyperlink" Target="https://doi.org/10.1016/j.vaccine.2020.05.026" TargetMode="External"/><Relationship Id="rId31" Type="http://schemas.openxmlformats.org/officeDocument/2006/relationships/hyperlink" Target="https://doi.org/10.3390/vaccines11010181" TargetMode="External"/><Relationship Id="rId4" Type="http://schemas.openxmlformats.org/officeDocument/2006/relationships/settings" Target="settings.xml"/><Relationship Id="rId9" Type="http://schemas.openxmlformats.org/officeDocument/2006/relationships/hyperlink" Target="https://doi.org/10.1186/s12889-017-4137-7" TargetMode="External"/><Relationship Id="rId14" Type="http://schemas.openxmlformats.org/officeDocument/2006/relationships/hyperlink" Target="https://doi.org/10.1186/s12982-025-00512-x" TargetMode="External"/><Relationship Id="rId22" Type="http://schemas.openxmlformats.org/officeDocument/2006/relationships/hyperlink" Target="https://doi.org/10.1371/journal.pone.0252798" TargetMode="External"/><Relationship Id="rId27" Type="http://schemas.openxmlformats.org/officeDocument/2006/relationships/hyperlink" Target="https://doi.org/10.1016/j.jvacx.2024.100563" TargetMode="External"/><Relationship Id="rId30" Type="http://schemas.openxmlformats.org/officeDocument/2006/relationships/hyperlink" Target="https://doi.org/10.1186/s12982-024-00283-x" TargetMode="External"/><Relationship Id="rId35" Type="http://schemas.openxmlformats.org/officeDocument/2006/relationships/header" Target="header1.xml"/><Relationship Id="rId8" Type="http://schemas.openxmlformats.org/officeDocument/2006/relationships/hyperlink" Target="https://doi.org/10.1080/21645515.2020.1827609" TargetMode="External"/><Relationship Id="rId3" Type="http://schemas.openxmlformats.org/officeDocument/2006/relationships/styles" Target="styles.xml"/><Relationship Id="rId12" Type="http://schemas.openxmlformats.org/officeDocument/2006/relationships/hyperlink" Target="https://doi.org/10.1038/s41598-024-57345-y" TargetMode="External"/><Relationship Id="rId17" Type="http://schemas.openxmlformats.org/officeDocument/2006/relationships/hyperlink" Target="https://doi.org/10.1016/j.vaccine.2016.06.053" TargetMode="External"/><Relationship Id="rId25" Type="http://schemas.openxmlformats.org/officeDocument/2006/relationships/hyperlink" Target="https://doi.org/10.1016/j.vaccine.2020.10.021" TargetMode="External"/><Relationship Id="rId33" Type="http://schemas.openxmlformats.org/officeDocument/2006/relationships/hyperlink" Target="https://doi.org/10.1136/bmjgh-2019-00171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C5B28-ED00-4428-BC81-1C6487E5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15</Pages>
  <Words>6748</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51</cp:revision>
  <cp:lastPrinted>2025-12-13T07:14:00Z</cp:lastPrinted>
  <dcterms:created xsi:type="dcterms:W3CDTF">2025-09-24T12:44:00Z</dcterms:created>
  <dcterms:modified xsi:type="dcterms:W3CDTF">2025-12-16T11:13:00Z</dcterms:modified>
</cp:coreProperties>
</file>