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65EC8" w14:textId="77777777" w:rsidR="00BA66AE" w:rsidRPr="00BA66AE" w:rsidRDefault="00BA66AE" w:rsidP="00BA66AE">
      <w:pPr>
        <w:spacing w:after="240"/>
        <w:jc w:val="right"/>
        <w:rPr>
          <w:rFonts w:ascii="Arial" w:hAnsi="Arial" w:cs="Arial"/>
          <w:b/>
          <w:color w:val="000000"/>
          <w:sz w:val="36"/>
          <w:szCs w:val="32"/>
          <w:u w:val="single"/>
        </w:rPr>
      </w:pPr>
      <w:r w:rsidRPr="00BA66AE">
        <w:rPr>
          <w:rFonts w:ascii="Arial" w:hAnsi="Arial" w:cs="Arial"/>
          <w:b/>
          <w:color w:val="000000"/>
          <w:sz w:val="36"/>
          <w:szCs w:val="32"/>
          <w:u w:val="single"/>
        </w:rPr>
        <w:t>Original Research Article</w:t>
      </w:r>
    </w:p>
    <w:p w14:paraId="44A37E99" w14:textId="5E4A456D" w:rsidR="008D323E" w:rsidRPr="008E412D" w:rsidRDefault="00CF6D95" w:rsidP="008E412D">
      <w:pPr>
        <w:spacing w:after="240"/>
        <w:jc w:val="center"/>
        <w:rPr>
          <w:rFonts w:ascii="Arial" w:hAnsi="Arial" w:cs="Arial"/>
          <w:b/>
          <w:color w:val="000000"/>
          <w:sz w:val="32"/>
          <w:szCs w:val="32"/>
        </w:rPr>
      </w:pPr>
      <w:proofErr w:type="spellStart"/>
      <w:r w:rsidRPr="008E412D">
        <w:rPr>
          <w:rFonts w:ascii="Arial" w:hAnsi="Arial" w:cs="Arial"/>
          <w:b/>
          <w:color w:val="000000"/>
          <w:sz w:val="32"/>
          <w:szCs w:val="32"/>
        </w:rPr>
        <w:t>Spatio</w:t>
      </w:r>
      <w:proofErr w:type="spellEnd"/>
      <w:r w:rsidRPr="008E412D">
        <w:rPr>
          <w:rFonts w:ascii="Arial" w:hAnsi="Arial" w:cs="Arial"/>
          <w:b/>
          <w:color w:val="000000"/>
          <w:sz w:val="32"/>
          <w:szCs w:val="32"/>
        </w:rPr>
        <w:t xml:space="preserve">-Temporal Dynamics of Land Use/Land Cover and Agricultural Land Transformation in a Drought-Prone Region: </w:t>
      </w:r>
      <w:proofErr w:type="spellStart"/>
      <w:r w:rsidRPr="008E412D">
        <w:rPr>
          <w:rFonts w:ascii="Arial" w:hAnsi="Arial" w:cs="Arial"/>
          <w:b/>
          <w:color w:val="000000"/>
          <w:sz w:val="32"/>
          <w:szCs w:val="32"/>
        </w:rPr>
        <w:t>Hura</w:t>
      </w:r>
      <w:proofErr w:type="spellEnd"/>
      <w:r w:rsidRPr="008E412D">
        <w:rPr>
          <w:rFonts w:ascii="Arial" w:hAnsi="Arial" w:cs="Arial"/>
          <w:b/>
          <w:color w:val="000000"/>
          <w:sz w:val="32"/>
          <w:szCs w:val="32"/>
        </w:rPr>
        <w:t xml:space="preserve"> C.D. Block, Purulia, West Bengal (2017-2024)</w:t>
      </w:r>
    </w:p>
    <w:p w14:paraId="34C00DE9" w14:textId="21D7AC40" w:rsidR="00CF6D95" w:rsidRDefault="00CF6D95"/>
    <w:p w14:paraId="69F7E884" w14:textId="77777777" w:rsidR="005070F1" w:rsidRPr="003F69FE" w:rsidRDefault="005070F1"/>
    <w:p w14:paraId="033B002F" w14:textId="77777777" w:rsidR="0079240A" w:rsidRPr="008E412D" w:rsidRDefault="002D2C41" w:rsidP="008E412D">
      <w:pPr>
        <w:spacing w:after="240"/>
        <w:jc w:val="both"/>
        <w:rPr>
          <w:rFonts w:ascii="Arial" w:hAnsi="Arial" w:cs="Arial"/>
          <w:sz w:val="22"/>
          <w:szCs w:val="22"/>
        </w:rPr>
      </w:pPr>
      <w:r w:rsidRPr="008E412D">
        <w:rPr>
          <w:rFonts w:ascii="Arial" w:hAnsi="Arial" w:cs="Arial"/>
          <w:b/>
          <w:color w:val="000000"/>
          <w:sz w:val="22"/>
          <w:szCs w:val="22"/>
        </w:rPr>
        <w:t>Abstract</w:t>
      </w:r>
    </w:p>
    <w:p w14:paraId="75CF902C" w14:textId="77777777" w:rsidR="0079240A" w:rsidRPr="008E412D" w:rsidRDefault="002D2C41" w:rsidP="008E412D">
      <w:pPr>
        <w:spacing w:after="240"/>
        <w:jc w:val="both"/>
        <w:rPr>
          <w:rFonts w:ascii="Arial" w:hAnsi="Arial" w:cs="Arial"/>
          <w:sz w:val="22"/>
          <w:szCs w:val="22"/>
        </w:rPr>
      </w:pPr>
      <w:r w:rsidRPr="008E412D">
        <w:rPr>
          <w:rFonts w:ascii="Arial" w:hAnsi="Arial" w:cs="Arial"/>
          <w:color w:val="000000"/>
          <w:sz w:val="22"/>
          <w:szCs w:val="22"/>
        </w:rPr>
        <w:t xml:space="preserve">Land Use and Land Cover (LULC) changes are essential indicators of environmental transformation and anthropogenic pressure. This study examined the </w:t>
      </w:r>
      <w:proofErr w:type="spellStart"/>
      <w:r w:rsidRPr="008E412D">
        <w:rPr>
          <w:rFonts w:ascii="Arial" w:hAnsi="Arial" w:cs="Arial"/>
          <w:color w:val="000000"/>
          <w:sz w:val="22"/>
          <w:szCs w:val="22"/>
        </w:rPr>
        <w:t>spatio</w:t>
      </w:r>
      <w:proofErr w:type="spellEnd"/>
      <w:r w:rsidRPr="008E412D">
        <w:rPr>
          <w:rFonts w:ascii="Arial" w:hAnsi="Arial" w:cs="Arial"/>
          <w:color w:val="000000"/>
          <w:sz w:val="22"/>
          <w:szCs w:val="22"/>
        </w:rPr>
        <w:t xml:space="preserve">-temporal dynamics of LULC and agricultural land transformation in the drought-prone </w:t>
      </w:r>
      <w:proofErr w:type="spellStart"/>
      <w:r w:rsidRPr="008E412D">
        <w:rPr>
          <w:rFonts w:ascii="Arial" w:hAnsi="Arial" w:cs="Arial"/>
          <w:color w:val="000000"/>
          <w:sz w:val="22"/>
          <w:szCs w:val="22"/>
        </w:rPr>
        <w:t>Hura</w:t>
      </w:r>
      <w:proofErr w:type="spellEnd"/>
      <w:r w:rsidRPr="008E412D">
        <w:rPr>
          <w:rFonts w:ascii="Arial" w:hAnsi="Arial" w:cs="Arial"/>
          <w:color w:val="000000"/>
          <w:sz w:val="22"/>
          <w:szCs w:val="22"/>
        </w:rPr>
        <w:t xml:space="preserve"> Block of Purulia District, West Bengal, India, from 2017 to 2024. Employing Sentinel-2 Level 2A satellite imagery and Geographic Information Systems (GIS), the study classifies major land cover categories—cropland, built-up areas, tree cover, and rangeland—and quantifies transitions through spatial overlay techniques and transition matrix analysis in ArcGIS. The findings revealed that croplands, although predominant (averaging 72.61% of the block’s area), experienced a significant decline, contracting to 63.86% by 2023. The reduction in cropland was primarily due to its conversion into rangeland (48.32%), followed by tree cover (35.67%) and built-up areas (13.96%). Built-up areas steadily expanded from 3.87% in 2017 to 5.54% in 2024, reflecting urbanization and infrastructure development. Tree cover increased from 9.20% to 13.23% over the same period, largely due to land abandonment and ecological succession rather than planned afforestation. Rangelands exhibited volatility, absorbing substantial cropland outflow during the years of agricultural decline. Overall, the findings underscore the dual trajectory of cropland contraction alongside the expansion of rangelands and built-up areas, driven by population pressure, unplanned development, and ecological processes such as land degradation. These transitions threaten agricultural stability, food security, and the health of ecosystems. This study emphasizes the urgent need for integrated land management strategies that protect croplands, promote sustainable practices, and regulate urban growth to balance ecological conservation and socio-economic development.</w:t>
      </w:r>
    </w:p>
    <w:p w14:paraId="2E1C7A7C" w14:textId="77777777" w:rsidR="002937C3" w:rsidRPr="008E412D" w:rsidRDefault="002D2C41" w:rsidP="008E412D">
      <w:pPr>
        <w:spacing w:after="240"/>
        <w:jc w:val="both"/>
        <w:rPr>
          <w:rFonts w:ascii="Arial" w:hAnsi="Arial" w:cs="Arial"/>
          <w:sz w:val="22"/>
          <w:szCs w:val="22"/>
        </w:rPr>
      </w:pPr>
      <w:r w:rsidRPr="008E412D">
        <w:rPr>
          <w:rFonts w:ascii="Arial" w:hAnsi="Arial" w:cs="Arial"/>
          <w:b/>
          <w:color w:val="000000"/>
          <w:sz w:val="22"/>
          <w:szCs w:val="22"/>
        </w:rPr>
        <w:t>Keywords:</w:t>
      </w:r>
      <w:r w:rsidRPr="008E412D">
        <w:rPr>
          <w:rFonts w:ascii="Arial" w:hAnsi="Arial" w:cs="Arial"/>
          <w:color w:val="000000"/>
          <w:sz w:val="22"/>
          <w:szCs w:val="22"/>
        </w:rPr>
        <w:t xml:space="preserve"> L</w:t>
      </w:r>
      <w:r w:rsidRPr="008E412D">
        <w:rPr>
          <w:rFonts w:ascii="Arial" w:hAnsi="Arial" w:cs="Arial"/>
          <w:sz w:val="22"/>
          <w:szCs w:val="22"/>
        </w:rPr>
        <w:t>ULC</w:t>
      </w:r>
      <w:r w:rsidRPr="008E412D">
        <w:rPr>
          <w:rFonts w:ascii="Arial" w:hAnsi="Arial" w:cs="Arial"/>
          <w:color w:val="000000"/>
          <w:sz w:val="22"/>
          <w:szCs w:val="22"/>
        </w:rPr>
        <w:t>, Change Detection, RS</w:t>
      </w:r>
      <w:r w:rsidRPr="008E412D">
        <w:rPr>
          <w:rFonts w:ascii="Arial" w:hAnsi="Arial" w:cs="Arial"/>
          <w:sz w:val="22"/>
          <w:szCs w:val="22"/>
        </w:rPr>
        <w:t xml:space="preserve"> and GIS</w:t>
      </w:r>
      <w:r w:rsidRPr="008E412D">
        <w:rPr>
          <w:rFonts w:ascii="Arial" w:hAnsi="Arial" w:cs="Arial"/>
          <w:color w:val="000000"/>
          <w:sz w:val="22"/>
          <w:szCs w:val="22"/>
        </w:rPr>
        <w:t xml:space="preserve">, Agricultural Land, </w:t>
      </w:r>
      <w:proofErr w:type="spellStart"/>
      <w:r w:rsidRPr="008E412D">
        <w:rPr>
          <w:rFonts w:ascii="Arial" w:hAnsi="Arial" w:cs="Arial"/>
          <w:color w:val="000000"/>
          <w:sz w:val="22"/>
          <w:szCs w:val="22"/>
        </w:rPr>
        <w:t>Hura</w:t>
      </w:r>
      <w:proofErr w:type="spellEnd"/>
      <w:r w:rsidRPr="008E412D">
        <w:rPr>
          <w:rFonts w:ascii="Arial" w:hAnsi="Arial" w:cs="Arial"/>
          <w:color w:val="000000"/>
          <w:sz w:val="22"/>
          <w:szCs w:val="22"/>
        </w:rPr>
        <w:t xml:space="preserve"> Block</w:t>
      </w:r>
    </w:p>
    <w:p w14:paraId="0C848EC4" w14:textId="77777777" w:rsidR="008E412D" w:rsidRDefault="008E412D" w:rsidP="00917D4E">
      <w:pPr>
        <w:spacing w:after="240" w:line="360" w:lineRule="auto"/>
        <w:jc w:val="both"/>
        <w:rPr>
          <w:b/>
          <w:color w:val="000000"/>
          <w:sz w:val="22"/>
          <w:szCs w:val="22"/>
        </w:rPr>
      </w:pPr>
    </w:p>
    <w:p w14:paraId="5DBC8D96" w14:textId="77777777" w:rsidR="008E412D" w:rsidRDefault="008E412D" w:rsidP="00917D4E">
      <w:pPr>
        <w:spacing w:after="240" w:line="360" w:lineRule="auto"/>
        <w:jc w:val="both"/>
        <w:rPr>
          <w:b/>
          <w:color w:val="000000"/>
          <w:sz w:val="22"/>
          <w:szCs w:val="22"/>
        </w:rPr>
      </w:pPr>
    </w:p>
    <w:p w14:paraId="357F4812" w14:textId="77777777" w:rsidR="008E412D" w:rsidRDefault="008E412D" w:rsidP="00917D4E">
      <w:pPr>
        <w:spacing w:after="240" w:line="360" w:lineRule="auto"/>
        <w:jc w:val="both"/>
        <w:rPr>
          <w:b/>
          <w:color w:val="000000"/>
          <w:sz w:val="22"/>
          <w:szCs w:val="22"/>
        </w:rPr>
      </w:pPr>
    </w:p>
    <w:p w14:paraId="6C482572" w14:textId="66A004EA" w:rsidR="008E412D" w:rsidRDefault="008E412D" w:rsidP="00917D4E">
      <w:pPr>
        <w:spacing w:after="240" w:line="360" w:lineRule="auto"/>
        <w:jc w:val="both"/>
        <w:rPr>
          <w:b/>
          <w:color w:val="000000"/>
          <w:sz w:val="22"/>
          <w:szCs w:val="22"/>
        </w:rPr>
      </w:pPr>
    </w:p>
    <w:p w14:paraId="23E9739B" w14:textId="4E04B8AE" w:rsidR="005070F1" w:rsidRDefault="005070F1" w:rsidP="00917D4E">
      <w:pPr>
        <w:spacing w:after="240" w:line="360" w:lineRule="auto"/>
        <w:jc w:val="both"/>
        <w:rPr>
          <w:b/>
          <w:color w:val="000000"/>
          <w:sz w:val="22"/>
          <w:szCs w:val="22"/>
        </w:rPr>
      </w:pPr>
    </w:p>
    <w:p w14:paraId="262DCDF8" w14:textId="77777777" w:rsidR="005070F1" w:rsidRDefault="005070F1" w:rsidP="00917D4E">
      <w:pPr>
        <w:spacing w:after="240" w:line="360" w:lineRule="auto"/>
        <w:jc w:val="both"/>
        <w:rPr>
          <w:b/>
          <w:color w:val="000000"/>
          <w:sz w:val="22"/>
          <w:szCs w:val="22"/>
        </w:rPr>
      </w:pPr>
    </w:p>
    <w:p w14:paraId="4F262D25" w14:textId="77777777" w:rsidR="008E412D" w:rsidRDefault="008E412D" w:rsidP="00917D4E">
      <w:pPr>
        <w:spacing w:after="240" w:line="360" w:lineRule="auto"/>
        <w:jc w:val="both"/>
        <w:rPr>
          <w:b/>
          <w:color w:val="000000"/>
          <w:sz w:val="22"/>
          <w:szCs w:val="22"/>
        </w:rPr>
      </w:pPr>
    </w:p>
    <w:p w14:paraId="6F91EEAD" w14:textId="26D1869E" w:rsidR="0079240A" w:rsidRPr="0069595A" w:rsidRDefault="002D2C41" w:rsidP="0069595A">
      <w:pPr>
        <w:spacing w:after="240"/>
        <w:jc w:val="both"/>
        <w:rPr>
          <w:rFonts w:ascii="Arial" w:hAnsi="Arial" w:cs="Arial"/>
          <w:sz w:val="20"/>
          <w:szCs w:val="20"/>
        </w:rPr>
      </w:pPr>
      <w:r w:rsidRPr="0069595A">
        <w:rPr>
          <w:rFonts w:ascii="Arial" w:hAnsi="Arial" w:cs="Arial"/>
          <w:b/>
          <w:color w:val="000000"/>
          <w:sz w:val="20"/>
          <w:szCs w:val="20"/>
        </w:rPr>
        <w:t>1. Introduction</w:t>
      </w:r>
      <w:r w:rsidR="00917D4E" w:rsidRPr="0069595A">
        <w:rPr>
          <w:rFonts w:ascii="Arial" w:hAnsi="Arial" w:cs="Arial"/>
          <w:b/>
          <w:color w:val="000000"/>
          <w:sz w:val="20"/>
          <w:szCs w:val="20"/>
        </w:rPr>
        <w:t>:</w:t>
      </w:r>
      <w:r w:rsidRPr="0069595A">
        <w:rPr>
          <w:rFonts w:ascii="Arial" w:hAnsi="Arial" w:cs="Arial"/>
          <w:b/>
          <w:color w:val="000000"/>
          <w:sz w:val="20"/>
          <w:szCs w:val="20"/>
        </w:rPr>
        <w:t xml:space="preserve"> </w:t>
      </w:r>
    </w:p>
    <w:p w14:paraId="0434F083" w14:textId="076C37CE" w:rsidR="00692944" w:rsidRPr="0069595A" w:rsidRDefault="002D2C41" w:rsidP="0069595A">
      <w:pPr>
        <w:spacing w:after="240"/>
        <w:jc w:val="both"/>
        <w:rPr>
          <w:rFonts w:ascii="Arial" w:hAnsi="Arial" w:cs="Arial"/>
          <w:color w:val="000000"/>
          <w:sz w:val="20"/>
          <w:szCs w:val="20"/>
          <w:lang w:val="en-IN"/>
        </w:rPr>
      </w:pPr>
      <w:r w:rsidRPr="0069595A">
        <w:rPr>
          <w:rFonts w:ascii="Arial" w:hAnsi="Arial" w:cs="Arial"/>
          <w:color w:val="000000"/>
          <w:sz w:val="20"/>
          <w:szCs w:val="20"/>
        </w:rPr>
        <w:t>Land Use and Land Cover (LULC) changes are widely acknowledged as critical indicators of environmental transformation and anthropogenic influence, particularly in regions undergoing rapid socio-economic development and ecological pressure. Monitoring these changes offers essential insights into landscape dynamics, resource management and sustainable planning (</w:t>
      </w:r>
      <w:proofErr w:type="spellStart"/>
      <w:r w:rsidR="00BC31BE" w:rsidRPr="0069595A">
        <w:rPr>
          <w:rFonts w:ascii="Arial" w:hAnsi="Arial" w:cs="Arial"/>
          <w:color w:val="000000"/>
          <w:sz w:val="20"/>
          <w:szCs w:val="20"/>
        </w:rPr>
        <w:t>Karimov</w:t>
      </w:r>
      <w:proofErr w:type="spellEnd"/>
      <w:r w:rsidR="00BC31BE" w:rsidRPr="0069595A">
        <w:rPr>
          <w:rFonts w:ascii="Arial" w:hAnsi="Arial" w:cs="Arial"/>
          <w:color w:val="000000"/>
          <w:sz w:val="20"/>
          <w:szCs w:val="20"/>
        </w:rPr>
        <w:t xml:space="preserve">, </w:t>
      </w:r>
      <w:r w:rsidRPr="0069595A">
        <w:rPr>
          <w:rFonts w:ascii="Arial" w:hAnsi="Arial" w:cs="Arial"/>
          <w:color w:val="000000"/>
          <w:sz w:val="20"/>
          <w:szCs w:val="20"/>
        </w:rPr>
        <w:t>et al., 202</w:t>
      </w:r>
      <w:r w:rsidR="00BC31BE" w:rsidRPr="0069595A">
        <w:rPr>
          <w:rFonts w:ascii="Arial" w:hAnsi="Arial" w:cs="Arial"/>
          <w:color w:val="000000"/>
          <w:sz w:val="20"/>
          <w:szCs w:val="20"/>
        </w:rPr>
        <w:t>3)</w:t>
      </w:r>
      <w:r w:rsidRPr="0069595A">
        <w:rPr>
          <w:rFonts w:ascii="Arial" w:hAnsi="Arial" w:cs="Arial"/>
          <w:color w:val="000000"/>
          <w:sz w:val="20"/>
          <w:szCs w:val="20"/>
        </w:rPr>
        <w:t>. The advent of remote sensing and Geographic Information Systems (GIS) has revolutionized the capacity to detect, quantify, and visualize LULC changes with high spatial and temporal resolution (Jensen, 2016). These technologies facilitate systematic environmental assessments by integrating multispectral satellite imagery with spatial analysis techniques (</w:t>
      </w:r>
      <w:proofErr w:type="spellStart"/>
      <w:r w:rsidRPr="0069595A">
        <w:rPr>
          <w:rFonts w:ascii="Arial" w:hAnsi="Arial" w:cs="Arial"/>
          <w:color w:val="000000"/>
          <w:sz w:val="20"/>
          <w:szCs w:val="20"/>
        </w:rPr>
        <w:t>Alqurashi</w:t>
      </w:r>
      <w:proofErr w:type="spellEnd"/>
      <w:r w:rsidRPr="0069595A">
        <w:rPr>
          <w:rFonts w:ascii="Arial" w:hAnsi="Arial" w:cs="Arial"/>
          <w:color w:val="000000"/>
          <w:sz w:val="20"/>
          <w:szCs w:val="20"/>
        </w:rPr>
        <w:t xml:space="preserve"> &amp; Kumar, 2013). Sentinel-2 satellite imagery, noted for its high spatial resolution and multispectral bands, is particularly effective for the detailed mapping of agricultural and ecological features across diverse landscapes (</w:t>
      </w:r>
      <w:proofErr w:type="spellStart"/>
      <w:r w:rsidRPr="0069595A">
        <w:rPr>
          <w:rFonts w:ascii="Arial" w:hAnsi="Arial" w:cs="Arial"/>
          <w:color w:val="000000"/>
          <w:sz w:val="20"/>
          <w:szCs w:val="20"/>
        </w:rPr>
        <w:t>Drusch</w:t>
      </w:r>
      <w:proofErr w:type="spellEnd"/>
      <w:r w:rsidRPr="0069595A">
        <w:rPr>
          <w:rFonts w:ascii="Arial" w:hAnsi="Arial" w:cs="Arial"/>
          <w:color w:val="000000"/>
          <w:sz w:val="20"/>
          <w:szCs w:val="20"/>
        </w:rPr>
        <w:t xml:space="preserve"> et al., 2012</w:t>
      </w:r>
      <w:r w:rsidR="008C2EC9" w:rsidRPr="0069595A">
        <w:rPr>
          <w:rFonts w:ascii="Arial" w:hAnsi="Arial" w:cs="Arial"/>
          <w:color w:val="000000"/>
          <w:sz w:val="20"/>
          <w:szCs w:val="20"/>
        </w:rPr>
        <w:t>; Phiri et al., 2020</w:t>
      </w:r>
      <w:r w:rsidRPr="0069595A">
        <w:rPr>
          <w:rFonts w:ascii="Arial" w:hAnsi="Arial" w:cs="Arial"/>
          <w:color w:val="000000"/>
          <w:sz w:val="20"/>
          <w:szCs w:val="20"/>
        </w:rPr>
        <w:t>). Supervised classification methods, notably the Maximum Likelihood Algorithm, in conjunction with spectral indices such as the Normalized Difference Vegetation Index (NDVI), Soil-Adjusted Vegetation Index (SAVI), and Normalized Difference Water Index (NDWI), have been demonstrated to enhance classification accuracy by improving the discrimination among vegetation, water bodies, and built-up areas (Foody, 2002; Xu, 2006; Weng, 2012). The integration of these indices facilitates the precise delineation of agricultural land, forest cover, fallow land, and other relevant classes, which is crucial for understanding land transformation patterns. Spatial overlay techniques, including map intersection and transition matrix generation, provide robust frameworks for detecting class-to-class LULC conversions, thereby revealing the magnitude and direction of land cover change over time (Lu et al., 2004). These approaches have been successfully applied in various Indian contexts to assess agricultural land use changes, urban expansion, and ecological shifts (</w:t>
      </w:r>
      <w:r w:rsidR="00BD1329" w:rsidRPr="0069595A">
        <w:rPr>
          <w:rFonts w:ascii="Arial" w:hAnsi="Arial" w:cs="Arial"/>
          <w:sz w:val="20"/>
          <w:szCs w:val="20"/>
        </w:rPr>
        <w:t xml:space="preserve">Fahad </w:t>
      </w:r>
      <w:r w:rsidRPr="0069595A">
        <w:rPr>
          <w:rFonts w:ascii="Arial" w:hAnsi="Arial" w:cs="Arial"/>
          <w:color w:val="000000"/>
          <w:sz w:val="20"/>
          <w:szCs w:val="20"/>
        </w:rPr>
        <w:t>et al., 202</w:t>
      </w:r>
      <w:r w:rsidR="00BD1329" w:rsidRPr="0069595A">
        <w:rPr>
          <w:rFonts w:ascii="Arial" w:hAnsi="Arial" w:cs="Arial"/>
          <w:color w:val="000000"/>
          <w:sz w:val="20"/>
          <w:szCs w:val="20"/>
        </w:rPr>
        <w:t xml:space="preserve">0; </w:t>
      </w:r>
      <w:proofErr w:type="spellStart"/>
      <w:r w:rsidR="00BD1329" w:rsidRPr="0069595A">
        <w:rPr>
          <w:rFonts w:ascii="Arial" w:hAnsi="Arial" w:cs="Arial"/>
          <w:sz w:val="20"/>
          <w:szCs w:val="20"/>
        </w:rPr>
        <w:t>Fayaz</w:t>
      </w:r>
      <w:proofErr w:type="spellEnd"/>
      <w:r w:rsidR="00BD1329" w:rsidRPr="0069595A">
        <w:rPr>
          <w:rFonts w:ascii="Arial" w:hAnsi="Arial" w:cs="Arial"/>
          <w:sz w:val="20"/>
          <w:szCs w:val="20"/>
        </w:rPr>
        <w:t xml:space="preserve"> et al., 2020</w:t>
      </w:r>
      <w:r w:rsidRPr="0069595A">
        <w:rPr>
          <w:rFonts w:ascii="Arial" w:hAnsi="Arial" w:cs="Arial"/>
          <w:color w:val="000000"/>
          <w:sz w:val="20"/>
          <w:szCs w:val="20"/>
        </w:rPr>
        <w:t xml:space="preserve">). Within this broader context, the </w:t>
      </w:r>
      <w:proofErr w:type="spellStart"/>
      <w:r w:rsidRPr="0069595A">
        <w:rPr>
          <w:rFonts w:ascii="Arial" w:hAnsi="Arial" w:cs="Arial"/>
          <w:color w:val="000000"/>
          <w:sz w:val="20"/>
          <w:szCs w:val="20"/>
        </w:rPr>
        <w:t>Hura</w:t>
      </w:r>
      <w:proofErr w:type="spellEnd"/>
      <w:r w:rsidRPr="0069595A">
        <w:rPr>
          <w:rFonts w:ascii="Arial" w:hAnsi="Arial" w:cs="Arial"/>
          <w:color w:val="000000"/>
          <w:sz w:val="20"/>
          <w:szCs w:val="20"/>
        </w:rPr>
        <w:t xml:space="preserve"> Block in Purulia District, West Bengal, exemplifies a region that has undergone significant land-use modifications over the past three decades. Shifts in agricultural practices, settlement expansion, and ecological changes have reshaped the landscape. Given the predominance of agriculture and the ecological significance of this block, a comprehensive spatiotemporal assessment of LULC changes between 2017 </w:t>
      </w:r>
      <w:r w:rsidRPr="0069595A">
        <w:rPr>
          <w:rFonts w:ascii="Arial" w:hAnsi="Arial" w:cs="Arial"/>
          <w:sz w:val="20"/>
          <w:szCs w:val="20"/>
        </w:rPr>
        <w:t>to</w:t>
      </w:r>
      <w:r w:rsidRPr="0069595A">
        <w:rPr>
          <w:rFonts w:ascii="Arial" w:hAnsi="Arial" w:cs="Arial"/>
          <w:color w:val="000000"/>
          <w:sz w:val="20"/>
          <w:szCs w:val="20"/>
        </w:rPr>
        <w:t xml:space="preserve"> 2024 is imperative. Such an analysis not only elucidates the patterns and drivers of land transformation but also informs sustainable land management and policy formulation aimed at balancing developmental needs with ecological preservation. </w:t>
      </w:r>
      <w:r w:rsidR="00692944" w:rsidRPr="0069595A">
        <w:rPr>
          <w:rFonts w:ascii="Arial" w:hAnsi="Arial" w:cs="Arial"/>
          <w:color w:val="000000"/>
          <w:sz w:val="20"/>
          <w:szCs w:val="20"/>
          <w:lang w:val="en-IN"/>
        </w:rPr>
        <w:t>In accordance with the objectives of this study, the following aims were pursued: (</w:t>
      </w:r>
      <w:proofErr w:type="spellStart"/>
      <w:r w:rsidR="00692944" w:rsidRPr="0069595A">
        <w:rPr>
          <w:rFonts w:ascii="Arial" w:hAnsi="Arial" w:cs="Arial"/>
          <w:color w:val="000000"/>
          <w:sz w:val="20"/>
          <w:szCs w:val="20"/>
          <w:lang w:val="en-IN"/>
        </w:rPr>
        <w:t>i</w:t>
      </w:r>
      <w:proofErr w:type="spellEnd"/>
      <w:r w:rsidR="00692944" w:rsidRPr="0069595A">
        <w:rPr>
          <w:rFonts w:ascii="Arial" w:hAnsi="Arial" w:cs="Arial"/>
          <w:color w:val="000000"/>
          <w:sz w:val="20"/>
          <w:szCs w:val="20"/>
          <w:lang w:val="en-IN"/>
        </w:rPr>
        <w:t xml:space="preserve">) to map and classify the Land Use and Land Cover (LULC) of the </w:t>
      </w:r>
      <w:proofErr w:type="spellStart"/>
      <w:r w:rsidR="00692944" w:rsidRPr="0069595A">
        <w:rPr>
          <w:rFonts w:ascii="Arial" w:hAnsi="Arial" w:cs="Arial"/>
          <w:color w:val="000000"/>
          <w:sz w:val="20"/>
          <w:szCs w:val="20"/>
          <w:lang w:val="en-IN"/>
        </w:rPr>
        <w:t>Hura</w:t>
      </w:r>
      <w:proofErr w:type="spellEnd"/>
      <w:r w:rsidR="00692944" w:rsidRPr="0069595A">
        <w:rPr>
          <w:rFonts w:ascii="Arial" w:hAnsi="Arial" w:cs="Arial"/>
          <w:color w:val="000000"/>
          <w:sz w:val="20"/>
          <w:szCs w:val="20"/>
          <w:lang w:val="en-IN"/>
        </w:rPr>
        <w:t xml:space="preserve"> Block, Purulia District, for the years 2017 and 2024 utilizing satellite remote sensing data; (ii) to quantify and </w:t>
      </w:r>
      <w:proofErr w:type="spellStart"/>
      <w:r w:rsidR="00692944" w:rsidRPr="0069595A">
        <w:rPr>
          <w:rFonts w:ascii="Arial" w:hAnsi="Arial" w:cs="Arial"/>
          <w:color w:val="000000"/>
          <w:sz w:val="20"/>
          <w:szCs w:val="20"/>
          <w:lang w:val="en-IN"/>
        </w:rPr>
        <w:t>analyze</w:t>
      </w:r>
      <w:proofErr w:type="spellEnd"/>
      <w:r w:rsidR="00692944" w:rsidRPr="0069595A">
        <w:rPr>
          <w:rFonts w:ascii="Arial" w:hAnsi="Arial" w:cs="Arial"/>
          <w:color w:val="000000"/>
          <w:sz w:val="20"/>
          <w:szCs w:val="20"/>
          <w:lang w:val="en-IN"/>
        </w:rPr>
        <w:t xml:space="preserve"> the spatiotemporal changes in agricultural land use and other principal land cover categories over the seven-year period; (iii) to identify the key patterns and drivers of LULC changes through Geographic Information System (GIS)-based spatial analysis and change detection techniques; and (iv) to provide actionable insights for sustainable land management and policy formulation in the context of regional agricultural and ecological dynamics.</w:t>
      </w:r>
    </w:p>
    <w:p w14:paraId="5621F478" w14:textId="7DFB7494" w:rsidR="00917D4E" w:rsidRPr="0069595A" w:rsidRDefault="00D922DF" w:rsidP="0069595A">
      <w:pPr>
        <w:spacing w:after="240"/>
        <w:jc w:val="both"/>
        <w:rPr>
          <w:rFonts w:ascii="Arial" w:hAnsi="Arial" w:cs="Arial"/>
          <w:b/>
          <w:color w:val="000000"/>
          <w:sz w:val="20"/>
          <w:szCs w:val="20"/>
        </w:rPr>
      </w:pPr>
      <w:r w:rsidRPr="0069595A">
        <w:rPr>
          <w:rFonts w:ascii="Arial" w:hAnsi="Arial" w:cs="Arial"/>
          <w:b/>
          <w:color w:val="000000"/>
          <w:sz w:val="20"/>
          <w:szCs w:val="20"/>
        </w:rPr>
        <w:t>2.</w:t>
      </w:r>
      <w:r w:rsidR="00917D4E" w:rsidRPr="0069595A">
        <w:rPr>
          <w:rFonts w:ascii="Arial" w:hAnsi="Arial" w:cs="Arial"/>
          <w:b/>
          <w:color w:val="000000"/>
          <w:sz w:val="20"/>
          <w:szCs w:val="20"/>
        </w:rPr>
        <w:t xml:space="preserve"> </w:t>
      </w:r>
      <w:r w:rsidR="00495456" w:rsidRPr="0069595A">
        <w:rPr>
          <w:rFonts w:ascii="Arial" w:hAnsi="Arial" w:cs="Arial"/>
          <w:b/>
          <w:color w:val="000000"/>
          <w:sz w:val="20"/>
          <w:szCs w:val="20"/>
        </w:rPr>
        <w:t>Materials and Methods</w:t>
      </w:r>
      <w:r w:rsidR="00917D4E" w:rsidRPr="0069595A">
        <w:rPr>
          <w:rFonts w:ascii="Arial" w:hAnsi="Arial" w:cs="Arial"/>
          <w:b/>
          <w:color w:val="000000"/>
          <w:sz w:val="20"/>
          <w:szCs w:val="20"/>
        </w:rPr>
        <w:t>:</w:t>
      </w:r>
    </w:p>
    <w:p w14:paraId="7727AD6C" w14:textId="53AFF768" w:rsidR="00495456" w:rsidRPr="0069595A" w:rsidRDefault="00495456" w:rsidP="0069595A">
      <w:pPr>
        <w:spacing w:after="240"/>
        <w:jc w:val="both"/>
        <w:rPr>
          <w:rFonts w:ascii="Arial" w:hAnsi="Arial" w:cs="Arial"/>
          <w:b/>
          <w:color w:val="000000"/>
          <w:sz w:val="20"/>
          <w:szCs w:val="20"/>
        </w:rPr>
      </w:pPr>
      <w:r w:rsidRPr="0069595A">
        <w:rPr>
          <w:rFonts w:ascii="Arial" w:hAnsi="Arial" w:cs="Arial"/>
          <w:b/>
          <w:color w:val="000000"/>
          <w:sz w:val="20"/>
          <w:szCs w:val="20"/>
        </w:rPr>
        <w:t>2.</w:t>
      </w:r>
      <w:r w:rsidR="00D922DF" w:rsidRPr="0069595A">
        <w:rPr>
          <w:rFonts w:ascii="Arial" w:hAnsi="Arial" w:cs="Arial"/>
          <w:b/>
          <w:color w:val="000000"/>
          <w:sz w:val="20"/>
          <w:szCs w:val="20"/>
        </w:rPr>
        <w:t>1</w:t>
      </w:r>
      <w:r w:rsidRPr="0069595A">
        <w:rPr>
          <w:rFonts w:ascii="Arial" w:hAnsi="Arial" w:cs="Arial"/>
          <w:b/>
          <w:color w:val="000000"/>
          <w:sz w:val="20"/>
          <w:szCs w:val="20"/>
        </w:rPr>
        <w:t xml:space="preserve"> Study Area:</w:t>
      </w:r>
      <w:r w:rsidRPr="0069595A">
        <w:rPr>
          <w:rFonts w:ascii="Arial" w:hAnsi="Arial" w:cs="Arial"/>
          <w:color w:val="000000"/>
          <w:sz w:val="20"/>
          <w:szCs w:val="20"/>
        </w:rPr>
        <w:t xml:space="preserve"> The </w:t>
      </w:r>
      <w:proofErr w:type="spellStart"/>
      <w:r w:rsidRPr="0069595A">
        <w:rPr>
          <w:rFonts w:ascii="Arial" w:hAnsi="Arial" w:cs="Arial"/>
          <w:color w:val="000000"/>
          <w:sz w:val="20"/>
          <w:szCs w:val="20"/>
        </w:rPr>
        <w:t>Hura</w:t>
      </w:r>
      <w:proofErr w:type="spellEnd"/>
      <w:r w:rsidRPr="0069595A">
        <w:rPr>
          <w:rFonts w:ascii="Arial" w:hAnsi="Arial" w:cs="Arial"/>
          <w:color w:val="000000"/>
          <w:sz w:val="20"/>
          <w:szCs w:val="20"/>
        </w:rPr>
        <w:t xml:space="preserve"> Block, situated in the eastern region of Purulia District, the westernmost district of West Bengal, encompasses an area of 382.21 square kilometers, constituting approximately 5 percent of the district's total area. It is geographically positioned between 23°13′20″N–23°27′10″N latitude and 86°38′22″E–86°49′20″E longitude (District Statistical Handbook, 2020). The block is bordered by the </w:t>
      </w:r>
      <w:proofErr w:type="spellStart"/>
      <w:r w:rsidRPr="0069595A">
        <w:rPr>
          <w:rFonts w:ascii="Arial" w:hAnsi="Arial" w:cs="Arial"/>
          <w:color w:val="000000"/>
          <w:sz w:val="20"/>
          <w:szCs w:val="20"/>
        </w:rPr>
        <w:t>Puncha</w:t>
      </w:r>
      <w:proofErr w:type="spellEnd"/>
      <w:r w:rsidRPr="0069595A">
        <w:rPr>
          <w:rFonts w:ascii="Arial" w:hAnsi="Arial" w:cs="Arial"/>
          <w:color w:val="000000"/>
          <w:sz w:val="20"/>
          <w:szCs w:val="20"/>
        </w:rPr>
        <w:t xml:space="preserve">, Purulia I, Raghunathpur, and </w:t>
      </w:r>
      <w:proofErr w:type="spellStart"/>
      <w:r w:rsidRPr="0069595A">
        <w:rPr>
          <w:rFonts w:ascii="Arial" w:hAnsi="Arial" w:cs="Arial"/>
          <w:color w:val="000000"/>
          <w:sz w:val="20"/>
          <w:szCs w:val="20"/>
        </w:rPr>
        <w:t>Arsha</w:t>
      </w:r>
      <w:proofErr w:type="spellEnd"/>
      <w:r w:rsidRPr="0069595A">
        <w:rPr>
          <w:rFonts w:ascii="Arial" w:hAnsi="Arial" w:cs="Arial"/>
          <w:color w:val="000000"/>
          <w:sz w:val="20"/>
          <w:szCs w:val="20"/>
        </w:rPr>
        <w:t xml:space="preserve"> blocks, with </w:t>
      </w:r>
      <w:proofErr w:type="spellStart"/>
      <w:r w:rsidRPr="0069595A">
        <w:rPr>
          <w:rFonts w:ascii="Arial" w:hAnsi="Arial" w:cs="Arial"/>
          <w:color w:val="000000"/>
          <w:sz w:val="20"/>
          <w:szCs w:val="20"/>
        </w:rPr>
        <w:t>Hura</w:t>
      </w:r>
      <w:proofErr w:type="spellEnd"/>
      <w:r w:rsidRPr="0069595A">
        <w:rPr>
          <w:rFonts w:ascii="Arial" w:hAnsi="Arial" w:cs="Arial"/>
          <w:color w:val="000000"/>
          <w:sz w:val="20"/>
          <w:szCs w:val="20"/>
        </w:rPr>
        <w:t xml:space="preserve"> town serving as its administrative center. The block comprises </w:t>
      </w:r>
      <w:proofErr w:type="gramStart"/>
      <w:r w:rsidRPr="0069595A">
        <w:rPr>
          <w:rFonts w:ascii="Arial" w:hAnsi="Arial" w:cs="Arial"/>
          <w:color w:val="000000"/>
          <w:sz w:val="20"/>
          <w:szCs w:val="20"/>
        </w:rPr>
        <w:t>10 gram</w:t>
      </w:r>
      <w:proofErr w:type="gramEnd"/>
      <w:r w:rsidRPr="0069595A">
        <w:rPr>
          <w:rFonts w:ascii="Arial" w:hAnsi="Arial" w:cs="Arial"/>
          <w:color w:val="000000"/>
          <w:sz w:val="20"/>
          <w:szCs w:val="20"/>
        </w:rPr>
        <w:t xml:space="preserve"> panchayats, 116 villages, and one census town, with a population of 143,575 (Office of the Registrar General &amp; Census Commissioner, India, 2011), which is predominantly reliant on agriculture. Topographically, it mirrors the undulating terrain of the </w:t>
      </w:r>
      <w:proofErr w:type="spellStart"/>
      <w:r w:rsidRPr="0069595A">
        <w:rPr>
          <w:rFonts w:ascii="Arial" w:hAnsi="Arial" w:cs="Arial"/>
          <w:color w:val="000000"/>
          <w:sz w:val="20"/>
          <w:szCs w:val="20"/>
        </w:rPr>
        <w:t>Chotanagpur</w:t>
      </w:r>
      <w:proofErr w:type="spellEnd"/>
      <w:r w:rsidRPr="0069595A">
        <w:rPr>
          <w:rFonts w:ascii="Arial" w:hAnsi="Arial" w:cs="Arial"/>
          <w:color w:val="000000"/>
          <w:sz w:val="20"/>
          <w:szCs w:val="20"/>
        </w:rPr>
        <w:t xml:space="preserve"> Plateau, characterized by red and lateritic soils of low fertility supplemented by alluvial tracts along the riverbanks. The climate is sub-humid monsoonal, receiving annual rainfall of 1,100–1,400 mm, primarily from June to September, with water resources dependent on the </w:t>
      </w:r>
      <w:proofErr w:type="spellStart"/>
      <w:r w:rsidRPr="0069595A">
        <w:rPr>
          <w:rFonts w:ascii="Arial" w:hAnsi="Arial" w:cs="Arial"/>
          <w:color w:val="000000"/>
          <w:sz w:val="20"/>
          <w:szCs w:val="20"/>
        </w:rPr>
        <w:t>Kangsabati</w:t>
      </w:r>
      <w:proofErr w:type="spellEnd"/>
      <w:r w:rsidRPr="0069595A">
        <w:rPr>
          <w:rFonts w:ascii="Arial" w:hAnsi="Arial" w:cs="Arial"/>
          <w:color w:val="000000"/>
          <w:sz w:val="20"/>
          <w:szCs w:val="20"/>
        </w:rPr>
        <w:t xml:space="preserve"> River and shallow aquifers. Within the regional context of the drought-prone Purulia District (6,259 sq. km), </w:t>
      </w:r>
      <w:proofErr w:type="spellStart"/>
      <w:r w:rsidRPr="0069595A">
        <w:rPr>
          <w:rFonts w:ascii="Arial" w:hAnsi="Arial" w:cs="Arial"/>
          <w:color w:val="000000"/>
          <w:sz w:val="20"/>
          <w:szCs w:val="20"/>
        </w:rPr>
        <w:t>Hura</w:t>
      </w:r>
      <w:proofErr w:type="spellEnd"/>
      <w:r w:rsidRPr="0069595A">
        <w:rPr>
          <w:rFonts w:ascii="Arial" w:hAnsi="Arial" w:cs="Arial"/>
          <w:color w:val="000000"/>
          <w:sz w:val="20"/>
          <w:szCs w:val="20"/>
        </w:rPr>
        <w:t xml:space="preserve"> occupies a transitional position linking the plateau uplands with Bankura District, traversed by State Highway 5, which facilitates </w:t>
      </w:r>
      <w:r w:rsidRPr="0069595A">
        <w:rPr>
          <w:rFonts w:ascii="Arial" w:hAnsi="Arial" w:cs="Arial"/>
          <w:color w:val="000000"/>
          <w:sz w:val="20"/>
          <w:szCs w:val="20"/>
        </w:rPr>
        <w:lastRenderedPageBreak/>
        <w:t xml:space="preserve">connectivity and agricultural trade. Administratively, the block operates under the Purulia </w:t>
      </w:r>
      <w:proofErr w:type="spellStart"/>
      <w:r w:rsidRPr="0069595A">
        <w:rPr>
          <w:rFonts w:ascii="Arial" w:hAnsi="Arial" w:cs="Arial"/>
          <w:color w:val="000000"/>
          <w:sz w:val="20"/>
          <w:szCs w:val="20"/>
        </w:rPr>
        <w:t>Sadar</w:t>
      </w:r>
      <w:proofErr w:type="spellEnd"/>
      <w:r w:rsidRPr="0069595A">
        <w:rPr>
          <w:rFonts w:ascii="Arial" w:hAnsi="Arial" w:cs="Arial"/>
          <w:color w:val="000000"/>
          <w:sz w:val="20"/>
          <w:szCs w:val="20"/>
        </w:rPr>
        <w:t xml:space="preserve"> Subdivision within the Panchayati Raj system, with its headquarters in </w:t>
      </w:r>
      <w:proofErr w:type="spellStart"/>
      <w:r w:rsidRPr="0069595A">
        <w:rPr>
          <w:rFonts w:ascii="Arial" w:hAnsi="Arial" w:cs="Arial"/>
          <w:color w:val="000000"/>
          <w:sz w:val="20"/>
          <w:szCs w:val="20"/>
        </w:rPr>
        <w:t>Hura</w:t>
      </w:r>
      <w:proofErr w:type="spellEnd"/>
      <w:r w:rsidRPr="0069595A">
        <w:rPr>
          <w:rFonts w:ascii="Arial" w:hAnsi="Arial" w:cs="Arial"/>
          <w:color w:val="000000"/>
          <w:sz w:val="20"/>
          <w:szCs w:val="20"/>
        </w:rPr>
        <w:t xml:space="preserve"> Town, hosting key offices that influence rural development, agricultural modernization, and livelihood diversification.</w:t>
      </w:r>
      <w:r w:rsidRPr="0069595A">
        <w:rPr>
          <w:rFonts w:ascii="Arial" w:hAnsi="Arial" w:cs="Arial"/>
          <w:b/>
          <w:color w:val="000000"/>
          <w:sz w:val="20"/>
          <w:szCs w:val="20"/>
        </w:rPr>
        <w:t xml:space="preserve">3.      </w:t>
      </w:r>
    </w:p>
    <w:p w14:paraId="0593A6D8" w14:textId="1D3BD267" w:rsidR="00917D4E" w:rsidRPr="0069595A" w:rsidRDefault="00D922DF" w:rsidP="0069595A">
      <w:pPr>
        <w:spacing w:after="240"/>
        <w:jc w:val="both"/>
        <w:rPr>
          <w:rFonts w:ascii="Arial" w:hAnsi="Arial" w:cs="Arial"/>
          <w:sz w:val="20"/>
          <w:szCs w:val="20"/>
          <w:lang w:val="en-IN"/>
        </w:rPr>
      </w:pPr>
      <w:r w:rsidRPr="0069595A">
        <w:rPr>
          <w:rFonts w:ascii="Arial" w:hAnsi="Arial" w:cs="Arial"/>
          <w:b/>
          <w:color w:val="000000"/>
          <w:sz w:val="20"/>
          <w:szCs w:val="20"/>
        </w:rPr>
        <w:t>2.2 Data Acquisition and Preprocessing</w:t>
      </w:r>
      <w:r w:rsidRPr="0069595A">
        <w:rPr>
          <w:rFonts w:ascii="Arial" w:hAnsi="Arial" w:cs="Arial"/>
          <w:b/>
          <w:sz w:val="20"/>
          <w:szCs w:val="20"/>
        </w:rPr>
        <w:t xml:space="preserve">: </w:t>
      </w:r>
      <w:r w:rsidR="00FB2F55" w:rsidRPr="0069595A">
        <w:rPr>
          <w:rFonts w:ascii="Arial" w:hAnsi="Arial" w:cs="Arial"/>
          <w:sz w:val="20"/>
          <w:szCs w:val="20"/>
          <w:lang w:val="en-IN"/>
        </w:rPr>
        <w:t xml:space="preserve">This study examines the changes in LULC from 2017 to 2024 in the </w:t>
      </w:r>
      <w:proofErr w:type="spellStart"/>
      <w:r w:rsidR="00FB2F55" w:rsidRPr="0069595A">
        <w:rPr>
          <w:rFonts w:ascii="Arial" w:hAnsi="Arial" w:cs="Arial"/>
          <w:sz w:val="20"/>
          <w:szCs w:val="20"/>
          <w:lang w:val="en-IN"/>
        </w:rPr>
        <w:t>Hura</w:t>
      </w:r>
      <w:proofErr w:type="spellEnd"/>
      <w:r w:rsidR="00FB2F55" w:rsidRPr="0069595A">
        <w:rPr>
          <w:rFonts w:ascii="Arial" w:hAnsi="Arial" w:cs="Arial"/>
          <w:sz w:val="20"/>
          <w:szCs w:val="20"/>
          <w:lang w:val="en-IN"/>
        </w:rPr>
        <w:t xml:space="preserve"> C.D. Block of the Purulia District, West Bengal. </w:t>
      </w:r>
      <w:r w:rsidRPr="0069595A">
        <w:rPr>
          <w:rFonts w:ascii="Arial" w:hAnsi="Arial" w:cs="Arial"/>
          <w:sz w:val="20"/>
          <w:szCs w:val="20"/>
        </w:rPr>
        <w:t xml:space="preserve">Satellite imagery was obtained from the Sentinel-2 Level 2A dataset accessed through the USGS Earth Explorer and Copernicus Open Access Hub. This dataset offers atmospherically corrected surface reflectance, ensuring its suitability for precise </w:t>
      </w:r>
      <w:r w:rsidRPr="0069595A">
        <w:rPr>
          <w:rFonts w:ascii="Arial" w:hAnsi="Arial" w:cs="Arial"/>
          <w:color w:val="000000"/>
          <w:sz w:val="20"/>
          <w:szCs w:val="20"/>
        </w:rPr>
        <w:t>land-cover</w:t>
      </w:r>
      <w:r w:rsidRPr="0069595A">
        <w:rPr>
          <w:rFonts w:ascii="Arial" w:hAnsi="Arial" w:cs="Arial"/>
          <w:sz w:val="20"/>
          <w:szCs w:val="20"/>
        </w:rPr>
        <w:t xml:space="preserve"> classification and change detection.  The analysis was restricted to the designated Area of Interest (AOI), delineated using </w:t>
      </w:r>
      <w:r w:rsidRPr="0069595A">
        <w:rPr>
          <w:rFonts w:ascii="Arial" w:hAnsi="Arial" w:cs="Arial"/>
          <w:color w:val="000000"/>
          <w:sz w:val="20"/>
          <w:szCs w:val="20"/>
        </w:rPr>
        <w:t xml:space="preserve">the </w:t>
      </w:r>
      <w:r w:rsidRPr="0069595A">
        <w:rPr>
          <w:rFonts w:ascii="Arial" w:hAnsi="Arial" w:cs="Arial"/>
          <w:sz w:val="20"/>
          <w:szCs w:val="20"/>
        </w:rPr>
        <w:t xml:space="preserve">official administrative boundary shapefiles of </w:t>
      </w:r>
      <w:proofErr w:type="spellStart"/>
      <w:r w:rsidRPr="0069595A">
        <w:rPr>
          <w:rFonts w:ascii="Arial" w:hAnsi="Arial" w:cs="Arial"/>
          <w:sz w:val="20"/>
          <w:szCs w:val="20"/>
        </w:rPr>
        <w:t>Hura</w:t>
      </w:r>
      <w:proofErr w:type="spellEnd"/>
      <w:r w:rsidRPr="0069595A">
        <w:rPr>
          <w:rFonts w:ascii="Arial" w:hAnsi="Arial" w:cs="Arial"/>
          <w:sz w:val="20"/>
          <w:szCs w:val="20"/>
        </w:rPr>
        <w:t xml:space="preserve"> C.D. Block. The raster datasets were clipped to the AOI and </w:t>
      </w:r>
      <w:proofErr w:type="spellStart"/>
      <w:r w:rsidRPr="0069595A">
        <w:rPr>
          <w:rFonts w:ascii="Arial" w:hAnsi="Arial" w:cs="Arial"/>
          <w:sz w:val="20"/>
          <w:szCs w:val="20"/>
        </w:rPr>
        <w:t>reprojected</w:t>
      </w:r>
      <w:proofErr w:type="spellEnd"/>
      <w:r w:rsidRPr="0069595A">
        <w:rPr>
          <w:rFonts w:ascii="Arial" w:hAnsi="Arial" w:cs="Arial"/>
          <w:sz w:val="20"/>
          <w:szCs w:val="20"/>
        </w:rPr>
        <w:t xml:space="preserve"> to the UTM WGS84 coordinate system to ensure spatial consistency. For compatibility with ESRI platforms, the Web Mercator Auxiliary Sphere (EPSG:3857) projection was </w:t>
      </w:r>
      <w:r w:rsidRPr="0069595A">
        <w:rPr>
          <w:rFonts w:ascii="Arial" w:hAnsi="Arial" w:cs="Arial"/>
          <w:color w:val="000000"/>
          <w:sz w:val="20"/>
          <w:szCs w:val="20"/>
        </w:rPr>
        <w:t>used</w:t>
      </w:r>
      <w:r w:rsidRPr="0069595A">
        <w:rPr>
          <w:rFonts w:ascii="Arial" w:hAnsi="Arial" w:cs="Arial"/>
          <w:sz w:val="20"/>
          <w:szCs w:val="20"/>
        </w:rPr>
        <w:t xml:space="preserve">.  Sentinel-2 imagery with a 10-meter spatial resolution, facilitated </w:t>
      </w:r>
      <w:r w:rsidRPr="0069595A">
        <w:rPr>
          <w:rFonts w:ascii="Arial" w:hAnsi="Arial" w:cs="Arial"/>
          <w:color w:val="000000"/>
          <w:sz w:val="20"/>
          <w:szCs w:val="20"/>
        </w:rPr>
        <w:t xml:space="preserve">the </w:t>
      </w:r>
      <w:r w:rsidRPr="0069595A">
        <w:rPr>
          <w:rFonts w:ascii="Arial" w:hAnsi="Arial" w:cs="Arial"/>
          <w:sz w:val="20"/>
          <w:szCs w:val="20"/>
        </w:rPr>
        <w:t xml:space="preserve">detailed mapping of agricultural and ecological features. Multispectral raster data processed by the European Space Agency (ESA) were classified into distinct LULC categories within the ArcGIS environment, enabling consistent temporal comparisons and seamless integration with </w:t>
      </w:r>
      <w:r w:rsidRPr="0069595A">
        <w:rPr>
          <w:rFonts w:ascii="Arial" w:hAnsi="Arial" w:cs="Arial"/>
          <w:color w:val="000000"/>
          <w:sz w:val="20"/>
          <w:szCs w:val="20"/>
        </w:rPr>
        <w:t xml:space="preserve">the </w:t>
      </w:r>
      <w:r w:rsidRPr="0069595A">
        <w:rPr>
          <w:rFonts w:ascii="Arial" w:hAnsi="Arial" w:cs="Arial"/>
          <w:sz w:val="20"/>
          <w:szCs w:val="20"/>
        </w:rPr>
        <w:t xml:space="preserve">GIS workflows.  For preprocessing, </w:t>
      </w:r>
      <w:r w:rsidR="00917D4E" w:rsidRPr="0069595A">
        <w:rPr>
          <w:rFonts w:ascii="Arial" w:hAnsi="Arial" w:cs="Arial"/>
          <w:sz w:val="20"/>
          <w:szCs w:val="20"/>
        </w:rPr>
        <w:t xml:space="preserve">cloud preprocessing post-monsoon </w:t>
      </w:r>
      <w:r w:rsidRPr="0069595A">
        <w:rPr>
          <w:rFonts w:ascii="Arial" w:hAnsi="Arial" w:cs="Arial"/>
          <w:sz w:val="20"/>
          <w:szCs w:val="20"/>
        </w:rPr>
        <w:t xml:space="preserve">scenes were selected to effectively capture </w:t>
      </w:r>
      <w:r w:rsidRPr="0069595A">
        <w:rPr>
          <w:rFonts w:ascii="Arial" w:hAnsi="Arial" w:cs="Arial"/>
          <w:color w:val="000000"/>
          <w:sz w:val="20"/>
          <w:szCs w:val="20"/>
        </w:rPr>
        <w:t xml:space="preserve">the </w:t>
      </w:r>
      <w:r w:rsidRPr="0069595A">
        <w:rPr>
          <w:rFonts w:ascii="Arial" w:hAnsi="Arial" w:cs="Arial"/>
          <w:sz w:val="20"/>
          <w:szCs w:val="20"/>
        </w:rPr>
        <w:t xml:space="preserve">peak agricultural activity. Cloud and shadow pixels were masked using the Sentinel-2 Scene Classification Layer (SCL) to enhance classification accuracy and reliability.  </w:t>
      </w:r>
    </w:p>
    <w:p w14:paraId="30AACE3F" w14:textId="0C745801" w:rsidR="0079240A" w:rsidRPr="0069595A" w:rsidRDefault="002D2C41" w:rsidP="0069595A">
      <w:pPr>
        <w:spacing w:after="240"/>
        <w:jc w:val="both"/>
        <w:rPr>
          <w:rFonts w:ascii="Arial" w:hAnsi="Arial" w:cs="Arial"/>
          <w:sz w:val="20"/>
          <w:szCs w:val="20"/>
        </w:rPr>
      </w:pPr>
      <w:r w:rsidRPr="0069595A">
        <w:rPr>
          <w:rFonts w:ascii="Arial" w:hAnsi="Arial" w:cs="Arial"/>
          <w:sz w:val="20"/>
          <w:szCs w:val="20"/>
        </w:rPr>
        <w:t xml:space="preserve">Software and Tools: </w:t>
      </w:r>
    </w:p>
    <w:p w14:paraId="4407AA63" w14:textId="654B4977" w:rsidR="0079240A" w:rsidRPr="0069595A" w:rsidRDefault="002D2C41" w:rsidP="0069595A">
      <w:pPr>
        <w:numPr>
          <w:ilvl w:val="0"/>
          <w:numId w:val="3"/>
        </w:numPr>
        <w:spacing w:after="240"/>
        <w:jc w:val="both"/>
        <w:rPr>
          <w:rFonts w:ascii="Arial" w:hAnsi="Arial" w:cs="Arial"/>
          <w:sz w:val="20"/>
          <w:szCs w:val="20"/>
        </w:rPr>
      </w:pPr>
      <w:r w:rsidRPr="0069595A">
        <w:rPr>
          <w:rFonts w:ascii="Arial" w:hAnsi="Arial" w:cs="Arial"/>
          <w:sz w:val="20"/>
          <w:szCs w:val="20"/>
        </w:rPr>
        <w:t xml:space="preserve">ArcGIS 10.8: Image </w:t>
      </w:r>
      <w:r w:rsidRPr="0069595A">
        <w:rPr>
          <w:rFonts w:ascii="Arial" w:hAnsi="Arial" w:cs="Arial"/>
          <w:color w:val="000000"/>
          <w:sz w:val="20"/>
          <w:szCs w:val="20"/>
        </w:rPr>
        <w:t>pre-processing</w:t>
      </w:r>
      <w:r w:rsidRPr="0069595A">
        <w:rPr>
          <w:rFonts w:ascii="Arial" w:hAnsi="Arial" w:cs="Arial"/>
          <w:sz w:val="20"/>
          <w:szCs w:val="20"/>
        </w:rPr>
        <w:t xml:space="preserve">, spatial overlay, and cartographic production. </w:t>
      </w:r>
    </w:p>
    <w:p w14:paraId="7A6CC9FA" w14:textId="31B05006" w:rsidR="0079240A" w:rsidRPr="0069595A" w:rsidRDefault="002D2C41" w:rsidP="0069595A">
      <w:pPr>
        <w:numPr>
          <w:ilvl w:val="0"/>
          <w:numId w:val="3"/>
        </w:numPr>
        <w:spacing w:after="240"/>
        <w:jc w:val="both"/>
        <w:rPr>
          <w:rFonts w:ascii="Arial" w:hAnsi="Arial" w:cs="Arial"/>
          <w:sz w:val="20"/>
          <w:szCs w:val="20"/>
        </w:rPr>
      </w:pPr>
      <w:r w:rsidRPr="0069595A">
        <w:rPr>
          <w:rFonts w:ascii="Arial" w:hAnsi="Arial" w:cs="Arial"/>
          <w:sz w:val="20"/>
          <w:szCs w:val="20"/>
        </w:rPr>
        <w:t xml:space="preserve">Google Earth Pro: Visual validation, historical imagery comparison, and </w:t>
      </w:r>
      <w:r w:rsidRPr="0069595A">
        <w:rPr>
          <w:rFonts w:ascii="Arial" w:hAnsi="Arial" w:cs="Arial"/>
          <w:color w:val="000000"/>
          <w:sz w:val="20"/>
          <w:szCs w:val="20"/>
        </w:rPr>
        <w:t>ground truth</w:t>
      </w:r>
      <w:r w:rsidRPr="0069595A">
        <w:rPr>
          <w:rFonts w:ascii="Arial" w:hAnsi="Arial" w:cs="Arial"/>
          <w:sz w:val="20"/>
          <w:szCs w:val="20"/>
        </w:rPr>
        <w:t xml:space="preserve"> verification. </w:t>
      </w:r>
    </w:p>
    <w:p w14:paraId="46E7E6C6" w14:textId="77777777" w:rsidR="00917D4E" w:rsidRPr="0069595A" w:rsidRDefault="002D2C41" w:rsidP="0069595A">
      <w:pPr>
        <w:numPr>
          <w:ilvl w:val="0"/>
          <w:numId w:val="3"/>
        </w:numPr>
        <w:spacing w:after="240"/>
        <w:jc w:val="both"/>
        <w:rPr>
          <w:rFonts w:ascii="Arial" w:hAnsi="Arial" w:cs="Arial"/>
          <w:color w:val="000000"/>
          <w:sz w:val="20"/>
          <w:szCs w:val="20"/>
        </w:rPr>
      </w:pPr>
      <w:r w:rsidRPr="0069595A">
        <w:rPr>
          <w:rFonts w:ascii="Arial" w:hAnsi="Arial" w:cs="Arial"/>
          <w:color w:val="000000"/>
          <w:sz w:val="20"/>
          <w:szCs w:val="20"/>
        </w:rPr>
        <w:t>Microsoft Excel: Data tabulation, statistical summary generation, and graphical representation of LULC change metrics.</w:t>
      </w:r>
    </w:p>
    <w:p w14:paraId="5F88932F" w14:textId="588D6FFB" w:rsidR="0079240A" w:rsidRPr="0069595A" w:rsidRDefault="00D922DF" w:rsidP="0069595A">
      <w:pPr>
        <w:spacing w:after="240"/>
        <w:jc w:val="both"/>
        <w:rPr>
          <w:rFonts w:ascii="Arial" w:hAnsi="Arial" w:cs="Arial"/>
          <w:color w:val="000000"/>
          <w:sz w:val="20"/>
          <w:szCs w:val="20"/>
        </w:rPr>
      </w:pPr>
      <w:r w:rsidRPr="0069595A">
        <w:rPr>
          <w:rFonts w:ascii="Arial" w:hAnsi="Arial" w:cs="Arial"/>
          <w:b/>
          <w:color w:val="000000"/>
          <w:sz w:val="20"/>
          <w:szCs w:val="20"/>
        </w:rPr>
        <w:t>2.3 LULC Classification and Accuracy Assessment:</w:t>
      </w:r>
      <w:r w:rsidRPr="0069595A">
        <w:rPr>
          <w:rFonts w:ascii="Arial" w:hAnsi="Arial" w:cs="Arial"/>
          <w:color w:val="000000"/>
          <w:sz w:val="20"/>
          <w:szCs w:val="20"/>
        </w:rPr>
        <w:t xml:space="preserve"> Land Use and Land Cover (LULC) data were obtained from Sentinel-2 Level-2A global land cover products, which offer atmospherically corrected surface reflectance and pre-classified thematic categories at a spatial resolution of 10 meters. These datasets, produced through advanced machine learning pipelines, provide globally consistent land cover classifications, including croplands, built-up areas, tree cover, rangelands, water bodies, bare ground, and flooded vegetation. For this study, the predefined categories were systematically harmonized into broader thematic groups—agricultural land, forest, fallow land, built-up areas, and water bodies—to accurately represent the predominant land-use dynamics </w:t>
      </w:r>
      <w:r w:rsidRPr="0069595A">
        <w:rPr>
          <w:rFonts w:ascii="Arial" w:hAnsi="Arial" w:cs="Arial"/>
          <w:sz w:val="20"/>
          <w:szCs w:val="20"/>
        </w:rPr>
        <w:t>in</w:t>
      </w:r>
      <w:r w:rsidRPr="0069595A">
        <w:rPr>
          <w:rFonts w:ascii="Arial" w:hAnsi="Arial" w:cs="Arial"/>
          <w:color w:val="000000"/>
          <w:sz w:val="20"/>
          <w:szCs w:val="20"/>
        </w:rPr>
        <w:t xml:space="preserve"> the </w:t>
      </w:r>
      <w:r w:rsidRPr="0069595A">
        <w:rPr>
          <w:rFonts w:ascii="Arial" w:hAnsi="Arial" w:cs="Arial"/>
          <w:sz w:val="20"/>
          <w:szCs w:val="20"/>
        </w:rPr>
        <w:t>b</w:t>
      </w:r>
      <w:r w:rsidRPr="0069595A">
        <w:rPr>
          <w:rFonts w:ascii="Arial" w:hAnsi="Arial" w:cs="Arial"/>
          <w:color w:val="000000"/>
          <w:sz w:val="20"/>
          <w:szCs w:val="20"/>
        </w:rPr>
        <w:t xml:space="preserve">lock. This consolidation ensured analytical clarity and facilitated meaningful interpretation of rural and agricultural transitions. The utilization of pre-classified Sentinel-2 products conferred two primary advantages: </w:t>
      </w:r>
      <w:r w:rsidR="00F02621" w:rsidRPr="0069595A">
        <w:rPr>
          <w:rFonts w:ascii="Arial" w:hAnsi="Arial" w:cs="Arial"/>
          <w:color w:val="000000"/>
          <w:sz w:val="20"/>
          <w:szCs w:val="20"/>
        </w:rPr>
        <w:t>(</w:t>
      </w:r>
      <w:proofErr w:type="spellStart"/>
      <w:r w:rsidR="00F02621" w:rsidRPr="0069595A">
        <w:rPr>
          <w:rFonts w:ascii="Arial" w:hAnsi="Arial" w:cs="Arial"/>
          <w:color w:val="000000"/>
          <w:sz w:val="20"/>
          <w:szCs w:val="20"/>
        </w:rPr>
        <w:t>i</w:t>
      </w:r>
      <w:proofErr w:type="spellEnd"/>
      <w:r w:rsidR="00F02621" w:rsidRPr="0069595A">
        <w:rPr>
          <w:rFonts w:ascii="Arial" w:hAnsi="Arial" w:cs="Arial"/>
          <w:color w:val="000000"/>
          <w:sz w:val="20"/>
          <w:szCs w:val="20"/>
        </w:rPr>
        <w:t>)</w:t>
      </w:r>
      <w:r w:rsidRPr="0069595A">
        <w:rPr>
          <w:rFonts w:ascii="Arial" w:hAnsi="Arial" w:cs="Arial"/>
          <w:color w:val="000000"/>
          <w:sz w:val="20"/>
          <w:szCs w:val="20"/>
        </w:rPr>
        <w:t xml:space="preserve">Standardization and comparability: Global datasets ensure methodological consistency across temporal and spatial dimensions, enabling reliable multi-year change detection. </w:t>
      </w:r>
      <w:r w:rsidR="00F02621" w:rsidRPr="0069595A">
        <w:rPr>
          <w:rFonts w:ascii="Arial" w:hAnsi="Arial" w:cs="Arial"/>
          <w:color w:val="000000"/>
          <w:sz w:val="20"/>
          <w:szCs w:val="20"/>
        </w:rPr>
        <w:t xml:space="preserve">(ii) </w:t>
      </w:r>
      <w:r w:rsidRPr="0069595A">
        <w:rPr>
          <w:rFonts w:ascii="Arial" w:hAnsi="Arial" w:cs="Arial"/>
          <w:color w:val="000000"/>
          <w:sz w:val="20"/>
          <w:szCs w:val="20"/>
        </w:rPr>
        <w:t>Efficiency and accuracy: Pre-classified maps circumvent potential biases inherent in manual supervised classification while maintaining a high thematic resolution suitable for local-scale analysis. Pixels corresponding to snow, ice, or persistent cloud cover were excluded to preserve classification reliability. The resulting LULC framework served as the foundation for subsequent change detection analysis, transition matrix development, and spatial interpretation of agricultural intensification, settlement expansion, and ecological degradation.</w:t>
      </w:r>
    </w:p>
    <w:p w14:paraId="4C08A8D3" w14:textId="6EDA3FCC" w:rsidR="00A50A88" w:rsidRPr="0069595A" w:rsidRDefault="00D922DF" w:rsidP="0069595A">
      <w:pPr>
        <w:spacing w:after="240"/>
        <w:jc w:val="both"/>
        <w:rPr>
          <w:rFonts w:ascii="Arial" w:hAnsi="Arial" w:cs="Arial"/>
          <w:color w:val="000000"/>
          <w:sz w:val="20"/>
          <w:szCs w:val="20"/>
        </w:rPr>
      </w:pPr>
      <w:r w:rsidRPr="0069595A">
        <w:rPr>
          <w:rFonts w:ascii="Arial" w:hAnsi="Arial" w:cs="Arial"/>
          <w:b/>
          <w:color w:val="000000"/>
          <w:sz w:val="20"/>
          <w:szCs w:val="20"/>
        </w:rPr>
        <w:t xml:space="preserve">2.4 Accuracy Assessment: </w:t>
      </w:r>
      <w:r w:rsidRPr="0069595A">
        <w:rPr>
          <w:rFonts w:ascii="Arial" w:hAnsi="Arial" w:cs="Arial"/>
          <w:color w:val="000000"/>
          <w:sz w:val="20"/>
          <w:szCs w:val="20"/>
        </w:rPr>
        <w:t xml:space="preserve">Classification accuracy was assessed by comparing the outputs with Google Earth imagery, historical imagery, and ground-truth verification, thereby ensuring the reliability of the classified maps. Change Detection Analysis: To investigate the spatiotemporal dynamics of land use and land cover (LULC) in the </w:t>
      </w:r>
      <w:proofErr w:type="spellStart"/>
      <w:r w:rsidRPr="0069595A">
        <w:rPr>
          <w:rFonts w:ascii="Arial" w:hAnsi="Arial" w:cs="Arial"/>
          <w:color w:val="000000"/>
          <w:sz w:val="20"/>
          <w:szCs w:val="20"/>
        </w:rPr>
        <w:t>Hura</w:t>
      </w:r>
      <w:proofErr w:type="spellEnd"/>
      <w:r w:rsidRPr="0069595A">
        <w:rPr>
          <w:rFonts w:ascii="Arial" w:hAnsi="Arial" w:cs="Arial"/>
          <w:color w:val="000000"/>
          <w:sz w:val="20"/>
          <w:szCs w:val="20"/>
        </w:rPr>
        <w:t xml:space="preserve"> Block, a structured change detection methodology was employed using Sentinel-2 imagery from 2017 to 2024. Annual LULC maps were generated with standardized attribute tables, and geometric analysis in ArcGIS was conducted to calculate the area and percentage coverage of each class. These maps were subsequently intersected to capture class-to-class transitions, facilitating the identification of stable and transformed zones within the study area. Change detection was executed </w:t>
      </w:r>
      <w:r w:rsidRPr="0069595A">
        <w:rPr>
          <w:rFonts w:ascii="Arial" w:hAnsi="Arial" w:cs="Arial"/>
          <w:color w:val="000000"/>
          <w:sz w:val="20"/>
          <w:szCs w:val="20"/>
        </w:rPr>
        <w:lastRenderedPageBreak/>
        <w:t>through overlay operations to isolate conversion patterns, such as transitions from croplands to built-up areas or from forests to agriculture, by applying sequential comparisons (e.g., LULC 2017 vs. 2018, LULC 2018 vs. 2019, and so on). Transition matrices were generated to quantify the magnitude and direction of change, and comprehensive LULC change detection maps were produced to visualize the spatial distribution. These outputs highlighted zones of agricultural intensification, settlement expansion and ecological degradation during the study period.</w:t>
      </w:r>
    </w:p>
    <w:p w14:paraId="15836C5C" w14:textId="1C3DD266" w:rsidR="0079240A" w:rsidRPr="0069595A" w:rsidRDefault="00D922DF" w:rsidP="0069595A">
      <w:pPr>
        <w:spacing w:after="240"/>
        <w:jc w:val="both"/>
        <w:rPr>
          <w:rFonts w:ascii="Arial" w:hAnsi="Arial" w:cs="Arial"/>
          <w:sz w:val="20"/>
          <w:szCs w:val="20"/>
        </w:rPr>
      </w:pPr>
      <w:r w:rsidRPr="0069595A">
        <w:rPr>
          <w:rFonts w:ascii="Arial" w:hAnsi="Arial" w:cs="Arial"/>
          <w:b/>
          <w:color w:val="000000"/>
          <w:sz w:val="20"/>
          <w:szCs w:val="20"/>
        </w:rPr>
        <w:t>3. Results</w:t>
      </w:r>
    </w:p>
    <w:p w14:paraId="72FE2F1E" w14:textId="1C1C2C00" w:rsidR="0079240A" w:rsidRPr="0069595A" w:rsidRDefault="00D922DF" w:rsidP="0069595A">
      <w:pPr>
        <w:spacing w:after="240"/>
        <w:jc w:val="both"/>
        <w:rPr>
          <w:rFonts w:ascii="Arial" w:hAnsi="Arial" w:cs="Arial"/>
          <w:sz w:val="20"/>
          <w:szCs w:val="20"/>
        </w:rPr>
      </w:pPr>
      <w:r w:rsidRPr="0069595A">
        <w:rPr>
          <w:rFonts w:ascii="Arial" w:hAnsi="Arial" w:cs="Arial"/>
          <w:b/>
          <w:color w:val="000000"/>
          <w:sz w:val="20"/>
          <w:szCs w:val="20"/>
        </w:rPr>
        <w:t xml:space="preserve">3.1 Land Use/Land Cover </w:t>
      </w:r>
      <w:r w:rsidR="009E5018" w:rsidRPr="0069595A">
        <w:rPr>
          <w:rFonts w:ascii="Arial" w:hAnsi="Arial" w:cs="Arial"/>
          <w:b/>
          <w:color w:val="000000"/>
          <w:sz w:val="20"/>
          <w:szCs w:val="20"/>
        </w:rPr>
        <w:t>Dynamics</w:t>
      </w:r>
      <w:r w:rsidR="00F855C5" w:rsidRPr="0069595A">
        <w:rPr>
          <w:rFonts w:ascii="Arial" w:hAnsi="Arial" w:cs="Arial"/>
          <w:b/>
          <w:color w:val="000000"/>
          <w:sz w:val="20"/>
          <w:szCs w:val="20"/>
        </w:rPr>
        <w:t xml:space="preserve"> (2017-2024)</w:t>
      </w:r>
      <w:r w:rsidR="009E5018" w:rsidRPr="0069595A">
        <w:rPr>
          <w:rFonts w:ascii="Arial" w:hAnsi="Arial" w:cs="Arial"/>
          <w:b/>
          <w:color w:val="000000"/>
          <w:sz w:val="20"/>
          <w:szCs w:val="20"/>
        </w:rPr>
        <w:t>:</w:t>
      </w:r>
    </w:p>
    <w:p w14:paraId="67AECF9F" w14:textId="5FCE7F8C" w:rsidR="00F63AF2" w:rsidRPr="0069595A" w:rsidRDefault="002D2C41" w:rsidP="0069595A">
      <w:pPr>
        <w:spacing w:after="240"/>
        <w:jc w:val="both"/>
        <w:rPr>
          <w:rFonts w:ascii="Arial" w:hAnsi="Arial" w:cs="Arial"/>
          <w:color w:val="000000"/>
          <w:sz w:val="20"/>
          <w:szCs w:val="20"/>
        </w:rPr>
      </w:pPr>
      <w:r w:rsidRPr="0069595A">
        <w:rPr>
          <w:rFonts w:ascii="Arial" w:hAnsi="Arial" w:cs="Arial"/>
          <w:color w:val="000000"/>
          <w:sz w:val="20"/>
          <w:szCs w:val="20"/>
        </w:rPr>
        <w:t xml:space="preserve">The LULC statistics for </w:t>
      </w:r>
      <w:proofErr w:type="spellStart"/>
      <w:r w:rsidRPr="0069595A">
        <w:rPr>
          <w:rFonts w:ascii="Arial" w:hAnsi="Arial" w:cs="Arial"/>
          <w:color w:val="000000"/>
          <w:sz w:val="20"/>
          <w:szCs w:val="20"/>
        </w:rPr>
        <w:t>Hura</w:t>
      </w:r>
      <w:proofErr w:type="spellEnd"/>
      <w:r w:rsidRPr="0069595A">
        <w:rPr>
          <w:rFonts w:ascii="Arial" w:hAnsi="Arial" w:cs="Arial"/>
          <w:color w:val="000000"/>
          <w:sz w:val="20"/>
          <w:szCs w:val="20"/>
        </w:rPr>
        <w:t xml:space="preserve"> </w:t>
      </w:r>
      <w:r w:rsidR="009E5018" w:rsidRPr="0069595A">
        <w:rPr>
          <w:rFonts w:ascii="Arial" w:hAnsi="Arial" w:cs="Arial"/>
          <w:color w:val="000000"/>
          <w:sz w:val="20"/>
          <w:szCs w:val="20"/>
        </w:rPr>
        <w:t>b</w:t>
      </w:r>
      <w:r w:rsidRPr="0069595A">
        <w:rPr>
          <w:rFonts w:ascii="Arial" w:hAnsi="Arial" w:cs="Arial"/>
          <w:color w:val="000000"/>
          <w:sz w:val="20"/>
          <w:szCs w:val="20"/>
        </w:rPr>
        <w:t>lock, spanning the years 2017 to 2024 (Table 1; Fig. 1), demonstrate</w:t>
      </w:r>
      <w:r w:rsidRPr="0069595A">
        <w:rPr>
          <w:rFonts w:ascii="Arial" w:hAnsi="Arial" w:cs="Arial"/>
          <w:sz w:val="20"/>
          <w:szCs w:val="20"/>
        </w:rPr>
        <w:t>d</w:t>
      </w:r>
      <w:r w:rsidRPr="0069595A">
        <w:rPr>
          <w:rFonts w:ascii="Arial" w:hAnsi="Arial" w:cs="Arial"/>
          <w:color w:val="000000"/>
          <w:sz w:val="20"/>
          <w:szCs w:val="20"/>
        </w:rPr>
        <w:t xml:space="preserve"> notable spatiotemporal variations across primary land cover categories. Croplands consistently predominated the landscape, with an average coverage of 27,752.31 hectares (72.61%), although their proportion exhibited significant fluctuations. The maximum extent of cropland was observed in 2017 (30,771.11 ha; 80.51%) and 2021 (30,465.60 ha; 79.71%), whereas a substantial decline was recorded in 2023 (24,406.36 ha; 63.86%), suggesting a contraction in agricultural land or its conversion to alternative land-use types.</w:t>
      </w:r>
      <w:r w:rsidRPr="0069595A">
        <w:rPr>
          <w:rFonts w:ascii="Arial" w:hAnsi="Arial" w:cs="Arial"/>
          <w:sz w:val="20"/>
          <w:szCs w:val="20"/>
        </w:rPr>
        <w:t xml:space="preserve"> </w:t>
      </w:r>
      <w:r w:rsidRPr="0069595A">
        <w:rPr>
          <w:rFonts w:ascii="Arial" w:hAnsi="Arial" w:cs="Arial"/>
          <w:color w:val="000000"/>
          <w:sz w:val="20"/>
          <w:szCs w:val="20"/>
        </w:rPr>
        <w:t>Built-up areas showed a steady increase, expanding from 1,480.20 ha (3.87%) in 2017 to 2,117.21 ha (5.54%) in 2024, indicating ongoing urbanization and infrastructural development. Tree cover also exhibited a positive trend, increasing from 3,514.49 ha (9.20%) in 2017 to 5,056.75 ha (13.23%) in 2024, suggesting afforestation and natural regeneration. Rangelands displayed high variability, peaking in 2019 (6,338.76 ha; 16.58%) and 2023 (7,584.29 ha; 19.84%), but contracting sharply in 2021 (1,452.52 ha; 3.80%), which may be associated with shifting cultivation practices or changes in the land management. Waterbodies remained relatively stable, averaging 403.83 ha (1.06%) with minor fluctuations. Bare ground was negligible throughout the study period, averaging only 1.01 ha (0.003%), with slight increases in 2022 (2.27 ha; 0.006%) and 2023 (2.03 ha; 0.005%). Flooded vegetation was virtually absent, with only sporadic occurrences (e.g., 0.93 ha in 2017 and 0.47 ha in 2024), underscoring the limited presence of wetlands in the block. Overall, the findings highlight the dynamic interplay between agricultural contraction, rangeland expansion, and urban growth, accompanied by a gradual increase in tree cover area. These transitions reflect both anthropogenic pressures and ecological responses, emphasizing the importance of sustainable land management strategies.</w:t>
      </w:r>
    </w:p>
    <w:tbl>
      <w:tblPr>
        <w:tblW w:w="0" w:type="auto"/>
        <w:jc w:val="center"/>
        <w:tblLayout w:type="fixed"/>
        <w:tblCellMar>
          <w:left w:w="28" w:type="dxa"/>
          <w:right w:w="28" w:type="dxa"/>
        </w:tblCellMar>
        <w:tblLook w:val="04A0" w:firstRow="1" w:lastRow="0" w:firstColumn="1" w:lastColumn="0" w:noHBand="0" w:noVBand="1"/>
      </w:tblPr>
      <w:tblGrid>
        <w:gridCol w:w="593"/>
        <w:gridCol w:w="1039"/>
        <w:gridCol w:w="1334"/>
        <w:gridCol w:w="1186"/>
        <w:gridCol w:w="1186"/>
        <w:gridCol w:w="1186"/>
        <w:gridCol w:w="1186"/>
        <w:gridCol w:w="1137"/>
      </w:tblGrid>
      <w:tr w:rsidR="00F63AF2" w:rsidRPr="0069595A" w14:paraId="06A964E8" w14:textId="77777777" w:rsidTr="00F63AF2">
        <w:trPr>
          <w:trHeight w:val="287"/>
          <w:jc w:val="center"/>
        </w:trPr>
        <w:tc>
          <w:tcPr>
            <w:tcW w:w="8847" w:type="dxa"/>
            <w:gridSpan w:val="8"/>
            <w:tcBorders>
              <w:bottom w:val="single" w:sz="4" w:space="0" w:color="auto"/>
            </w:tcBorders>
            <w:noWrap/>
            <w:vAlign w:val="center"/>
            <w:hideMark/>
          </w:tcPr>
          <w:p w14:paraId="17AA9882" w14:textId="77777777" w:rsidR="00F63AF2" w:rsidRPr="004F45DD" w:rsidRDefault="00F63AF2" w:rsidP="0069595A">
            <w:pPr>
              <w:spacing w:after="160"/>
              <w:rPr>
                <w:rFonts w:ascii="Arial" w:hAnsi="Arial" w:cs="Arial"/>
                <w:b/>
                <w:bCs/>
                <w:color w:val="000000"/>
                <w:sz w:val="20"/>
                <w:szCs w:val="20"/>
                <w:lang w:val="en-IN" w:eastAsia="en-IN"/>
              </w:rPr>
            </w:pPr>
            <w:r w:rsidRPr="004F45DD">
              <w:rPr>
                <w:rFonts w:ascii="Arial" w:hAnsi="Arial" w:cs="Arial"/>
                <w:b/>
                <w:bCs/>
                <w:color w:val="000000"/>
                <w:sz w:val="20"/>
                <w:szCs w:val="20"/>
                <w:lang w:val="en-IN" w:eastAsia="en-IN"/>
              </w:rPr>
              <w:t xml:space="preserve">Table 1: Area Statistics of LULC Categories in </w:t>
            </w:r>
            <w:proofErr w:type="spellStart"/>
            <w:r w:rsidRPr="004F45DD">
              <w:rPr>
                <w:rFonts w:ascii="Arial" w:hAnsi="Arial" w:cs="Arial"/>
                <w:b/>
                <w:bCs/>
                <w:color w:val="000000"/>
                <w:sz w:val="20"/>
                <w:szCs w:val="20"/>
                <w:lang w:val="en-IN" w:eastAsia="en-IN"/>
              </w:rPr>
              <w:t>Hura</w:t>
            </w:r>
            <w:proofErr w:type="spellEnd"/>
            <w:r w:rsidRPr="004F45DD">
              <w:rPr>
                <w:rFonts w:ascii="Arial" w:hAnsi="Arial" w:cs="Arial"/>
                <w:b/>
                <w:bCs/>
                <w:color w:val="000000"/>
                <w:sz w:val="20"/>
                <w:szCs w:val="20"/>
                <w:lang w:val="en-IN" w:eastAsia="en-IN"/>
              </w:rPr>
              <w:t xml:space="preserve"> C.D. Block, Purulia District, West Bengal (2017–2024)</w:t>
            </w:r>
          </w:p>
        </w:tc>
      </w:tr>
      <w:tr w:rsidR="00F63AF2" w:rsidRPr="0069595A" w14:paraId="2BF12F28" w14:textId="77777777" w:rsidTr="00F63AF2">
        <w:trPr>
          <w:trHeight w:val="287"/>
          <w:jc w:val="center"/>
        </w:trPr>
        <w:tc>
          <w:tcPr>
            <w:tcW w:w="593" w:type="dxa"/>
            <w:tcBorders>
              <w:top w:val="single" w:sz="4" w:space="0" w:color="auto"/>
              <w:left w:val="single" w:sz="4" w:space="0" w:color="auto"/>
              <w:bottom w:val="single" w:sz="4" w:space="0" w:color="auto"/>
              <w:right w:val="single" w:sz="4" w:space="0" w:color="auto"/>
            </w:tcBorders>
            <w:noWrap/>
            <w:vAlign w:val="center"/>
            <w:hideMark/>
          </w:tcPr>
          <w:p w14:paraId="2B90DC2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Year</w:t>
            </w:r>
          </w:p>
        </w:tc>
        <w:tc>
          <w:tcPr>
            <w:tcW w:w="1039" w:type="dxa"/>
            <w:tcBorders>
              <w:top w:val="single" w:sz="4" w:space="0" w:color="auto"/>
              <w:left w:val="nil"/>
              <w:bottom w:val="single" w:sz="4" w:space="0" w:color="auto"/>
              <w:right w:val="single" w:sz="4" w:space="0" w:color="auto"/>
            </w:tcBorders>
            <w:noWrap/>
            <w:vAlign w:val="center"/>
            <w:hideMark/>
          </w:tcPr>
          <w:p w14:paraId="6F5B26D3"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Bare Ground</w:t>
            </w:r>
          </w:p>
        </w:tc>
        <w:tc>
          <w:tcPr>
            <w:tcW w:w="1334" w:type="dxa"/>
            <w:tcBorders>
              <w:top w:val="single" w:sz="4" w:space="0" w:color="auto"/>
              <w:left w:val="nil"/>
              <w:bottom w:val="single" w:sz="4" w:space="0" w:color="auto"/>
              <w:right w:val="single" w:sz="4" w:space="0" w:color="auto"/>
            </w:tcBorders>
            <w:noWrap/>
            <w:vAlign w:val="center"/>
            <w:hideMark/>
          </w:tcPr>
          <w:p w14:paraId="16ED584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Built-up Area</w:t>
            </w:r>
          </w:p>
        </w:tc>
        <w:tc>
          <w:tcPr>
            <w:tcW w:w="1186" w:type="dxa"/>
            <w:tcBorders>
              <w:top w:val="single" w:sz="4" w:space="0" w:color="auto"/>
              <w:left w:val="nil"/>
              <w:bottom w:val="single" w:sz="4" w:space="0" w:color="auto"/>
              <w:right w:val="single" w:sz="4" w:space="0" w:color="auto"/>
            </w:tcBorders>
            <w:noWrap/>
            <w:vAlign w:val="center"/>
            <w:hideMark/>
          </w:tcPr>
          <w:p w14:paraId="2A5F62CC"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Crops</w:t>
            </w:r>
          </w:p>
        </w:tc>
        <w:tc>
          <w:tcPr>
            <w:tcW w:w="1186" w:type="dxa"/>
            <w:tcBorders>
              <w:top w:val="single" w:sz="4" w:space="0" w:color="auto"/>
              <w:left w:val="nil"/>
              <w:bottom w:val="single" w:sz="4" w:space="0" w:color="auto"/>
              <w:right w:val="single" w:sz="4" w:space="0" w:color="auto"/>
            </w:tcBorders>
            <w:noWrap/>
            <w:vAlign w:val="center"/>
            <w:hideMark/>
          </w:tcPr>
          <w:p w14:paraId="285DF3E4"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Flooded Vegetation</w:t>
            </w:r>
          </w:p>
        </w:tc>
        <w:tc>
          <w:tcPr>
            <w:tcW w:w="1186" w:type="dxa"/>
            <w:tcBorders>
              <w:top w:val="single" w:sz="4" w:space="0" w:color="auto"/>
              <w:left w:val="nil"/>
              <w:bottom w:val="single" w:sz="4" w:space="0" w:color="auto"/>
              <w:right w:val="single" w:sz="4" w:space="0" w:color="auto"/>
            </w:tcBorders>
            <w:noWrap/>
            <w:vAlign w:val="center"/>
            <w:hideMark/>
          </w:tcPr>
          <w:p w14:paraId="37624C1E"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Rangeland</w:t>
            </w:r>
          </w:p>
        </w:tc>
        <w:tc>
          <w:tcPr>
            <w:tcW w:w="1186" w:type="dxa"/>
            <w:tcBorders>
              <w:top w:val="single" w:sz="4" w:space="0" w:color="auto"/>
              <w:left w:val="nil"/>
              <w:bottom w:val="single" w:sz="4" w:space="0" w:color="auto"/>
              <w:right w:val="single" w:sz="4" w:space="0" w:color="auto"/>
            </w:tcBorders>
            <w:noWrap/>
            <w:vAlign w:val="center"/>
            <w:hideMark/>
          </w:tcPr>
          <w:p w14:paraId="510EF004"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Tree Cover</w:t>
            </w:r>
          </w:p>
        </w:tc>
        <w:tc>
          <w:tcPr>
            <w:tcW w:w="1133" w:type="dxa"/>
            <w:tcBorders>
              <w:top w:val="single" w:sz="4" w:space="0" w:color="auto"/>
              <w:left w:val="nil"/>
              <w:bottom w:val="single" w:sz="4" w:space="0" w:color="auto"/>
              <w:right w:val="single" w:sz="4" w:space="0" w:color="auto"/>
            </w:tcBorders>
            <w:noWrap/>
            <w:vAlign w:val="center"/>
            <w:hideMark/>
          </w:tcPr>
          <w:p w14:paraId="451AB07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Waterbody</w:t>
            </w:r>
          </w:p>
        </w:tc>
      </w:tr>
      <w:tr w:rsidR="00F63AF2" w:rsidRPr="0069595A" w14:paraId="0265B239"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5EAAEE84"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2017</w:t>
            </w:r>
          </w:p>
        </w:tc>
        <w:tc>
          <w:tcPr>
            <w:tcW w:w="1039" w:type="dxa"/>
            <w:tcBorders>
              <w:top w:val="nil"/>
              <w:left w:val="nil"/>
              <w:bottom w:val="single" w:sz="4" w:space="0" w:color="auto"/>
              <w:right w:val="single" w:sz="4" w:space="0" w:color="auto"/>
            </w:tcBorders>
            <w:noWrap/>
            <w:vAlign w:val="center"/>
            <w:hideMark/>
          </w:tcPr>
          <w:p w14:paraId="5E8D27C0"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1.48 (0.0039)</w:t>
            </w:r>
          </w:p>
        </w:tc>
        <w:tc>
          <w:tcPr>
            <w:tcW w:w="1334" w:type="dxa"/>
            <w:tcBorders>
              <w:top w:val="nil"/>
              <w:left w:val="nil"/>
              <w:bottom w:val="single" w:sz="4" w:space="0" w:color="auto"/>
              <w:right w:val="single" w:sz="4" w:space="0" w:color="auto"/>
            </w:tcBorders>
            <w:noWrap/>
            <w:vAlign w:val="center"/>
            <w:hideMark/>
          </w:tcPr>
          <w:p w14:paraId="683ADCDF"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1480.20 (3.8727)</w:t>
            </w:r>
          </w:p>
        </w:tc>
        <w:tc>
          <w:tcPr>
            <w:tcW w:w="1186" w:type="dxa"/>
            <w:tcBorders>
              <w:top w:val="nil"/>
              <w:left w:val="nil"/>
              <w:bottom w:val="single" w:sz="4" w:space="0" w:color="auto"/>
              <w:right w:val="single" w:sz="4" w:space="0" w:color="auto"/>
            </w:tcBorders>
            <w:noWrap/>
            <w:vAlign w:val="center"/>
            <w:hideMark/>
          </w:tcPr>
          <w:p w14:paraId="353834F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30771.11 (80.5084)</w:t>
            </w:r>
          </w:p>
        </w:tc>
        <w:tc>
          <w:tcPr>
            <w:tcW w:w="1186" w:type="dxa"/>
            <w:tcBorders>
              <w:top w:val="nil"/>
              <w:left w:val="nil"/>
              <w:bottom w:val="single" w:sz="4" w:space="0" w:color="auto"/>
              <w:right w:val="single" w:sz="4" w:space="0" w:color="auto"/>
            </w:tcBorders>
            <w:noWrap/>
            <w:vAlign w:val="center"/>
            <w:hideMark/>
          </w:tcPr>
          <w:p w14:paraId="485505C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0.93 (0.0024)</w:t>
            </w:r>
          </w:p>
        </w:tc>
        <w:tc>
          <w:tcPr>
            <w:tcW w:w="1186" w:type="dxa"/>
            <w:tcBorders>
              <w:top w:val="nil"/>
              <w:left w:val="nil"/>
              <w:bottom w:val="single" w:sz="4" w:space="0" w:color="auto"/>
              <w:right w:val="single" w:sz="4" w:space="0" w:color="auto"/>
            </w:tcBorders>
            <w:noWrap/>
            <w:vAlign w:val="center"/>
            <w:hideMark/>
          </w:tcPr>
          <w:p w14:paraId="00CA9A07"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2019.52 (5.2838)</w:t>
            </w:r>
          </w:p>
        </w:tc>
        <w:tc>
          <w:tcPr>
            <w:tcW w:w="1186" w:type="dxa"/>
            <w:tcBorders>
              <w:top w:val="nil"/>
              <w:left w:val="nil"/>
              <w:bottom w:val="single" w:sz="4" w:space="0" w:color="auto"/>
              <w:right w:val="single" w:sz="4" w:space="0" w:color="auto"/>
            </w:tcBorders>
            <w:noWrap/>
            <w:vAlign w:val="center"/>
            <w:hideMark/>
          </w:tcPr>
          <w:p w14:paraId="7783BB02"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3514.49 (9.1952)</w:t>
            </w:r>
          </w:p>
        </w:tc>
        <w:tc>
          <w:tcPr>
            <w:tcW w:w="1133" w:type="dxa"/>
            <w:tcBorders>
              <w:top w:val="nil"/>
              <w:left w:val="nil"/>
              <w:bottom w:val="single" w:sz="4" w:space="0" w:color="auto"/>
              <w:right w:val="single" w:sz="4" w:space="0" w:color="auto"/>
            </w:tcBorders>
            <w:noWrap/>
            <w:vAlign w:val="center"/>
            <w:hideMark/>
          </w:tcPr>
          <w:p w14:paraId="13AA2BF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433.27 (1.1336)</w:t>
            </w:r>
          </w:p>
        </w:tc>
      </w:tr>
      <w:tr w:rsidR="00F63AF2" w:rsidRPr="0069595A" w14:paraId="087C284A"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1272E21E"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2018</w:t>
            </w:r>
          </w:p>
        </w:tc>
        <w:tc>
          <w:tcPr>
            <w:tcW w:w="1039" w:type="dxa"/>
            <w:tcBorders>
              <w:top w:val="nil"/>
              <w:left w:val="nil"/>
              <w:bottom w:val="single" w:sz="4" w:space="0" w:color="auto"/>
              <w:right w:val="single" w:sz="4" w:space="0" w:color="auto"/>
            </w:tcBorders>
            <w:noWrap/>
            <w:vAlign w:val="center"/>
            <w:hideMark/>
          </w:tcPr>
          <w:p w14:paraId="5C594F3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1.36 (0.0036)</w:t>
            </w:r>
          </w:p>
        </w:tc>
        <w:tc>
          <w:tcPr>
            <w:tcW w:w="1334" w:type="dxa"/>
            <w:tcBorders>
              <w:top w:val="nil"/>
              <w:left w:val="nil"/>
              <w:bottom w:val="single" w:sz="4" w:space="0" w:color="auto"/>
              <w:right w:val="single" w:sz="4" w:space="0" w:color="auto"/>
            </w:tcBorders>
            <w:noWrap/>
            <w:vAlign w:val="center"/>
            <w:hideMark/>
          </w:tcPr>
          <w:p w14:paraId="694122A2"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1811.19 (4.7387)</w:t>
            </w:r>
          </w:p>
        </w:tc>
        <w:tc>
          <w:tcPr>
            <w:tcW w:w="1186" w:type="dxa"/>
            <w:tcBorders>
              <w:top w:val="nil"/>
              <w:left w:val="nil"/>
              <w:bottom w:val="single" w:sz="4" w:space="0" w:color="auto"/>
              <w:right w:val="single" w:sz="4" w:space="0" w:color="auto"/>
            </w:tcBorders>
            <w:noWrap/>
            <w:vAlign w:val="center"/>
            <w:hideMark/>
          </w:tcPr>
          <w:p w14:paraId="02DA9465"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29452.38 (77.0581)</w:t>
            </w:r>
          </w:p>
        </w:tc>
        <w:tc>
          <w:tcPr>
            <w:tcW w:w="1186" w:type="dxa"/>
            <w:tcBorders>
              <w:top w:val="nil"/>
              <w:left w:val="nil"/>
              <w:bottom w:val="single" w:sz="4" w:space="0" w:color="auto"/>
              <w:right w:val="single" w:sz="4" w:space="0" w:color="auto"/>
            </w:tcBorders>
            <w:noWrap/>
            <w:vAlign w:val="center"/>
            <w:hideMark/>
          </w:tcPr>
          <w:p w14:paraId="167B9D9E"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0.01 (0.0000)</w:t>
            </w:r>
          </w:p>
        </w:tc>
        <w:tc>
          <w:tcPr>
            <w:tcW w:w="1186" w:type="dxa"/>
            <w:tcBorders>
              <w:top w:val="nil"/>
              <w:left w:val="nil"/>
              <w:bottom w:val="single" w:sz="4" w:space="0" w:color="auto"/>
              <w:right w:val="single" w:sz="4" w:space="0" w:color="auto"/>
            </w:tcBorders>
            <w:noWrap/>
            <w:vAlign w:val="center"/>
            <w:hideMark/>
          </w:tcPr>
          <w:p w14:paraId="1F5A6F5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2361.86 (6.1795)</w:t>
            </w:r>
          </w:p>
        </w:tc>
        <w:tc>
          <w:tcPr>
            <w:tcW w:w="1186" w:type="dxa"/>
            <w:tcBorders>
              <w:top w:val="nil"/>
              <w:left w:val="nil"/>
              <w:bottom w:val="single" w:sz="4" w:space="0" w:color="auto"/>
              <w:right w:val="single" w:sz="4" w:space="0" w:color="auto"/>
            </w:tcBorders>
            <w:noWrap/>
            <w:vAlign w:val="center"/>
            <w:hideMark/>
          </w:tcPr>
          <w:p w14:paraId="6B6E759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4215.53 (11.0293)</w:t>
            </w:r>
          </w:p>
        </w:tc>
        <w:tc>
          <w:tcPr>
            <w:tcW w:w="1133" w:type="dxa"/>
            <w:tcBorders>
              <w:top w:val="nil"/>
              <w:left w:val="nil"/>
              <w:bottom w:val="single" w:sz="4" w:space="0" w:color="auto"/>
              <w:right w:val="single" w:sz="4" w:space="0" w:color="auto"/>
            </w:tcBorders>
            <w:noWrap/>
            <w:vAlign w:val="center"/>
            <w:hideMark/>
          </w:tcPr>
          <w:p w14:paraId="07A2B81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378.67 (0.9907)</w:t>
            </w:r>
          </w:p>
        </w:tc>
      </w:tr>
      <w:tr w:rsidR="00F63AF2" w:rsidRPr="0069595A" w14:paraId="09CF1A82"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1E2256A2"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2019</w:t>
            </w:r>
          </w:p>
        </w:tc>
        <w:tc>
          <w:tcPr>
            <w:tcW w:w="1039" w:type="dxa"/>
            <w:tcBorders>
              <w:top w:val="nil"/>
              <w:left w:val="nil"/>
              <w:bottom w:val="single" w:sz="4" w:space="0" w:color="auto"/>
              <w:right w:val="single" w:sz="4" w:space="0" w:color="auto"/>
            </w:tcBorders>
            <w:noWrap/>
            <w:vAlign w:val="center"/>
            <w:hideMark/>
          </w:tcPr>
          <w:p w14:paraId="26623DB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0.43 (0.0011)</w:t>
            </w:r>
          </w:p>
        </w:tc>
        <w:tc>
          <w:tcPr>
            <w:tcW w:w="1334" w:type="dxa"/>
            <w:tcBorders>
              <w:top w:val="nil"/>
              <w:left w:val="nil"/>
              <w:bottom w:val="single" w:sz="4" w:space="0" w:color="auto"/>
              <w:right w:val="single" w:sz="4" w:space="0" w:color="auto"/>
            </w:tcBorders>
            <w:noWrap/>
            <w:vAlign w:val="center"/>
            <w:hideMark/>
          </w:tcPr>
          <w:p w14:paraId="21E6B6E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1844.28 (4.8253)</w:t>
            </w:r>
          </w:p>
        </w:tc>
        <w:tc>
          <w:tcPr>
            <w:tcW w:w="1186" w:type="dxa"/>
            <w:tcBorders>
              <w:top w:val="nil"/>
              <w:left w:val="nil"/>
              <w:bottom w:val="single" w:sz="4" w:space="0" w:color="auto"/>
              <w:right w:val="single" w:sz="4" w:space="0" w:color="auto"/>
            </w:tcBorders>
            <w:noWrap/>
            <w:vAlign w:val="center"/>
            <w:hideMark/>
          </w:tcPr>
          <w:p w14:paraId="2B0292F5"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26254.35 (68.6909)</w:t>
            </w:r>
          </w:p>
        </w:tc>
        <w:tc>
          <w:tcPr>
            <w:tcW w:w="1186" w:type="dxa"/>
            <w:tcBorders>
              <w:top w:val="nil"/>
              <w:left w:val="nil"/>
              <w:bottom w:val="single" w:sz="4" w:space="0" w:color="auto"/>
              <w:right w:val="single" w:sz="4" w:space="0" w:color="auto"/>
            </w:tcBorders>
            <w:noWrap/>
            <w:vAlign w:val="center"/>
            <w:hideMark/>
          </w:tcPr>
          <w:p w14:paraId="1CCC83D8"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0.00 (0.0000)</w:t>
            </w:r>
          </w:p>
        </w:tc>
        <w:tc>
          <w:tcPr>
            <w:tcW w:w="1186" w:type="dxa"/>
            <w:tcBorders>
              <w:top w:val="nil"/>
              <w:left w:val="nil"/>
              <w:bottom w:val="single" w:sz="4" w:space="0" w:color="auto"/>
              <w:right w:val="single" w:sz="4" w:space="0" w:color="auto"/>
            </w:tcBorders>
            <w:noWrap/>
            <w:vAlign w:val="center"/>
            <w:hideMark/>
          </w:tcPr>
          <w:p w14:paraId="6CEAA9D7"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6338.76 (16.5845)</w:t>
            </w:r>
          </w:p>
        </w:tc>
        <w:tc>
          <w:tcPr>
            <w:tcW w:w="1186" w:type="dxa"/>
            <w:tcBorders>
              <w:top w:val="nil"/>
              <w:left w:val="nil"/>
              <w:bottom w:val="single" w:sz="4" w:space="0" w:color="auto"/>
              <w:right w:val="single" w:sz="4" w:space="0" w:color="auto"/>
            </w:tcBorders>
            <w:noWrap/>
            <w:vAlign w:val="center"/>
            <w:hideMark/>
          </w:tcPr>
          <w:p w14:paraId="01829C0A"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3481.08 (9.1078)</w:t>
            </w:r>
          </w:p>
        </w:tc>
        <w:tc>
          <w:tcPr>
            <w:tcW w:w="1133" w:type="dxa"/>
            <w:tcBorders>
              <w:top w:val="nil"/>
              <w:left w:val="nil"/>
              <w:bottom w:val="single" w:sz="4" w:space="0" w:color="auto"/>
              <w:right w:val="single" w:sz="4" w:space="0" w:color="auto"/>
            </w:tcBorders>
            <w:noWrap/>
            <w:vAlign w:val="center"/>
            <w:hideMark/>
          </w:tcPr>
          <w:p w14:paraId="0AA8D3B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302.09 (0.7904)</w:t>
            </w:r>
          </w:p>
        </w:tc>
      </w:tr>
      <w:tr w:rsidR="00F63AF2" w:rsidRPr="0069595A" w14:paraId="1BFAF248"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693891FA"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2020</w:t>
            </w:r>
          </w:p>
        </w:tc>
        <w:tc>
          <w:tcPr>
            <w:tcW w:w="1039" w:type="dxa"/>
            <w:tcBorders>
              <w:top w:val="nil"/>
              <w:left w:val="nil"/>
              <w:bottom w:val="single" w:sz="4" w:space="0" w:color="auto"/>
              <w:right w:val="single" w:sz="4" w:space="0" w:color="auto"/>
            </w:tcBorders>
            <w:noWrap/>
            <w:vAlign w:val="center"/>
            <w:hideMark/>
          </w:tcPr>
          <w:p w14:paraId="3A45147A"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0.31 (0.0008)</w:t>
            </w:r>
          </w:p>
        </w:tc>
        <w:tc>
          <w:tcPr>
            <w:tcW w:w="1334" w:type="dxa"/>
            <w:tcBorders>
              <w:top w:val="nil"/>
              <w:left w:val="nil"/>
              <w:bottom w:val="single" w:sz="4" w:space="0" w:color="auto"/>
              <w:right w:val="single" w:sz="4" w:space="0" w:color="auto"/>
            </w:tcBorders>
            <w:noWrap/>
            <w:vAlign w:val="center"/>
            <w:hideMark/>
          </w:tcPr>
          <w:p w14:paraId="072F56A7"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2149.71 (5.6244)</w:t>
            </w:r>
          </w:p>
        </w:tc>
        <w:tc>
          <w:tcPr>
            <w:tcW w:w="1186" w:type="dxa"/>
            <w:tcBorders>
              <w:top w:val="nil"/>
              <w:left w:val="nil"/>
              <w:bottom w:val="single" w:sz="4" w:space="0" w:color="auto"/>
              <w:right w:val="single" w:sz="4" w:space="0" w:color="auto"/>
            </w:tcBorders>
            <w:noWrap/>
            <w:vAlign w:val="center"/>
            <w:hideMark/>
          </w:tcPr>
          <w:p w14:paraId="3E1BFF56"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26437.50 (69.1701)</w:t>
            </w:r>
          </w:p>
        </w:tc>
        <w:tc>
          <w:tcPr>
            <w:tcW w:w="1186" w:type="dxa"/>
            <w:tcBorders>
              <w:top w:val="nil"/>
              <w:left w:val="nil"/>
              <w:bottom w:val="single" w:sz="4" w:space="0" w:color="auto"/>
              <w:right w:val="single" w:sz="4" w:space="0" w:color="auto"/>
            </w:tcBorders>
            <w:noWrap/>
            <w:vAlign w:val="center"/>
            <w:hideMark/>
          </w:tcPr>
          <w:p w14:paraId="531F68B2"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0.02 (0.0001)</w:t>
            </w:r>
          </w:p>
        </w:tc>
        <w:tc>
          <w:tcPr>
            <w:tcW w:w="1186" w:type="dxa"/>
            <w:tcBorders>
              <w:top w:val="nil"/>
              <w:left w:val="nil"/>
              <w:bottom w:val="single" w:sz="4" w:space="0" w:color="auto"/>
              <w:right w:val="single" w:sz="4" w:space="0" w:color="auto"/>
            </w:tcBorders>
            <w:noWrap/>
            <w:vAlign w:val="center"/>
            <w:hideMark/>
          </w:tcPr>
          <w:p w14:paraId="7700686D"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5132.79 (13.4292)</w:t>
            </w:r>
          </w:p>
        </w:tc>
        <w:tc>
          <w:tcPr>
            <w:tcW w:w="1186" w:type="dxa"/>
            <w:tcBorders>
              <w:top w:val="nil"/>
              <w:left w:val="nil"/>
              <w:bottom w:val="single" w:sz="4" w:space="0" w:color="auto"/>
              <w:right w:val="single" w:sz="4" w:space="0" w:color="auto"/>
            </w:tcBorders>
            <w:noWrap/>
            <w:vAlign w:val="center"/>
            <w:hideMark/>
          </w:tcPr>
          <w:p w14:paraId="65B30FC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4070.00 (10.6486)</w:t>
            </w:r>
          </w:p>
        </w:tc>
        <w:tc>
          <w:tcPr>
            <w:tcW w:w="1133" w:type="dxa"/>
            <w:tcBorders>
              <w:top w:val="nil"/>
              <w:left w:val="nil"/>
              <w:bottom w:val="single" w:sz="4" w:space="0" w:color="auto"/>
              <w:right w:val="single" w:sz="4" w:space="0" w:color="auto"/>
            </w:tcBorders>
            <w:noWrap/>
            <w:vAlign w:val="center"/>
            <w:hideMark/>
          </w:tcPr>
          <w:p w14:paraId="21718B55"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430.66 (1.1268)</w:t>
            </w:r>
          </w:p>
        </w:tc>
      </w:tr>
      <w:tr w:rsidR="00F63AF2" w:rsidRPr="0069595A" w14:paraId="69AA1163"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052D62B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2021</w:t>
            </w:r>
          </w:p>
        </w:tc>
        <w:tc>
          <w:tcPr>
            <w:tcW w:w="1039" w:type="dxa"/>
            <w:tcBorders>
              <w:top w:val="nil"/>
              <w:left w:val="nil"/>
              <w:bottom w:val="single" w:sz="4" w:space="0" w:color="auto"/>
              <w:right w:val="single" w:sz="4" w:space="0" w:color="auto"/>
            </w:tcBorders>
            <w:noWrap/>
            <w:vAlign w:val="center"/>
            <w:hideMark/>
          </w:tcPr>
          <w:p w14:paraId="392FCC0F"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0.00 (0.0000)</w:t>
            </w:r>
          </w:p>
        </w:tc>
        <w:tc>
          <w:tcPr>
            <w:tcW w:w="1334" w:type="dxa"/>
            <w:tcBorders>
              <w:top w:val="nil"/>
              <w:left w:val="nil"/>
              <w:bottom w:val="single" w:sz="4" w:space="0" w:color="auto"/>
              <w:right w:val="single" w:sz="4" w:space="0" w:color="auto"/>
            </w:tcBorders>
            <w:noWrap/>
            <w:vAlign w:val="center"/>
            <w:hideMark/>
          </w:tcPr>
          <w:p w14:paraId="79B43848"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2027.60 (5.3049)</w:t>
            </w:r>
          </w:p>
        </w:tc>
        <w:tc>
          <w:tcPr>
            <w:tcW w:w="1186" w:type="dxa"/>
            <w:tcBorders>
              <w:top w:val="nil"/>
              <w:left w:val="nil"/>
              <w:bottom w:val="single" w:sz="4" w:space="0" w:color="auto"/>
              <w:right w:val="single" w:sz="4" w:space="0" w:color="auto"/>
            </w:tcBorders>
            <w:noWrap/>
            <w:vAlign w:val="center"/>
            <w:hideMark/>
          </w:tcPr>
          <w:p w14:paraId="11E02463"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30465.60 (79.7091)</w:t>
            </w:r>
          </w:p>
        </w:tc>
        <w:tc>
          <w:tcPr>
            <w:tcW w:w="1186" w:type="dxa"/>
            <w:tcBorders>
              <w:top w:val="nil"/>
              <w:left w:val="nil"/>
              <w:bottom w:val="single" w:sz="4" w:space="0" w:color="auto"/>
              <w:right w:val="single" w:sz="4" w:space="0" w:color="auto"/>
            </w:tcBorders>
            <w:noWrap/>
            <w:vAlign w:val="center"/>
            <w:hideMark/>
          </w:tcPr>
          <w:p w14:paraId="5EE091C0"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0.02 (0.0001)</w:t>
            </w:r>
          </w:p>
        </w:tc>
        <w:tc>
          <w:tcPr>
            <w:tcW w:w="1186" w:type="dxa"/>
            <w:tcBorders>
              <w:top w:val="nil"/>
              <w:left w:val="nil"/>
              <w:bottom w:val="single" w:sz="4" w:space="0" w:color="auto"/>
              <w:right w:val="single" w:sz="4" w:space="0" w:color="auto"/>
            </w:tcBorders>
            <w:noWrap/>
            <w:vAlign w:val="center"/>
            <w:hideMark/>
          </w:tcPr>
          <w:p w14:paraId="68445DE5"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1452.52 (3.8003)</w:t>
            </w:r>
          </w:p>
        </w:tc>
        <w:tc>
          <w:tcPr>
            <w:tcW w:w="1186" w:type="dxa"/>
            <w:tcBorders>
              <w:top w:val="nil"/>
              <w:left w:val="nil"/>
              <w:bottom w:val="single" w:sz="4" w:space="0" w:color="auto"/>
              <w:right w:val="single" w:sz="4" w:space="0" w:color="auto"/>
            </w:tcBorders>
            <w:noWrap/>
            <w:vAlign w:val="center"/>
            <w:hideMark/>
          </w:tcPr>
          <w:p w14:paraId="21D310A8"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3905.77 (10.2189)</w:t>
            </w:r>
          </w:p>
        </w:tc>
        <w:tc>
          <w:tcPr>
            <w:tcW w:w="1133" w:type="dxa"/>
            <w:tcBorders>
              <w:top w:val="nil"/>
              <w:left w:val="nil"/>
              <w:bottom w:val="single" w:sz="4" w:space="0" w:color="auto"/>
              <w:right w:val="single" w:sz="4" w:space="0" w:color="auto"/>
            </w:tcBorders>
            <w:noWrap/>
            <w:vAlign w:val="center"/>
            <w:hideMark/>
          </w:tcPr>
          <w:p w14:paraId="3932B72D"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369.49 (0.9667)</w:t>
            </w:r>
          </w:p>
        </w:tc>
      </w:tr>
      <w:tr w:rsidR="00F63AF2" w:rsidRPr="0069595A" w14:paraId="4C0307B4"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3C69ED37"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2022</w:t>
            </w:r>
          </w:p>
        </w:tc>
        <w:tc>
          <w:tcPr>
            <w:tcW w:w="1039" w:type="dxa"/>
            <w:tcBorders>
              <w:top w:val="nil"/>
              <w:left w:val="nil"/>
              <w:bottom w:val="single" w:sz="4" w:space="0" w:color="auto"/>
              <w:right w:val="single" w:sz="4" w:space="0" w:color="auto"/>
            </w:tcBorders>
            <w:noWrap/>
            <w:vAlign w:val="center"/>
            <w:hideMark/>
          </w:tcPr>
          <w:p w14:paraId="46BE202F"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2.27 (0.0059)</w:t>
            </w:r>
          </w:p>
        </w:tc>
        <w:tc>
          <w:tcPr>
            <w:tcW w:w="1334" w:type="dxa"/>
            <w:tcBorders>
              <w:top w:val="nil"/>
              <w:left w:val="nil"/>
              <w:bottom w:val="single" w:sz="4" w:space="0" w:color="auto"/>
              <w:right w:val="single" w:sz="4" w:space="0" w:color="auto"/>
            </w:tcBorders>
            <w:noWrap/>
            <w:vAlign w:val="center"/>
            <w:hideMark/>
          </w:tcPr>
          <w:p w14:paraId="06E596AD"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2159.32 (5.6496)</w:t>
            </w:r>
          </w:p>
        </w:tc>
        <w:tc>
          <w:tcPr>
            <w:tcW w:w="1186" w:type="dxa"/>
            <w:tcBorders>
              <w:top w:val="nil"/>
              <w:left w:val="nil"/>
              <w:bottom w:val="single" w:sz="4" w:space="0" w:color="auto"/>
              <w:right w:val="single" w:sz="4" w:space="0" w:color="auto"/>
            </w:tcBorders>
            <w:noWrap/>
            <w:vAlign w:val="center"/>
            <w:hideMark/>
          </w:tcPr>
          <w:p w14:paraId="30D21808"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27536.22 (72.0447)</w:t>
            </w:r>
          </w:p>
        </w:tc>
        <w:tc>
          <w:tcPr>
            <w:tcW w:w="1186" w:type="dxa"/>
            <w:tcBorders>
              <w:top w:val="nil"/>
              <w:left w:val="nil"/>
              <w:bottom w:val="single" w:sz="4" w:space="0" w:color="auto"/>
              <w:right w:val="single" w:sz="4" w:space="0" w:color="auto"/>
            </w:tcBorders>
            <w:noWrap/>
            <w:vAlign w:val="center"/>
            <w:hideMark/>
          </w:tcPr>
          <w:p w14:paraId="06F0B2B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0.01 (0.0000)</w:t>
            </w:r>
          </w:p>
        </w:tc>
        <w:tc>
          <w:tcPr>
            <w:tcW w:w="1186" w:type="dxa"/>
            <w:tcBorders>
              <w:top w:val="nil"/>
              <w:left w:val="nil"/>
              <w:bottom w:val="single" w:sz="4" w:space="0" w:color="auto"/>
              <w:right w:val="single" w:sz="4" w:space="0" w:color="auto"/>
            </w:tcBorders>
            <w:noWrap/>
            <w:vAlign w:val="center"/>
            <w:hideMark/>
          </w:tcPr>
          <w:p w14:paraId="5B03E43A"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3272.72 (8.5626)</w:t>
            </w:r>
          </w:p>
        </w:tc>
        <w:tc>
          <w:tcPr>
            <w:tcW w:w="1186" w:type="dxa"/>
            <w:tcBorders>
              <w:top w:val="nil"/>
              <w:left w:val="nil"/>
              <w:bottom w:val="single" w:sz="4" w:space="0" w:color="auto"/>
              <w:right w:val="single" w:sz="4" w:space="0" w:color="auto"/>
            </w:tcBorders>
            <w:noWrap/>
            <w:vAlign w:val="center"/>
            <w:hideMark/>
          </w:tcPr>
          <w:p w14:paraId="3F575A30"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4750.86 (12.4300)</w:t>
            </w:r>
          </w:p>
        </w:tc>
        <w:tc>
          <w:tcPr>
            <w:tcW w:w="1133" w:type="dxa"/>
            <w:tcBorders>
              <w:top w:val="nil"/>
              <w:left w:val="nil"/>
              <w:bottom w:val="single" w:sz="4" w:space="0" w:color="auto"/>
              <w:right w:val="single" w:sz="4" w:space="0" w:color="auto"/>
            </w:tcBorders>
            <w:noWrap/>
            <w:vAlign w:val="center"/>
            <w:hideMark/>
          </w:tcPr>
          <w:p w14:paraId="152BCA78"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499.60 (1.3071)</w:t>
            </w:r>
          </w:p>
        </w:tc>
      </w:tr>
      <w:tr w:rsidR="00F63AF2" w:rsidRPr="0069595A" w14:paraId="26B3830A"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2B4B616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2023</w:t>
            </w:r>
          </w:p>
        </w:tc>
        <w:tc>
          <w:tcPr>
            <w:tcW w:w="1039" w:type="dxa"/>
            <w:tcBorders>
              <w:top w:val="nil"/>
              <w:left w:val="nil"/>
              <w:bottom w:val="single" w:sz="4" w:space="0" w:color="auto"/>
              <w:right w:val="single" w:sz="4" w:space="0" w:color="auto"/>
            </w:tcBorders>
            <w:noWrap/>
            <w:vAlign w:val="center"/>
            <w:hideMark/>
          </w:tcPr>
          <w:p w14:paraId="05E389AD"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2.03 (0.0053)</w:t>
            </w:r>
          </w:p>
        </w:tc>
        <w:tc>
          <w:tcPr>
            <w:tcW w:w="1334" w:type="dxa"/>
            <w:tcBorders>
              <w:top w:val="nil"/>
              <w:left w:val="nil"/>
              <w:bottom w:val="single" w:sz="4" w:space="0" w:color="auto"/>
              <w:right w:val="single" w:sz="4" w:space="0" w:color="auto"/>
            </w:tcBorders>
            <w:noWrap/>
            <w:vAlign w:val="center"/>
            <w:hideMark/>
          </w:tcPr>
          <w:p w14:paraId="0525779C"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2001.28 (5.2361)</w:t>
            </w:r>
          </w:p>
        </w:tc>
        <w:tc>
          <w:tcPr>
            <w:tcW w:w="1186" w:type="dxa"/>
            <w:tcBorders>
              <w:top w:val="nil"/>
              <w:left w:val="nil"/>
              <w:bottom w:val="single" w:sz="4" w:space="0" w:color="auto"/>
              <w:right w:val="single" w:sz="4" w:space="0" w:color="auto"/>
            </w:tcBorders>
            <w:noWrap/>
            <w:vAlign w:val="center"/>
            <w:hideMark/>
          </w:tcPr>
          <w:p w14:paraId="096A5346"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24406.36 (63.8559)</w:t>
            </w:r>
          </w:p>
        </w:tc>
        <w:tc>
          <w:tcPr>
            <w:tcW w:w="1186" w:type="dxa"/>
            <w:tcBorders>
              <w:top w:val="nil"/>
              <w:left w:val="nil"/>
              <w:bottom w:val="single" w:sz="4" w:space="0" w:color="auto"/>
              <w:right w:val="single" w:sz="4" w:space="0" w:color="auto"/>
            </w:tcBorders>
            <w:noWrap/>
            <w:vAlign w:val="center"/>
            <w:hideMark/>
          </w:tcPr>
          <w:p w14:paraId="4F094F5D"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0.02 (0.0001)</w:t>
            </w:r>
          </w:p>
        </w:tc>
        <w:tc>
          <w:tcPr>
            <w:tcW w:w="1186" w:type="dxa"/>
            <w:tcBorders>
              <w:top w:val="nil"/>
              <w:left w:val="nil"/>
              <w:bottom w:val="single" w:sz="4" w:space="0" w:color="auto"/>
              <w:right w:val="single" w:sz="4" w:space="0" w:color="auto"/>
            </w:tcBorders>
            <w:noWrap/>
            <w:vAlign w:val="center"/>
            <w:hideMark/>
          </w:tcPr>
          <w:p w14:paraId="33367FB3"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7584.29 (19.8433)</w:t>
            </w:r>
          </w:p>
        </w:tc>
        <w:tc>
          <w:tcPr>
            <w:tcW w:w="1186" w:type="dxa"/>
            <w:tcBorders>
              <w:top w:val="nil"/>
              <w:left w:val="nil"/>
              <w:bottom w:val="single" w:sz="4" w:space="0" w:color="auto"/>
              <w:right w:val="single" w:sz="4" w:space="0" w:color="auto"/>
            </w:tcBorders>
            <w:noWrap/>
            <w:vAlign w:val="center"/>
            <w:hideMark/>
          </w:tcPr>
          <w:p w14:paraId="4CCDB27E"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3844.09 (10.0575)</w:t>
            </w:r>
          </w:p>
        </w:tc>
        <w:tc>
          <w:tcPr>
            <w:tcW w:w="1133" w:type="dxa"/>
            <w:tcBorders>
              <w:top w:val="nil"/>
              <w:left w:val="nil"/>
              <w:bottom w:val="single" w:sz="4" w:space="0" w:color="auto"/>
              <w:right w:val="single" w:sz="4" w:space="0" w:color="auto"/>
            </w:tcBorders>
            <w:noWrap/>
            <w:vAlign w:val="center"/>
            <w:hideMark/>
          </w:tcPr>
          <w:p w14:paraId="0A457C05"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382.93 (1.0019)</w:t>
            </w:r>
          </w:p>
        </w:tc>
      </w:tr>
      <w:tr w:rsidR="00F63AF2" w:rsidRPr="0069595A" w14:paraId="4BBEF411"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4FB6EB73"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2024</w:t>
            </w:r>
          </w:p>
        </w:tc>
        <w:tc>
          <w:tcPr>
            <w:tcW w:w="1039" w:type="dxa"/>
            <w:tcBorders>
              <w:top w:val="nil"/>
              <w:left w:val="nil"/>
              <w:bottom w:val="single" w:sz="4" w:space="0" w:color="auto"/>
              <w:right w:val="single" w:sz="4" w:space="0" w:color="auto"/>
            </w:tcBorders>
            <w:noWrap/>
            <w:vAlign w:val="center"/>
            <w:hideMark/>
          </w:tcPr>
          <w:p w14:paraId="37738C4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0.21 (0.0005)</w:t>
            </w:r>
          </w:p>
        </w:tc>
        <w:tc>
          <w:tcPr>
            <w:tcW w:w="1334" w:type="dxa"/>
            <w:tcBorders>
              <w:top w:val="nil"/>
              <w:left w:val="nil"/>
              <w:bottom w:val="single" w:sz="4" w:space="0" w:color="auto"/>
              <w:right w:val="single" w:sz="4" w:space="0" w:color="auto"/>
            </w:tcBorders>
            <w:noWrap/>
            <w:vAlign w:val="center"/>
            <w:hideMark/>
          </w:tcPr>
          <w:p w14:paraId="66D9FA34"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2117.21 (5.5394)</w:t>
            </w:r>
          </w:p>
        </w:tc>
        <w:tc>
          <w:tcPr>
            <w:tcW w:w="1186" w:type="dxa"/>
            <w:tcBorders>
              <w:top w:val="nil"/>
              <w:left w:val="nil"/>
              <w:bottom w:val="single" w:sz="4" w:space="0" w:color="auto"/>
              <w:right w:val="single" w:sz="4" w:space="0" w:color="auto"/>
            </w:tcBorders>
            <w:noWrap/>
            <w:vAlign w:val="center"/>
            <w:hideMark/>
          </w:tcPr>
          <w:p w14:paraId="5360786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26694.96 (69.8437)</w:t>
            </w:r>
          </w:p>
        </w:tc>
        <w:tc>
          <w:tcPr>
            <w:tcW w:w="1186" w:type="dxa"/>
            <w:tcBorders>
              <w:top w:val="nil"/>
              <w:left w:val="nil"/>
              <w:bottom w:val="single" w:sz="4" w:space="0" w:color="auto"/>
              <w:right w:val="single" w:sz="4" w:space="0" w:color="auto"/>
            </w:tcBorders>
            <w:noWrap/>
            <w:vAlign w:val="center"/>
            <w:hideMark/>
          </w:tcPr>
          <w:p w14:paraId="36F6F2C3" w14:textId="061C7571"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0.47 (0.0012)</w:t>
            </w:r>
          </w:p>
        </w:tc>
        <w:tc>
          <w:tcPr>
            <w:tcW w:w="1186" w:type="dxa"/>
            <w:tcBorders>
              <w:top w:val="nil"/>
              <w:left w:val="nil"/>
              <w:bottom w:val="single" w:sz="4" w:space="0" w:color="auto"/>
              <w:right w:val="single" w:sz="4" w:space="0" w:color="auto"/>
            </w:tcBorders>
            <w:noWrap/>
            <w:vAlign w:val="center"/>
            <w:hideMark/>
          </w:tcPr>
          <w:p w14:paraId="3ACBEE4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3917.45 (10.2495)</w:t>
            </w:r>
          </w:p>
        </w:tc>
        <w:tc>
          <w:tcPr>
            <w:tcW w:w="1186" w:type="dxa"/>
            <w:tcBorders>
              <w:top w:val="nil"/>
              <w:left w:val="nil"/>
              <w:bottom w:val="single" w:sz="4" w:space="0" w:color="auto"/>
              <w:right w:val="single" w:sz="4" w:space="0" w:color="auto"/>
            </w:tcBorders>
            <w:noWrap/>
            <w:vAlign w:val="center"/>
            <w:hideMark/>
          </w:tcPr>
          <w:p w14:paraId="3C8189B7"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5056.75 (13.2303)</w:t>
            </w:r>
          </w:p>
        </w:tc>
        <w:tc>
          <w:tcPr>
            <w:tcW w:w="1133" w:type="dxa"/>
            <w:tcBorders>
              <w:top w:val="nil"/>
              <w:left w:val="nil"/>
              <w:bottom w:val="single" w:sz="4" w:space="0" w:color="auto"/>
              <w:right w:val="single" w:sz="4" w:space="0" w:color="auto"/>
            </w:tcBorders>
            <w:noWrap/>
            <w:vAlign w:val="center"/>
            <w:hideMark/>
          </w:tcPr>
          <w:p w14:paraId="508CFC7C"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433.95 (1.1354)</w:t>
            </w:r>
          </w:p>
        </w:tc>
      </w:tr>
      <w:tr w:rsidR="00F63AF2" w:rsidRPr="0069595A" w14:paraId="435E6E90"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tcPr>
          <w:p w14:paraId="77A613E7" w14:textId="7164CFC2"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kern w:val="2"/>
                <w:sz w:val="20"/>
                <w:szCs w:val="20"/>
                <w:lang w:val="en-IN"/>
              </w:rPr>
              <w:t>Mean</w:t>
            </w:r>
          </w:p>
        </w:tc>
        <w:tc>
          <w:tcPr>
            <w:tcW w:w="1039" w:type="dxa"/>
            <w:tcBorders>
              <w:top w:val="single" w:sz="4" w:space="0" w:color="auto"/>
              <w:left w:val="single" w:sz="4" w:space="0" w:color="auto"/>
              <w:bottom w:val="single" w:sz="4" w:space="0" w:color="auto"/>
              <w:right w:val="single" w:sz="4" w:space="0" w:color="auto"/>
            </w:tcBorders>
            <w:noWrap/>
            <w:vAlign w:val="bottom"/>
          </w:tcPr>
          <w:p w14:paraId="39567C0E"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1.0113 (0.0026)</w:t>
            </w:r>
          </w:p>
        </w:tc>
        <w:tc>
          <w:tcPr>
            <w:tcW w:w="1334" w:type="dxa"/>
            <w:tcBorders>
              <w:top w:val="single" w:sz="4" w:space="0" w:color="auto"/>
              <w:left w:val="nil"/>
              <w:bottom w:val="single" w:sz="4" w:space="0" w:color="auto"/>
              <w:right w:val="single" w:sz="4" w:space="0" w:color="auto"/>
            </w:tcBorders>
            <w:noWrap/>
            <w:vAlign w:val="bottom"/>
          </w:tcPr>
          <w:p w14:paraId="45E1F7B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1948.8488 (5.0988)</w:t>
            </w:r>
          </w:p>
        </w:tc>
        <w:tc>
          <w:tcPr>
            <w:tcW w:w="1186" w:type="dxa"/>
            <w:tcBorders>
              <w:top w:val="single" w:sz="4" w:space="0" w:color="auto"/>
              <w:left w:val="nil"/>
              <w:bottom w:val="single" w:sz="4" w:space="0" w:color="auto"/>
              <w:right w:val="single" w:sz="4" w:space="0" w:color="auto"/>
            </w:tcBorders>
            <w:noWrap/>
            <w:vAlign w:val="bottom"/>
          </w:tcPr>
          <w:p w14:paraId="08E9A830"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27752.3100 (72.6101)</w:t>
            </w:r>
          </w:p>
        </w:tc>
        <w:tc>
          <w:tcPr>
            <w:tcW w:w="1186" w:type="dxa"/>
            <w:tcBorders>
              <w:top w:val="single" w:sz="4" w:space="0" w:color="auto"/>
              <w:left w:val="nil"/>
              <w:bottom w:val="single" w:sz="4" w:space="0" w:color="auto"/>
              <w:right w:val="single" w:sz="4" w:space="0" w:color="auto"/>
            </w:tcBorders>
            <w:noWrap/>
            <w:vAlign w:val="bottom"/>
          </w:tcPr>
          <w:p w14:paraId="06E5F875" w14:textId="6599A926"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0.1850 (0.0005)</w:t>
            </w:r>
          </w:p>
        </w:tc>
        <w:tc>
          <w:tcPr>
            <w:tcW w:w="1186" w:type="dxa"/>
            <w:tcBorders>
              <w:top w:val="single" w:sz="4" w:space="0" w:color="auto"/>
              <w:left w:val="nil"/>
              <w:bottom w:val="single" w:sz="4" w:space="0" w:color="auto"/>
              <w:right w:val="single" w:sz="4" w:space="0" w:color="auto"/>
            </w:tcBorders>
            <w:noWrap/>
            <w:vAlign w:val="bottom"/>
          </w:tcPr>
          <w:p w14:paraId="3F794AC4"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4009.9888 (10.4915)</w:t>
            </w:r>
          </w:p>
        </w:tc>
        <w:tc>
          <w:tcPr>
            <w:tcW w:w="1186" w:type="dxa"/>
            <w:tcBorders>
              <w:top w:val="single" w:sz="4" w:space="0" w:color="auto"/>
              <w:left w:val="nil"/>
              <w:bottom w:val="single" w:sz="4" w:space="0" w:color="auto"/>
              <w:right w:val="single" w:sz="4" w:space="0" w:color="auto"/>
            </w:tcBorders>
            <w:noWrap/>
            <w:vAlign w:val="bottom"/>
          </w:tcPr>
          <w:p w14:paraId="2B3605C4" w14:textId="02D89BE2"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4104.8213 (10.7397)</w:t>
            </w:r>
          </w:p>
        </w:tc>
        <w:tc>
          <w:tcPr>
            <w:tcW w:w="1133" w:type="dxa"/>
            <w:tcBorders>
              <w:top w:val="single" w:sz="4" w:space="0" w:color="auto"/>
              <w:left w:val="nil"/>
              <w:bottom w:val="single" w:sz="4" w:space="0" w:color="auto"/>
              <w:right w:val="single" w:sz="4" w:space="0" w:color="auto"/>
            </w:tcBorders>
            <w:noWrap/>
            <w:vAlign w:val="bottom"/>
          </w:tcPr>
          <w:p w14:paraId="5287EB65" w14:textId="376388E4"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403.8325 (1.0565)</w:t>
            </w:r>
          </w:p>
        </w:tc>
      </w:tr>
      <w:tr w:rsidR="00F63AF2" w:rsidRPr="0069595A" w14:paraId="40D2E2E2" w14:textId="77777777" w:rsidTr="00F63AF2">
        <w:trPr>
          <w:trHeight w:val="287"/>
          <w:jc w:val="center"/>
        </w:trPr>
        <w:tc>
          <w:tcPr>
            <w:tcW w:w="8847" w:type="dxa"/>
            <w:gridSpan w:val="8"/>
            <w:tcBorders>
              <w:top w:val="single" w:sz="4" w:space="0" w:color="auto"/>
            </w:tcBorders>
            <w:noWrap/>
            <w:vAlign w:val="center"/>
            <w:hideMark/>
          </w:tcPr>
          <w:p w14:paraId="18C4613B" w14:textId="3D8B97FE" w:rsidR="00F63AF2" w:rsidRPr="004F45DD" w:rsidRDefault="00F63AF2" w:rsidP="0069595A">
            <w:pPr>
              <w:spacing w:before="240"/>
              <w:rPr>
                <w:rFonts w:ascii="Arial" w:hAnsi="Arial" w:cs="Arial"/>
                <w:i/>
                <w:iCs/>
                <w:color w:val="000000"/>
                <w:sz w:val="20"/>
                <w:szCs w:val="20"/>
                <w:lang w:val="en-IN" w:eastAsia="en-IN"/>
              </w:rPr>
            </w:pPr>
            <w:r w:rsidRPr="004F45DD">
              <w:rPr>
                <w:rFonts w:ascii="Arial" w:hAnsi="Arial" w:cs="Arial"/>
                <w:i/>
                <w:iCs/>
                <w:color w:val="000000"/>
                <w:sz w:val="20"/>
                <w:szCs w:val="20"/>
                <w:lang w:val="en-IN" w:eastAsia="en-IN"/>
              </w:rPr>
              <w:lastRenderedPageBreak/>
              <w:t>Note: Values in hectares, with percentage in parentheses</w:t>
            </w:r>
          </w:p>
        </w:tc>
      </w:tr>
    </w:tbl>
    <w:p w14:paraId="6E4ED28C" w14:textId="52E931A3" w:rsidR="00F63AF2" w:rsidRPr="003F69FE" w:rsidRDefault="00F63AF2" w:rsidP="00917D4E">
      <w:pPr>
        <w:spacing w:after="240" w:line="360" w:lineRule="auto"/>
        <w:jc w:val="both"/>
        <w:rPr>
          <w:color w:val="000000"/>
        </w:rPr>
      </w:pPr>
    </w:p>
    <w:p w14:paraId="790FB12A" w14:textId="015735BF" w:rsidR="00F63AF2" w:rsidRPr="003F69FE" w:rsidRDefault="00951459" w:rsidP="00917D4E">
      <w:pPr>
        <w:spacing w:after="240" w:line="360" w:lineRule="auto"/>
        <w:jc w:val="both"/>
      </w:pPr>
      <w:r w:rsidRPr="003F69FE">
        <w:rPr>
          <w:noProof/>
        </w:rPr>
        <w:drawing>
          <wp:inline distT="0" distB="0" distL="0" distR="0" wp14:anchorId="0B2E62A6" wp14:editId="0CF1794C">
            <wp:extent cx="5943600" cy="4552315"/>
            <wp:effectExtent l="19050" t="19050" r="0" b="635"/>
            <wp:docPr id="1431110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52315"/>
                    </a:xfrm>
                    <a:prstGeom prst="rect">
                      <a:avLst/>
                    </a:prstGeom>
                    <a:noFill/>
                    <a:ln w="3175">
                      <a:solidFill>
                        <a:schemeClr val="tx1"/>
                      </a:solidFill>
                    </a:ln>
                  </pic:spPr>
                </pic:pic>
              </a:graphicData>
            </a:graphic>
          </wp:inline>
        </w:drawing>
      </w:r>
    </w:p>
    <w:p w14:paraId="2E56A9E3" w14:textId="2DA62494" w:rsidR="00F63AF2" w:rsidRPr="004F45DD" w:rsidRDefault="00951459" w:rsidP="00951459">
      <w:pPr>
        <w:spacing w:after="240" w:line="360" w:lineRule="auto"/>
        <w:jc w:val="both"/>
        <w:rPr>
          <w:rFonts w:ascii="Arial" w:hAnsi="Arial" w:cs="Arial"/>
          <w:b/>
          <w:color w:val="000000"/>
          <w:sz w:val="20"/>
          <w:szCs w:val="20"/>
        </w:rPr>
      </w:pPr>
      <w:r w:rsidRPr="004F45DD">
        <w:rPr>
          <w:rFonts w:ascii="Arial" w:hAnsi="Arial" w:cs="Arial"/>
          <w:b/>
          <w:color w:val="000000"/>
          <w:sz w:val="20"/>
          <w:szCs w:val="20"/>
        </w:rPr>
        <w:t xml:space="preserve">Figure 1: Temporal Dynamics of LULC in </w:t>
      </w:r>
      <w:proofErr w:type="spellStart"/>
      <w:r w:rsidRPr="004F45DD">
        <w:rPr>
          <w:rFonts w:ascii="Arial" w:hAnsi="Arial" w:cs="Arial"/>
          <w:b/>
          <w:color w:val="000000"/>
          <w:sz w:val="20"/>
          <w:szCs w:val="20"/>
        </w:rPr>
        <w:t>Hura</w:t>
      </w:r>
      <w:proofErr w:type="spellEnd"/>
      <w:r w:rsidRPr="004F45DD">
        <w:rPr>
          <w:rFonts w:ascii="Arial" w:hAnsi="Arial" w:cs="Arial"/>
          <w:b/>
          <w:color w:val="000000"/>
          <w:sz w:val="20"/>
          <w:szCs w:val="20"/>
        </w:rPr>
        <w:t xml:space="preserve"> block. Panels A to H represent annual LULC maps for the years 2017 to 2024, respectively. Panel I </w:t>
      </w:r>
      <w:proofErr w:type="gramStart"/>
      <w:r w:rsidRPr="004F45DD">
        <w:rPr>
          <w:rFonts w:ascii="Arial" w:hAnsi="Arial" w:cs="Arial"/>
          <w:b/>
          <w:color w:val="000000"/>
          <w:sz w:val="20"/>
          <w:szCs w:val="20"/>
        </w:rPr>
        <w:t>illustrates</w:t>
      </w:r>
      <w:proofErr w:type="gramEnd"/>
      <w:r w:rsidRPr="004F45DD">
        <w:rPr>
          <w:rFonts w:ascii="Arial" w:hAnsi="Arial" w:cs="Arial"/>
          <w:b/>
          <w:color w:val="000000"/>
          <w:sz w:val="20"/>
          <w:szCs w:val="20"/>
        </w:rPr>
        <w:t xml:space="preserve"> the temporal percentage distribution of LULC categories.</w:t>
      </w:r>
    </w:p>
    <w:p w14:paraId="7A3C75B7" w14:textId="06A8ED50" w:rsidR="00A50A88" w:rsidRPr="0069595A" w:rsidRDefault="00D922DF" w:rsidP="00917D4E">
      <w:pPr>
        <w:spacing w:after="240" w:line="360" w:lineRule="auto"/>
        <w:jc w:val="both"/>
        <w:rPr>
          <w:rFonts w:ascii="Arial" w:hAnsi="Arial" w:cs="Arial"/>
          <w:b/>
          <w:color w:val="000000"/>
          <w:sz w:val="22"/>
          <w:szCs w:val="22"/>
        </w:rPr>
      </w:pPr>
      <w:r w:rsidRPr="0069595A">
        <w:rPr>
          <w:rFonts w:ascii="Arial" w:hAnsi="Arial" w:cs="Arial"/>
          <w:b/>
          <w:color w:val="000000"/>
          <w:sz w:val="22"/>
          <w:szCs w:val="22"/>
        </w:rPr>
        <w:t xml:space="preserve">3.2 </w:t>
      </w:r>
      <w:r w:rsidR="00495456" w:rsidRPr="0069595A">
        <w:rPr>
          <w:rFonts w:ascii="Arial" w:hAnsi="Arial" w:cs="Arial"/>
          <w:b/>
          <w:color w:val="000000"/>
          <w:sz w:val="22"/>
          <w:szCs w:val="22"/>
        </w:rPr>
        <w:t>LULC Class Transitions: Outflow and Inflow Analysis:</w:t>
      </w:r>
    </w:p>
    <w:p w14:paraId="5F892663" w14:textId="19B2B8BB" w:rsidR="00A50A88" w:rsidRPr="0069595A" w:rsidRDefault="002D2C41" w:rsidP="00917D4E">
      <w:pPr>
        <w:spacing w:after="240" w:line="360" w:lineRule="auto"/>
        <w:jc w:val="both"/>
        <w:rPr>
          <w:rFonts w:ascii="Arial" w:hAnsi="Arial" w:cs="Arial"/>
          <w:color w:val="000000"/>
          <w:sz w:val="20"/>
          <w:szCs w:val="20"/>
          <w:lang w:val="en-IN"/>
        </w:rPr>
      </w:pPr>
      <w:r w:rsidRPr="0069595A">
        <w:rPr>
          <w:rFonts w:ascii="Arial" w:hAnsi="Arial" w:cs="Arial"/>
          <w:color w:val="000000"/>
          <w:sz w:val="20"/>
          <w:szCs w:val="20"/>
        </w:rPr>
        <w:t>The outflow–inflow statistics of the LULC categories (Table 2; Fig. 2</w:t>
      </w:r>
      <w:r w:rsidR="005C3774" w:rsidRPr="0069595A">
        <w:rPr>
          <w:rFonts w:ascii="Arial" w:hAnsi="Arial" w:cs="Arial"/>
          <w:color w:val="000000"/>
          <w:sz w:val="20"/>
          <w:szCs w:val="20"/>
        </w:rPr>
        <w:t xml:space="preserve"> and 3</w:t>
      </w:r>
      <w:r w:rsidRPr="0069595A">
        <w:rPr>
          <w:rFonts w:ascii="Arial" w:hAnsi="Arial" w:cs="Arial"/>
          <w:color w:val="000000"/>
          <w:sz w:val="20"/>
          <w:szCs w:val="20"/>
        </w:rPr>
        <w:t xml:space="preserve">) from 2017 to 2024 elucidated the dynamic transitions occurring across the landscape. Croplands exhibited the highest outflow throughout the study period, averaging 72.81%, with a maximum of 80.30% in 2017–18 and a minimum of 63.69% in 2023–24. This substantial outflow, coupled with relatively low inflow values (mean 4.75%), indicates a persistent contraction of agricultural land, likely due to its conversion into rangeland, built-up areas, or tree cover. The net change in cropland (–68.63%) underscores its declining dominance in the block’s land system. Rangelands displayed considerable variability, with outflow values ranging between </w:t>
      </w:r>
      <w:r w:rsidRPr="0069595A">
        <w:rPr>
          <w:rFonts w:ascii="Arial" w:hAnsi="Arial" w:cs="Arial"/>
          <w:color w:val="000000"/>
          <w:sz w:val="20"/>
          <w:szCs w:val="20"/>
        </w:rPr>
        <w:lastRenderedPageBreak/>
        <w:t xml:space="preserve">4.05% (2021–22) and 20.05% (2023–24), averaging 10.76%. Inflow values were also significant (mean 5.98%), peaking at 13.26% in 2018–19, suggesting that cropland and other categories were frequently transformed into rangeland. This dual pattern reflects shifting cultivation practices and land degradation processes, particularly in years of agricultural decline. Tree cover showed moderate but consistent outflow (mean 10.36%) alongside inflow (mean 2.06%), with notable inflow peaks in 2023–24 (3.75%) and 2021–22 (3.09%). These figures suggest gradual afforestation or regeneration, although the net change (–4.12%) indicates a slight overall reduction in tree cover over the period. </w:t>
      </w:r>
      <w:r w:rsidR="00DD6AE3" w:rsidRPr="0069595A">
        <w:rPr>
          <w:rFonts w:ascii="Arial" w:hAnsi="Arial" w:cs="Arial"/>
          <w:color w:val="000000"/>
          <w:sz w:val="20"/>
          <w:szCs w:val="20"/>
          <w:lang w:val="en-IN"/>
        </w:rPr>
        <w:t xml:space="preserve">In contrast, built-up areas demonstrated steady growth, with an outflow and inflow averaging 5.02% and 9.43%, respectively, culminating in a net positive change of +4.98%. </w:t>
      </w:r>
      <w:r w:rsidRPr="0069595A">
        <w:rPr>
          <w:rFonts w:ascii="Arial" w:hAnsi="Arial" w:cs="Arial"/>
          <w:color w:val="000000"/>
          <w:sz w:val="20"/>
          <w:szCs w:val="20"/>
        </w:rPr>
        <w:t xml:space="preserve">This trend reflects the ongoing urban expansion and infrastructural development in the block. Waterbodies remained relatively stable, with outflow averaging 1.04% and inflow averaging 0.20%, resulting in a marginal net decline (–0.84%). Bare ground was negligible, with minimal fluctuations (mean outflow 0.003%), although a slight net increase (+0.09%) was observed. Flooded vegetation was virtually absent, with both outflow and inflow values close to zero, confirming the limited presence of wetland ecosystems in this study area. Overall, the outflow–inflow analysis revealed a clear contraction of croplands and tree cover, offset by the expansion of rangelands and built-up areas. These transitions highlight the combined influence of anthropogenic pressures, urbanization, and ecological processes, underscoring the need for sustainable land management strategies to balance agricultural productivity, ecological conservation, and developmental demands in </w:t>
      </w:r>
      <w:proofErr w:type="spellStart"/>
      <w:r w:rsidRPr="0069595A">
        <w:rPr>
          <w:rFonts w:ascii="Arial" w:hAnsi="Arial" w:cs="Arial"/>
          <w:color w:val="000000"/>
          <w:sz w:val="20"/>
          <w:szCs w:val="20"/>
        </w:rPr>
        <w:t>Hura</w:t>
      </w:r>
      <w:proofErr w:type="spellEnd"/>
      <w:r w:rsidRPr="0069595A">
        <w:rPr>
          <w:rFonts w:ascii="Arial" w:hAnsi="Arial" w:cs="Arial"/>
          <w:color w:val="000000"/>
          <w:sz w:val="20"/>
          <w:szCs w:val="20"/>
        </w:rPr>
        <w:t xml:space="preserve"> C.D. Block.</w:t>
      </w:r>
    </w:p>
    <w:tbl>
      <w:tblPr>
        <w:tblStyle w:val="TableGrid1"/>
        <w:tblW w:w="11007" w:type="dxa"/>
        <w:jc w:val="center"/>
        <w:tblCellMar>
          <w:left w:w="28" w:type="dxa"/>
          <w:right w:w="28" w:type="dxa"/>
        </w:tblCellMar>
        <w:tblLook w:val="04A0" w:firstRow="1" w:lastRow="0" w:firstColumn="1" w:lastColumn="0" w:noHBand="0" w:noVBand="1"/>
      </w:tblPr>
      <w:tblGrid>
        <w:gridCol w:w="1124"/>
        <w:gridCol w:w="668"/>
        <w:gridCol w:w="668"/>
        <w:gridCol w:w="668"/>
        <w:gridCol w:w="779"/>
        <w:gridCol w:w="779"/>
        <w:gridCol w:w="765"/>
        <w:gridCol w:w="779"/>
        <w:gridCol w:w="779"/>
        <w:gridCol w:w="779"/>
        <w:gridCol w:w="668"/>
        <w:gridCol w:w="668"/>
        <w:gridCol w:w="668"/>
        <w:gridCol w:w="668"/>
        <w:gridCol w:w="668"/>
      </w:tblGrid>
      <w:tr w:rsidR="002D30C8" w:rsidRPr="0069595A" w14:paraId="570332E4" w14:textId="77777777" w:rsidTr="00BF291E">
        <w:trPr>
          <w:trHeight w:val="20"/>
          <w:jc w:val="center"/>
        </w:trPr>
        <w:tc>
          <w:tcPr>
            <w:tcW w:w="0" w:type="auto"/>
            <w:gridSpan w:val="15"/>
            <w:tcBorders>
              <w:top w:val="nil"/>
              <w:left w:val="nil"/>
              <w:bottom w:val="single" w:sz="4" w:space="0" w:color="auto"/>
              <w:right w:val="nil"/>
            </w:tcBorders>
            <w:noWrap/>
            <w:vAlign w:val="center"/>
            <w:hideMark/>
          </w:tcPr>
          <w:p w14:paraId="157D07C9" w14:textId="77777777" w:rsidR="002D30C8" w:rsidRPr="004F45DD" w:rsidRDefault="002D30C8" w:rsidP="009D4E8C">
            <w:pPr>
              <w:jc w:val="both"/>
              <w:rPr>
                <w:rFonts w:ascii="Arial" w:hAnsi="Arial" w:cs="Arial"/>
                <w:b/>
                <w:bCs/>
                <w:color w:val="000000"/>
                <w:sz w:val="20"/>
                <w:szCs w:val="20"/>
              </w:rPr>
            </w:pPr>
            <w:r w:rsidRPr="004F45DD">
              <w:rPr>
                <w:rFonts w:ascii="Arial" w:hAnsi="Arial" w:cs="Arial"/>
                <w:b/>
                <w:bCs/>
                <w:color w:val="000000"/>
                <w:sz w:val="20"/>
                <w:szCs w:val="20"/>
              </w:rPr>
              <w:t xml:space="preserve">Table 2: Outflow and Inflow (%) of Different LULC in </w:t>
            </w:r>
            <w:proofErr w:type="spellStart"/>
            <w:r w:rsidRPr="004F45DD">
              <w:rPr>
                <w:rFonts w:ascii="Arial" w:hAnsi="Arial" w:cs="Arial"/>
                <w:b/>
                <w:bCs/>
                <w:color w:val="000000"/>
                <w:sz w:val="20"/>
                <w:szCs w:val="20"/>
              </w:rPr>
              <w:t>Hura</w:t>
            </w:r>
            <w:proofErr w:type="spellEnd"/>
            <w:r w:rsidRPr="004F45DD">
              <w:rPr>
                <w:rFonts w:ascii="Arial" w:hAnsi="Arial" w:cs="Arial"/>
                <w:b/>
                <w:bCs/>
                <w:color w:val="000000"/>
                <w:sz w:val="20"/>
                <w:szCs w:val="20"/>
              </w:rPr>
              <w:t xml:space="preserve"> C.D. Block, Purulia District, West Bengal (2017–2024)</w:t>
            </w:r>
          </w:p>
          <w:p w14:paraId="447EAF93" w14:textId="77777777" w:rsidR="009D4E8C" w:rsidRPr="0069595A" w:rsidRDefault="009D4E8C" w:rsidP="009D4E8C">
            <w:pPr>
              <w:jc w:val="both"/>
              <w:rPr>
                <w:rFonts w:ascii="Arial" w:hAnsi="Arial" w:cs="Arial"/>
                <w:color w:val="000000"/>
                <w:sz w:val="20"/>
                <w:szCs w:val="20"/>
              </w:rPr>
            </w:pPr>
          </w:p>
          <w:p w14:paraId="4857451D" w14:textId="77777777" w:rsidR="009D4E8C" w:rsidRPr="0069595A" w:rsidRDefault="009D4E8C" w:rsidP="009D4E8C">
            <w:pPr>
              <w:jc w:val="both"/>
              <w:rPr>
                <w:rFonts w:ascii="Arial" w:hAnsi="Arial" w:cs="Arial"/>
                <w:color w:val="000000"/>
                <w:sz w:val="20"/>
                <w:szCs w:val="20"/>
              </w:rPr>
            </w:pPr>
          </w:p>
        </w:tc>
      </w:tr>
      <w:tr w:rsidR="002D30C8" w:rsidRPr="0069595A" w14:paraId="16F381F7" w14:textId="77777777" w:rsidTr="00BF291E">
        <w:trPr>
          <w:trHeight w:val="20"/>
          <w:jc w:val="center"/>
        </w:trPr>
        <w:tc>
          <w:tcPr>
            <w:tcW w:w="0" w:type="auto"/>
            <w:vMerge w:val="restart"/>
            <w:tcBorders>
              <w:top w:val="single" w:sz="4" w:space="0" w:color="auto"/>
            </w:tcBorders>
            <w:vAlign w:val="center"/>
            <w:hideMark/>
          </w:tcPr>
          <w:p w14:paraId="30C4280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Year</w:t>
            </w:r>
          </w:p>
        </w:tc>
        <w:tc>
          <w:tcPr>
            <w:tcW w:w="0" w:type="auto"/>
            <w:gridSpan w:val="2"/>
            <w:tcBorders>
              <w:top w:val="single" w:sz="4" w:space="0" w:color="auto"/>
            </w:tcBorders>
            <w:vAlign w:val="center"/>
            <w:hideMark/>
          </w:tcPr>
          <w:p w14:paraId="703F534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Bare Ground</w:t>
            </w:r>
          </w:p>
        </w:tc>
        <w:tc>
          <w:tcPr>
            <w:tcW w:w="0" w:type="auto"/>
            <w:gridSpan w:val="2"/>
            <w:tcBorders>
              <w:top w:val="single" w:sz="4" w:space="0" w:color="auto"/>
            </w:tcBorders>
            <w:vAlign w:val="center"/>
            <w:hideMark/>
          </w:tcPr>
          <w:p w14:paraId="486B9FD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Built-up Area</w:t>
            </w:r>
          </w:p>
        </w:tc>
        <w:tc>
          <w:tcPr>
            <w:tcW w:w="0" w:type="auto"/>
            <w:gridSpan w:val="2"/>
            <w:tcBorders>
              <w:top w:val="single" w:sz="4" w:space="0" w:color="auto"/>
            </w:tcBorders>
            <w:vAlign w:val="center"/>
            <w:hideMark/>
          </w:tcPr>
          <w:p w14:paraId="63E0DAE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Crops</w:t>
            </w:r>
          </w:p>
        </w:tc>
        <w:tc>
          <w:tcPr>
            <w:tcW w:w="0" w:type="auto"/>
            <w:gridSpan w:val="2"/>
            <w:tcBorders>
              <w:top w:val="single" w:sz="4" w:space="0" w:color="auto"/>
            </w:tcBorders>
            <w:vAlign w:val="center"/>
            <w:hideMark/>
          </w:tcPr>
          <w:p w14:paraId="443A557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Rangeland</w:t>
            </w:r>
          </w:p>
        </w:tc>
        <w:tc>
          <w:tcPr>
            <w:tcW w:w="0" w:type="auto"/>
            <w:gridSpan w:val="2"/>
            <w:tcBorders>
              <w:top w:val="single" w:sz="4" w:space="0" w:color="auto"/>
            </w:tcBorders>
            <w:vAlign w:val="center"/>
            <w:hideMark/>
          </w:tcPr>
          <w:p w14:paraId="0CED7AA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Tree Cover</w:t>
            </w:r>
          </w:p>
        </w:tc>
        <w:tc>
          <w:tcPr>
            <w:tcW w:w="0" w:type="auto"/>
            <w:gridSpan w:val="2"/>
            <w:tcBorders>
              <w:top w:val="single" w:sz="4" w:space="0" w:color="auto"/>
            </w:tcBorders>
            <w:vAlign w:val="center"/>
            <w:hideMark/>
          </w:tcPr>
          <w:p w14:paraId="0D86B93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Waterbody</w:t>
            </w:r>
          </w:p>
        </w:tc>
        <w:tc>
          <w:tcPr>
            <w:tcW w:w="0" w:type="auto"/>
            <w:gridSpan w:val="2"/>
            <w:tcBorders>
              <w:top w:val="single" w:sz="4" w:space="0" w:color="auto"/>
            </w:tcBorders>
            <w:vAlign w:val="center"/>
            <w:hideMark/>
          </w:tcPr>
          <w:p w14:paraId="047BA848" w14:textId="737E88B8"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Flooded Vegetation</w:t>
            </w:r>
          </w:p>
        </w:tc>
      </w:tr>
      <w:tr w:rsidR="009D4E8C" w:rsidRPr="0069595A" w14:paraId="75F51651" w14:textId="77777777" w:rsidTr="00BF291E">
        <w:trPr>
          <w:trHeight w:val="20"/>
          <w:jc w:val="center"/>
        </w:trPr>
        <w:tc>
          <w:tcPr>
            <w:tcW w:w="0" w:type="auto"/>
            <w:vMerge/>
            <w:vAlign w:val="center"/>
            <w:hideMark/>
          </w:tcPr>
          <w:p w14:paraId="16CD8FDD" w14:textId="77777777" w:rsidR="002D30C8" w:rsidRPr="0069595A" w:rsidRDefault="002D30C8" w:rsidP="009D4E8C">
            <w:pPr>
              <w:jc w:val="both"/>
              <w:rPr>
                <w:rFonts w:ascii="Arial" w:hAnsi="Arial" w:cs="Arial"/>
                <w:color w:val="000000"/>
                <w:sz w:val="20"/>
                <w:szCs w:val="20"/>
              </w:rPr>
            </w:pPr>
          </w:p>
        </w:tc>
        <w:tc>
          <w:tcPr>
            <w:tcW w:w="0" w:type="auto"/>
            <w:noWrap/>
            <w:vAlign w:val="center"/>
            <w:hideMark/>
          </w:tcPr>
          <w:p w14:paraId="6714CE6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24400DD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485F5CE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0D7AD59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3C5FED7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4727087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3F7C833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26C2A17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13B9D6F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5B79393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5494F19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7105C67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059B801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398D1F4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r>
      <w:tr w:rsidR="009D4E8C" w:rsidRPr="0069595A" w14:paraId="3E4B17D6" w14:textId="77777777" w:rsidTr="00BF291E">
        <w:trPr>
          <w:trHeight w:val="20"/>
          <w:jc w:val="center"/>
        </w:trPr>
        <w:tc>
          <w:tcPr>
            <w:tcW w:w="0" w:type="auto"/>
            <w:noWrap/>
            <w:vAlign w:val="center"/>
            <w:hideMark/>
          </w:tcPr>
          <w:p w14:paraId="56661E7B"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2017–18</w:t>
            </w:r>
          </w:p>
        </w:tc>
        <w:tc>
          <w:tcPr>
            <w:tcW w:w="0" w:type="auto"/>
            <w:noWrap/>
            <w:vAlign w:val="center"/>
            <w:hideMark/>
          </w:tcPr>
          <w:p w14:paraId="26AC34A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0.0039</w:t>
            </w:r>
          </w:p>
        </w:tc>
        <w:tc>
          <w:tcPr>
            <w:tcW w:w="0" w:type="auto"/>
            <w:noWrap/>
            <w:vAlign w:val="center"/>
            <w:hideMark/>
          </w:tcPr>
          <w:p w14:paraId="376D51B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0.0024</w:t>
            </w:r>
          </w:p>
        </w:tc>
        <w:tc>
          <w:tcPr>
            <w:tcW w:w="0" w:type="auto"/>
            <w:noWrap/>
            <w:vAlign w:val="center"/>
            <w:hideMark/>
          </w:tcPr>
          <w:p w14:paraId="77E5ED1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3.8625</w:t>
            </w:r>
          </w:p>
        </w:tc>
        <w:tc>
          <w:tcPr>
            <w:tcW w:w="0" w:type="auto"/>
            <w:noWrap/>
            <w:vAlign w:val="center"/>
            <w:hideMark/>
          </w:tcPr>
          <w:p w14:paraId="4AC684D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1.0664</w:t>
            </w:r>
          </w:p>
        </w:tc>
        <w:tc>
          <w:tcPr>
            <w:tcW w:w="0" w:type="auto"/>
            <w:noWrap/>
            <w:vAlign w:val="center"/>
            <w:hideMark/>
          </w:tcPr>
          <w:p w14:paraId="3CE3308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80.2971</w:t>
            </w:r>
          </w:p>
        </w:tc>
        <w:tc>
          <w:tcPr>
            <w:tcW w:w="0" w:type="auto"/>
            <w:noWrap/>
            <w:vAlign w:val="center"/>
            <w:hideMark/>
          </w:tcPr>
          <w:p w14:paraId="72C89D2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1.6073</w:t>
            </w:r>
          </w:p>
        </w:tc>
        <w:tc>
          <w:tcPr>
            <w:tcW w:w="0" w:type="auto"/>
            <w:noWrap/>
            <w:vAlign w:val="center"/>
            <w:hideMark/>
          </w:tcPr>
          <w:p w14:paraId="1540D3C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5.5331</w:t>
            </w:r>
          </w:p>
        </w:tc>
        <w:tc>
          <w:tcPr>
            <w:tcW w:w="0" w:type="auto"/>
            <w:noWrap/>
            <w:vAlign w:val="center"/>
            <w:hideMark/>
          </w:tcPr>
          <w:p w14:paraId="73095C9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2.5115</w:t>
            </w:r>
          </w:p>
        </w:tc>
        <w:tc>
          <w:tcPr>
            <w:tcW w:w="0" w:type="auto"/>
            <w:noWrap/>
            <w:vAlign w:val="center"/>
            <w:hideMark/>
          </w:tcPr>
          <w:p w14:paraId="493140B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9.1705</w:t>
            </w:r>
          </w:p>
        </w:tc>
        <w:tc>
          <w:tcPr>
            <w:tcW w:w="0" w:type="auto"/>
            <w:noWrap/>
            <w:vAlign w:val="center"/>
            <w:hideMark/>
          </w:tcPr>
          <w:p w14:paraId="018D0AC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2.5722</w:t>
            </w:r>
          </w:p>
        </w:tc>
        <w:tc>
          <w:tcPr>
            <w:tcW w:w="0" w:type="auto"/>
            <w:noWrap/>
            <w:vAlign w:val="center"/>
            <w:hideMark/>
          </w:tcPr>
          <w:p w14:paraId="1AE3E4D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1.1305</w:t>
            </w:r>
          </w:p>
        </w:tc>
        <w:tc>
          <w:tcPr>
            <w:tcW w:w="0" w:type="auto"/>
            <w:noWrap/>
            <w:vAlign w:val="center"/>
            <w:hideMark/>
          </w:tcPr>
          <w:p w14:paraId="33CDDBF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0.112</w:t>
            </w:r>
          </w:p>
        </w:tc>
        <w:tc>
          <w:tcPr>
            <w:tcW w:w="0" w:type="auto"/>
            <w:noWrap/>
            <w:vAlign w:val="center"/>
            <w:hideMark/>
          </w:tcPr>
          <w:p w14:paraId="7B7BDD3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0.0024</w:t>
            </w:r>
          </w:p>
        </w:tc>
        <w:tc>
          <w:tcPr>
            <w:tcW w:w="0" w:type="auto"/>
            <w:noWrap/>
            <w:vAlign w:val="center"/>
            <w:hideMark/>
          </w:tcPr>
          <w:p w14:paraId="59E1962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r>
      <w:tr w:rsidR="009D4E8C" w:rsidRPr="0069595A" w14:paraId="69EA2CFE" w14:textId="77777777" w:rsidTr="00BF291E">
        <w:trPr>
          <w:trHeight w:val="20"/>
          <w:jc w:val="center"/>
        </w:trPr>
        <w:tc>
          <w:tcPr>
            <w:tcW w:w="0" w:type="auto"/>
            <w:noWrap/>
            <w:vAlign w:val="center"/>
            <w:hideMark/>
          </w:tcPr>
          <w:p w14:paraId="61DE3E43"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2018–19</w:t>
            </w:r>
          </w:p>
        </w:tc>
        <w:tc>
          <w:tcPr>
            <w:tcW w:w="0" w:type="auto"/>
            <w:noWrap/>
            <w:vAlign w:val="center"/>
            <w:hideMark/>
          </w:tcPr>
          <w:p w14:paraId="2607822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0.0035</w:t>
            </w:r>
          </w:p>
        </w:tc>
        <w:tc>
          <w:tcPr>
            <w:tcW w:w="0" w:type="auto"/>
            <w:noWrap/>
            <w:vAlign w:val="center"/>
            <w:hideMark/>
          </w:tcPr>
          <w:p w14:paraId="09190F0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0.0008</w:t>
            </w:r>
          </w:p>
        </w:tc>
        <w:tc>
          <w:tcPr>
            <w:tcW w:w="0" w:type="auto"/>
            <w:noWrap/>
            <w:vAlign w:val="center"/>
            <w:hideMark/>
          </w:tcPr>
          <w:p w14:paraId="21613E0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4.7263</w:t>
            </w:r>
          </w:p>
        </w:tc>
        <w:tc>
          <w:tcPr>
            <w:tcW w:w="0" w:type="auto"/>
            <w:noWrap/>
            <w:vAlign w:val="center"/>
            <w:hideMark/>
          </w:tcPr>
          <w:p w14:paraId="2A947F6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0.55</w:t>
            </w:r>
          </w:p>
        </w:tc>
        <w:tc>
          <w:tcPr>
            <w:tcW w:w="0" w:type="auto"/>
            <w:noWrap/>
            <w:vAlign w:val="center"/>
            <w:hideMark/>
          </w:tcPr>
          <w:p w14:paraId="1DE7B65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76.8552</w:t>
            </w:r>
          </w:p>
        </w:tc>
        <w:tc>
          <w:tcPr>
            <w:tcW w:w="0" w:type="auto"/>
            <w:noWrap/>
            <w:vAlign w:val="center"/>
            <w:hideMark/>
          </w:tcPr>
          <w:p w14:paraId="5D4AABA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2.7713</w:t>
            </w:r>
          </w:p>
        </w:tc>
        <w:tc>
          <w:tcPr>
            <w:tcW w:w="0" w:type="auto"/>
            <w:noWrap/>
            <w:vAlign w:val="center"/>
            <w:hideMark/>
          </w:tcPr>
          <w:p w14:paraId="14A7F82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6.4276</w:t>
            </w:r>
          </w:p>
        </w:tc>
        <w:tc>
          <w:tcPr>
            <w:tcW w:w="0" w:type="auto"/>
            <w:noWrap/>
            <w:vAlign w:val="center"/>
            <w:hideMark/>
          </w:tcPr>
          <w:p w14:paraId="0AE83C9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13.2599</w:t>
            </w:r>
          </w:p>
        </w:tc>
        <w:tc>
          <w:tcPr>
            <w:tcW w:w="0" w:type="auto"/>
            <w:noWrap/>
            <w:vAlign w:val="center"/>
            <w:hideMark/>
          </w:tcPr>
          <w:p w14:paraId="0A689AA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10.9992</w:t>
            </w:r>
          </w:p>
        </w:tc>
        <w:tc>
          <w:tcPr>
            <w:tcW w:w="0" w:type="auto"/>
            <w:noWrap/>
            <w:vAlign w:val="center"/>
            <w:hideMark/>
          </w:tcPr>
          <w:p w14:paraId="6A02154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0.6653</w:t>
            </w:r>
          </w:p>
        </w:tc>
        <w:tc>
          <w:tcPr>
            <w:tcW w:w="0" w:type="auto"/>
            <w:noWrap/>
            <w:vAlign w:val="center"/>
            <w:hideMark/>
          </w:tcPr>
          <w:p w14:paraId="6CF6C3A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0.9881</w:t>
            </w:r>
          </w:p>
        </w:tc>
        <w:tc>
          <w:tcPr>
            <w:tcW w:w="0" w:type="auto"/>
            <w:noWrap/>
            <w:vAlign w:val="center"/>
            <w:hideMark/>
          </w:tcPr>
          <w:p w14:paraId="51BD5B8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0.0507</w:t>
            </w:r>
          </w:p>
        </w:tc>
        <w:tc>
          <w:tcPr>
            <w:tcW w:w="0" w:type="auto"/>
            <w:noWrap/>
            <w:vAlign w:val="center"/>
            <w:hideMark/>
          </w:tcPr>
          <w:p w14:paraId="686D0CC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3A910E9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NA</w:t>
            </w:r>
          </w:p>
        </w:tc>
      </w:tr>
      <w:tr w:rsidR="009D4E8C" w:rsidRPr="0069595A" w14:paraId="6F9A35AC" w14:textId="77777777" w:rsidTr="00BF291E">
        <w:trPr>
          <w:trHeight w:val="20"/>
          <w:jc w:val="center"/>
        </w:trPr>
        <w:tc>
          <w:tcPr>
            <w:tcW w:w="0" w:type="auto"/>
            <w:noWrap/>
            <w:vAlign w:val="center"/>
            <w:hideMark/>
          </w:tcPr>
          <w:p w14:paraId="57CD0090"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2019–20</w:t>
            </w:r>
          </w:p>
        </w:tc>
        <w:tc>
          <w:tcPr>
            <w:tcW w:w="0" w:type="auto"/>
            <w:noWrap/>
            <w:vAlign w:val="center"/>
            <w:hideMark/>
          </w:tcPr>
          <w:p w14:paraId="6E9B6A8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0.0011</w:t>
            </w:r>
          </w:p>
        </w:tc>
        <w:tc>
          <w:tcPr>
            <w:tcW w:w="0" w:type="auto"/>
            <w:noWrap/>
            <w:vAlign w:val="center"/>
            <w:hideMark/>
          </w:tcPr>
          <w:p w14:paraId="5B53A60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0.0006</w:t>
            </w:r>
          </w:p>
        </w:tc>
        <w:tc>
          <w:tcPr>
            <w:tcW w:w="0" w:type="auto"/>
            <w:noWrap/>
            <w:vAlign w:val="center"/>
            <w:hideMark/>
          </w:tcPr>
          <w:p w14:paraId="3315F9E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4.8127</w:t>
            </w:r>
          </w:p>
        </w:tc>
        <w:tc>
          <w:tcPr>
            <w:tcW w:w="0" w:type="auto"/>
            <w:noWrap/>
            <w:vAlign w:val="center"/>
            <w:hideMark/>
          </w:tcPr>
          <w:p w14:paraId="6D20905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1.0374</w:t>
            </w:r>
          </w:p>
        </w:tc>
        <w:tc>
          <w:tcPr>
            <w:tcW w:w="0" w:type="auto"/>
            <w:noWrap/>
            <w:vAlign w:val="center"/>
            <w:hideMark/>
          </w:tcPr>
          <w:p w14:paraId="154F5F9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68.5112</w:t>
            </w:r>
          </w:p>
        </w:tc>
        <w:tc>
          <w:tcPr>
            <w:tcW w:w="0" w:type="auto"/>
            <w:noWrap/>
            <w:vAlign w:val="center"/>
            <w:hideMark/>
          </w:tcPr>
          <w:p w14:paraId="2113A81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5.3721</w:t>
            </w:r>
          </w:p>
        </w:tc>
        <w:tc>
          <w:tcPr>
            <w:tcW w:w="0" w:type="auto"/>
            <w:noWrap/>
            <w:vAlign w:val="center"/>
            <w:hideMark/>
          </w:tcPr>
          <w:p w14:paraId="0A24014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16.8032</w:t>
            </w:r>
          </w:p>
        </w:tc>
        <w:tc>
          <w:tcPr>
            <w:tcW w:w="0" w:type="auto"/>
            <w:noWrap/>
            <w:vAlign w:val="center"/>
            <w:hideMark/>
          </w:tcPr>
          <w:p w14:paraId="2250C30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6.3862</w:t>
            </w:r>
          </w:p>
        </w:tc>
        <w:tc>
          <w:tcPr>
            <w:tcW w:w="0" w:type="auto"/>
            <w:noWrap/>
            <w:vAlign w:val="center"/>
            <w:hideMark/>
          </w:tcPr>
          <w:p w14:paraId="0F55AD2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9.0835</w:t>
            </w:r>
          </w:p>
        </w:tc>
        <w:tc>
          <w:tcPr>
            <w:tcW w:w="0" w:type="auto"/>
            <w:noWrap/>
            <w:vAlign w:val="center"/>
            <w:hideMark/>
          </w:tcPr>
          <w:p w14:paraId="64E1201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2.2693</w:t>
            </w:r>
          </w:p>
        </w:tc>
        <w:tc>
          <w:tcPr>
            <w:tcW w:w="0" w:type="auto"/>
            <w:noWrap/>
            <w:vAlign w:val="center"/>
            <w:hideMark/>
          </w:tcPr>
          <w:p w14:paraId="2B99DC0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0.7883</w:t>
            </w:r>
          </w:p>
        </w:tc>
        <w:tc>
          <w:tcPr>
            <w:tcW w:w="0" w:type="auto"/>
            <w:noWrap/>
            <w:vAlign w:val="center"/>
            <w:hideMark/>
          </w:tcPr>
          <w:p w14:paraId="489B4DD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0.3765</w:t>
            </w:r>
          </w:p>
        </w:tc>
        <w:tc>
          <w:tcPr>
            <w:tcW w:w="0" w:type="auto"/>
            <w:noWrap/>
            <w:vAlign w:val="center"/>
            <w:hideMark/>
          </w:tcPr>
          <w:p w14:paraId="0906F62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6B1DC1A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0.0001</w:t>
            </w:r>
          </w:p>
        </w:tc>
      </w:tr>
      <w:tr w:rsidR="009D4E8C" w:rsidRPr="0069595A" w14:paraId="354739A3" w14:textId="77777777" w:rsidTr="00BF291E">
        <w:trPr>
          <w:trHeight w:val="20"/>
          <w:jc w:val="center"/>
        </w:trPr>
        <w:tc>
          <w:tcPr>
            <w:tcW w:w="0" w:type="auto"/>
            <w:noWrap/>
            <w:vAlign w:val="center"/>
            <w:hideMark/>
          </w:tcPr>
          <w:p w14:paraId="0A09EED0"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2020–21</w:t>
            </w:r>
          </w:p>
        </w:tc>
        <w:tc>
          <w:tcPr>
            <w:tcW w:w="0" w:type="auto"/>
            <w:noWrap/>
            <w:vAlign w:val="center"/>
            <w:hideMark/>
          </w:tcPr>
          <w:p w14:paraId="3A1B679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0.0008</w:t>
            </w:r>
          </w:p>
        </w:tc>
        <w:tc>
          <w:tcPr>
            <w:tcW w:w="0" w:type="auto"/>
            <w:noWrap/>
            <w:vAlign w:val="center"/>
            <w:hideMark/>
          </w:tcPr>
          <w:p w14:paraId="4863123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NA</w:t>
            </w:r>
          </w:p>
        </w:tc>
        <w:tc>
          <w:tcPr>
            <w:tcW w:w="0" w:type="auto"/>
            <w:noWrap/>
            <w:vAlign w:val="center"/>
            <w:hideMark/>
          </w:tcPr>
          <w:p w14:paraId="1BBF489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5.6096</w:t>
            </w:r>
          </w:p>
        </w:tc>
        <w:tc>
          <w:tcPr>
            <w:tcW w:w="0" w:type="auto"/>
            <w:noWrap/>
            <w:vAlign w:val="center"/>
            <w:hideMark/>
          </w:tcPr>
          <w:p w14:paraId="1451671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0.4721</w:t>
            </w:r>
          </w:p>
        </w:tc>
        <w:tc>
          <w:tcPr>
            <w:tcW w:w="0" w:type="auto"/>
            <w:noWrap/>
            <w:vAlign w:val="center"/>
            <w:hideMark/>
          </w:tcPr>
          <w:p w14:paraId="11EC656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68.9893</w:t>
            </w:r>
          </w:p>
        </w:tc>
        <w:tc>
          <w:tcPr>
            <w:tcW w:w="0" w:type="auto"/>
            <w:noWrap/>
            <w:vAlign w:val="center"/>
            <w:hideMark/>
          </w:tcPr>
          <w:p w14:paraId="34F9D81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11.3488</w:t>
            </w:r>
          </w:p>
        </w:tc>
        <w:tc>
          <w:tcPr>
            <w:tcW w:w="0" w:type="auto"/>
            <w:noWrap/>
            <w:vAlign w:val="center"/>
            <w:hideMark/>
          </w:tcPr>
          <w:p w14:paraId="6FE29C8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13.6568</w:t>
            </w:r>
          </w:p>
        </w:tc>
        <w:tc>
          <w:tcPr>
            <w:tcW w:w="0" w:type="auto"/>
            <w:noWrap/>
            <w:vAlign w:val="center"/>
            <w:hideMark/>
          </w:tcPr>
          <w:p w14:paraId="639BC22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0.5799</w:t>
            </w:r>
          </w:p>
        </w:tc>
        <w:tc>
          <w:tcPr>
            <w:tcW w:w="0" w:type="auto"/>
            <w:noWrap/>
            <w:vAlign w:val="center"/>
            <w:hideMark/>
          </w:tcPr>
          <w:p w14:paraId="69744D9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10.6196</w:t>
            </w:r>
          </w:p>
        </w:tc>
        <w:tc>
          <w:tcPr>
            <w:tcW w:w="0" w:type="auto"/>
            <w:noWrap/>
            <w:vAlign w:val="center"/>
            <w:hideMark/>
          </w:tcPr>
          <w:p w14:paraId="2DD0E07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1.2724</w:t>
            </w:r>
          </w:p>
        </w:tc>
        <w:tc>
          <w:tcPr>
            <w:tcW w:w="0" w:type="auto"/>
            <w:noWrap/>
            <w:vAlign w:val="center"/>
            <w:hideMark/>
          </w:tcPr>
          <w:p w14:paraId="413FE37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1.1238</w:t>
            </w:r>
          </w:p>
        </w:tc>
        <w:tc>
          <w:tcPr>
            <w:tcW w:w="0" w:type="auto"/>
            <w:noWrap/>
            <w:vAlign w:val="center"/>
            <w:hideMark/>
          </w:tcPr>
          <w:p w14:paraId="4B06027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0.1014</w:t>
            </w:r>
          </w:p>
        </w:tc>
        <w:tc>
          <w:tcPr>
            <w:tcW w:w="0" w:type="auto"/>
            <w:noWrap/>
            <w:vAlign w:val="center"/>
            <w:hideMark/>
          </w:tcPr>
          <w:p w14:paraId="4099EFA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0.0001</w:t>
            </w:r>
          </w:p>
        </w:tc>
        <w:tc>
          <w:tcPr>
            <w:tcW w:w="0" w:type="auto"/>
            <w:noWrap/>
            <w:vAlign w:val="center"/>
            <w:hideMark/>
          </w:tcPr>
          <w:p w14:paraId="6C8B40F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0.0001</w:t>
            </w:r>
          </w:p>
        </w:tc>
      </w:tr>
      <w:tr w:rsidR="009D4E8C" w:rsidRPr="0069595A" w14:paraId="2EEAFE9D" w14:textId="77777777" w:rsidTr="00BF291E">
        <w:trPr>
          <w:trHeight w:val="20"/>
          <w:jc w:val="center"/>
        </w:trPr>
        <w:tc>
          <w:tcPr>
            <w:tcW w:w="0" w:type="auto"/>
            <w:noWrap/>
            <w:vAlign w:val="center"/>
            <w:hideMark/>
          </w:tcPr>
          <w:p w14:paraId="087B0533"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2021–22</w:t>
            </w:r>
          </w:p>
        </w:tc>
        <w:tc>
          <w:tcPr>
            <w:tcW w:w="0" w:type="auto"/>
            <w:noWrap/>
            <w:vAlign w:val="center"/>
            <w:hideMark/>
          </w:tcPr>
          <w:p w14:paraId="728326F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2C7B408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0.006</w:t>
            </w:r>
          </w:p>
        </w:tc>
        <w:tc>
          <w:tcPr>
            <w:tcW w:w="0" w:type="auto"/>
            <w:noWrap/>
            <w:vAlign w:val="center"/>
            <w:hideMark/>
          </w:tcPr>
          <w:p w14:paraId="0F6750B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5.291</w:t>
            </w:r>
          </w:p>
        </w:tc>
        <w:tc>
          <w:tcPr>
            <w:tcW w:w="0" w:type="auto"/>
            <w:noWrap/>
            <w:vAlign w:val="center"/>
            <w:hideMark/>
          </w:tcPr>
          <w:p w14:paraId="098F3B0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0.8548</w:t>
            </w:r>
          </w:p>
        </w:tc>
        <w:tc>
          <w:tcPr>
            <w:tcW w:w="0" w:type="auto"/>
            <w:noWrap/>
            <w:vAlign w:val="center"/>
            <w:hideMark/>
          </w:tcPr>
          <w:p w14:paraId="56D7E27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79.4984</w:t>
            </w:r>
          </w:p>
        </w:tc>
        <w:tc>
          <w:tcPr>
            <w:tcW w:w="0" w:type="auto"/>
            <w:noWrap/>
            <w:vAlign w:val="center"/>
            <w:hideMark/>
          </w:tcPr>
          <w:p w14:paraId="3316E8A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1.1615</w:t>
            </w:r>
          </w:p>
        </w:tc>
        <w:tc>
          <w:tcPr>
            <w:tcW w:w="0" w:type="auto"/>
            <w:noWrap/>
            <w:vAlign w:val="center"/>
            <w:hideMark/>
          </w:tcPr>
          <w:p w14:paraId="10E86C8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4.0549</w:t>
            </w:r>
          </w:p>
        </w:tc>
        <w:tc>
          <w:tcPr>
            <w:tcW w:w="0" w:type="auto"/>
            <w:noWrap/>
            <w:vAlign w:val="center"/>
            <w:hideMark/>
          </w:tcPr>
          <w:p w14:paraId="3F98DF7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5.7799</w:t>
            </w:r>
          </w:p>
        </w:tc>
        <w:tc>
          <w:tcPr>
            <w:tcW w:w="0" w:type="auto"/>
            <w:noWrap/>
            <w:vAlign w:val="center"/>
            <w:hideMark/>
          </w:tcPr>
          <w:p w14:paraId="66C1E9A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10.1916</w:t>
            </w:r>
          </w:p>
        </w:tc>
        <w:tc>
          <w:tcPr>
            <w:tcW w:w="0" w:type="auto"/>
            <w:noWrap/>
            <w:vAlign w:val="center"/>
            <w:hideMark/>
          </w:tcPr>
          <w:p w14:paraId="382E0E4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3.0887</w:t>
            </w:r>
          </w:p>
        </w:tc>
        <w:tc>
          <w:tcPr>
            <w:tcW w:w="0" w:type="auto"/>
            <w:noWrap/>
            <w:vAlign w:val="center"/>
            <w:hideMark/>
          </w:tcPr>
          <w:p w14:paraId="59E591E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0.964</w:t>
            </w:r>
          </w:p>
        </w:tc>
        <w:tc>
          <w:tcPr>
            <w:tcW w:w="0" w:type="auto"/>
            <w:noWrap/>
            <w:vAlign w:val="center"/>
            <w:hideMark/>
          </w:tcPr>
          <w:p w14:paraId="571A3C6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0.399</w:t>
            </w:r>
          </w:p>
        </w:tc>
        <w:tc>
          <w:tcPr>
            <w:tcW w:w="0" w:type="auto"/>
            <w:noWrap/>
            <w:vAlign w:val="center"/>
            <w:hideMark/>
          </w:tcPr>
          <w:p w14:paraId="248C293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0.0001</w:t>
            </w:r>
          </w:p>
        </w:tc>
        <w:tc>
          <w:tcPr>
            <w:tcW w:w="0" w:type="auto"/>
            <w:noWrap/>
            <w:vAlign w:val="center"/>
            <w:hideMark/>
          </w:tcPr>
          <w:p w14:paraId="3014F44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r>
      <w:tr w:rsidR="009D4E8C" w:rsidRPr="0069595A" w14:paraId="0CB29109" w14:textId="77777777" w:rsidTr="00BF291E">
        <w:trPr>
          <w:trHeight w:val="20"/>
          <w:jc w:val="center"/>
        </w:trPr>
        <w:tc>
          <w:tcPr>
            <w:tcW w:w="0" w:type="auto"/>
            <w:noWrap/>
            <w:vAlign w:val="center"/>
            <w:hideMark/>
          </w:tcPr>
          <w:p w14:paraId="08368BD4"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2022–23</w:t>
            </w:r>
          </w:p>
        </w:tc>
        <w:tc>
          <w:tcPr>
            <w:tcW w:w="0" w:type="auto"/>
            <w:noWrap/>
            <w:vAlign w:val="center"/>
            <w:hideMark/>
          </w:tcPr>
          <w:p w14:paraId="2F9EFFB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0.0059</w:t>
            </w:r>
          </w:p>
        </w:tc>
        <w:tc>
          <w:tcPr>
            <w:tcW w:w="0" w:type="auto"/>
            <w:noWrap/>
            <w:vAlign w:val="center"/>
            <w:hideMark/>
          </w:tcPr>
          <w:p w14:paraId="01C5A03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0.0009</w:t>
            </w:r>
          </w:p>
        </w:tc>
        <w:tc>
          <w:tcPr>
            <w:tcW w:w="0" w:type="auto"/>
            <w:noWrap/>
            <w:vAlign w:val="center"/>
            <w:hideMark/>
          </w:tcPr>
          <w:p w14:paraId="15A064C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5.6346</w:t>
            </w:r>
          </w:p>
        </w:tc>
        <w:tc>
          <w:tcPr>
            <w:tcW w:w="0" w:type="auto"/>
            <w:noWrap/>
            <w:vAlign w:val="center"/>
            <w:hideMark/>
          </w:tcPr>
          <w:p w14:paraId="4546F75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0.4503</w:t>
            </w:r>
          </w:p>
        </w:tc>
        <w:tc>
          <w:tcPr>
            <w:tcW w:w="0" w:type="auto"/>
            <w:noWrap/>
            <w:vAlign w:val="center"/>
            <w:hideMark/>
          </w:tcPr>
          <w:p w14:paraId="4E8CB02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71.8559</w:t>
            </w:r>
          </w:p>
        </w:tc>
        <w:tc>
          <w:tcPr>
            <w:tcW w:w="0" w:type="auto"/>
            <w:noWrap/>
            <w:vAlign w:val="center"/>
            <w:hideMark/>
          </w:tcPr>
          <w:p w14:paraId="064ED4A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2.5642</w:t>
            </w:r>
          </w:p>
        </w:tc>
        <w:tc>
          <w:tcPr>
            <w:tcW w:w="0" w:type="auto"/>
            <w:noWrap/>
            <w:vAlign w:val="center"/>
            <w:hideMark/>
          </w:tcPr>
          <w:p w14:paraId="194120F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8.8046</w:t>
            </w:r>
          </w:p>
        </w:tc>
        <w:tc>
          <w:tcPr>
            <w:tcW w:w="0" w:type="auto"/>
            <w:noWrap/>
            <w:vAlign w:val="center"/>
            <w:hideMark/>
          </w:tcPr>
          <w:p w14:paraId="729AD88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12.48</w:t>
            </w:r>
          </w:p>
        </w:tc>
        <w:tc>
          <w:tcPr>
            <w:tcW w:w="0" w:type="auto"/>
            <w:noWrap/>
            <w:vAlign w:val="center"/>
            <w:hideMark/>
          </w:tcPr>
          <w:p w14:paraId="3971BEB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12.3953</w:t>
            </w:r>
          </w:p>
        </w:tc>
        <w:tc>
          <w:tcPr>
            <w:tcW w:w="0" w:type="auto"/>
            <w:noWrap/>
            <w:vAlign w:val="center"/>
            <w:hideMark/>
          </w:tcPr>
          <w:p w14:paraId="5BAE15C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0.8317</w:t>
            </w:r>
          </w:p>
        </w:tc>
        <w:tc>
          <w:tcPr>
            <w:tcW w:w="0" w:type="auto"/>
            <w:noWrap/>
            <w:vAlign w:val="center"/>
            <w:hideMark/>
          </w:tcPr>
          <w:p w14:paraId="4086159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1.3035</w:t>
            </w:r>
          </w:p>
        </w:tc>
        <w:tc>
          <w:tcPr>
            <w:tcW w:w="0" w:type="auto"/>
            <w:noWrap/>
            <w:vAlign w:val="center"/>
            <w:hideMark/>
          </w:tcPr>
          <w:p w14:paraId="72F7E2D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0.0951</w:t>
            </w:r>
          </w:p>
        </w:tc>
        <w:tc>
          <w:tcPr>
            <w:tcW w:w="0" w:type="auto"/>
            <w:noWrap/>
            <w:vAlign w:val="center"/>
            <w:hideMark/>
          </w:tcPr>
          <w:p w14:paraId="2AC6B59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2431270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r>
      <w:tr w:rsidR="009D4E8C" w:rsidRPr="0069595A" w14:paraId="288D87FC" w14:textId="77777777" w:rsidTr="00BF291E">
        <w:trPr>
          <w:trHeight w:val="20"/>
          <w:jc w:val="center"/>
        </w:trPr>
        <w:tc>
          <w:tcPr>
            <w:tcW w:w="0" w:type="auto"/>
            <w:noWrap/>
            <w:vAlign w:val="center"/>
            <w:hideMark/>
          </w:tcPr>
          <w:p w14:paraId="3972ABCF"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2023–24</w:t>
            </w:r>
          </w:p>
        </w:tc>
        <w:tc>
          <w:tcPr>
            <w:tcW w:w="0" w:type="auto"/>
            <w:noWrap/>
            <w:vAlign w:val="center"/>
            <w:hideMark/>
          </w:tcPr>
          <w:p w14:paraId="7F35FE1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0.0053</w:t>
            </w:r>
          </w:p>
        </w:tc>
        <w:tc>
          <w:tcPr>
            <w:tcW w:w="0" w:type="auto"/>
            <w:noWrap/>
            <w:vAlign w:val="center"/>
            <w:hideMark/>
          </w:tcPr>
          <w:p w14:paraId="5562772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0.5611</w:t>
            </w:r>
          </w:p>
        </w:tc>
        <w:tc>
          <w:tcPr>
            <w:tcW w:w="0" w:type="auto"/>
            <w:noWrap/>
            <w:vAlign w:val="center"/>
            <w:hideMark/>
          </w:tcPr>
          <w:p w14:paraId="3D82CEB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5.2224</w:t>
            </w:r>
          </w:p>
        </w:tc>
        <w:tc>
          <w:tcPr>
            <w:tcW w:w="0" w:type="auto"/>
            <w:noWrap/>
            <w:vAlign w:val="center"/>
            <w:hideMark/>
          </w:tcPr>
          <w:p w14:paraId="5E4031D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61.5782</w:t>
            </w:r>
          </w:p>
        </w:tc>
        <w:tc>
          <w:tcPr>
            <w:tcW w:w="0" w:type="auto"/>
            <w:noWrap/>
            <w:vAlign w:val="center"/>
            <w:hideMark/>
          </w:tcPr>
          <w:p w14:paraId="5FC5FC1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63.6897</w:t>
            </w:r>
          </w:p>
        </w:tc>
        <w:tc>
          <w:tcPr>
            <w:tcW w:w="0" w:type="auto"/>
            <w:noWrap/>
            <w:vAlign w:val="center"/>
            <w:hideMark/>
          </w:tcPr>
          <w:p w14:paraId="49660F5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8.4437</w:t>
            </w:r>
          </w:p>
        </w:tc>
        <w:tc>
          <w:tcPr>
            <w:tcW w:w="0" w:type="auto"/>
            <w:noWrap/>
            <w:vAlign w:val="center"/>
            <w:hideMark/>
          </w:tcPr>
          <w:p w14:paraId="6B688EB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20.0523</w:t>
            </w:r>
          </w:p>
        </w:tc>
        <w:tc>
          <w:tcPr>
            <w:tcW w:w="0" w:type="auto"/>
            <w:noWrap/>
            <w:vAlign w:val="center"/>
            <w:hideMark/>
          </w:tcPr>
          <w:p w14:paraId="25390A0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0.8938</w:t>
            </w:r>
          </w:p>
        </w:tc>
        <w:tc>
          <w:tcPr>
            <w:tcW w:w="0" w:type="auto"/>
            <w:noWrap/>
            <w:vAlign w:val="center"/>
            <w:hideMark/>
          </w:tcPr>
          <w:p w14:paraId="18439ED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10.0311</w:t>
            </w:r>
          </w:p>
        </w:tc>
        <w:tc>
          <w:tcPr>
            <w:tcW w:w="0" w:type="auto"/>
            <w:noWrap/>
            <w:vAlign w:val="center"/>
            <w:hideMark/>
          </w:tcPr>
          <w:p w14:paraId="753088B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3.7484</w:t>
            </w:r>
          </w:p>
        </w:tc>
        <w:tc>
          <w:tcPr>
            <w:tcW w:w="0" w:type="auto"/>
            <w:noWrap/>
            <w:vAlign w:val="center"/>
            <w:hideMark/>
          </w:tcPr>
          <w:p w14:paraId="61F90D8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0.9992</w:t>
            </w:r>
          </w:p>
        </w:tc>
        <w:tc>
          <w:tcPr>
            <w:tcW w:w="0" w:type="auto"/>
            <w:noWrap/>
            <w:vAlign w:val="center"/>
            <w:hideMark/>
          </w:tcPr>
          <w:p w14:paraId="2A88A71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0.2546</w:t>
            </w:r>
          </w:p>
        </w:tc>
        <w:tc>
          <w:tcPr>
            <w:tcW w:w="0" w:type="auto"/>
            <w:noWrap/>
            <w:vAlign w:val="center"/>
            <w:hideMark/>
          </w:tcPr>
          <w:p w14:paraId="577E2BC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0.0001</w:t>
            </w:r>
          </w:p>
        </w:tc>
        <w:tc>
          <w:tcPr>
            <w:tcW w:w="0" w:type="auto"/>
            <w:noWrap/>
            <w:vAlign w:val="center"/>
            <w:hideMark/>
          </w:tcPr>
          <w:p w14:paraId="1E61C9F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0.0011</w:t>
            </w:r>
          </w:p>
        </w:tc>
      </w:tr>
      <w:tr w:rsidR="009D4E8C" w:rsidRPr="0069595A" w14:paraId="6519F63D" w14:textId="77777777" w:rsidTr="00BF291E">
        <w:trPr>
          <w:trHeight w:val="20"/>
          <w:jc w:val="center"/>
        </w:trPr>
        <w:tc>
          <w:tcPr>
            <w:tcW w:w="0" w:type="auto"/>
            <w:noWrap/>
            <w:vAlign w:val="center"/>
            <w:hideMark/>
          </w:tcPr>
          <w:p w14:paraId="58A68911"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Mean</w:t>
            </w:r>
          </w:p>
        </w:tc>
        <w:tc>
          <w:tcPr>
            <w:tcW w:w="0" w:type="auto"/>
            <w:noWrap/>
            <w:vAlign w:val="center"/>
            <w:hideMark/>
          </w:tcPr>
          <w:p w14:paraId="07E525B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0.0029</w:t>
            </w:r>
          </w:p>
        </w:tc>
        <w:tc>
          <w:tcPr>
            <w:tcW w:w="0" w:type="auto"/>
            <w:noWrap/>
            <w:vAlign w:val="center"/>
            <w:hideMark/>
          </w:tcPr>
          <w:p w14:paraId="7CE3F34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0.0953</w:t>
            </w:r>
          </w:p>
        </w:tc>
        <w:tc>
          <w:tcPr>
            <w:tcW w:w="0" w:type="auto"/>
            <w:noWrap/>
            <w:vAlign w:val="center"/>
            <w:hideMark/>
          </w:tcPr>
          <w:p w14:paraId="4FF9E8C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5.0227</w:t>
            </w:r>
          </w:p>
        </w:tc>
        <w:tc>
          <w:tcPr>
            <w:tcW w:w="0" w:type="auto"/>
            <w:noWrap/>
            <w:vAlign w:val="center"/>
            <w:hideMark/>
          </w:tcPr>
          <w:p w14:paraId="4163F46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9.4299</w:t>
            </w:r>
          </w:p>
        </w:tc>
        <w:tc>
          <w:tcPr>
            <w:tcW w:w="0" w:type="auto"/>
            <w:noWrap/>
            <w:vAlign w:val="center"/>
            <w:hideMark/>
          </w:tcPr>
          <w:p w14:paraId="32A50D8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72.8138</w:t>
            </w:r>
          </w:p>
        </w:tc>
        <w:tc>
          <w:tcPr>
            <w:tcW w:w="0" w:type="auto"/>
            <w:noWrap/>
            <w:vAlign w:val="center"/>
            <w:hideMark/>
          </w:tcPr>
          <w:p w14:paraId="0103FD2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4.7527</w:t>
            </w:r>
          </w:p>
        </w:tc>
        <w:tc>
          <w:tcPr>
            <w:tcW w:w="0" w:type="auto"/>
            <w:noWrap/>
            <w:vAlign w:val="center"/>
            <w:hideMark/>
          </w:tcPr>
          <w:p w14:paraId="1112D11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10.7618</w:t>
            </w:r>
          </w:p>
        </w:tc>
        <w:tc>
          <w:tcPr>
            <w:tcW w:w="0" w:type="auto"/>
            <w:noWrap/>
            <w:vAlign w:val="center"/>
            <w:hideMark/>
          </w:tcPr>
          <w:p w14:paraId="19EBA9E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5.9845</w:t>
            </w:r>
          </w:p>
        </w:tc>
        <w:tc>
          <w:tcPr>
            <w:tcW w:w="0" w:type="auto"/>
            <w:noWrap/>
            <w:vAlign w:val="center"/>
            <w:hideMark/>
          </w:tcPr>
          <w:p w14:paraId="00E3079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10.3558</w:t>
            </w:r>
          </w:p>
        </w:tc>
        <w:tc>
          <w:tcPr>
            <w:tcW w:w="0" w:type="auto"/>
            <w:noWrap/>
            <w:vAlign w:val="center"/>
            <w:hideMark/>
          </w:tcPr>
          <w:p w14:paraId="20A7BC5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2.064</w:t>
            </w:r>
          </w:p>
        </w:tc>
        <w:tc>
          <w:tcPr>
            <w:tcW w:w="0" w:type="auto"/>
            <w:noWrap/>
            <w:vAlign w:val="center"/>
            <w:hideMark/>
          </w:tcPr>
          <w:p w14:paraId="5DF0E41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1.0425</w:t>
            </w:r>
          </w:p>
        </w:tc>
        <w:tc>
          <w:tcPr>
            <w:tcW w:w="0" w:type="auto"/>
            <w:noWrap/>
            <w:vAlign w:val="center"/>
            <w:hideMark/>
          </w:tcPr>
          <w:p w14:paraId="7D6BB79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0.1985</w:t>
            </w:r>
          </w:p>
        </w:tc>
        <w:tc>
          <w:tcPr>
            <w:tcW w:w="0" w:type="auto"/>
            <w:noWrap/>
            <w:vAlign w:val="center"/>
            <w:hideMark/>
          </w:tcPr>
          <w:p w14:paraId="28704A7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0.0004</w:t>
            </w:r>
          </w:p>
        </w:tc>
        <w:tc>
          <w:tcPr>
            <w:tcW w:w="0" w:type="auto"/>
            <w:noWrap/>
            <w:vAlign w:val="center"/>
            <w:hideMark/>
          </w:tcPr>
          <w:p w14:paraId="76E5B33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0.0002</w:t>
            </w:r>
          </w:p>
        </w:tc>
      </w:tr>
      <w:tr w:rsidR="009D4E8C" w:rsidRPr="0069595A" w14:paraId="3029D9D0" w14:textId="77777777" w:rsidTr="00BF291E">
        <w:trPr>
          <w:trHeight w:val="20"/>
          <w:jc w:val="center"/>
        </w:trPr>
        <w:tc>
          <w:tcPr>
            <w:tcW w:w="0" w:type="auto"/>
            <w:noWrap/>
            <w:vAlign w:val="center"/>
            <w:hideMark/>
          </w:tcPr>
          <w:p w14:paraId="30085C4D"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Min</w:t>
            </w:r>
          </w:p>
        </w:tc>
        <w:tc>
          <w:tcPr>
            <w:tcW w:w="0" w:type="auto"/>
            <w:noWrap/>
            <w:vAlign w:val="center"/>
            <w:hideMark/>
          </w:tcPr>
          <w:p w14:paraId="4BC9BD2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156A707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0.0006</w:t>
            </w:r>
          </w:p>
        </w:tc>
        <w:tc>
          <w:tcPr>
            <w:tcW w:w="0" w:type="auto"/>
            <w:noWrap/>
            <w:vAlign w:val="center"/>
            <w:hideMark/>
          </w:tcPr>
          <w:p w14:paraId="2F68486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3.8625</w:t>
            </w:r>
          </w:p>
        </w:tc>
        <w:tc>
          <w:tcPr>
            <w:tcW w:w="0" w:type="auto"/>
            <w:noWrap/>
            <w:vAlign w:val="center"/>
            <w:hideMark/>
          </w:tcPr>
          <w:p w14:paraId="4EAEC82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0.4503</w:t>
            </w:r>
          </w:p>
        </w:tc>
        <w:tc>
          <w:tcPr>
            <w:tcW w:w="0" w:type="auto"/>
            <w:noWrap/>
            <w:vAlign w:val="center"/>
            <w:hideMark/>
          </w:tcPr>
          <w:p w14:paraId="22422CA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63.6897</w:t>
            </w:r>
          </w:p>
        </w:tc>
        <w:tc>
          <w:tcPr>
            <w:tcW w:w="0" w:type="auto"/>
            <w:noWrap/>
            <w:vAlign w:val="center"/>
            <w:hideMark/>
          </w:tcPr>
          <w:p w14:paraId="5FB704D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1.1615</w:t>
            </w:r>
          </w:p>
        </w:tc>
        <w:tc>
          <w:tcPr>
            <w:tcW w:w="0" w:type="auto"/>
            <w:noWrap/>
            <w:vAlign w:val="center"/>
            <w:hideMark/>
          </w:tcPr>
          <w:p w14:paraId="0B426D1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4.0549</w:t>
            </w:r>
          </w:p>
        </w:tc>
        <w:tc>
          <w:tcPr>
            <w:tcW w:w="0" w:type="auto"/>
            <w:noWrap/>
            <w:vAlign w:val="center"/>
            <w:hideMark/>
          </w:tcPr>
          <w:p w14:paraId="0E60379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0.5799</w:t>
            </w:r>
          </w:p>
        </w:tc>
        <w:tc>
          <w:tcPr>
            <w:tcW w:w="0" w:type="auto"/>
            <w:noWrap/>
            <w:vAlign w:val="center"/>
            <w:hideMark/>
          </w:tcPr>
          <w:p w14:paraId="1C42729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9.0835</w:t>
            </w:r>
          </w:p>
        </w:tc>
        <w:tc>
          <w:tcPr>
            <w:tcW w:w="0" w:type="auto"/>
            <w:noWrap/>
            <w:vAlign w:val="center"/>
            <w:hideMark/>
          </w:tcPr>
          <w:p w14:paraId="3C326AD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0.6653</w:t>
            </w:r>
          </w:p>
        </w:tc>
        <w:tc>
          <w:tcPr>
            <w:tcW w:w="0" w:type="auto"/>
            <w:noWrap/>
            <w:vAlign w:val="center"/>
            <w:hideMark/>
          </w:tcPr>
          <w:p w14:paraId="753A649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0.7883</w:t>
            </w:r>
          </w:p>
        </w:tc>
        <w:tc>
          <w:tcPr>
            <w:tcW w:w="0" w:type="auto"/>
            <w:noWrap/>
            <w:vAlign w:val="center"/>
            <w:hideMark/>
          </w:tcPr>
          <w:p w14:paraId="5C32F46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0.0507</w:t>
            </w:r>
          </w:p>
        </w:tc>
        <w:tc>
          <w:tcPr>
            <w:tcW w:w="0" w:type="auto"/>
            <w:noWrap/>
            <w:vAlign w:val="center"/>
            <w:hideMark/>
          </w:tcPr>
          <w:p w14:paraId="29D7597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458F93E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r>
      <w:tr w:rsidR="009D4E8C" w:rsidRPr="0069595A" w14:paraId="5875770D" w14:textId="77777777" w:rsidTr="00BF291E">
        <w:trPr>
          <w:trHeight w:val="20"/>
          <w:jc w:val="center"/>
        </w:trPr>
        <w:tc>
          <w:tcPr>
            <w:tcW w:w="0" w:type="auto"/>
            <w:noWrap/>
            <w:vAlign w:val="center"/>
            <w:hideMark/>
          </w:tcPr>
          <w:p w14:paraId="5095D2AF"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Max</w:t>
            </w:r>
          </w:p>
        </w:tc>
        <w:tc>
          <w:tcPr>
            <w:tcW w:w="0" w:type="auto"/>
            <w:noWrap/>
            <w:vAlign w:val="center"/>
            <w:hideMark/>
          </w:tcPr>
          <w:p w14:paraId="1EC0606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0.0059</w:t>
            </w:r>
          </w:p>
        </w:tc>
        <w:tc>
          <w:tcPr>
            <w:tcW w:w="0" w:type="auto"/>
            <w:noWrap/>
            <w:vAlign w:val="center"/>
            <w:hideMark/>
          </w:tcPr>
          <w:p w14:paraId="553F780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0.5611</w:t>
            </w:r>
          </w:p>
        </w:tc>
        <w:tc>
          <w:tcPr>
            <w:tcW w:w="0" w:type="auto"/>
            <w:noWrap/>
            <w:vAlign w:val="center"/>
            <w:hideMark/>
          </w:tcPr>
          <w:p w14:paraId="7EEBB2B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5.6346</w:t>
            </w:r>
          </w:p>
        </w:tc>
        <w:tc>
          <w:tcPr>
            <w:tcW w:w="0" w:type="auto"/>
            <w:noWrap/>
            <w:vAlign w:val="center"/>
            <w:hideMark/>
          </w:tcPr>
          <w:p w14:paraId="333466C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61.5782</w:t>
            </w:r>
          </w:p>
        </w:tc>
        <w:tc>
          <w:tcPr>
            <w:tcW w:w="0" w:type="auto"/>
            <w:noWrap/>
            <w:vAlign w:val="center"/>
            <w:hideMark/>
          </w:tcPr>
          <w:p w14:paraId="7C57DEF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80.2971</w:t>
            </w:r>
          </w:p>
        </w:tc>
        <w:tc>
          <w:tcPr>
            <w:tcW w:w="0" w:type="auto"/>
            <w:noWrap/>
            <w:vAlign w:val="center"/>
            <w:hideMark/>
          </w:tcPr>
          <w:p w14:paraId="5212BC6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11.3488</w:t>
            </w:r>
          </w:p>
        </w:tc>
        <w:tc>
          <w:tcPr>
            <w:tcW w:w="0" w:type="auto"/>
            <w:noWrap/>
            <w:vAlign w:val="center"/>
            <w:hideMark/>
          </w:tcPr>
          <w:p w14:paraId="33D24DE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20.0523</w:t>
            </w:r>
          </w:p>
        </w:tc>
        <w:tc>
          <w:tcPr>
            <w:tcW w:w="0" w:type="auto"/>
            <w:noWrap/>
            <w:vAlign w:val="center"/>
            <w:hideMark/>
          </w:tcPr>
          <w:p w14:paraId="260451C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13.2599</w:t>
            </w:r>
          </w:p>
        </w:tc>
        <w:tc>
          <w:tcPr>
            <w:tcW w:w="0" w:type="auto"/>
            <w:noWrap/>
            <w:vAlign w:val="center"/>
            <w:hideMark/>
          </w:tcPr>
          <w:p w14:paraId="0EC1AFC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12.3953</w:t>
            </w:r>
          </w:p>
        </w:tc>
        <w:tc>
          <w:tcPr>
            <w:tcW w:w="0" w:type="auto"/>
            <w:noWrap/>
            <w:vAlign w:val="center"/>
            <w:hideMark/>
          </w:tcPr>
          <w:p w14:paraId="378174D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3.7484</w:t>
            </w:r>
          </w:p>
        </w:tc>
        <w:tc>
          <w:tcPr>
            <w:tcW w:w="0" w:type="auto"/>
            <w:noWrap/>
            <w:vAlign w:val="center"/>
            <w:hideMark/>
          </w:tcPr>
          <w:p w14:paraId="7C6CD04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1.3035</w:t>
            </w:r>
          </w:p>
        </w:tc>
        <w:tc>
          <w:tcPr>
            <w:tcW w:w="0" w:type="auto"/>
            <w:noWrap/>
            <w:vAlign w:val="center"/>
            <w:hideMark/>
          </w:tcPr>
          <w:p w14:paraId="757FCC2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0.399</w:t>
            </w:r>
          </w:p>
        </w:tc>
        <w:tc>
          <w:tcPr>
            <w:tcW w:w="0" w:type="auto"/>
            <w:noWrap/>
            <w:vAlign w:val="center"/>
            <w:hideMark/>
          </w:tcPr>
          <w:p w14:paraId="42C8A8C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0.0024</w:t>
            </w:r>
          </w:p>
        </w:tc>
        <w:tc>
          <w:tcPr>
            <w:tcW w:w="0" w:type="auto"/>
            <w:noWrap/>
            <w:vAlign w:val="center"/>
            <w:hideMark/>
          </w:tcPr>
          <w:p w14:paraId="27007AD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0.0011</w:t>
            </w:r>
          </w:p>
        </w:tc>
      </w:tr>
      <w:tr w:rsidR="002D30C8" w:rsidRPr="0069595A" w14:paraId="6D9E7F11" w14:textId="77777777" w:rsidTr="0009288A">
        <w:trPr>
          <w:trHeight w:val="20"/>
          <w:jc w:val="center"/>
        </w:trPr>
        <w:tc>
          <w:tcPr>
            <w:tcW w:w="0" w:type="auto"/>
            <w:tcBorders>
              <w:bottom w:val="single" w:sz="4" w:space="0" w:color="auto"/>
            </w:tcBorders>
            <w:noWrap/>
            <w:vAlign w:val="center"/>
            <w:hideMark/>
          </w:tcPr>
          <w:p w14:paraId="2D650B9C"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Net Change</w:t>
            </w:r>
          </w:p>
        </w:tc>
        <w:tc>
          <w:tcPr>
            <w:tcW w:w="0" w:type="auto"/>
            <w:gridSpan w:val="2"/>
            <w:tcBorders>
              <w:bottom w:val="single" w:sz="4" w:space="0" w:color="auto"/>
            </w:tcBorders>
            <w:noWrap/>
            <w:vAlign w:val="center"/>
            <w:hideMark/>
          </w:tcPr>
          <w:p w14:paraId="187B2A0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0.0923</w:t>
            </w:r>
          </w:p>
        </w:tc>
        <w:tc>
          <w:tcPr>
            <w:tcW w:w="0" w:type="auto"/>
            <w:gridSpan w:val="2"/>
            <w:tcBorders>
              <w:bottom w:val="single" w:sz="4" w:space="0" w:color="auto"/>
            </w:tcBorders>
            <w:noWrap/>
            <w:vAlign w:val="center"/>
            <w:hideMark/>
          </w:tcPr>
          <w:p w14:paraId="4807230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4.9785</w:t>
            </w:r>
          </w:p>
        </w:tc>
        <w:tc>
          <w:tcPr>
            <w:tcW w:w="0" w:type="auto"/>
            <w:gridSpan w:val="2"/>
            <w:tcBorders>
              <w:bottom w:val="single" w:sz="4" w:space="0" w:color="auto"/>
            </w:tcBorders>
            <w:noWrap/>
            <w:vAlign w:val="center"/>
            <w:hideMark/>
          </w:tcPr>
          <w:p w14:paraId="54D7CC5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–68.6328</w:t>
            </w:r>
          </w:p>
        </w:tc>
        <w:tc>
          <w:tcPr>
            <w:tcW w:w="0" w:type="auto"/>
            <w:gridSpan w:val="2"/>
            <w:tcBorders>
              <w:bottom w:val="single" w:sz="4" w:space="0" w:color="auto"/>
            </w:tcBorders>
            <w:noWrap/>
            <w:vAlign w:val="center"/>
            <w:hideMark/>
          </w:tcPr>
          <w:p w14:paraId="75C7D92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–4.1230</w:t>
            </w:r>
          </w:p>
        </w:tc>
        <w:tc>
          <w:tcPr>
            <w:tcW w:w="0" w:type="auto"/>
            <w:gridSpan w:val="2"/>
            <w:tcBorders>
              <w:bottom w:val="single" w:sz="4" w:space="0" w:color="auto"/>
            </w:tcBorders>
            <w:noWrap/>
            <w:vAlign w:val="center"/>
            <w:hideMark/>
          </w:tcPr>
          <w:p w14:paraId="0EE3D24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–8.5775</w:t>
            </w:r>
          </w:p>
        </w:tc>
        <w:tc>
          <w:tcPr>
            <w:tcW w:w="0" w:type="auto"/>
            <w:gridSpan w:val="2"/>
            <w:tcBorders>
              <w:bottom w:val="single" w:sz="4" w:space="0" w:color="auto"/>
            </w:tcBorders>
            <w:noWrap/>
            <w:vAlign w:val="center"/>
            <w:hideMark/>
          </w:tcPr>
          <w:p w14:paraId="55064DA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–0.8440</w:t>
            </w:r>
          </w:p>
        </w:tc>
        <w:tc>
          <w:tcPr>
            <w:tcW w:w="0" w:type="auto"/>
            <w:gridSpan w:val="2"/>
            <w:tcBorders>
              <w:bottom w:val="single" w:sz="4" w:space="0" w:color="auto"/>
            </w:tcBorders>
            <w:noWrap/>
            <w:vAlign w:val="center"/>
            <w:hideMark/>
          </w:tcPr>
          <w:p w14:paraId="6DDDB61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–0.0002</w:t>
            </w:r>
          </w:p>
        </w:tc>
      </w:tr>
      <w:tr w:rsidR="0009288A" w:rsidRPr="0069595A" w14:paraId="4F53716C" w14:textId="77777777" w:rsidTr="0009288A">
        <w:trPr>
          <w:trHeight w:val="20"/>
          <w:jc w:val="center"/>
        </w:trPr>
        <w:tc>
          <w:tcPr>
            <w:tcW w:w="0" w:type="auto"/>
            <w:gridSpan w:val="15"/>
            <w:tcBorders>
              <w:top w:val="single" w:sz="4" w:space="0" w:color="auto"/>
              <w:left w:val="nil"/>
              <w:bottom w:val="nil"/>
              <w:right w:val="nil"/>
            </w:tcBorders>
            <w:noWrap/>
            <w:vAlign w:val="center"/>
          </w:tcPr>
          <w:p w14:paraId="05595661" w14:textId="2DBD2CB1" w:rsidR="0009288A" w:rsidRPr="004F45DD" w:rsidRDefault="0009288A" w:rsidP="0009288A">
            <w:pPr>
              <w:spacing w:before="240"/>
              <w:rPr>
                <w:rFonts w:ascii="Arial" w:hAnsi="Arial" w:cs="Arial"/>
                <w:i/>
                <w:iCs/>
                <w:color w:val="000000"/>
                <w:sz w:val="20"/>
                <w:szCs w:val="20"/>
              </w:rPr>
            </w:pPr>
            <w:r w:rsidRPr="004F45DD">
              <w:rPr>
                <w:rFonts w:ascii="Arial" w:hAnsi="Arial" w:cs="Arial"/>
                <w:i/>
                <w:iCs/>
                <w:color w:val="000000"/>
                <w:sz w:val="20"/>
                <w:szCs w:val="20"/>
              </w:rPr>
              <w:t>Note: O-Outflow, I-Inflow</w:t>
            </w:r>
          </w:p>
        </w:tc>
      </w:tr>
    </w:tbl>
    <w:p w14:paraId="3628061C" w14:textId="77777777" w:rsidR="00BF291E" w:rsidRPr="003F69FE" w:rsidRDefault="00BF291E" w:rsidP="00BF291E">
      <w:pPr>
        <w:spacing w:after="240" w:line="360" w:lineRule="auto"/>
        <w:jc w:val="both"/>
        <w:rPr>
          <w:bCs/>
          <w:color w:val="000000"/>
        </w:rPr>
      </w:pPr>
    </w:p>
    <w:p w14:paraId="7FE47D10" w14:textId="77777777" w:rsidR="005C3774" w:rsidRPr="003F69FE" w:rsidRDefault="005C3774" w:rsidP="00917D4E">
      <w:pPr>
        <w:spacing w:after="240" w:line="360" w:lineRule="auto"/>
        <w:jc w:val="both"/>
        <w:rPr>
          <w:bCs/>
          <w:color w:val="000000"/>
          <w:sz w:val="22"/>
          <w:szCs w:val="22"/>
        </w:rPr>
      </w:pPr>
    </w:p>
    <w:p w14:paraId="07693243" w14:textId="77777777" w:rsidR="003675B9" w:rsidRPr="003F69FE" w:rsidRDefault="003675B9" w:rsidP="00917D4E">
      <w:pPr>
        <w:spacing w:after="240" w:line="360" w:lineRule="auto"/>
        <w:jc w:val="both"/>
        <w:rPr>
          <w:bCs/>
          <w:color w:val="000000"/>
          <w:sz w:val="22"/>
          <w:szCs w:val="22"/>
        </w:rPr>
      </w:pPr>
    </w:p>
    <w:p w14:paraId="1BF94EDC" w14:textId="77777777" w:rsidR="003675B9" w:rsidRPr="003F69FE" w:rsidRDefault="003675B9" w:rsidP="00917D4E">
      <w:pPr>
        <w:spacing w:after="240" w:line="360" w:lineRule="auto"/>
        <w:jc w:val="both"/>
        <w:rPr>
          <w:bCs/>
          <w:color w:val="000000"/>
          <w:sz w:val="22"/>
          <w:szCs w:val="22"/>
        </w:rPr>
      </w:pPr>
    </w:p>
    <w:p w14:paraId="265970BC" w14:textId="77777777" w:rsidR="0069595A" w:rsidRDefault="0069595A" w:rsidP="00917D4E">
      <w:pPr>
        <w:spacing w:after="240" w:line="360" w:lineRule="auto"/>
        <w:jc w:val="both"/>
        <w:rPr>
          <w:rFonts w:ascii="Arial" w:hAnsi="Arial" w:cs="Arial"/>
          <w:bCs/>
          <w:color w:val="000000"/>
          <w:sz w:val="20"/>
          <w:szCs w:val="20"/>
        </w:rPr>
      </w:pPr>
    </w:p>
    <w:p w14:paraId="40E64F7F" w14:textId="77777777" w:rsidR="0069595A" w:rsidRDefault="0069595A" w:rsidP="00917D4E">
      <w:pPr>
        <w:spacing w:after="240" w:line="360" w:lineRule="auto"/>
        <w:jc w:val="both"/>
        <w:rPr>
          <w:rFonts w:ascii="Arial" w:hAnsi="Arial" w:cs="Arial"/>
          <w:bCs/>
          <w:color w:val="000000"/>
          <w:sz w:val="20"/>
          <w:szCs w:val="20"/>
        </w:rPr>
      </w:pPr>
    </w:p>
    <w:p w14:paraId="637B5DA9" w14:textId="5046A2F4" w:rsidR="00F63AF2" w:rsidRPr="004F45DD" w:rsidRDefault="00BF291E" w:rsidP="00917D4E">
      <w:pPr>
        <w:spacing w:after="240" w:line="360" w:lineRule="auto"/>
        <w:jc w:val="both"/>
        <w:rPr>
          <w:rFonts w:ascii="Arial" w:hAnsi="Arial" w:cs="Arial"/>
          <w:b/>
          <w:color w:val="000000"/>
          <w:sz w:val="20"/>
          <w:szCs w:val="20"/>
        </w:rPr>
      </w:pPr>
      <w:r w:rsidRPr="004F45DD">
        <w:rPr>
          <w:rFonts w:ascii="Arial" w:hAnsi="Arial" w:cs="Arial"/>
          <w:b/>
          <w:noProof/>
          <w:sz w:val="20"/>
          <w:szCs w:val="20"/>
        </w:rPr>
        <w:drawing>
          <wp:anchor distT="0" distB="0" distL="114300" distR="114300" simplePos="0" relativeHeight="251658752" behindDoc="0" locked="0" layoutInCell="1" allowOverlap="1" wp14:anchorId="4EF16293" wp14:editId="195236CE">
            <wp:simplePos x="0" y="0"/>
            <wp:positionH relativeFrom="margin">
              <wp:align>center</wp:align>
            </wp:positionH>
            <wp:positionV relativeFrom="margin">
              <wp:align>top</wp:align>
            </wp:positionV>
            <wp:extent cx="5238750" cy="7124065"/>
            <wp:effectExtent l="19050" t="19050" r="0" b="635"/>
            <wp:wrapSquare wrapText="bothSides"/>
            <wp:docPr id="1957108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0" cy="712406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4F45DD">
        <w:rPr>
          <w:rFonts w:ascii="Arial" w:hAnsi="Arial" w:cs="Arial"/>
          <w:b/>
          <w:color w:val="000000"/>
          <w:sz w:val="20"/>
          <w:szCs w:val="20"/>
        </w:rPr>
        <w:t xml:space="preserve">Figure 2: LULC Change Detection in </w:t>
      </w:r>
      <w:proofErr w:type="spellStart"/>
      <w:r w:rsidRPr="004F45DD">
        <w:rPr>
          <w:rFonts w:ascii="Arial" w:hAnsi="Arial" w:cs="Arial"/>
          <w:b/>
          <w:color w:val="000000"/>
          <w:sz w:val="20"/>
          <w:szCs w:val="20"/>
        </w:rPr>
        <w:t>Hura</w:t>
      </w:r>
      <w:proofErr w:type="spellEnd"/>
      <w:r w:rsidRPr="004F45DD">
        <w:rPr>
          <w:rFonts w:ascii="Arial" w:hAnsi="Arial" w:cs="Arial"/>
          <w:b/>
          <w:color w:val="000000"/>
          <w:sz w:val="20"/>
          <w:szCs w:val="20"/>
        </w:rPr>
        <w:t xml:space="preserve"> block (2017-2024).  Panels A–G depict class-to-class land cover transitions across successive intervals</w:t>
      </w:r>
      <w:r w:rsidR="00F9528B" w:rsidRPr="004F45DD">
        <w:rPr>
          <w:rFonts w:ascii="Arial" w:hAnsi="Arial" w:cs="Arial"/>
          <w:b/>
          <w:color w:val="000000"/>
          <w:sz w:val="20"/>
          <w:szCs w:val="20"/>
        </w:rPr>
        <w:t>.</w:t>
      </w:r>
    </w:p>
    <w:p w14:paraId="3A1234D3" w14:textId="37A3B2D0" w:rsidR="00F63AF2" w:rsidRPr="003F69FE" w:rsidRDefault="00F63AF2" w:rsidP="00917D4E">
      <w:pPr>
        <w:spacing w:after="240" w:line="360" w:lineRule="auto"/>
        <w:jc w:val="both"/>
        <w:rPr>
          <w:b/>
          <w:color w:val="000000"/>
        </w:rPr>
      </w:pPr>
    </w:p>
    <w:p w14:paraId="56FD3FCD" w14:textId="3D4DE488" w:rsidR="0047183E" w:rsidRPr="003F69FE" w:rsidRDefault="0047183E" w:rsidP="005C3774">
      <w:pPr>
        <w:spacing w:after="240" w:line="360" w:lineRule="auto"/>
        <w:jc w:val="both"/>
        <w:rPr>
          <w:bCs/>
          <w:color w:val="000000"/>
          <w:sz w:val="22"/>
          <w:szCs w:val="22"/>
        </w:rPr>
      </w:pPr>
      <w:r w:rsidRPr="003F69FE">
        <w:rPr>
          <w:noProof/>
        </w:rPr>
        <w:lastRenderedPageBreak/>
        <w:drawing>
          <wp:inline distT="0" distB="0" distL="0" distR="0" wp14:anchorId="7EAEA4FB" wp14:editId="48047C29">
            <wp:extent cx="5943600" cy="4890135"/>
            <wp:effectExtent l="0" t="0" r="0" b="0"/>
            <wp:docPr id="1152005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890135"/>
                    </a:xfrm>
                    <a:prstGeom prst="rect">
                      <a:avLst/>
                    </a:prstGeom>
                    <a:noFill/>
                    <a:ln>
                      <a:noFill/>
                    </a:ln>
                  </pic:spPr>
                </pic:pic>
              </a:graphicData>
            </a:graphic>
          </wp:inline>
        </w:drawing>
      </w:r>
    </w:p>
    <w:p w14:paraId="33151200" w14:textId="2BD24422" w:rsidR="00F63AF2" w:rsidRPr="004F45DD" w:rsidRDefault="005C3774" w:rsidP="005C3774">
      <w:pPr>
        <w:spacing w:after="240" w:line="360" w:lineRule="auto"/>
        <w:jc w:val="both"/>
        <w:rPr>
          <w:rFonts w:ascii="Arial" w:hAnsi="Arial" w:cs="Arial"/>
          <w:b/>
          <w:color w:val="000000"/>
          <w:sz w:val="20"/>
          <w:szCs w:val="20"/>
        </w:rPr>
      </w:pPr>
      <w:r w:rsidRPr="004F45DD">
        <w:rPr>
          <w:rFonts w:ascii="Arial" w:hAnsi="Arial" w:cs="Arial"/>
          <w:b/>
          <w:color w:val="000000"/>
          <w:sz w:val="20"/>
          <w:szCs w:val="20"/>
        </w:rPr>
        <w:t xml:space="preserve">Figure 3: Spatial and Temporal Dynamics of LULC Transitions in </w:t>
      </w:r>
      <w:proofErr w:type="spellStart"/>
      <w:r w:rsidRPr="004F45DD">
        <w:rPr>
          <w:rFonts w:ascii="Arial" w:hAnsi="Arial" w:cs="Arial"/>
          <w:b/>
          <w:color w:val="000000"/>
          <w:sz w:val="20"/>
          <w:szCs w:val="20"/>
        </w:rPr>
        <w:t>Hura</w:t>
      </w:r>
      <w:proofErr w:type="spellEnd"/>
      <w:r w:rsidRPr="004F45DD">
        <w:rPr>
          <w:rFonts w:ascii="Arial" w:hAnsi="Arial" w:cs="Arial"/>
          <w:b/>
          <w:color w:val="000000"/>
          <w:sz w:val="20"/>
          <w:szCs w:val="20"/>
        </w:rPr>
        <w:t xml:space="preserve"> </w:t>
      </w:r>
      <w:r w:rsidR="0047183E" w:rsidRPr="004F45DD">
        <w:rPr>
          <w:rFonts w:ascii="Arial" w:hAnsi="Arial" w:cs="Arial"/>
          <w:b/>
          <w:color w:val="000000"/>
          <w:sz w:val="20"/>
          <w:szCs w:val="20"/>
        </w:rPr>
        <w:t>b</w:t>
      </w:r>
      <w:r w:rsidRPr="004F45DD">
        <w:rPr>
          <w:rFonts w:ascii="Arial" w:hAnsi="Arial" w:cs="Arial"/>
          <w:b/>
          <w:color w:val="000000"/>
          <w:sz w:val="20"/>
          <w:szCs w:val="20"/>
        </w:rPr>
        <w:t>lock (2017–2024). Panel A shows the cumulative LULC change detection map, while Panels B and C illustrate the temporal percentage distribution of outflows and inflows across major land cover categories.</w:t>
      </w:r>
    </w:p>
    <w:p w14:paraId="6391F539" w14:textId="5FF19A88" w:rsidR="00A50A88" w:rsidRPr="0069595A" w:rsidRDefault="00D922DF" w:rsidP="00917D4E">
      <w:pPr>
        <w:spacing w:after="240" w:line="360" w:lineRule="auto"/>
        <w:jc w:val="both"/>
        <w:rPr>
          <w:rFonts w:ascii="Arial" w:hAnsi="Arial" w:cs="Arial"/>
          <w:b/>
          <w:color w:val="000000"/>
          <w:sz w:val="22"/>
          <w:szCs w:val="22"/>
        </w:rPr>
      </w:pPr>
      <w:r w:rsidRPr="0069595A">
        <w:rPr>
          <w:rFonts w:ascii="Arial" w:hAnsi="Arial" w:cs="Arial"/>
          <w:b/>
          <w:color w:val="000000"/>
          <w:sz w:val="22"/>
          <w:szCs w:val="22"/>
        </w:rPr>
        <w:t xml:space="preserve">3.3 </w:t>
      </w:r>
      <w:r w:rsidR="00495456" w:rsidRPr="0069595A">
        <w:rPr>
          <w:rFonts w:ascii="Arial" w:hAnsi="Arial" w:cs="Arial"/>
          <w:b/>
          <w:color w:val="000000"/>
          <w:sz w:val="22"/>
          <w:szCs w:val="22"/>
        </w:rPr>
        <w:t>Cropland Persistence and Conversion Dynamics:</w:t>
      </w:r>
    </w:p>
    <w:p w14:paraId="59929985" w14:textId="77777777" w:rsidR="00A50A88" w:rsidRPr="0069595A" w:rsidRDefault="002D2C41" w:rsidP="00917D4E">
      <w:pPr>
        <w:spacing w:after="240" w:line="360" w:lineRule="auto"/>
        <w:jc w:val="both"/>
        <w:rPr>
          <w:rFonts w:ascii="Arial" w:hAnsi="Arial" w:cs="Arial"/>
          <w:color w:val="000000"/>
          <w:sz w:val="20"/>
          <w:szCs w:val="20"/>
        </w:rPr>
      </w:pPr>
      <w:r w:rsidRPr="0069595A">
        <w:rPr>
          <w:rFonts w:ascii="Arial" w:hAnsi="Arial" w:cs="Arial"/>
          <w:color w:val="000000"/>
          <w:sz w:val="20"/>
          <w:szCs w:val="20"/>
        </w:rPr>
        <w:t xml:space="preserve">The persistence and conversion dynamics of croplands in </w:t>
      </w:r>
      <w:proofErr w:type="spellStart"/>
      <w:r w:rsidRPr="0069595A">
        <w:rPr>
          <w:rFonts w:ascii="Arial" w:hAnsi="Arial" w:cs="Arial"/>
          <w:color w:val="000000"/>
          <w:sz w:val="20"/>
          <w:szCs w:val="20"/>
        </w:rPr>
        <w:t>Hura</w:t>
      </w:r>
      <w:proofErr w:type="spellEnd"/>
      <w:r w:rsidRPr="0069595A">
        <w:rPr>
          <w:rFonts w:ascii="Arial" w:hAnsi="Arial" w:cs="Arial"/>
          <w:color w:val="000000"/>
          <w:sz w:val="20"/>
          <w:szCs w:val="20"/>
        </w:rPr>
        <w:t xml:space="preserve"> C.D. Blocks (refer to Table 3; Fig. 4a &amp; 4b) from 2017 to 2024 illustrate the complex interaction between agricultural stability, inflow from other land uses, and outflow to non-agricultural categories. On average, 25,552.96 hectares (66.86%) of land remained under continuous cultivation, highlighting the predominance of agriculture in the block. However, persistence decreased from 75.44% in 2017–18 to 61.37% in 2023–24, indicating a gradual decline in cropping stability over time. Cropland inflow from other categories was relatively modest, averaging 1,766.49 hectares (4.62%), although episodic gains were noted in 2020–21 (4,348.81 hectares; 11.38%) and 2023–24 (3,235.46 hectares; 8.47%), primarily from rangeland or transitional land use. Outflow from cropland was more substantial, averaging 2,348.66 hectares (6.14%), with particularly </w:t>
      </w:r>
      <w:r w:rsidRPr="0069595A">
        <w:rPr>
          <w:rFonts w:ascii="Arial" w:hAnsi="Arial" w:cs="Arial"/>
          <w:color w:val="000000"/>
          <w:sz w:val="20"/>
          <w:szCs w:val="20"/>
        </w:rPr>
        <w:lastRenderedPageBreak/>
        <w:t xml:space="preserve">high losses in 2018–19 (3,876.24 hectares; 10.14%), 2021–22 (3,373.48 hectares; 8.83%), and 2022–23 (4,111.78 hectares; 10.76%). These figures underscore the vulnerability of croplands to conversion pressures, particularly during years of agricultural contraction. The net change values further emphasize this volatility. Positive gains were recorded in 2019–20 (+182.94 hectares; +0.48%), 2020–21 (+4,027.22 hectares; +10.54%), and 2023–24 (+2,288.10 hectares; +5.99%), while significant declines occurred in 2018–19 (–3,197.17 hectares; –8.36%), 2021–22 (–2,928.40 hectares; –7.66%), and 2022–23 (–3,129.21 hectares; –8.19%). The overall mean net change (–582.16 hectares; –1.52%) indicates a slight but persistent contraction of croplands during the study period. The residual LULC (persistent plus converted cropland) averaged 8,552.89 ha (22.38%), with an increasing trend from 6,835.77 ha (17.88%) in 2017–18 to 10,580.50 ha (27.68%) in 2023–24, suggesting that while persistence weakened, conversion inflows partially compensated for losses. This residual share reflects the dynamic balance between agricultural continuity and land-use transformation. Overall, the analysis demonstrated that the croplands in </w:t>
      </w:r>
      <w:proofErr w:type="spellStart"/>
      <w:r w:rsidRPr="0069595A">
        <w:rPr>
          <w:rFonts w:ascii="Arial" w:hAnsi="Arial" w:cs="Arial"/>
          <w:color w:val="000000"/>
          <w:sz w:val="20"/>
          <w:szCs w:val="20"/>
        </w:rPr>
        <w:t>Hura</w:t>
      </w:r>
      <w:proofErr w:type="spellEnd"/>
      <w:r w:rsidRPr="0069595A">
        <w:rPr>
          <w:rFonts w:ascii="Arial" w:hAnsi="Arial" w:cs="Arial"/>
          <w:color w:val="000000"/>
          <w:sz w:val="20"/>
          <w:szCs w:val="20"/>
        </w:rPr>
        <w:t xml:space="preserve"> C.D. Blocks have experienced declining persistence, episodic inflows, and recurrent outflows, resulting in fragile equilibrium. The findings indicate increasing land-use pressure from urbanization, rangeland expansion, and ecological transitions, underscoring the need for sustainable agricultural management and policy interventions to stabilize cropping systems in the region.</w:t>
      </w:r>
    </w:p>
    <w:tbl>
      <w:tblPr>
        <w:tblStyle w:val="TableGrid"/>
        <w:tblW w:w="9503" w:type="dxa"/>
        <w:jc w:val="center"/>
        <w:tblCellMar>
          <w:left w:w="28" w:type="dxa"/>
          <w:right w:w="28" w:type="dxa"/>
        </w:tblCellMar>
        <w:tblLook w:val="04A0" w:firstRow="1" w:lastRow="0" w:firstColumn="1" w:lastColumn="0" w:noHBand="0" w:noVBand="1"/>
      </w:tblPr>
      <w:tblGrid>
        <w:gridCol w:w="923"/>
        <w:gridCol w:w="1723"/>
        <w:gridCol w:w="2177"/>
        <w:gridCol w:w="1985"/>
        <w:gridCol w:w="1344"/>
        <w:gridCol w:w="1351"/>
      </w:tblGrid>
      <w:tr w:rsidR="00176B38" w:rsidRPr="0069595A" w14:paraId="6DD0471C" w14:textId="77777777" w:rsidTr="007A76B3">
        <w:trPr>
          <w:trHeight w:val="20"/>
          <w:jc w:val="center"/>
        </w:trPr>
        <w:tc>
          <w:tcPr>
            <w:tcW w:w="9503" w:type="dxa"/>
            <w:gridSpan w:val="6"/>
            <w:tcBorders>
              <w:top w:val="nil"/>
              <w:left w:val="nil"/>
              <w:bottom w:val="single" w:sz="4" w:space="0" w:color="auto"/>
              <w:right w:val="nil"/>
            </w:tcBorders>
            <w:noWrap/>
            <w:vAlign w:val="center"/>
            <w:hideMark/>
          </w:tcPr>
          <w:p w14:paraId="5340D04B" w14:textId="77777777" w:rsidR="00176B38" w:rsidRPr="004F45DD" w:rsidRDefault="00176B38" w:rsidP="00176B38">
            <w:pPr>
              <w:jc w:val="both"/>
              <w:rPr>
                <w:rFonts w:ascii="Arial" w:hAnsi="Arial" w:cs="Arial"/>
                <w:b/>
                <w:bCs/>
                <w:color w:val="000000"/>
                <w:sz w:val="20"/>
                <w:szCs w:val="20"/>
                <w:lang w:val="en-IN"/>
              </w:rPr>
            </w:pPr>
            <w:r w:rsidRPr="004F45DD">
              <w:rPr>
                <w:rFonts w:ascii="Arial" w:hAnsi="Arial" w:cs="Arial"/>
                <w:b/>
                <w:bCs/>
                <w:color w:val="000000"/>
                <w:sz w:val="20"/>
                <w:szCs w:val="20"/>
                <w:lang w:val="en-IN"/>
              </w:rPr>
              <w:t xml:space="preserve">Table 3. Persistence, Conversion, Net Change and Residual LULC of Cropping Land in </w:t>
            </w:r>
            <w:proofErr w:type="spellStart"/>
            <w:r w:rsidRPr="004F45DD">
              <w:rPr>
                <w:rFonts w:ascii="Arial" w:hAnsi="Arial" w:cs="Arial"/>
                <w:b/>
                <w:bCs/>
                <w:color w:val="000000"/>
                <w:sz w:val="20"/>
                <w:szCs w:val="20"/>
                <w:lang w:val="en-IN"/>
              </w:rPr>
              <w:t>Hura</w:t>
            </w:r>
            <w:proofErr w:type="spellEnd"/>
            <w:r w:rsidRPr="004F45DD">
              <w:rPr>
                <w:rFonts w:ascii="Arial" w:hAnsi="Arial" w:cs="Arial"/>
                <w:b/>
                <w:bCs/>
                <w:color w:val="000000"/>
                <w:sz w:val="20"/>
                <w:szCs w:val="20"/>
                <w:lang w:val="en-IN"/>
              </w:rPr>
              <w:t xml:space="preserve"> C.D. Block, Purulia District, West Bengal (2017–2024)</w:t>
            </w:r>
          </w:p>
          <w:p w14:paraId="38C9FF6E" w14:textId="77777777" w:rsidR="00176B38" w:rsidRPr="0069595A" w:rsidRDefault="00176B38" w:rsidP="00176B38">
            <w:pPr>
              <w:jc w:val="both"/>
              <w:rPr>
                <w:rFonts w:ascii="Arial" w:hAnsi="Arial" w:cs="Arial"/>
                <w:color w:val="000000"/>
                <w:sz w:val="20"/>
                <w:szCs w:val="20"/>
                <w:lang w:val="en-IN"/>
              </w:rPr>
            </w:pPr>
          </w:p>
          <w:p w14:paraId="7883A7FB" w14:textId="77777777" w:rsidR="00176B38" w:rsidRPr="0069595A" w:rsidRDefault="00176B38" w:rsidP="00176B38">
            <w:pPr>
              <w:jc w:val="both"/>
              <w:rPr>
                <w:rFonts w:ascii="Arial" w:hAnsi="Arial" w:cs="Arial"/>
                <w:color w:val="000000"/>
                <w:sz w:val="20"/>
                <w:szCs w:val="20"/>
                <w:lang w:val="en-IN"/>
              </w:rPr>
            </w:pPr>
          </w:p>
        </w:tc>
      </w:tr>
      <w:tr w:rsidR="00176B38" w:rsidRPr="0069595A" w14:paraId="77FA9274" w14:textId="77777777" w:rsidTr="007A76B3">
        <w:trPr>
          <w:trHeight w:val="20"/>
          <w:jc w:val="center"/>
        </w:trPr>
        <w:tc>
          <w:tcPr>
            <w:tcW w:w="923" w:type="dxa"/>
            <w:tcBorders>
              <w:top w:val="single" w:sz="4" w:space="0" w:color="auto"/>
            </w:tcBorders>
            <w:noWrap/>
            <w:vAlign w:val="center"/>
            <w:hideMark/>
          </w:tcPr>
          <w:p w14:paraId="6A44F1F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Year</w:t>
            </w:r>
          </w:p>
        </w:tc>
        <w:tc>
          <w:tcPr>
            <w:tcW w:w="1723" w:type="dxa"/>
            <w:tcBorders>
              <w:top w:val="single" w:sz="4" w:space="0" w:color="auto"/>
            </w:tcBorders>
            <w:noWrap/>
            <w:vAlign w:val="center"/>
            <w:hideMark/>
          </w:tcPr>
          <w:p w14:paraId="7204314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Cropping Land Persistence (Crops → Crops)</w:t>
            </w:r>
          </w:p>
        </w:tc>
        <w:tc>
          <w:tcPr>
            <w:tcW w:w="2177" w:type="dxa"/>
            <w:tcBorders>
              <w:top w:val="single" w:sz="4" w:space="0" w:color="auto"/>
            </w:tcBorders>
            <w:noWrap/>
            <w:vAlign w:val="center"/>
            <w:hideMark/>
          </w:tcPr>
          <w:p w14:paraId="25E35DB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Cropping Land Inflow (Others → Crops)</w:t>
            </w:r>
          </w:p>
        </w:tc>
        <w:tc>
          <w:tcPr>
            <w:tcW w:w="1985" w:type="dxa"/>
            <w:tcBorders>
              <w:top w:val="single" w:sz="4" w:space="0" w:color="auto"/>
            </w:tcBorders>
            <w:noWrap/>
            <w:vAlign w:val="center"/>
            <w:hideMark/>
          </w:tcPr>
          <w:p w14:paraId="1E8FF9B3"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Cropping Land Outflow (Crops → Others)</w:t>
            </w:r>
          </w:p>
        </w:tc>
        <w:tc>
          <w:tcPr>
            <w:tcW w:w="1344" w:type="dxa"/>
            <w:tcBorders>
              <w:top w:val="single" w:sz="4" w:space="0" w:color="auto"/>
            </w:tcBorders>
            <w:noWrap/>
            <w:vAlign w:val="center"/>
            <w:hideMark/>
          </w:tcPr>
          <w:p w14:paraId="146AF9EF"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Cropping Land Net Change</w:t>
            </w:r>
          </w:p>
        </w:tc>
        <w:tc>
          <w:tcPr>
            <w:tcW w:w="1351" w:type="dxa"/>
            <w:tcBorders>
              <w:top w:val="single" w:sz="4" w:space="0" w:color="auto"/>
            </w:tcBorders>
            <w:noWrap/>
            <w:vAlign w:val="center"/>
            <w:hideMark/>
          </w:tcPr>
          <w:p w14:paraId="6702F84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Residual LULC (Persistent + Converted)</w:t>
            </w:r>
          </w:p>
        </w:tc>
      </w:tr>
      <w:tr w:rsidR="00176B38" w:rsidRPr="0069595A" w14:paraId="776046BC" w14:textId="77777777" w:rsidTr="007A76B3">
        <w:trPr>
          <w:trHeight w:val="20"/>
          <w:jc w:val="center"/>
        </w:trPr>
        <w:tc>
          <w:tcPr>
            <w:tcW w:w="923" w:type="dxa"/>
            <w:noWrap/>
            <w:vAlign w:val="center"/>
            <w:hideMark/>
          </w:tcPr>
          <w:p w14:paraId="62D158DC"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2017–18</w:t>
            </w:r>
          </w:p>
        </w:tc>
        <w:tc>
          <w:tcPr>
            <w:tcW w:w="1723" w:type="dxa"/>
            <w:noWrap/>
            <w:vAlign w:val="center"/>
            <w:hideMark/>
          </w:tcPr>
          <w:p w14:paraId="144ADF58"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28,834.75</w:t>
            </w:r>
          </w:p>
          <w:p w14:paraId="1766EA4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(75.44)</w:t>
            </w:r>
          </w:p>
        </w:tc>
        <w:tc>
          <w:tcPr>
            <w:tcW w:w="2177" w:type="dxa"/>
            <w:noWrap/>
            <w:vAlign w:val="center"/>
            <w:hideMark/>
          </w:tcPr>
          <w:p w14:paraId="62360E7D"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615.93</w:t>
            </w:r>
          </w:p>
          <w:p w14:paraId="4ED6BEC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(1.61)</w:t>
            </w:r>
          </w:p>
        </w:tc>
        <w:tc>
          <w:tcPr>
            <w:tcW w:w="1985" w:type="dxa"/>
            <w:noWrap/>
            <w:vAlign w:val="center"/>
            <w:hideMark/>
          </w:tcPr>
          <w:p w14:paraId="1F62C62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1,934.55</w:t>
            </w:r>
          </w:p>
          <w:p w14:paraId="2B59379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(5.06)</w:t>
            </w:r>
          </w:p>
        </w:tc>
        <w:tc>
          <w:tcPr>
            <w:tcW w:w="1344" w:type="dxa"/>
            <w:noWrap/>
            <w:vAlign w:val="center"/>
            <w:hideMark/>
          </w:tcPr>
          <w:p w14:paraId="18B658C6"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–1,318.62</w:t>
            </w:r>
          </w:p>
          <w:p w14:paraId="2678714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(–3.45)</w:t>
            </w:r>
          </w:p>
        </w:tc>
        <w:tc>
          <w:tcPr>
            <w:tcW w:w="1351" w:type="dxa"/>
            <w:noWrap/>
            <w:vAlign w:val="center"/>
            <w:hideMark/>
          </w:tcPr>
          <w:p w14:paraId="759DB5D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6,835.77</w:t>
            </w:r>
          </w:p>
          <w:p w14:paraId="3E55A9CF"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(17.88)</w:t>
            </w:r>
          </w:p>
        </w:tc>
      </w:tr>
      <w:tr w:rsidR="00176B38" w:rsidRPr="0069595A" w14:paraId="0304CF3F" w14:textId="77777777" w:rsidTr="007A76B3">
        <w:trPr>
          <w:trHeight w:val="20"/>
          <w:jc w:val="center"/>
        </w:trPr>
        <w:tc>
          <w:tcPr>
            <w:tcW w:w="923" w:type="dxa"/>
            <w:noWrap/>
            <w:vAlign w:val="center"/>
            <w:hideMark/>
          </w:tcPr>
          <w:p w14:paraId="438680A6"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2018–19</w:t>
            </w:r>
          </w:p>
        </w:tc>
        <w:tc>
          <w:tcPr>
            <w:tcW w:w="1723" w:type="dxa"/>
            <w:noWrap/>
            <w:vAlign w:val="center"/>
            <w:hideMark/>
          </w:tcPr>
          <w:p w14:paraId="1A023EF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25,574.19 (66.91)</w:t>
            </w:r>
          </w:p>
        </w:tc>
        <w:tc>
          <w:tcPr>
            <w:tcW w:w="2177" w:type="dxa"/>
            <w:noWrap/>
            <w:vAlign w:val="center"/>
            <w:hideMark/>
          </w:tcPr>
          <w:p w14:paraId="633566D6"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679.07</w:t>
            </w:r>
          </w:p>
          <w:p w14:paraId="12B6FDE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(1.78)</w:t>
            </w:r>
          </w:p>
        </w:tc>
        <w:tc>
          <w:tcPr>
            <w:tcW w:w="1985" w:type="dxa"/>
            <w:noWrap/>
            <w:vAlign w:val="center"/>
            <w:hideMark/>
          </w:tcPr>
          <w:p w14:paraId="1138534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3,876.24</w:t>
            </w:r>
          </w:p>
          <w:p w14:paraId="38E0818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(10.14)</w:t>
            </w:r>
          </w:p>
        </w:tc>
        <w:tc>
          <w:tcPr>
            <w:tcW w:w="1344" w:type="dxa"/>
            <w:noWrap/>
            <w:vAlign w:val="center"/>
            <w:hideMark/>
          </w:tcPr>
          <w:p w14:paraId="17D5AF46"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–3,197.17</w:t>
            </w:r>
          </w:p>
          <w:p w14:paraId="7BB1CFB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(–8.36)</w:t>
            </w:r>
          </w:p>
        </w:tc>
        <w:tc>
          <w:tcPr>
            <w:tcW w:w="1351" w:type="dxa"/>
            <w:noWrap/>
            <w:vAlign w:val="center"/>
            <w:hideMark/>
          </w:tcPr>
          <w:p w14:paraId="6F7B9884"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8,091.50</w:t>
            </w:r>
          </w:p>
          <w:p w14:paraId="739700C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(21.17)</w:t>
            </w:r>
          </w:p>
        </w:tc>
      </w:tr>
      <w:tr w:rsidR="00176B38" w:rsidRPr="0069595A" w14:paraId="2EFADB20" w14:textId="77777777" w:rsidTr="007A76B3">
        <w:trPr>
          <w:trHeight w:val="20"/>
          <w:jc w:val="center"/>
        </w:trPr>
        <w:tc>
          <w:tcPr>
            <w:tcW w:w="923" w:type="dxa"/>
            <w:noWrap/>
            <w:vAlign w:val="center"/>
            <w:hideMark/>
          </w:tcPr>
          <w:p w14:paraId="6A8F6359"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2019–20</w:t>
            </w:r>
          </w:p>
        </w:tc>
        <w:tc>
          <w:tcPr>
            <w:tcW w:w="1723" w:type="dxa"/>
            <w:noWrap/>
            <w:vAlign w:val="center"/>
            <w:hideMark/>
          </w:tcPr>
          <w:p w14:paraId="19E347C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24,377.36 (63.78)</w:t>
            </w:r>
          </w:p>
        </w:tc>
        <w:tc>
          <w:tcPr>
            <w:tcW w:w="2177" w:type="dxa"/>
            <w:noWrap/>
            <w:vAlign w:val="center"/>
            <w:hideMark/>
          </w:tcPr>
          <w:p w14:paraId="3F45136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2,058.54</w:t>
            </w:r>
          </w:p>
          <w:p w14:paraId="58063128"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(5.39)</w:t>
            </w:r>
          </w:p>
        </w:tc>
        <w:tc>
          <w:tcPr>
            <w:tcW w:w="1985" w:type="dxa"/>
            <w:noWrap/>
            <w:vAlign w:val="center"/>
            <w:hideMark/>
          </w:tcPr>
          <w:p w14:paraId="0098A41A"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1,875.60</w:t>
            </w:r>
          </w:p>
          <w:p w14:paraId="7ADC216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(4.91)</w:t>
            </w:r>
          </w:p>
        </w:tc>
        <w:tc>
          <w:tcPr>
            <w:tcW w:w="1344" w:type="dxa"/>
            <w:noWrap/>
            <w:vAlign w:val="center"/>
            <w:hideMark/>
          </w:tcPr>
          <w:p w14:paraId="69F97F5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+182.94</w:t>
            </w:r>
          </w:p>
          <w:p w14:paraId="2396668D"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(+0.48)</w:t>
            </w:r>
          </w:p>
        </w:tc>
        <w:tc>
          <w:tcPr>
            <w:tcW w:w="1351" w:type="dxa"/>
            <w:noWrap/>
            <w:vAlign w:val="center"/>
            <w:hideMark/>
          </w:tcPr>
          <w:p w14:paraId="5BE8E91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9,909.50</w:t>
            </w:r>
          </w:p>
          <w:p w14:paraId="114213B6"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(25.93)</w:t>
            </w:r>
          </w:p>
        </w:tc>
      </w:tr>
      <w:tr w:rsidR="00176B38" w:rsidRPr="0069595A" w14:paraId="78E0A128" w14:textId="77777777" w:rsidTr="007A76B3">
        <w:trPr>
          <w:trHeight w:val="20"/>
          <w:jc w:val="center"/>
        </w:trPr>
        <w:tc>
          <w:tcPr>
            <w:tcW w:w="923" w:type="dxa"/>
            <w:noWrap/>
            <w:vAlign w:val="center"/>
            <w:hideMark/>
          </w:tcPr>
          <w:p w14:paraId="68B52254"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2020–21</w:t>
            </w:r>
          </w:p>
        </w:tc>
        <w:tc>
          <w:tcPr>
            <w:tcW w:w="1723" w:type="dxa"/>
            <w:noWrap/>
            <w:vAlign w:val="center"/>
            <w:hideMark/>
          </w:tcPr>
          <w:p w14:paraId="07F2EA34"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26,114.74 (68.33)</w:t>
            </w:r>
          </w:p>
        </w:tc>
        <w:tc>
          <w:tcPr>
            <w:tcW w:w="2177" w:type="dxa"/>
            <w:noWrap/>
            <w:vAlign w:val="center"/>
            <w:hideMark/>
          </w:tcPr>
          <w:p w14:paraId="0D0F7FC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4,348.81</w:t>
            </w:r>
          </w:p>
          <w:p w14:paraId="26A568DB"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(11.38)</w:t>
            </w:r>
          </w:p>
        </w:tc>
        <w:tc>
          <w:tcPr>
            <w:tcW w:w="1985" w:type="dxa"/>
            <w:noWrap/>
            <w:vAlign w:val="center"/>
            <w:hideMark/>
          </w:tcPr>
          <w:p w14:paraId="32B46D8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321.59</w:t>
            </w:r>
          </w:p>
          <w:p w14:paraId="4EDBABD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(0.84)</w:t>
            </w:r>
          </w:p>
        </w:tc>
        <w:tc>
          <w:tcPr>
            <w:tcW w:w="1344" w:type="dxa"/>
            <w:noWrap/>
            <w:vAlign w:val="center"/>
            <w:hideMark/>
          </w:tcPr>
          <w:p w14:paraId="5C5B327D"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+4,027.22</w:t>
            </w:r>
          </w:p>
          <w:p w14:paraId="31ACBCC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(+10.54)</w:t>
            </w:r>
          </w:p>
        </w:tc>
        <w:tc>
          <w:tcPr>
            <w:tcW w:w="1351" w:type="dxa"/>
            <w:noWrap/>
            <w:vAlign w:val="center"/>
            <w:hideMark/>
          </w:tcPr>
          <w:p w14:paraId="4AD2F03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7,435.86</w:t>
            </w:r>
          </w:p>
          <w:p w14:paraId="19554FB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(19.45)</w:t>
            </w:r>
          </w:p>
        </w:tc>
      </w:tr>
      <w:tr w:rsidR="00176B38" w:rsidRPr="0069595A" w14:paraId="7938F1E8" w14:textId="77777777" w:rsidTr="007A76B3">
        <w:trPr>
          <w:trHeight w:val="20"/>
          <w:jc w:val="center"/>
        </w:trPr>
        <w:tc>
          <w:tcPr>
            <w:tcW w:w="923" w:type="dxa"/>
            <w:noWrap/>
            <w:vAlign w:val="center"/>
            <w:hideMark/>
          </w:tcPr>
          <w:p w14:paraId="5C936EC5"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2021–22</w:t>
            </w:r>
          </w:p>
        </w:tc>
        <w:tc>
          <w:tcPr>
            <w:tcW w:w="1723" w:type="dxa"/>
            <w:noWrap/>
            <w:vAlign w:val="center"/>
            <w:hideMark/>
          </w:tcPr>
          <w:p w14:paraId="1F0D637F"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27,089.64 (70.88)</w:t>
            </w:r>
          </w:p>
        </w:tc>
        <w:tc>
          <w:tcPr>
            <w:tcW w:w="2177" w:type="dxa"/>
            <w:noWrap/>
            <w:vAlign w:val="center"/>
            <w:hideMark/>
          </w:tcPr>
          <w:p w14:paraId="5FAEB023"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445.08</w:t>
            </w:r>
          </w:p>
          <w:p w14:paraId="4BA826F9"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(1.16)</w:t>
            </w:r>
          </w:p>
        </w:tc>
        <w:tc>
          <w:tcPr>
            <w:tcW w:w="1985" w:type="dxa"/>
            <w:noWrap/>
            <w:vAlign w:val="center"/>
            <w:hideMark/>
          </w:tcPr>
          <w:p w14:paraId="0CEC0CC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3,373.48</w:t>
            </w:r>
          </w:p>
          <w:p w14:paraId="56B209F9"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(8.83)</w:t>
            </w:r>
          </w:p>
        </w:tc>
        <w:tc>
          <w:tcPr>
            <w:tcW w:w="1344" w:type="dxa"/>
            <w:noWrap/>
            <w:vAlign w:val="center"/>
            <w:hideMark/>
          </w:tcPr>
          <w:p w14:paraId="073588B3"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–2,928.40</w:t>
            </w:r>
          </w:p>
          <w:p w14:paraId="2BC9FC7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(–7.66)</w:t>
            </w:r>
          </w:p>
        </w:tc>
        <w:tc>
          <w:tcPr>
            <w:tcW w:w="1351" w:type="dxa"/>
            <w:noWrap/>
            <w:vAlign w:val="center"/>
            <w:hideMark/>
          </w:tcPr>
          <w:p w14:paraId="7EE6447A"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7,312.80</w:t>
            </w:r>
          </w:p>
          <w:p w14:paraId="62DDFCD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(19.13)</w:t>
            </w:r>
          </w:p>
        </w:tc>
      </w:tr>
      <w:tr w:rsidR="00176B38" w:rsidRPr="0069595A" w14:paraId="5474C5D4" w14:textId="77777777" w:rsidTr="007A76B3">
        <w:trPr>
          <w:trHeight w:val="20"/>
          <w:jc w:val="center"/>
        </w:trPr>
        <w:tc>
          <w:tcPr>
            <w:tcW w:w="923" w:type="dxa"/>
            <w:noWrap/>
            <w:vAlign w:val="center"/>
            <w:hideMark/>
          </w:tcPr>
          <w:p w14:paraId="18A54785"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2022–23</w:t>
            </w:r>
          </w:p>
        </w:tc>
        <w:tc>
          <w:tcPr>
            <w:tcW w:w="1723" w:type="dxa"/>
            <w:noWrap/>
            <w:vAlign w:val="center"/>
            <w:hideMark/>
          </w:tcPr>
          <w:p w14:paraId="17B5851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23,422.37 (61.28)</w:t>
            </w:r>
          </w:p>
        </w:tc>
        <w:tc>
          <w:tcPr>
            <w:tcW w:w="2177" w:type="dxa"/>
            <w:noWrap/>
            <w:vAlign w:val="center"/>
            <w:hideMark/>
          </w:tcPr>
          <w:p w14:paraId="29BECF8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982.57</w:t>
            </w:r>
          </w:p>
          <w:p w14:paraId="182BDBD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(2.57)</w:t>
            </w:r>
          </w:p>
        </w:tc>
        <w:tc>
          <w:tcPr>
            <w:tcW w:w="1985" w:type="dxa"/>
            <w:noWrap/>
            <w:vAlign w:val="center"/>
            <w:hideMark/>
          </w:tcPr>
          <w:p w14:paraId="659D754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4,111.78</w:t>
            </w:r>
          </w:p>
          <w:p w14:paraId="64A860FB"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(10.76)</w:t>
            </w:r>
          </w:p>
        </w:tc>
        <w:tc>
          <w:tcPr>
            <w:tcW w:w="1344" w:type="dxa"/>
            <w:noWrap/>
            <w:vAlign w:val="center"/>
            <w:hideMark/>
          </w:tcPr>
          <w:p w14:paraId="2A9D6EA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–3,129.21</w:t>
            </w:r>
          </w:p>
          <w:p w14:paraId="74A9CA1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(–8.19)</w:t>
            </w:r>
          </w:p>
        </w:tc>
        <w:tc>
          <w:tcPr>
            <w:tcW w:w="1351" w:type="dxa"/>
            <w:noWrap/>
            <w:vAlign w:val="center"/>
            <w:hideMark/>
          </w:tcPr>
          <w:p w14:paraId="30BB9A2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9,704.28</w:t>
            </w:r>
          </w:p>
          <w:p w14:paraId="28154E9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(25.39)</w:t>
            </w:r>
          </w:p>
        </w:tc>
      </w:tr>
      <w:tr w:rsidR="00176B38" w:rsidRPr="0069595A" w14:paraId="497A06FB" w14:textId="77777777" w:rsidTr="007A76B3">
        <w:trPr>
          <w:trHeight w:val="20"/>
          <w:jc w:val="center"/>
        </w:trPr>
        <w:tc>
          <w:tcPr>
            <w:tcW w:w="923" w:type="dxa"/>
            <w:noWrap/>
            <w:vAlign w:val="center"/>
            <w:hideMark/>
          </w:tcPr>
          <w:p w14:paraId="1ED64117"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2023–24</w:t>
            </w:r>
          </w:p>
        </w:tc>
        <w:tc>
          <w:tcPr>
            <w:tcW w:w="1723" w:type="dxa"/>
            <w:noWrap/>
            <w:vAlign w:val="center"/>
            <w:hideMark/>
          </w:tcPr>
          <w:p w14:paraId="1C8BD87D"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23,457.68 (61.37)</w:t>
            </w:r>
          </w:p>
        </w:tc>
        <w:tc>
          <w:tcPr>
            <w:tcW w:w="2177" w:type="dxa"/>
            <w:noWrap/>
            <w:vAlign w:val="center"/>
            <w:hideMark/>
          </w:tcPr>
          <w:p w14:paraId="3BFCF1AD"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3,235.46</w:t>
            </w:r>
          </w:p>
          <w:p w14:paraId="71D05183"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(8.47)</w:t>
            </w:r>
          </w:p>
        </w:tc>
        <w:tc>
          <w:tcPr>
            <w:tcW w:w="1985" w:type="dxa"/>
            <w:noWrap/>
            <w:vAlign w:val="center"/>
            <w:hideMark/>
          </w:tcPr>
          <w:p w14:paraId="5FD3FC5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947.36</w:t>
            </w:r>
          </w:p>
          <w:p w14:paraId="6285334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(2.48)</w:t>
            </w:r>
          </w:p>
        </w:tc>
        <w:tc>
          <w:tcPr>
            <w:tcW w:w="1344" w:type="dxa"/>
            <w:noWrap/>
            <w:vAlign w:val="center"/>
            <w:hideMark/>
          </w:tcPr>
          <w:p w14:paraId="2B0E2808"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+2,288.10</w:t>
            </w:r>
          </w:p>
          <w:p w14:paraId="59227593"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(+5.99)</w:t>
            </w:r>
          </w:p>
        </w:tc>
        <w:tc>
          <w:tcPr>
            <w:tcW w:w="1351" w:type="dxa"/>
            <w:noWrap/>
            <w:vAlign w:val="center"/>
            <w:hideMark/>
          </w:tcPr>
          <w:p w14:paraId="1A056AD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10,580.50</w:t>
            </w:r>
          </w:p>
          <w:p w14:paraId="5CE1475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(27.68)</w:t>
            </w:r>
          </w:p>
        </w:tc>
      </w:tr>
      <w:tr w:rsidR="00176B38" w:rsidRPr="0069595A" w14:paraId="066DFFF0" w14:textId="77777777" w:rsidTr="007A76B3">
        <w:trPr>
          <w:trHeight w:val="20"/>
          <w:jc w:val="center"/>
        </w:trPr>
        <w:tc>
          <w:tcPr>
            <w:tcW w:w="923" w:type="dxa"/>
            <w:tcBorders>
              <w:bottom w:val="single" w:sz="4" w:space="0" w:color="auto"/>
            </w:tcBorders>
            <w:noWrap/>
            <w:vAlign w:val="center"/>
            <w:hideMark/>
          </w:tcPr>
          <w:p w14:paraId="696A9E21"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Mean</w:t>
            </w:r>
          </w:p>
        </w:tc>
        <w:tc>
          <w:tcPr>
            <w:tcW w:w="1723" w:type="dxa"/>
            <w:tcBorders>
              <w:bottom w:val="single" w:sz="4" w:space="0" w:color="auto"/>
            </w:tcBorders>
            <w:noWrap/>
            <w:vAlign w:val="center"/>
            <w:hideMark/>
          </w:tcPr>
          <w:p w14:paraId="3A4134C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25,552.96 (66.86)</w:t>
            </w:r>
          </w:p>
        </w:tc>
        <w:tc>
          <w:tcPr>
            <w:tcW w:w="2177" w:type="dxa"/>
            <w:tcBorders>
              <w:bottom w:val="single" w:sz="4" w:space="0" w:color="auto"/>
            </w:tcBorders>
            <w:noWrap/>
            <w:vAlign w:val="center"/>
            <w:hideMark/>
          </w:tcPr>
          <w:p w14:paraId="72917EA4"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1,766.49</w:t>
            </w:r>
          </w:p>
          <w:p w14:paraId="52B4521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(4.62)</w:t>
            </w:r>
          </w:p>
        </w:tc>
        <w:tc>
          <w:tcPr>
            <w:tcW w:w="1985" w:type="dxa"/>
            <w:tcBorders>
              <w:bottom w:val="single" w:sz="4" w:space="0" w:color="auto"/>
            </w:tcBorders>
            <w:noWrap/>
            <w:vAlign w:val="center"/>
            <w:hideMark/>
          </w:tcPr>
          <w:p w14:paraId="6ABD0CA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2,348.66</w:t>
            </w:r>
          </w:p>
          <w:p w14:paraId="719B182A"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(6.14)</w:t>
            </w:r>
          </w:p>
        </w:tc>
        <w:tc>
          <w:tcPr>
            <w:tcW w:w="1344" w:type="dxa"/>
            <w:tcBorders>
              <w:bottom w:val="single" w:sz="4" w:space="0" w:color="auto"/>
            </w:tcBorders>
            <w:noWrap/>
            <w:vAlign w:val="center"/>
            <w:hideMark/>
          </w:tcPr>
          <w:p w14:paraId="65FAF79F"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–582.16</w:t>
            </w:r>
          </w:p>
          <w:p w14:paraId="67FA6C0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(–1.52)</w:t>
            </w:r>
          </w:p>
        </w:tc>
        <w:tc>
          <w:tcPr>
            <w:tcW w:w="1351" w:type="dxa"/>
            <w:tcBorders>
              <w:bottom w:val="single" w:sz="4" w:space="0" w:color="auto"/>
            </w:tcBorders>
            <w:noWrap/>
            <w:vAlign w:val="center"/>
            <w:hideMark/>
          </w:tcPr>
          <w:p w14:paraId="0D0FE7A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8,552.89</w:t>
            </w:r>
          </w:p>
          <w:p w14:paraId="363766C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(22.38)</w:t>
            </w:r>
          </w:p>
        </w:tc>
      </w:tr>
      <w:tr w:rsidR="00176B38" w:rsidRPr="0069595A" w14:paraId="3A0BE946" w14:textId="77777777" w:rsidTr="007A76B3">
        <w:trPr>
          <w:trHeight w:val="20"/>
          <w:jc w:val="center"/>
        </w:trPr>
        <w:tc>
          <w:tcPr>
            <w:tcW w:w="9503" w:type="dxa"/>
            <w:gridSpan w:val="6"/>
            <w:tcBorders>
              <w:top w:val="single" w:sz="4" w:space="0" w:color="auto"/>
              <w:left w:val="nil"/>
              <w:bottom w:val="nil"/>
              <w:right w:val="nil"/>
            </w:tcBorders>
            <w:noWrap/>
            <w:vAlign w:val="center"/>
          </w:tcPr>
          <w:p w14:paraId="45005D66" w14:textId="77777777" w:rsidR="00176B38" w:rsidRPr="004F45DD" w:rsidRDefault="00176B38" w:rsidP="00176B38">
            <w:pPr>
              <w:spacing w:before="240"/>
              <w:jc w:val="both"/>
              <w:rPr>
                <w:rFonts w:ascii="Arial" w:hAnsi="Arial" w:cs="Arial"/>
                <w:i/>
                <w:iCs/>
                <w:color w:val="000000"/>
                <w:sz w:val="20"/>
                <w:szCs w:val="20"/>
                <w:lang w:val="en-IN"/>
              </w:rPr>
            </w:pPr>
            <w:r w:rsidRPr="004F45DD">
              <w:rPr>
                <w:rFonts w:ascii="Arial" w:hAnsi="Arial" w:cs="Arial"/>
                <w:i/>
                <w:iCs/>
                <w:color w:val="000000"/>
                <w:sz w:val="20"/>
                <w:szCs w:val="20"/>
                <w:lang w:val="en-IN"/>
              </w:rPr>
              <w:t>Note: Values in hectares, with percentage in parentheses</w:t>
            </w:r>
          </w:p>
        </w:tc>
      </w:tr>
    </w:tbl>
    <w:p w14:paraId="21201042" w14:textId="77777777" w:rsidR="00176B38" w:rsidRPr="0069595A" w:rsidRDefault="00176B38" w:rsidP="00917D4E">
      <w:pPr>
        <w:spacing w:after="240" w:line="360" w:lineRule="auto"/>
        <w:jc w:val="both"/>
        <w:rPr>
          <w:rFonts w:ascii="Arial" w:hAnsi="Arial" w:cs="Arial"/>
          <w:color w:val="000000"/>
          <w:sz w:val="20"/>
          <w:szCs w:val="20"/>
        </w:rPr>
      </w:pPr>
    </w:p>
    <w:p w14:paraId="4A6ABD15" w14:textId="50044BA7" w:rsidR="0047183E" w:rsidRPr="003F69FE" w:rsidRDefault="0047183E" w:rsidP="00917D4E">
      <w:pPr>
        <w:spacing w:after="240" w:line="360" w:lineRule="auto"/>
        <w:jc w:val="both"/>
        <w:rPr>
          <w:color w:val="000000"/>
        </w:rPr>
      </w:pPr>
      <w:r w:rsidRPr="003F69FE">
        <w:rPr>
          <w:noProof/>
        </w:rPr>
        <w:lastRenderedPageBreak/>
        <w:drawing>
          <wp:inline distT="0" distB="0" distL="0" distR="0" wp14:anchorId="292B2D3A" wp14:editId="7B09F4E2">
            <wp:extent cx="5943600" cy="2731135"/>
            <wp:effectExtent l="0" t="0" r="0" b="0"/>
            <wp:docPr id="855262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31135"/>
                    </a:xfrm>
                    <a:prstGeom prst="rect">
                      <a:avLst/>
                    </a:prstGeom>
                    <a:noFill/>
                    <a:ln>
                      <a:noFill/>
                    </a:ln>
                  </pic:spPr>
                </pic:pic>
              </a:graphicData>
            </a:graphic>
          </wp:inline>
        </w:drawing>
      </w:r>
    </w:p>
    <w:p w14:paraId="215D8954" w14:textId="01FDD752" w:rsidR="00572812" w:rsidRPr="004F45DD" w:rsidRDefault="0047183E" w:rsidP="004F45DD">
      <w:pPr>
        <w:spacing w:line="360" w:lineRule="auto"/>
        <w:jc w:val="both"/>
        <w:rPr>
          <w:rFonts w:ascii="Arial" w:eastAsiaTheme="minorHAnsi" w:hAnsi="Arial" w:cs="Arial"/>
          <w:b/>
          <w:bCs/>
          <w:kern w:val="2"/>
          <w:sz w:val="22"/>
          <w:szCs w:val="22"/>
          <w:lang w:val="en-IN"/>
        </w:rPr>
      </w:pPr>
      <w:r w:rsidRPr="004F45DD">
        <w:rPr>
          <w:rFonts w:ascii="Arial" w:hAnsi="Arial" w:cs="Arial"/>
          <w:b/>
          <w:bCs/>
          <w:color w:val="000000"/>
          <w:sz w:val="20"/>
          <w:szCs w:val="20"/>
        </w:rPr>
        <w:t xml:space="preserve">Figure 4: Temporal Trends in Cropping Land Transitions and Persistence in </w:t>
      </w:r>
      <w:proofErr w:type="spellStart"/>
      <w:r w:rsidRPr="004F45DD">
        <w:rPr>
          <w:rFonts w:ascii="Arial" w:hAnsi="Arial" w:cs="Arial"/>
          <w:b/>
          <w:bCs/>
          <w:color w:val="000000"/>
          <w:sz w:val="20"/>
          <w:szCs w:val="20"/>
        </w:rPr>
        <w:t>Hura</w:t>
      </w:r>
      <w:proofErr w:type="spellEnd"/>
      <w:r w:rsidRPr="004F45DD">
        <w:rPr>
          <w:rFonts w:ascii="Arial" w:hAnsi="Arial" w:cs="Arial"/>
          <w:b/>
          <w:bCs/>
          <w:color w:val="000000"/>
          <w:sz w:val="20"/>
          <w:szCs w:val="20"/>
        </w:rPr>
        <w:t xml:space="preserve"> block (2017–2024). Panel A illustrates annual inflow, outflow, and net change in cropping land area, while Panel B depicts cropping land persistence (Crops → Crops) with a fitted logarithmic trend.</w:t>
      </w:r>
      <w:r w:rsidR="00572812" w:rsidRPr="004F45DD">
        <w:rPr>
          <w:rFonts w:ascii="Arial" w:eastAsiaTheme="minorHAnsi" w:hAnsi="Arial" w:cs="Arial"/>
          <w:b/>
          <w:bCs/>
          <w:kern w:val="2"/>
          <w:sz w:val="22"/>
          <w:szCs w:val="22"/>
          <w:lang w:val="en-IN"/>
          <w14:ligatures w14:val="standardContextual"/>
        </w:rPr>
        <w:t xml:space="preserve"> </w:t>
      </w:r>
    </w:p>
    <w:p w14:paraId="04FE2D15" w14:textId="77777777" w:rsidR="00572812" w:rsidRPr="0069595A" w:rsidRDefault="00572812" w:rsidP="004F45DD">
      <w:pPr>
        <w:jc w:val="both"/>
        <w:rPr>
          <w:rFonts w:ascii="Arial" w:hAnsi="Arial" w:cs="Arial"/>
          <w:color w:val="000000"/>
          <w:sz w:val="20"/>
          <w:szCs w:val="20"/>
          <w:lang w:val="en-IN"/>
        </w:rPr>
      </w:pPr>
    </w:p>
    <w:p w14:paraId="358621ED" w14:textId="5879C906" w:rsidR="0047183E" w:rsidRPr="004F45DD" w:rsidRDefault="00572812" w:rsidP="004F45DD">
      <w:pPr>
        <w:spacing w:after="240" w:line="360" w:lineRule="auto"/>
        <w:jc w:val="both"/>
        <w:rPr>
          <w:rFonts w:ascii="Arial" w:hAnsi="Arial" w:cs="Arial"/>
          <w:i/>
          <w:iCs/>
          <w:color w:val="000000"/>
          <w:sz w:val="20"/>
          <w:szCs w:val="20"/>
          <w:lang w:val="en-IN"/>
        </w:rPr>
      </w:pPr>
      <w:r w:rsidRPr="004F45DD">
        <w:rPr>
          <w:rFonts w:ascii="Arial" w:hAnsi="Arial" w:cs="Arial"/>
          <w:i/>
          <w:iCs/>
          <w:color w:val="000000"/>
          <w:sz w:val="20"/>
          <w:szCs w:val="20"/>
          <w:lang w:val="en-IN"/>
        </w:rPr>
        <w:t>Note: In Fig. 4A, moving averages are calculated from annual data, with the average column excluded from smoothing. In Fig. 4B, the trendline is fitted to annual data only, and the average column is excluded from regression analysis.</w:t>
      </w:r>
    </w:p>
    <w:p w14:paraId="0D862D7F" w14:textId="7E82593A" w:rsidR="00A50A88" w:rsidRPr="001F01F0" w:rsidRDefault="00D922DF" w:rsidP="00917D4E">
      <w:pPr>
        <w:spacing w:after="240" w:line="360" w:lineRule="auto"/>
        <w:jc w:val="both"/>
        <w:rPr>
          <w:rFonts w:ascii="Arial" w:hAnsi="Arial" w:cs="Arial"/>
          <w:b/>
          <w:color w:val="000000"/>
          <w:sz w:val="22"/>
          <w:szCs w:val="22"/>
        </w:rPr>
      </w:pPr>
      <w:r w:rsidRPr="001F01F0">
        <w:rPr>
          <w:rFonts w:ascii="Arial" w:hAnsi="Arial" w:cs="Arial"/>
          <w:b/>
          <w:color w:val="000000"/>
          <w:sz w:val="22"/>
          <w:szCs w:val="22"/>
        </w:rPr>
        <w:t xml:space="preserve">3.4 </w:t>
      </w:r>
      <w:r w:rsidR="00495456" w:rsidRPr="001F01F0">
        <w:rPr>
          <w:rFonts w:ascii="Arial" w:hAnsi="Arial" w:cs="Arial"/>
          <w:b/>
          <w:color w:val="000000"/>
          <w:sz w:val="22"/>
          <w:szCs w:val="22"/>
        </w:rPr>
        <w:t>Analysis of Cropland Gains from Other LULC Classes:</w:t>
      </w:r>
    </w:p>
    <w:p w14:paraId="6A2831EA" w14:textId="77777777" w:rsidR="00A50A88" w:rsidRPr="001F01F0" w:rsidRDefault="002D2C41" w:rsidP="00917D4E">
      <w:pPr>
        <w:spacing w:after="240" w:line="360" w:lineRule="auto"/>
        <w:jc w:val="both"/>
        <w:rPr>
          <w:rFonts w:ascii="Arial" w:hAnsi="Arial" w:cs="Arial"/>
          <w:color w:val="000000"/>
          <w:sz w:val="20"/>
          <w:szCs w:val="20"/>
        </w:rPr>
      </w:pPr>
      <w:r w:rsidRPr="001F01F0">
        <w:rPr>
          <w:rFonts w:ascii="Arial" w:hAnsi="Arial" w:cs="Arial"/>
          <w:color w:val="000000"/>
          <w:sz w:val="20"/>
          <w:szCs w:val="20"/>
        </w:rPr>
        <w:t xml:space="preserve">The analysis of the conversion dynamics of non-cropland categories into cropland (Table 4; Fig. 5a) revealed significant temporal variability and identified the sources contributing to agricultural expansion in the region. On average, 597.54 ha of land were converted into croplands annually, with the largest proportion originating from rangelands (51.01%), followed by tree cover (33.78%), water bodies (8.49%), and developed areas (6.70%). Bare ground contributed minimally (0.02%), underscoring its limited role in the transformation of agricultural land. Rangelands consistently emerged as the predominant contributor to cropland conversion, particularly in 2019–20 (1,871.13 ha; 90.90%), 2020–21 (3,497.13 ha; 80.42%), and 2023–24 (2,999.96 ha; 92.72%), reflecting the widespread reclamation of grazing or degraded land for cultivation. Tree cover also played a substantial role in certain years, notably 2018–19 (380.06 ha; 55.97%) and 2022–23 (366.08 ha; 37.26%), suggesting deforestation or clearance of wooded areas to meet agricultural demand. Built-up areas contributed modestly but steadily, with notable peaks in 2020–21 (262.29 ha; 6.03%) and 2021–22 (92.93 ha; 20.88%), indicating peri-urban land adjustments or the reallocation of marginal settlements. Water bodies occasionally supplied cropland, with conversions reaching 90.55 ha (2.08%) in 2020–21 and 75.77 ha (7.71%) in 2022–23, indicating the encroachment of wetlands or seasonal waterlogged areas. Overall, the conversion pattern demonstrates that cropland </w:t>
      </w:r>
      <w:r w:rsidRPr="001F01F0">
        <w:rPr>
          <w:rFonts w:ascii="Arial" w:hAnsi="Arial" w:cs="Arial"/>
          <w:color w:val="000000"/>
          <w:sz w:val="20"/>
          <w:szCs w:val="20"/>
        </w:rPr>
        <w:lastRenderedPageBreak/>
        <w:t xml:space="preserve">expansion in </w:t>
      </w:r>
      <w:proofErr w:type="spellStart"/>
      <w:r w:rsidRPr="001F01F0">
        <w:rPr>
          <w:rFonts w:ascii="Arial" w:hAnsi="Arial" w:cs="Arial"/>
          <w:color w:val="000000"/>
          <w:sz w:val="20"/>
          <w:szCs w:val="20"/>
        </w:rPr>
        <w:t>Hura</w:t>
      </w:r>
      <w:proofErr w:type="spellEnd"/>
      <w:r w:rsidRPr="001F01F0">
        <w:rPr>
          <w:rFonts w:ascii="Arial" w:hAnsi="Arial" w:cs="Arial"/>
          <w:color w:val="000000"/>
          <w:sz w:val="20"/>
          <w:szCs w:val="20"/>
        </w:rPr>
        <w:t xml:space="preserve"> C.D. Block was primarily achieved through the reclamation of rangelands and clearance of tree cover, supplemented by smaller inflows from built-up areas and water bodies. These transitions reflect both anthropogenic pressures (urbanization, deforestation, and wetland encroachment) and agricultural intensification strategies, raising concerns about ecological sustainability. These findings underscore the need for balanced land management policies that safeguard rangelands and forest ecosystems while ensuring agricultural productivity.</w:t>
      </w:r>
    </w:p>
    <w:tbl>
      <w:tblPr>
        <w:tblStyle w:val="TableGrid1"/>
        <w:tblW w:w="0" w:type="auto"/>
        <w:tblInd w:w="421" w:type="dxa"/>
        <w:tblLayout w:type="fixed"/>
        <w:tblCellMar>
          <w:left w:w="28" w:type="dxa"/>
          <w:right w:w="28" w:type="dxa"/>
        </w:tblCellMar>
        <w:tblLook w:val="04A0" w:firstRow="1" w:lastRow="0" w:firstColumn="1" w:lastColumn="0" w:noHBand="0" w:noVBand="1"/>
      </w:tblPr>
      <w:tblGrid>
        <w:gridCol w:w="850"/>
        <w:gridCol w:w="1276"/>
        <w:gridCol w:w="1417"/>
        <w:gridCol w:w="1134"/>
        <w:gridCol w:w="1134"/>
        <w:gridCol w:w="1134"/>
        <w:gridCol w:w="1650"/>
      </w:tblGrid>
      <w:tr w:rsidR="00176B38" w:rsidRPr="001F01F0" w14:paraId="1CCC1F66" w14:textId="77777777" w:rsidTr="00176B38">
        <w:trPr>
          <w:trHeight w:val="288"/>
        </w:trPr>
        <w:tc>
          <w:tcPr>
            <w:tcW w:w="8595" w:type="dxa"/>
            <w:gridSpan w:val="7"/>
            <w:tcBorders>
              <w:top w:val="nil"/>
              <w:left w:val="nil"/>
              <w:bottom w:val="single" w:sz="4" w:space="0" w:color="auto"/>
              <w:right w:val="nil"/>
            </w:tcBorders>
            <w:noWrap/>
            <w:vAlign w:val="center"/>
            <w:hideMark/>
          </w:tcPr>
          <w:p w14:paraId="45A1779E" w14:textId="77777777" w:rsidR="00176B38" w:rsidRPr="004F45DD" w:rsidRDefault="00176B38" w:rsidP="00176B38">
            <w:pPr>
              <w:jc w:val="both"/>
              <w:rPr>
                <w:rFonts w:ascii="Arial" w:hAnsi="Arial" w:cs="Arial"/>
                <w:b/>
                <w:bCs/>
                <w:color w:val="000000"/>
                <w:sz w:val="20"/>
                <w:szCs w:val="20"/>
                <w:lang w:eastAsia="en-IN"/>
              </w:rPr>
            </w:pPr>
            <w:r w:rsidRPr="004F45DD">
              <w:rPr>
                <w:rFonts w:ascii="Arial" w:hAnsi="Arial" w:cs="Arial"/>
                <w:b/>
                <w:bCs/>
                <w:color w:val="000000"/>
                <w:sz w:val="20"/>
                <w:szCs w:val="20"/>
                <w:lang w:eastAsia="en-IN"/>
              </w:rPr>
              <w:t xml:space="preserve">Table 4: Conversion of Other LULC Classes into Cropping Land (ha, %) in </w:t>
            </w:r>
            <w:proofErr w:type="spellStart"/>
            <w:r w:rsidRPr="004F45DD">
              <w:rPr>
                <w:rFonts w:ascii="Arial" w:hAnsi="Arial" w:cs="Arial"/>
                <w:b/>
                <w:bCs/>
                <w:color w:val="000000"/>
                <w:sz w:val="20"/>
                <w:szCs w:val="20"/>
                <w:lang w:eastAsia="en-IN"/>
              </w:rPr>
              <w:t>Hura</w:t>
            </w:r>
            <w:proofErr w:type="spellEnd"/>
            <w:r w:rsidRPr="004F45DD">
              <w:rPr>
                <w:rFonts w:ascii="Arial" w:hAnsi="Arial" w:cs="Arial"/>
                <w:b/>
                <w:bCs/>
                <w:color w:val="000000"/>
                <w:sz w:val="20"/>
                <w:szCs w:val="20"/>
                <w:lang w:eastAsia="en-IN"/>
              </w:rPr>
              <w:t xml:space="preserve"> C.D. Block (2017–2024)</w:t>
            </w:r>
          </w:p>
          <w:p w14:paraId="1DD1EC8C" w14:textId="77777777" w:rsidR="0047183E" w:rsidRPr="001F01F0" w:rsidRDefault="0047183E" w:rsidP="00176B38">
            <w:pPr>
              <w:jc w:val="both"/>
              <w:rPr>
                <w:rFonts w:ascii="Arial" w:hAnsi="Arial" w:cs="Arial"/>
                <w:color w:val="000000"/>
                <w:sz w:val="20"/>
                <w:szCs w:val="20"/>
                <w:lang w:eastAsia="en-IN"/>
              </w:rPr>
            </w:pPr>
          </w:p>
          <w:p w14:paraId="2EAC231F" w14:textId="77777777" w:rsidR="00AB7B3A" w:rsidRPr="001F01F0" w:rsidRDefault="00AB7B3A" w:rsidP="00176B38">
            <w:pPr>
              <w:jc w:val="both"/>
              <w:rPr>
                <w:rFonts w:ascii="Arial" w:hAnsi="Arial" w:cs="Arial"/>
                <w:color w:val="000000"/>
                <w:sz w:val="20"/>
                <w:szCs w:val="20"/>
                <w:lang w:eastAsia="en-IN"/>
              </w:rPr>
            </w:pPr>
          </w:p>
        </w:tc>
      </w:tr>
      <w:tr w:rsidR="00176B38" w:rsidRPr="001F01F0" w14:paraId="7734BE08" w14:textId="77777777" w:rsidTr="00176B38">
        <w:trPr>
          <w:trHeight w:val="288"/>
        </w:trPr>
        <w:tc>
          <w:tcPr>
            <w:tcW w:w="850" w:type="dxa"/>
            <w:tcBorders>
              <w:top w:val="single" w:sz="4" w:space="0" w:color="auto"/>
            </w:tcBorders>
            <w:noWrap/>
            <w:vAlign w:val="center"/>
            <w:hideMark/>
          </w:tcPr>
          <w:p w14:paraId="5DDD5C4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Year</w:t>
            </w:r>
          </w:p>
        </w:tc>
        <w:tc>
          <w:tcPr>
            <w:tcW w:w="1276" w:type="dxa"/>
            <w:tcBorders>
              <w:top w:val="single" w:sz="4" w:space="0" w:color="auto"/>
            </w:tcBorders>
            <w:noWrap/>
            <w:vAlign w:val="center"/>
            <w:hideMark/>
          </w:tcPr>
          <w:p w14:paraId="102AE46C"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Bare Ground → Crops</w:t>
            </w:r>
          </w:p>
        </w:tc>
        <w:tc>
          <w:tcPr>
            <w:tcW w:w="1417" w:type="dxa"/>
            <w:tcBorders>
              <w:top w:val="single" w:sz="4" w:space="0" w:color="auto"/>
            </w:tcBorders>
            <w:noWrap/>
            <w:vAlign w:val="center"/>
            <w:hideMark/>
          </w:tcPr>
          <w:p w14:paraId="5889ACA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Built-up Area → Crops</w:t>
            </w:r>
          </w:p>
        </w:tc>
        <w:tc>
          <w:tcPr>
            <w:tcW w:w="1134" w:type="dxa"/>
            <w:tcBorders>
              <w:top w:val="single" w:sz="4" w:space="0" w:color="auto"/>
            </w:tcBorders>
            <w:noWrap/>
            <w:vAlign w:val="center"/>
            <w:hideMark/>
          </w:tcPr>
          <w:p w14:paraId="34B2071F"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Rangeland → Crops</w:t>
            </w:r>
          </w:p>
        </w:tc>
        <w:tc>
          <w:tcPr>
            <w:tcW w:w="1134" w:type="dxa"/>
            <w:tcBorders>
              <w:top w:val="single" w:sz="4" w:space="0" w:color="auto"/>
            </w:tcBorders>
            <w:noWrap/>
            <w:vAlign w:val="center"/>
            <w:hideMark/>
          </w:tcPr>
          <w:p w14:paraId="2CC7F26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Tree Cover → Crops</w:t>
            </w:r>
          </w:p>
        </w:tc>
        <w:tc>
          <w:tcPr>
            <w:tcW w:w="1134" w:type="dxa"/>
            <w:tcBorders>
              <w:top w:val="single" w:sz="4" w:space="0" w:color="auto"/>
            </w:tcBorders>
            <w:noWrap/>
            <w:vAlign w:val="center"/>
            <w:hideMark/>
          </w:tcPr>
          <w:p w14:paraId="0DAC01F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Waterbody → Crops</w:t>
            </w:r>
          </w:p>
        </w:tc>
        <w:tc>
          <w:tcPr>
            <w:tcW w:w="1650" w:type="dxa"/>
            <w:tcBorders>
              <w:top w:val="single" w:sz="4" w:space="0" w:color="auto"/>
            </w:tcBorders>
            <w:noWrap/>
            <w:vAlign w:val="center"/>
            <w:hideMark/>
          </w:tcPr>
          <w:p w14:paraId="1AD4F7D7"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Total Conversion to Crops</w:t>
            </w:r>
          </w:p>
        </w:tc>
      </w:tr>
      <w:tr w:rsidR="00176B38" w:rsidRPr="001F01F0" w14:paraId="0C2ED6E1" w14:textId="77777777" w:rsidTr="000B7FAE">
        <w:trPr>
          <w:trHeight w:val="288"/>
        </w:trPr>
        <w:tc>
          <w:tcPr>
            <w:tcW w:w="850" w:type="dxa"/>
            <w:noWrap/>
            <w:vAlign w:val="center"/>
            <w:hideMark/>
          </w:tcPr>
          <w:p w14:paraId="3D6B2B52"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2017-18</w:t>
            </w:r>
          </w:p>
        </w:tc>
        <w:tc>
          <w:tcPr>
            <w:tcW w:w="1276" w:type="dxa"/>
            <w:noWrap/>
            <w:vAlign w:val="center"/>
            <w:hideMark/>
          </w:tcPr>
          <w:p w14:paraId="5369D0B7"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0.0081 (0.0013)</w:t>
            </w:r>
          </w:p>
        </w:tc>
        <w:tc>
          <w:tcPr>
            <w:tcW w:w="1417" w:type="dxa"/>
            <w:noWrap/>
            <w:vAlign w:val="center"/>
            <w:hideMark/>
          </w:tcPr>
          <w:p w14:paraId="1D78D3D9"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46.4023 (7.5337)</w:t>
            </w:r>
          </w:p>
        </w:tc>
        <w:tc>
          <w:tcPr>
            <w:tcW w:w="1134" w:type="dxa"/>
            <w:noWrap/>
            <w:vAlign w:val="center"/>
            <w:hideMark/>
          </w:tcPr>
          <w:p w14:paraId="3F63FDB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405.8402 (65.8909)</w:t>
            </w:r>
          </w:p>
        </w:tc>
        <w:tc>
          <w:tcPr>
            <w:tcW w:w="1134" w:type="dxa"/>
            <w:noWrap/>
            <w:vAlign w:val="center"/>
            <w:hideMark/>
          </w:tcPr>
          <w:p w14:paraId="7A09B6D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108.5680 (17.6267)</w:t>
            </w:r>
          </w:p>
        </w:tc>
        <w:tc>
          <w:tcPr>
            <w:tcW w:w="1134" w:type="dxa"/>
            <w:noWrap/>
            <w:vAlign w:val="center"/>
            <w:hideMark/>
          </w:tcPr>
          <w:p w14:paraId="61B92482"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55.1089 (8.9473)</w:t>
            </w:r>
          </w:p>
        </w:tc>
        <w:tc>
          <w:tcPr>
            <w:tcW w:w="1650" w:type="dxa"/>
            <w:noWrap/>
            <w:vAlign w:val="center"/>
            <w:hideMark/>
          </w:tcPr>
          <w:p w14:paraId="16BA828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615.9275 (100.0000)</w:t>
            </w:r>
          </w:p>
        </w:tc>
      </w:tr>
      <w:tr w:rsidR="00176B38" w:rsidRPr="001F01F0" w14:paraId="2EEC4B9E" w14:textId="77777777" w:rsidTr="000B7FAE">
        <w:trPr>
          <w:trHeight w:val="288"/>
        </w:trPr>
        <w:tc>
          <w:tcPr>
            <w:tcW w:w="850" w:type="dxa"/>
            <w:noWrap/>
            <w:vAlign w:val="center"/>
            <w:hideMark/>
          </w:tcPr>
          <w:p w14:paraId="7BF63B0B"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2018-19</w:t>
            </w:r>
          </w:p>
        </w:tc>
        <w:tc>
          <w:tcPr>
            <w:tcW w:w="1276" w:type="dxa"/>
            <w:noWrap/>
            <w:vAlign w:val="center"/>
            <w:hideMark/>
          </w:tcPr>
          <w:p w14:paraId="304415E0"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0.3153 (0.0464)</w:t>
            </w:r>
          </w:p>
        </w:tc>
        <w:tc>
          <w:tcPr>
            <w:tcW w:w="1417" w:type="dxa"/>
            <w:noWrap/>
            <w:vAlign w:val="center"/>
            <w:hideMark/>
          </w:tcPr>
          <w:p w14:paraId="3F07F609"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79.5510 (11.7146)</w:t>
            </w:r>
          </w:p>
        </w:tc>
        <w:tc>
          <w:tcPr>
            <w:tcW w:w="1134" w:type="dxa"/>
            <w:noWrap/>
            <w:vAlign w:val="center"/>
            <w:hideMark/>
          </w:tcPr>
          <w:p w14:paraId="2F7691EF"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153.3269 (22.5788)</w:t>
            </w:r>
          </w:p>
        </w:tc>
        <w:tc>
          <w:tcPr>
            <w:tcW w:w="1134" w:type="dxa"/>
            <w:noWrap/>
            <w:vAlign w:val="center"/>
            <w:hideMark/>
          </w:tcPr>
          <w:p w14:paraId="72C94F6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380.0579 (55.9671)</w:t>
            </w:r>
          </w:p>
        </w:tc>
        <w:tc>
          <w:tcPr>
            <w:tcW w:w="1134" w:type="dxa"/>
            <w:noWrap/>
            <w:vAlign w:val="center"/>
            <w:hideMark/>
          </w:tcPr>
          <w:p w14:paraId="2FF8B4A8"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65.8221 (9.6929)</w:t>
            </w:r>
          </w:p>
        </w:tc>
        <w:tc>
          <w:tcPr>
            <w:tcW w:w="1650" w:type="dxa"/>
            <w:noWrap/>
            <w:vAlign w:val="center"/>
            <w:hideMark/>
          </w:tcPr>
          <w:p w14:paraId="73376360"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679.0733 (100.0000)</w:t>
            </w:r>
          </w:p>
        </w:tc>
      </w:tr>
      <w:tr w:rsidR="00176B38" w:rsidRPr="001F01F0" w14:paraId="51BA65DE" w14:textId="77777777" w:rsidTr="000B7FAE">
        <w:trPr>
          <w:trHeight w:val="288"/>
        </w:trPr>
        <w:tc>
          <w:tcPr>
            <w:tcW w:w="850" w:type="dxa"/>
            <w:noWrap/>
            <w:vAlign w:val="center"/>
            <w:hideMark/>
          </w:tcPr>
          <w:p w14:paraId="3A1DBC0C"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2019-20</w:t>
            </w:r>
          </w:p>
        </w:tc>
        <w:tc>
          <w:tcPr>
            <w:tcW w:w="1276" w:type="dxa"/>
            <w:noWrap/>
            <w:vAlign w:val="center"/>
            <w:hideMark/>
          </w:tcPr>
          <w:p w14:paraId="21C3F56C"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0.0050 (0.0002)</w:t>
            </w:r>
          </w:p>
        </w:tc>
        <w:tc>
          <w:tcPr>
            <w:tcW w:w="1417" w:type="dxa"/>
            <w:noWrap/>
            <w:vAlign w:val="center"/>
            <w:hideMark/>
          </w:tcPr>
          <w:p w14:paraId="75AAFAA3"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45.4185 (2.2063)</w:t>
            </w:r>
          </w:p>
        </w:tc>
        <w:tc>
          <w:tcPr>
            <w:tcW w:w="1134" w:type="dxa"/>
            <w:noWrap/>
            <w:vAlign w:val="center"/>
            <w:hideMark/>
          </w:tcPr>
          <w:p w14:paraId="3B5E2737"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1871.1254 (90.8959)</w:t>
            </w:r>
          </w:p>
        </w:tc>
        <w:tc>
          <w:tcPr>
            <w:tcW w:w="1134" w:type="dxa"/>
            <w:noWrap/>
            <w:vAlign w:val="center"/>
            <w:hideMark/>
          </w:tcPr>
          <w:p w14:paraId="26134751"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131.4188 (6.3841)</w:t>
            </w:r>
          </w:p>
        </w:tc>
        <w:tc>
          <w:tcPr>
            <w:tcW w:w="1134" w:type="dxa"/>
            <w:noWrap/>
            <w:vAlign w:val="center"/>
            <w:hideMark/>
          </w:tcPr>
          <w:p w14:paraId="4CA3BC33"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10.5680 (0.5134)</w:t>
            </w:r>
          </w:p>
        </w:tc>
        <w:tc>
          <w:tcPr>
            <w:tcW w:w="1650" w:type="dxa"/>
            <w:noWrap/>
            <w:vAlign w:val="center"/>
            <w:hideMark/>
          </w:tcPr>
          <w:p w14:paraId="4077DF32"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2058.5358 (100.0000)</w:t>
            </w:r>
          </w:p>
        </w:tc>
      </w:tr>
      <w:tr w:rsidR="00176B38" w:rsidRPr="001F01F0" w14:paraId="3AB7AE20" w14:textId="77777777" w:rsidTr="000B7FAE">
        <w:trPr>
          <w:trHeight w:val="288"/>
        </w:trPr>
        <w:tc>
          <w:tcPr>
            <w:tcW w:w="850" w:type="dxa"/>
            <w:noWrap/>
            <w:vAlign w:val="center"/>
            <w:hideMark/>
          </w:tcPr>
          <w:p w14:paraId="76E2D448"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2020-21</w:t>
            </w:r>
          </w:p>
        </w:tc>
        <w:tc>
          <w:tcPr>
            <w:tcW w:w="1276" w:type="dxa"/>
            <w:noWrap/>
            <w:vAlign w:val="center"/>
            <w:hideMark/>
          </w:tcPr>
          <w:p w14:paraId="76F6B7C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0.0554 (0.0013)</w:t>
            </w:r>
          </w:p>
        </w:tc>
        <w:tc>
          <w:tcPr>
            <w:tcW w:w="1417" w:type="dxa"/>
            <w:noWrap/>
            <w:vAlign w:val="center"/>
            <w:hideMark/>
          </w:tcPr>
          <w:p w14:paraId="71F6382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262.2882 (6.0313)</w:t>
            </w:r>
          </w:p>
        </w:tc>
        <w:tc>
          <w:tcPr>
            <w:tcW w:w="1134" w:type="dxa"/>
            <w:noWrap/>
            <w:vAlign w:val="center"/>
            <w:hideMark/>
          </w:tcPr>
          <w:p w14:paraId="0DD5BDD7"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3497.1263 (80.4157)</w:t>
            </w:r>
          </w:p>
        </w:tc>
        <w:tc>
          <w:tcPr>
            <w:tcW w:w="1134" w:type="dxa"/>
            <w:noWrap/>
            <w:vAlign w:val="center"/>
            <w:hideMark/>
          </w:tcPr>
          <w:p w14:paraId="5BE08A17"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498.7908 (11.4696)</w:t>
            </w:r>
          </w:p>
        </w:tc>
        <w:tc>
          <w:tcPr>
            <w:tcW w:w="1134" w:type="dxa"/>
            <w:noWrap/>
            <w:vAlign w:val="center"/>
            <w:hideMark/>
          </w:tcPr>
          <w:p w14:paraId="501E7BE8"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90.5523 (2.0822)</w:t>
            </w:r>
          </w:p>
        </w:tc>
        <w:tc>
          <w:tcPr>
            <w:tcW w:w="1650" w:type="dxa"/>
            <w:noWrap/>
            <w:vAlign w:val="center"/>
            <w:hideMark/>
          </w:tcPr>
          <w:p w14:paraId="3C844E2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4348.8129 (100.0000)</w:t>
            </w:r>
          </w:p>
        </w:tc>
      </w:tr>
      <w:tr w:rsidR="00176B38" w:rsidRPr="001F01F0" w14:paraId="4D1C9378" w14:textId="77777777" w:rsidTr="000B7FAE">
        <w:trPr>
          <w:trHeight w:val="288"/>
        </w:trPr>
        <w:tc>
          <w:tcPr>
            <w:tcW w:w="850" w:type="dxa"/>
            <w:noWrap/>
            <w:vAlign w:val="center"/>
            <w:hideMark/>
          </w:tcPr>
          <w:p w14:paraId="339FC7AF"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2021-22</w:t>
            </w:r>
          </w:p>
        </w:tc>
        <w:tc>
          <w:tcPr>
            <w:tcW w:w="1276" w:type="dxa"/>
            <w:noWrap/>
            <w:vAlign w:val="center"/>
            <w:hideMark/>
          </w:tcPr>
          <w:p w14:paraId="13BC580C"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0.0000 (0.0000)</w:t>
            </w:r>
          </w:p>
        </w:tc>
        <w:tc>
          <w:tcPr>
            <w:tcW w:w="1417" w:type="dxa"/>
            <w:noWrap/>
            <w:vAlign w:val="center"/>
            <w:hideMark/>
          </w:tcPr>
          <w:p w14:paraId="3B8A852C"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92.9302 (20.8796)</w:t>
            </w:r>
          </w:p>
        </w:tc>
        <w:tc>
          <w:tcPr>
            <w:tcW w:w="1134" w:type="dxa"/>
            <w:noWrap/>
            <w:vAlign w:val="center"/>
            <w:hideMark/>
          </w:tcPr>
          <w:p w14:paraId="4C23C765"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210.7027 (47.3408)</w:t>
            </w:r>
          </w:p>
        </w:tc>
        <w:tc>
          <w:tcPr>
            <w:tcW w:w="1134" w:type="dxa"/>
            <w:noWrap/>
            <w:vAlign w:val="center"/>
            <w:hideMark/>
          </w:tcPr>
          <w:p w14:paraId="13A54270"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133.7330 (30.0472)</w:t>
            </w:r>
          </w:p>
        </w:tc>
        <w:tc>
          <w:tcPr>
            <w:tcW w:w="1134" w:type="dxa"/>
            <w:noWrap/>
            <w:vAlign w:val="center"/>
            <w:hideMark/>
          </w:tcPr>
          <w:p w14:paraId="45F286DF"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7.7106 (1.7324)</w:t>
            </w:r>
          </w:p>
        </w:tc>
        <w:tc>
          <w:tcPr>
            <w:tcW w:w="1650" w:type="dxa"/>
            <w:noWrap/>
            <w:vAlign w:val="center"/>
            <w:hideMark/>
          </w:tcPr>
          <w:p w14:paraId="042CFE18"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445.0765 (100.0000)</w:t>
            </w:r>
          </w:p>
        </w:tc>
      </w:tr>
      <w:tr w:rsidR="00176B38" w:rsidRPr="001F01F0" w14:paraId="07EA2870" w14:textId="77777777" w:rsidTr="000B7FAE">
        <w:trPr>
          <w:trHeight w:val="288"/>
        </w:trPr>
        <w:tc>
          <w:tcPr>
            <w:tcW w:w="850" w:type="dxa"/>
            <w:noWrap/>
            <w:vAlign w:val="center"/>
            <w:hideMark/>
          </w:tcPr>
          <w:p w14:paraId="5C5237A3"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2022-23</w:t>
            </w:r>
          </w:p>
        </w:tc>
        <w:tc>
          <w:tcPr>
            <w:tcW w:w="1276" w:type="dxa"/>
            <w:noWrap/>
            <w:vAlign w:val="center"/>
            <w:hideMark/>
          </w:tcPr>
          <w:p w14:paraId="592D4846"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0.0080 (0.0008)</w:t>
            </w:r>
          </w:p>
        </w:tc>
        <w:tc>
          <w:tcPr>
            <w:tcW w:w="1417" w:type="dxa"/>
            <w:noWrap/>
            <w:vAlign w:val="center"/>
            <w:hideMark/>
          </w:tcPr>
          <w:p w14:paraId="393A7A06"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149.0901 (15.1736)</w:t>
            </w:r>
          </w:p>
        </w:tc>
        <w:tc>
          <w:tcPr>
            <w:tcW w:w="1134" w:type="dxa"/>
            <w:noWrap/>
            <w:vAlign w:val="center"/>
            <w:hideMark/>
          </w:tcPr>
          <w:p w14:paraId="136814C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391.6143 (39.8563)</w:t>
            </w:r>
          </w:p>
        </w:tc>
        <w:tc>
          <w:tcPr>
            <w:tcW w:w="1134" w:type="dxa"/>
            <w:noWrap/>
            <w:vAlign w:val="center"/>
            <w:hideMark/>
          </w:tcPr>
          <w:p w14:paraId="1AF276B5"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366.0803 (37.2576)</w:t>
            </w:r>
          </w:p>
        </w:tc>
        <w:tc>
          <w:tcPr>
            <w:tcW w:w="1134" w:type="dxa"/>
            <w:noWrap/>
            <w:vAlign w:val="center"/>
            <w:hideMark/>
          </w:tcPr>
          <w:p w14:paraId="62C0B1C1"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75.7727 (7.7117)</w:t>
            </w:r>
          </w:p>
        </w:tc>
        <w:tc>
          <w:tcPr>
            <w:tcW w:w="1650" w:type="dxa"/>
            <w:noWrap/>
            <w:vAlign w:val="center"/>
            <w:hideMark/>
          </w:tcPr>
          <w:p w14:paraId="15701534"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982.5654 (100.0000)</w:t>
            </w:r>
          </w:p>
        </w:tc>
      </w:tr>
      <w:tr w:rsidR="00176B38" w:rsidRPr="001F01F0" w14:paraId="40566C14" w14:textId="77777777" w:rsidTr="000B7FAE">
        <w:trPr>
          <w:trHeight w:val="288"/>
        </w:trPr>
        <w:tc>
          <w:tcPr>
            <w:tcW w:w="850" w:type="dxa"/>
            <w:noWrap/>
            <w:vAlign w:val="center"/>
            <w:hideMark/>
          </w:tcPr>
          <w:p w14:paraId="3D1DFB2C"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2023-24</w:t>
            </w:r>
          </w:p>
        </w:tc>
        <w:tc>
          <w:tcPr>
            <w:tcW w:w="1276" w:type="dxa"/>
            <w:noWrap/>
            <w:vAlign w:val="center"/>
            <w:hideMark/>
          </w:tcPr>
          <w:p w14:paraId="4239A073"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0.0000 (0.0000)</w:t>
            </w:r>
          </w:p>
        </w:tc>
        <w:tc>
          <w:tcPr>
            <w:tcW w:w="1417" w:type="dxa"/>
            <w:noWrap/>
            <w:vAlign w:val="center"/>
            <w:hideMark/>
          </w:tcPr>
          <w:p w14:paraId="37CD30F9"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79.5580 (2.4589)</w:t>
            </w:r>
          </w:p>
        </w:tc>
        <w:tc>
          <w:tcPr>
            <w:tcW w:w="1134" w:type="dxa"/>
            <w:noWrap/>
            <w:vAlign w:val="center"/>
            <w:hideMark/>
          </w:tcPr>
          <w:p w14:paraId="55DC8816"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2999.9603 (92.7212)</w:t>
            </w:r>
          </w:p>
        </w:tc>
        <w:tc>
          <w:tcPr>
            <w:tcW w:w="1134" w:type="dxa"/>
            <w:noWrap/>
            <w:vAlign w:val="center"/>
            <w:hideMark/>
          </w:tcPr>
          <w:p w14:paraId="085DA6B6"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121.1533 (3.7445)</w:t>
            </w:r>
          </w:p>
        </w:tc>
        <w:tc>
          <w:tcPr>
            <w:tcW w:w="1134" w:type="dxa"/>
            <w:noWrap/>
            <w:vAlign w:val="center"/>
            <w:hideMark/>
          </w:tcPr>
          <w:p w14:paraId="0BD14B1E"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34.7901 (1.0753)</w:t>
            </w:r>
          </w:p>
        </w:tc>
        <w:tc>
          <w:tcPr>
            <w:tcW w:w="1650" w:type="dxa"/>
            <w:noWrap/>
            <w:vAlign w:val="center"/>
            <w:hideMark/>
          </w:tcPr>
          <w:p w14:paraId="773B7DCF"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3235.4617 (100.0000)</w:t>
            </w:r>
          </w:p>
        </w:tc>
      </w:tr>
      <w:tr w:rsidR="00176B38" w:rsidRPr="001F01F0" w14:paraId="391C4778" w14:textId="77777777" w:rsidTr="00176B38">
        <w:trPr>
          <w:trHeight w:val="288"/>
        </w:trPr>
        <w:tc>
          <w:tcPr>
            <w:tcW w:w="850" w:type="dxa"/>
            <w:tcBorders>
              <w:bottom w:val="single" w:sz="4" w:space="0" w:color="auto"/>
            </w:tcBorders>
            <w:noWrap/>
            <w:vAlign w:val="center"/>
            <w:hideMark/>
          </w:tcPr>
          <w:p w14:paraId="4E7D1B19"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Mean</w:t>
            </w:r>
          </w:p>
        </w:tc>
        <w:tc>
          <w:tcPr>
            <w:tcW w:w="1276" w:type="dxa"/>
            <w:tcBorders>
              <w:bottom w:val="single" w:sz="4" w:space="0" w:color="auto"/>
            </w:tcBorders>
            <w:noWrap/>
            <w:vAlign w:val="center"/>
            <w:hideMark/>
          </w:tcPr>
          <w:p w14:paraId="30857423"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0.1319 (0.0221)</w:t>
            </w:r>
          </w:p>
        </w:tc>
        <w:tc>
          <w:tcPr>
            <w:tcW w:w="1417" w:type="dxa"/>
            <w:tcBorders>
              <w:bottom w:val="single" w:sz="4" w:space="0" w:color="auto"/>
            </w:tcBorders>
            <w:noWrap/>
            <w:vAlign w:val="center"/>
            <w:hideMark/>
          </w:tcPr>
          <w:p w14:paraId="0AC52554"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40.0373 (6.7004)</w:t>
            </w:r>
          </w:p>
        </w:tc>
        <w:tc>
          <w:tcPr>
            <w:tcW w:w="1134" w:type="dxa"/>
            <w:tcBorders>
              <w:bottom w:val="single" w:sz="4" w:space="0" w:color="auto"/>
            </w:tcBorders>
            <w:noWrap/>
            <w:vAlign w:val="center"/>
            <w:hideMark/>
          </w:tcPr>
          <w:p w14:paraId="4835CD59"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304.7961 (51.0089)</w:t>
            </w:r>
          </w:p>
        </w:tc>
        <w:tc>
          <w:tcPr>
            <w:tcW w:w="1134" w:type="dxa"/>
            <w:tcBorders>
              <w:bottom w:val="single" w:sz="4" w:space="0" w:color="auto"/>
            </w:tcBorders>
            <w:noWrap/>
            <w:vAlign w:val="center"/>
            <w:hideMark/>
          </w:tcPr>
          <w:p w14:paraId="5313B442"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201.8272 (33.7766)</w:t>
            </w:r>
          </w:p>
        </w:tc>
        <w:tc>
          <w:tcPr>
            <w:tcW w:w="1134" w:type="dxa"/>
            <w:tcBorders>
              <w:bottom w:val="single" w:sz="4" w:space="0" w:color="auto"/>
            </w:tcBorders>
            <w:noWrap/>
            <w:vAlign w:val="center"/>
            <w:hideMark/>
          </w:tcPr>
          <w:p w14:paraId="35F73B84"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50.7428 (8.4920)</w:t>
            </w:r>
          </w:p>
        </w:tc>
        <w:tc>
          <w:tcPr>
            <w:tcW w:w="1650" w:type="dxa"/>
            <w:tcBorders>
              <w:bottom w:val="single" w:sz="4" w:space="0" w:color="auto"/>
            </w:tcBorders>
            <w:noWrap/>
            <w:vAlign w:val="center"/>
            <w:hideMark/>
          </w:tcPr>
          <w:p w14:paraId="68B3143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597.5353 (100.0000)</w:t>
            </w:r>
          </w:p>
        </w:tc>
      </w:tr>
      <w:tr w:rsidR="00176B38" w:rsidRPr="004F45DD" w14:paraId="39D290E5" w14:textId="77777777" w:rsidTr="00176B38">
        <w:trPr>
          <w:trHeight w:val="288"/>
        </w:trPr>
        <w:tc>
          <w:tcPr>
            <w:tcW w:w="8595" w:type="dxa"/>
            <w:gridSpan w:val="7"/>
            <w:tcBorders>
              <w:top w:val="single" w:sz="4" w:space="0" w:color="auto"/>
              <w:left w:val="nil"/>
              <w:bottom w:val="nil"/>
              <w:right w:val="nil"/>
            </w:tcBorders>
            <w:noWrap/>
            <w:vAlign w:val="center"/>
          </w:tcPr>
          <w:p w14:paraId="0CEEA23C" w14:textId="77777777" w:rsidR="00176B38" w:rsidRPr="004F45DD" w:rsidRDefault="00176B38" w:rsidP="00176B38">
            <w:pPr>
              <w:spacing w:before="240"/>
              <w:rPr>
                <w:rFonts w:ascii="Arial" w:hAnsi="Arial" w:cs="Arial"/>
                <w:i/>
                <w:iCs/>
                <w:color w:val="000000"/>
                <w:sz w:val="20"/>
                <w:szCs w:val="20"/>
                <w:lang w:eastAsia="en-IN"/>
              </w:rPr>
            </w:pPr>
            <w:r w:rsidRPr="004F45DD">
              <w:rPr>
                <w:rFonts w:ascii="Arial" w:hAnsi="Arial" w:cs="Arial"/>
                <w:i/>
                <w:iCs/>
                <w:color w:val="000000"/>
                <w:sz w:val="20"/>
                <w:szCs w:val="20"/>
                <w:lang w:eastAsia="en-IN"/>
              </w:rPr>
              <w:t>Note: Values in hectares, with percentage in parentheses</w:t>
            </w:r>
          </w:p>
        </w:tc>
      </w:tr>
    </w:tbl>
    <w:p w14:paraId="381872A6" w14:textId="77777777" w:rsidR="0047183E" w:rsidRPr="001F01F0" w:rsidRDefault="0047183E" w:rsidP="00917D4E">
      <w:pPr>
        <w:spacing w:after="240" w:line="360" w:lineRule="auto"/>
        <w:jc w:val="both"/>
        <w:rPr>
          <w:rFonts w:ascii="Arial" w:hAnsi="Arial" w:cs="Arial"/>
          <w:b/>
          <w:color w:val="000000"/>
          <w:sz w:val="20"/>
          <w:szCs w:val="20"/>
        </w:rPr>
      </w:pPr>
    </w:p>
    <w:p w14:paraId="0038F2F8" w14:textId="219BF98F" w:rsidR="00495456" w:rsidRPr="001F01F0" w:rsidRDefault="00D922DF" w:rsidP="00917D4E">
      <w:pPr>
        <w:spacing w:after="240" w:line="360" w:lineRule="auto"/>
        <w:jc w:val="both"/>
        <w:rPr>
          <w:rFonts w:ascii="Arial" w:hAnsi="Arial" w:cs="Arial"/>
          <w:b/>
          <w:color w:val="000000"/>
          <w:sz w:val="22"/>
          <w:szCs w:val="22"/>
        </w:rPr>
      </w:pPr>
      <w:r w:rsidRPr="001F01F0">
        <w:rPr>
          <w:rFonts w:ascii="Arial" w:hAnsi="Arial" w:cs="Arial"/>
          <w:b/>
          <w:color w:val="000000"/>
          <w:sz w:val="22"/>
          <w:szCs w:val="22"/>
        </w:rPr>
        <w:t xml:space="preserve">3.5 </w:t>
      </w:r>
      <w:r w:rsidR="00495456" w:rsidRPr="001F01F0">
        <w:rPr>
          <w:rFonts w:ascii="Arial" w:hAnsi="Arial" w:cs="Arial"/>
          <w:b/>
          <w:color w:val="000000"/>
          <w:sz w:val="22"/>
          <w:szCs w:val="22"/>
        </w:rPr>
        <w:t>Analysis of Cropland Loss to Other LULC Classes:</w:t>
      </w:r>
    </w:p>
    <w:p w14:paraId="109CF521" w14:textId="1D5C7D20" w:rsidR="0079240A" w:rsidRPr="001F01F0" w:rsidRDefault="002D2C41" w:rsidP="00917D4E">
      <w:pPr>
        <w:spacing w:after="240" w:line="360" w:lineRule="auto"/>
        <w:jc w:val="both"/>
        <w:rPr>
          <w:rFonts w:ascii="Arial" w:hAnsi="Arial" w:cs="Arial"/>
          <w:color w:val="000000"/>
          <w:sz w:val="20"/>
          <w:szCs w:val="20"/>
        </w:rPr>
      </w:pPr>
      <w:r w:rsidRPr="001F01F0">
        <w:rPr>
          <w:rFonts w:ascii="Arial" w:hAnsi="Arial" w:cs="Arial"/>
          <w:color w:val="000000"/>
          <w:sz w:val="20"/>
          <w:szCs w:val="20"/>
        </w:rPr>
        <w:t xml:space="preserve">The conversion of croplands into other land use and land cover (LULC) categories (Table 5; Fig. 5b) demonstrates significant spatial reallocation, indicative of both anthropogenic pressures and ecological transitions. On average, 4,672.74 hectares of cropland were converted annually, with the largest proportion directed towards rangeland (48.32%), followed by tree cover (35.67%), built-up areas (13.96%), and smaller proportions into waterbodies (2.05%) and bare ground (0.0003%). Rangelands consistently absorbed the majority of cropland outflow, particularly in 2018–19 (3,530.71 ha; 91.09%) and 2022–23 (3,764.54 ha; 91.56%), underscoring the vulnerability of agricultural land to degradation or conversion into grazing areas. Tree cover also emerged as a major recipient, with notable peaks in 2017–18 (771.98 ha; 39.90%), 2021–22 (965.30 ha; 28.61%), and 2023–24 (487.18 ha; 51.43%), suggesting afforestation or natural regeneration processes in abandoned croplands. Although smaller in scale, built-up areas consistently expanded through cropland conversion, averaging 652.50 ha (13.96%), with significant contributions in 2017–18 (335.58 ha; 17.35%) and 2023–24 (176.63 ha; 18.64%), reflecting </w:t>
      </w:r>
      <w:r w:rsidRPr="001F01F0">
        <w:rPr>
          <w:rFonts w:ascii="Arial" w:hAnsi="Arial" w:cs="Arial"/>
          <w:color w:val="000000"/>
          <w:sz w:val="20"/>
          <w:szCs w:val="20"/>
        </w:rPr>
        <w:lastRenderedPageBreak/>
        <w:t xml:space="preserve">urbanization and infrastructural growth. Waterbodies accounted for minor but recurrent conversions, peaking in 2021–22 (141.30 ha; 4.19%), likely due to the inundation or reclamation of agricultural plots. Bare ground remained negligible throughout the period, with only trace values. Overall, the conversion pattern highlights a dual trajectory of cropland loss. Large-scale transformation into rangelands indicates land degradation and shifting cultivation pressures. Moderate but persistent conversion into tree cover and built-up areas reflects ecological succession and urban expansion. These transitions collectively indicate a gradual erosion of agricultural stability, with implications for food security, ecosystem services, and sustainable land management in the </w:t>
      </w:r>
      <w:proofErr w:type="spellStart"/>
      <w:r w:rsidRPr="001F01F0">
        <w:rPr>
          <w:rFonts w:ascii="Arial" w:hAnsi="Arial" w:cs="Arial"/>
          <w:color w:val="000000"/>
          <w:sz w:val="20"/>
          <w:szCs w:val="20"/>
        </w:rPr>
        <w:t>Hura</w:t>
      </w:r>
      <w:proofErr w:type="spellEnd"/>
      <w:r w:rsidRPr="001F01F0">
        <w:rPr>
          <w:rFonts w:ascii="Arial" w:hAnsi="Arial" w:cs="Arial"/>
          <w:color w:val="000000"/>
          <w:sz w:val="20"/>
          <w:szCs w:val="20"/>
        </w:rPr>
        <w:t xml:space="preserve"> C.D. Block.</w:t>
      </w:r>
    </w:p>
    <w:tbl>
      <w:tblPr>
        <w:tblStyle w:val="TableGrid2"/>
        <w:tblW w:w="0" w:type="auto"/>
        <w:tblInd w:w="562" w:type="dxa"/>
        <w:tblCellMar>
          <w:left w:w="28" w:type="dxa"/>
          <w:right w:w="28" w:type="dxa"/>
        </w:tblCellMar>
        <w:tblLook w:val="04A0" w:firstRow="1" w:lastRow="0" w:firstColumn="1" w:lastColumn="0" w:noHBand="0" w:noVBand="1"/>
      </w:tblPr>
      <w:tblGrid>
        <w:gridCol w:w="851"/>
        <w:gridCol w:w="1134"/>
        <w:gridCol w:w="1276"/>
        <w:gridCol w:w="1275"/>
        <w:gridCol w:w="1134"/>
        <w:gridCol w:w="1134"/>
        <w:gridCol w:w="1650"/>
      </w:tblGrid>
      <w:tr w:rsidR="00176B38" w:rsidRPr="001F01F0" w14:paraId="60B0DCD5" w14:textId="77777777" w:rsidTr="00176B38">
        <w:trPr>
          <w:trHeight w:val="288"/>
        </w:trPr>
        <w:tc>
          <w:tcPr>
            <w:tcW w:w="8454" w:type="dxa"/>
            <w:gridSpan w:val="7"/>
            <w:tcBorders>
              <w:top w:val="nil"/>
              <w:left w:val="nil"/>
              <w:bottom w:val="single" w:sz="4" w:space="0" w:color="auto"/>
              <w:right w:val="nil"/>
            </w:tcBorders>
            <w:noWrap/>
            <w:vAlign w:val="center"/>
            <w:hideMark/>
          </w:tcPr>
          <w:p w14:paraId="3534A2D5" w14:textId="77777777" w:rsidR="00176B38" w:rsidRPr="004F45DD" w:rsidRDefault="00176B38" w:rsidP="00176B38">
            <w:pPr>
              <w:jc w:val="both"/>
              <w:rPr>
                <w:rFonts w:ascii="Arial" w:hAnsi="Arial" w:cs="Arial"/>
                <w:b/>
                <w:bCs/>
                <w:sz w:val="20"/>
                <w:szCs w:val="20"/>
              </w:rPr>
            </w:pPr>
            <w:r w:rsidRPr="004F45DD">
              <w:rPr>
                <w:rFonts w:ascii="Arial" w:hAnsi="Arial" w:cs="Arial"/>
                <w:b/>
                <w:bCs/>
                <w:sz w:val="20"/>
                <w:szCs w:val="20"/>
              </w:rPr>
              <w:t xml:space="preserve">Table 5: Conversion of Cropping Land into Other LULC Classes (ha, %) in </w:t>
            </w:r>
            <w:proofErr w:type="spellStart"/>
            <w:r w:rsidRPr="004F45DD">
              <w:rPr>
                <w:rFonts w:ascii="Arial" w:hAnsi="Arial" w:cs="Arial"/>
                <w:b/>
                <w:bCs/>
                <w:sz w:val="20"/>
                <w:szCs w:val="20"/>
              </w:rPr>
              <w:t>Hura</w:t>
            </w:r>
            <w:proofErr w:type="spellEnd"/>
            <w:r w:rsidRPr="004F45DD">
              <w:rPr>
                <w:rFonts w:ascii="Arial" w:hAnsi="Arial" w:cs="Arial"/>
                <w:b/>
                <w:bCs/>
                <w:sz w:val="20"/>
                <w:szCs w:val="20"/>
              </w:rPr>
              <w:t xml:space="preserve"> C.D. Block (2017–2024)</w:t>
            </w:r>
          </w:p>
          <w:p w14:paraId="294B23D2" w14:textId="77777777" w:rsidR="003675B9" w:rsidRPr="001F01F0" w:rsidRDefault="003675B9" w:rsidP="00176B38">
            <w:pPr>
              <w:jc w:val="both"/>
              <w:rPr>
                <w:rFonts w:ascii="Arial" w:hAnsi="Arial" w:cs="Arial"/>
                <w:sz w:val="20"/>
                <w:szCs w:val="20"/>
              </w:rPr>
            </w:pPr>
          </w:p>
          <w:p w14:paraId="522E9903" w14:textId="77777777" w:rsidR="0047183E" w:rsidRPr="001F01F0" w:rsidRDefault="0047183E" w:rsidP="00176B38">
            <w:pPr>
              <w:jc w:val="both"/>
              <w:rPr>
                <w:rFonts w:ascii="Arial" w:hAnsi="Arial" w:cs="Arial"/>
                <w:sz w:val="20"/>
                <w:szCs w:val="20"/>
              </w:rPr>
            </w:pPr>
          </w:p>
        </w:tc>
      </w:tr>
      <w:tr w:rsidR="00176B38" w:rsidRPr="001F01F0" w14:paraId="17AA2D86" w14:textId="77777777" w:rsidTr="00176B38">
        <w:trPr>
          <w:trHeight w:val="288"/>
        </w:trPr>
        <w:tc>
          <w:tcPr>
            <w:tcW w:w="851" w:type="dxa"/>
            <w:tcBorders>
              <w:top w:val="single" w:sz="4" w:space="0" w:color="auto"/>
            </w:tcBorders>
            <w:noWrap/>
            <w:vAlign w:val="center"/>
            <w:hideMark/>
          </w:tcPr>
          <w:p w14:paraId="7C14C1E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Year</w:t>
            </w:r>
          </w:p>
        </w:tc>
        <w:tc>
          <w:tcPr>
            <w:tcW w:w="1134" w:type="dxa"/>
            <w:tcBorders>
              <w:top w:val="single" w:sz="4" w:space="0" w:color="auto"/>
            </w:tcBorders>
            <w:noWrap/>
            <w:vAlign w:val="center"/>
            <w:hideMark/>
          </w:tcPr>
          <w:p w14:paraId="4360862D"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Crops → Rangeland</w:t>
            </w:r>
          </w:p>
        </w:tc>
        <w:tc>
          <w:tcPr>
            <w:tcW w:w="1276" w:type="dxa"/>
            <w:tcBorders>
              <w:top w:val="single" w:sz="4" w:space="0" w:color="auto"/>
            </w:tcBorders>
            <w:noWrap/>
            <w:vAlign w:val="center"/>
            <w:hideMark/>
          </w:tcPr>
          <w:p w14:paraId="6908478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Crops → Built-up Area</w:t>
            </w:r>
          </w:p>
        </w:tc>
        <w:tc>
          <w:tcPr>
            <w:tcW w:w="1275" w:type="dxa"/>
            <w:tcBorders>
              <w:top w:val="single" w:sz="4" w:space="0" w:color="auto"/>
            </w:tcBorders>
            <w:noWrap/>
            <w:vAlign w:val="center"/>
            <w:hideMark/>
          </w:tcPr>
          <w:p w14:paraId="7DAD2EC7"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Crops → Bare Ground</w:t>
            </w:r>
          </w:p>
        </w:tc>
        <w:tc>
          <w:tcPr>
            <w:tcW w:w="1134" w:type="dxa"/>
            <w:tcBorders>
              <w:top w:val="single" w:sz="4" w:space="0" w:color="auto"/>
            </w:tcBorders>
            <w:noWrap/>
            <w:vAlign w:val="center"/>
            <w:hideMark/>
          </w:tcPr>
          <w:p w14:paraId="77E88A97"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Crops → Waterbody</w:t>
            </w:r>
          </w:p>
        </w:tc>
        <w:tc>
          <w:tcPr>
            <w:tcW w:w="1134" w:type="dxa"/>
            <w:tcBorders>
              <w:top w:val="single" w:sz="4" w:space="0" w:color="auto"/>
            </w:tcBorders>
            <w:noWrap/>
            <w:vAlign w:val="center"/>
            <w:hideMark/>
          </w:tcPr>
          <w:p w14:paraId="2F19BE44"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Crops → Tree Cover</w:t>
            </w:r>
          </w:p>
        </w:tc>
        <w:tc>
          <w:tcPr>
            <w:tcW w:w="1650" w:type="dxa"/>
            <w:tcBorders>
              <w:top w:val="single" w:sz="4" w:space="0" w:color="auto"/>
            </w:tcBorders>
            <w:noWrap/>
            <w:vAlign w:val="center"/>
            <w:hideMark/>
          </w:tcPr>
          <w:p w14:paraId="09A4F07A"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Total Conversion from Crops</w:t>
            </w:r>
          </w:p>
        </w:tc>
      </w:tr>
      <w:tr w:rsidR="00176B38" w:rsidRPr="001F01F0" w14:paraId="06BB8D5F" w14:textId="77777777" w:rsidTr="000B7FAE">
        <w:trPr>
          <w:trHeight w:val="288"/>
        </w:trPr>
        <w:tc>
          <w:tcPr>
            <w:tcW w:w="851" w:type="dxa"/>
            <w:noWrap/>
            <w:vAlign w:val="center"/>
            <w:hideMark/>
          </w:tcPr>
          <w:p w14:paraId="76A11FCE" w14:textId="77777777" w:rsidR="00176B38" w:rsidRPr="001F01F0" w:rsidRDefault="00176B38" w:rsidP="00176B38">
            <w:pPr>
              <w:rPr>
                <w:rFonts w:ascii="Arial" w:hAnsi="Arial" w:cs="Arial"/>
                <w:sz w:val="20"/>
                <w:szCs w:val="20"/>
              </w:rPr>
            </w:pPr>
            <w:r w:rsidRPr="001F01F0">
              <w:rPr>
                <w:rFonts w:ascii="Arial" w:hAnsi="Arial" w:cs="Arial"/>
                <w:sz w:val="20"/>
                <w:szCs w:val="20"/>
              </w:rPr>
              <w:t>2017–18</w:t>
            </w:r>
          </w:p>
        </w:tc>
        <w:tc>
          <w:tcPr>
            <w:tcW w:w="1134" w:type="dxa"/>
            <w:noWrap/>
            <w:vAlign w:val="center"/>
            <w:hideMark/>
          </w:tcPr>
          <w:p w14:paraId="1E4E0F8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787.2209 (40.6927)</w:t>
            </w:r>
          </w:p>
        </w:tc>
        <w:tc>
          <w:tcPr>
            <w:tcW w:w="1276" w:type="dxa"/>
            <w:noWrap/>
            <w:vAlign w:val="center"/>
            <w:hideMark/>
          </w:tcPr>
          <w:p w14:paraId="33B6AB40"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335.5787 (17.3466)</w:t>
            </w:r>
          </w:p>
        </w:tc>
        <w:tc>
          <w:tcPr>
            <w:tcW w:w="1275" w:type="dxa"/>
            <w:noWrap/>
            <w:vAlign w:val="center"/>
            <w:hideMark/>
          </w:tcPr>
          <w:p w14:paraId="01D47DB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0.0266 (0.0014)</w:t>
            </w:r>
          </w:p>
        </w:tc>
        <w:tc>
          <w:tcPr>
            <w:tcW w:w="1134" w:type="dxa"/>
            <w:noWrap/>
            <w:vAlign w:val="center"/>
            <w:hideMark/>
          </w:tcPr>
          <w:p w14:paraId="4FE853B6"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39.7369 (2.0541)</w:t>
            </w:r>
          </w:p>
        </w:tc>
        <w:tc>
          <w:tcPr>
            <w:tcW w:w="1134" w:type="dxa"/>
            <w:noWrap/>
            <w:vAlign w:val="center"/>
            <w:hideMark/>
          </w:tcPr>
          <w:p w14:paraId="1EE052BA"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771.9790 (39.9048)</w:t>
            </w:r>
          </w:p>
        </w:tc>
        <w:tc>
          <w:tcPr>
            <w:tcW w:w="1650" w:type="dxa"/>
            <w:noWrap/>
            <w:vAlign w:val="center"/>
            <w:hideMark/>
          </w:tcPr>
          <w:p w14:paraId="1ED25960"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1934.5522 (100.0000)</w:t>
            </w:r>
          </w:p>
        </w:tc>
      </w:tr>
      <w:tr w:rsidR="00176B38" w:rsidRPr="001F01F0" w14:paraId="3CD31071" w14:textId="77777777" w:rsidTr="000B7FAE">
        <w:trPr>
          <w:trHeight w:val="288"/>
        </w:trPr>
        <w:tc>
          <w:tcPr>
            <w:tcW w:w="851" w:type="dxa"/>
            <w:noWrap/>
            <w:vAlign w:val="center"/>
            <w:hideMark/>
          </w:tcPr>
          <w:p w14:paraId="642B32A7" w14:textId="77777777" w:rsidR="00176B38" w:rsidRPr="001F01F0" w:rsidRDefault="00176B38" w:rsidP="00176B38">
            <w:pPr>
              <w:rPr>
                <w:rFonts w:ascii="Arial" w:hAnsi="Arial" w:cs="Arial"/>
                <w:sz w:val="20"/>
                <w:szCs w:val="20"/>
              </w:rPr>
            </w:pPr>
            <w:r w:rsidRPr="001F01F0">
              <w:rPr>
                <w:rFonts w:ascii="Arial" w:hAnsi="Arial" w:cs="Arial"/>
                <w:sz w:val="20"/>
                <w:szCs w:val="20"/>
              </w:rPr>
              <w:t>2018–19</w:t>
            </w:r>
          </w:p>
        </w:tc>
        <w:tc>
          <w:tcPr>
            <w:tcW w:w="1134" w:type="dxa"/>
            <w:noWrap/>
            <w:vAlign w:val="center"/>
            <w:hideMark/>
          </w:tcPr>
          <w:p w14:paraId="684312E6"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3530.7110 (91.0861)</w:t>
            </w:r>
          </w:p>
        </w:tc>
        <w:tc>
          <w:tcPr>
            <w:tcW w:w="1276" w:type="dxa"/>
            <w:noWrap/>
            <w:vAlign w:val="center"/>
            <w:hideMark/>
          </w:tcPr>
          <w:p w14:paraId="7038E06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145.3237 (3.7491)</w:t>
            </w:r>
          </w:p>
        </w:tc>
        <w:tc>
          <w:tcPr>
            <w:tcW w:w="1275" w:type="dxa"/>
            <w:noWrap/>
            <w:vAlign w:val="center"/>
            <w:hideMark/>
          </w:tcPr>
          <w:p w14:paraId="51061AB3"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0.0073 (0.0002)</w:t>
            </w:r>
          </w:p>
        </w:tc>
        <w:tc>
          <w:tcPr>
            <w:tcW w:w="1134" w:type="dxa"/>
            <w:noWrap/>
            <w:vAlign w:val="center"/>
            <w:hideMark/>
          </w:tcPr>
          <w:p w14:paraId="723B16E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12.2449 (0.3159)</w:t>
            </w:r>
          </w:p>
        </w:tc>
        <w:tc>
          <w:tcPr>
            <w:tcW w:w="1134" w:type="dxa"/>
            <w:noWrap/>
            <w:vAlign w:val="center"/>
            <w:hideMark/>
          </w:tcPr>
          <w:p w14:paraId="5FEB4A07"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187.9486 (4.8487)</w:t>
            </w:r>
          </w:p>
        </w:tc>
        <w:tc>
          <w:tcPr>
            <w:tcW w:w="1650" w:type="dxa"/>
            <w:noWrap/>
            <w:vAlign w:val="center"/>
            <w:hideMark/>
          </w:tcPr>
          <w:p w14:paraId="6083D6C4"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3876.2355 (100.0000)</w:t>
            </w:r>
          </w:p>
        </w:tc>
      </w:tr>
      <w:tr w:rsidR="00176B38" w:rsidRPr="001F01F0" w14:paraId="2A00B7CF" w14:textId="77777777" w:rsidTr="000B7FAE">
        <w:trPr>
          <w:trHeight w:val="288"/>
        </w:trPr>
        <w:tc>
          <w:tcPr>
            <w:tcW w:w="851" w:type="dxa"/>
            <w:noWrap/>
            <w:vAlign w:val="center"/>
            <w:hideMark/>
          </w:tcPr>
          <w:p w14:paraId="082AA6D5" w14:textId="77777777" w:rsidR="00176B38" w:rsidRPr="001F01F0" w:rsidRDefault="00176B38" w:rsidP="00176B38">
            <w:pPr>
              <w:rPr>
                <w:rFonts w:ascii="Arial" w:hAnsi="Arial" w:cs="Arial"/>
                <w:sz w:val="20"/>
                <w:szCs w:val="20"/>
              </w:rPr>
            </w:pPr>
            <w:r w:rsidRPr="001F01F0">
              <w:rPr>
                <w:rFonts w:ascii="Arial" w:hAnsi="Arial" w:cs="Arial"/>
                <w:sz w:val="20"/>
                <w:szCs w:val="20"/>
              </w:rPr>
              <w:t>2019–20</w:t>
            </w:r>
          </w:p>
        </w:tc>
        <w:tc>
          <w:tcPr>
            <w:tcW w:w="1134" w:type="dxa"/>
            <w:noWrap/>
            <w:vAlign w:val="center"/>
            <w:hideMark/>
          </w:tcPr>
          <w:p w14:paraId="674EDC71"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1107.8707 (59.0674)</w:t>
            </w:r>
          </w:p>
        </w:tc>
        <w:tc>
          <w:tcPr>
            <w:tcW w:w="1276" w:type="dxa"/>
            <w:noWrap/>
            <w:vAlign w:val="center"/>
            <w:hideMark/>
          </w:tcPr>
          <w:p w14:paraId="576BDB8D"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246.0484 (13.1184)</w:t>
            </w:r>
          </w:p>
        </w:tc>
        <w:tc>
          <w:tcPr>
            <w:tcW w:w="1275" w:type="dxa"/>
            <w:noWrap/>
            <w:vAlign w:val="center"/>
            <w:hideMark/>
          </w:tcPr>
          <w:p w14:paraId="5FD29DC4"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0.0038 (0.0002)</w:t>
            </w:r>
          </w:p>
        </w:tc>
        <w:tc>
          <w:tcPr>
            <w:tcW w:w="1134" w:type="dxa"/>
            <w:noWrap/>
            <w:vAlign w:val="center"/>
            <w:hideMark/>
          </w:tcPr>
          <w:p w14:paraId="2DFB577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104.2309 (5.5572)</w:t>
            </w:r>
          </w:p>
        </w:tc>
        <w:tc>
          <w:tcPr>
            <w:tcW w:w="1134" w:type="dxa"/>
            <w:noWrap/>
            <w:vAlign w:val="center"/>
            <w:hideMark/>
          </w:tcPr>
          <w:p w14:paraId="1E578CAF"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417.4499 (22.2568)</w:t>
            </w:r>
          </w:p>
        </w:tc>
        <w:tc>
          <w:tcPr>
            <w:tcW w:w="1650" w:type="dxa"/>
            <w:noWrap/>
            <w:vAlign w:val="center"/>
            <w:hideMark/>
          </w:tcPr>
          <w:p w14:paraId="1FBCD33E"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1875.6036 (100.0000)</w:t>
            </w:r>
          </w:p>
        </w:tc>
      </w:tr>
      <w:tr w:rsidR="00176B38" w:rsidRPr="001F01F0" w14:paraId="23BFD8AE" w14:textId="77777777" w:rsidTr="000B7FAE">
        <w:trPr>
          <w:trHeight w:val="288"/>
        </w:trPr>
        <w:tc>
          <w:tcPr>
            <w:tcW w:w="851" w:type="dxa"/>
            <w:noWrap/>
            <w:vAlign w:val="center"/>
            <w:hideMark/>
          </w:tcPr>
          <w:p w14:paraId="78984235" w14:textId="77777777" w:rsidR="00176B38" w:rsidRPr="001F01F0" w:rsidRDefault="00176B38" w:rsidP="00176B38">
            <w:pPr>
              <w:rPr>
                <w:rFonts w:ascii="Arial" w:hAnsi="Arial" w:cs="Arial"/>
                <w:sz w:val="20"/>
                <w:szCs w:val="20"/>
              </w:rPr>
            </w:pPr>
            <w:r w:rsidRPr="001F01F0">
              <w:rPr>
                <w:rFonts w:ascii="Arial" w:hAnsi="Arial" w:cs="Arial"/>
                <w:sz w:val="20"/>
                <w:szCs w:val="20"/>
              </w:rPr>
              <w:t>2020–21</w:t>
            </w:r>
          </w:p>
        </w:tc>
        <w:tc>
          <w:tcPr>
            <w:tcW w:w="1134" w:type="dxa"/>
            <w:noWrap/>
            <w:vAlign w:val="center"/>
            <w:hideMark/>
          </w:tcPr>
          <w:p w14:paraId="0430EC6F"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105.3187 (32.7493)</w:t>
            </w:r>
          </w:p>
        </w:tc>
        <w:tc>
          <w:tcPr>
            <w:tcW w:w="1276" w:type="dxa"/>
            <w:noWrap/>
            <w:vAlign w:val="center"/>
            <w:hideMark/>
          </w:tcPr>
          <w:p w14:paraId="63EB177E"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77.0332 (23.9538)</w:t>
            </w:r>
          </w:p>
        </w:tc>
        <w:tc>
          <w:tcPr>
            <w:tcW w:w="1275" w:type="dxa"/>
            <w:noWrap/>
            <w:vAlign w:val="center"/>
            <w:hideMark/>
          </w:tcPr>
          <w:p w14:paraId="4CF12D51"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0.0000 (0.0000)</w:t>
            </w:r>
          </w:p>
        </w:tc>
        <w:tc>
          <w:tcPr>
            <w:tcW w:w="1134" w:type="dxa"/>
            <w:noWrap/>
            <w:vAlign w:val="center"/>
            <w:hideMark/>
          </w:tcPr>
          <w:p w14:paraId="5B644F85"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17.4228 (5.4177)</w:t>
            </w:r>
          </w:p>
        </w:tc>
        <w:tc>
          <w:tcPr>
            <w:tcW w:w="1134" w:type="dxa"/>
            <w:noWrap/>
            <w:vAlign w:val="center"/>
            <w:hideMark/>
          </w:tcPr>
          <w:p w14:paraId="324B8C04"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121.8159 (37.8792)</w:t>
            </w:r>
          </w:p>
        </w:tc>
        <w:tc>
          <w:tcPr>
            <w:tcW w:w="1650" w:type="dxa"/>
            <w:noWrap/>
            <w:vAlign w:val="center"/>
            <w:hideMark/>
          </w:tcPr>
          <w:p w14:paraId="1747421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321.5905 (100.0000)</w:t>
            </w:r>
          </w:p>
        </w:tc>
      </w:tr>
      <w:tr w:rsidR="00176B38" w:rsidRPr="001F01F0" w14:paraId="3DA76A84" w14:textId="77777777" w:rsidTr="000B7FAE">
        <w:trPr>
          <w:trHeight w:val="288"/>
        </w:trPr>
        <w:tc>
          <w:tcPr>
            <w:tcW w:w="851" w:type="dxa"/>
            <w:noWrap/>
            <w:vAlign w:val="center"/>
            <w:hideMark/>
          </w:tcPr>
          <w:p w14:paraId="11E86102" w14:textId="77777777" w:rsidR="00176B38" w:rsidRPr="001F01F0" w:rsidRDefault="00176B38" w:rsidP="00176B38">
            <w:pPr>
              <w:rPr>
                <w:rFonts w:ascii="Arial" w:hAnsi="Arial" w:cs="Arial"/>
                <w:sz w:val="20"/>
                <w:szCs w:val="20"/>
              </w:rPr>
            </w:pPr>
            <w:r w:rsidRPr="001F01F0">
              <w:rPr>
                <w:rFonts w:ascii="Arial" w:hAnsi="Arial" w:cs="Arial"/>
                <w:sz w:val="20"/>
                <w:szCs w:val="20"/>
              </w:rPr>
              <w:t>2021–22</w:t>
            </w:r>
          </w:p>
        </w:tc>
        <w:tc>
          <w:tcPr>
            <w:tcW w:w="1134" w:type="dxa"/>
            <w:noWrap/>
            <w:vAlign w:val="center"/>
            <w:hideMark/>
          </w:tcPr>
          <w:p w14:paraId="1ADE3C61"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1982.1131 (58.7558)</w:t>
            </w:r>
          </w:p>
        </w:tc>
        <w:tc>
          <w:tcPr>
            <w:tcW w:w="1276" w:type="dxa"/>
            <w:noWrap/>
            <w:vAlign w:val="center"/>
            <w:hideMark/>
          </w:tcPr>
          <w:p w14:paraId="5ABF26F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284.7039 (8.4395)</w:t>
            </w:r>
          </w:p>
        </w:tc>
        <w:tc>
          <w:tcPr>
            <w:tcW w:w="1275" w:type="dxa"/>
            <w:noWrap/>
            <w:vAlign w:val="center"/>
            <w:hideMark/>
          </w:tcPr>
          <w:p w14:paraId="724771E7"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0.0577 (0.0017)</w:t>
            </w:r>
          </w:p>
        </w:tc>
        <w:tc>
          <w:tcPr>
            <w:tcW w:w="1134" w:type="dxa"/>
            <w:noWrap/>
            <w:vAlign w:val="center"/>
            <w:hideMark/>
          </w:tcPr>
          <w:p w14:paraId="39E99B63"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141.2994 (4.1885)</w:t>
            </w:r>
          </w:p>
        </w:tc>
        <w:tc>
          <w:tcPr>
            <w:tcW w:w="1134" w:type="dxa"/>
            <w:noWrap/>
            <w:vAlign w:val="center"/>
            <w:hideMark/>
          </w:tcPr>
          <w:p w14:paraId="51FAF12B"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965.3035 (28.6145)</w:t>
            </w:r>
          </w:p>
        </w:tc>
        <w:tc>
          <w:tcPr>
            <w:tcW w:w="1650" w:type="dxa"/>
            <w:noWrap/>
            <w:vAlign w:val="center"/>
            <w:hideMark/>
          </w:tcPr>
          <w:p w14:paraId="2302CE0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3373.4777 (100.0000)</w:t>
            </w:r>
          </w:p>
        </w:tc>
      </w:tr>
      <w:tr w:rsidR="00176B38" w:rsidRPr="001F01F0" w14:paraId="6A421035" w14:textId="77777777" w:rsidTr="000B7FAE">
        <w:trPr>
          <w:trHeight w:val="288"/>
        </w:trPr>
        <w:tc>
          <w:tcPr>
            <w:tcW w:w="851" w:type="dxa"/>
            <w:noWrap/>
            <w:vAlign w:val="center"/>
            <w:hideMark/>
          </w:tcPr>
          <w:p w14:paraId="5AAE20B8" w14:textId="77777777" w:rsidR="00176B38" w:rsidRPr="001F01F0" w:rsidRDefault="00176B38" w:rsidP="00176B38">
            <w:pPr>
              <w:rPr>
                <w:rFonts w:ascii="Arial" w:hAnsi="Arial" w:cs="Arial"/>
                <w:sz w:val="20"/>
                <w:szCs w:val="20"/>
              </w:rPr>
            </w:pPr>
            <w:r w:rsidRPr="001F01F0">
              <w:rPr>
                <w:rFonts w:ascii="Arial" w:hAnsi="Arial" w:cs="Arial"/>
                <w:sz w:val="20"/>
                <w:szCs w:val="20"/>
              </w:rPr>
              <w:t>2022–23</w:t>
            </w:r>
          </w:p>
        </w:tc>
        <w:tc>
          <w:tcPr>
            <w:tcW w:w="1134" w:type="dxa"/>
            <w:noWrap/>
            <w:vAlign w:val="center"/>
            <w:hideMark/>
          </w:tcPr>
          <w:p w14:paraId="652A19B8"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3764.5421 (91.5551)</w:t>
            </w:r>
          </w:p>
        </w:tc>
        <w:tc>
          <w:tcPr>
            <w:tcW w:w="1276" w:type="dxa"/>
            <w:noWrap/>
            <w:vAlign w:val="center"/>
            <w:hideMark/>
          </w:tcPr>
          <w:p w14:paraId="1B2990BF"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106.4041 (2.5878)</w:t>
            </w:r>
          </w:p>
        </w:tc>
        <w:tc>
          <w:tcPr>
            <w:tcW w:w="1275" w:type="dxa"/>
            <w:noWrap/>
            <w:vAlign w:val="center"/>
            <w:hideMark/>
          </w:tcPr>
          <w:p w14:paraId="24A2AE41"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0.0266 (0.0006)</w:t>
            </w:r>
          </w:p>
        </w:tc>
        <w:tc>
          <w:tcPr>
            <w:tcW w:w="1134" w:type="dxa"/>
            <w:noWrap/>
            <w:vAlign w:val="center"/>
            <w:hideMark/>
          </w:tcPr>
          <w:p w14:paraId="1003B64D"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30.8334 (0.7499)</w:t>
            </w:r>
          </w:p>
        </w:tc>
        <w:tc>
          <w:tcPr>
            <w:tcW w:w="1134" w:type="dxa"/>
            <w:noWrap/>
            <w:vAlign w:val="center"/>
            <w:hideMark/>
          </w:tcPr>
          <w:p w14:paraId="797574C5"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209.9704 (5.1066)</w:t>
            </w:r>
          </w:p>
        </w:tc>
        <w:tc>
          <w:tcPr>
            <w:tcW w:w="1650" w:type="dxa"/>
            <w:noWrap/>
            <w:vAlign w:val="center"/>
            <w:hideMark/>
          </w:tcPr>
          <w:p w14:paraId="2A0DB0BD"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4111.7765 (100.0000)</w:t>
            </w:r>
          </w:p>
        </w:tc>
      </w:tr>
      <w:tr w:rsidR="00176B38" w:rsidRPr="001F01F0" w14:paraId="59F3CA48" w14:textId="77777777" w:rsidTr="000B7FAE">
        <w:trPr>
          <w:trHeight w:val="288"/>
        </w:trPr>
        <w:tc>
          <w:tcPr>
            <w:tcW w:w="851" w:type="dxa"/>
            <w:noWrap/>
            <w:vAlign w:val="center"/>
            <w:hideMark/>
          </w:tcPr>
          <w:p w14:paraId="0374C163" w14:textId="77777777" w:rsidR="00176B38" w:rsidRPr="001F01F0" w:rsidRDefault="00176B38" w:rsidP="00176B38">
            <w:pPr>
              <w:rPr>
                <w:rFonts w:ascii="Arial" w:hAnsi="Arial" w:cs="Arial"/>
                <w:sz w:val="20"/>
                <w:szCs w:val="20"/>
              </w:rPr>
            </w:pPr>
            <w:r w:rsidRPr="001F01F0">
              <w:rPr>
                <w:rFonts w:ascii="Arial" w:hAnsi="Arial" w:cs="Arial"/>
                <w:sz w:val="20"/>
                <w:szCs w:val="20"/>
              </w:rPr>
              <w:t>2023–24</w:t>
            </w:r>
          </w:p>
        </w:tc>
        <w:tc>
          <w:tcPr>
            <w:tcW w:w="1134" w:type="dxa"/>
            <w:noWrap/>
            <w:vAlign w:val="center"/>
            <w:hideMark/>
          </w:tcPr>
          <w:p w14:paraId="312B974E"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237.5538 (25.0754)</w:t>
            </w:r>
          </w:p>
        </w:tc>
        <w:tc>
          <w:tcPr>
            <w:tcW w:w="1276" w:type="dxa"/>
            <w:noWrap/>
            <w:vAlign w:val="center"/>
            <w:hideMark/>
          </w:tcPr>
          <w:p w14:paraId="705868D8"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176.6269 (18.6442)</w:t>
            </w:r>
          </w:p>
        </w:tc>
        <w:tc>
          <w:tcPr>
            <w:tcW w:w="1275" w:type="dxa"/>
            <w:noWrap/>
            <w:vAlign w:val="center"/>
            <w:hideMark/>
          </w:tcPr>
          <w:p w14:paraId="0ABB1AB0"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0.0000 (0.0000)</w:t>
            </w:r>
          </w:p>
        </w:tc>
        <w:tc>
          <w:tcPr>
            <w:tcW w:w="1134" w:type="dxa"/>
            <w:noWrap/>
            <w:vAlign w:val="center"/>
            <w:hideMark/>
          </w:tcPr>
          <w:p w14:paraId="46FB7AE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45.9458 (4.8499)</w:t>
            </w:r>
          </w:p>
        </w:tc>
        <w:tc>
          <w:tcPr>
            <w:tcW w:w="1134" w:type="dxa"/>
            <w:noWrap/>
            <w:vAlign w:val="center"/>
            <w:hideMark/>
          </w:tcPr>
          <w:p w14:paraId="38A7974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487.1824 (51.4254)</w:t>
            </w:r>
          </w:p>
        </w:tc>
        <w:tc>
          <w:tcPr>
            <w:tcW w:w="1650" w:type="dxa"/>
            <w:noWrap/>
            <w:vAlign w:val="center"/>
            <w:hideMark/>
          </w:tcPr>
          <w:p w14:paraId="1063A66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947.3573 (100.0000)</w:t>
            </w:r>
          </w:p>
        </w:tc>
      </w:tr>
      <w:tr w:rsidR="00176B38" w:rsidRPr="001F01F0" w14:paraId="70997182" w14:textId="77777777" w:rsidTr="00176B38">
        <w:trPr>
          <w:trHeight w:val="288"/>
        </w:trPr>
        <w:tc>
          <w:tcPr>
            <w:tcW w:w="851" w:type="dxa"/>
            <w:tcBorders>
              <w:bottom w:val="single" w:sz="4" w:space="0" w:color="auto"/>
            </w:tcBorders>
            <w:noWrap/>
            <w:vAlign w:val="center"/>
            <w:hideMark/>
          </w:tcPr>
          <w:p w14:paraId="78A41893" w14:textId="77777777" w:rsidR="00176B38" w:rsidRPr="001F01F0" w:rsidRDefault="00176B38" w:rsidP="00176B38">
            <w:pPr>
              <w:rPr>
                <w:rFonts w:ascii="Arial" w:hAnsi="Arial" w:cs="Arial"/>
                <w:sz w:val="20"/>
                <w:szCs w:val="20"/>
              </w:rPr>
            </w:pPr>
            <w:r w:rsidRPr="001F01F0">
              <w:rPr>
                <w:rFonts w:ascii="Arial" w:hAnsi="Arial" w:cs="Arial"/>
                <w:sz w:val="20"/>
                <w:szCs w:val="20"/>
              </w:rPr>
              <w:t>Mean</w:t>
            </w:r>
          </w:p>
        </w:tc>
        <w:tc>
          <w:tcPr>
            <w:tcW w:w="1134" w:type="dxa"/>
            <w:tcBorders>
              <w:bottom w:val="single" w:sz="4" w:space="0" w:color="auto"/>
            </w:tcBorders>
            <w:noWrap/>
            <w:vAlign w:val="center"/>
            <w:hideMark/>
          </w:tcPr>
          <w:p w14:paraId="4A4FB93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2257.8771 (48.3202)</w:t>
            </w:r>
          </w:p>
        </w:tc>
        <w:tc>
          <w:tcPr>
            <w:tcW w:w="1276" w:type="dxa"/>
            <w:tcBorders>
              <w:bottom w:val="single" w:sz="4" w:space="0" w:color="auto"/>
            </w:tcBorders>
            <w:noWrap/>
            <w:vAlign w:val="center"/>
            <w:hideMark/>
          </w:tcPr>
          <w:p w14:paraId="6F821A1F"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652.5031 (13.9640)</w:t>
            </w:r>
          </w:p>
        </w:tc>
        <w:tc>
          <w:tcPr>
            <w:tcW w:w="1275" w:type="dxa"/>
            <w:tcBorders>
              <w:bottom w:val="single" w:sz="4" w:space="0" w:color="auto"/>
            </w:tcBorders>
            <w:noWrap/>
            <w:vAlign w:val="center"/>
            <w:hideMark/>
          </w:tcPr>
          <w:p w14:paraId="6D31039B"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0.0137 (0.0003)</w:t>
            </w:r>
          </w:p>
        </w:tc>
        <w:tc>
          <w:tcPr>
            <w:tcW w:w="1134" w:type="dxa"/>
            <w:tcBorders>
              <w:bottom w:val="single" w:sz="4" w:space="0" w:color="auto"/>
            </w:tcBorders>
            <w:noWrap/>
            <w:vAlign w:val="center"/>
            <w:hideMark/>
          </w:tcPr>
          <w:p w14:paraId="0C644454"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95.7469 (2.0491)</w:t>
            </w:r>
          </w:p>
        </w:tc>
        <w:tc>
          <w:tcPr>
            <w:tcW w:w="1134" w:type="dxa"/>
            <w:tcBorders>
              <w:bottom w:val="single" w:sz="4" w:space="0" w:color="auto"/>
            </w:tcBorders>
            <w:noWrap/>
            <w:vAlign w:val="center"/>
            <w:hideMark/>
          </w:tcPr>
          <w:p w14:paraId="7D9DF718"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1666.6011 (35.6664)</w:t>
            </w:r>
          </w:p>
        </w:tc>
        <w:tc>
          <w:tcPr>
            <w:tcW w:w="1650" w:type="dxa"/>
            <w:tcBorders>
              <w:bottom w:val="single" w:sz="4" w:space="0" w:color="auto"/>
            </w:tcBorders>
            <w:noWrap/>
            <w:vAlign w:val="center"/>
            <w:hideMark/>
          </w:tcPr>
          <w:p w14:paraId="301D56D8"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4672.7418 (100.0000)</w:t>
            </w:r>
          </w:p>
        </w:tc>
      </w:tr>
      <w:tr w:rsidR="00176B38" w:rsidRPr="001F01F0" w14:paraId="49014B0C" w14:textId="77777777" w:rsidTr="00176B38">
        <w:trPr>
          <w:trHeight w:val="288"/>
        </w:trPr>
        <w:tc>
          <w:tcPr>
            <w:tcW w:w="8454" w:type="dxa"/>
            <w:gridSpan w:val="7"/>
            <w:tcBorders>
              <w:top w:val="single" w:sz="4" w:space="0" w:color="auto"/>
              <w:left w:val="nil"/>
              <w:bottom w:val="nil"/>
              <w:right w:val="nil"/>
            </w:tcBorders>
            <w:noWrap/>
            <w:vAlign w:val="center"/>
          </w:tcPr>
          <w:p w14:paraId="49A48EA6" w14:textId="77777777" w:rsidR="00176B38" w:rsidRPr="004F45DD" w:rsidRDefault="00176B38" w:rsidP="00176B38">
            <w:pPr>
              <w:spacing w:before="240"/>
              <w:rPr>
                <w:rFonts w:ascii="Arial" w:hAnsi="Arial" w:cs="Arial"/>
                <w:i/>
                <w:iCs/>
                <w:sz w:val="20"/>
                <w:szCs w:val="20"/>
              </w:rPr>
            </w:pPr>
            <w:r w:rsidRPr="004F45DD">
              <w:rPr>
                <w:rFonts w:ascii="Arial" w:hAnsi="Arial" w:cs="Arial"/>
                <w:i/>
                <w:iCs/>
                <w:color w:val="000000"/>
                <w:sz w:val="20"/>
                <w:szCs w:val="20"/>
                <w:lang w:eastAsia="en-IN"/>
              </w:rPr>
              <w:t>Note: Values in hectares, with percentage in parentheses</w:t>
            </w:r>
          </w:p>
        </w:tc>
      </w:tr>
    </w:tbl>
    <w:p w14:paraId="34B6481E" w14:textId="77777777" w:rsidR="00176B38" w:rsidRPr="001F01F0" w:rsidRDefault="00176B38" w:rsidP="00917D4E">
      <w:pPr>
        <w:spacing w:after="240" w:line="360" w:lineRule="auto"/>
        <w:jc w:val="both"/>
        <w:rPr>
          <w:rFonts w:ascii="Arial" w:hAnsi="Arial" w:cs="Arial"/>
          <w:color w:val="000000"/>
          <w:sz w:val="20"/>
          <w:szCs w:val="20"/>
        </w:rPr>
      </w:pPr>
    </w:p>
    <w:p w14:paraId="59E6E2D7" w14:textId="0506CC5C" w:rsidR="00F63AF2" w:rsidRPr="003F69FE" w:rsidRDefault="0047183E" w:rsidP="00917D4E">
      <w:pPr>
        <w:spacing w:after="240" w:line="360" w:lineRule="auto"/>
        <w:jc w:val="both"/>
        <w:rPr>
          <w:color w:val="000000"/>
        </w:rPr>
      </w:pPr>
      <w:r w:rsidRPr="003F69FE">
        <w:rPr>
          <w:noProof/>
        </w:rPr>
        <w:lastRenderedPageBreak/>
        <w:drawing>
          <wp:inline distT="0" distB="0" distL="0" distR="0" wp14:anchorId="4B99BD77" wp14:editId="3C8CA7B1">
            <wp:extent cx="5943600" cy="5297170"/>
            <wp:effectExtent l="0" t="0" r="0" b="0"/>
            <wp:docPr id="1663295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297170"/>
                    </a:xfrm>
                    <a:prstGeom prst="rect">
                      <a:avLst/>
                    </a:prstGeom>
                    <a:noFill/>
                    <a:ln>
                      <a:noFill/>
                    </a:ln>
                  </pic:spPr>
                </pic:pic>
              </a:graphicData>
            </a:graphic>
          </wp:inline>
        </w:drawing>
      </w:r>
    </w:p>
    <w:p w14:paraId="5784CE90" w14:textId="2F9559B0" w:rsidR="00F63AF2" w:rsidRPr="004F45DD" w:rsidRDefault="0047183E" w:rsidP="0047183E">
      <w:pPr>
        <w:spacing w:after="240" w:line="360" w:lineRule="auto"/>
        <w:jc w:val="both"/>
        <w:rPr>
          <w:rFonts w:ascii="Arial" w:hAnsi="Arial" w:cs="Arial"/>
          <w:b/>
          <w:bCs/>
          <w:sz w:val="20"/>
          <w:szCs w:val="20"/>
        </w:rPr>
      </w:pPr>
      <w:r w:rsidRPr="004F45DD">
        <w:rPr>
          <w:rFonts w:ascii="Arial" w:hAnsi="Arial" w:cs="Arial"/>
          <w:b/>
          <w:bCs/>
          <w:sz w:val="20"/>
          <w:szCs w:val="20"/>
        </w:rPr>
        <w:t xml:space="preserve">Figure 5: Temporal Heatmaps of Cropland Conversion Dynamics in </w:t>
      </w:r>
      <w:proofErr w:type="spellStart"/>
      <w:r w:rsidRPr="004F45DD">
        <w:rPr>
          <w:rFonts w:ascii="Arial" w:hAnsi="Arial" w:cs="Arial"/>
          <w:b/>
          <w:bCs/>
          <w:sz w:val="20"/>
          <w:szCs w:val="20"/>
        </w:rPr>
        <w:t>Hura</w:t>
      </w:r>
      <w:proofErr w:type="spellEnd"/>
      <w:r w:rsidRPr="004F45DD">
        <w:rPr>
          <w:rFonts w:ascii="Arial" w:hAnsi="Arial" w:cs="Arial"/>
          <w:b/>
          <w:bCs/>
          <w:sz w:val="20"/>
          <w:szCs w:val="20"/>
        </w:rPr>
        <w:t xml:space="preserve"> block (2017–2024). Panel A illustrates annual transitions from cropland to other land uses, while Panel B shows conversions into cropland from alternate land cover types.</w:t>
      </w:r>
    </w:p>
    <w:p w14:paraId="1B0B5ED6" w14:textId="58BA81A7" w:rsidR="0079240A" w:rsidRPr="001F01F0" w:rsidRDefault="00CD11B7" w:rsidP="00917D4E">
      <w:pPr>
        <w:spacing w:after="240" w:line="360" w:lineRule="auto"/>
        <w:jc w:val="both"/>
        <w:rPr>
          <w:rFonts w:ascii="Arial" w:hAnsi="Arial" w:cs="Arial"/>
          <w:sz w:val="22"/>
          <w:szCs w:val="22"/>
        </w:rPr>
      </w:pPr>
      <w:r w:rsidRPr="001F01F0">
        <w:rPr>
          <w:rFonts w:ascii="Arial" w:hAnsi="Arial" w:cs="Arial"/>
          <w:b/>
          <w:color w:val="000000"/>
          <w:sz w:val="22"/>
          <w:szCs w:val="22"/>
        </w:rPr>
        <w:t>4. Discussion</w:t>
      </w:r>
    </w:p>
    <w:p w14:paraId="63B2A073" w14:textId="47D190DC" w:rsidR="0079240A" w:rsidRPr="001F01F0" w:rsidRDefault="002D2C41" w:rsidP="00917D4E">
      <w:pPr>
        <w:spacing w:after="240" w:line="360" w:lineRule="auto"/>
        <w:jc w:val="both"/>
        <w:rPr>
          <w:rFonts w:ascii="Arial" w:hAnsi="Arial" w:cs="Arial"/>
          <w:sz w:val="20"/>
          <w:szCs w:val="20"/>
        </w:rPr>
      </w:pPr>
      <w:r w:rsidRPr="001F01F0">
        <w:rPr>
          <w:rFonts w:ascii="Arial" w:hAnsi="Arial" w:cs="Arial"/>
          <w:color w:val="000000"/>
          <w:sz w:val="20"/>
          <w:szCs w:val="20"/>
        </w:rPr>
        <w:t xml:space="preserve">The </w:t>
      </w:r>
      <w:r w:rsidRPr="001F01F0">
        <w:rPr>
          <w:rFonts w:ascii="Arial" w:hAnsi="Arial" w:cs="Arial"/>
          <w:sz w:val="20"/>
          <w:szCs w:val="20"/>
        </w:rPr>
        <w:t xml:space="preserve">analysis of LULC changes in the </w:t>
      </w:r>
      <w:proofErr w:type="spellStart"/>
      <w:r w:rsidRPr="001F01F0">
        <w:rPr>
          <w:rFonts w:ascii="Arial" w:hAnsi="Arial" w:cs="Arial"/>
          <w:sz w:val="20"/>
          <w:szCs w:val="20"/>
        </w:rPr>
        <w:t>Hura</w:t>
      </w:r>
      <w:proofErr w:type="spellEnd"/>
      <w:r w:rsidRPr="001F01F0">
        <w:rPr>
          <w:rFonts w:ascii="Arial" w:hAnsi="Arial" w:cs="Arial"/>
          <w:sz w:val="20"/>
          <w:szCs w:val="20"/>
        </w:rPr>
        <w:t xml:space="preserve"> block from 2017 to 2024 </w:t>
      </w:r>
      <w:r w:rsidRPr="001F01F0">
        <w:rPr>
          <w:rFonts w:ascii="Arial" w:hAnsi="Arial" w:cs="Arial"/>
          <w:color w:val="000000"/>
          <w:sz w:val="20"/>
          <w:szCs w:val="20"/>
        </w:rPr>
        <w:t>revealed</w:t>
      </w:r>
      <w:r w:rsidRPr="001F01F0">
        <w:rPr>
          <w:rFonts w:ascii="Arial" w:hAnsi="Arial" w:cs="Arial"/>
          <w:sz w:val="20"/>
          <w:szCs w:val="20"/>
        </w:rPr>
        <w:t xml:space="preserve"> a dynamic yet fragile equilibrium among cropland persistence, rangeland expansion, and urban growth. Although croplands remain predominant, their persistence has declined, with significant transitions to rangelands and tree cover types. This trend reflects both agricultural contraction and ecological </w:t>
      </w:r>
      <w:r w:rsidRPr="001F01F0">
        <w:rPr>
          <w:rFonts w:ascii="Arial" w:hAnsi="Arial" w:cs="Arial"/>
          <w:color w:val="000000"/>
          <w:sz w:val="20"/>
          <w:szCs w:val="20"/>
        </w:rPr>
        <w:t>transition</w:t>
      </w:r>
      <w:r w:rsidRPr="001F01F0">
        <w:rPr>
          <w:rFonts w:ascii="Arial" w:hAnsi="Arial" w:cs="Arial"/>
          <w:sz w:val="20"/>
          <w:szCs w:val="20"/>
        </w:rPr>
        <w:t xml:space="preserve">, aligning with </w:t>
      </w:r>
      <w:r w:rsidRPr="001F01F0">
        <w:rPr>
          <w:rFonts w:ascii="Arial" w:hAnsi="Arial" w:cs="Arial"/>
          <w:color w:val="000000"/>
          <w:sz w:val="20"/>
          <w:szCs w:val="20"/>
        </w:rPr>
        <w:t xml:space="preserve">the </w:t>
      </w:r>
      <w:r w:rsidRPr="001F01F0">
        <w:rPr>
          <w:rFonts w:ascii="Arial" w:hAnsi="Arial" w:cs="Arial"/>
          <w:sz w:val="20"/>
          <w:szCs w:val="20"/>
        </w:rPr>
        <w:t xml:space="preserve">broader findings in the </w:t>
      </w:r>
      <w:r w:rsidRPr="001F01F0">
        <w:rPr>
          <w:rFonts w:ascii="Arial" w:hAnsi="Arial" w:cs="Arial"/>
          <w:color w:val="000000"/>
          <w:sz w:val="20"/>
          <w:szCs w:val="20"/>
        </w:rPr>
        <w:t>Purulia District</w:t>
      </w:r>
      <w:r w:rsidRPr="001F01F0">
        <w:rPr>
          <w:rFonts w:ascii="Arial" w:hAnsi="Arial" w:cs="Arial"/>
          <w:sz w:val="20"/>
          <w:szCs w:val="20"/>
        </w:rPr>
        <w:t>. Specifically, these changes are likely driven by increasing population pressure, shifting economic activities, and potential climate variability, which collectively contribute to degradation and land conversion (Das et al., 202</w:t>
      </w:r>
      <w:r w:rsidR="005460A5" w:rsidRPr="001F01F0">
        <w:rPr>
          <w:rFonts w:ascii="Arial" w:hAnsi="Arial" w:cs="Arial"/>
          <w:sz w:val="20"/>
          <w:szCs w:val="20"/>
        </w:rPr>
        <w:t>2</w:t>
      </w:r>
      <w:r w:rsidRPr="001F01F0">
        <w:rPr>
          <w:rFonts w:ascii="Arial" w:hAnsi="Arial" w:cs="Arial"/>
          <w:sz w:val="20"/>
          <w:szCs w:val="20"/>
        </w:rPr>
        <w:t xml:space="preserve">).  Environmental degradation and the </w:t>
      </w:r>
      <w:r w:rsidRPr="001F01F0">
        <w:rPr>
          <w:rFonts w:ascii="Arial" w:hAnsi="Arial" w:cs="Arial"/>
          <w:sz w:val="20"/>
          <w:szCs w:val="20"/>
        </w:rPr>
        <w:lastRenderedPageBreak/>
        <w:t xml:space="preserve">expansion of built-up areas underscore the impact of urbanization and </w:t>
      </w:r>
      <w:r w:rsidRPr="001F01F0">
        <w:rPr>
          <w:rFonts w:ascii="Arial" w:hAnsi="Arial" w:cs="Arial"/>
          <w:color w:val="000000"/>
          <w:sz w:val="20"/>
          <w:szCs w:val="20"/>
        </w:rPr>
        <w:t>infrastructure</w:t>
      </w:r>
      <w:r w:rsidRPr="001F01F0">
        <w:rPr>
          <w:rFonts w:ascii="Arial" w:hAnsi="Arial" w:cs="Arial"/>
          <w:sz w:val="20"/>
          <w:szCs w:val="20"/>
        </w:rPr>
        <w:t xml:space="preserve"> growth in the Purulia District. In the </w:t>
      </w:r>
      <w:proofErr w:type="spellStart"/>
      <w:r w:rsidRPr="001F01F0">
        <w:rPr>
          <w:rFonts w:ascii="Arial" w:hAnsi="Arial" w:cs="Arial"/>
          <w:sz w:val="20"/>
          <w:szCs w:val="20"/>
        </w:rPr>
        <w:t>Hura</w:t>
      </w:r>
      <w:proofErr w:type="spellEnd"/>
      <w:r w:rsidRPr="001F01F0">
        <w:rPr>
          <w:rFonts w:ascii="Arial" w:hAnsi="Arial" w:cs="Arial"/>
          <w:sz w:val="20"/>
          <w:szCs w:val="20"/>
        </w:rPr>
        <w:t xml:space="preserve"> Block, unplanned settlement expansion and infrastructural development, coupled with weak land-use </w:t>
      </w:r>
      <w:r w:rsidRPr="001F01F0">
        <w:rPr>
          <w:rFonts w:ascii="Arial" w:hAnsi="Arial" w:cs="Arial"/>
          <w:color w:val="000000"/>
          <w:sz w:val="20"/>
          <w:szCs w:val="20"/>
        </w:rPr>
        <w:t>regulations</w:t>
      </w:r>
      <w:r w:rsidRPr="001F01F0">
        <w:rPr>
          <w:rFonts w:ascii="Arial" w:hAnsi="Arial" w:cs="Arial"/>
          <w:sz w:val="20"/>
          <w:szCs w:val="20"/>
        </w:rPr>
        <w:t xml:space="preserve">, have accelerated the conversion of croplands into built-up areas, complicating sustainable land management (Das, 2017). This directly connects to the research gap identified in the introduction, where the need for systematic monitoring of rural-urban transitions was emphasized.  The observed gains in tree cover during certain years suggest afforestation or regeneration; however, the concurrent conversion of croplands into tree cover indicates land abandonment and ecological succession rather than planned forest management. This reflects socio-economic drivers such as declining agricultural profitability, migration, and policy gaps in forest governance. Thus, while tree cover gains appear positive, they may mask </w:t>
      </w:r>
      <w:r w:rsidRPr="001F01F0">
        <w:rPr>
          <w:rFonts w:ascii="Arial" w:hAnsi="Arial" w:cs="Arial"/>
          <w:color w:val="000000"/>
          <w:sz w:val="20"/>
          <w:szCs w:val="20"/>
        </w:rPr>
        <w:t xml:space="preserve">the </w:t>
      </w:r>
      <w:r w:rsidRPr="001F01F0">
        <w:rPr>
          <w:rFonts w:ascii="Arial" w:hAnsi="Arial" w:cs="Arial"/>
          <w:sz w:val="20"/>
          <w:szCs w:val="20"/>
        </w:rPr>
        <w:t xml:space="preserve">underlying vulnerabilities </w:t>
      </w:r>
      <w:r w:rsidRPr="001F01F0">
        <w:rPr>
          <w:rFonts w:ascii="Arial" w:hAnsi="Arial" w:cs="Arial"/>
          <w:color w:val="000000"/>
          <w:sz w:val="20"/>
          <w:szCs w:val="20"/>
        </w:rPr>
        <w:t>of</w:t>
      </w:r>
      <w:r w:rsidRPr="001F01F0">
        <w:rPr>
          <w:rFonts w:ascii="Arial" w:hAnsi="Arial" w:cs="Arial"/>
          <w:sz w:val="20"/>
          <w:szCs w:val="20"/>
        </w:rPr>
        <w:t xml:space="preserve"> agricultural sustainability</w:t>
      </w:r>
      <w:r w:rsidRPr="001F01F0">
        <w:rPr>
          <w:rFonts w:ascii="Arial" w:hAnsi="Arial" w:cs="Arial"/>
          <w:color w:val="000000"/>
          <w:sz w:val="20"/>
          <w:szCs w:val="20"/>
        </w:rPr>
        <w:t xml:space="preserve"> in the region</w:t>
      </w:r>
      <w:r w:rsidRPr="001F01F0">
        <w:rPr>
          <w:rFonts w:ascii="Arial" w:hAnsi="Arial" w:cs="Arial"/>
          <w:sz w:val="20"/>
          <w:szCs w:val="20"/>
        </w:rPr>
        <w:t xml:space="preserve">.  Rangeland dynamics exhibit volatility, absorbing substantial portions of cropland outflow during periods of agricultural decline. This volatility is consistent with regional studies that </w:t>
      </w:r>
      <w:r w:rsidRPr="001F01F0">
        <w:rPr>
          <w:rFonts w:ascii="Arial" w:hAnsi="Arial" w:cs="Arial"/>
          <w:color w:val="000000"/>
          <w:sz w:val="20"/>
          <w:szCs w:val="20"/>
        </w:rPr>
        <w:t>have highlighted</w:t>
      </w:r>
      <w:r w:rsidRPr="001F01F0">
        <w:rPr>
          <w:rFonts w:ascii="Arial" w:hAnsi="Arial" w:cs="Arial"/>
          <w:sz w:val="20"/>
          <w:szCs w:val="20"/>
        </w:rPr>
        <w:t xml:space="preserve"> shifting cultivation, soil degradation, and unsustainable land management practices as </w:t>
      </w:r>
      <w:r w:rsidRPr="001F01F0">
        <w:rPr>
          <w:rFonts w:ascii="Arial" w:hAnsi="Arial" w:cs="Arial"/>
          <w:color w:val="000000"/>
          <w:sz w:val="20"/>
          <w:szCs w:val="20"/>
        </w:rPr>
        <w:t xml:space="preserve">the </w:t>
      </w:r>
      <w:r w:rsidRPr="001F01F0">
        <w:rPr>
          <w:rFonts w:ascii="Arial" w:hAnsi="Arial" w:cs="Arial"/>
          <w:sz w:val="20"/>
          <w:szCs w:val="20"/>
        </w:rPr>
        <w:t>primary drivers of LULC change in Purulia (Das et al., 202</w:t>
      </w:r>
      <w:r w:rsidR="005460A5" w:rsidRPr="001F01F0">
        <w:rPr>
          <w:rFonts w:ascii="Arial" w:hAnsi="Arial" w:cs="Arial"/>
          <w:sz w:val="20"/>
          <w:szCs w:val="20"/>
        </w:rPr>
        <w:t>2</w:t>
      </w:r>
      <w:r w:rsidRPr="001F01F0">
        <w:rPr>
          <w:rFonts w:ascii="Arial" w:hAnsi="Arial" w:cs="Arial"/>
          <w:sz w:val="20"/>
          <w:szCs w:val="20"/>
        </w:rPr>
        <w:t xml:space="preserve">). In the </w:t>
      </w:r>
      <w:proofErr w:type="spellStart"/>
      <w:r w:rsidRPr="001F01F0">
        <w:rPr>
          <w:rFonts w:ascii="Arial" w:hAnsi="Arial" w:cs="Arial"/>
          <w:sz w:val="20"/>
          <w:szCs w:val="20"/>
        </w:rPr>
        <w:t>Hura</w:t>
      </w:r>
      <w:proofErr w:type="spellEnd"/>
      <w:r w:rsidRPr="001F01F0">
        <w:rPr>
          <w:rFonts w:ascii="Arial" w:hAnsi="Arial" w:cs="Arial"/>
          <w:sz w:val="20"/>
          <w:szCs w:val="20"/>
        </w:rPr>
        <w:t xml:space="preserve"> Block, these processes are further exacerbated by climate variability, particularly erratic rainfall patterns, which reduce cropland stability and push marginal lands into </w:t>
      </w:r>
      <w:r w:rsidRPr="001F01F0">
        <w:rPr>
          <w:rFonts w:ascii="Arial" w:hAnsi="Arial" w:cs="Arial"/>
          <w:color w:val="000000"/>
          <w:sz w:val="20"/>
          <w:szCs w:val="20"/>
        </w:rPr>
        <w:t xml:space="preserve">the </w:t>
      </w:r>
      <w:r w:rsidRPr="001F01F0">
        <w:rPr>
          <w:rFonts w:ascii="Arial" w:hAnsi="Arial" w:cs="Arial"/>
          <w:sz w:val="20"/>
          <w:szCs w:val="20"/>
        </w:rPr>
        <w:t xml:space="preserve">rangeland </w:t>
      </w:r>
      <w:r w:rsidRPr="001F01F0">
        <w:rPr>
          <w:rFonts w:ascii="Arial" w:hAnsi="Arial" w:cs="Arial"/>
          <w:color w:val="000000"/>
          <w:sz w:val="20"/>
          <w:szCs w:val="20"/>
        </w:rPr>
        <w:t>category</w:t>
      </w:r>
      <w:r w:rsidRPr="001F01F0">
        <w:rPr>
          <w:rFonts w:ascii="Arial" w:hAnsi="Arial" w:cs="Arial"/>
          <w:sz w:val="20"/>
          <w:szCs w:val="20"/>
        </w:rPr>
        <w:t xml:space="preserve">.  Waterbodies and flooded vegetation remain marginal, highlighting the limited role of wetlands in the land system of the block. However, their persistence is threatened by wetland encroachment and groundwater exploitation, both of which were identified in the introduction as critical anthropogenic pressures.  </w:t>
      </w:r>
      <w:r w:rsidRPr="001F01F0">
        <w:rPr>
          <w:rFonts w:ascii="Arial" w:hAnsi="Arial" w:cs="Arial"/>
          <w:color w:val="000000"/>
          <w:sz w:val="20"/>
          <w:szCs w:val="20"/>
        </w:rPr>
        <w:t>Overall, the results indicate a dual trajectory: (</w:t>
      </w:r>
      <w:proofErr w:type="spellStart"/>
      <w:r w:rsidRPr="001F01F0">
        <w:rPr>
          <w:rFonts w:ascii="Arial" w:hAnsi="Arial" w:cs="Arial"/>
          <w:color w:val="000000"/>
          <w:sz w:val="20"/>
          <w:szCs w:val="20"/>
        </w:rPr>
        <w:t>i</w:t>
      </w:r>
      <w:proofErr w:type="spellEnd"/>
      <w:r w:rsidRPr="001F01F0">
        <w:rPr>
          <w:rFonts w:ascii="Arial" w:hAnsi="Arial" w:cs="Arial"/>
          <w:color w:val="000000"/>
          <w:sz w:val="20"/>
          <w:szCs w:val="20"/>
        </w:rPr>
        <w:t>) contraction of croplands and tree cover and (ii) expansion of rangelands and built-up areas. These transitions are not merely descriptive outcomes but reflect the combined influence of anthropogenic drivers (population growth, urbanization, deforestation, and wetland encroachment) and ecological processes (succession, degradation, and climate variability). By explicitly linking observed changes to these drivers, this study addresses the research gap identified in the introduction, namely, the lack of integrated spatiotemporal assessments that connect LULC dynamics with underlying socio-economic and ecological pressures in t</w:t>
      </w:r>
      <w:r w:rsidRPr="001F01F0">
        <w:rPr>
          <w:rFonts w:ascii="Arial" w:hAnsi="Arial" w:cs="Arial"/>
          <w:sz w:val="20"/>
          <w:szCs w:val="20"/>
        </w:rPr>
        <w:t xml:space="preserve">he </w:t>
      </w:r>
      <w:proofErr w:type="spellStart"/>
      <w:r w:rsidRPr="001F01F0">
        <w:rPr>
          <w:rFonts w:ascii="Arial" w:hAnsi="Arial" w:cs="Arial"/>
          <w:sz w:val="20"/>
          <w:szCs w:val="20"/>
        </w:rPr>
        <w:t>Hura</w:t>
      </w:r>
      <w:proofErr w:type="spellEnd"/>
      <w:r w:rsidRPr="001F01F0">
        <w:rPr>
          <w:rFonts w:ascii="Arial" w:hAnsi="Arial" w:cs="Arial"/>
          <w:sz w:val="20"/>
          <w:szCs w:val="20"/>
        </w:rPr>
        <w:t xml:space="preserve"> block</w:t>
      </w:r>
      <w:r w:rsidRPr="001F01F0">
        <w:rPr>
          <w:rFonts w:ascii="Arial" w:hAnsi="Arial" w:cs="Arial"/>
          <w:color w:val="000000"/>
          <w:sz w:val="20"/>
          <w:szCs w:val="20"/>
        </w:rPr>
        <w:t xml:space="preserve">. </w:t>
      </w:r>
    </w:p>
    <w:p w14:paraId="183534EA" w14:textId="2B396680" w:rsidR="00ED33BC" w:rsidRPr="001F01F0" w:rsidRDefault="00ED33BC" w:rsidP="00ED33BC">
      <w:pPr>
        <w:spacing w:after="240" w:line="360" w:lineRule="auto"/>
        <w:jc w:val="both"/>
        <w:rPr>
          <w:rFonts w:ascii="Arial" w:hAnsi="Arial" w:cs="Arial"/>
          <w:b/>
          <w:color w:val="000000"/>
          <w:sz w:val="22"/>
          <w:szCs w:val="22"/>
          <w:lang w:val="en-IN"/>
        </w:rPr>
      </w:pPr>
      <w:r w:rsidRPr="001F01F0">
        <w:rPr>
          <w:rFonts w:ascii="Arial" w:hAnsi="Arial" w:cs="Arial"/>
          <w:b/>
          <w:color w:val="000000"/>
          <w:sz w:val="22"/>
          <w:szCs w:val="22"/>
          <w:lang w:val="en-IN"/>
        </w:rPr>
        <w:t>5. Conclusion:</w:t>
      </w:r>
    </w:p>
    <w:p w14:paraId="4DDE56AA" w14:textId="77777777" w:rsidR="00ED33BC" w:rsidRPr="001F01F0" w:rsidRDefault="00ED33BC" w:rsidP="00ED33BC">
      <w:pPr>
        <w:spacing w:after="240" w:line="360" w:lineRule="auto"/>
        <w:jc w:val="both"/>
        <w:rPr>
          <w:rFonts w:ascii="Arial" w:hAnsi="Arial" w:cs="Arial"/>
          <w:bCs/>
          <w:color w:val="000000"/>
          <w:sz w:val="20"/>
          <w:szCs w:val="20"/>
          <w:lang w:val="en-IN"/>
        </w:rPr>
      </w:pPr>
      <w:r w:rsidRPr="001F01F0">
        <w:rPr>
          <w:rFonts w:ascii="Arial" w:hAnsi="Arial" w:cs="Arial"/>
          <w:bCs/>
          <w:color w:val="000000"/>
          <w:sz w:val="20"/>
          <w:szCs w:val="20"/>
          <w:lang w:val="en-IN"/>
        </w:rPr>
        <w:t xml:space="preserve">Investigation of land use and land cover (LULC) changes in </w:t>
      </w:r>
      <w:proofErr w:type="spellStart"/>
      <w:r w:rsidRPr="001F01F0">
        <w:rPr>
          <w:rFonts w:ascii="Arial" w:hAnsi="Arial" w:cs="Arial"/>
          <w:bCs/>
          <w:color w:val="000000"/>
          <w:sz w:val="20"/>
          <w:szCs w:val="20"/>
          <w:lang w:val="en-IN"/>
        </w:rPr>
        <w:t>Hura</w:t>
      </w:r>
      <w:proofErr w:type="spellEnd"/>
      <w:r w:rsidRPr="001F01F0">
        <w:rPr>
          <w:rFonts w:ascii="Arial" w:hAnsi="Arial" w:cs="Arial"/>
          <w:bCs/>
          <w:color w:val="000000"/>
          <w:sz w:val="20"/>
          <w:szCs w:val="20"/>
          <w:lang w:val="en-IN"/>
        </w:rPr>
        <w:t xml:space="preserve"> C.D. Block from 2017 to 2024 revealed a gradual decline in agricultural stability, primarily due to the contraction of croplands, expansion of rangelands, and urban development. Although occasional inflows into croplands have partially mitigated these losses, the overall trend indicates a decrease in agricultural persistence and an increase in vulnerability to drought. These findings highlight the urgent need for integrated land management strategies that harmonize agricultural productivity, ecological conservation, and developmental needs. By integrating remote sensing and GIS analysis with policy interventions, sustainable land use planning can be realized in the Purulia District. In the absence of such measures, the concurrent trends of cropland loss and rangeland expansion may exacerbate food security issues and ecological degradation in the </w:t>
      </w:r>
      <w:r w:rsidRPr="001F01F0">
        <w:rPr>
          <w:rFonts w:ascii="Arial" w:hAnsi="Arial" w:cs="Arial"/>
          <w:bCs/>
          <w:color w:val="000000"/>
          <w:sz w:val="20"/>
          <w:szCs w:val="20"/>
          <w:lang w:val="en-IN"/>
        </w:rPr>
        <w:lastRenderedPageBreak/>
        <w:t xml:space="preserve">region itself. In light of the observed dynamics, several measures are recommended to ensure sustainable land-use planning in the </w:t>
      </w:r>
      <w:proofErr w:type="spellStart"/>
      <w:r w:rsidRPr="001F01F0">
        <w:rPr>
          <w:rFonts w:ascii="Arial" w:hAnsi="Arial" w:cs="Arial"/>
          <w:bCs/>
          <w:color w:val="000000"/>
          <w:sz w:val="20"/>
          <w:szCs w:val="20"/>
          <w:lang w:val="en-IN"/>
        </w:rPr>
        <w:t>Hura</w:t>
      </w:r>
      <w:proofErr w:type="spellEnd"/>
      <w:r w:rsidRPr="001F01F0">
        <w:rPr>
          <w:rFonts w:ascii="Arial" w:hAnsi="Arial" w:cs="Arial"/>
          <w:bCs/>
          <w:color w:val="000000"/>
          <w:sz w:val="20"/>
          <w:szCs w:val="20"/>
          <w:lang w:val="en-IN"/>
        </w:rPr>
        <w:t xml:space="preserve"> block:</w:t>
      </w:r>
    </w:p>
    <w:p w14:paraId="1B109824" w14:textId="77777777" w:rsidR="00ED33BC" w:rsidRPr="001F01F0" w:rsidRDefault="00ED33BC" w:rsidP="00ED33BC">
      <w:pPr>
        <w:numPr>
          <w:ilvl w:val="0"/>
          <w:numId w:val="8"/>
        </w:numPr>
        <w:spacing w:after="240" w:line="360" w:lineRule="auto"/>
        <w:jc w:val="both"/>
        <w:rPr>
          <w:rFonts w:ascii="Arial" w:hAnsi="Arial" w:cs="Arial"/>
          <w:bCs/>
          <w:color w:val="000000"/>
          <w:sz w:val="20"/>
          <w:szCs w:val="20"/>
          <w:lang w:val="en-IN"/>
        </w:rPr>
      </w:pPr>
      <w:r w:rsidRPr="001F01F0">
        <w:rPr>
          <w:rFonts w:ascii="Arial" w:hAnsi="Arial" w:cs="Arial"/>
          <w:bCs/>
          <w:color w:val="000000"/>
          <w:sz w:val="20"/>
          <w:szCs w:val="20"/>
          <w:lang w:val="en-IN"/>
        </w:rPr>
        <w:t xml:space="preserve">Strengthening agricultural land protection: Policies should prioritize safeguarding croplands from conversion into rangelands and built-up areas through zoning regulations and incentives for sustainable farming. </w:t>
      </w:r>
    </w:p>
    <w:p w14:paraId="19D06784" w14:textId="40F1E5FB" w:rsidR="00ED33BC" w:rsidRPr="001F01F0" w:rsidRDefault="00ED33BC" w:rsidP="00ED33BC">
      <w:pPr>
        <w:numPr>
          <w:ilvl w:val="0"/>
          <w:numId w:val="8"/>
        </w:numPr>
        <w:spacing w:after="240" w:line="360" w:lineRule="auto"/>
        <w:jc w:val="both"/>
        <w:rPr>
          <w:rFonts w:ascii="Arial" w:hAnsi="Arial" w:cs="Arial"/>
          <w:bCs/>
          <w:color w:val="000000"/>
          <w:sz w:val="20"/>
          <w:szCs w:val="20"/>
          <w:lang w:val="en-IN"/>
        </w:rPr>
      </w:pPr>
      <w:r w:rsidRPr="001F01F0">
        <w:rPr>
          <w:rFonts w:ascii="Arial" w:hAnsi="Arial" w:cs="Arial"/>
          <w:bCs/>
          <w:color w:val="000000"/>
          <w:sz w:val="20"/>
          <w:szCs w:val="20"/>
          <w:lang w:val="en-IN"/>
        </w:rPr>
        <w:t xml:space="preserve">Promote sustainable rangeland management: Introduce soil conservation, controlled grazing, and agroforestry practices to reduce degradation and stabilize rangelands. </w:t>
      </w:r>
    </w:p>
    <w:p w14:paraId="76BD7C28" w14:textId="66605CAE" w:rsidR="00ED33BC" w:rsidRPr="001F01F0" w:rsidRDefault="00ED33BC" w:rsidP="00ED33BC">
      <w:pPr>
        <w:numPr>
          <w:ilvl w:val="0"/>
          <w:numId w:val="8"/>
        </w:numPr>
        <w:spacing w:after="240" w:line="360" w:lineRule="auto"/>
        <w:jc w:val="both"/>
        <w:rPr>
          <w:rFonts w:ascii="Arial" w:hAnsi="Arial" w:cs="Arial"/>
          <w:bCs/>
          <w:color w:val="000000"/>
          <w:sz w:val="20"/>
          <w:szCs w:val="20"/>
          <w:lang w:val="en-IN"/>
        </w:rPr>
      </w:pPr>
      <w:r w:rsidRPr="001F01F0">
        <w:rPr>
          <w:rFonts w:ascii="Arial" w:hAnsi="Arial" w:cs="Arial"/>
          <w:bCs/>
          <w:color w:val="000000"/>
          <w:sz w:val="20"/>
          <w:szCs w:val="20"/>
          <w:lang w:val="en-IN"/>
        </w:rPr>
        <w:t xml:space="preserve">Afforestation and forest management: Planned afforestation programs should be implemented to ensure that tree cover gains are ecologically sustainable rather than the result of cropland abandonment. </w:t>
      </w:r>
    </w:p>
    <w:p w14:paraId="124FABC5" w14:textId="075C3081" w:rsidR="00ED33BC" w:rsidRPr="001F01F0" w:rsidRDefault="00ED33BC" w:rsidP="00ED33BC">
      <w:pPr>
        <w:numPr>
          <w:ilvl w:val="0"/>
          <w:numId w:val="8"/>
        </w:numPr>
        <w:spacing w:after="240" w:line="360" w:lineRule="auto"/>
        <w:jc w:val="both"/>
        <w:rPr>
          <w:rFonts w:ascii="Arial" w:hAnsi="Arial" w:cs="Arial"/>
          <w:bCs/>
          <w:color w:val="000000"/>
          <w:sz w:val="20"/>
          <w:szCs w:val="20"/>
          <w:lang w:val="en-IN"/>
        </w:rPr>
      </w:pPr>
      <w:r w:rsidRPr="001F01F0">
        <w:rPr>
          <w:rFonts w:ascii="Arial" w:hAnsi="Arial" w:cs="Arial"/>
          <w:bCs/>
          <w:color w:val="000000"/>
          <w:sz w:val="20"/>
          <w:szCs w:val="20"/>
          <w:lang w:val="en-IN"/>
        </w:rPr>
        <w:t xml:space="preserve">Urban planning and regulation: Built-up expansion must be guided by structured planning to prevent sprawl and minimize encroachment on agricultural and ecological land uses. </w:t>
      </w:r>
    </w:p>
    <w:p w14:paraId="202B1508" w14:textId="3DD0E78C" w:rsidR="00ED33BC" w:rsidRPr="001F01F0" w:rsidRDefault="00ED33BC" w:rsidP="00ED33BC">
      <w:pPr>
        <w:numPr>
          <w:ilvl w:val="0"/>
          <w:numId w:val="8"/>
        </w:numPr>
        <w:spacing w:after="240" w:line="360" w:lineRule="auto"/>
        <w:jc w:val="both"/>
        <w:rPr>
          <w:rFonts w:ascii="Arial" w:hAnsi="Arial" w:cs="Arial"/>
          <w:bCs/>
          <w:color w:val="000000"/>
          <w:sz w:val="20"/>
          <w:szCs w:val="20"/>
          <w:lang w:val="en-IN"/>
        </w:rPr>
      </w:pPr>
      <w:r w:rsidRPr="001F01F0">
        <w:rPr>
          <w:rFonts w:ascii="Arial" w:hAnsi="Arial" w:cs="Arial"/>
          <w:bCs/>
          <w:color w:val="000000"/>
          <w:sz w:val="20"/>
          <w:szCs w:val="20"/>
          <w:lang w:val="en-IN"/>
        </w:rPr>
        <w:t xml:space="preserve">Waterbody conservation: Protect wetlands and small waterbodies from encroachment to maintain hydrological balance and ecosystem services. </w:t>
      </w:r>
    </w:p>
    <w:p w14:paraId="2CBA1C1F" w14:textId="27BDBA80" w:rsidR="003675B9" w:rsidRPr="001F01F0" w:rsidRDefault="00ED33BC" w:rsidP="00917D4E">
      <w:pPr>
        <w:numPr>
          <w:ilvl w:val="0"/>
          <w:numId w:val="8"/>
        </w:numPr>
        <w:spacing w:after="240" w:line="360" w:lineRule="auto"/>
        <w:jc w:val="both"/>
        <w:rPr>
          <w:rFonts w:ascii="Arial" w:hAnsi="Arial" w:cs="Arial"/>
          <w:bCs/>
          <w:color w:val="000000"/>
          <w:sz w:val="20"/>
          <w:szCs w:val="20"/>
          <w:lang w:val="en-IN"/>
        </w:rPr>
      </w:pPr>
      <w:r w:rsidRPr="001F01F0">
        <w:rPr>
          <w:rFonts w:ascii="Arial" w:hAnsi="Arial" w:cs="Arial"/>
          <w:bCs/>
          <w:color w:val="000000"/>
          <w:sz w:val="20"/>
          <w:szCs w:val="20"/>
          <w:lang w:val="en-IN"/>
        </w:rPr>
        <w:t xml:space="preserve">Community participation: Local stakeholders should be engaged in land management decisions to ensure that interventions align with livelihood needs and are ecologically sustainable. </w:t>
      </w:r>
    </w:p>
    <w:p w14:paraId="5CC0241E" w14:textId="77777777" w:rsidR="00E41167" w:rsidRPr="00E41167" w:rsidRDefault="00E41167" w:rsidP="00E41167">
      <w:pPr>
        <w:spacing w:after="240"/>
        <w:jc w:val="both"/>
        <w:rPr>
          <w:rFonts w:ascii="Arial" w:hAnsi="Arial" w:cs="Arial"/>
          <w:b/>
          <w:bCs/>
          <w:color w:val="000000"/>
          <w:sz w:val="22"/>
          <w:szCs w:val="22"/>
        </w:rPr>
      </w:pPr>
      <w:r w:rsidRPr="00E41167">
        <w:rPr>
          <w:rFonts w:ascii="Arial" w:hAnsi="Arial" w:cs="Arial"/>
          <w:b/>
          <w:bCs/>
          <w:color w:val="000000"/>
          <w:sz w:val="22"/>
          <w:szCs w:val="22"/>
        </w:rPr>
        <w:t>Disclaimer (Artificial Intelligence)</w:t>
      </w:r>
    </w:p>
    <w:p w14:paraId="52367BB9" w14:textId="77777777" w:rsidR="00E41167" w:rsidRPr="00E41167" w:rsidRDefault="00E41167" w:rsidP="00E41167">
      <w:pPr>
        <w:spacing w:after="240"/>
        <w:jc w:val="both"/>
        <w:rPr>
          <w:rFonts w:ascii="Arial" w:hAnsi="Arial" w:cs="Arial"/>
          <w:color w:val="000000"/>
          <w:sz w:val="20"/>
          <w:szCs w:val="20"/>
        </w:rPr>
      </w:pPr>
      <w:r w:rsidRPr="00E41167">
        <w:rPr>
          <w:rFonts w:ascii="Arial" w:hAnsi="Arial" w:cs="Arial"/>
          <w:color w:val="000000"/>
          <w:sz w:val="20"/>
          <w:szCs w:val="20"/>
        </w:rPr>
        <w:t xml:space="preserve">The authors hereby declare that no generative AI </w:t>
      </w:r>
      <w:proofErr w:type="gramStart"/>
      <w:r w:rsidRPr="00E41167">
        <w:rPr>
          <w:rFonts w:ascii="Arial" w:hAnsi="Arial" w:cs="Arial"/>
          <w:color w:val="000000"/>
          <w:sz w:val="20"/>
          <w:szCs w:val="20"/>
        </w:rPr>
        <w:t>technologies  such</w:t>
      </w:r>
      <w:proofErr w:type="gramEnd"/>
      <w:r w:rsidRPr="00E41167">
        <w:rPr>
          <w:rFonts w:ascii="Arial" w:hAnsi="Arial" w:cs="Arial"/>
          <w:color w:val="000000"/>
          <w:sz w:val="20"/>
          <w:szCs w:val="20"/>
        </w:rPr>
        <w:t xml:space="preserve">  as  Large  Language  Models (</w:t>
      </w:r>
      <w:proofErr w:type="spellStart"/>
      <w:r w:rsidRPr="00E41167">
        <w:rPr>
          <w:rFonts w:ascii="Arial" w:hAnsi="Arial" w:cs="Arial"/>
          <w:color w:val="000000"/>
          <w:sz w:val="20"/>
          <w:szCs w:val="20"/>
        </w:rPr>
        <w:t>ChatGPT</w:t>
      </w:r>
      <w:proofErr w:type="spellEnd"/>
      <w:r w:rsidRPr="00E41167">
        <w:rPr>
          <w:rFonts w:ascii="Arial" w:hAnsi="Arial" w:cs="Arial"/>
          <w:color w:val="000000"/>
          <w:sz w:val="20"/>
          <w:szCs w:val="20"/>
        </w:rPr>
        <w:t xml:space="preserve">,  COPILOT,  etc.)  and     text-to-image generators have been used during </w:t>
      </w:r>
      <w:proofErr w:type="gramStart"/>
      <w:r w:rsidRPr="00E41167">
        <w:rPr>
          <w:rFonts w:ascii="Arial" w:hAnsi="Arial" w:cs="Arial"/>
          <w:color w:val="000000"/>
          <w:sz w:val="20"/>
          <w:szCs w:val="20"/>
        </w:rPr>
        <w:t>the  writing</w:t>
      </w:r>
      <w:proofErr w:type="gramEnd"/>
      <w:r w:rsidRPr="00E41167">
        <w:rPr>
          <w:rFonts w:ascii="Arial" w:hAnsi="Arial" w:cs="Arial"/>
          <w:color w:val="000000"/>
          <w:sz w:val="20"/>
          <w:szCs w:val="20"/>
        </w:rPr>
        <w:t xml:space="preserve"> or editing of this manuscript.</w:t>
      </w:r>
    </w:p>
    <w:p w14:paraId="22AD1612" w14:textId="77777777" w:rsidR="005070F1" w:rsidRDefault="005070F1" w:rsidP="00E41167">
      <w:pPr>
        <w:spacing w:after="240"/>
        <w:jc w:val="both"/>
        <w:rPr>
          <w:rFonts w:ascii="Arial" w:hAnsi="Arial" w:cs="Arial"/>
          <w:b/>
          <w:bCs/>
          <w:color w:val="000000"/>
          <w:sz w:val="22"/>
          <w:szCs w:val="22"/>
        </w:rPr>
      </w:pPr>
    </w:p>
    <w:p w14:paraId="069FDFD0" w14:textId="46436601" w:rsidR="00E02B18" w:rsidRPr="00E41167" w:rsidRDefault="00E02B18" w:rsidP="00E41167">
      <w:pPr>
        <w:spacing w:after="240"/>
        <w:jc w:val="both"/>
        <w:rPr>
          <w:rFonts w:ascii="Arial" w:hAnsi="Arial" w:cs="Arial"/>
          <w:b/>
          <w:bCs/>
          <w:color w:val="000000"/>
          <w:sz w:val="22"/>
          <w:szCs w:val="22"/>
        </w:rPr>
      </w:pPr>
      <w:bookmarkStart w:id="0" w:name="_GoBack"/>
      <w:bookmarkEnd w:id="0"/>
      <w:r w:rsidRPr="00E41167">
        <w:rPr>
          <w:rFonts w:ascii="Arial" w:hAnsi="Arial" w:cs="Arial"/>
          <w:b/>
          <w:bCs/>
          <w:color w:val="000000"/>
          <w:sz w:val="22"/>
          <w:szCs w:val="22"/>
        </w:rPr>
        <w:t>Reference</w:t>
      </w:r>
    </w:p>
    <w:p w14:paraId="02D8D9D3" w14:textId="77777777" w:rsidR="00E41167" w:rsidRPr="00E41167" w:rsidRDefault="00E41167" w:rsidP="00E41167">
      <w:pPr>
        <w:numPr>
          <w:ilvl w:val="0"/>
          <w:numId w:val="10"/>
        </w:numPr>
        <w:spacing w:after="240"/>
        <w:ind w:left="360"/>
        <w:jc w:val="both"/>
        <w:rPr>
          <w:rFonts w:ascii="Arial" w:hAnsi="Arial" w:cs="Arial"/>
          <w:color w:val="000000"/>
          <w:sz w:val="20"/>
          <w:szCs w:val="20"/>
        </w:rPr>
      </w:pPr>
      <w:bookmarkStart w:id="1" w:name="_Hlk218817639"/>
      <w:proofErr w:type="spellStart"/>
      <w:r w:rsidRPr="00E41167">
        <w:rPr>
          <w:rFonts w:ascii="Arial" w:hAnsi="Arial" w:cs="Arial"/>
          <w:color w:val="000000"/>
          <w:sz w:val="20"/>
          <w:szCs w:val="20"/>
        </w:rPr>
        <w:t>Karimov</w:t>
      </w:r>
      <w:proofErr w:type="spellEnd"/>
      <w:r w:rsidRPr="00E41167">
        <w:rPr>
          <w:rFonts w:ascii="Arial" w:hAnsi="Arial" w:cs="Arial"/>
          <w:color w:val="000000"/>
          <w:sz w:val="20"/>
          <w:szCs w:val="20"/>
        </w:rPr>
        <w:t xml:space="preserve">, </w:t>
      </w:r>
      <w:bookmarkEnd w:id="1"/>
      <w:r w:rsidRPr="00E41167">
        <w:rPr>
          <w:rFonts w:ascii="Arial" w:hAnsi="Arial" w:cs="Arial"/>
          <w:color w:val="000000"/>
          <w:sz w:val="20"/>
          <w:szCs w:val="20"/>
        </w:rPr>
        <w:t xml:space="preserve">Y., </w:t>
      </w:r>
      <w:proofErr w:type="spellStart"/>
      <w:r w:rsidRPr="00E41167">
        <w:rPr>
          <w:rFonts w:ascii="Arial" w:hAnsi="Arial" w:cs="Arial"/>
          <w:color w:val="000000"/>
          <w:sz w:val="20"/>
          <w:szCs w:val="20"/>
        </w:rPr>
        <w:t>Musaev</w:t>
      </w:r>
      <w:proofErr w:type="spellEnd"/>
      <w:r w:rsidRPr="00E41167">
        <w:rPr>
          <w:rFonts w:ascii="Arial" w:hAnsi="Arial" w:cs="Arial"/>
          <w:color w:val="000000"/>
          <w:sz w:val="20"/>
          <w:szCs w:val="20"/>
        </w:rPr>
        <w:t xml:space="preserve">, I., </w:t>
      </w:r>
      <w:proofErr w:type="spellStart"/>
      <w:r w:rsidRPr="00E41167">
        <w:rPr>
          <w:rFonts w:ascii="Arial" w:hAnsi="Arial" w:cs="Arial"/>
          <w:color w:val="000000"/>
          <w:sz w:val="20"/>
          <w:szCs w:val="20"/>
        </w:rPr>
        <w:t>Abobakirova</w:t>
      </w:r>
      <w:proofErr w:type="spellEnd"/>
      <w:r w:rsidRPr="00E41167">
        <w:rPr>
          <w:rFonts w:ascii="Arial" w:hAnsi="Arial" w:cs="Arial"/>
          <w:color w:val="000000"/>
          <w:sz w:val="20"/>
          <w:szCs w:val="20"/>
        </w:rPr>
        <w:t xml:space="preserve">, Z., Umarov, S., </w:t>
      </w:r>
      <w:proofErr w:type="spellStart"/>
      <w:r w:rsidRPr="00E41167">
        <w:rPr>
          <w:rFonts w:ascii="Arial" w:hAnsi="Arial" w:cs="Arial"/>
          <w:color w:val="000000"/>
          <w:sz w:val="20"/>
          <w:szCs w:val="20"/>
        </w:rPr>
        <w:t>Mirzaeva</w:t>
      </w:r>
      <w:proofErr w:type="spellEnd"/>
      <w:r w:rsidRPr="00E41167">
        <w:rPr>
          <w:rFonts w:ascii="Arial" w:hAnsi="Arial" w:cs="Arial"/>
          <w:color w:val="000000"/>
          <w:sz w:val="20"/>
          <w:szCs w:val="20"/>
        </w:rPr>
        <w:t xml:space="preserve">, Z., &amp; </w:t>
      </w:r>
      <w:proofErr w:type="spellStart"/>
      <w:r w:rsidRPr="00E41167">
        <w:rPr>
          <w:rFonts w:ascii="Arial" w:hAnsi="Arial" w:cs="Arial"/>
          <w:color w:val="000000"/>
          <w:sz w:val="20"/>
          <w:szCs w:val="20"/>
        </w:rPr>
        <w:t>Mirzababayeva</w:t>
      </w:r>
      <w:proofErr w:type="spellEnd"/>
      <w:r w:rsidRPr="00E41167">
        <w:rPr>
          <w:rFonts w:ascii="Arial" w:hAnsi="Arial" w:cs="Arial"/>
          <w:color w:val="000000"/>
          <w:sz w:val="20"/>
          <w:szCs w:val="20"/>
        </w:rPr>
        <w:t xml:space="preserve">, S. (2023). Land use and land cover change dynamics of Uzbekistan: a review. E3S Web of Conferences, 421, 03007. </w:t>
      </w:r>
      <w:hyperlink r:id="rId12" w:history="1">
        <w:r w:rsidRPr="00E41167">
          <w:rPr>
            <w:rStyle w:val="Hyperlink"/>
            <w:rFonts w:ascii="Arial" w:hAnsi="Arial" w:cs="Arial"/>
            <w:sz w:val="20"/>
            <w:szCs w:val="20"/>
          </w:rPr>
          <w:t>https://doi.org/10.1051/e3sconf/202342103007</w:t>
        </w:r>
      </w:hyperlink>
    </w:p>
    <w:p w14:paraId="5429228E" w14:textId="442ED3A5" w:rsidR="00E41167" w:rsidRPr="00E41167" w:rsidRDefault="00E41167" w:rsidP="00E41167">
      <w:pPr>
        <w:numPr>
          <w:ilvl w:val="0"/>
          <w:numId w:val="10"/>
        </w:numPr>
        <w:spacing w:after="240"/>
        <w:ind w:left="360"/>
        <w:jc w:val="both"/>
        <w:rPr>
          <w:rFonts w:ascii="Arial" w:hAnsi="Arial" w:cs="Arial"/>
          <w:color w:val="000000"/>
          <w:sz w:val="20"/>
          <w:szCs w:val="20"/>
        </w:rPr>
      </w:pPr>
      <w:r w:rsidRPr="00E41167">
        <w:rPr>
          <w:rFonts w:ascii="Arial" w:hAnsi="Arial" w:cs="Arial"/>
          <w:color w:val="000000"/>
          <w:sz w:val="20"/>
          <w:szCs w:val="20"/>
        </w:rPr>
        <w:t xml:space="preserve">Jensen, J. R. (2016).  </w:t>
      </w:r>
      <w:r w:rsidRPr="00E41167">
        <w:rPr>
          <w:rFonts w:ascii="Arial" w:hAnsi="Arial" w:cs="Arial"/>
          <w:i/>
          <w:color w:val="000000"/>
          <w:sz w:val="20"/>
          <w:szCs w:val="20"/>
        </w:rPr>
        <w:t xml:space="preserve">Introductory digital image processing: A remote sensing </w:t>
      </w:r>
      <w:proofErr w:type="gramStart"/>
      <w:r w:rsidRPr="00E41167">
        <w:rPr>
          <w:rFonts w:ascii="Arial" w:hAnsi="Arial" w:cs="Arial"/>
          <w:i/>
          <w:color w:val="000000"/>
          <w:sz w:val="20"/>
          <w:szCs w:val="20"/>
        </w:rPr>
        <w:t xml:space="preserve">perspective </w:t>
      </w:r>
      <w:r w:rsidRPr="00E41167">
        <w:rPr>
          <w:rFonts w:ascii="Arial" w:hAnsi="Arial" w:cs="Arial"/>
          <w:color w:val="000000"/>
          <w:sz w:val="20"/>
          <w:szCs w:val="20"/>
        </w:rPr>
        <w:t xml:space="preserve"> (</w:t>
      </w:r>
      <w:proofErr w:type="gramEnd"/>
      <w:r w:rsidRPr="00E41167">
        <w:rPr>
          <w:rFonts w:ascii="Arial" w:hAnsi="Arial" w:cs="Arial"/>
          <w:color w:val="000000"/>
          <w:sz w:val="20"/>
          <w:szCs w:val="20"/>
        </w:rPr>
        <w:t xml:space="preserve">4th ed.). Pearson. </w:t>
      </w:r>
      <w:hyperlink r:id="rId13" w:history="1">
        <w:r w:rsidRPr="00E41167">
          <w:rPr>
            <w:rStyle w:val="Hyperlink"/>
            <w:rFonts w:ascii="Arial" w:hAnsi="Arial" w:cs="Arial"/>
            <w:sz w:val="20"/>
            <w:szCs w:val="20"/>
          </w:rPr>
          <w:t>https://scispace.com/pdf/introductory-digital-image-processing-a-remote-sensing-58kg9u3xz4.pdf</w:t>
        </w:r>
      </w:hyperlink>
    </w:p>
    <w:p w14:paraId="491F968D" w14:textId="14CF5747" w:rsidR="00E41167" w:rsidRPr="00E41167" w:rsidRDefault="00E41167" w:rsidP="00E41167">
      <w:pPr>
        <w:numPr>
          <w:ilvl w:val="0"/>
          <w:numId w:val="10"/>
        </w:numPr>
        <w:spacing w:after="240"/>
        <w:ind w:left="360"/>
        <w:jc w:val="both"/>
        <w:rPr>
          <w:rFonts w:ascii="Arial" w:hAnsi="Arial" w:cs="Arial"/>
          <w:color w:val="000000"/>
          <w:sz w:val="20"/>
          <w:szCs w:val="20"/>
        </w:rPr>
      </w:pPr>
      <w:proofErr w:type="spellStart"/>
      <w:r w:rsidRPr="00E41167">
        <w:rPr>
          <w:rFonts w:ascii="Arial" w:hAnsi="Arial" w:cs="Arial"/>
          <w:color w:val="000000"/>
          <w:sz w:val="20"/>
          <w:szCs w:val="20"/>
        </w:rPr>
        <w:t>Alqurashi</w:t>
      </w:r>
      <w:proofErr w:type="spellEnd"/>
      <w:r w:rsidRPr="00E41167">
        <w:rPr>
          <w:rFonts w:ascii="Arial" w:hAnsi="Arial" w:cs="Arial"/>
          <w:color w:val="000000"/>
          <w:sz w:val="20"/>
          <w:szCs w:val="20"/>
        </w:rPr>
        <w:t xml:space="preserve">, A. F., &amp; Kumar, L. (2013). Investigation of the use of remote sensing and GIS techniques to detect land use and land cover change: A review.  </w:t>
      </w:r>
      <w:r w:rsidRPr="00E41167">
        <w:rPr>
          <w:rFonts w:ascii="Arial" w:hAnsi="Arial" w:cs="Arial"/>
          <w:i/>
          <w:color w:val="000000"/>
          <w:sz w:val="20"/>
          <w:szCs w:val="20"/>
        </w:rPr>
        <w:t xml:space="preserve">The Egyptian Journal of Remote Sensing and Space </w:t>
      </w:r>
      <w:proofErr w:type="gramStart"/>
      <w:r w:rsidRPr="00E41167">
        <w:rPr>
          <w:rFonts w:ascii="Arial" w:hAnsi="Arial" w:cs="Arial"/>
          <w:i/>
          <w:color w:val="000000"/>
          <w:sz w:val="20"/>
          <w:szCs w:val="20"/>
        </w:rPr>
        <w:t xml:space="preserve">Science </w:t>
      </w:r>
      <w:r w:rsidRPr="00E41167">
        <w:rPr>
          <w:rFonts w:ascii="Arial" w:hAnsi="Arial" w:cs="Arial"/>
          <w:color w:val="000000"/>
          <w:sz w:val="20"/>
          <w:szCs w:val="20"/>
        </w:rPr>
        <w:t>,</w:t>
      </w:r>
      <w:proofErr w:type="gramEnd"/>
      <w:r w:rsidRPr="00E41167">
        <w:rPr>
          <w:rFonts w:ascii="Arial" w:hAnsi="Arial" w:cs="Arial"/>
          <w:color w:val="000000"/>
          <w:sz w:val="20"/>
          <w:szCs w:val="20"/>
        </w:rPr>
        <w:t xml:space="preserve">  </w:t>
      </w:r>
      <w:r w:rsidRPr="00E41167">
        <w:rPr>
          <w:rFonts w:ascii="Arial" w:hAnsi="Arial" w:cs="Arial"/>
          <w:i/>
          <w:color w:val="000000"/>
          <w:sz w:val="20"/>
          <w:szCs w:val="20"/>
        </w:rPr>
        <w:t xml:space="preserve">16 </w:t>
      </w:r>
      <w:r w:rsidRPr="00E41167">
        <w:rPr>
          <w:rFonts w:ascii="Arial" w:hAnsi="Arial" w:cs="Arial"/>
          <w:color w:val="000000"/>
          <w:sz w:val="20"/>
          <w:szCs w:val="20"/>
        </w:rPr>
        <w:t xml:space="preserve">(1), 13–18. </w:t>
      </w:r>
      <w:hyperlink r:id="rId14" w:history="1">
        <w:r w:rsidRPr="00E41167">
          <w:rPr>
            <w:rStyle w:val="Hyperlink"/>
            <w:rFonts w:ascii="Arial" w:hAnsi="Arial" w:cs="Arial"/>
            <w:sz w:val="20"/>
            <w:szCs w:val="20"/>
          </w:rPr>
          <w:t>http://dx.doi.org/10.4236/ars.2013.22022</w:t>
        </w:r>
      </w:hyperlink>
    </w:p>
    <w:p w14:paraId="562BD2C6" w14:textId="3B1411F7" w:rsidR="00E41167" w:rsidRPr="00E41167" w:rsidRDefault="00E41167" w:rsidP="00E41167">
      <w:pPr>
        <w:numPr>
          <w:ilvl w:val="0"/>
          <w:numId w:val="10"/>
        </w:numPr>
        <w:spacing w:after="240"/>
        <w:ind w:left="360"/>
        <w:jc w:val="both"/>
        <w:rPr>
          <w:rFonts w:ascii="Arial" w:hAnsi="Arial" w:cs="Arial"/>
          <w:color w:val="000000"/>
          <w:sz w:val="20"/>
          <w:szCs w:val="20"/>
        </w:rPr>
      </w:pPr>
      <w:proofErr w:type="spellStart"/>
      <w:r w:rsidRPr="00E41167">
        <w:rPr>
          <w:rFonts w:ascii="Arial" w:hAnsi="Arial" w:cs="Arial"/>
          <w:color w:val="000000"/>
          <w:sz w:val="20"/>
          <w:szCs w:val="20"/>
        </w:rPr>
        <w:t>Drusch</w:t>
      </w:r>
      <w:proofErr w:type="spellEnd"/>
      <w:r w:rsidRPr="00E41167">
        <w:rPr>
          <w:rFonts w:ascii="Arial" w:hAnsi="Arial" w:cs="Arial"/>
          <w:color w:val="000000"/>
          <w:sz w:val="20"/>
          <w:szCs w:val="20"/>
        </w:rPr>
        <w:t xml:space="preserve">, M., Del Bello, U., </w:t>
      </w:r>
      <w:proofErr w:type="spellStart"/>
      <w:r w:rsidRPr="00E41167">
        <w:rPr>
          <w:rFonts w:ascii="Arial" w:hAnsi="Arial" w:cs="Arial"/>
          <w:color w:val="000000"/>
          <w:sz w:val="20"/>
          <w:szCs w:val="20"/>
        </w:rPr>
        <w:t>Carlier</w:t>
      </w:r>
      <w:proofErr w:type="spellEnd"/>
      <w:r w:rsidRPr="00E41167">
        <w:rPr>
          <w:rFonts w:ascii="Arial" w:hAnsi="Arial" w:cs="Arial"/>
          <w:color w:val="000000"/>
          <w:sz w:val="20"/>
          <w:szCs w:val="20"/>
        </w:rPr>
        <w:t xml:space="preserve">, S., Colin, O., Fernandez, V., Gascon, F., </w:t>
      </w:r>
      <w:proofErr w:type="spellStart"/>
      <w:r w:rsidRPr="00E41167">
        <w:rPr>
          <w:rFonts w:ascii="Arial" w:hAnsi="Arial" w:cs="Arial"/>
          <w:color w:val="000000"/>
          <w:sz w:val="20"/>
          <w:szCs w:val="20"/>
        </w:rPr>
        <w:t>Hoersch</w:t>
      </w:r>
      <w:proofErr w:type="spellEnd"/>
      <w:r w:rsidRPr="00E41167">
        <w:rPr>
          <w:rFonts w:ascii="Arial" w:hAnsi="Arial" w:cs="Arial"/>
          <w:color w:val="000000"/>
          <w:sz w:val="20"/>
          <w:szCs w:val="20"/>
        </w:rPr>
        <w:t xml:space="preserve">, B., Isola, C., </w:t>
      </w:r>
      <w:proofErr w:type="spellStart"/>
      <w:r w:rsidRPr="00E41167">
        <w:rPr>
          <w:rFonts w:ascii="Arial" w:hAnsi="Arial" w:cs="Arial"/>
          <w:color w:val="000000"/>
          <w:sz w:val="20"/>
          <w:szCs w:val="20"/>
        </w:rPr>
        <w:t>Laberinti</w:t>
      </w:r>
      <w:proofErr w:type="spellEnd"/>
      <w:r w:rsidRPr="00E41167">
        <w:rPr>
          <w:rFonts w:ascii="Arial" w:hAnsi="Arial" w:cs="Arial"/>
          <w:color w:val="000000"/>
          <w:sz w:val="20"/>
          <w:szCs w:val="20"/>
        </w:rPr>
        <w:t xml:space="preserve">, P., </w:t>
      </w:r>
      <w:proofErr w:type="spellStart"/>
      <w:r w:rsidRPr="00E41167">
        <w:rPr>
          <w:rFonts w:ascii="Arial" w:hAnsi="Arial" w:cs="Arial"/>
          <w:color w:val="000000"/>
          <w:sz w:val="20"/>
          <w:szCs w:val="20"/>
        </w:rPr>
        <w:t>Martimort</w:t>
      </w:r>
      <w:proofErr w:type="spellEnd"/>
      <w:r w:rsidRPr="00E41167">
        <w:rPr>
          <w:rFonts w:ascii="Arial" w:hAnsi="Arial" w:cs="Arial"/>
          <w:color w:val="000000"/>
          <w:sz w:val="20"/>
          <w:szCs w:val="20"/>
        </w:rPr>
        <w:t xml:space="preserve">, P., </w:t>
      </w:r>
      <w:proofErr w:type="spellStart"/>
      <w:r w:rsidRPr="00E41167">
        <w:rPr>
          <w:rFonts w:ascii="Arial" w:hAnsi="Arial" w:cs="Arial"/>
          <w:color w:val="000000"/>
          <w:sz w:val="20"/>
          <w:szCs w:val="20"/>
        </w:rPr>
        <w:t>Meygret</w:t>
      </w:r>
      <w:proofErr w:type="spellEnd"/>
      <w:r w:rsidRPr="00E41167">
        <w:rPr>
          <w:rFonts w:ascii="Arial" w:hAnsi="Arial" w:cs="Arial"/>
          <w:color w:val="000000"/>
          <w:sz w:val="20"/>
          <w:szCs w:val="20"/>
        </w:rPr>
        <w:t xml:space="preserve">, A., </w:t>
      </w:r>
      <w:proofErr w:type="spellStart"/>
      <w:r w:rsidRPr="00E41167">
        <w:rPr>
          <w:rFonts w:ascii="Arial" w:hAnsi="Arial" w:cs="Arial"/>
          <w:color w:val="000000"/>
          <w:sz w:val="20"/>
          <w:szCs w:val="20"/>
        </w:rPr>
        <w:t>Spoto</w:t>
      </w:r>
      <w:proofErr w:type="spellEnd"/>
      <w:r w:rsidRPr="00E41167">
        <w:rPr>
          <w:rFonts w:ascii="Arial" w:hAnsi="Arial" w:cs="Arial"/>
          <w:color w:val="000000"/>
          <w:sz w:val="20"/>
          <w:szCs w:val="20"/>
        </w:rPr>
        <w:t xml:space="preserve">, F., Sy, O., Marchese, F., &amp; </w:t>
      </w:r>
      <w:proofErr w:type="spellStart"/>
      <w:r w:rsidRPr="00E41167">
        <w:rPr>
          <w:rFonts w:ascii="Arial" w:hAnsi="Arial" w:cs="Arial"/>
          <w:color w:val="000000"/>
          <w:sz w:val="20"/>
          <w:szCs w:val="20"/>
        </w:rPr>
        <w:t>Bargellini</w:t>
      </w:r>
      <w:proofErr w:type="spellEnd"/>
      <w:r w:rsidRPr="00E41167">
        <w:rPr>
          <w:rFonts w:ascii="Arial" w:hAnsi="Arial" w:cs="Arial"/>
          <w:color w:val="000000"/>
          <w:sz w:val="20"/>
          <w:szCs w:val="20"/>
        </w:rPr>
        <w:t xml:space="preserve">, P. (2012). </w:t>
      </w:r>
      <w:r w:rsidRPr="00E41167">
        <w:rPr>
          <w:rFonts w:ascii="Arial" w:hAnsi="Arial" w:cs="Arial"/>
          <w:color w:val="000000"/>
          <w:sz w:val="20"/>
          <w:szCs w:val="20"/>
        </w:rPr>
        <w:lastRenderedPageBreak/>
        <w:t xml:space="preserve">Sentinel-2: ESA’s Optical High-Resolution Mission for GMES Operational Services. </w:t>
      </w:r>
      <w:r w:rsidRPr="00E41167">
        <w:rPr>
          <w:rFonts w:ascii="Arial" w:hAnsi="Arial" w:cs="Arial"/>
          <w:i/>
          <w:iCs/>
          <w:color w:val="000000"/>
          <w:sz w:val="20"/>
          <w:szCs w:val="20"/>
        </w:rPr>
        <w:t>Remote Sensing of Environment</w:t>
      </w:r>
      <w:r w:rsidRPr="00E41167">
        <w:rPr>
          <w:rFonts w:ascii="Arial" w:hAnsi="Arial" w:cs="Arial"/>
          <w:color w:val="000000"/>
          <w:sz w:val="20"/>
          <w:szCs w:val="20"/>
        </w:rPr>
        <w:t xml:space="preserve">, </w:t>
      </w:r>
      <w:r w:rsidRPr="00E41167">
        <w:rPr>
          <w:rFonts w:ascii="Arial" w:hAnsi="Arial" w:cs="Arial"/>
          <w:i/>
          <w:iCs/>
          <w:color w:val="000000"/>
          <w:sz w:val="20"/>
          <w:szCs w:val="20"/>
        </w:rPr>
        <w:t>120</w:t>
      </w:r>
      <w:r w:rsidRPr="00E41167">
        <w:rPr>
          <w:rFonts w:ascii="Arial" w:hAnsi="Arial" w:cs="Arial"/>
          <w:color w:val="000000"/>
          <w:sz w:val="20"/>
          <w:szCs w:val="20"/>
        </w:rPr>
        <w:t xml:space="preserve">, 25–36. </w:t>
      </w:r>
      <w:hyperlink r:id="rId15" w:history="1">
        <w:r w:rsidRPr="00E41167">
          <w:rPr>
            <w:rStyle w:val="Hyperlink"/>
            <w:rFonts w:ascii="Arial" w:hAnsi="Arial" w:cs="Arial"/>
            <w:sz w:val="20"/>
            <w:szCs w:val="20"/>
          </w:rPr>
          <w:t>https://doi.org/10.1016/j.rse.2011.11.026</w:t>
        </w:r>
      </w:hyperlink>
    </w:p>
    <w:p w14:paraId="42222D6C" w14:textId="5499716F" w:rsidR="00E41167" w:rsidRPr="00E41167" w:rsidRDefault="00E41167" w:rsidP="00E41167">
      <w:pPr>
        <w:numPr>
          <w:ilvl w:val="0"/>
          <w:numId w:val="10"/>
        </w:numPr>
        <w:spacing w:after="240"/>
        <w:ind w:left="360"/>
        <w:jc w:val="both"/>
        <w:rPr>
          <w:rFonts w:ascii="Arial" w:hAnsi="Arial" w:cs="Arial"/>
          <w:color w:val="000000"/>
          <w:sz w:val="20"/>
          <w:szCs w:val="20"/>
        </w:rPr>
      </w:pPr>
      <w:r w:rsidRPr="00E41167">
        <w:rPr>
          <w:rFonts w:ascii="Arial" w:hAnsi="Arial" w:cs="Arial"/>
          <w:color w:val="000000"/>
          <w:sz w:val="20"/>
          <w:szCs w:val="20"/>
        </w:rPr>
        <w:t xml:space="preserve">Phiri, D., </w:t>
      </w:r>
      <w:proofErr w:type="spellStart"/>
      <w:r w:rsidRPr="00E41167">
        <w:rPr>
          <w:rFonts w:ascii="Arial" w:hAnsi="Arial" w:cs="Arial"/>
          <w:color w:val="000000"/>
          <w:sz w:val="20"/>
          <w:szCs w:val="20"/>
        </w:rPr>
        <w:t>Simwanda</w:t>
      </w:r>
      <w:proofErr w:type="spellEnd"/>
      <w:r w:rsidRPr="00E41167">
        <w:rPr>
          <w:rFonts w:ascii="Arial" w:hAnsi="Arial" w:cs="Arial"/>
          <w:color w:val="000000"/>
          <w:sz w:val="20"/>
          <w:szCs w:val="20"/>
        </w:rPr>
        <w:t xml:space="preserve">, M., Salekin, S., Nyirenda, V. R., Murayama, Y., &amp; </w:t>
      </w:r>
      <w:proofErr w:type="spellStart"/>
      <w:r w:rsidRPr="00E41167">
        <w:rPr>
          <w:rFonts w:ascii="Arial" w:hAnsi="Arial" w:cs="Arial"/>
          <w:color w:val="000000"/>
          <w:sz w:val="20"/>
          <w:szCs w:val="20"/>
        </w:rPr>
        <w:t>Ranagalage</w:t>
      </w:r>
      <w:proofErr w:type="spellEnd"/>
      <w:r w:rsidRPr="00E41167">
        <w:rPr>
          <w:rFonts w:ascii="Arial" w:hAnsi="Arial" w:cs="Arial"/>
          <w:color w:val="000000"/>
          <w:sz w:val="20"/>
          <w:szCs w:val="20"/>
        </w:rPr>
        <w:t xml:space="preserve">, M. (2020). Sentinel-2 Data for Land Cover/Use Mapping: A Review. Remote Sensing, 12(14), 2291. </w:t>
      </w:r>
      <w:hyperlink r:id="rId16" w:history="1">
        <w:r w:rsidRPr="00E41167">
          <w:rPr>
            <w:rStyle w:val="Hyperlink"/>
            <w:rFonts w:ascii="Arial" w:hAnsi="Arial" w:cs="Arial"/>
            <w:sz w:val="20"/>
            <w:szCs w:val="20"/>
          </w:rPr>
          <w:t>https://doi.org/10.3390/rs12142291</w:t>
        </w:r>
      </w:hyperlink>
    </w:p>
    <w:p w14:paraId="0E09AE2F" w14:textId="4EF7616A" w:rsidR="00E41167" w:rsidRPr="00E41167" w:rsidRDefault="00E41167" w:rsidP="00E41167">
      <w:pPr>
        <w:numPr>
          <w:ilvl w:val="0"/>
          <w:numId w:val="10"/>
        </w:numPr>
        <w:spacing w:after="240"/>
        <w:ind w:left="360"/>
        <w:jc w:val="both"/>
        <w:rPr>
          <w:rFonts w:ascii="Arial" w:hAnsi="Arial" w:cs="Arial"/>
          <w:color w:val="000000"/>
          <w:sz w:val="20"/>
          <w:szCs w:val="20"/>
        </w:rPr>
      </w:pPr>
      <w:r w:rsidRPr="00E41167">
        <w:rPr>
          <w:rFonts w:ascii="Arial" w:hAnsi="Arial" w:cs="Arial"/>
          <w:color w:val="000000"/>
          <w:sz w:val="20"/>
          <w:szCs w:val="20"/>
        </w:rPr>
        <w:t xml:space="preserve">Foody, G. M. (2002). Status of land cover classification accuracy assessment. </w:t>
      </w:r>
      <w:r w:rsidRPr="00E41167">
        <w:rPr>
          <w:rFonts w:ascii="Arial" w:hAnsi="Arial" w:cs="Arial"/>
          <w:i/>
          <w:iCs/>
          <w:color w:val="000000"/>
          <w:sz w:val="20"/>
          <w:szCs w:val="20"/>
        </w:rPr>
        <w:t>Remote Sensing of Environment</w:t>
      </w:r>
      <w:r w:rsidRPr="00E41167">
        <w:rPr>
          <w:rFonts w:ascii="Arial" w:hAnsi="Arial" w:cs="Arial"/>
          <w:color w:val="000000"/>
          <w:sz w:val="20"/>
          <w:szCs w:val="20"/>
        </w:rPr>
        <w:t xml:space="preserve">, </w:t>
      </w:r>
      <w:r w:rsidRPr="00E41167">
        <w:rPr>
          <w:rFonts w:ascii="Arial" w:hAnsi="Arial" w:cs="Arial"/>
          <w:i/>
          <w:iCs/>
          <w:color w:val="000000"/>
          <w:sz w:val="20"/>
          <w:szCs w:val="20"/>
        </w:rPr>
        <w:t>80</w:t>
      </w:r>
      <w:r w:rsidRPr="00E41167">
        <w:rPr>
          <w:rFonts w:ascii="Arial" w:hAnsi="Arial" w:cs="Arial"/>
          <w:color w:val="000000"/>
          <w:sz w:val="20"/>
          <w:szCs w:val="20"/>
        </w:rPr>
        <w:t xml:space="preserve">(1), 185–201. </w:t>
      </w:r>
      <w:hyperlink r:id="rId17" w:history="1">
        <w:r w:rsidRPr="00E41167">
          <w:rPr>
            <w:rStyle w:val="Hyperlink"/>
            <w:rFonts w:ascii="Arial" w:hAnsi="Arial" w:cs="Arial"/>
            <w:sz w:val="20"/>
            <w:szCs w:val="20"/>
          </w:rPr>
          <w:t>https://doi.org/10.1016/s0034-4257(01)00295-4</w:t>
        </w:r>
      </w:hyperlink>
    </w:p>
    <w:p w14:paraId="4C7150C5" w14:textId="0C588E87" w:rsidR="00E41167" w:rsidRPr="00E41167" w:rsidRDefault="00E41167" w:rsidP="00E41167">
      <w:pPr>
        <w:numPr>
          <w:ilvl w:val="0"/>
          <w:numId w:val="10"/>
        </w:numPr>
        <w:spacing w:after="240"/>
        <w:ind w:left="360"/>
        <w:jc w:val="both"/>
        <w:rPr>
          <w:rFonts w:ascii="Arial" w:hAnsi="Arial" w:cs="Arial"/>
          <w:color w:val="000000"/>
          <w:sz w:val="20"/>
          <w:szCs w:val="20"/>
        </w:rPr>
      </w:pPr>
      <w:r w:rsidRPr="00E41167">
        <w:rPr>
          <w:rFonts w:ascii="Arial" w:hAnsi="Arial" w:cs="Arial"/>
          <w:color w:val="000000"/>
          <w:sz w:val="20"/>
          <w:szCs w:val="20"/>
        </w:rPr>
        <w:t xml:space="preserve">Xu, H. (2006). Modification of </w:t>
      </w:r>
      <w:proofErr w:type="spellStart"/>
      <w:r w:rsidRPr="00E41167">
        <w:rPr>
          <w:rFonts w:ascii="Arial" w:hAnsi="Arial" w:cs="Arial"/>
          <w:color w:val="000000"/>
          <w:sz w:val="20"/>
          <w:szCs w:val="20"/>
        </w:rPr>
        <w:t>normalised</w:t>
      </w:r>
      <w:proofErr w:type="spellEnd"/>
      <w:r w:rsidRPr="00E41167">
        <w:rPr>
          <w:rFonts w:ascii="Arial" w:hAnsi="Arial" w:cs="Arial"/>
          <w:color w:val="000000"/>
          <w:sz w:val="20"/>
          <w:szCs w:val="20"/>
        </w:rPr>
        <w:t xml:space="preserve"> difference water index (NDWI) to enhance open water features in remotely sensed imagery. </w:t>
      </w:r>
      <w:r w:rsidRPr="00E41167">
        <w:rPr>
          <w:rFonts w:ascii="Arial" w:hAnsi="Arial" w:cs="Arial"/>
          <w:i/>
          <w:iCs/>
          <w:color w:val="000000"/>
          <w:sz w:val="20"/>
          <w:szCs w:val="20"/>
        </w:rPr>
        <w:t>International Journal of Remote Sensing</w:t>
      </w:r>
      <w:r w:rsidRPr="00E41167">
        <w:rPr>
          <w:rFonts w:ascii="Arial" w:hAnsi="Arial" w:cs="Arial"/>
          <w:color w:val="000000"/>
          <w:sz w:val="20"/>
          <w:szCs w:val="20"/>
        </w:rPr>
        <w:t>, </w:t>
      </w:r>
      <w:r w:rsidRPr="00E41167">
        <w:rPr>
          <w:rFonts w:ascii="Arial" w:hAnsi="Arial" w:cs="Arial"/>
          <w:i/>
          <w:iCs/>
          <w:color w:val="000000"/>
          <w:sz w:val="20"/>
          <w:szCs w:val="20"/>
        </w:rPr>
        <w:t>27</w:t>
      </w:r>
      <w:r w:rsidRPr="00E41167">
        <w:rPr>
          <w:rFonts w:ascii="Arial" w:hAnsi="Arial" w:cs="Arial"/>
          <w:color w:val="000000"/>
          <w:sz w:val="20"/>
          <w:szCs w:val="20"/>
        </w:rPr>
        <w:t xml:space="preserve">(14), 3025–3033. </w:t>
      </w:r>
      <w:hyperlink r:id="rId18" w:history="1">
        <w:r w:rsidRPr="00E41167">
          <w:rPr>
            <w:rStyle w:val="Hyperlink"/>
            <w:rFonts w:ascii="Arial" w:hAnsi="Arial" w:cs="Arial"/>
            <w:sz w:val="20"/>
            <w:szCs w:val="20"/>
          </w:rPr>
          <w:t>https://doi.org/10.1080/01431160600589179</w:t>
        </w:r>
      </w:hyperlink>
    </w:p>
    <w:p w14:paraId="71411260" w14:textId="1AA48218" w:rsidR="00E41167" w:rsidRPr="00E41167" w:rsidRDefault="00E41167" w:rsidP="00E41167">
      <w:pPr>
        <w:numPr>
          <w:ilvl w:val="0"/>
          <w:numId w:val="10"/>
        </w:numPr>
        <w:spacing w:after="240"/>
        <w:ind w:left="360"/>
        <w:jc w:val="both"/>
        <w:rPr>
          <w:rFonts w:ascii="Arial" w:hAnsi="Arial" w:cs="Arial"/>
          <w:color w:val="000000"/>
          <w:sz w:val="20"/>
          <w:szCs w:val="20"/>
        </w:rPr>
      </w:pPr>
      <w:r w:rsidRPr="00E41167">
        <w:rPr>
          <w:rFonts w:ascii="Arial" w:hAnsi="Arial" w:cs="Arial"/>
          <w:color w:val="000000"/>
          <w:sz w:val="20"/>
          <w:szCs w:val="20"/>
        </w:rPr>
        <w:t xml:space="preserve">Weng, Q. (2012). Remote sensing of impervious surfaces in the urban areas: Requirements, methods, and trends. </w:t>
      </w:r>
      <w:r w:rsidRPr="00E41167">
        <w:rPr>
          <w:rFonts w:ascii="Arial" w:hAnsi="Arial" w:cs="Arial"/>
          <w:i/>
          <w:iCs/>
          <w:color w:val="000000"/>
          <w:sz w:val="20"/>
          <w:szCs w:val="20"/>
        </w:rPr>
        <w:t>Remote Sensing of Environment</w:t>
      </w:r>
      <w:r w:rsidRPr="00E41167">
        <w:rPr>
          <w:rFonts w:ascii="Arial" w:hAnsi="Arial" w:cs="Arial"/>
          <w:color w:val="000000"/>
          <w:sz w:val="20"/>
          <w:szCs w:val="20"/>
        </w:rPr>
        <w:t xml:space="preserve">, </w:t>
      </w:r>
      <w:r w:rsidRPr="00E41167">
        <w:rPr>
          <w:rFonts w:ascii="Arial" w:hAnsi="Arial" w:cs="Arial"/>
          <w:i/>
          <w:iCs/>
          <w:color w:val="000000"/>
          <w:sz w:val="20"/>
          <w:szCs w:val="20"/>
        </w:rPr>
        <w:t>117</w:t>
      </w:r>
      <w:r w:rsidRPr="00E41167">
        <w:rPr>
          <w:rFonts w:ascii="Arial" w:hAnsi="Arial" w:cs="Arial"/>
          <w:color w:val="000000"/>
          <w:sz w:val="20"/>
          <w:szCs w:val="20"/>
        </w:rPr>
        <w:t xml:space="preserve">, 34–49. </w:t>
      </w:r>
      <w:hyperlink r:id="rId19" w:history="1">
        <w:r w:rsidRPr="00E41167">
          <w:rPr>
            <w:rStyle w:val="Hyperlink"/>
            <w:rFonts w:ascii="Arial" w:hAnsi="Arial" w:cs="Arial"/>
            <w:sz w:val="20"/>
            <w:szCs w:val="20"/>
          </w:rPr>
          <w:t>https://doi.org/10.1016/j.rse.2011.02.030</w:t>
        </w:r>
      </w:hyperlink>
    </w:p>
    <w:p w14:paraId="246C08EF" w14:textId="727DBDFE" w:rsidR="00E41167" w:rsidRPr="00E41167" w:rsidRDefault="00E41167" w:rsidP="00E41167">
      <w:pPr>
        <w:numPr>
          <w:ilvl w:val="0"/>
          <w:numId w:val="10"/>
        </w:numPr>
        <w:spacing w:after="240"/>
        <w:ind w:left="360"/>
        <w:jc w:val="both"/>
        <w:rPr>
          <w:rFonts w:ascii="Arial" w:hAnsi="Arial" w:cs="Arial"/>
          <w:sz w:val="20"/>
          <w:szCs w:val="20"/>
        </w:rPr>
      </w:pPr>
      <w:r w:rsidRPr="00E41167">
        <w:rPr>
          <w:rFonts w:ascii="Arial" w:hAnsi="Arial" w:cs="Arial"/>
          <w:color w:val="000000"/>
          <w:sz w:val="20"/>
          <w:szCs w:val="20"/>
        </w:rPr>
        <w:t xml:space="preserve">Lu, D., </w:t>
      </w:r>
      <w:proofErr w:type="spellStart"/>
      <w:r w:rsidRPr="00E41167">
        <w:rPr>
          <w:rFonts w:ascii="Arial" w:hAnsi="Arial" w:cs="Arial"/>
          <w:color w:val="000000"/>
          <w:sz w:val="20"/>
          <w:szCs w:val="20"/>
        </w:rPr>
        <w:t>Mausel</w:t>
      </w:r>
      <w:proofErr w:type="spellEnd"/>
      <w:r w:rsidRPr="00E41167">
        <w:rPr>
          <w:rFonts w:ascii="Arial" w:hAnsi="Arial" w:cs="Arial"/>
          <w:color w:val="000000"/>
          <w:sz w:val="20"/>
          <w:szCs w:val="20"/>
        </w:rPr>
        <w:t xml:space="preserve">, P., </w:t>
      </w:r>
      <w:proofErr w:type="spellStart"/>
      <w:r w:rsidRPr="00E41167">
        <w:rPr>
          <w:rFonts w:ascii="Arial" w:hAnsi="Arial" w:cs="Arial"/>
          <w:color w:val="000000"/>
          <w:sz w:val="20"/>
          <w:szCs w:val="20"/>
        </w:rPr>
        <w:t>Brondízio</w:t>
      </w:r>
      <w:proofErr w:type="spellEnd"/>
      <w:r w:rsidRPr="00E41167">
        <w:rPr>
          <w:rFonts w:ascii="Arial" w:hAnsi="Arial" w:cs="Arial"/>
          <w:color w:val="000000"/>
          <w:sz w:val="20"/>
          <w:szCs w:val="20"/>
        </w:rPr>
        <w:t xml:space="preserve">, E., &amp; Moran, E. (2004). Change detection </w:t>
      </w:r>
      <w:proofErr w:type="gramStart"/>
      <w:r w:rsidRPr="00E41167">
        <w:rPr>
          <w:rFonts w:ascii="Arial" w:hAnsi="Arial" w:cs="Arial"/>
          <w:color w:val="000000"/>
          <w:sz w:val="20"/>
          <w:szCs w:val="20"/>
        </w:rPr>
        <w:t>techniques .</w:t>
      </w:r>
      <w:proofErr w:type="gramEnd"/>
      <w:r w:rsidRPr="00E41167">
        <w:rPr>
          <w:rFonts w:ascii="Arial" w:hAnsi="Arial" w:cs="Arial"/>
          <w:color w:val="000000"/>
          <w:sz w:val="20"/>
          <w:szCs w:val="20"/>
        </w:rPr>
        <w:t> </w:t>
      </w:r>
      <w:r w:rsidRPr="00E41167">
        <w:rPr>
          <w:rFonts w:ascii="Arial" w:hAnsi="Arial" w:cs="Arial"/>
          <w:i/>
          <w:iCs/>
          <w:color w:val="000000"/>
          <w:sz w:val="20"/>
          <w:szCs w:val="20"/>
        </w:rPr>
        <w:t>International Journal of Remote Sensing</w:t>
      </w:r>
      <w:r w:rsidRPr="00E41167">
        <w:rPr>
          <w:rFonts w:ascii="Arial" w:hAnsi="Arial" w:cs="Arial"/>
          <w:color w:val="000000"/>
          <w:sz w:val="20"/>
          <w:szCs w:val="20"/>
        </w:rPr>
        <w:t>, </w:t>
      </w:r>
      <w:r w:rsidRPr="00E41167">
        <w:rPr>
          <w:rFonts w:ascii="Arial" w:hAnsi="Arial" w:cs="Arial"/>
          <w:i/>
          <w:iCs/>
          <w:color w:val="000000"/>
          <w:sz w:val="20"/>
          <w:szCs w:val="20"/>
        </w:rPr>
        <w:t>25</w:t>
      </w:r>
      <w:r w:rsidRPr="00E41167">
        <w:rPr>
          <w:rFonts w:ascii="Arial" w:hAnsi="Arial" w:cs="Arial"/>
          <w:color w:val="000000"/>
          <w:sz w:val="20"/>
          <w:szCs w:val="20"/>
        </w:rPr>
        <w:t xml:space="preserve">(12), 2365–2401. </w:t>
      </w:r>
      <w:hyperlink r:id="rId20" w:history="1">
        <w:r w:rsidRPr="00E41167">
          <w:rPr>
            <w:rStyle w:val="Hyperlink"/>
            <w:rFonts w:ascii="Arial" w:hAnsi="Arial" w:cs="Arial"/>
            <w:sz w:val="20"/>
            <w:szCs w:val="20"/>
          </w:rPr>
          <w:t>https://doi.org/10.1080/0143116031000139863</w:t>
        </w:r>
      </w:hyperlink>
    </w:p>
    <w:p w14:paraId="01DB777E" w14:textId="3C2F7E2A" w:rsidR="00E41167" w:rsidRPr="00E41167" w:rsidRDefault="00E41167" w:rsidP="00E41167">
      <w:pPr>
        <w:numPr>
          <w:ilvl w:val="0"/>
          <w:numId w:val="10"/>
        </w:numPr>
        <w:spacing w:after="240"/>
        <w:ind w:left="360"/>
        <w:jc w:val="both"/>
        <w:rPr>
          <w:rFonts w:ascii="Arial" w:hAnsi="Arial" w:cs="Arial"/>
          <w:color w:val="000000"/>
          <w:sz w:val="20"/>
          <w:szCs w:val="20"/>
        </w:rPr>
      </w:pPr>
      <w:bookmarkStart w:id="2" w:name="_Hlk218818169"/>
      <w:r w:rsidRPr="00E41167">
        <w:rPr>
          <w:rFonts w:ascii="Arial" w:hAnsi="Arial" w:cs="Arial"/>
          <w:color w:val="000000"/>
          <w:sz w:val="20"/>
          <w:szCs w:val="20"/>
        </w:rPr>
        <w:t xml:space="preserve">Fahad, </w:t>
      </w:r>
      <w:bookmarkEnd w:id="2"/>
      <w:r w:rsidRPr="00E41167">
        <w:rPr>
          <w:rFonts w:ascii="Arial" w:hAnsi="Arial" w:cs="Arial"/>
          <w:color w:val="000000"/>
          <w:sz w:val="20"/>
          <w:szCs w:val="20"/>
        </w:rPr>
        <w:t xml:space="preserve">K. H., Hussein, S., &amp; Dibs, H. (2020). Spatial-Temporal analysis of land use and land cover change detection using remote sensing and GIS techniques. </w:t>
      </w:r>
      <w:r w:rsidRPr="00E41167">
        <w:rPr>
          <w:rFonts w:ascii="Arial" w:hAnsi="Arial" w:cs="Arial"/>
          <w:i/>
          <w:iCs/>
          <w:color w:val="000000"/>
          <w:sz w:val="20"/>
          <w:szCs w:val="20"/>
        </w:rPr>
        <w:t>IOP Conference Series Materials Science and Engineering</w:t>
      </w:r>
      <w:r w:rsidRPr="00E41167">
        <w:rPr>
          <w:rFonts w:ascii="Arial" w:hAnsi="Arial" w:cs="Arial"/>
          <w:color w:val="000000"/>
          <w:sz w:val="20"/>
          <w:szCs w:val="20"/>
        </w:rPr>
        <w:t xml:space="preserve">, </w:t>
      </w:r>
      <w:r w:rsidRPr="00E41167">
        <w:rPr>
          <w:rFonts w:ascii="Arial" w:hAnsi="Arial" w:cs="Arial"/>
          <w:i/>
          <w:iCs/>
          <w:color w:val="000000"/>
          <w:sz w:val="20"/>
          <w:szCs w:val="20"/>
        </w:rPr>
        <w:t>671</w:t>
      </w:r>
      <w:r w:rsidRPr="00E41167">
        <w:rPr>
          <w:rFonts w:ascii="Arial" w:hAnsi="Arial" w:cs="Arial"/>
          <w:color w:val="000000"/>
          <w:sz w:val="20"/>
          <w:szCs w:val="20"/>
        </w:rPr>
        <w:t xml:space="preserve">(1), 012046. </w:t>
      </w:r>
      <w:hyperlink r:id="rId21" w:history="1">
        <w:r w:rsidRPr="00E41167">
          <w:rPr>
            <w:rStyle w:val="Hyperlink"/>
            <w:rFonts w:ascii="Arial" w:hAnsi="Arial" w:cs="Arial"/>
            <w:sz w:val="20"/>
            <w:szCs w:val="20"/>
          </w:rPr>
          <w:t>https://doi.org/10.1088/1757-899x/671/1/012046</w:t>
        </w:r>
      </w:hyperlink>
    </w:p>
    <w:p w14:paraId="6D42FD1E" w14:textId="0FFB232F" w:rsidR="00E41167" w:rsidRPr="00E41167" w:rsidRDefault="00E41167" w:rsidP="00E41167">
      <w:pPr>
        <w:numPr>
          <w:ilvl w:val="0"/>
          <w:numId w:val="10"/>
        </w:numPr>
        <w:spacing w:after="240"/>
        <w:ind w:left="360"/>
        <w:jc w:val="both"/>
        <w:rPr>
          <w:rFonts w:ascii="Arial" w:hAnsi="Arial" w:cs="Arial"/>
          <w:color w:val="000000"/>
          <w:sz w:val="20"/>
          <w:szCs w:val="20"/>
        </w:rPr>
      </w:pPr>
      <w:bookmarkStart w:id="3" w:name="_Hlk218818198"/>
      <w:proofErr w:type="spellStart"/>
      <w:r w:rsidRPr="00E41167">
        <w:rPr>
          <w:rFonts w:ascii="Arial" w:hAnsi="Arial" w:cs="Arial"/>
          <w:color w:val="000000"/>
          <w:sz w:val="20"/>
          <w:szCs w:val="20"/>
        </w:rPr>
        <w:t>Fayaz</w:t>
      </w:r>
      <w:bookmarkEnd w:id="3"/>
      <w:proofErr w:type="spellEnd"/>
      <w:r w:rsidRPr="00E41167">
        <w:rPr>
          <w:rFonts w:ascii="Arial" w:hAnsi="Arial" w:cs="Arial"/>
          <w:color w:val="000000"/>
          <w:sz w:val="20"/>
          <w:szCs w:val="20"/>
        </w:rPr>
        <w:t xml:space="preserve">, A., Shafiq, M. U., Singh, H., &amp; Ahmed, P. (2020). Assessment of spatiotemporal changes in land use/land cover of North Kashmir Himalayas from 1992 to 2018. </w:t>
      </w:r>
      <w:r w:rsidRPr="00E41167">
        <w:rPr>
          <w:rFonts w:ascii="Arial" w:hAnsi="Arial" w:cs="Arial"/>
          <w:i/>
          <w:iCs/>
          <w:color w:val="000000"/>
          <w:sz w:val="20"/>
          <w:szCs w:val="20"/>
        </w:rPr>
        <w:t>Modeling Earth Systems and Environment</w:t>
      </w:r>
      <w:r w:rsidRPr="00E41167">
        <w:rPr>
          <w:rFonts w:ascii="Arial" w:hAnsi="Arial" w:cs="Arial"/>
          <w:color w:val="000000"/>
          <w:sz w:val="20"/>
          <w:szCs w:val="20"/>
        </w:rPr>
        <w:t xml:space="preserve">, </w:t>
      </w:r>
      <w:r w:rsidRPr="00E41167">
        <w:rPr>
          <w:rFonts w:ascii="Arial" w:hAnsi="Arial" w:cs="Arial"/>
          <w:i/>
          <w:iCs/>
          <w:color w:val="000000"/>
          <w:sz w:val="20"/>
          <w:szCs w:val="20"/>
        </w:rPr>
        <w:t>6</w:t>
      </w:r>
      <w:r w:rsidRPr="00E41167">
        <w:rPr>
          <w:rFonts w:ascii="Arial" w:hAnsi="Arial" w:cs="Arial"/>
          <w:color w:val="000000"/>
          <w:sz w:val="20"/>
          <w:szCs w:val="20"/>
        </w:rPr>
        <w:t xml:space="preserve">(2), 1189–1200. </w:t>
      </w:r>
      <w:hyperlink r:id="rId22" w:history="1">
        <w:r w:rsidRPr="00E41167">
          <w:rPr>
            <w:rStyle w:val="Hyperlink"/>
            <w:rFonts w:ascii="Arial" w:hAnsi="Arial" w:cs="Arial"/>
            <w:sz w:val="20"/>
            <w:szCs w:val="20"/>
          </w:rPr>
          <w:t>https://doi.org/10.1007/s40808-020-00750-9</w:t>
        </w:r>
      </w:hyperlink>
    </w:p>
    <w:p w14:paraId="07BC20D2" w14:textId="533FD59B" w:rsidR="00E41167" w:rsidRPr="00E41167" w:rsidRDefault="00E41167" w:rsidP="00E41167">
      <w:pPr>
        <w:numPr>
          <w:ilvl w:val="0"/>
          <w:numId w:val="10"/>
        </w:numPr>
        <w:spacing w:after="240"/>
        <w:ind w:left="360"/>
        <w:jc w:val="both"/>
        <w:rPr>
          <w:rFonts w:ascii="Arial" w:hAnsi="Arial" w:cs="Arial"/>
          <w:color w:val="000000"/>
          <w:sz w:val="20"/>
          <w:szCs w:val="20"/>
        </w:rPr>
      </w:pPr>
      <w:r w:rsidRPr="00E41167">
        <w:rPr>
          <w:rFonts w:ascii="Arial" w:hAnsi="Arial" w:cs="Arial"/>
          <w:color w:val="000000"/>
          <w:sz w:val="20"/>
          <w:szCs w:val="20"/>
        </w:rPr>
        <w:t>Registrar General &amp; Census Commissioner, India. (2014). </w:t>
      </w:r>
      <w:r w:rsidRPr="00E41167">
        <w:rPr>
          <w:rFonts w:ascii="Arial" w:hAnsi="Arial" w:cs="Arial"/>
          <w:i/>
          <w:iCs/>
          <w:color w:val="000000"/>
          <w:sz w:val="20"/>
          <w:szCs w:val="20"/>
        </w:rPr>
        <w:t xml:space="preserve">Census of India 2011: Series 20 - Part XII-A &amp; XII-B - District census handbook, </w:t>
      </w:r>
      <w:proofErr w:type="spellStart"/>
      <w:proofErr w:type="gramStart"/>
      <w:r w:rsidRPr="00E41167">
        <w:rPr>
          <w:rFonts w:ascii="Arial" w:hAnsi="Arial" w:cs="Arial"/>
          <w:i/>
          <w:iCs/>
          <w:color w:val="000000"/>
          <w:sz w:val="20"/>
          <w:szCs w:val="20"/>
        </w:rPr>
        <w:t>Puruliya</w:t>
      </w:r>
      <w:proofErr w:type="spellEnd"/>
      <w:r w:rsidRPr="00E41167">
        <w:rPr>
          <w:rFonts w:ascii="Arial" w:hAnsi="Arial" w:cs="Arial"/>
          <w:color w:val="000000"/>
          <w:sz w:val="20"/>
          <w:szCs w:val="20"/>
        </w:rPr>
        <w:t xml:space="preserve"> .</w:t>
      </w:r>
      <w:proofErr w:type="gramEnd"/>
      <w:r w:rsidRPr="00E41167">
        <w:rPr>
          <w:rFonts w:ascii="Arial" w:hAnsi="Arial" w:cs="Arial"/>
          <w:color w:val="000000"/>
          <w:sz w:val="20"/>
          <w:szCs w:val="20"/>
        </w:rPr>
        <w:t xml:space="preserve"> Office of the Registrar General &amp; Census Commissioner, India, Ministry of Home Affairs. </w:t>
      </w:r>
      <w:hyperlink r:id="rId23" w:tgtFrame="_blank" w:history="1">
        <w:r w:rsidRPr="00E41167">
          <w:rPr>
            <w:rStyle w:val="Hyperlink"/>
            <w:rFonts w:ascii="Arial" w:hAnsi="Arial" w:cs="Arial"/>
            <w:sz w:val="20"/>
            <w:szCs w:val="20"/>
          </w:rPr>
          <w:t>https://censusindia.gov.in/nada/index.php/catalog/1354</w:t>
        </w:r>
      </w:hyperlink>
      <w:r w:rsidRPr="00E41167">
        <w:rPr>
          <w:rFonts w:ascii="Arial" w:hAnsi="Arial" w:cs="Arial"/>
          <w:color w:val="000000"/>
          <w:sz w:val="20"/>
          <w:szCs w:val="20"/>
        </w:rPr>
        <w:t> </w:t>
      </w:r>
    </w:p>
    <w:p w14:paraId="5F7F8947" w14:textId="2643A455" w:rsidR="00E41167" w:rsidRPr="00E41167" w:rsidRDefault="00E41167" w:rsidP="00E41167">
      <w:pPr>
        <w:numPr>
          <w:ilvl w:val="0"/>
          <w:numId w:val="10"/>
        </w:numPr>
        <w:spacing w:after="240"/>
        <w:ind w:left="360"/>
        <w:jc w:val="both"/>
        <w:rPr>
          <w:rFonts w:ascii="Arial" w:hAnsi="Arial" w:cs="Arial"/>
          <w:color w:val="000000"/>
          <w:sz w:val="20"/>
          <w:szCs w:val="20"/>
        </w:rPr>
      </w:pPr>
      <w:r w:rsidRPr="00E41167">
        <w:rPr>
          <w:rFonts w:ascii="Arial" w:hAnsi="Arial" w:cs="Arial"/>
          <w:color w:val="000000"/>
          <w:sz w:val="20"/>
          <w:szCs w:val="20"/>
        </w:rPr>
        <w:t xml:space="preserve">Das, P., </w:t>
      </w:r>
      <w:proofErr w:type="spellStart"/>
      <w:r w:rsidRPr="00E41167">
        <w:rPr>
          <w:rFonts w:ascii="Arial" w:hAnsi="Arial" w:cs="Arial"/>
          <w:color w:val="000000"/>
          <w:sz w:val="20"/>
          <w:szCs w:val="20"/>
        </w:rPr>
        <w:t>Bhunia</w:t>
      </w:r>
      <w:proofErr w:type="spellEnd"/>
      <w:r w:rsidRPr="00E41167">
        <w:rPr>
          <w:rFonts w:ascii="Arial" w:hAnsi="Arial" w:cs="Arial"/>
          <w:color w:val="000000"/>
          <w:sz w:val="20"/>
          <w:szCs w:val="20"/>
        </w:rPr>
        <w:t xml:space="preserve">, P., </w:t>
      </w:r>
      <w:proofErr w:type="spellStart"/>
      <w:r w:rsidRPr="00E41167">
        <w:rPr>
          <w:rFonts w:ascii="Arial" w:hAnsi="Arial" w:cs="Arial"/>
          <w:color w:val="000000"/>
          <w:sz w:val="20"/>
          <w:szCs w:val="20"/>
        </w:rPr>
        <w:t>Maiti</w:t>
      </w:r>
      <w:proofErr w:type="spellEnd"/>
      <w:r w:rsidRPr="00E41167">
        <w:rPr>
          <w:rFonts w:ascii="Arial" w:hAnsi="Arial" w:cs="Arial"/>
          <w:color w:val="000000"/>
          <w:sz w:val="20"/>
          <w:szCs w:val="20"/>
        </w:rPr>
        <w:t xml:space="preserve">, R. (2022). </w:t>
      </w:r>
      <w:r w:rsidRPr="00E41167">
        <w:rPr>
          <w:rFonts w:ascii="Arial" w:hAnsi="Arial" w:cs="Arial"/>
          <w:i/>
          <w:iCs/>
          <w:color w:val="000000"/>
          <w:sz w:val="20"/>
          <w:szCs w:val="20"/>
        </w:rPr>
        <w:t>Assessment of Land Use and Land Cover Change in the Purulia District, India Using LANDSAT Data</w:t>
      </w:r>
      <w:r w:rsidRPr="00E41167">
        <w:rPr>
          <w:rFonts w:ascii="Arial" w:hAnsi="Arial" w:cs="Arial"/>
          <w:color w:val="000000"/>
          <w:sz w:val="20"/>
          <w:szCs w:val="20"/>
        </w:rPr>
        <w:t xml:space="preserve">. In: Mandal, S., </w:t>
      </w:r>
      <w:proofErr w:type="spellStart"/>
      <w:r w:rsidRPr="00E41167">
        <w:rPr>
          <w:rFonts w:ascii="Arial" w:hAnsi="Arial" w:cs="Arial"/>
          <w:color w:val="000000"/>
          <w:sz w:val="20"/>
          <w:szCs w:val="20"/>
        </w:rPr>
        <w:t>Maiti</w:t>
      </w:r>
      <w:proofErr w:type="spellEnd"/>
      <w:r w:rsidRPr="00E41167">
        <w:rPr>
          <w:rFonts w:ascii="Arial" w:hAnsi="Arial" w:cs="Arial"/>
          <w:color w:val="000000"/>
          <w:sz w:val="20"/>
          <w:szCs w:val="20"/>
        </w:rPr>
        <w:t xml:space="preserve">, R., </w:t>
      </w:r>
      <w:proofErr w:type="spellStart"/>
      <w:r w:rsidRPr="00E41167">
        <w:rPr>
          <w:rFonts w:ascii="Arial" w:hAnsi="Arial" w:cs="Arial"/>
          <w:color w:val="000000"/>
          <w:sz w:val="20"/>
          <w:szCs w:val="20"/>
        </w:rPr>
        <w:t>Nones</w:t>
      </w:r>
      <w:proofErr w:type="spellEnd"/>
      <w:r w:rsidRPr="00E41167">
        <w:rPr>
          <w:rFonts w:ascii="Arial" w:hAnsi="Arial" w:cs="Arial"/>
          <w:color w:val="000000"/>
          <w:sz w:val="20"/>
          <w:szCs w:val="20"/>
        </w:rPr>
        <w:t xml:space="preserve">, M., </w:t>
      </w:r>
      <w:proofErr w:type="spellStart"/>
      <w:r w:rsidRPr="00E41167">
        <w:rPr>
          <w:rFonts w:ascii="Arial" w:hAnsi="Arial" w:cs="Arial"/>
          <w:color w:val="000000"/>
          <w:sz w:val="20"/>
          <w:szCs w:val="20"/>
        </w:rPr>
        <w:t>Beckedahl</w:t>
      </w:r>
      <w:proofErr w:type="spellEnd"/>
      <w:r w:rsidRPr="00E41167">
        <w:rPr>
          <w:rFonts w:ascii="Arial" w:hAnsi="Arial" w:cs="Arial"/>
          <w:color w:val="000000"/>
          <w:sz w:val="20"/>
          <w:szCs w:val="20"/>
        </w:rPr>
        <w:t xml:space="preserve">, H.R. (eds) Applied Geomorphology and Contemporary Issues. Geography of the Physical Environment. Springer, Cham. </w:t>
      </w:r>
      <w:hyperlink r:id="rId24" w:history="1">
        <w:r w:rsidRPr="00E41167">
          <w:rPr>
            <w:rStyle w:val="Hyperlink"/>
            <w:rFonts w:ascii="Arial" w:hAnsi="Arial" w:cs="Arial"/>
            <w:sz w:val="20"/>
            <w:szCs w:val="20"/>
          </w:rPr>
          <w:t>https://doi.org/10.1007/978-3-031-04532-5_17</w:t>
        </w:r>
      </w:hyperlink>
    </w:p>
    <w:p w14:paraId="23D01C54" w14:textId="6BC1CC0B" w:rsidR="00E41167" w:rsidRPr="00FB0E1E" w:rsidRDefault="00E41167" w:rsidP="00E41167">
      <w:pPr>
        <w:numPr>
          <w:ilvl w:val="0"/>
          <w:numId w:val="10"/>
        </w:numPr>
        <w:spacing w:after="240"/>
        <w:ind w:left="360"/>
        <w:jc w:val="both"/>
        <w:rPr>
          <w:rFonts w:ascii="Arial" w:hAnsi="Arial" w:cs="Arial"/>
          <w:color w:val="000000"/>
          <w:sz w:val="20"/>
          <w:szCs w:val="20"/>
        </w:rPr>
      </w:pPr>
      <w:r w:rsidRPr="00E41167">
        <w:rPr>
          <w:rFonts w:ascii="Arial" w:hAnsi="Arial" w:cs="Arial"/>
          <w:color w:val="000000"/>
          <w:sz w:val="20"/>
          <w:szCs w:val="20"/>
        </w:rPr>
        <w:t xml:space="preserve">Das, P.K. (2017). </w:t>
      </w:r>
      <w:r w:rsidRPr="00E41167">
        <w:rPr>
          <w:rFonts w:ascii="Arial" w:hAnsi="Arial" w:cs="Arial"/>
          <w:i/>
          <w:iCs/>
          <w:color w:val="000000"/>
          <w:sz w:val="20"/>
          <w:szCs w:val="20"/>
        </w:rPr>
        <w:t>Spatiotemporal Analysis of Environmental and Urban Change in Purulia District during the Period 2000 to 2010 Using Spectral Indices</w:t>
      </w:r>
      <w:r w:rsidRPr="00E41167">
        <w:rPr>
          <w:rFonts w:ascii="Arial" w:hAnsi="Arial" w:cs="Arial"/>
          <w:color w:val="000000"/>
          <w:sz w:val="20"/>
          <w:szCs w:val="20"/>
        </w:rPr>
        <w:t xml:space="preserve">, International Journal of Emerging Technologies and Innovative Research (www.jetir.org), ISSN:2349-5162, Vol.4, Issue 8, page no.743-749, Available : </w:t>
      </w:r>
      <w:hyperlink r:id="rId25" w:history="1">
        <w:r w:rsidRPr="00E41167">
          <w:rPr>
            <w:rStyle w:val="Hyperlink"/>
            <w:rFonts w:ascii="Arial" w:hAnsi="Arial" w:cs="Arial"/>
            <w:sz w:val="20"/>
            <w:szCs w:val="20"/>
          </w:rPr>
          <w:t>http://www.jetir.org/papers/JETIR1708113.pdf</w:t>
        </w:r>
      </w:hyperlink>
    </w:p>
    <w:sectPr w:rsidR="00E41167" w:rsidRPr="00FB0E1E" w:rsidSect="005070F1">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64DD7" w14:textId="77777777" w:rsidR="00074690" w:rsidRDefault="00074690" w:rsidP="00176B38">
      <w:r>
        <w:separator/>
      </w:r>
    </w:p>
  </w:endnote>
  <w:endnote w:type="continuationSeparator" w:id="0">
    <w:p w14:paraId="00C41B15" w14:textId="77777777" w:rsidR="00074690" w:rsidRDefault="00074690" w:rsidP="00176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A7B8A" w14:textId="77777777" w:rsidR="005070F1" w:rsidRDefault="00507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569936"/>
      <w:docPartObj>
        <w:docPartGallery w:val="Page Numbers (Bottom of Page)"/>
        <w:docPartUnique/>
      </w:docPartObj>
    </w:sdtPr>
    <w:sdtEndPr>
      <w:rPr>
        <w:noProof/>
      </w:rPr>
    </w:sdtEndPr>
    <w:sdtContent>
      <w:p w14:paraId="2B4D85A6" w14:textId="41414C0A" w:rsidR="00176B38" w:rsidRDefault="00176B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1F2A4C" w14:textId="77777777" w:rsidR="00176B38" w:rsidRDefault="00176B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F65B2" w14:textId="77777777" w:rsidR="005070F1" w:rsidRDefault="00507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83FF2" w14:textId="77777777" w:rsidR="00074690" w:rsidRDefault="00074690" w:rsidP="00176B38">
      <w:r>
        <w:separator/>
      </w:r>
    </w:p>
  </w:footnote>
  <w:footnote w:type="continuationSeparator" w:id="0">
    <w:p w14:paraId="5B74A3DD" w14:textId="77777777" w:rsidR="00074690" w:rsidRDefault="00074690" w:rsidP="00176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E8639" w14:textId="7FCD643B" w:rsidR="005070F1" w:rsidRDefault="005070F1">
    <w:pPr>
      <w:pStyle w:val="Header"/>
    </w:pPr>
    <w:r>
      <w:rPr>
        <w:noProof/>
      </w:rPr>
      <w:pict w14:anchorId="28668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46750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C28E6" w14:textId="0E6F62F7" w:rsidR="005070F1" w:rsidRDefault="005070F1">
    <w:pPr>
      <w:pStyle w:val="Header"/>
    </w:pPr>
    <w:r>
      <w:rPr>
        <w:noProof/>
      </w:rPr>
      <w:pict w14:anchorId="2DED94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46750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D3F9" w14:textId="25A0AC29" w:rsidR="005070F1" w:rsidRDefault="005070F1">
    <w:pPr>
      <w:pStyle w:val="Header"/>
    </w:pPr>
    <w:r>
      <w:rPr>
        <w:noProof/>
      </w:rPr>
      <w:pict w14:anchorId="30436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46750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96D5E"/>
    <w:multiLevelType w:val="hybridMultilevel"/>
    <w:tmpl w:val="2540498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70C346C"/>
    <w:multiLevelType w:val="hybridMultilevel"/>
    <w:tmpl w:val="96B0827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407800DC"/>
    <w:multiLevelType w:val="hybridMultilevel"/>
    <w:tmpl w:val="FB464750"/>
    <w:lvl w:ilvl="0" w:tplc="1E52B980">
      <w:numFmt w:val="bullet"/>
      <w:lvlText w:val="•"/>
      <w:lvlJc w:val="left"/>
      <w:pPr>
        <w:ind w:left="1140" w:hanging="78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84D08E4"/>
    <w:multiLevelType w:val="hybridMultilevel"/>
    <w:tmpl w:val="ACF840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7AD40FF"/>
    <w:multiLevelType w:val="hybridMultilevel"/>
    <w:tmpl w:val="7482FB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2971738"/>
    <w:multiLevelType w:val="hybridMultilevel"/>
    <w:tmpl w:val="C456C9B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6AF4548F"/>
    <w:multiLevelType w:val="hybridMultilevel"/>
    <w:tmpl w:val="8BD05460"/>
    <w:lvl w:ilvl="0" w:tplc="2564E2C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3D74921"/>
    <w:multiLevelType w:val="hybridMultilevel"/>
    <w:tmpl w:val="8708BEE4"/>
    <w:lvl w:ilvl="0" w:tplc="2C2E6282">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748A28D6"/>
    <w:multiLevelType w:val="hybridMultilevel"/>
    <w:tmpl w:val="C4687E1E"/>
    <w:lvl w:ilvl="0" w:tplc="41D04A2C">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7EA26D97"/>
    <w:multiLevelType w:val="hybridMultilevel"/>
    <w:tmpl w:val="FC6EBA9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1"/>
  </w:num>
  <w:num w:numId="4">
    <w:abstractNumId w:val="6"/>
  </w:num>
  <w:num w:numId="5">
    <w:abstractNumId w:val="5"/>
  </w:num>
  <w:num w:numId="6">
    <w:abstractNumId w:val="2"/>
  </w:num>
  <w:num w:numId="7">
    <w:abstractNumId w:val="3"/>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220"/>
    <w:rsid w:val="00074690"/>
    <w:rsid w:val="0009288A"/>
    <w:rsid w:val="00176B38"/>
    <w:rsid w:val="001E0BF4"/>
    <w:rsid w:val="001E4586"/>
    <w:rsid w:val="001F01F0"/>
    <w:rsid w:val="00246B4C"/>
    <w:rsid w:val="00270AA5"/>
    <w:rsid w:val="002844A1"/>
    <w:rsid w:val="002937C3"/>
    <w:rsid w:val="002D2C41"/>
    <w:rsid w:val="002D30C8"/>
    <w:rsid w:val="002D702A"/>
    <w:rsid w:val="002F23B4"/>
    <w:rsid w:val="003675B9"/>
    <w:rsid w:val="00394A1E"/>
    <w:rsid w:val="00394AFE"/>
    <w:rsid w:val="003B2B32"/>
    <w:rsid w:val="003F0F4C"/>
    <w:rsid w:val="003F69FE"/>
    <w:rsid w:val="004275B4"/>
    <w:rsid w:val="0047183E"/>
    <w:rsid w:val="00495456"/>
    <w:rsid w:val="004C3906"/>
    <w:rsid w:val="004F45DD"/>
    <w:rsid w:val="005070F1"/>
    <w:rsid w:val="0053305B"/>
    <w:rsid w:val="00534AAD"/>
    <w:rsid w:val="005460A5"/>
    <w:rsid w:val="00563524"/>
    <w:rsid w:val="00572812"/>
    <w:rsid w:val="005C3774"/>
    <w:rsid w:val="005D0152"/>
    <w:rsid w:val="00692944"/>
    <w:rsid w:val="0069595A"/>
    <w:rsid w:val="0079240A"/>
    <w:rsid w:val="007A76B3"/>
    <w:rsid w:val="007E3CFD"/>
    <w:rsid w:val="007F4BD1"/>
    <w:rsid w:val="00807E1B"/>
    <w:rsid w:val="00837FAF"/>
    <w:rsid w:val="008929DD"/>
    <w:rsid w:val="00895650"/>
    <w:rsid w:val="008A1089"/>
    <w:rsid w:val="008C2EC9"/>
    <w:rsid w:val="008C4FFD"/>
    <w:rsid w:val="008D323E"/>
    <w:rsid w:val="008E412D"/>
    <w:rsid w:val="00917D4E"/>
    <w:rsid w:val="00930BC8"/>
    <w:rsid w:val="00951459"/>
    <w:rsid w:val="009817B0"/>
    <w:rsid w:val="009A2BDE"/>
    <w:rsid w:val="009D4E8C"/>
    <w:rsid w:val="009E5018"/>
    <w:rsid w:val="009F6EC1"/>
    <w:rsid w:val="00A437E2"/>
    <w:rsid w:val="00A50A88"/>
    <w:rsid w:val="00A77B3E"/>
    <w:rsid w:val="00AB750B"/>
    <w:rsid w:val="00AB7B3A"/>
    <w:rsid w:val="00AF30C2"/>
    <w:rsid w:val="00B9694C"/>
    <w:rsid w:val="00BA66AE"/>
    <w:rsid w:val="00BC31BE"/>
    <w:rsid w:val="00BD1329"/>
    <w:rsid w:val="00BF291E"/>
    <w:rsid w:val="00C643E2"/>
    <w:rsid w:val="00CA2A55"/>
    <w:rsid w:val="00CD11B7"/>
    <w:rsid w:val="00CF165E"/>
    <w:rsid w:val="00CF6D95"/>
    <w:rsid w:val="00D0137F"/>
    <w:rsid w:val="00D515C5"/>
    <w:rsid w:val="00D922DF"/>
    <w:rsid w:val="00DD6AE3"/>
    <w:rsid w:val="00DF47C6"/>
    <w:rsid w:val="00E02B18"/>
    <w:rsid w:val="00E27BAC"/>
    <w:rsid w:val="00E31D37"/>
    <w:rsid w:val="00E41167"/>
    <w:rsid w:val="00ED33BC"/>
    <w:rsid w:val="00F02621"/>
    <w:rsid w:val="00F21587"/>
    <w:rsid w:val="00F63AF2"/>
    <w:rsid w:val="00F855C5"/>
    <w:rsid w:val="00F9041F"/>
    <w:rsid w:val="00F9528B"/>
    <w:rsid w:val="00FB0E1E"/>
    <w:rsid w:val="00FB2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37FB8E"/>
  <w15:docId w15:val="{EEB1CAF6-ADF5-45C9-96AE-E0CD70FD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B2F55"/>
  </w:style>
  <w:style w:type="character" w:styleId="Hyperlink">
    <w:name w:val="Hyperlink"/>
    <w:basedOn w:val="DefaultParagraphFont"/>
    <w:rsid w:val="00E02B18"/>
    <w:rPr>
      <w:color w:val="0563C1" w:themeColor="hyperlink"/>
      <w:u w:val="single"/>
    </w:rPr>
  </w:style>
  <w:style w:type="character" w:styleId="UnresolvedMention">
    <w:name w:val="Unresolved Mention"/>
    <w:basedOn w:val="DefaultParagraphFont"/>
    <w:uiPriority w:val="99"/>
    <w:semiHidden/>
    <w:unhideWhenUsed/>
    <w:rsid w:val="00E02B18"/>
    <w:rPr>
      <w:color w:val="605E5C"/>
      <w:shd w:val="clear" w:color="auto" w:fill="E1DFDD"/>
    </w:rPr>
  </w:style>
  <w:style w:type="table" w:styleId="TableGrid">
    <w:name w:val="Table Grid"/>
    <w:basedOn w:val="TableNormal"/>
    <w:rsid w:val="00176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76B38"/>
    <w:rPr>
      <w:rFonts w:asciiTheme="minorHAnsi" w:eastAsiaTheme="minorHAnsi" w:hAnsiTheme="minorHAnsi" w:cstheme="minorBidi"/>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76B38"/>
    <w:rPr>
      <w:rFonts w:asciiTheme="minorHAnsi" w:eastAsiaTheme="minorHAnsi" w:hAnsiTheme="minorHAnsi" w:cstheme="minorBidi"/>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76B38"/>
    <w:pPr>
      <w:tabs>
        <w:tab w:val="center" w:pos="4513"/>
        <w:tab w:val="right" w:pos="9026"/>
      </w:tabs>
    </w:pPr>
  </w:style>
  <w:style w:type="character" w:customStyle="1" w:styleId="HeaderChar">
    <w:name w:val="Header Char"/>
    <w:basedOn w:val="DefaultParagraphFont"/>
    <w:link w:val="Header"/>
    <w:rsid w:val="00176B38"/>
    <w:rPr>
      <w:sz w:val="24"/>
      <w:szCs w:val="24"/>
    </w:rPr>
  </w:style>
  <w:style w:type="paragraph" w:styleId="Footer">
    <w:name w:val="footer"/>
    <w:basedOn w:val="Normal"/>
    <w:link w:val="FooterChar"/>
    <w:uiPriority w:val="99"/>
    <w:rsid w:val="00176B38"/>
    <w:pPr>
      <w:tabs>
        <w:tab w:val="center" w:pos="4513"/>
        <w:tab w:val="right" w:pos="9026"/>
      </w:tabs>
    </w:pPr>
  </w:style>
  <w:style w:type="character" w:customStyle="1" w:styleId="FooterChar">
    <w:name w:val="Footer Char"/>
    <w:basedOn w:val="DefaultParagraphFont"/>
    <w:link w:val="Footer"/>
    <w:uiPriority w:val="99"/>
    <w:rsid w:val="00176B38"/>
    <w:rPr>
      <w:sz w:val="24"/>
      <w:szCs w:val="24"/>
    </w:rPr>
  </w:style>
  <w:style w:type="character" w:styleId="LineNumber">
    <w:name w:val="line number"/>
    <w:basedOn w:val="DefaultParagraphFont"/>
    <w:rsid w:val="00533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scispace.com/pdf/introductory-digital-image-processing-a-remote-sensing-58kg9u3xz4.pdf" TargetMode="External"/><Relationship Id="rId18" Type="http://schemas.openxmlformats.org/officeDocument/2006/relationships/hyperlink" Target="https://doi.org/10.1080/01431160600589179"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088/1757-899x/671/1/012046" TargetMode="External"/><Relationship Id="rId7" Type="http://schemas.openxmlformats.org/officeDocument/2006/relationships/image" Target="media/image1.jpeg"/><Relationship Id="rId12" Type="http://schemas.openxmlformats.org/officeDocument/2006/relationships/hyperlink" Target="https://doi.org/10.1051/e3sconf/202342103007" TargetMode="External"/><Relationship Id="rId17" Type="http://schemas.openxmlformats.org/officeDocument/2006/relationships/hyperlink" Target="https://doi.org/10.1016/s0034-4257(01)00295-4" TargetMode="External"/><Relationship Id="rId25" Type="http://schemas.openxmlformats.org/officeDocument/2006/relationships/hyperlink" Target="http://www.jetir.org/papers/JETIR1708113.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390/rs12142291" TargetMode="External"/><Relationship Id="rId20" Type="http://schemas.openxmlformats.org/officeDocument/2006/relationships/hyperlink" Target="https://doi.org/10.1080/0143116031000139863"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07/978-3-031-04532-5_17"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rse.2011.11.026" TargetMode="External"/><Relationship Id="rId23" Type="http://schemas.openxmlformats.org/officeDocument/2006/relationships/hyperlink" Target="https://censusindia.gov.in/nada/index.php/catalog/1354"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doi.org/10.1016/j.rse.2011.02.030"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x.doi.org/10.4236/ars.2013.22022" TargetMode="External"/><Relationship Id="rId22" Type="http://schemas.openxmlformats.org/officeDocument/2006/relationships/hyperlink" Target="https://doi.org/10.1007/s40808-020-00750-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16</Pages>
  <Words>6224</Words>
  <Characters>35477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54</cp:revision>
  <cp:lastPrinted>2026-01-10T16:28:00Z</cp:lastPrinted>
  <dcterms:created xsi:type="dcterms:W3CDTF">2026-01-08T19:30:00Z</dcterms:created>
  <dcterms:modified xsi:type="dcterms:W3CDTF">2026-01-13T07:06:00Z</dcterms:modified>
</cp:coreProperties>
</file>