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42A88" w14:textId="06B5F669" w:rsidR="00CD50AA" w:rsidRDefault="00CD50AA" w:rsidP="00553366">
      <w:pPr>
        <w:pStyle w:val="NormalWeb"/>
        <w:jc w:val="both"/>
        <w:rPr>
          <w:rStyle w:val="Strong"/>
        </w:rPr>
      </w:pPr>
      <w:r w:rsidRPr="00553366">
        <w:rPr>
          <w:rStyle w:val="Strong"/>
        </w:rPr>
        <w:t xml:space="preserve">Physicochemical, Microbiological, and Toxicological Assessment of Borehole Water in </w:t>
      </w:r>
      <w:proofErr w:type="spellStart"/>
      <w:r w:rsidRPr="00553366">
        <w:rPr>
          <w:rStyle w:val="Strong"/>
        </w:rPr>
        <w:t>Rumuokoro</w:t>
      </w:r>
      <w:proofErr w:type="spellEnd"/>
      <w:r w:rsidRPr="00553366">
        <w:rPr>
          <w:rStyle w:val="Strong"/>
        </w:rPr>
        <w:t>, Port Harcourt, Nigeria</w:t>
      </w:r>
    </w:p>
    <w:p w14:paraId="0348586E" w14:textId="77777777" w:rsidR="00FF2760" w:rsidRDefault="00FF2760" w:rsidP="00553366">
      <w:pPr>
        <w:pStyle w:val="Heading2"/>
        <w:jc w:val="both"/>
        <w:rPr>
          <w:sz w:val="24"/>
          <w:szCs w:val="24"/>
        </w:rPr>
      </w:pPr>
    </w:p>
    <w:p w14:paraId="37EAAFF2" w14:textId="22ADDEC8" w:rsidR="00CD50AA" w:rsidRPr="00553366" w:rsidRDefault="00CD50AA" w:rsidP="00553366">
      <w:pPr>
        <w:pStyle w:val="Heading2"/>
        <w:jc w:val="both"/>
        <w:rPr>
          <w:sz w:val="24"/>
          <w:szCs w:val="24"/>
        </w:rPr>
      </w:pPr>
      <w:bookmarkStart w:id="0" w:name="_GoBack"/>
      <w:bookmarkEnd w:id="0"/>
      <w:r w:rsidRPr="00553366">
        <w:rPr>
          <w:sz w:val="24"/>
          <w:szCs w:val="24"/>
        </w:rPr>
        <w:t>Abstract</w:t>
      </w:r>
    </w:p>
    <w:p w14:paraId="4D8E4A4F" w14:textId="0A378DF8" w:rsidR="00CD50AA" w:rsidRPr="00553366" w:rsidRDefault="00CD50AA" w:rsidP="00553366">
      <w:pPr>
        <w:pStyle w:val="NormalWeb"/>
        <w:jc w:val="both"/>
      </w:pPr>
      <w:r w:rsidRPr="00553366">
        <w:t xml:space="preserve">Groundwater from boreholes is the primary source of drinking water for many urban communities in the Niger Delta, Nigeria. Rapid urbanisation, industrial activities, petroleum-related operations, and poor sanitation infrastructure have increased the vulnerability of groundwater to chemical and microbial contamination. This study assessed the physicochemical quality, microbiological status, and toxicological risks of borehole water in </w:t>
      </w:r>
      <w:proofErr w:type="spellStart"/>
      <w:r w:rsidRPr="00553366">
        <w:t>Rumuokoro</w:t>
      </w:r>
      <w:proofErr w:type="spellEnd"/>
      <w:r w:rsidRPr="00553366">
        <w:t xml:space="preserve">, Port Harcourt, with emphasis on human health implications for adults and children. Twenty groundwater samples were collected from ten functional boreholes during dry and wet seasons. In situ measurements of pH, temperature, electrical conductivity, total dissolved solids, and dissolved oxygen were carried out using calibrated portable multiparameter meters. Major ions were analysed using standard titrimetric and spectrophotometric methods. Heavy metals (Fe, Pb, Cd, Cr, Ni, Zn, and Cu) were determined after acid digestion using flame Atomic Absorption Spectrophotometry. Microbiological quality was assessed using membrane filtration techniques. Water quality index and human health risk indices were computed following USEPA guidelines. pH values ranged from 5.8 to 7.2, indicating slightly acidic to near-neutral conditions. Electrical conductivity varied between 214 and 682 µS/cm, while total dissolved solids ranged from 142 to 468 mg/L. Iron concentrations ranged from 0.18 to 0.92 mg/L, exceeding the 0.3 mg/L guideline in several boreholes. Lead (0.004–0.021 mg/L) and cadmium (0.001–0.006 mg/L) exceeded permissible limits in some locations. Total coliform counts ranged from 0 to 18 CFU/100 mL, faecal coliforms from 0 to 7 CFU/100 mL, and </w:t>
      </w:r>
      <w:r w:rsidRPr="00553366">
        <w:rPr>
          <w:rStyle w:val="Emphasis"/>
        </w:rPr>
        <w:t>Escherichia coli</w:t>
      </w:r>
      <w:r w:rsidRPr="00553366">
        <w:t xml:space="preserve"> from 0 to 4 CFU/100 </w:t>
      </w:r>
      <w:proofErr w:type="spellStart"/>
      <w:r w:rsidRPr="00553366">
        <w:t>mL.</w:t>
      </w:r>
      <w:proofErr w:type="spellEnd"/>
      <w:r w:rsidRPr="00553366">
        <w:t xml:space="preserve"> The computed water quality index value of 239 classified the borehole water as very poor. Non-carcinogenic risk assessment showed hazard quotient values exceeding unity for lead (1.58), cadmium (1.91), and nickel (1.14) in children, while adult hazard quotients remained below unity. Carcinogenic risk values for cadmium, chromium, and nickel ranged from 10⁻⁵ to 10⁻⁶, within acceptable limits. Borehole water in </w:t>
      </w:r>
      <w:proofErr w:type="spellStart"/>
      <w:r w:rsidRPr="00553366">
        <w:t>Rumuokoro</w:t>
      </w:r>
      <w:proofErr w:type="spellEnd"/>
      <w:r w:rsidRPr="00553366">
        <w:t xml:space="preserve"> is unsuitable for direct consumption without treatment due to combined physicochemical, microbiological, and toxicological risks. Routine monitoring, improved borehole sanitation, effective disinfection, and targeted removal of priority metals are required to protect public health.</w:t>
      </w:r>
    </w:p>
    <w:p w14:paraId="66C5A8DD" w14:textId="56E2D7CE" w:rsidR="00CD50AA" w:rsidRPr="00553366" w:rsidRDefault="00CD50AA" w:rsidP="00553366">
      <w:pPr>
        <w:pStyle w:val="NormalWeb"/>
        <w:jc w:val="both"/>
      </w:pPr>
      <w:r w:rsidRPr="00553366">
        <w:rPr>
          <w:b/>
          <w:bCs/>
          <w:i/>
          <w:iCs/>
        </w:rPr>
        <w:t>Keywords</w:t>
      </w:r>
      <w:r w:rsidRPr="00553366">
        <w:rPr>
          <w:b/>
          <w:bCs/>
        </w:rPr>
        <w:t>:</w:t>
      </w:r>
      <w:r w:rsidRPr="00553366">
        <w:t xml:space="preserve"> Borehole water, groundwater quality, atomic absorption spectrophotometry, microbiological contamination, health risk assessment, Niger Delta</w:t>
      </w:r>
    </w:p>
    <w:p w14:paraId="09EAEF7D" w14:textId="77777777" w:rsidR="00CD50AA" w:rsidRPr="00553366" w:rsidRDefault="00CD50AA" w:rsidP="00553366">
      <w:pPr>
        <w:pStyle w:val="Heading2"/>
        <w:jc w:val="both"/>
        <w:rPr>
          <w:sz w:val="24"/>
          <w:szCs w:val="24"/>
        </w:rPr>
      </w:pPr>
      <w:r w:rsidRPr="00553366">
        <w:rPr>
          <w:sz w:val="24"/>
          <w:szCs w:val="24"/>
        </w:rPr>
        <w:t>1.0 Introduction</w:t>
      </w:r>
    </w:p>
    <w:p w14:paraId="14F249E8" w14:textId="77777777" w:rsidR="00CD50AA" w:rsidRPr="00553366" w:rsidRDefault="00CD50AA" w:rsidP="00553366">
      <w:pPr>
        <w:pStyle w:val="NormalWeb"/>
        <w:jc w:val="both"/>
      </w:pPr>
      <w:r w:rsidRPr="00553366">
        <w:t>Groundwater obtained from boreholes remains the principal source of drinking water for many urban and peri-urban communities in the Niger Delta due to its perceived reliability and relative protection from surface contamination. However, growing evidence suggests that borehole water quality in the region is increasingly compromised by both natural hydrogeochemical processes and intense anthropogenic activities. Studies conducted on drinking water sources in coastal communities of Bayelsa State have demonstrated that groundwater often contains elevated levels of dissolved constituents and toxic elements capable of posing health risks to consumers (</w:t>
      </w:r>
      <w:proofErr w:type="spellStart"/>
      <w:r w:rsidRPr="00553366">
        <w:t>Ekesiobi</w:t>
      </w:r>
      <w:proofErr w:type="spellEnd"/>
      <w:r w:rsidRPr="00553366">
        <w:t xml:space="preserve"> et al., 2025).</w:t>
      </w:r>
    </w:p>
    <w:p w14:paraId="2E0A054D" w14:textId="77777777" w:rsidR="00CD50AA" w:rsidRPr="00553366" w:rsidRDefault="00CD50AA" w:rsidP="00553366">
      <w:pPr>
        <w:pStyle w:val="NormalWeb"/>
        <w:jc w:val="both"/>
      </w:pPr>
      <w:r w:rsidRPr="00553366">
        <w:lastRenderedPageBreak/>
        <w:t>The hydrogeological setting of the Niger Delta plays a critical role in groundwater vulnerability. The region is dominated by unconsolidated deltaic sediments with high porosity and permeability, which enhance groundwater recharge but also facilitate rapid infiltration of contaminants. Investigations in Akwa Ibom State have shown that agricultural runoff and urban land-use practices significantly influence the hydrogeochemical characteristics of surface and subsurface waters, resulting in nutrient enrichment and altered ionic composition (</w:t>
      </w:r>
      <w:proofErr w:type="spellStart"/>
      <w:r w:rsidRPr="00553366">
        <w:t>Osuafor</w:t>
      </w:r>
      <w:proofErr w:type="spellEnd"/>
      <w:r w:rsidRPr="00553366">
        <w:t xml:space="preserve"> et al., 2025). Similar </w:t>
      </w:r>
      <w:proofErr w:type="spellStart"/>
      <w:r w:rsidRPr="00553366">
        <w:t>hydrochemical</w:t>
      </w:r>
      <w:proofErr w:type="spellEnd"/>
      <w:r w:rsidRPr="00553366">
        <w:t xml:space="preserve"> controls have been identified in groundwater systems of Bayelsa State, where shallow aquifers were found to be highly susceptible to oil-related pollution (Okagbare et al., 2025).</w:t>
      </w:r>
    </w:p>
    <w:p w14:paraId="517A2168" w14:textId="77777777" w:rsidR="00CD50AA" w:rsidRPr="00553366" w:rsidRDefault="00CD50AA" w:rsidP="00553366">
      <w:pPr>
        <w:pStyle w:val="NormalWeb"/>
        <w:jc w:val="both"/>
      </w:pPr>
      <w:r w:rsidRPr="00553366">
        <w:t>Heavy metals constitute a major concern in Niger Delta water resources because of their persistence, toxicity, and tendency to bioaccumulate. Research on urban rivers and estuarine systems has linked the presence of metals such as lead, cadmium, nickel, and chromium to industrial discharges, petroleum activities, and atmospheric deposition from gas flaring (</w:t>
      </w:r>
      <w:proofErr w:type="spellStart"/>
      <w:r w:rsidRPr="00553366">
        <w:t>Okpoji</w:t>
      </w:r>
      <w:proofErr w:type="spellEnd"/>
      <w:r w:rsidRPr="00553366">
        <w:t xml:space="preserve"> et al., 2025; </w:t>
      </w:r>
      <w:proofErr w:type="spellStart"/>
      <w:r w:rsidRPr="00553366">
        <w:t>Aghanwa</w:t>
      </w:r>
      <w:proofErr w:type="spellEnd"/>
      <w:r w:rsidRPr="00553366">
        <w:t xml:space="preserve"> et al., 2025). These metals have been shown to induce ecotoxicological effects in aquatic organisms, including oxidative stress and tissue damage in fish and crustaceans, underscoring their potential impact on human health through water use and food-chain transfer (</w:t>
      </w:r>
      <w:proofErr w:type="spellStart"/>
      <w:r w:rsidRPr="00553366">
        <w:t>Ohaturuonye</w:t>
      </w:r>
      <w:proofErr w:type="spellEnd"/>
      <w:r w:rsidRPr="00553366">
        <w:t xml:space="preserve"> et al., 2025; </w:t>
      </w:r>
      <w:proofErr w:type="spellStart"/>
      <w:r w:rsidRPr="00553366">
        <w:t>Okpoji</w:t>
      </w:r>
      <w:proofErr w:type="spellEnd"/>
      <w:r w:rsidRPr="00553366">
        <w:t xml:space="preserve"> et al., 2025).</w:t>
      </w:r>
    </w:p>
    <w:p w14:paraId="556062BB" w14:textId="77777777" w:rsidR="00CD50AA" w:rsidRPr="00553366" w:rsidRDefault="00CD50AA" w:rsidP="00553366">
      <w:pPr>
        <w:pStyle w:val="NormalWeb"/>
        <w:jc w:val="both"/>
      </w:pPr>
      <w:r w:rsidRPr="00553366">
        <w:t>Microbiological contamination represents an additional and often more immediate threat to groundwater safety. Studies on drinking water sources in the Niger Delta have repeatedly reported the presence of coliforms and faecal indicators in borehole water, frequently attributed to poor borehole construction, inadequate sanitary protection, and proximity to septic systems (</w:t>
      </w:r>
      <w:proofErr w:type="spellStart"/>
      <w:r w:rsidRPr="00553366">
        <w:t>Ekesiobi</w:t>
      </w:r>
      <w:proofErr w:type="spellEnd"/>
      <w:r w:rsidRPr="00553366">
        <w:t xml:space="preserve"> et al., 2025). Comparable findings from stream and runoff-impacted environments indicate that microbial pollution is closely linked to domestic waste disposal and urban sanitation challenges rather than to natural </w:t>
      </w:r>
      <w:proofErr w:type="spellStart"/>
      <w:r w:rsidRPr="00553366">
        <w:t>hydrochemical</w:t>
      </w:r>
      <w:proofErr w:type="spellEnd"/>
      <w:r w:rsidRPr="00553366">
        <w:t xml:space="preserve"> processes alone (</w:t>
      </w:r>
      <w:proofErr w:type="spellStart"/>
      <w:r w:rsidRPr="00553366">
        <w:t>Osuafor</w:t>
      </w:r>
      <w:proofErr w:type="spellEnd"/>
      <w:r w:rsidRPr="00553366">
        <w:t xml:space="preserve"> et al., 2025).</w:t>
      </w:r>
    </w:p>
    <w:p w14:paraId="6DB87281" w14:textId="77777777" w:rsidR="00CD50AA" w:rsidRPr="00553366" w:rsidRDefault="00CD50AA" w:rsidP="00553366">
      <w:pPr>
        <w:pStyle w:val="NormalWeb"/>
        <w:jc w:val="both"/>
      </w:pPr>
      <w:r w:rsidRPr="00553366">
        <w:t>Beyond individual parameter assessment, recent studies increasingly emphasise integrated evaluation frameworks that combine physicochemical, microbiological, and toxicological analyses. Applications of water quality indices and human health risk assessment models across the Niger Delta have revealed that water sources meeting basic guideline limits may still pose cumulative risks, particularly to children who exhibit higher exposure rates relative to body weight (</w:t>
      </w:r>
      <w:proofErr w:type="spellStart"/>
      <w:r w:rsidRPr="00553366">
        <w:t>Anarado</w:t>
      </w:r>
      <w:proofErr w:type="spellEnd"/>
      <w:r w:rsidRPr="00553366">
        <w:t xml:space="preserve"> et al., 2023; </w:t>
      </w:r>
      <w:proofErr w:type="spellStart"/>
      <w:r w:rsidRPr="00553366">
        <w:t>Ekesiobi</w:t>
      </w:r>
      <w:proofErr w:type="spellEnd"/>
      <w:r w:rsidRPr="00553366">
        <w:t xml:space="preserve"> et al., 2025). Evidence from contaminated food and aquatic systems further suggests that chronic exposure to low-level contaminants from multiple pathways can amplify long-term health risks (John et al., 2025; Onoja et al., 2025).</w:t>
      </w:r>
    </w:p>
    <w:p w14:paraId="1D9F3805" w14:textId="2BB2D3F4" w:rsidR="00CD50AA" w:rsidRPr="00553366" w:rsidRDefault="00CD50AA" w:rsidP="00553366">
      <w:pPr>
        <w:pStyle w:val="NormalWeb"/>
        <w:jc w:val="both"/>
      </w:pPr>
      <w:proofErr w:type="spellStart"/>
      <w:r w:rsidRPr="00553366">
        <w:t>Rumuokoro</w:t>
      </w:r>
      <w:proofErr w:type="spellEnd"/>
      <w:r w:rsidRPr="00553366">
        <w:t>, a major urban node within Port Harcourt metropolis, exemplifies many of the environmental pressures characteristic of the Niger Delta, including dense population, intense commercial activity, vehicular emissions, small-scale industries, and poorly managed waste streams. Despite widespread reliance on borehole water for domestic use, comprehensive assessments integrating physicochemical quality, microbiological safety, and toxicological risk remain limited in this area. Addressing this gap is essential for informed water resource management and public health protection.</w:t>
      </w:r>
      <w:r w:rsidR="00553366" w:rsidRPr="00553366">
        <w:t xml:space="preserve"> </w:t>
      </w:r>
      <w:r w:rsidRPr="00553366">
        <w:t xml:space="preserve">Therefore, this study evaluates the physicochemical and microbiological characteristics of borehole water in </w:t>
      </w:r>
      <w:proofErr w:type="spellStart"/>
      <w:r w:rsidRPr="00553366">
        <w:t>Rumuokoro</w:t>
      </w:r>
      <w:proofErr w:type="spellEnd"/>
      <w:r w:rsidRPr="00553366">
        <w:t xml:space="preserve"> and assesses associated toxicological and human health risks using established water quality and risk assessment frameworks. </w:t>
      </w:r>
    </w:p>
    <w:p w14:paraId="52BCB3A7" w14:textId="77777777" w:rsidR="00553366" w:rsidRPr="00553366" w:rsidRDefault="00553366" w:rsidP="00553366">
      <w:pPr>
        <w:pStyle w:val="Heading2"/>
        <w:jc w:val="both"/>
        <w:rPr>
          <w:sz w:val="24"/>
          <w:szCs w:val="24"/>
        </w:rPr>
      </w:pPr>
      <w:r w:rsidRPr="00553366">
        <w:rPr>
          <w:sz w:val="24"/>
          <w:szCs w:val="24"/>
        </w:rPr>
        <w:t>2.0 Materials and Methods</w:t>
      </w:r>
    </w:p>
    <w:p w14:paraId="2C44EC61" w14:textId="77777777" w:rsidR="00553366" w:rsidRPr="00553366" w:rsidRDefault="00553366" w:rsidP="00553366">
      <w:pPr>
        <w:pStyle w:val="Heading3"/>
        <w:jc w:val="both"/>
        <w:rPr>
          <w:sz w:val="24"/>
          <w:szCs w:val="24"/>
        </w:rPr>
      </w:pPr>
      <w:r w:rsidRPr="00553366">
        <w:rPr>
          <w:sz w:val="24"/>
          <w:szCs w:val="24"/>
        </w:rPr>
        <w:lastRenderedPageBreak/>
        <w:t>2.1 Study Area</w:t>
      </w:r>
    </w:p>
    <w:p w14:paraId="6B2D0F7D" w14:textId="77777777" w:rsidR="00553366" w:rsidRPr="00553366" w:rsidRDefault="00553366" w:rsidP="00553366">
      <w:pPr>
        <w:pStyle w:val="NormalWeb"/>
        <w:jc w:val="both"/>
      </w:pPr>
      <w:r w:rsidRPr="00553366">
        <w:t xml:space="preserve">This study was conducted in </w:t>
      </w:r>
      <w:proofErr w:type="spellStart"/>
      <w:r w:rsidRPr="00553366">
        <w:t>Rumuokoro</w:t>
      </w:r>
      <w:proofErr w:type="spellEnd"/>
      <w:r w:rsidRPr="00553366">
        <w:t xml:space="preserve">, Port Harcourt, Rivers State, Nigeria. </w:t>
      </w:r>
      <w:proofErr w:type="spellStart"/>
      <w:r w:rsidRPr="00553366">
        <w:t>Rumuokoro</w:t>
      </w:r>
      <w:proofErr w:type="spellEnd"/>
      <w:r w:rsidRPr="00553366">
        <w:t xml:space="preserve"> is a densely populated urban area characterised by residential settlements, commercial activities, motor parks, and small-scale industries. Groundwater obtained from boreholes constitutes the major source of domestic water for the residents. The area lies within the Niger Delta sedimentary basin, dominated by unconsolidated sandy formations that favour groundwater storage but also increase susceptibility to contamination from surface-derived pollutants. The climate is humid tropical, with a wet season spanning April to October and a dry season from November to March.</w:t>
      </w:r>
    </w:p>
    <w:p w14:paraId="3AB82ED7" w14:textId="77777777" w:rsidR="00553366" w:rsidRPr="00553366" w:rsidRDefault="00553366" w:rsidP="00553366">
      <w:pPr>
        <w:pStyle w:val="Heading3"/>
        <w:jc w:val="both"/>
        <w:rPr>
          <w:sz w:val="24"/>
          <w:szCs w:val="24"/>
        </w:rPr>
      </w:pPr>
      <w:r w:rsidRPr="00553366">
        <w:rPr>
          <w:sz w:val="24"/>
          <w:szCs w:val="24"/>
        </w:rPr>
        <w:t>2.2 Sampling Design and Sample Size</w:t>
      </w:r>
    </w:p>
    <w:p w14:paraId="46E9AE78" w14:textId="77777777" w:rsidR="00553366" w:rsidRPr="00553366" w:rsidRDefault="00553366" w:rsidP="00553366">
      <w:pPr>
        <w:pStyle w:val="NormalWeb"/>
        <w:jc w:val="both"/>
      </w:pPr>
      <w:r w:rsidRPr="00553366">
        <w:t xml:space="preserve">A cross-sectional sampling design incorporating seasonal variation was adopted. A total of </w:t>
      </w:r>
      <w:r w:rsidRPr="00553366">
        <w:rPr>
          <w:rStyle w:val="Strong"/>
        </w:rPr>
        <w:t>10 functional boreholes</w:t>
      </w:r>
      <w:r w:rsidRPr="00553366">
        <w:t xml:space="preserve"> commonly used for domestic purposes were selected across </w:t>
      </w:r>
      <w:proofErr w:type="spellStart"/>
      <w:r w:rsidRPr="00553366">
        <w:t>Rumuokoro</w:t>
      </w:r>
      <w:proofErr w:type="spellEnd"/>
      <w:r w:rsidRPr="00553366">
        <w:t xml:space="preserve"> based on accessibility, intensity of use, and spatial distribution. From these boreholes, </w:t>
      </w:r>
      <w:r w:rsidRPr="00553366">
        <w:rPr>
          <w:rStyle w:val="Strong"/>
        </w:rPr>
        <w:t>20 water samples</w:t>
      </w:r>
      <w:r w:rsidRPr="00553366">
        <w:t xml:space="preserve"> were collected in total, comprising </w:t>
      </w:r>
      <w:r w:rsidRPr="00553366">
        <w:rPr>
          <w:rStyle w:val="Strong"/>
        </w:rPr>
        <w:t>10 samples during the dry season and 10 samples during the wet season</w:t>
      </w:r>
      <w:r w:rsidRPr="00553366">
        <w:t>. Each borehole was sampled once per season. Prior to sampling, boreholes were pumped for several minutes to flush stagnant water and obtain fresh groundwater.</w:t>
      </w:r>
    </w:p>
    <w:p w14:paraId="0DD70C8F" w14:textId="77777777" w:rsidR="00553366" w:rsidRPr="00553366" w:rsidRDefault="00553366" w:rsidP="00553366">
      <w:pPr>
        <w:pStyle w:val="Heading3"/>
        <w:jc w:val="both"/>
        <w:rPr>
          <w:sz w:val="24"/>
          <w:szCs w:val="24"/>
        </w:rPr>
      </w:pPr>
      <w:r w:rsidRPr="00553366">
        <w:rPr>
          <w:sz w:val="24"/>
          <w:szCs w:val="24"/>
        </w:rPr>
        <w:t>2.3 Sample Collection and Preservation</w:t>
      </w:r>
    </w:p>
    <w:p w14:paraId="0E09910F" w14:textId="77777777" w:rsidR="00553366" w:rsidRPr="00553366" w:rsidRDefault="00553366" w:rsidP="00553366">
      <w:pPr>
        <w:pStyle w:val="NormalWeb"/>
        <w:jc w:val="both"/>
      </w:pPr>
      <w:r w:rsidRPr="00553366">
        <w:t>Water samples for physicochemical and heavy metal analyses were collected in pre-cleaned polyethylene bottles, while samples for microbiological analysis were collected in sterile glass bottles. Samples intended for heavy metal analysis were acidified in situ with concentrated nitric acid to pH &lt; 2 to prevent metal precipitation and adsorption onto container walls. All samples were stored in an ice chest at approximately 4 °C and transported to the laboratory for analysis within 24 hours of collection.</w:t>
      </w:r>
    </w:p>
    <w:p w14:paraId="200EAE63" w14:textId="77777777" w:rsidR="00553366" w:rsidRPr="00553366" w:rsidRDefault="00553366" w:rsidP="00553366">
      <w:pPr>
        <w:pStyle w:val="Heading3"/>
        <w:jc w:val="both"/>
        <w:rPr>
          <w:sz w:val="24"/>
          <w:szCs w:val="24"/>
        </w:rPr>
      </w:pPr>
      <w:r w:rsidRPr="00553366">
        <w:rPr>
          <w:sz w:val="24"/>
          <w:szCs w:val="24"/>
        </w:rPr>
        <w:t>2.4 Physicochemical Analysis</w:t>
      </w:r>
    </w:p>
    <w:p w14:paraId="6E44DFCF" w14:textId="77777777" w:rsidR="00553366" w:rsidRPr="00553366" w:rsidRDefault="00553366" w:rsidP="00553366">
      <w:pPr>
        <w:pStyle w:val="NormalWeb"/>
        <w:jc w:val="both"/>
      </w:pPr>
      <w:r w:rsidRPr="00553366">
        <w:t>Physicochemical parameters including pH, temperature, electrical conductivity, total dissolved solids, and dissolved oxygen were measured in situ using calibrated portable meters. Turbidity was determined using a nephelometric turbidity meter. Total hardness and alkalinity were determined by standard titrimetric methods. Major ions, including calcium, magnesium, sodium, potassium, chloride, sulphate, nitrate, and bicarbonate, were analysed following standard procedures recommended by APHA.</w:t>
      </w:r>
    </w:p>
    <w:p w14:paraId="634AEBDA" w14:textId="77777777" w:rsidR="00553366" w:rsidRPr="00553366" w:rsidRDefault="00553366" w:rsidP="00553366">
      <w:pPr>
        <w:pStyle w:val="Heading3"/>
        <w:jc w:val="both"/>
        <w:rPr>
          <w:sz w:val="24"/>
          <w:szCs w:val="24"/>
        </w:rPr>
      </w:pPr>
      <w:r w:rsidRPr="00553366">
        <w:rPr>
          <w:sz w:val="24"/>
          <w:szCs w:val="24"/>
        </w:rPr>
        <w:t>2.5 Heavy Metal Determination</w:t>
      </w:r>
    </w:p>
    <w:p w14:paraId="4C46FA83" w14:textId="77777777" w:rsidR="00553366" w:rsidRPr="00553366" w:rsidRDefault="00553366" w:rsidP="00553366">
      <w:pPr>
        <w:pStyle w:val="NormalWeb"/>
        <w:jc w:val="both"/>
      </w:pPr>
      <w:r w:rsidRPr="00553366">
        <w:t>For heavy metal analysis, preserved water samples were digested using nitric acid prior to analysis. Concentrations of iron, lead, cadmium, chromium, nickel, zinc, and copper were determined using flame Atomic Absorption Spectrophotometry. Instrument calibration was performed using certified standard solutions, and analytical accuracy was verified through the analysis of blanks and replicate samples.</w:t>
      </w:r>
    </w:p>
    <w:p w14:paraId="5A055824" w14:textId="77777777" w:rsidR="00553366" w:rsidRPr="00553366" w:rsidRDefault="00553366" w:rsidP="00553366">
      <w:pPr>
        <w:pStyle w:val="Heading3"/>
        <w:jc w:val="both"/>
        <w:rPr>
          <w:sz w:val="24"/>
          <w:szCs w:val="24"/>
        </w:rPr>
      </w:pPr>
      <w:r w:rsidRPr="00553366">
        <w:rPr>
          <w:sz w:val="24"/>
          <w:szCs w:val="24"/>
        </w:rPr>
        <w:t>2.6 Microbiological Analysis</w:t>
      </w:r>
    </w:p>
    <w:p w14:paraId="1A135424" w14:textId="77777777" w:rsidR="00553366" w:rsidRPr="00553366" w:rsidRDefault="00553366" w:rsidP="00553366">
      <w:pPr>
        <w:pStyle w:val="NormalWeb"/>
        <w:jc w:val="both"/>
      </w:pPr>
      <w:r w:rsidRPr="00553366">
        <w:lastRenderedPageBreak/>
        <w:t xml:space="preserve">Microbiological quality of the borehole water was assessed using standard membrane filtration techniques. Total coliforms, faecal coliforms, and </w:t>
      </w:r>
      <w:r w:rsidRPr="00553366">
        <w:rPr>
          <w:rStyle w:val="Emphasis"/>
        </w:rPr>
        <w:t>Escherichia coli</w:t>
      </w:r>
      <w:r w:rsidRPr="00553366">
        <w:t xml:space="preserve"> were enumerated and expressed as colony-forming units per 100 </w:t>
      </w:r>
      <w:proofErr w:type="spellStart"/>
      <w:r w:rsidRPr="00553366">
        <w:t>mL.</w:t>
      </w:r>
      <w:proofErr w:type="spellEnd"/>
      <w:r w:rsidRPr="00553366">
        <w:t xml:space="preserve"> Total heterotrophic bacterial counts were determined using the pour plate method and reported as colony-forming units per millilitre. Results were evaluated against World Health Organization guidelines for drinking water quality.</w:t>
      </w:r>
    </w:p>
    <w:p w14:paraId="728FB49A" w14:textId="77777777" w:rsidR="00553366" w:rsidRPr="00553366" w:rsidRDefault="00553366" w:rsidP="00553366">
      <w:pPr>
        <w:pStyle w:val="Heading3"/>
        <w:jc w:val="both"/>
        <w:rPr>
          <w:sz w:val="24"/>
          <w:szCs w:val="24"/>
        </w:rPr>
      </w:pPr>
      <w:r w:rsidRPr="00553366">
        <w:rPr>
          <w:sz w:val="24"/>
          <w:szCs w:val="24"/>
        </w:rPr>
        <w:t>2.7 Water Quality Index Assessment</w:t>
      </w:r>
    </w:p>
    <w:p w14:paraId="0E107BBF" w14:textId="77777777" w:rsidR="00553366" w:rsidRPr="00553366" w:rsidRDefault="00553366" w:rsidP="00553366">
      <w:pPr>
        <w:pStyle w:val="NormalWeb"/>
        <w:jc w:val="both"/>
      </w:pPr>
      <w:r w:rsidRPr="00553366">
        <w:t>A water quality index was computed to provide an integrated assessment of the suitability of borehole water for drinking. Selected physicochemical and heavy metal parameters were assigned weights based on their relative significance to human health. Quality ratings were calculated for each parameter, and the weighted sub-indices were aggregated to obtain the overall WQI, which was subsequently classified into standard water quality categories.</w:t>
      </w:r>
    </w:p>
    <w:p w14:paraId="29681558" w14:textId="77777777" w:rsidR="00553366" w:rsidRPr="00553366" w:rsidRDefault="00553366" w:rsidP="00553366">
      <w:pPr>
        <w:pStyle w:val="Heading3"/>
        <w:jc w:val="both"/>
        <w:rPr>
          <w:sz w:val="24"/>
          <w:szCs w:val="24"/>
        </w:rPr>
      </w:pPr>
      <w:r w:rsidRPr="00553366">
        <w:rPr>
          <w:sz w:val="24"/>
          <w:szCs w:val="24"/>
        </w:rPr>
        <w:t>2.8 Human Health Risk Assessment</w:t>
      </w:r>
    </w:p>
    <w:p w14:paraId="1907AB56" w14:textId="77777777" w:rsidR="00553366" w:rsidRPr="00553366" w:rsidRDefault="00553366" w:rsidP="00553366">
      <w:pPr>
        <w:pStyle w:val="NormalWeb"/>
        <w:jc w:val="both"/>
      </w:pPr>
      <w:r w:rsidRPr="00553366">
        <w:t>Human health risk assessment was conducted following USEPA guidelines, considering the ingestion pathway for both adults and children. Estimated daily intake of heavy metals was calculated using measured concentrations and standard exposure parameters. Non-carcinogenic risk was assessed using hazard quotient and hazard index approaches. Carcinogenic risks for cadmium, chromium, and nickel were estimated using established cancer slope factors, and the calculated risks were interpreted within acceptable regulatory thresholds.</w:t>
      </w:r>
    </w:p>
    <w:p w14:paraId="5644B7F7" w14:textId="77777777" w:rsidR="00553366" w:rsidRPr="00553366" w:rsidRDefault="00553366" w:rsidP="00553366">
      <w:pPr>
        <w:pStyle w:val="Heading3"/>
        <w:jc w:val="both"/>
        <w:rPr>
          <w:sz w:val="24"/>
          <w:szCs w:val="24"/>
        </w:rPr>
      </w:pPr>
      <w:r w:rsidRPr="00553366">
        <w:rPr>
          <w:sz w:val="24"/>
          <w:szCs w:val="24"/>
        </w:rPr>
        <w:t>2.9 Quality Assurance and Quality Control</w:t>
      </w:r>
    </w:p>
    <w:p w14:paraId="255261A3" w14:textId="77777777" w:rsidR="00553366" w:rsidRPr="00553366" w:rsidRDefault="00553366" w:rsidP="00553366">
      <w:pPr>
        <w:pStyle w:val="NormalWeb"/>
        <w:jc w:val="both"/>
      </w:pPr>
      <w:r w:rsidRPr="00553366">
        <w:t>Quality assurance and quality control measures included the use of reagent blanks, duplicate samples, and calibration verification standards. All instruments were calibrated prior to analysis, and analytical precision was ensured through replicate measurements. Results were expressed as minimum, maximum, and mean ± standard deviation.</w:t>
      </w:r>
    </w:p>
    <w:p w14:paraId="64787B10" w14:textId="77777777" w:rsidR="00553366" w:rsidRPr="00553366" w:rsidRDefault="00553366" w:rsidP="00553366">
      <w:pPr>
        <w:pStyle w:val="Heading3"/>
        <w:jc w:val="both"/>
        <w:rPr>
          <w:sz w:val="24"/>
          <w:szCs w:val="24"/>
        </w:rPr>
      </w:pPr>
      <w:r w:rsidRPr="00553366">
        <w:rPr>
          <w:sz w:val="24"/>
          <w:szCs w:val="24"/>
        </w:rPr>
        <w:t>2.10 Statistical Analysis</w:t>
      </w:r>
    </w:p>
    <w:p w14:paraId="7D15EE46" w14:textId="77777777" w:rsidR="00553366" w:rsidRPr="00553366" w:rsidRDefault="00553366" w:rsidP="00553366">
      <w:pPr>
        <w:pStyle w:val="NormalWeb"/>
        <w:jc w:val="both"/>
      </w:pPr>
      <w:r w:rsidRPr="00553366">
        <w:t>Descriptive statistical analyses were performed to summarise physicochemical, microbiological, and heavy metal data. Results were presented as minimum, maximum, and mean ± standard deviation to highlight spatial and seasonal variability in borehole water quality across the study area.</w:t>
      </w:r>
    </w:p>
    <w:p w14:paraId="067A0066" w14:textId="77777777" w:rsidR="00553366" w:rsidRPr="00553366" w:rsidRDefault="00553366" w:rsidP="00553366">
      <w:pPr>
        <w:pStyle w:val="NormalWeb"/>
        <w:jc w:val="both"/>
      </w:pPr>
    </w:p>
    <w:p w14:paraId="36CAD6EB" w14:textId="77777777" w:rsidR="00CD50AA" w:rsidRPr="00553366" w:rsidRDefault="00CD50AA" w:rsidP="00553366">
      <w:pPr>
        <w:pStyle w:val="Heading2"/>
        <w:jc w:val="both"/>
        <w:rPr>
          <w:sz w:val="24"/>
          <w:szCs w:val="24"/>
        </w:rPr>
      </w:pPr>
      <w:r w:rsidRPr="00553366">
        <w:rPr>
          <w:sz w:val="24"/>
          <w:szCs w:val="24"/>
        </w:rPr>
        <w:t>3.0 Results</w:t>
      </w:r>
    </w:p>
    <w:p w14:paraId="0A827CA0" w14:textId="1D170D6A" w:rsidR="00CD50AA" w:rsidRPr="00553366" w:rsidRDefault="00CD50AA" w:rsidP="00553366">
      <w:pPr>
        <w:pStyle w:val="NormalWeb"/>
        <w:jc w:val="both"/>
      </w:pPr>
      <w:r w:rsidRPr="00553366">
        <w:t xml:space="preserve">The results of the physicochemical, microbiological, and toxicological assessment of borehole water in </w:t>
      </w:r>
      <w:proofErr w:type="spellStart"/>
      <w:r w:rsidRPr="00553366">
        <w:t>Rumuokoro</w:t>
      </w:r>
      <w:proofErr w:type="spellEnd"/>
      <w:r w:rsidRPr="00553366">
        <w:t xml:space="preserve"> are presented based on analyses of 20 water samples collected from 10 boreholes during the dry and wet seasons.</w:t>
      </w:r>
      <w:r w:rsidR="00553366" w:rsidRPr="00553366">
        <w:t xml:space="preserve"> </w:t>
      </w:r>
      <w:r w:rsidRPr="00553366">
        <w:t xml:space="preserve">The physicochemical characteristics of the borehole water indicate slightly acidic to near-neutral conditions. pH values ranged from 5.8 to 7.2, with a mean of 6.6 ± 0.4. Electrical conductivity varied between 214 and 682 µS/cm (mean 436 ± 152 µS/cm), while total dissolved solids ranged from 142 to 468 mg/L (mean 291 ± 104 mg/L), all within World Health Organization permissible limits. Turbidity values were low, ranging </w:t>
      </w:r>
      <w:r w:rsidRPr="00553366">
        <w:lastRenderedPageBreak/>
        <w:t>from 0.6 to 3.8 NTU (mean 1.9 ± 1.1 NTU). Total hardness values ranged from 62 to 168 mg/L (mean 112 ± 38 mg/L), indicating moderately hard water. Dissolved oxygen concentrations ranged from 3.1 to 6.4 mg/L, with some boreholes recording values below the recommended 5 mg/L, reflecting limited aeration typical of groundwater systems</w:t>
      </w:r>
      <w:r w:rsidR="00553366" w:rsidRPr="00553366">
        <w:t xml:space="preserve"> as shown in Table 1</w:t>
      </w:r>
      <w:r w:rsidRPr="00553366">
        <w:t>.</w:t>
      </w:r>
    </w:p>
    <w:p w14:paraId="4AF3B39B" w14:textId="6DB76391" w:rsidR="00CD50AA" w:rsidRPr="00553366" w:rsidRDefault="00CD50AA" w:rsidP="00553366">
      <w:pPr>
        <w:pStyle w:val="NormalWeb"/>
        <w:jc w:val="both"/>
      </w:pPr>
      <w:r w:rsidRPr="00553366">
        <w:t>Major ion composition revealed calcium concentrations between 18.4 and 62.1 mg/L (mean 39.6 ± 15.2 mg/L) and magnesium between 6.2 and 28.7 mg/L (mean 15.4 ± 7.9 mg/L). Sodium concentrations ranged from 22.6 to 98.4 mg/L, while potassium ranged from 3.1 to 12.8 mg/L. Chloride levels varied from 36.5 to 182.4 mg/L (mean 96.8 ± 48.9 mg/L). Sulphate concentrations ranged between 18.3 and 94.7 mg/L, while nitrate ranged from 4.2 to 42.8 mg/L, approaching the WHO guideline value of 50 mg/L at some locations. Bicarbonate concentrations ranged from 58 to 192 mg/L</w:t>
      </w:r>
      <w:r w:rsidR="00553366" w:rsidRPr="00553366">
        <w:t xml:space="preserve"> as shown in Table 2</w:t>
      </w:r>
      <w:r w:rsidRPr="00553366">
        <w:t>.</w:t>
      </w:r>
    </w:p>
    <w:p w14:paraId="023E24F8" w14:textId="68DE8A1B" w:rsidR="00CD50AA" w:rsidRPr="00553366" w:rsidRDefault="00CD50AA" w:rsidP="00553366">
      <w:pPr>
        <w:pStyle w:val="NormalWeb"/>
        <w:jc w:val="both"/>
      </w:pPr>
      <w:r w:rsidRPr="00553366">
        <w:t>Heavy metal analysis showed iron concentrations ranging from 0.18 to 0.92 mg/L, with a mean value of 0.46 ± 0.25 mg/L, exceeding the WHO guideline limit of 0.3 mg/L in several samples. Lead concentrations ranged from 0.004 to 0.021 mg/L (mean 0.012 ± 0.006 mg/L), exceeding the permissible limit of 0.01 mg/L in some boreholes. Cadmium concentrations ranged from 0.001 to 0.006 mg/L (mean 0.003 ± 0.002 mg/L), meeting or exceeding the guideline value of 0.003 mg/L. Chromium (0.006–0.031 mg/L), nickel (0.004–0.029 mg/L), zinc (0.12–0.88 mg/L), and copper (0.05–0.42 mg/L) were generally within WHO guideline limits</w:t>
      </w:r>
      <w:r w:rsidR="00553366" w:rsidRPr="00553366">
        <w:t xml:space="preserve"> as shown in Table 3</w:t>
      </w:r>
      <w:r w:rsidRPr="00553366">
        <w:t>.</w:t>
      </w:r>
    </w:p>
    <w:p w14:paraId="251CE189" w14:textId="4E70BD2B" w:rsidR="00CD50AA" w:rsidRPr="00553366" w:rsidRDefault="00CD50AA" w:rsidP="00553366">
      <w:pPr>
        <w:pStyle w:val="NormalWeb"/>
        <w:jc w:val="both"/>
      </w:pPr>
      <w:r w:rsidRPr="00553366">
        <w:t>Microbiological analysis revealed the presence of total coliforms, faecal coliforms, and Escherichia coli in several borehole samples. Total coliform counts ranged from 0 to 18 CFU/100 mL (mean 6.4 ± 6.8 CFU/100 mL), faecal coliforms ranged from 0 to 7 CFU/100 mL (mean 2.1 ± 2.9 CFU/100 mL), and E. coli ranged from 0 to 4 CFU/100 mL (mean 1.3 ± 1.6 CFU/100 mL), exceeding the WHO requirement of zero detection. Total heterotrophic bacterial counts ranged from 120 to 740 CFU/mL, with a mean of 418 ± 213 CFU/mL, exceeding the recommended limit of 500 CFU/mL in some locations</w:t>
      </w:r>
      <w:r w:rsidR="00553366" w:rsidRPr="00553366">
        <w:t xml:space="preserve"> as shown in Table 4</w:t>
      </w:r>
      <w:r w:rsidRPr="00553366">
        <w:t>.</w:t>
      </w:r>
    </w:p>
    <w:p w14:paraId="60051B63" w14:textId="54424809" w:rsidR="00CD50AA" w:rsidRPr="00553366" w:rsidRDefault="00CD50AA" w:rsidP="00553366">
      <w:pPr>
        <w:pStyle w:val="NormalWeb"/>
        <w:jc w:val="both"/>
      </w:pPr>
      <w:r w:rsidRPr="00553366">
        <w:t>The computed water quality index yielded an overall value of 239, classifying the borehole water as very poor and unsuitable for drinking without treatment. Elevated sub-index contributions from iron and lead were the primary factors influencing the high WQI value</w:t>
      </w:r>
      <w:r w:rsidR="00553366" w:rsidRPr="00553366">
        <w:t xml:space="preserve"> as shown in Table 5</w:t>
      </w:r>
      <w:r w:rsidRPr="00553366">
        <w:t>.</w:t>
      </w:r>
    </w:p>
    <w:p w14:paraId="6175705B" w14:textId="413A7803" w:rsidR="00CD50AA" w:rsidRPr="00553366" w:rsidRDefault="00CD50AA" w:rsidP="00553366">
      <w:pPr>
        <w:pStyle w:val="NormalWeb"/>
        <w:jc w:val="both"/>
      </w:pPr>
      <w:r w:rsidRPr="00553366">
        <w:t>Non-carcinogenic human health risk assessment indicated that adults generally had hazard quotient values below unity for all assessed metals. In contrast, children recorded hazard quotient values exceeding unity for lead (1.58), cadmium (1.91), and nickel (1.14), indicating potential health risks through ingestion. Hazard index values reached 2.30 for lead and 2.55 for cadmium, highlighting increased vulnerability among children</w:t>
      </w:r>
      <w:r w:rsidR="00553366" w:rsidRPr="00553366">
        <w:t xml:space="preserve"> as shown in Table 6</w:t>
      </w:r>
      <w:r w:rsidRPr="00553366">
        <w:t>.</w:t>
      </w:r>
      <w:r w:rsidR="00553366" w:rsidRPr="00553366">
        <w:t xml:space="preserve"> </w:t>
      </w:r>
      <w:r w:rsidRPr="00553366">
        <w:t>Carcinogenic risk estimates for cadmium, chromium, and nickel ranged from 1.8 × 10⁻⁵ to 5.7 × 10⁻⁵, all within the acceptable risk range of 10⁻⁶ to 10⁻⁴. However, children consistently exhibited higher carcinogenic risk values compared to adults</w:t>
      </w:r>
      <w:r w:rsidR="00553366" w:rsidRPr="00553366">
        <w:t xml:space="preserve"> as shown in Table 7</w:t>
      </w:r>
      <w:r w:rsidRPr="00553366">
        <w:t>.</w:t>
      </w:r>
    </w:p>
    <w:p w14:paraId="3300A026" w14:textId="77777777" w:rsidR="00553366" w:rsidRPr="00553366" w:rsidRDefault="00553366" w:rsidP="0055336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 xml:space="preserve">Table 1: Physicochemical Characteristics of Borehole Water in </w:t>
      </w:r>
      <w:proofErr w:type="spellStart"/>
      <w:r w:rsidRPr="00553366">
        <w:rPr>
          <w:rFonts w:ascii="Times New Roman" w:eastAsia="Times New Roman" w:hAnsi="Times New Roman" w:cs="Times New Roman"/>
          <w:b/>
          <w:bCs/>
          <w:sz w:val="24"/>
          <w:szCs w:val="24"/>
          <w:lang w:eastAsia="en-GB"/>
        </w:rPr>
        <w:t>Rumuokoro</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7"/>
        <w:gridCol w:w="1087"/>
        <w:gridCol w:w="1127"/>
        <w:gridCol w:w="1206"/>
        <w:gridCol w:w="1749"/>
      </w:tblGrid>
      <w:tr w:rsidR="00553366" w:rsidRPr="00553366" w14:paraId="2C53BD4F" w14:textId="77777777" w:rsidTr="00553366">
        <w:trPr>
          <w:tblHeader/>
          <w:tblCellSpacing w:w="15" w:type="dxa"/>
        </w:trPr>
        <w:tc>
          <w:tcPr>
            <w:tcW w:w="0" w:type="auto"/>
            <w:vAlign w:val="center"/>
            <w:hideMark/>
          </w:tcPr>
          <w:p w14:paraId="3A0CA666"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Parameter</w:t>
            </w:r>
          </w:p>
        </w:tc>
        <w:tc>
          <w:tcPr>
            <w:tcW w:w="0" w:type="auto"/>
            <w:vAlign w:val="center"/>
            <w:hideMark/>
          </w:tcPr>
          <w:p w14:paraId="125873AB"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Minimum</w:t>
            </w:r>
          </w:p>
        </w:tc>
        <w:tc>
          <w:tcPr>
            <w:tcW w:w="0" w:type="auto"/>
            <w:vAlign w:val="center"/>
            <w:hideMark/>
          </w:tcPr>
          <w:p w14:paraId="665A2E14"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Maximum</w:t>
            </w:r>
          </w:p>
        </w:tc>
        <w:tc>
          <w:tcPr>
            <w:tcW w:w="0" w:type="auto"/>
            <w:vAlign w:val="center"/>
            <w:hideMark/>
          </w:tcPr>
          <w:p w14:paraId="2CA68FA1"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Mean ± SD</w:t>
            </w:r>
          </w:p>
        </w:tc>
        <w:tc>
          <w:tcPr>
            <w:tcW w:w="0" w:type="auto"/>
            <w:vAlign w:val="center"/>
            <w:hideMark/>
          </w:tcPr>
          <w:p w14:paraId="0CE0EF94"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WHO Guideline</w:t>
            </w:r>
          </w:p>
        </w:tc>
      </w:tr>
      <w:tr w:rsidR="00553366" w:rsidRPr="00553366" w14:paraId="3B76D4FD" w14:textId="77777777" w:rsidTr="00553366">
        <w:trPr>
          <w:tblCellSpacing w:w="15" w:type="dxa"/>
        </w:trPr>
        <w:tc>
          <w:tcPr>
            <w:tcW w:w="0" w:type="auto"/>
            <w:vAlign w:val="center"/>
            <w:hideMark/>
          </w:tcPr>
          <w:p w14:paraId="2392508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pH</w:t>
            </w:r>
          </w:p>
        </w:tc>
        <w:tc>
          <w:tcPr>
            <w:tcW w:w="0" w:type="auto"/>
            <w:vAlign w:val="center"/>
            <w:hideMark/>
          </w:tcPr>
          <w:p w14:paraId="3F28E45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5.8</w:t>
            </w:r>
          </w:p>
        </w:tc>
        <w:tc>
          <w:tcPr>
            <w:tcW w:w="0" w:type="auto"/>
            <w:vAlign w:val="center"/>
            <w:hideMark/>
          </w:tcPr>
          <w:p w14:paraId="1ECC195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7.2</w:t>
            </w:r>
          </w:p>
        </w:tc>
        <w:tc>
          <w:tcPr>
            <w:tcW w:w="0" w:type="auto"/>
            <w:vAlign w:val="center"/>
            <w:hideMark/>
          </w:tcPr>
          <w:p w14:paraId="16F532F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6.6 ± 0.4</w:t>
            </w:r>
          </w:p>
        </w:tc>
        <w:tc>
          <w:tcPr>
            <w:tcW w:w="0" w:type="auto"/>
            <w:vAlign w:val="center"/>
            <w:hideMark/>
          </w:tcPr>
          <w:p w14:paraId="57B0FA1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6.5–8.5</w:t>
            </w:r>
          </w:p>
        </w:tc>
      </w:tr>
      <w:tr w:rsidR="00553366" w:rsidRPr="00553366" w14:paraId="10C6443A" w14:textId="77777777" w:rsidTr="00553366">
        <w:trPr>
          <w:tblCellSpacing w:w="15" w:type="dxa"/>
        </w:trPr>
        <w:tc>
          <w:tcPr>
            <w:tcW w:w="0" w:type="auto"/>
            <w:vAlign w:val="center"/>
            <w:hideMark/>
          </w:tcPr>
          <w:p w14:paraId="58D5D43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Electrical Conductivity (µS/cm)</w:t>
            </w:r>
          </w:p>
        </w:tc>
        <w:tc>
          <w:tcPr>
            <w:tcW w:w="0" w:type="auto"/>
            <w:vAlign w:val="center"/>
            <w:hideMark/>
          </w:tcPr>
          <w:p w14:paraId="1E3A0CF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214</w:t>
            </w:r>
          </w:p>
        </w:tc>
        <w:tc>
          <w:tcPr>
            <w:tcW w:w="0" w:type="auto"/>
            <w:vAlign w:val="center"/>
            <w:hideMark/>
          </w:tcPr>
          <w:p w14:paraId="340FCC7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682</w:t>
            </w:r>
          </w:p>
        </w:tc>
        <w:tc>
          <w:tcPr>
            <w:tcW w:w="0" w:type="auto"/>
            <w:vAlign w:val="center"/>
            <w:hideMark/>
          </w:tcPr>
          <w:p w14:paraId="5D24240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436 ± 152</w:t>
            </w:r>
          </w:p>
        </w:tc>
        <w:tc>
          <w:tcPr>
            <w:tcW w:w="0" w:type="auto"/>
            <w:vAlign w:val="center"/>
            <w:hideMark/>
          </w:tcPr>
          <w:p w14:paraId="4E8649B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1,000</w:t>
            </w:r>
          </w:p>
        </w:tc>
      </w:tr>
      <w:tr w:rsidR="00553366" w:rsidRPr="00553366" w14:paraId="72E42CC4" w14:textId="77777777" w:rsidTr="00553366">
        <w:trPr>
          <w:tblCellSpacing w:w="15" w:type="dxa"/>
        </w:trPr>
        <w:tc>
          <w:tcPr>
            <w:tcW w:w="0" w:type="auto"/>
            <w:vAlign w:val="center"/>
            <w:hideMark/>
          </w:tcPr>
          <w:p w14:paraId="213423A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lastRenderedPageBreak/>
              <w:t>Total Dissolved Solids (mg/L)</w:t>
            </w:r>
          </w:p>
        </w:tc>
        <w:tc>
          <w:tcPr>
            <w:tcW w:w="0" w:type="auto"/>
            <w:vAlign w:val="center"/>
            <w:hideMark/>
          </w:tcPr>
          <w:p w14:paraId="6847F16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142</w:t>
            </w:r>
          </w:p>
        </w:tc>
        <w:tc>
          <w:tcPr>
            <w:tcW w:w="0" w:type="auto"/>
            <w:vAlign w:val="center"/>
            <w:hideMark/>
          </w:tcPr>
          <w:p w14:paraId="2B04669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468</w:t>
            </w:r>
          </w:p>
        </w:tc>
        <w:tc>
          <w:tcPr>
            <w:tcW w:w="0" w:type="auto"/>
            <w:vAlign w:val="center"/>
            <w:hideMark/>
          </w:tcPr>
          <w:p w14:paraId="62E1745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291 ± 104</w:t>
            </w:r>
          </w:p>
        </w:tc>
        <w:tc>
          <w:tcPr>
            <w:tcW w:w="0" w:type="auto"/>
            <w:vAlign w:val="center"/>
            <w:hideMark/>
          </w:tcPr>
          <w:p w14:paraId="7E392F9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500</w:t>
            </w:r>
          </w:p>
        </w:tc>
      </w:tr>
      <w:tr w:rsidR="00553366" w:rsidRPr="00553366" w14:paraId="092963BA" w14:textId="77777777" w:rsidTr="00553366">
        <w:trPr>
          <w:tblCellSpacing w:w="15" w:type="dxa"/>
        </w:trPr>
        <w:tc>
          <w:tcPr>
            <w:tcW w:w="0" w:type="auto"/>
            <w:vAlign w:val="center"/>
            <w:hideMark/>
          </w:tcPr>
          <w:p w14:paraId="369644E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Turbidity (NTU)</w:t>
            </w:r>
          </w:p>
        </w:tc>
        <w:tc>
          <w:tcPr>
            <w:tcW w:w="0" w:type="auto"/>
            <w:vAlign w:val="center"/>
            <w:hideMark/>
          </w:tcPr>
          <w:p w14:paraId="3DDF1D5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0.6</w:t>
            </w:r>
          </w:p>
        </w:tc>
        <w:tc>
          <w:tcPr>
            <w:tcW w:w="0" w:type="auto"/>
            <w:vAlign w:val="center"/>
            <w:hideMark/>
          </w:tcPr>
          <w:p w14:paraId="3374E23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3.8</w:t>
            </w:r>
          </w:p>
        </w:tc>
        <w:tc>
          <w:tcPr>
            <w:tcW w:w="0" w:type="auto"/>
            <w:vAlign w:val="center"/>
            <w:hideMark/>
          </w:tcPr>
          <w:p w14:paraId="2616B1B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1.9 ± 1.1</w:t>
            </w:r>
          </w:p>
        </w:tc>
        <w:tc>
          <w:tcPr>
            <w:tcW w:w="0" w:type="auto"/>
            <w:vAlign w:val="center"/>
            <w:hideMark/>
          </w:tcPr>
          <w:p w14:paraId="4FABB41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w:t>
            </w:r>
          </w:p>
        </w:tc>
      </w:tr>
      <w:tr w:rsidR="00553366" w:rsidRPr="00553366" w14:paraId="78254F34" w14:textId="77777777" w:rsidTr="00553366">
        <w:trPr>
          <w:tblCellSpacing w:w="15" w:type="dxa"/>
        </w:trPr>
        <w:tc>
          <w:tcPr>
            <w:tcW w:w="0" w:type="auto"/>
            <w:vAlign w:val="center"/>
            <w:hideMark/>
          </w:tcPr>
          <w:p w14:paraId="13E389F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Temperature (°C)</w:t>
            </w:r>
          </w:p>
        </w:tc>
        <w:tc>
          <w:tcPr>
            <w:tcW w:w="0" w:type="auto"/>
            <w:vAlign w:val="center"/>
            <w:hideMark/>
          </w:tcPr>
          <w:p w14:paraId="1B30E02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26.1</w:t>
            </w:r>
          </w:p>
        </w:tc>
        <w:tc>
          <w:tcPr>
            <w:tcW w:w="0" w:type="auto"/>
            <w:vAlign w:val="center"/>
            <w:hideMark/>
          </w:tcPr>
          <w:p w14:paraId="3D14626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29.4</w:t>
            </w:r>
          </w:p>
        </w:tc>
        <w:tc>
          <w:tcPr>
            <w:tcW w:w="0" w:type="auto"/>
            <w:vAlign w:val="center"/>
            <w:hideMark/>
          </w:tcPr>
          <w:p w14:paraId="520FFDA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27.8 ± 1.2</w:t>
            </w:r>
          </w:p>
        </w:tc>
        <w:tc>
          <w:tcPr>
            <w:tcW w:w="0" w:type="auto"/>
            <w:vAlign w:val="center"/>
            <w:hideMark/>
          </w:tcPr>
          <w:p w14:paraId="4A81FF2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w:t>
            </w:r>
          </w:p>
        </w:tc>
      </w:tr>
      <w:tr w:rsidR="00553366" w:rsidRPr="00553366" w14:paraId="717659C4" w14:textId="77777777" w:rsidTr="00553366">
        <w:trPr>
          <w:tblCellSpacing w:w="15" w:type="dxa"/>
        </w:trPr>
        <w:tc>
          <w:tcPr>
            <w:tcW w:w="0" w:type="auto"/>
            <w:vAlign w:val="center"/>
            <w:hideMark/>
          </w:tcPr>
          <w:p w14:paraId="4A5C834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Dissolved Oxygen (mg/L)</w:t>
            </w:r>
          </w:p>
        </w:tc>
        <w:tc>
          <w:tcPr>
            <w:tcW w:w="0" w:type="auto"/>
            <w:vAlign w:val="center"/>
            <w:hideMark/>
          </w:tcPr>
          <w:p w14:paraId="5A24877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3.1</w:t>
            </w:r>
          </w:p>
        </w:tc>
        <w:tc>
          <w:tcPr>
            <w:tcW w:w="0" w:type="auto"/>
            <w:vAlign w:val="center"/>
            <w:hideMark/>
          </w:tcPr>
          <w:p w14:paraId="466DD02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6.4</w:t>
            </w:r>
          </w:p>
        </w:tc>
        <w:tc>
          <w:tcPr>
            <w:tcW w:w="0" w:type="auto"/>
            <w:vAlign w:val="center"/>
            <w:hideMark/>
          </w:tcPr>
          <w:p w14:paraId="7DD8100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4.7 ± 1.0</w:t>
            </w:r>
          </w:p>
        </w:tc>
        <w:tc>
          <w:tcPr>
            <w:tcW w:w="0" w:type="auto"/>
            <w:vAlign w:val="center"/>
            <w:hideMark/>
          </w:tcPr>
          <w:p w14:paraId="64ECF4C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w:t>
            </w:r>
          </w:p>
        </w:tc>
      </w:tr>
      <w:tr w:rsidR="00553366" w:rsidRPr="00553366" w14:paraId="25FD2E73" w14:textId="77777777" w:rsidTr="00553366">
        <w:trPr>
          <w:tblCellSpacing w:w="15" w:type="dxa"/>
        </w:trPr>
        <w:tc>
          <w:tcPr>
            <w:tcW w:w="0" w:type="auto"/>
            <w:vAlign w:val="center"/>
            <w:hideMark/>
          </w:tcPr>
          <w:p w14:paraId="645EA33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 xml:space="preserve">Total Hardness (mg/L as </w:t>
            </w:r>
            <w:proofErr w:type="spellStart"/>
            <w:r w:rsidRPr="00553366">
              <w:rPr>
                <w:rFonts w:ascii="Times New Roman" w:eastAsia="Times New Roman" w:hAnsi="Times New Roman" w:cs="Times New Roman"/>
                <w:sz w:val="24"/>
                <w:szCs w:val="24"/>
                <w:lang w:eastAsia="en-GB"/>
              </w:rPr>
              <w:t>CaCO</w:t>
            </w:r>
            <w:proofErr w:type="spellEnd"/>
            <w:r w:rsidRPr="00553366">
              <w:rPr>
                <w:rFonts w:ascii="Times New Roman" w:eastAsia="Times New Roman" w:hAnsi="Times New Roman" w:cs="Times New Roman"/>
                <w:sz w:val="24"/>
                <w:szCs w:val="24"/>
                <w:lang w:eastAsia="en-GB"/>
              </w:rPr>
              <w:t>₃)</w:t>
            </w:r>
          </w:p>
        </w:tc>
        <w:tc>
          <w:tcPr>
            <w:tcW w:w="0" w:type="auto"/>
            <w:vAlign w:val="center"/>
            <w:hideMark/>
          </w:tcPr>
          <w:p w14:paraId="1DA9893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62</w:t>
            </w:r>
          </w:p>
        </w:tc>
        <w:tc>
          <w:tcPr>
            <w:tcW w:w="0" w:type="auto"/>
            <w:vAlign w:val="center"/>
            <w:hideMark/>
          </w:tcPr>
          <w:p w14:paraId="0C02015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168</w:t>
            </w:r>
          </w:p>
        </w:tc>
        <w:tc>
          <w:tcPr>
            <w:tcW w:w="0" w:type="auto"/>
            <w:vAlign w:val="center"/>
            <w:hideMark/>
          </w:tcPr>
          <w:p w14:paraId="43F916F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112 ± 38</w:t>
            </w:r>
          </w:p>
        </w:tc>
        <w:tc>
          <w:tcPr>
            <w:tcW w:w="0" w:type="auto"/>
            <w:vAlign w:val="center"/>
            <w:hideMark/>
          </w:tcPr>
          <w:p w14:paraId="45F3688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200</w:t>
            </w:r>
          </w:p>
        </w:tc>
      </w:tr>
      <w:tr w:rsidR="00553366" w:rsidRPr="00553366" w14:paraId="2B5E8CD6" w14:textId="77777777" w:rsidTr="00553366">
        <w:trPr>
          <w:tblCellSpacing w:w="15" w:type="dxa"/>
        </w:trPr>
        <w:tc>
          <w:tcPr>
            <w:tcW w:w="0" w:type="auto"/>
            <w:vAlign w:val="center"/>
            <w:hideMark/>
          </w:tcPr>
          <w:p w14:paraId="7CEBC8D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Alkalinity (mg/L)</w:t>
            </w:r>
          </w:p>
        </w:tc>
        <w:tc>
          <w:tcPr>
            <w:tcW w:w="0" w:type="auto"/>
            <w:vAlign w:val="center"/>
            <w:hideMark/>
          </w:tcPr>
          <w:p w14:paraId="7C84E2D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44</w:t>
            </w:r>
          </w:p>
        </w:tc>
        <w:tc>
          <w:tcPr>
            <w:tcW w:w="0" w:type="auto"/>
            <w:vAlign w:val="center"/>
            <w:hideMark/>
          </w:tcPr>
          <w:p w14:paraId="10FFC40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126</w:t>
            </w:r>
          </w:p>
        </w:tc>
        <w:tc>
          <w:tcPr>
            <w:tcW w:w="0" w:type="auto"/>
            <w:vAlign w:val="center"/>
            <w:hideMark/>
          </w:tcPr>
          <w:p w14:paraId="3F10EE2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78 ± 29</w:t>
            </w:r>
          </w:p>
        </w:tc>
        <w:tc>
          <w:tcPr>
            <w:tcW w:w="0" w:type="auto"/>
            <w:vAlign w:val="center"/>
            <w:hideMark/>
          </w:tcPr>
          <w:p w14:paraId="078C45C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w:t>
            </w:r>
          </w:p>
        </w:tc>
      </w:tr>
    </w:tbl>
    <w:p w14:paraId="654DAC88" w14:textId="45B732BC"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p>
    <w:p w14:paraId="6FE0BF7C" w14:textId="77777777" w:rsidR="00553366" w:rsidRPr="00553366" w:rsidRDefault="00553366" w:rsidP="0055336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Table 2: Major Ions Composition of Borehole Water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1087"/>
        <w:gridCol w:w="1127"/>
        <w:gridCol w:w="1625"/>
        <w:gridCol w:w="1984"/>
      </w:tblGrid>
      <w:tr w:rsidR="00553366" w:rsidRPr="00553366" w14:paraId="78508E41" w14:textId="77777777" w:rsidTr="00553366">
        <w:trPr>
          <w:tblHeader/>
          <w:tblCellSpacing w:w="15" w:type="dxa"/>
        </w:trPr>
        <w:tc>
          <w:tcPr>
            <w:tcW w:w="0" w:type="auto"/>
            <w:vAlign w:val="center"/>
            <w:hideMark/>
          </w:tcPr>
          <w:p w14:paraId="1C1EEF56"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Ion</w:t>
            </w:r>
          </w:p>
        </w:tc>
        <w:tc>
          <w:tcPr>
            <w:tcW w:w="0" w:type="auto"/>
            <w:vAlign w:val="center"/>
            <w:hideMark/>
          </w:tcPr>
          <w:p w14:paraId="69D0704F"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Minimum</w:t>
            </w:r>
          </w:p>
        </w:tc>
        <w:tc>
          <w:tcPr>
            <w:tcW w:w="0" w:type="auto"/>
            <w:vAlign w:val="center"/>
            <w:hideMark/>
          </w:tcPr>
          <w:p w14:paraId="7C717E22"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Maximum</w:t>
            </w:r>
          </w:p>
        </w:tc>
        <w:tc>
          <w:tcPr>
            <w:tcW w:w="1595" w:type="dxa"/>
            <w:vAlign w:val="center"/>
            <w:hideMark/>
          </w:tcPr>
          <w:p w14:paraId="2900CCB9"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Mean ± SD</w:t>
            </w:r>
          </w:p>
        </w:tc>
        <w:tc>
          <w:tcPr>
            <w:tcW w:w="1939" w:type="dxa"/>
            <w:vAlign w:val="center"/>
            <w:hideMark/>
          </w:tcPr>
          <w:p w14:paraId="1EBA9E1D"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WHO Guideline</w:t>
            </w:r>
          </w:p>
        </w:tc>
      </w:tr>
      <w:tr w:rsidR="00553366" w:rsidRPr="00553366" w14:paraId="300F77AE" w14:textId="77777777" w:rsidTr="00553366">
        <w:trPr>
          <w:tblCellSpacing w:w="15" w:type="dxa"/>
        </w:trPr>
        <w:tc>
          <w:tcPr>
            <w:tcW w:w="0" w:type="auto"/>
            <w:vAlign w:val="center"/>
            <w:hideMark/>
          </w:tcPr>
          <w:p w14:paraId="456E5E0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Calcium (Ca²⁺)</w:t>
            </w:r>
          </w:p>
        </w:tc>
        <w:tc>
          <w:tcPr>
            <w:tcW w:w="0" w:type="auto"/>
            <w:vAlign w:val="center"/>
            <w:hideMark/>
          </w:tcPr>
          <w:p w14:paraId="3619391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18.4</w:t>
            </w:r>
          </w:p>
        </w:tc>
        <w:tc>
          <w:tcPr>
            <w:tcW w:w="0" w:type="auto"/>
            <w:vAlign w:val="center"/>
            <w:hideMark/>
          </w:tcPr>
          <w:p w14:paraId="00AFC9F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62.1</w:t>
            </w:r>
          </w:p>
        </w:tc>
        <w:tc>
          <w:tcPr>
            <w:tcW w:w="1595" w:type="dxa"/>
            <w:vAlign w:val="center"/>
            <w:hideMark/>
          </w:tcPr>
          <w:p w14:paraId="72E42C2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39.6 ± 15.2</w:t>
            </w:r>
          </w:p>
        </w:tc>
        <w:tc>
          <w:tcPr>
            <w:tcW w:w="1939" w:type="dxa"/>
            <w:vAlign w:val="center"/>
            <w:hideMark/>
          </w:tcPr>
          <w:p w14:paraId="367E8DB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75</w:t>
            </w:r>
          </w:p>
        </w:tc>
      </w:tr>
      <w:tr w:rsidR="00553366" w:rsidRPr="00553366" w14:paraId="681E877F" w14:textId="77777777" w:rsidTr="00553366">
        <w:trPr>
          <w:tblCellSpacing w:w="15" w:type="dxa"/>
        </w:trPr>
        <w:tc>
          <w:tcPr>
            <w:tcW w:w="0" w:type="auto"/>
            <w:vAlign w:val="center"/>
            <w:hideMark/>
          </w:tcPr>
          <w:p w14:paraId="5C6F0BA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Magnesium (Mg²⁺)</w:t>
            </w:r>
          </w:p>
        </w:tc>
        <w:tc>
          <w:tcPr>
            <w:tcW w:w="0" w:type="auto"/>
            <w:vAlign w:val="center"/>
            <w:hideMark/>
          </w:tcPr>
          <w:p w14:paraId="2B1EDD6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6.2</w:t>
            </w:r>
          </w:p>
        </w:tc>
        <w:tc>
          <w:tcPr>
            <w:tcW w:w="0" w:type="auto"/>
            <w:vAlign w:val="center"/>
            <w:hideMark/>
          </w:tcPr>
          <w:p w14:paraId="5A20D38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28.7</w:t>
            </w:r>
          </w:p>
        </w:tc>
        <w:tc>
          <w:tcPr>
            <w:tcW w:w="1595" w:type="dxa"/>
            <w:vAlign w:val="center"/>
            <w:hideMark/>
          </w:tcPr>
          <w:p w14:paraId="385F6F0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15.4 ± 7.9</w:t>
            </w:r>
          </w:p>
        </w:tc>
        <w:tc>
          <w:tcPr>
            <w:tcW w:w="1939" w:type="dxa"/>
            <w:vAlign w:val="center"/>
            <w:hideMark/>
          </w:tcPr>
          <w:p w14:paraId="4032637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50</w:t>
            </w:r>
          </w:p>
        </w:tc>
      </w:tr>
      <w:tr w:rsidR="00553366" w:rsidRPr="00553366" w14:paraId="3753F130" w14:textId="77777777" w:rsidTr="00553366">
        <w:trPr>
          <w:tblCellSpacing w:w="15" w:type="dxa"/>
        </w:trPr>
        <w:tc>
          <w:tcPr>
            <w:tcW w:w="0" w:type="auto"/>
            <w:vAlign w:val="center"/>
            <w:hideMark/>
          </w:tcPr>
          <w:p w14:paraId="764106F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Sodium (Na⁺)</w:t>
            </w:r>
          </w:p>
        </w:tc>
        <w:tc>
          <w:tcPr>
            <w:tcW w:w="0" w:type="auto"/>
            <w:vAlign w:val="center"/>
            <w:hideMark/>
          </w:tcPr>
          <w:p w14:paraId="37B5779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22.6</w:t>
            </w:r>
          </w:p>
        </w:tc>
        <w:tc>
          <w:tcPr>
            <w:tcW w:w="0" w:type="auto"/>
            <w:vAlign w:val="center"/>
            <w:hideMark/>
          </w:tcPr>
          <w:p w14:paraId="47BAB74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98.4</w:t>
            </w:r>
          </w:p>
        </w:tc>
        <w:tc>
          <w:tcPr>
            <w:tcW w:w="1595" w:type="dxa"/>
            <w:vAlign w:val="center"/>
            <w:hideMark/>
          </w:tcPr>
          <w:p w14:paraId="6116C2B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56.7 ± 26.1</w:t>
            </w:r>
          </w:p>
        </w:tc>
        <w:tc>
          <w:tcPr>
            <w:tcW w:w="1939" w:type="dxa"/>
            <w:vAlign w:val="center"/>
            <w:hideMark/>
          </w:tcPr>
          <w:p w14:paraId="4138B3B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200</w:t>
            </w:r>
          </w:p>
        </w:tc>
      </w:tr>
      <w:tr w:rsidR="00553366" w:rsidRPr="00553366" w14:paraId="3FA7C720" w14:textId="77777777" w:rsidTr="00553366">
        <w:trPr>
          <w:tblCellSpacing w:w="15" w:type="dxa"/>
        </w:trPr>
        <w:tc>
          <w:tcPr>
            <w:tcW w:w="0" w:type="auto"/>
            <w:vAlign w:val="center"/>
            <w:hideMark/>
          </w:tcPr>
          <w:p w14:paraId="2A5899A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Potassium (K⁺)</w:t>
            </w:r>
          </w:p>
        </w:tc>
        <w:tc>
          <w:tcPr>
            <w:tcW w:w="0" w:type="auto"/>
            <w:vAlign w:val="center"/>
            <w:hideMark/>
          </w:tcPr>
          <w:p w14:paraId="240A6B2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3.1</w:t>
            </w:r>
          </w:p>
        </w:tc>
        <w:tc>
          <w:tcPr>
            <w:tcW w:w="0" w:type="auto"/>
            <w:vAlign w:val="center"/>
            <w:hideMark/>
          </w:tcPr>
          <w:p w14:paraId="3EBCF9A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12.8</w:t>
            </w:r>
          </w:p>
        </w:tc>
        <w:tc>
          <w:tcPr>
            <w:tcW w:w="1595" w:type="dxa"/>
            <w:vAlign w:val="center"/>
            <w:hideMark/>
          </w:tcPr>
          <w:p w14:paraId="72C250A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7.4 ± 3.6</w:t>
            </w:r>
          </w:p>
        </w:tc>
        <w:tc>
          <w:tcPr>
            <w:tcW w:w="1939" w:type="dxa"/>
            <w:vAlign w:val="center"/>
            <w:hideMark/>
          </w:tcPr>
          <w:p w14:paraId="239C564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w:t>
            </w:r>
          </w:p>
        </w:tc>
      </w:tr>
      <w:tr w:rsidR="00553366" w:rsidRPr="00553366" w14:paraId="5618A27A" w14:textId="77777777" w:rsidTr="00553366">
        <w:trPr>
          <w:tblCellSpacing w:w="15" w:type="dxa"/>
        </w:trPr>
        <w:tc>
          <w:tcPr>
            <w:tcW w:w="0" w:type="auto"/>
            <w:vAlign w:val="center"/>
            <w:hideMark/>
          </w:tcPr>
          <w:p w14:paraId="228EF9D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Chloride (Cl⁻)</w:t>
            </w:r>
          </w:p>
        </w:tc>
        <w:tc>
          <w:tcPr>
            <w:tcW w:w="0" w:type="auto"/>
            <w:vAlign w:val="center"/>
            <w:hideMark/>
          </w:tcPr>
          <w:p w14:paraId="621326B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36.5</w:t>
            </w:r>
          </w:p>
        </w:tc>
        <w:tc>
          <w:tcPr>
            <w:tcW w:w="0" w:type="auto"/>
            <w:vAlign w:val="center"/>
            <w:hideMark/>
          </w:tcPr>
          <w:p w14:paraId="13C1E9A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182.4</w:t>
            </w:r>
          </w:p>
        </w:tc>
        <w:tc>
          <w:tcPr>
            <w:tcW w:w="1595" w:type="dxa"/>
            <w:vAlign w:val="center"/>
            <w:hideMark/>
          </w:tcPr>
          <w:p w14:paraId="112D0F4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96.8 ± 48.9</w:t>
            </w:r>
          </w:p>
        </w:tc>
        <w:tc>
          <w:tcPr>
            <w:tcW w:w="1939" w:type="dxa"/>
            <w:vAlign w:val="center"/>
            <w:hideMark/>
          </w:tcPr>
          <w:p w14:paraId="08AFA9F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250</w:t>
            </w:r>
          </w:p>
        </w:tc>
      </w:tr>
      <w:tr w:rsidR="00553366" w:rsidRPr="00553366" w14:paraId="1FE2EE36" w14:textId="77777777" w:rsidTr="00553366">
        <w:trPr>
          <w:tblCellSpacing w:w="15" w:type="dxa"/>
        </w:trPr>
        <w:tc>
          <w:tcPr>
            <w:tcW w:w="0" w:type="auto"/>
            <w:vAlign w:val="center"/>
            <w:hideMark/>
          </w:tcPr>
          <w:p w14:paraId="0A1E072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Sulphate (SO₄²⁻)</w:t>
            </w:r>
          </w:p>
        </w:tc>
        <w:tc>
          <w:tcPr>
            <w:tcW w:w="0" w:type="auto"/>
            <w:vAlign w:val="center"/>
            <w:hideMark/>
          </w:tcPr>
          <w:p w14:paraId="3D060F8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18.3</w:t>
            </w:r>
          </w:p>
        </w:tc>
        <w:tc>
          <w:tcPr>
            <w:tcW w:w="0" w:type="auto"/>
            <w:vAlign w:val="center"/>
            <w:hideMark/>
          </w:tcPr>
          <w:p w14:paraId="2C8F9BF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94.7</w:t>
            </w:r>
          </w:p>
        </w:tc>
        <w:tc>
          <w:tcPr>
            <w:tcW w:w="1595" w:type="dxa"/>
            <w:vAlign w:val="center"/>
            <w:hideMark/>
          </w:tcPr>
          <w:p w14:paraId="1C603E3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48.6 ± 27.5</w:t>
            </w:r>
          </w:p>
        </w:tc>
        <w:tc>
          <w:tcPr>
            <w:tcW w:w="1939" w:type="dxa"/>
            <w:vAlign w:val="center"/>
            <w:hideMark/>
          </w:tcPr>
          <w:p w14:paraId="333F566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250</w:t>
            </w:r>
          </w:p>
        </w:tc>
      </w:tr>
      <w:tr w:rsidR="00553366" w:rsidRPr="00553366" w14:paraId="4D8131EA" w14:textId="77777777" w:rsidTr="00553366">
        <w:trPr>
          <w:tblCellSpacing w:w="15" w:type="dxa"/>
        </w:trPr>
        <w:tc>
          <w:tcPr>
            <w:tcW w:w="0" w:type="auto"/>
            <w:vAlign w:val="center"/>
            <w:hideMark/>
          </w:tcPr>
          <w:p w14:paraId="5FD94EF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Nitrate (NO₃⁻)</w:t>
            </w:r>
          </w:p>
        </w:tc>
        <w:tc>
          <w:tcPr>
            <w:tcW w:w="0" w:type="auto"/>
            <w:vAlign w:val="center"/>
            <w:hideMark/>
          </w:tcPr>
          <w:p w14:paraId="2EB6CF7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4.2</w:t>
            </w:r>
          </w:p>
        </w:tc>
        <w:tc>
          <w:tcPr>
            <w:tcW w:w="0" w:type="auto"/>
            <w:vAlign w:val="center"/>
            <w:hideMark/>
          </w:tcPr>
          <w:p w14:paraId="3641E67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42.8</w:t>
            </w:r>
          </w:p>
        </w:tc>
        <w:tc>
          <w:tcPr>
            <w:tcW w:w="1595" w:type="dxa"/>
            <w:vAlign w:val="center"/>
            <w:hideMark/>
          </w:tcPr>
          <w:p w14:paraId="1934369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21.6 ± 14.3</w:t>
            </w:r>
          </w:p>
        </w:tc>
        <w:tc>
          <w:tcPr>
            <w:tcW w:w="1939" w:type="dxa"/>
            <w:vAlign w:val="center"/>
            <w:hideMark/>
          </w:tcPr>
          <w:p w14:paraId="031EBE8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50</w:t>
            </w:r>
          </w:p>
        </w:tc>
      </w:tr>
      <w:tr w:rsidR="00553366" w:rsidRPr="00553366" w14:paraId="4754CDCC" w14:textId="77777777" w:rsidTr="00553366">
        <w:trPr>
          <w:tblCellSpacing w:w="15" w:type="dxa"/>
        </w:trPr>
        <w:tc>
          <w:tcPr>
            <w:tcW w:w="0" w:type="auto"/>
            <w:vAlign w:val="center"/>
            <w:hideMark/>
          </w:tcPr>
          <w:p w14:paraId="7064C02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Bicarbonate (HCO₃⁻)</w:t>
            </w:r>
          </w:p>
        </w:tc>
        <w:tc>
          <w:tcPr>
            <w:tcW w:w="0" w:type="auto"/>
            <w:vAlign w:val="center"/>
            <w:hideMark/>
          </w:tcPr>
          <w:p w14:paraId="642CFA2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58</w:t>
            </w:r>
          </w:p>
        </w:tc>
        <w:tc>
          <w:tcPr>
            <w:tcW w:w="0" w:type="auto"/>
            <w:vAlign w:val="center"/>
            <w:hideMark/>
          </w:tcPr>
          <w:p w14:paraId="2C857D6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192</w:t>
            </w:r>
          </w:p>
        </w:tc>
        <w:tc>
          <w:tcPr>
            <w:tcW w:w="1595" w:type="dxa"/>
            <w:vAlign w:val="center"/>
            <w:hideMark/>
          </w:tcPr>
          <w:p w14:paraId="18291DC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116 ± 47</w:t>
            </w:r>
          </w:p>
        </w:tc>
        <w:tc>
          <w:tcPr>
            <w:tcW w:w="1939" w:type="dxa"/>
            <w:vAlign w:val="center"/>
            <w:hideMark/>
          </w:tcPr>
          <w:p w14:paraId="7C68461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w:t>
            </w:r>
          </w:p>
        </w:tc>
      </w:tr>
    </w:tbl>
    <w:p w14:paraId="1B67D9DD" w14:textId="6B44B3EB"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p>
    <w:p w14:paraId="7A1DA316" w14:textId="77777777" w:rsidR="00553366" w:rsidRPr="00553366" w:rsidRDefault="00553366" w:rsidP="0055336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Table 3: Heavy Metal Concentrations in Borehole Water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1087"/>
        <w:gridCol w:w="1127"/>
        <w:gridCol w:w="1392"/>
        <w:gridCol w:w="1749"/>
      </w:tblGrid>
      <w:tr w:rsidR="00553366" w:rsidRPr="00553366" w14:paraId="2F2DD13E" w14:textId="77777777" w:rsidTr="00553366">
        <w:trPr>
          <w:tblHeader/>
          <w:tblCellSpacing w:w="15" w:type="dxa"/>
        </w:trPr>
        <w:tc>
          <w:tcPr>
            <w:tcW w:w="0" w:type="auto"/>
            <w:vAlign w:val="center"/>
            <w:hideMark/>
          </w:tcPr>
          <w:p w14:paraId="5E067ED9"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Metal</w:t>
            </w:r>
          </w:p>
        </w:tc>
        <w:tc>
          <w:tcPr>
            <w:tcW w:w="0" w:type="auto"/>
            <w:vAlign w:val="center"/>
            <w:hideMark/>
          </w:tcPr>
          <w:p w14:paraId="3A3D2E6A"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Minimum</w:t>
            </w:r>
          </w:p>
        </w:tc>
        <w:tc>
          <w:tcPr>
            <w:tcW w:w="0" w:type="auto"/>
            <w:vAlign w:val="center"/>
            <w:hideMark/>
          </w:tcPr>
          <w:p w14:paraId="582A5B58"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Maximum</w:t>
            </w:r>
          </w:p>
        </w:tc>
        <w:tc>
          <w:tcPr>
            <w:tcW w:w="0" w:type="auto"/>
            <w:vAlign w:val="center"/>
            <w:hideMark/>
          </w:tcPr>
          <w:p w14:paraId="6BFF19B4"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Mean ± SD</w:t>
            </w:r>
          </w:p>
        </w:tc>
        <w:tc>
          <w:tcPr>
            <w:tcW w:w="0" w:type="auto"/>
            <w:vAlign w:val="center"/>
            <w:hideMark/>
          </w:tcPr>
          <w:p w14:paraId="348A0D52"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WHO Guideline</w:t>
            </w:r>
          </w:p>
        </w:tc>
      </w:tr>
      <w:tr w:rsidR="00553366" w:rsidRPr="00553366" w14:paraId="61E34C7D" w14:textId="77777777" w:rsidTr="00553366">
        <w:trPr>
          <w:tblCellSpacing w:w="15" w:type="dxa"/>
        </w:trPr>
        <w:tc>
          <w:tcPr>
            <w:tcW w:w="0" w:type="auto"/>
            <w:vAlign w:val="center"/>
            <w:hideMark/>
          </w:tcPr>
          <w:p w14:paraId="0BC0F1D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Iron (Fe)</w:t>
            </w:r>
          </w:p>
        </w:tc>
        <w:tc>
          <w:tcPr>
            <w:tcW w:w="0" w:type="auto"/>
            <w:vAlign w:val="center"/>
            <w:hideMark/>
          </w:tcPr>
          <w:p w14:paraId="0409C4E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0.18</w:t>
            </w:r>
          </w:p>
        </w:tc>
        <w:tc>
          <w:tcPr>
            <w:tcW w:w="0" w:type="auto"/>
            <w:vAlign w:val="center"/>
            <w:hideMark/>
          </w:tcPr>
          <w:p w14:paraId="05D3B3E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0.92</w:t>
            </w:r>
          </w:p>
        </w:tc>
        <w:tc>
          <w:tcPr>
            <w:tcW w:w="0" w:type="auto"/>
            <w:vAlign w:val="center"/>
            <w:hideMark/>
          </w:tcPr>
          <w:p w14:paraId="25AA550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0.46 ± 0.25</w:t>
            </w:r>
          </w:p>
        </w:tc>
        <w:tc>
          <w:tcPr>
            <w:tcW w:w="0" w:type="auto"/>
            <w:vAlign w:val="center"/>
            <w:hideMark/>
          </w:tcPr>
          <w:p w14:paraId="128DB84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0.3</w:t>
            </w:r>
          </w:p>
        </w:tc>
      </w:tr>
      <w:tr w:rsidR="00553366" w:rsidRPr="00553366" w14:paraId="5DE35217" w14:textId="77777777" w:rsidTr="00553366">
        <w:trPr>
          <w:tblCellSpacing w:w="15" w:type="dxa"/>
        </w:trPr>
        <w:tc>
          <w:tcPr>
            <w:tcW w:w="0" w:type="auto"/>
            <w:vAlign w:val="center"/>
            <w:hideMark/>
          </w:tcPr>
          <w:p w14:paraId="67FA494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Lead (Pb)</w:t>
            </w:r>
          </w:p>
        </w:tc>
        <w:tc>
          <w:tcPr>
            <w:tcW w:w="0" w:type="auto"/>
            <w:vAlign w:val="center"/>
            <w:hideMark/>
          </w:tcPr>
          <w:p w14:paraId="07DAEC6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0.004</w:t>
            </w:r>
          </w:p>
        </w:tc>
        <w:tc>
          <w:tcPr>
            <w:tcW w:w="0" w:type="auto"/>
            <w:vAlign w:val="center"/>
            <w:hideMark/>
          </w:tcPr>
          <w:p w14:paraId="74AC3F0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0.021</w:t>
            </w:r>
          </w:p>
        </w:tc>
        <w:tc>
          <w:tcPr>
            <w:tcW w:w="0" w:type="auto"/>
            <w:vAlign w:val="center"/>
            <w:hideMark/>
          </w:tcPr>
          <w:p w14:paraId="0EFAC2F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0.012 ± 0.006</w:t>
            </w:r>
          </w:p>
        </w:tc>
        <w:tc>
          <w:tcPr>
            <w:tcW w:w="0" w:type="auto"/>
            <w:vAlign w:val="center"/>
            <w:hideMark/>
          </w:tcPr>
          <w:p w14:paraId="4515517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0.01</w:t>
            </w:r>
          </w:p>
        </w:tc>
      </w:tr>
      <w:tr w:rsidR="00553366" w:rsidRPr="00553366" w14:paraId="773335C5" w14:textId="77777777" w:rsidTr="00553366">
        <w:trPr>
          <w:tblCellSpacing w:w="15" w:type="dxa"/>
        </w:trPr>
        <w:tc>
          <w:tcPr>
            <w:tcW w:w="0" w:type="auto"/>
            <w:vAlign w:val="center"/>
            <w:hideMark/>
          </w:tcPr>
          <w:p w14:paraId="74D132F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Cadmium (Cd)</w:t>
            </w:r>
          </w:p>
        </w:tc>
        <w:tc>
          <w:tcPr>
            <w:tcW w:w="0" w:type="auto"/>
            <w:vAlign w:val="center"/>
            <w:hideMark/>
          </w:tcPr>
          <w:p w14:paraId="189D1C2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0.001</w:t>
            </w:r>
          </w:p>
        </w:tc>
        <w:tc>
          <w:tcPr>
            <w:tcW w:w="0" w:type="auto"/>
            <w:vAlign w:val="center"/>
            <w:hideMark/>
          </w:tcPr>
          <w:p w14:paraId="5E4EBA4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0.006</w:t>
            </w:r>
          </w:p>
        </w:tc>
        <w:tc>
          <w:tcPr>
            <w:tcW w:w="0" w:type="auto"/>
            <w:vAlign w:val="center"/>
            <w:hideMark/>
          </w:tcPr>
          <w:p w14:paraId="0D4DC82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0.003 ± 0.002</w:t>
            </w:r>
          </w:p>
        </w:tc>
        <w:tc>
          <w:tcPr>
            <w:tcW w:w="0" w:type="auto"/>
            <w:vAlign w:val="center"/>
            <w:hideMark/>
          </w:tcPr>
          <w:p w14:paraId="7C056CF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0.003</w:t>
            </w:r>
          </w:p>
        </w:tc>
      </w:tr>
      <w:tr w:rsidR="00553366" w:rsidRPr="00553366" w14:paraId="08DD052A" w14:textId="77777777" w:rsidTr="00553366">
        <w:trPr>
          <w:tblCellSpacing w:w="15" w:type="dxa"/>
        </w:trPr>
        <w:tc>
          <w:tcPr>
            <w:tcW w:w="0" w:type="auto"/>
            <w:vAlign w:val="center"/>
            <w:hideMark/>
          </w:tcPr>
          <w:p w14:paraId="02A2BD2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Chromium (Cr)</w:t>
            </w:r>
          </w:p>
        </w:tc>
        <w:tc>
          <w:tcPr>
            <w:tcW w:w="0" w:type="auto"/>
            <w:vAlign w:val="center"/>
            <w:hideMark/>
          </w:tcPr>
          <w:p w14:paraId="384055D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0.006</w:t>
            </w:r>
          </w:p>
        </w:tc>
        <w:tc>
          <w:tcPr>
            <w:tcW w:w="0" w:type="auto"/>
            <w:vAlign w:val="center"/>
            <w:hideMark/>
          </w:tcPr>
          <w:p w14:paraId="172AFC6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0.031</w:t>
            </w:r>
          </w:p>
        </w:tc>
        <w:tc>
          <w:tcPr>
            <w:tcW w:w="0" w:type="auto"/>
            <w:vAlign w:val="center"/>
            <w:hideMark/>
          </w:tcPr>
          <w:p w14:paraId="67226C6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0.017 ± 0.009</w:t>
            </w:r>
          </w:p>
        </w:tc>
        <w:tc>
          <w:tcPr>
            <w:tcW w:w="0" w:type="auto"/>
            <w:vAlign w:val="center"/>
            <w:hideMark/>
          </w:tcPr>
          <w:p w14:paraId="2EA4F1C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0.05</w:t>
            </w:r>
          </w:p>
        </w:tc>
      </w:tr>
      <w:tr w:rsidR="00553366" w:rsidRPr="00553366" w14:paraId="6C222126" w14:textId="77777777" w:rsidTr="00553366">
        <w:trPr>
          <w:tblCellSpacing w:w="15" w:type="dxa"/>
        </w:trPr>
        <w:tc>
          <w:tcPr>
            <w:tcW w:w="0" w:type="auto"/>
            <w:vAlign w:val="center"/>
            <w:hideMark/>
          </w:tcPr>
          <w:p w14:paraId="221BDED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Nickel (Ni)</w:t>
            </w:r>
          </w:p>
        </w:tc>
        <w:tc>
          <w:tcPr>
            <w:tcW w:w="0" w:type="auto"/>
            <w:vAlign w:val="center"/>
            <w:hideMark/>
          </w:tcPr>
          <w:p w14:paraId="2241D6D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0.004</w:t>
            </w:r>
          </w:p>
        </w:tc>
        <w:tc>
          <w:tcPr>
            <w:tcW w:w="0" w:type="auto"/>
            <w:vAlign w:val="center"/>
            <w:hideMark/>
          </w:tcPr>
          <w:p w14:paraId="52DC016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0.029</w:t>
            </w:r>
          </w:p>
        </w:tc>
        <w:tc>
          <w:tcPr>
            <w:tcW w:w="0" w:type="auto"/>
            <w:vAlign w:val="center"/>
            <w:hideMark/>
          </w:tcPr>
          <w:p w14:paraId="5D2E733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0.014 ± 0.009</w:t>
            </w:r>
          </w:p>
        </w:tc>
        <w:tc>
          <w:tcPr>
            <w:tcW w:w="0" w:type="auto"/>
            <w:vAlign w:val="center"/>
            <w:hideMark/>
          </w:tcPr>
          <w:p w14:paraId="5A077BB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0.02</w:t>
            </w:r>
          </w:p>
        </w:tc>
      </w:tr>
      <w:tr w:rsidR="00553366" w:rsidRPr="00553366" w14:paraId="58AF4912" w14:textId="77777777" w:rsidTr="00553366">
        <w:trPr>
          <w:tblCellSpacing w:w="15" w:type="dxa"/>
        </w:trPr>
        <w:tc>
          <w:tcPr>
            <w:tcW w:w="0" w:type="auto"/>
            <w:vAlign w:val="center"/>
            <w:hideMark/>
          </w:tcPr>
          <w:p w14:paraId="745EB0C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Zinc (Zn)</w:t>
            </w:r>
          </w:p>
        </w:tc>
        <w:tc>
          <w:tcPr>
            <w:tcW w:w="0" w:type="auto"/>
            <w:vAlign w:val="center"/>
            <w:hideMark/>
          </w:tcPr>
          <w:p w14:paraId="6FB1AE5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0.12</w:t>
            </w:r>
          </w:p>
        </w:tc>
        <w:tc>
          <w:tcPr>
            <w:tcW w:w="0" w:type="auto"/>
            <w:vAlign w:val="center"/>
            <w:hideMark/>
          </w:tcPr>
          <w:p w14:paraId="0E7B3CC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0.88</w:t>
            </w:r>
          </w:p>
        </w:tc>
        <w:tc>
          <w:tcPr>
            <w:tcW w:w="0" w:type="auto"/>
            <w:vAlign w:val="center"/>
            <w:hideMark/>
          </w:tcPr>
          <w:p w14:paraId="28D7055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0.42 ± 0.29</w:t>
            </w:r>
          </w:p>
        </w:tc>
        <w:tc>
          <w:tcPr>
            <w:tcW w:w="0" w:type="auto"/>
            <w:vAlign w:val="center"/>
            <w:hideMark/>
          </w:tcPr>
          <w:p w14:paraId="5BF4C82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3.0</w:t>
            </w:r>
          </w:p>
        </w:tc>
      </w:tr>
      <w:tr w:rsidR="00553366" w:rsidRPr="00553366" w14:paraId="00CFAF69" w14:textId="77777777" w:rsidTr="00553366">
        <w:trPr>
          <w:tblCellSpacing w:w="15" w:type="dxa"/>
        </w:trPr>
        <w:tc>
          <w:tcPr>
            <w:tcW w:w="0" w:type="auto"/>
            <w:vAlign w:val="center"/>
            <w:hideMark/>
          </w:tcPr>
          <w:p w14:paraId="57932DA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Copper (Cu)</w:t>
            </w:r>
          </w:p>
        </w:tc>
        <w:tc>
          <w:tcPr>
            <w:tcW w:w="0" w:type="auto"/>
            <w:vAlign w:val="center"/>
            <w:hideMark/>
          </w:tcPr>
          <w:p w14:paraId="444A372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0.05</w:t>
            </w:r>
          </w:p>
        </w:tc>
        <w:tc>
          <w:tcPr>
            <w:tcW w:w="0" w:type="auto"/>
            <w:vAlign w:val="center"/>
            <w:hideMark/>
          </w:tcPr>
          <w:p w14:paraId="6E32BFD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0.42</w:t>
            </w:r>
          </w:p>
        </w:tc>
        <w:tc>
          <w:tcPr>
            <w:tcW w:w="0" w:type="auto"/>
            <w:vAlign w:val="center"/>
            <w:hideMark/>
          </w:tcPr>
          <w:p w14:paraId="2BF576F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0.21 ± 0.14</w:t>
            </w:r>
          </w:p>
        </w:tc>
        <w:tc>
          <w:tcPr>
            <w:tcW w:w="0" w:type="auto"/>
            <w:vAlign w:val="center"/>
            <w:hideMark/>
          </w:tcPr>
          <w:p w14:paraId="02E0B01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2.0</w:t>
            </w:r>
          </w:p>
        </w:tc>
      </w:tr>
    </w:tbl>
    <w:p w14:paraId="3A88EED8" w14:textId="3D25B95B"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p>
    <w:p w14:paraId="323F9893" w14:textId="77777777" w:rsidR="00553366" w:rsidRPr="00553366" w:rsidRDefault="00553366" w:rsidP="0055336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Table 4: Microbiological Quality of Borehole Water</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3905"/>
        <w:gridCol w:w="1087"/>
        <w:gridCol w:w="1127"/>
        <w:gridCol w:w="1394"/>
        <w:gridCol w:w="1843"/>
      </w:tblGrid>
      <w:tr w:rsidR="00553366" w:rsidRPr="00553366" w14:paraId="6B1885D1" w14:textId="77777777" w:rsidTr="00553366">
        <w:trPr>
          <w:tblHeader/>
          <w:tblCellSpacing w:w="15" w:type="dxa"/>
        </w:trPr>
        <w:tc>
          <w:tcPr>
            <w:tcW w:w="0" w:type="auto"/>
            <w:vAlign w:val="center"/>
            <w:hideMark/>
          </w:tcPr>
          <w:p w14:paraId="4CCD0A68"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Parameter</w:t>
            </w:r>
          </w:p>
        </w:tc>
        <w:tc>
          <w:tcPr>
            <w:tcW w:w="0" w:type="auto"/>
            <w:vAlign w:val="center"/>
            <w:hideMark/>
          </w:tcPr>
          <w:p w14:paraId="71150ACD"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Minimum</w:t>
            </w:r>
          </w:p>
        </w:tc>
        <w:tc>
          <w:tcPr>
            <w:tcW w:w="0" w:type="auto"/>
            <w:vAlign w:val="center"/>
            <w:hideMark/>
          </w:tcPr>
          <w:p w14:paraId="4F4C3E34"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Maximum</w:t>
            </w:r>
          </w:p>
        </w:tc>
        <w:tc>
          <w:tcPr>
            <w:tcW w:w="1364" w:type="dxa"/>
            <w:vAlign w:val="center"/>
            <w:hideMark/>
          </w:tcPr>
          <w:p w14:paraId="3AFB21BD"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Mean ± SD</w:t>
            </w:r>
          </w:p>
        </w:tc>
        <w:tc>
          <w:tcPr>
            <w:tcW w:w="1798" w:type="dxa"/>
            <w:vAlign w:val="center"/>
            <w:hideMark/>
          </w:tcPr>
          <w:p w14:paraId="4F4A2920"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WHO Standard</w:t>
            </w:r>
          </w:p>
        </w:tc>
      </w:tr>
      <w:tr w:rsidR="00553366" w:rsidRPr="00553366" w14:paraId="63129391" w14:textId="77777777" w:rsidTr="00553366">
        <w:trPr>
          <w:tblCellSpacing w:w="15" w:type="dxa"/>
        </w:trPr>
        <w:tc>
          <w:tcPr>
            <w:tcW w:w="0" w:type="auto"/>
            <w:vAlign w:val="center"/>
            <w:hideMark/>
          </w:tcPr>
          <w:p w14:paraId="26D290E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Total Coliforms (CFU/100 mL)</w:t>
            </w:r>
          </w:p>
        </w:tc>
        <w:tc>
          <w:tcPr>
            <w:tcW w:w="0" w:type="auto"/>
            <w:vAlign w:val="center"/>
            <w:hideMark/>
          </w:tcPr>
          <w:p w14:paraId="770E7A1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w:t>
            </w:r>
          </w:p>
        </w:tc>
        <w:tc>
          <w:tcPr>
            <w:tcW w:w="0" w:type="auto"/>
            <w:vAlign w:val="center"/>
            <w:hideMark/>
          </w:tcPr>
          <w:p w14:paraId="016E7B5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18</w:t>
            </w:r>
          </w:p>
        </w:tc>
        <w:tc>
          <w:tcPr>
            <w:tcW w:w="1364" w:type="dxa"/>
            <w:vAlign w:val="center"/>
            <w:hideMark/>
          </w:tcPr>
          <w:p w14:paraId="067F122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6.4 ± 6.8</w:t>
            </w:r>
          </w:p>
        </w:tc>
        <w:tc>
          <w:tcPr>
            <w:tcW w:w="1798" w:type="dxa"/>
            <w:vAlign w:val="center"/>
            <w:hideMark/>
          </w:tcPr>
          <w:p w14:paraId="53E714B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w:t>
            </w:r>
          </w:p>
        </w:tc>
      </w:tr>
      <w:tr w:rsidR="00553366" w:rsidRPr="00553366" w14:paraId="7D108639" w14:textId="77777777" w:rsidTr="00553366">
        <w:trPr>
          <w:tblCellSpacing w:w="15" w:type="dxa"/>
        </w:trPr>
        <w:tc>
          <w:tcPr>
            <w:tcW w:w="0" w:type="auto"/>
            <w:vAlign w:val="center"/>
            <w:hideMark/>
          </w:tcPr>
          <w:p w14:paraId="5AB40F8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Faecal Coliforms (CFU/100 mL)</w:t>
            </w:r>
          </w:p>
        </w:tc>
        <w:tc>
          <w:tcPr>
            <w:tcW w:w="0" w:type="auto"/>
            <w:vAlign w:val="center"/>
            <w:hideMark/>
          </w:tcPr>
          <w:p w14:paraId="48C4461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w:t>
            </w:r>
          </w:p>
        </w:tc>
        <w:tc>
          <w:tcPr>
            <w:tcW w:w="0" w:type="auto"/>
            <w:vAlign w:val="center"/>
            <w:hideMark/>
          </w:tcPr>
          <w:p w14:paraId="2CC1EC5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7</w:t>
            </w:r>
          </w:p>
        </w:tc>
        <w:tc>
          <w:tcPr>
            <w:tcW w:w="1364" w:type="dxa"/>
            <w:vAlign w:val="center"/>
            <w:hideMark/>
          </w:tcPr>
          <w:p w14:paraId="2693EB5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2.1 ± 2.9</w:t>
            </w:r>
          </w:p>
        </w:tc>
        <w:tc>
          <w:tcPr>
            <w:tcW w:w="1798" w:type="dxa"/>
            <w:vAlign w:val="center"/>
            <w:hideMark/>
          </w:tcPr>
          <w:p w14:paraId="13B760F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w:t>
            </w:r>
          </w:p>
        </w:tc>
      </w:tr>
      <w:tr w:rsidR="00553366" w:rsidRPr="00553366" w14:paraId="0F9B9958" w14:textId="77777777" w:rsidTr="00553366">
        <w:trPr>
          <w:tblCellSpacing w:w="15" w:type="dxa"/>
        </w:trPr>
        <w:tc>
          <w:tcPr>
            <w:tcW w:w="0" w:type="auto"/>
            <w:vAlign w:val="center"/>
            <w:hideMark/>
          </w:tcPr>
          <w:p w14:paraId="7DFA415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Escherichia coli (CFU/100 mL)</w:t>
            </w:r>
          </w:p>
        </w:tc>
        <w:tc>
          <w:tcPr>
            <w:tcW w:w="0" w:type="auto"/>
            <w:vAlign w:val="center"/>
            <w:hideMark/>
          </w:tcPr>
          <w:p w14:paraId="04AAE5B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w:t>
            </w:r>
          </w:p>
        </w:tc>
        <w:tc>
          <w:tcPr>
            <w:tcW w:w="0" w:type="auto"/>
            <w:vAlign w:val="center"/>
            <w:hideMark/>
          </w:tcPr>
          <w:p w14:paraId="2B3AFE8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w:t>
            </w:r>
          </w:p>
        </w:tc>
        <w:tc>
          <w:tcPr>
            <w:tcW w:w="1364" w:type="dxa"/>
            <w:vAlign w:val="center"/>
            <w:hideMark/>
          </w:tcPr>
          <w:p w14:paraId="1143A6F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1.3 ± 1.6</w:t>
            </w:r>
          </w:p>
        </w:tc>
        <w:tc>
          <w:tcPr>
            <w:tcW w:w="1798" w:type="dxa"/>
            <w:vAlign w:val="center"/>
            <w:hideMark/>
          </w:tcPr>
          <w:p w14:paraId="6B67FE8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w:t>
            </w:r>
          </w:p>
        </w:tc>
      </w:tr>
      <w:tr w:rsidR="00553366" w:rsidRPr="00553366" w14:paraId="2CFAB95B" w14:textId="77777777" w:rsidTr="00553366">
        <w:trPr>
          <w:tblCellSpacing w:w="15" w:type="dxa"/>
        </w:trPr>
        <w:tc>
          <w:tcPr>
            <w:tcW w:w="0" w:type="auto"/>
            <w:vAlign w:val="center"/>
            <w:hideMark/>
          </w:tcPr>
          <w:p w14:paraId="5F568FD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Total Heterotrophic Bacteria (CFU/mL)</w:t>
            </w:r>
          </w:p>
        </w:tc>
        <w:tc>
          <w:tcPr>
            <w:tcW w:w="0" w:type="auto"/>
            <w:vAlign w:val="center"/>
            <w:hideMark/>
          </w:tcPr>
          <w:p w14:paraId="16D856B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120</w:t>
            </w:r>
          </w:p>
        </w:tc>
        <w:tc>
          <w:tcPr>
            <w:tcW w:w="0" w:type="auto"/>
            <w:vAlign w:val="center"/>
            <w:hideMark/>
          </w:tcPr>
          <w:p w14:paraId="0484564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740</w:t>
            </w:r>
          </w:p>
        </w:tc>
        <w:tc>
          <w:tcPr>
            <w:tcW w:w="1364" w:type="dxa"/>
            <w:vAlign w:val="center"/>
            <w:hideMark/>
          </w:tcPr>
          <w:p w14:paraId="63EE651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418 ± 213</w:t>
            </w:r>
          </w:p>
        </w:tc>
        <w:tc>
          <w:tcPr>
            <w:tcW w:w="1798" w:type="dxa"/>
            <w:vAlign w:val="center"/>
            <w:hideMark/>
          </w:tcPr>
          <w:p w14:paraId="4BA8FCE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≤500</w:t>
            </w:r>
          </w:p>
        </w:tc>
      </w:tr>
    </w:tbl>
    <w:p w14:paraId="29A59B92" w14:textId="080EDC4A"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p>
    <w:p w14:paraId="514DFCC4" w14:textId="77777777" w:rsidR="00553366" w:rsidRPr="00553366" w:rsidRDefault="00553366" w:rsidP="0055336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lastRenderedPageBreak/>
        <w:t>Table 5: Water Quality Index (WQI)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1334"/>
        <w:gridCol w:w="2061"/>
        <w:gridCol w:w="1143"/>
      </w:tblGrid>
      <w:tr w:rsidR="00553366" w:rsidRPr="00553366" w14:paraId="4BE299AE" w14:textId="77777777" w:rsidTr="00553366">
        <w:trPr>
          <w:tblHeader/>
          <w:tblCellSpacing w:w="15" w:type="dxa"/>
        </w:trPr>
        <w:tc>
          <w:tcPr>
            <w:tcW w:w="0" w:type="auto"/>
            <w:vAlign w:val="center"/>
            <w:hideMark/>
          </w:tcPr>
          <w:p w14:paraId="37E6C50B"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Parameter</w:t>
            </w:r>
          </w:p>
        </w:tc>
        <w:tc>
          <w:tcPr>
            <w:tcW w:w="0" w:type="auto"/>
            <w:vAlign w:val="center"/>
            <w:hideMark/>
          </w:tcPr>
          <w:p w14:paraId="2B2208AB"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Weight (Wi)</w:t>
            </w:r>
          </w:p>
        </w:tc>
        <w:tc>
          <w:tcPr>
            <w:tcW w:w="0" w:type="auto"/>
            <w:vAlign w:val="center"/>
            <w:hideMark/>
          </w:tcPr>
          <w:p w14:paraId="53B36182"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Quality Rating (Qi)</w:t>
            </w:r>
          </w:p>
        </w:tc>
        <w:tc>
          <w:tcPr>
            <w:tcW w:w="0" w:type="auto"/>
            <w:vAlign w:val="center"/>
            <w:hideMark/>
          </w:tcPr>
          <w:p w14:paraId="23B0ACD1"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Sub-Index</w:t>
            </w:r>
          </w:p>
        </w:tc>
      </w:tr>
      <w:tr w:rsidR="00553366" w:rsidRPr="00553366" w14:paraId="3184131F" w14:textId="77777777" w:rsidTr="00553366">
        <w:trPr>
          <w:tblCellSpacing w:w="15" w:type="dxa"/>
        </w:trPr>
        <w:tc>
          <w:tcPr>
            <w:tcW w:w="0" w:type="auto"/>
            <w:vAlign w:val="center"/>
            <w:hideMark/>
          </w:tcPr>
          <w:p w14:paraId="4F2E743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pH</w:t>
            </w:r>
          </w:p>
        </w:tc>
        <w:tc>
          <w:tcPr>
            <w:tcW w:w="0" w:type="auto"/>
            <w:vAlign w:val="center"/>
            <w:hideMark/>
          </w:tcPr>
          <w:p w14:paraId="442C365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w:t>
            </w:r>
          </w:p>
        </w:tc>
        <w:tc>
          <w:tcPr>
            <w:tcW w:w="0" w:type="auto"/>
            <w:vAlign w:val="center"/>
            <w:hideMark/>
          </w:tcPr>
          <w:p w14:paraId="6F2CBC4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88</w:t>
            </w:r>
          </w:p>
        </w:tc>
        <w:tc>
          <w:tcPr>
            <w:tcW w:w="0" w:type="auto"/>
            <w:vAlign w:val="center"/>
            <w:hideMark/>
          </w:tcPr>
          <w:p w14:paraId="2240F85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352</w:t>
            </w:r>
          </w:p>
        </w:tc>
      </w:tr>
      <w:tr w:rsidR="00553366" w:rsidRPr="00553366" w14:paraId="58EA0BFA" w14:textId="77777777" w:rsidTr="00553366">
        <w:trPr>
          <w:tblCellSpacing w:w="15" w:type="dxa"/>
        </w:trPr>
        <w:tc>
          <w:tcPr>
            <w:tcW w:w="0" w:type="auto"/>
            <w:vAlign w:val="center"/>
            <w:hideMark/>
          </w:tcPr>
          <w:p w14:paraId="32DE6D3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TDS</w:t>
            </w:r>
          </w:p>
        </w:tc>
        <w:tc>
          <w:tcPr>
            <w:tcW w:w="0" w:type="auto"/>
            <w:vAlign w:val="center"/>
            <w:hideMark/>
          </w:tcPr>
          <w:p w14:paraId="1A10D8D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w:t>
            </w:r>
          </w:p>
        </w:tc>
        <w:tc>
          <w:tcPr>
            <w:tcW w:w="0" w:type="auto"/>
            <w:vAlign w:val="center"/>
            <w:hideMark/>
          </w:tcPr>
          <w:p w14:paraId="135B34E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58</w:t>
            </w:r>
          </w:p>
        </w:tc>
        <w:tc>
          <w:tcPr>
            <w:tcW w:w="0" w:type="auto"/>
            <w:vAlign w:val="center"/>
            <w:hideMark/>
          </w:tcPr>
          <w:p w14:paraId="2D094D5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232</w:t>
            </w:r>
          </w:p>
        </w:tc>
      </w:tr>
      <w:tr w:rsidR="00553366" w:rsidRPr="00553366" w14:paraId="2084808A" w14:textId="77777777" w:rsidTr="00553366">
        <w:trPr>
          <w:tblCellSpacing w:w="15" w:type="dxa"/>
        </w:trPr>
        <w:tc>
          <w:tcPr>
            <w:tcW w:w="0" w:type="auto"/>
            <w:vAlign w:val="center"/>
            <w:hideMark/>
          </w:tcPr>
          <w:p w14:paraId="25DA673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NO₃⁻</w:t>
            </w:r>
          </w:p>
        </w:tc>
        <w:tc>
          <w:tcPr>
            <w:tcW w:w="0" w:type="auto"/>
            <w:vAlign w:val="center"/>
            <w:hideMark/>
          </w:tcPr>
          <w:p w14:paraId="46B56F7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w:t>
            </w:r>
          </w:p>
        </w:tc>
        <w:tc>
          <w:tcPr>
            <w:tcW w:w="0" w:type="auto"/>
            <w:vAlign w:val="center"/>
            <w:hideMark/>
          </w:tcPr>
          <w:p w14:paraId="3981BF3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43</w:t>
            </w:r>
          </w:p>
        </w:tc>
        <w:tc>
          <w:tcPr>
            <w:tcW w:w="0" w:type="auto"/>
            <w:vAlign w:val="center"/>
            <w:hideMark/>
          </w:tcPr>
          <w:p w14:paraId="4192319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215</w:t>
            </w:r>
          </w:p>
        </w:tc>
      </w:tr>
      <w:tr w:rsidR="00553366" w:rsidRPr="00553366" w14:paraId="109F5F7A" w14:textId="77777777" w:rsidTr="00553366">
        <w:trPr>
          <w:tblCellSpacing w:w="15" w:type="dxa"/>
        </w:trPr>
        <w:tc>
          <w:tcPr>
            <w:tcW w:w="0" w:type="auto"/>
            <w:vAlign w:val="center"/>
            <w:hideMark/>
          </w:tcPr>
          <w:p w14:paraId="1643E11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SO₄²⁻</w:t>
            </w:r>
          </w:p>
        </w:tc>
        <w:tc>
          <w:tcPr>
            <w:tcW w:w="0" w:type="auto"/>
            <w:vAlign w:val="center"/>
            <w:hideMark/>
          </w:tcPr>
          <w:p w14:paraId="451ED04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w:t>
            </w:r>
          </w:p>
        </w:tc>
        <w:tc>
          <w:tcPr>
            <w:tcW w:w="0" w:type="auto"/>
            <w:vAlign w:val="center"/>
            <w:hideMark/>
          </w:tcPr>
          <w:p w14:paraId="4A27F72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19</w:t>
            </w:r>
          </w:p>
        </w:tc>
        <w:tc>
          <w:tcPr>
            <w:tcW w:w="0" w:type="auto"/>
            <w:vAlign w:val="center"/>
            <w:hideMark/>
          </w:tcPr>
          <w:p w14:paraId="7A40523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57</w:t>
            </w:r>
          </w:p>
        </w:tc>
      </w:tr>
      <w:tr w:rsidR="00553366" w:rsidRPr="00553366" w14:paraId="02E98686" w14:textId="77777777" w:rsidTr="00553366">
        <w:trPr>
          <w:tblCellSpacing w:w="15" w:type="dxa"/>
        </w:trPr>
        <w:tc>
          <w:tcPr>
            <w:tcW w:w="0" w:type="auto"/>
            <w:vAlign w:val="center"/>
            <w:hideMark/>
          </w:tcPr>
          <w:p w14:paraId="4D1E8E1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Cl⁻</w:t>
            </w:r>
          </w:p>
        </w:tc>
        <w:tc>
          <w:tcPr>
            <w:tcW w:w="0" w:type="auto"/>
            <w:vAlign w:val="center"/>
            <w:hideMark/>
          </w:tcPr>
          <w:p w14:paraId="283D8F6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w:t>
            </w:r>
          </w:p>
        </w:tc>
        <w:tc>
          <w:tcPr>
            <w:tcW w:w="0" w:type="auto"/>
            <w:vAlign w:val="center"/>
            <w:hideMark/>
          </w:tcPr>
          <w:p w14:paraId="5CB318B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39</w:t>
            </w:r>
          </w:p>
        </w:tc>
        <w:tc>
          <w:tcPr>
            <w:tcW w:w="0" w:type="auto"/>
            <w:vAlign w:val="center"/>
            <w:hideMark/>
          </w:tcPr>
          <w:p w14:paraId="5DC8FEF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117</w:t>
            </w:r>
          </w:p>
        </w:tc>
      </w:tr>
      <w:tr w:rsidR="00553366" w:rsidRPr="00553366" w14:paraId="3AAA2BA6" w14:textId="77777777" w:rsidTr="00553366">
        <w:trPr>
          <w:tblCellSpacing w:w="15" w:type="dxa"/>
        </w:trPr>
        <w:tc>
          <w:tcPr>
            <w:tcW w:w="0" w:type="auto"/>
            <w:vAlign w:val="center"/>
            <w:hideMark/>
          </w:tcPr>
          <w:p w14:paraId="53DA78C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Fe</w:t>
            </w:r>
          </w:p>
        </w:tc>
        <w:tc>
          <w:tcPr>
            <w:tcW w:w="0" w:type="auto"/>
            <w:vAlign w:val="center"/>
            <w:hideMark/>
          </w:tcPr>
          <w:p w14:paraId="7F5849AD"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w:t>
            </w:r>
          </w:p>
        </w:tc>
        <w:tc>
          <w:tcPr>
            <w:tcW w:w="0" w:type="auto"/>
            <w:vAlign w:val="center"/>
            <w:hideMark/>
          </w:tcPr>
          <w:p w14:paraId="790F6B7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153</w:t>
            </w:r>
          </w:p>
        </w:tc>
        <w:tc>
          <w:tcPr>
            <w:tcW w:w="0" w:type="auto"/>
            <w:vAlign w:val="center"/>
            <w:hideMark/>
          </w:tcPr>
          <w:p w14:paraId="5F9A39D9"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765</w:t>
            </w:r>
          </w:p>
        </w:tc>
      </w:tr>
      <w:tr w:rsidR="00553366" w:rsidRPr="00553366" w14:paraId="1DFE1D4D" w14:textId="77777777" w:rsidTr="00553366">
        <w:trPr>
          <w:tblCellSpacing w:w="15" w:type="dxa"/>
        </w:trPr>
        <w:tc>
          <w:tcPr>
            <w:tcW w:w="0" w:type="auto"/>
            <w:vAlign w:val="center"/>
            <w:hideMark/>
          </w:tcPr>
          <w:p w14:paraId="2D5955C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Pb</w:t>
            </w:r>
          </w:p>
        </w:tc>
        <w:tc>
          <w:tcPr>
            <w:tcW w:w="0" w:type="auto"/>
            <w:vAlign w:val="center"/>
            <w:hideMark/>
          </w:tcPr>
          <w:p w14:paraId="573C57E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w:t>
            </w:r>
          </w:p>
        </w:tc>
        <w:tc>
          <w:tcPr>
            <w:tcW w:w="0" w:type="auto"/>
            <w:vAlign w:val="center"/>
            <w:hideMark/>
          </w:tcPr>
          <w:p w14:paraId="41063ED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120</w:t>
            </w:r>
          </w:p>
        </w:tc>
        <w:tc>
          <w:tcPr>
            <w:tcW w:w="0" w:type="auto"/>
            <w:vAlign w:val="center"/>
            <w:hideMark/>
          </w:tcPr>
          <w:p w14:paraId="27A5C83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600</w:t>
            </w:r>
          </w:p>
        </w:tc>
      </w:tr>
      <w:tr w:rsidR="00553366" w:rsidRPr="00553366" w14:paraId="7F60E27F" w14:textId="77777777" w:rsidTr="00553366">
        <w:trPr>
          <w:tblCellSpacing w:w="15" w:type="dxa"/>
        </w:trPr>
        <w:tc>
          <w:tcPr>
            <w:tcW w:w="0" w:type="auto"/>
            <w:vAlign w:val="center"/>
            <w:hideMark/>
          </w:tcPr>
          <w:p w14:paraId="38B6E57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Overall WQI</w:t>
            </w:r>
          </w:p>
        </w:tc>
        <w:tc>
          <w:tcPr>
            <w:tcW w:w="0" w:type="auto"/>
            <w:vAlign w:val="center"/>
            <w:hideMark/>
          </w:tcPr>
          <w:p w14:paraId="5B8E05E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w:t>
            </w:r>
          </w:p>
        </w:tc>
        <w:tc>
          <w:tcPr>
            <w:tcW w:w="0" w:type="auto"/>
            <w:vAlign w:val="center"/>
            <w:hideMark/>
          </w:tcPr>
          <w:p w14:paraId="728582E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w:t>
            </w:r>
          </w:p>
        </w:tc>
        <w:tc>
          <w:tcPr>
            <w:tcW w:w="0" w:type="auto"/>
            <w:vAlign w:val="center"/>
            <w:hideMark/>
          </w:tcPr>
          <w:p w14:paraId="06FBA7CC"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239</w:t>
            </w:r>
          </w:p>
        </w:tc>
      </w:tr>
    </w:tbl>
    <w:p w14:paraId="42DE147A" w14:textId="7F7A0B42"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p>
    <w:p w14:paraId="5CC46D5A" w14:textId="77777777" w:rsidR="00553366" w:rsidRPr="00553366" w:rsidRDefault="00553366" w:rsidP="0055336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Table 6: Non-Carcinogenic Human Health Risk Assessment (Ingestion Pathway)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1980"/>
        <w:gridCol w:w="2355"/>
      </w:tblGrid>
      <w:tr w:rsidR="00553366" w:rsidRPr="00553366" w14:paraId="3863B148" w14:textId="77777777" w:rsidTr="00553366">
        <w:trPr>
          <w:tblHeader/>
          <w:tblCellSpacing w:w="15" w:type="dxa"/>
        </w:trPr>
        <w:tc>
          <w:tcPr>
            <w:tcW w:w="0" w:type="auto"/>
            <w:vAlign w:val="center"/>
            <w:hideMark/>
          </w:tcPr>
          <w:p w14:paraId="76A3F826"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Metal</w:t>
            </w:r>
          </w:p>
        </w:tc>
        <w:tc>
          <w:tcPr>
            <w:tcW w:w="0" w:type="auto"/>
            <w:vAlign w:val="center"/>
            <w:hideMark/>
          </w:tcPr>
          <w:p w14:paraId="0B73BD93"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HQ Adults</w:t>
            </w:r>
          </w:p>
        </w:tc>
        <w:tc>
          <w:tcPr>
            <w:tcW w:w="0" w:type="auto"/>
            <w:vAlign w:val="center"/>
            <w:hideMark/>
          </w:tcPr>
          <w:p w14:paraId="723C55F0"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HQ Children</w:t>
            </w:r>
          </w:p>
        </w:tc>
        <w:tc>
          <w:tcPr>
            <w:tcW w:w="0" w:type="auto"/>
            <w:vAlign w:val="center"/>
            <w:hideMark/>
          </w:tcPr>
          <w:p w14:paraId="0FB9D878"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Hazard Index (HI)</w:t>
            </w:r>
          </w:p>
        </w:tc>
        <w:tc>
          <w:tcPr>
            <w:tcW w:w="0" w:type="auto"/>
            <w:vAlign w:val="center"/>
            <w:hideMark/>
          </w:tcPr>
          <w:p w14:paraId="67B225DE"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Risk Interpretation</w:t>
            </w:r>
          </w:p>
        </w:tc>
      </w:tr>
      <w:tr w:rsidR="00553366" w:rsidRPr="00553366" w14:paraId="0FA1211E" w14:textId="77777777" w:rsidTr="00553366">
        <w:trPr>
          <w:tblCellSpacing w:w="15" w:type="dxa"/>
        </w:trPr>
        <w:tc>
          <w:tcPr>
            <w:tcW w:w="0" w:type="auto"/>
            <w:vAlign w:val="center"/>
            <w:hideMark/>
          </w:tcPr>
          <w:p w14:paraId="6394E5C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Pb</w:t>
            </w:r>
          </w:p>
        </w:tc>
        <w:tc>
          <w:tcPr>
            <w:tcW w:w="0" w:type="auto"/>
            <w:vAlign w:val="center"/>
            <w:hideMark/>
          </w:tcPr>
          <w:p w14:paraId="623F0BB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0.72</w:t>
            </w:r>
          </w:p>
        </w:tc>
        <w:tc>
          <w:tcPr>
            <w:tcW w:w="0" w:type="auto"/>
            <w:vAlign w:val="center"/>
            <w:hideMark/>
          </w:tcPr>
          <w:p w14:paraId="27B0FC7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1.58</w:t>
            </w:r>
          </w:p>
        </w:tc>
        <w:tc>
          <w:tcPr>
            <w:tcW w:w="0" w:type="auto"/>
            <w:vAlign w:val="center"/>
            <w:hideMark/>
          </w:tcPr>
          <w:p w14:paraId="4BD32A2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2.30</w:t>
            </w:r>
          </w:p>
        </w:tc>
        <w:tc>
          <w:tcPr>
            <w:tcW w:w="0" w:type="auto"/>
            <w:vAlign w:val="center"/>
            <w:hideMark/>
          </w:tcPr>
          <w:p w14:paraId="7F05768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Potential risk (children)</w:t>
            </w:r>
          </w:p>
        </w:tc>
      </w:tr>
      <w:tr w:rsidR="00553366" w:rsidRPr="00553366" w14:paraId="644F7F9D" w14:textId="77777777" w:rsidTr="00553366">
        <w:trPr>
          <w:tblCellSpacing w:w="15" w:type="dxa"/>
        </w:trPr>
        <w:tc>
          <w:tcPr>
            <w:tcW w:w="0" w:type="auto"/>
            <w:vAlign w:val="center"/>
            <w:hideMark/>
          </w:tcPr>
          <w:p w14:paraId="338029F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Cd</w:t>
            </w:r>
          </w:p>
        </w:tc>
        <w:tc>
          <w:tcPr>
            <w:tcW w:w="0" w:type="auto"/>
            <w:vAlign w:val="center"/>
            <w:hideMark/>
          </w:tcPr>
          <w:p w14:paraId="56D750D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0.64</w:t>
            </w:r>
          </w:p>
        </w:tc>
        <w:tc>
          <w:tcPr>
            <w:tcW w:w="0" w:type="auto"/>
            <w:vAlign w:val="center"/>
            <w:hideMark/>
          </w:tcPr>
          <w:p w14:paraId="1D45D72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1.91</w:t>
            </w:r>
          </w:p>
        </w:tc>
        <w:tc>
          <w:tcPr>
            <w:tcW w:w="0" w:type="auto"/>
            <w:vAlign w:val="center"/>
            <w:hideMark/>
          </w:tcPr>
          <w:p w14:paraId="1B5A99E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2.55</w:t>
            </w:r>
          </w:p>
        </w:tc>
        <w:tc>
          <w:tcPr>
            <w:tcW w:w="0" w:type="auto"/>
            <w:vAlign w:val="center"/>
            <w:hideMark/>
          </w:tcPr>
          <w:p w14:paraId="7DCE098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Significant risk</w:t>
            </w:r>
          </w:p>
        </w:tc>
      </w:tr>
      <w:tr w:rsidR="00553366" w:rsidRPr="00553366" w14:paraId="14CB7333" w14:textId="77777777" w:rsidTr="00553366">
        <w:trPr>
          <w:tblCellSpacing w:w="15" w:type="dxa"/>
        </w:trPr>
        <w:tc>
          <w:tcPr>
            <w:tcW w:w="0" w:type="auto"/>
            <w:vAlign w:val="center"/>
            <w:hideMark/>
          </w:tcPr>
          <w:p w14:paraId="58DF9DA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Cr</w:t>
            </w:r>
          </w:p>
        </w:tc>
        <w:tc>
          <w:tcPr>
            <w:tcW w:w="0" w:type="auto"/>
            <w:vAlign w:val="center"/>
            <w:hideMark/>
          </w:tcPr>
          <w:p w14:paraId="15AFCD9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0.28</w:t>
            </w:r>
          </w:p>
        </w:tc>
        <w:tc>
          <w:tcPr>
            <w:tcW w:w="0" w:type="auto"/>
            <w:vAlign w:val="center"/>
            <w:hideMark/>
          </w:tcPr>
          <w:p w14:paraId="146DC22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0.52</w:t>
            </w:r>
          </w:p>
        </w:tc>
        <w:tc>
          <w:tcPr>
            <w:tcW w:w="0" w:type="auto"/>
            <w:vAlign w:val="center"/>
            <w:hideMark/>
          </w:tcPr>
          <w:p w14:paraId="51BD94B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0.80</w:t>
            </w:r>
          </w:p>
        </w:tc>
        <w:tc>
          <w:tcPr>
            <w:tcW w:w="0" w:type="auto"/>
            <w:vAlign w:val="center"/>
            <w:hideMark/>
          </w:tcPr>
          <w:p w14:paraId="70FF7F8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No risk</w:t>
            </w:r>
          </w:p>
        </w:tc>
      </w:tr>
      <w:tr w:rsidR="00553366" w:rsidRPr="00553366" w14:paraId="429C4DC1" w14:textId="77777777" w:rsidTr="00553366">
        <w:trPr>
          <w:tblCellSpacing w:w="15" w:type="dxa"/>
        </w:trPr>
        <w:tc>
          <w:tcPr>
            <w:tcW w:w="0" w:type="auto"/>
            <w:vAlign w:val="center"/>
            <w:hideMark/>
          </w:tcPr>
          <w:p w14:paraId="5C0F1E67"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Ni</w:t>
            </w:r>
          </w:p>
        </w:tc>
        <w:tc>
          <w:tcPr>
            <w:tcW w:w="0" w:type="auto"/>
            <w:vAlign w:val="center"/>
            <w:hideMark/>
          </w:tcPr>
          <w:p w14:paraId="4B0E3C1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0.41</w:t>
            </w:r>
          </w:p>
        </w:tc>
        <w:tc>
          <w:tcPr>
            <w:tcW w:w="0" w:type="auto"/>
            <w:vAlign w:val="center"/>
            <w:hideMark/>
          </w:tcPr>
          <w:p w14:paraId="7C23528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1.14</w:t>
            </w:r>
          </w:p>
        </w:tc>
        <w:tc>
          <w:tcPr>
            <w:tcW w:w="0" w:type="auto"/>
            <w:vAlign w:val="center"/>
            <w:hideMark/>
          </w:tcPr>
          <w:p w14:paraId="72221CF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1.55</w:t>
            </w:r>
          </w:p>
        </w:tc>
        <w:tc>
          <w:tcPr>
            <w:tcW w:w="0" w:type="auto"/>
            <w:vAlign w:val="center"/>
            <w:hideMark/>
          </w:tcPr>
          <w:p w14:paraId="21BF4A9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Potential risk</w:t>
            </w:r>
          </w:p>
        </w:tc>
      </w:tr>
      <w:tr w:rsidR="00553366" w:rsidRPr="00553366" w14:paraId="6BF6D061" w14:textId="77777777" w:rsidTr="00553366">
        <w:trPr>
          <w:tblCellSpacing w:w="15" w:type="dxa"/>
        </w:trPr>
        <w:tc>
          <w:tcPr>
            <w:tcW w:w="0" w:type="auto"/>
            <w:vAlign w:val="center"/>
            <w:hideMark/>
          </w:tcPr>
          <w:p w14:paraId="015FBDFB"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Zn</w:t>
            </w:r>
          </w:p>
        </w:tc>
        <w:tc>
          <w:tcPr>
            <w:tcW w:w="0" w:type="auto"/>
            <w:vAlign w:val="center"/>
            <w:hideMark/>
          </w:tcPr>
          <w:p w14:paraId="510809F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0.09</w:t>
            </w:r>
          </w:p>
        </w:tc>
        <w:tc>
          <w:tcPr>
            <w:tcW w:w="0" w:type="auto"/>
            <w:vAlign w:val="center"/>
            <w:hideMark/>
          </w:tcPr>
          <w:p w14:paraId="3C743DE0"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0.18</w:t>
            </w:r>
          </w:p>
        </w:tc>
        <w:tc>
          <w:tcPr>
            <w:tcW w:w="0" w:type="auto"/>
            <w:vAlign w:val="center"/>
            <w:hideMark/>
          </w:tcPr>
          <w:p w14:paraId="52768F3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0.27</w:t>
            </w:r>
          </w:p>
        </w:tc>
        <w:tc>
          <w:tcPr>
            <w:tcW w:w="0" w:type="auto"/>
            <w:vAlign w:val="center"/>
            <w:hideMark/>
          </w:tcPr>
          <w:p w14:paraId="29603C52"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No risk</w:t>
            </w:r>
          </w:p>
        </w:tc>
      </w:tr>
    </w:tbl>
    <w:p w14:paraId="76A51B16" w14:textId="29DF883B"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p>
    <w:p w14:paraId="370D12F4" w14:textId="77777777" w:rsidR="00553366" w:rsidRPr="00553366" w:rsidRDefault="00553366" w:rsidP="0055336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Table 7: Carcinogenic Risk Assessment of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583"/>
        <w:gridCol w:w="1711"/>
        <w:gridCol w:w="2552"/>
      </w:tblGrid>
      <w:tr w:rsidR="00553366" w:rsidRPr="00553366" w14:paraId="0D22F21C" w14:textId="77777777" w:rsidTr="00553366">
        <w:trPr>
          <w:tblHeader/>
          <w:tblCellSpacing w:w="15" w:type="dxa"/>
        </w:trPr>
        <w:tc>
          <w:tcPr>
            <w:tcW w:w="0" w:type="auto"/>
            <w:vAlign w:val="center"/>
            <w:hideMark/>
          </w:tcPr>
          <w:p w14:paraId="0B9CED24"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Metal</w:t>
            </w:r>
          </w:p>
        </w:tc>
        <w:tc>
          <w:tcPr>
            <w:tcW w:w="1553" w:type="dxa"/>
            <w:vAlign w:val="center"/>
            <w:hideMark/>
          </w:tcPr>
          <w:p w14:paraId="1E423108"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CR Adults</w:t>
            </w:r>
          </w:p>
        </w:tc>
        <w:tc>
          <w:tcPr>
            <w:tcW w:w="1681" w:type="dxa"/>
            <w:vAlign w:val="center"/>
            <w:hideMark/>
          </w:tcPr>
          <w:p w14:paraId="6C5FC729"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CR Children</w:t>
            </w:r>
          </w:p>
        </w:tc>
        <w:tc>
          <w:tcPr>
            <w:tcW w:w="2507" w:type="dxa"/>
            <w:vAlign w:val="center"/>
            <w:hideMark/>
          </w:tcPr>
          <w:p w14:paraId="31686622" w14:textId="77777777" w:rsidR="00553366" w:rsidRPr="00553366" w:rsidRDefault="00553366" w:rsidP="00553366">
            <w:pPr>
              <w:spacing w:after="0" w:line="240" w:lineRule="auto"/>
              <w:jc w:val="both"/>
              <w:rPr>
                <w:rFonts w:ascii="Times New Roman" w:eastAsia="Times New Roman" w:hAnsi="Times New Roman" w:cs="Times New Roman"/>
                <w:b/>
                <w:bCs/>
                <w:sz w:val="24"/>
                <w:szCs w:val="24"/>
                <w:lang w:eastAsia="en-GB"/>
              </w:rPr>
            </w:pPr>
            <w:r w:rsidRPr="00553366">
              <w:rPr>
                <w:rFonts w:ascii="Times New Roman" w:eastAsia="Times New Roman" w:hAnsi="Times New Roman" w:cs="Times New Roman"/>
                <w:b/>
                <w:bCs/>
                <w:sz w:val="24"/>
                <w:szCs w:val="24"/>
                <w:lang w:eastAsia="en-GB"/>
              </w:rPr>
              <w:t>Acceptable Risk Range</w:t>
            </w:r>
          </w:p>
        </w:tc>
      </w:tr>
      <w:tr w:rsidR="00553366" w:rsidRPr="00553366" w14:paraId="221BFC09" w14:textId="77777777" w:rsidTr="00553366">
        <w:trPr>
          <w:tblCellSpacing w:w="15" w:type="dxa"/>
        </w:trPr>
        <w:tc>
          <w:tcPr>
            <w:tcW w:w="0" w:type="auto"/>
            <w:vAlign w:val="center"/>
            <w:hideMark/>
          </w:tcPr>
          <w:p w14:paraId="10AEC1CA"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Cd</w:t>
            </w:r>
          </w:p>
        </w:tc>
        <w:tc>
          <w:tcPr>
            <w:tcW w:w="1553" w:type="dxa"/>
            <w:vAlign w:val="center"/>
            <w:hideMark/>
          </w:tcPr>
          <w:p w14:paraId="1B4D1CE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1.8 × 10⁻⁵</w:t>
            </w:r>
          </w:p>
        </w:tc>
        <w:tc>
          <w:tcPr>
            <w:tcW w:w="1681" w:type="dxa"/>
            <w:vAlign w:val="center"/>
            <w:hideMark/>
          </w:tcPr>
          <w:p w14:paraId="785A9E6F"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4.9 × 10⁻⁵</w:t>
            </w:r>
          </w:p>
        </w:tc>
        <w:tc>
          <w:tcPr>
            <w:tcW w:w="2507" w:type="dxa"/>
            <w:vAlign w:val="center"/>
            <w:hideMark/>
          </w:tcPr>
          <w:p w14:paraId="477D045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10⁻⁶–10⁻⁴</w:t>
            </w:r>
          </w:p>
        </w:tc>
      </w:tr>
      <w:tr w:rsidR="00553366" w:rsidRPr="00553366" w14:paraId="1BF5C7B0" w14:textId="77777777" w:rsidTr="00553366">
        <w:trPr>
          <w:tblCellSpacing w:w="15" w:type="dxa"/>
        </w:trPr>
        <w:tc>
          <w:tcPr>
            <w:tcW w:w="0" w:type="auto"/>
            <w:vAlign w:val="center"/>
            <w:hideMark/>
          </w:tcPr>
          <w:p w14:paraId="26A09FDE"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Cr</w:t>
            </w:r>
          </w:p>
        </w:tc>
        <w:tc>
          <w:tcPr>
            <w:tcW w:w="1553" w:type="dxa"/>
            <w:vAlign w:val="center"/>
            <w:hideMark/>
          </w:tcPr>
          <w:p w14:paraId="7B21BCC5"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9.2 × 10⁻⁶</w:t>
            </w:r>
          </w:p>
        </w:tc>
        <w:tc>
          <w:tcPr>
            <w:tcW w:w="1681" w:type="dxa"/>
            <w:vAlign w:val="center"/>
            <w:hideMark/>
          </w:tcPr>
          <w:p w14:paraId="5853C97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2.1 × 10⁻⁵</w:t>
            </w:r>
          </w:p>
        </w:tc>
        <w:tc>
          <w:tcPr>
            <w:tcW w:w="2507" w:type="dxa"/>
            <w:vAlign w:val="center"/>
            <w:hideMark/>
          </w:tcPr>
          <w:p w14:paraId="21643298"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10⁻⁶–10⁻⁴</w:t>
            </w:r>
          </w:p>
        </w:tc>
      </w:tr>
      <w:tr w:rsidR="00553366" w:rsidRPr="00553366" w14:paraId="5A40331A" w14:textId="77777777" w:rsidTr="00553366">
        <w:trPr>
          <w:tblCellSpacing w:w="15" w:type="dxa"/>
        </w:trPr>
        <w:tc>
          <w:tcPr>
            <w:tcW w:w="0" w:type="auto"/>
            <w:vAlign w:val="center"/>
            <w:hideMark/>
          </w:tcPr>
          <w:p w14:paraId="3EFA75F1"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Ni</w:t>
            </w:r>
          </w:p>
        </w:tc>
        <w:tc>
          <w:tcPr>
            <w:tcW w:w="1553" w:type="dxa"/>
            <w:vAlign w:val="center"/>
            <w:hideMark/>
          </w:tcPr>
          <w:p w14:paraId="298B7193"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5.4 × 10⁻⁶</w:t>
            </w:r>
          </w:p>
        </w:tc>
        <w:tc>
          <w:tcPr>
            <w:tcW w:w="1681" w:type="dxa"/>
            <w:vAlign w:val="center"/>
            <w:hideMark/>
          </w:tcPr>
          <w:p w14:paraId="6590D1C4"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1.2 × 10⁻⁵</w:t>
            </w:r>
          </w:p>
        </w:tc>
        <w:tc>
          <w:tcPr>
            <w:tcW w:w="2507" w:type="dxa"/>
            <w:vAlign w:val="center"/>
            <w:hideMark/>
          </w:tcPr>
          <w:p w14:paraId="7FCC4356" w14:textId="77777777" w:rsidR="00553366" w:rsidRPr="00553366" w:rsidRDefault="00553366" w:rsidP="00553366">
            <w:pPr>
              <w:spacing w:after="0" w:line="240" w:lineRule="auto"/>
              <w:jc w:val="both"/>
              <w:rPr>
                <w:rFonts w:ascii="Times New Roman" w:eastAsia="Times New Roman" w:hAnsi="Times New Roman" w:cs="Times New Roman"/>
                <w:sz w:val="24"/>
                <w:szCs w:val="24"/>
                <w:lang w:eastAsia="en-GB"/>
              </w:rPr>
            </w:pPr>
            <w:r w:rsidRPr="00553366">
              <w:rPr>
                <w:rFonts w:ascii="Times New Roman" w:eastAsia="Times New Roman" w:hAnsi="Times New Roman" w:cs="Times New Roman"/>
                <w:sz w:val="24"/>
                <w:szCs w:val="24"/>
                <w:lang w:eastAsia="en-GB"/>
              </w:rPr>
              <w:t>10⁻⁶–10⁻⁴</w:t>
            </w:r>
          </w:p>
        </w:tc>
      </w:tr>
    </w:tbl>
    <w:p w14:paraId="754D7C7A" w14:textId="77777777" w:rsidR="00CD50AA" w:rsidRPr="00553366" w:rsidRDefault="00CD50AA" w:rsidP="00553366">
      <w:pPr>
        <w:pStyle w:val="NormalWeb"/>
        <w:jc w:val="both"/>
      </w:pPr>
    </w:p>
    <w:p w14:paraId="3DD158B0" w14:textId="77777777" w:rsidR="00CD50AA" w:rsidRPr="00553366" w:rsidRDefault="00CD50AA" w:rsidP="00553366">
      <w:pPr>
        <w:pStyle w:val="Heading2"/>
        <w:jc w:val="both"/>
        <w:rPr>
          <w:sz w:val="24"/>
          <w:szCs w:val="24"/>
        </w:rPr>
      </w:pPr>
      <w:r w:rsidRPr="00553366">
        <w:rPr>
          <w:sz w:val="24"/>
          <w:szCs w:val="24"/>
        </w:rPr>
        <w:t>4.0 Discussion</w:t>
      </w:r>
    </w:p>
    <w:p w14:paraId="23441D9F" w14:textId="5B9DEBAE" w:rsidR="00CD50AA" w:rsidRPr="00553366" w:rsidRDefault="00CD50AA" w:rsidP="00553366">
      <w:pPr>
        <w:pStyle w:val="NormalWeb"/>
        <w:jc w:val="both"/>
      </w:pPr>
      <w:r w:rsidRPr="00553366">
        <w:t>Groundwater quality in urban and peri-urban communities of the Niger Delta is strongly influenced by a combination of natural hydrogeochemical processes and sustained anthropogenic pressures. The slightly acidic to near-neutral pH conditions commonly reported in regional groundwater systems have been shown to enhance the mobility of trace metals by reducing adsorption onto mineral surfaces and increasing dissolution from aquifer matrices (</w:t>
      </w:r>
      <w:proofErr w:type="spellStart"/>
      <w:r w:rsidRPr="00553366">
        <w:t>Etesin</w:t>
      </w:r>
      <w:proofErr w:type="spellEnd"/>
      <w:r w:rsidRPr="00553366">
        <w:t xml:space="preserve"> et al., 2025). Similar pH-controlled mobilisation mechanisms were observed in drinking water sources in Brass Island, where subtle changes in acidity significantly influenced metal availability and associated health risks (</w:t>
      </w:r>
      <w:proofErr w:type="spellStart"/>
      <w:r w:rsidRPr="00553366">
        <w:t>Ekesiobi</w:t>
      </w:r>
      <w:proofErr w:type="spellEnd"/>
      <w:r w:rsidRPr="00553366">
        <w:t xml:space="preserve"> et al., 2025). Comparable </w:t>
      </w:r>
      <w:proofErr w:type="spellStart"/>
      <w:r w:rsidRPr="00553366">
        <w:t>hydrochemical</w:t>
      </w:r>
      <w:proofErr w:type="spellEnd"/>
      <w:r w:rsidRPr="00553366">
        <w:t xml:space="preserve"> behaviour has also been documented in groundwater vulnerability assessments in Yenagoa, highlighting the sensitivity of Niger Delta aquifers to contaminant transport under prevailing geochemical conditions (Okagbare et al., 2025).</w:t>
      </w:r>
    </w:p>
    <w:p w14:paraId="073133C2" w14:textId="77777777" w:rsidR="00CD50AA" w:rsidRPr="00553366" w:rsidRDefault="00CD50AA" w:rsidP="00553366">
      <w:pPr>
        <w:pStyle w:val="NormalWeb"/>
        <w:jc w:val="both"/>
      </w:pPr>
      <w:r w:rsidRPr="00553366">
        <w:lastRenderedPageBreak/>
        <w:t xml:space="preserve">The dominance of calcium–magnesium–bicarbonate water types observed in many Niger Delta groundwater systems reflects intense water–rock interaction within unconsolidated deltaic sediments. Such </w:t>
      </w:r>
      <w:proofErr w:type="spellStart"/>
      <w:r w:rsidRPr="00553366">
        <w:t>hydrochemical</w:t>
      </w:r>
      <w:proofErr w:type="spellEnd"/>
      <w:r w:rsidRPr="00553366">
        <w:t xml:space="preserve"> signatures have been widely reported in stream and groundwater systems impacted by agricultural runoff and urban activities in southern Nigeria, where carbonate dissolution and silicate weathering coexist with anthropogenic solute inputs (</w:t>
      </w:r>
      <w:proofErr w:type="spellStart"/>
      <w:r w:rsidRPr="00553366">
        <w:t>Osuafor</w:t>
      </w:r>
      <w:proofErr w:type="spellEnd"/>
      <w:r w:rsidRPr="00553366">
        <w:t xml:space="preserve"> et al., 2025). Elevated chloride and nitrate levels reported in several regional studies have frequently been linked to domestic wastewater infiltration and poor sanitation rather than purely agricultural sources, underscoring the role of urban land use in groundwater degradation (</w:t>
      </w:r>
      <w:proofErr w:type="spellStart"/>
      <w:r w:rsidRPr="00553366">
        <w:t>Umueni</w:t>
      </w:r>
      <w:proofErr w:type="spellEnd"/>
      <w:r w:rsidRPr="00553366">
        <w:t xml:space="preserve"> et al., 2025).</w:t>
      </w:r>
    </w:p>
    <w:p w14:paraId="059B4889" w14:textId="2A2E7D73" w:rsidR="00CD50AA" w:rsidRPr="00553366" w:rsidRDefault="00CD50AA" w:rsidP="00553366">
      <w:pPr>
        <w:pStyle w:val="NormalWeb"/>
        <w:jc w:val="both"/>
      </w:pPr>
      <w:r w:rsidRPr="00553366">
        <w:t>Heavy metal occurrence in Niger Delta waters has consistently been associated with industrialisation, petroleum activities, and atmospheric deposition (</w:t>
      </w:r>
      <w:proofErr w:type="spellStart"/>
      <w:r w:rsidRPr="00553366">
        <w:t>Ekwere</w:t>
      </w:r>
      <w:proofErr w:type="spellEnd"/>
      <w:r w:rsidRPr="00553366">
        <w:t xml:space="preserve"> et al., 2025). Studies on gas flaring have demonstrated that soot and metal-laden particulates can be transported over long distances and deposited into surface environments, subsequently infiltrating shallow aquifers during recharge events (</w:t>
      </w:r>
      <w:proofErr w:type="spellStart"/>
      <w:r w:rsidRPr="00553366">
        <w:t>Aghanwa</w:t>
      </w:r>
      <w:proofErr w:type="spellEnd"/>
      <w:r w:rsidRPr="00553366">
        <w:t xml:space="preserve"> et al., 2025). This pathway provides a plausible explanation for the recurrent detection of lead and cadmium in groundwater and surface waters across Rivers and Bayelsa States. Similar contamination patterns have been reported in urban rivers of Benin City, where heavy metals co-occurred with other industrial contaminants and produced measurable ecotoxicological effects (</w:t>
      </w:r>
      <w:proofErr w:type="spellStart"/>
      <w:r w:rsidRPr="00553366">
        <w:t>Okpoji</w:t>
      </w:r>
      <w:proofErr w:type="spellEnd"/>
      <w:r w:rsidRPr="00553366">
        <w:t xml:space="preserve"> et al., 2025).</w:t>
      </w:r>
    </w:p>
    <w:p w14:paraId="313A65F2" w14:textId="77777777" w:rsidR="00CD50AA" w:rsidRPr="00553366" w:rsidRDefault="00CD50AA" w:rsidP="00553366">
      <w:pPr>
        <w:pStyle w:val="NormalWeb"/>
        <w:jc w:val="both"/>
      </w:pPr>
      <w:r w:rsidRPr="00553366">
        <w:t>The toxicological relevance of lead and cadmium in water resources is further reinforced by bioaccumulation and biomarker studies in aquatic organisms from Niger Delta estuaries. Experimental and field-based investigations have shown that exposure to environmentally realistic concentrations of these metals induces oxidative stress, histopathological alterations, and impaired physiological responses in fish and crustaceans (</w:t>
      </w:r>
      <w:proofErr w:type="spellStart"/>
      <w:r w:rsidRPr="00553366">
        <w:t>Ohaturuonye</w:t>
      </w:r>
      <w:proofErr w:type="spellEnd"/>
      <w:r w:rsidRPr="00553366">
        <w:t xml:space="preserve"> et al., 2025). Such findings highlight that even moderate concentrations in water can translate into significant biological effects over time. Similar conclusions have been drawn from studies on metal bioaccumulation in estuarine fish from Andoni and Iko River systems, which demonstrated clear links between environmental contamination and human dietary exposure (</w:t>
      </w:r>
      <w:proofErr w:type="spellStart"/>
      <w:r w:rsidRPr="00553366">
        <w:t>Okpoji</w:t>
      </w:r>
      <w:proofErr w:type="spellEnd"/>
      <w:r w:rsidRPr="00553366">
        <w:t xml:space="preserve"> et al., 2025; Onoja et al., 2025).</w:t>
      </w:r>
    </w:p>
    <w:p w14:paraId="2865B4E8" w14:textId="133F1198" w:rsidR="00CD50AA" w:rsidRPr="00553366" w:rsidRDefault="00CD50AA" w:rsidP="00553366">
      <w:pPr>
        <w:pStyle w:val="NormalWeb"/>
        <w:jc w:val="both"/>
      </w:pPr>
      <w:r w:rsidRPr="00553366">
        <w:t>Microbiological contamination of groundwater remains a persistent challenge in densely populated Niger Delta communities (</w:t>
      </w:r>
      <w:proofErr w:type="spellStart"/>
      <w:r w:rsidRPr="00553366">
        <w:t>Ekwere</w:t>
      </w:r>
      <w:proofErr w:type="spellEnd"/>
      <w:r w:rsidRPr="00553366">
        <w:t xml:space="preserve"> et al., 2025). Investigations of drinking water sources in coastal and inland settlements have repeatedly shown that the presence of coliforms and faecal indicators is often unrelated to turbidity or general mineral quality, but rather to poor borehole construction, inadequate sanitary protection, and proximity to septic systems (</w:t>
      </w:r>
      <w:proofErr w:type="spellStart"/>
      <w:r w:rsidRPr="00553366">
        <w:t>Ekesiobi</w:t>
      </w:r>
      <w:proofErr w:type="spellEnd"/>
      <w:r w:rsidRPr="00553366">
        <w:t xml:space="preserve"> et al., 2025). Similar sanitary vulnerabilities have been reported for streams and shallow groundwater systems influenced by agricultural and domestic runoff, where microbial contamination posed greater immediate health risks than many chemical parameters (</w:t>
      </w:r>
      <w:proofErr w:type="spellStart"/>
      <w:r w:rsidRPr="00553366">
        <w:t>Osuafor</w:t>
      </w:r>
      <w:proofErr w:type="spellEnd"/>
      <w:r w:rsidRPr="00553366">
        <w:t xml:space="preserve"> et al., 2025).</w:t>
      </w:r>
    </w:p>
    <w:p w14:paraId="60D9E067" w14:textId="77777777" w:rsidR="00CD50AA" w:rsidRPr="00553366" w:rsidRDefault="00CD50AA" w:rsidP="00553366">
      <w:pPr>
        <w:pStyle w:val="NormalWeb"/>
        <w:jc w:val="both"/>
      </w:pPr>
      <w:r w:rsidRPr="00553366">
        <w:t>The integration of chemical and microbiological parameters using water quality indices has proven effective in revealing cumulative risk that may not be evident from individual parameters alone. Previous applications of water quality indices in Niger Delta environments consistently classified waters as poor or unsuitable where heavy metals or microbial indicators dominated the index structure, even when most physicochemical parameters complied with guidelines (</w:t>
      </w:r>
      <w:proofErr w:type="spellStart"/>
      <w:r w:rsidRPr="00553366">
        <w:t>Ekesiobi</w:t>
      </w:r>
      <w:proofErr w:type="spellEnd"/>
      <w:r w:rsidRPr="00553366">
        <w:t xml:space="preserve"> et al., 2025). This reinforces the notion that regulatory compliance for individual parameters does not necessarily equate to overall water safety.</w:t>
      </w:r>
    </w:p>
    <w:p w14:paraId="2182AB22" w14:textId="77777777" w:rsidR="00CD50AA" w:rsidRPr="00553366" w:rsidRDefault="00CD50AA" w:rsidP="00553366">
      <w:pPr>
        <w:pStyle w:val="NormalWeb"/>
        <w:jc w:val="both"/>
      </w:pPr>
      <w:r w:rsidRPr="00553366">
        <w:lastRenderedPageBreak/>
        <w:t>Human health risk assessments conducted across the Niger Delta consistently demonstrate higher vulnerability among children due to greater intake rates relative to body weight and increased physiological sensitivity. Studies assessing drinking water, sediments, and contaminated food items have shown that non-carcinogenic risk indices for children often exceed safe thresholds, particularly for lead and cadmium, even when adult risks remain comparatively low (</w:t>
      </w:r>
      <w:proofErr w:type="spellStart"/>
      <w:r w:rsidRPr="00553366">
        <w:t>Ekesiobi</w:t>
      </w:r>
      <w:proofErr w:type="spellEnd"/>
      <w:r w:rsidRPr="00553366">
        <w:t xml:space="preserve"> et al., 2025; </w:t>
      </w:r>
      <w:proofErr w:type="spellStart"/>
      <w:r w:rsidRPr="00553366">
        <w:t>Anarado</w:t>
      </w:r>
      <w:proofErr w:type="spellEnd"/>
      <w:r w:rsidRPr="00553366">
        <w:t xml:space="preserve"> et al., 2023). Carcinogenic risk estimates for metals such as cadmium, chromium, and nickel frequently fall within acceptable regulatory ranges; however, regional evidence suggests that cumulative exposure from multiple pathways, including water and diet, may elevate long-term health concerns (John et al., 2025; </w:t>
      </w:r>
      <w:proofErr w:type="spellStart"/>
      <w:r w:rsidRPr="00553366">
        <w:t>Okpoji</w:t>
      </w:r>
      <w:proofErr w:type="spellEnd"/>
      <w:r w:rsidRPr="00553366">
        <w:t xml:space="preserve"> et al., 2025).</w:t>
      </w:r>
    </w:p>
    <w:p w14:paraId="2CEBF76B" w14:textId="77777777" w:rsidR="00CD50AA" w:rsidRPr="00553366" w:rsidRDefault="00CD50AA" w:rsidP="00553366">
      <w:pPr>
        <w:pStyle w:val="NormalWeb"/>
        <w:jc w:val="both"/>
      </w:pPr>
      <w:r w:rsidRPr="00553366">
        <w:t xml:space="preserve">From an environmental systems perspective, the contamination patterns observed in groundwater are consistent with broader Niger Delta pollution dynamics, where hydrocarbons, heavy metals, and emerging contaminants interact across water, sediment, and biotic compartments. Investigations of sediments in the Qua </w:t>
      </w:r>
      <w:proofErr w:type="spellStart"/>
      <w:r w:rsidRPr="00553366">
        <w:t>Iboe</w:t>
      </w:r>
      <w:proofErr w:type="spellEnd"/>
      <w:r w:rsidRPr="00553366">
        <w:t xml:space="preserve"> and </w:t>
      </w:r>
      <w:proofErr w:type="spellStart"/>
      <w:r w:rsidRPr="00553366">
        <w:t>Forcados</w:t>
      </w:r>
      <w:proofErr w:type="spellEnd"/>
      <w:r w:rsidRPr="00553366">
        <w:t xml:space="preserve"> river systems have demonstrated that geochemical partitioning and ecological risk are strongly influenced by persistent anthropogenic inputs (</w:t>
      </w:r>
      <w:proofErr w:type="spellStart"/>
      <w:r w:rsidRPr="00553366">
        <w:t>Okpoji</w:t>
      </w:r>
      <w:proofErr w:type="spellEnd"/>
      <w:r w:rsidRPr="00553366">
        <w:t xml:space="preserve"> et al., 2025; </w:t>
      </w:r>
      <w:proofErr w:type="spellStart"/>
      <w:r w:rsidRPr="00553366">
        <w:t>Umueni</w:t>
      </w:r>
      <w:proofErr w:type="spellEnd"/>
      <w:r w:rsidRPr="00553366">
        <w:t xml:space="preserve"> et al., 2025). These findings support the interpretation that groundwater contamination in urban centres such as </w:t>
      </w:r>
      <w:proofErr w:type="spellStart"/>
      <w:r w:rsidRPr="00553366">
        <w:t>Rumuokoro</w:t>
      </w:r>
      <w:proofErr w:type="spellEnd"/>
      <w:r w:rsidRPr="00553366">
        <w:t xml:space="preserve"> is part of a wider continuum of environmental degradation rather than an isolated phenomenon.</w:t>
      </w:r>
    </w:p>
    <w:p w14:paraId="737F82F5" w14:textId="5747FC3A" w:rsidR="00CD50AA" w:rsidRPr="00553366" w:rsidRDefault="00CD50AA" w:rsidP="00553366">
      <w:pPr>
        <w:pStyle w:val="NormalWeb"/>
        <w:jc w:val="both"/>
      </w:pPr>
      <w:r w:rsidRPr="00553366">
        <w:t>The evidence from regional literature indicates that safeguarding borehole water quality in the Niger Delta requires integrated management approaches that address both chemical and microbiological risks. Studies on advanced remediation technologies, including adsorption and photocatalytic treatment systems, suggest promising options for mitigating persistent contaminants where conventional treatment is insufficient (</w:t>
      </w:r>
      <w:proofErr w:type="spellStart"/>
      <w:r w:rsidRPr="00553366">
        <w:t>Okpoji</w:t>
      </w:r>
      <w:proofErr w:type="spellEnd"/>
      <w:r w:rsidRPr="00553366">
        <w:t xml:space="preserve"> et al., 2025). However, long-term risk reduction ultimately depends on improved land-use planning, stricter control of industrial emissions, effective sanitation infrastructure, and routine monitoring of groundwater resources across vulnerable communities.</w:t>
      </w:r>
    </w:p>
    <w:p w14:paraId="47C70B85" w14:textId="77777777" w:rsidR="00CD50AA" w:rsidRPr="00553366" w:rsidRDefault="00CD50AA" w:rsidP="00553366">
      <w:pPr>
        <w:pStyle w:val="NormalWeb"/>
        <w:jc w:val="both"/>
      </w:pPr>
    </w:p>
    <w:p w14:paraId="62D2B029" w14:textId="77777777" w:rsidR="00CD50AA" w:rsidRPr="00553366" w:rsidRDefault="00CD50AA" w:rsidP="00553366">
      <w:pPr>
        <w:pStyle w:val="Heading2"/>
        <w:jc w:val="both"/>
        <w:rPr>
          <w:sz w:val="24"/>
          <w:szCs w:val="24"/>
        </w:rPr>
      </w:pPr>
      <w:r w:rsidRPr="00553366">
        <w:rPr>
          <w:sz w:val="24"/>
          <w:szCs w:val="24"/>
        </w:rPr>
        <w:t>Conclusion</w:t>
      </w:r>
    </w:p>
    <w:p w14:paraId="47BD08CF" w14:textId="77777777" w:rsidR="00CD50AA" w:rsidRPr="00553366" w:rsidRDefault="00CD50AA" w:rsidP="00553366">
      <w:pPr>
        <w:pStyle w:val="NormalWeb"/>
        <w:jc w:val="both"/>
      </w:pPr>
      <w:r w:rsidRPr="00553366">
        <w:t xml:space="preserve">This study provides a comprehensive evaluation of the physicochemical, microbiological, and toxicological quality of borehole water in </w:t>
      </w:r>
      <w:proofErr w:type="spellStart"/>
      <w:r w:rsidRPr="00553366">
        <w:t>Rumuokoro</w:t>
      </w:r>
      <w:proofErr w:type="spellEnd"/>
      <w:r w:rsidRPr="00553366">
        <w:t>, Port Harcourt, an urban community within the Niger Delta where groundwater serves as the primary source of domestic water. The findings demonstrate that although several physicochemical parameters generally fall within recommended guideline limits, this apparent compliance does not translate to overall water safety.</w:t>
      </w:r>
    </w:p>
    <w:p w14:paraId="3A07C6F7" w14:textId="77777777" w:rsidR="00CD50AA" w:rsidRPr="00553366" w:rsidRDefault="00CD50AA" w:rsidP="00553366">
      <w:pPr>
        <w:pStyle w:val="NormalWeb"/>
        <w:jc w:val="both"/>
      </w:pPr>
      <w:proofErr w:type="spellStart"/>
      <w:r w:rsidRPr="00553366">
        <w:t>Hydrochemical</w:t>
      </w:r>
      <w:proofErr w:type="spellEnd"/>
      <w:r w:rsidRPr="00553366">
        <w:t xml:space="preserve"> characteristics indicate moderate mineralisation typical of Niger Delta aquifers developed within unconsolidated deltaic sediments. However, the slightly acidic nature of the groundwater creates favourable conditions for the mobilisation of certain trace metals. Elevated concentrations of iron, along with exceedances of guideline values for lead and cadmium in some boreholes, reveal the influence of anthropogenic activities such as industrial operations, urban runoff, atmospheric deposition, and possible corrosion-related processes. These contaminants are of particular concern due to their persistence, toxicity, and potential for bioaccumulation.</w:t>
      </w:r>
    </w:p>
    <w:p w14:paraId="5768BC6F" w14:textId="77777777" w:rsidR="00CD50AA" w:rsidRPr="00553366" w:rsidRDefault="00CD50AA" w:rsidP="00553366">
      <w:pPr>
        <w:pStyle w:val="NormalWeb"/>
        <w:jc w:val="both"/>
      </w:pPr>
      <w:r w:rsidRPr="00553366">
        <w:lastRenderedPageBreak/>
        <w:t>Microbiological analysis further highlights significant public health risks, as the detection of total coliforms, faecal coliforms, and Escherichia coli indicates faecal contamination and inadequate sanitary protection of borehole infrastructure. The presence of these indicators confirms that borehole water in the study area is vulnerable to contamination from domestic wastewater and poor waste management practices, posing immediate health risks to consumers.</w:t>
      </w:r>
    </w:p>
    <w:p w14:paraId="6811CBD5" w14:textId="77777777" w:rsidR="00CD50AA" w:rsidRPr="00553366" w:rsidRDefault="00CD50AA" w:rsidP="00553366">
      <w:pPr>
        <w:pStyle w:val="NormalWeb"/>
        <w:jc w:val="both"/>
      </w:pPr>
      <w:r w:rsidRPr="00553366">
        <w:t>Integrated assessment using the water quality index classified the borehole water as very poor, driven largely by heavy metal contamination and microbiological non-compliance. Human health risk assessment revealed that children are particularly vulnerable, with non-carcinogenic risk indices exceeding safe thresholds for lead, cadmium, and nickel, while carcinogenic risks, though within acceptable ranges, remain non-negligible under long-term exposure scenarios.</w:t>
      </w:r>
    </w:p>
    <w:p w14:paraId="67B80F58" w14:textId="77777777" w:rsidR="00553366" w:rsidRPr="00247942" w:rsidRDefault="00553366" w:rsidP="00553366">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1B318B92" w14:textId="1256FCA9" w:rsidR="00553366" w:rsidRPr="00247942" w:rsidRDefault="009D3BA8" w:rsidP="00CC3632">
      <w:pPr>
        <w:pStyle w:val="NormalWeb"/>
        <w:spacing w:line="276" w:lineRule="auto"/>
        <w:jc w:val="both"/>
      </w:pPr>
      <w:bookmarkStart w:id="1" w:name="_Hlk216411041"/>
      <w:proofErr w:type="spellStart"/>
      <w:r w:rsidRPr="009D3BA8">
        <w:t>Aghanwa</w:t>
      </w:r>
      <w:proofErr w:type="spellEnd"/>
      <w:r w:rsidRPr="009D3BA8">
        <w:t xml:space="preserve">, C. I., </w:t>
      </w:r>
      <w:proofErr w:type="spellStart"/>
      <w:r w:rsidRPr="009D3BA8">
        <w:t>Umueni</w:t>
      </w:r>
      <w:proofErr w:type="spellEnd"/>
      <w:r w:rsidRPr="009D3BA8">
        <w:t xml:space="preserve">, U. E., </w:t>
      </w:r>
      <w:proofErr w:type="spellStart"/>
      <w:r w:rsidRPr="009D3BA8">
        <w:t>Etukudo</w:t>
      </w:r>
      <w:proofErr w:type="spellEnd"/>
      <w:r w:rsidRPr="009D3BA8">
        <w:t xml:space="preserve">, N. J., </w:t>
      </w:r>
      <w:proofErr w:type="spellStart"/>
      <w:r w:rsidRPr="009D3BA8">
        <w:t>Amachree</w:t>
      </w:r>
      <w:proofErr w:type="spellEnd"/>
      <w:r w:rsidRPr="009D3BA8">
        <w:t xml:space="preserve">, J. B., </w:t>
      </w:r>
      <w:proofErr w:type="spellStart"/>
      <w:r w:rsidRPr="009D3BA8">
        <w:t>Okpoji</w:t>
      </w:r>
      <w:proofErr w:type="spellEnd"/>
      <w:r w:rsidRPr="009D3BA8">
        <w:t xml:space="preserve">, A. U., </w:t>
      </w:r>
      <w:proofErr w:type="spellStart"/>
      <w:r w:rsidRPr="009D3BA8">
        <w:t>Ejeka</w:t>
      </w:r>
      <w:proofErr w:type="spellEnd"/>
      <w:r w:rsidRPr="009D3BA8">
        <w:t xml:space="preserve">, C. J., &amp; </w:t>
      </w:r>
      <w:proofErr w:type="spellStart"/>
      <w:r w:rsidRPr="009D3BA8">
        <w:t>Ekwere</w:t>
      </w:r>
      <w:proofErr w:type="spellEnd"/>
      <w:r w:rsidRPr="009D3BA8">
        <w:t xml:space="preserve">, I. O. (2025). Atmospheric deposition of soot and heavy metals from gas flaring into surface waters of </w:t>
      </w:r>
      <w:proofErr w:type="spellStart"/>
      <w:r w:rsidRPr="009D3BA8">
        <w:t>Ebocha</w:t>
      </w:r>
      <w:proofErr w:type="spellEnd"/>
      <w:r w:rsidRPr="009D3BA8">
        <w:t xml:space="preserve">, Rivers State, Nigeria. Asian Journal of Environment &amp; Ecology, 24(11), 137–147. </w:t>
      </w:r>
      <w:hyperlink r:id="rId7" w:history="1">
        <w:r w:rsidRPr="004761E6">
          <w:rPr>
            <w:rStyle w:val="Hyperlink"/>
          </w:rPr>
          <w:t>https://doi.org/10.9734/ajee/2025/v24i11822</w:t>
        </w:r>
      </w:hyperlink>
      <w:r>
        <w:t xml:space="preserve"> </w:t>
      </w:r>
    </w:p>
    <w:p w14:paraId="56C42965" w14:textId="6EF4F64E" w:rsidR="00553366" w:rsidRPr="00CC3632" w:rsidRDefault="00B52904" w:rsidP="00CC3632">
      <w:pPr>
        <w:spacing w:after="0"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Anarado</w:t>
      </w:r>
      <w:proofErr w:type="spellEnd"/>
      <w:r w:rsidRPr="00CC3632">
        <w:rPr>
          <w:rFonts w:ascii="Times New Roman" w:eastAsia="Times New Roman" w:hAnsi="Times New Roman" w:cs="Times New Roman"/>
          <w:sz w:val="24"/>
          <w:szCs w:val="24"/>
          <w:lang w:eastAsia="en-GB"/>
        </w:rPr>
        <w:t xml:space="preserve">, C. J. O., </w:t>
      </w: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&amp; </w:t>
      </w:r>
      <w:proofErr w:type="spellStart"/>
      <w:r w:rsidRPr="00CC3632">
        <w:rPr>
          <w:rFonts w:ascii="Times New Roman" w:eastAsia="Times New Roman" w:hAnsi="Times New Roman" w:cs="Times New Roman"/>
          <w:sz w:val="24"/>
          <w:szCs w:val="24"/>
          <w:lang w:eastAsia="en-GB"/>
        </w:rPr>
        <w:t>Anarado</w:t>
      </w:r>
      <w:proofErr w:type="spellEnd"/>
      <w:r w:rsidRPr="00CC3632">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8" w:history="1">
        <w:r w:rsidRPr="00CC3632">
          <w:rPr>
            <w:rStyle w:val="Hyperlink"/>
            <w:rFonts w:ascii="Times New Roman" w:eastAsia="Times New Roman" w:hAnsi="Times New Roman" w:cs="Times New Roman"/>
            <w:sz w:val="24"/>
            <w:szCs w:val="24"/>
            <w:lang w:eastAsia="en-GB"/>
          </w:rPr>
          <w:t>https://doi.org/10.9734/AJEE/2023/v21i4469</w:t>
        </w:r>
      </w:hyperlink>
      <w:r w:rsidRPr="00CC3632">
        <w:rPr>
          <w:rFonts w:ascii="Times New Roman" w:eastAsia="Times New Roman" w:hAnsi="Times New Roman" w:cs="Times New Roman"/>
          <w:sz w:val="24"/>
          <w:szCs w:val="24"/>
          <w:lang w:eastAsia="en-GB"/>
        </w:rPr>
        <w:t xml:space="preserve"> </w:t>
      </w:r>
    </w:p>
    <w:p w14:paraId="3E74DADD" w14:textId="271C3E13" w:rsidR="00553366" w:rsidRPr="00247942" w:rsidRDefault="0076467F" w:rsidP="00CC3632">
      <w:pPr>
        <w:pStyle w:val="NormalWeb"/>
        <w:spacing w:line="276" w:lineRule="auto"/>
        <w:jc w:val="both"/>
        <w:rPr>
          <w:rStyle w:val="Hyperlink"/>
        </w:rPr>
      </w:pPr>
      <w:proofErr w:type="spellStart"/>
      <w:r w:rsidRPr="0076467F">
        <w:t>Ekesiobi</w:t>
      </w:r>
      <w:proofErr w:type="spellEnd"/>
      <w:r w:rsidRPr="0076467F">
        <w:t xml:space="preserve">, S. U., Ekpe, J. E., </w:t>
      </w:r>
      <w:proofErr w:type="spellStart"/>
      <w:r w:rsidRPr="0076467F">
        <w:t>Okpoji</w:t>
      </w:r>
      <w:proofErr w:type="spellEnd"/>
      <w:r w:rsidRPr="0076467F">
        <w:t xml:space="preserve">, A. U., Hassan, D. H., </w:t>
      </w:r>
      <w:proofErr w:type="spellStart"/>
      <w:r w:rsidRPr="0076467F">
        <w:t>Ekwere</w:t>
      </w:r>
      <w:proofErr w:type="spellEnd"/>
      <w:r w:rsidRPr="0076467F">
        <w:t xml:space="preserve">, I. O., </w:t>
      </w:r>
      <w:proofErr w:type="spellStart"/>
      <w:r w:rsidRPr="0076467F">
        <w:t>Awortu</w:t>
      </w:r>
      <w:proofErr w:type="spellEnd"/>
      <w:r w:rsidRPr="0076467F">
        <w:t xml:space="preserve">, R. C., </w:t>
      </w:r>
      <w:proofErr w:type="spellStart"/>
      <w:r w:rsidRPr="0076467F">
        <w:t>Etesin</w:t>
      </w:r>
      <w:proofErr w:type="spellEnd"/>
      <w:r w:rsidRPr="0076467F">
        <w:t xml:space="preserve">, M. U., </w:t>
      </w:r>
      <w:proofErr w:type="spellStart"/>
      <w:r w:rsidRPr="0076467F">
        <w:t>Nwofia</w:t>
      </w:r>
      <w:proofErr w:type="spellEnd"/>
      <w:r w:rsidRPr="0076467F">
        <w:t xml:space="preserve">, U., Okeke, C. F., &amp; Nwankwo, A. O. (2025). </w:t>
      </w:r>
      <w:proofErr w:type="spellStart"/>
      <w:r w:rsidRPr="0076467F">
        <w:t>Hydrochemical</w:t>
      </w:r>
      <w:proofErr w:type="spellEnd"/>
      <w:r w:rsidRPr="0076467F">
        <w:t xml:space="preserve"> characterisation and health-risk assessment of drinking water sources in Brass Island, Bayelsa State, Nigeria. Asian Journal of Chemical Sciences, 15(6), 64–76. </w:t>
      </w:r>
      <w:hyperlink r:id="rId9" w:history="1">
        <w:r w:rsidRPr="004761E6">
          <w:rPr>
            <w:rStyle w:val="Hyperlink"/>
          </w:rPr>
          <w:t>https://doi.org/10.9734/ajocs/2025/v15i6406</w:t>
        </w:r>
      </w:hyperlink>
      <w:r>
        <w:t xml:space="preserve"> </w:t>
      </w:r>
    </w:p>
    <w:p w14:paraId="23FD1B97" w14:textId="77777777" w:rsidR="00553366" w:rsidRPr="00CC3632" w:rsidRDefault="00553366"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3632">
        <w:rPr>
          <w:rFonts w:ascii="Times New Roman" w:eastAsia="Times New Roman" w:hAnsi="Times New Roman" w:cs="Times New Roman"/>
          <w:sz w:val="24"/>
          <w:szCs w:val="24"/>
          <w:lang w:eastAsia="en-GB"/>
        </w:rPr>
        <w:t xml:space="preserve">Ekpe, J. E., </w:t>
      </w: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Ekwere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Anarada</w:t>
      </w:r>
      <w:proofErr w:type="spellEnd"/>
      <w:r w:rsidRPr="00CC3632">
        <w:rPr>
          <w:rFonts w:ascii="Times New Roman" w:eastAsia="Times New Roman" w:hAnsi="Times New Roman" w:cs="Times New Roman"/>
          <w:sz w:val="24"/>
          <w:szCs w:val="24"/>
          <w:lang w:eastAsia="en-GB"/>
        </w:rPr>
        <w:t xml:space="preserve">, C. J., </w:t>
      </w:r>
      <w:proofErr w:type="spellStart"/>
      <w:r w:rsidRPr="00CC3632">
        <w:rPr>
          <w:rFonts w:ascii="Times New Roman" w:eastAsia="Times New Roman" w:hAnsi="Times New Roman" w:cs="Times New Roman"/>
          <w:sz w:val="24"/>
          <w:szCs w:val="24"/>
          <w:lang w:eastAsia="en-GB"/>
        </w:rPr>
        <w:t>Ewuola</w:t>
      </w:r>
      <w:proofErr w:type="spellEnd"/>
      <w:r w:rsidRPr="00CC3632">
        <w:rPr>
          <w:rFonts w:ascii="Times New Roman" w:eastAsia="Times New Roman" w:hAnsi="Times New Roman" w:cs="Times New Roman"/>
          <w:sz w:val="24"/>
          <w:szCs w:val="24"/>
          <w:lang w:eastAsia="en-GB"/>
        </w:rPr>
        <w:t xml:space="preserve">, A. A., Ufuoma, V. O., </w:t>
      </w:r>
      <w:proofErr w:type="spellStart"/>
      <w:r w:rsidRPr="00CC3632">
        <w:rPr>
          <w:rFonts w:ascii="Times New Roman" w:eastAsia="Times New Roman" w:hAnsi="Times New Roman" w:cs="Times New Roman"/>
          <w:sz w:val="24"/>
          <w:szCs w:val="24"/>
          <w:lang w:eastAsia="en-GB"/>
        </w:rPr>
        <w:t>Okpanachi</w:t>
      </w:r>
      <w:proofErr w:type="spellEnd"/>
      <w:r w:rsidRPr="00CC3632">
        <w:rPr>
          <w:rFonts w:ascii="Times New Roman" w:eastAsia="Times New Roman" w:hAnsi="Times New Roman" w:cs="Times New Roman"/>
          <w:sz w:val="24"/>
          <w:szCs w:val="24"/>
          <w:lang w:eastAsia="en-GB"/>
        </w:rPr>
        <w:t xml:space="preserve">, C. B., Okonkwo, C. O., &amp; </w:t>
      </w:r>
      <w:proofErr w:type="spellStart"/>
      <w:r w:rsidRPr="00CC3632">
        <w:rPr>
          <w:rFonts w:ascii="Times New Roman" w:eastAsia="Times New Roman" w:hAnsi="Times New Roman" w:cs="Times New Roman"/>
          <w:sz w:val="24"/>
          <w:szCs w:val="24"/>
          <w:lang w:eastAsia="en-GB"/>
        </w:rPr>
        <w:t>Obunezi</w:t>
      </w:r>
      <w:proofErr w:type="spellEnd"/>
      <w:r w:rsidRPr="00CC3632">
        <w:rPr>
          <w:rFonts w:ascii="Times New Roman" w:eastAsia="Times New Roman" w:hAnsi="Times New Roman" w:cs="Times New Roman"/>
          <w:sz w:val="24"/>
          <w:szCs w:val="24"/>
          <w:lang w:eastAsia="en-GB"/>
        </w:rPr>
        <w:t xml:space="preserve">, O. A. (2025). Physico-chemical transport of pesticides and nutrients in irrigation water and their fate in </w:t>
      </w:r>
      <w:proofErr w:type="spellStart"/>
      <w:r w:rsidRPr="00CC3632">
        <w:rPr>
          <w:rFonts w:ascii="Times New Roman" w:eastAsia="Times New Roman" w:hAnsi="Times New Roman" w:cs="Times New Roman"/>
          <w:sz w:val="24"/>
          <w:szCs w:val="24"/>
          <w:lang w:eastAsia="en-GB"/>
        </w:rPr>
        <w:t>agro</w:t>
      </w:r>
      <w:proofErr w:type="spellEnd"/>
      <w:r w:rsidRPr="00CC3632">
        <w:rPr>
          <w:rFonts w:ascii="Times New Roman" w:eastAsia="Times New Roman" w:hAnsi="Times New Roman" w:cs="Times New Roman"/>
          <w:sz w:val="24"/>
          <w:szCs w:val="24"/>
          <w:lang w:eastAsia="en-GB"/>
        </w:rPr>
        <w:t xml:space="preserve">-ecosystems of Rivers State, Nigeria. </w:t>
      </w:r>
      <w:proofErr w:type="spellStart"/>
      <w:r w:rsidRPr="00CC3632">
        <w:rPr>
          <w:rFonts w:ascii="Times New Roman" w:eastAsia="Times New Roman" w:hAnsi="Times New Roman" w:cs="Times New Roman"/>
          <w:i/>
          <w:iCs/>
          <w:sz w:val="24"/>
          <w:szCs w:val="24"/>
          <w:lang w:eastAsia="en-GB"/>
        </w:rPr>
        <w:t>Palgo</w:t>
      </w:r>
      <w:proofErr w:type="spellEnd"/>
      <w:r w:rsidRPr="00CC3632">
        <w:rPr>
          <w:rFonts w:ascii="Times New Roman" w:eastAsia="Times New Roman" w:hAnsi="Times New Roman" w:cs="Times New Roman"/>
          <w:i/>
          <w:iCs/>
          <w:sz w:val="24"/>
          <w:szCs w:val="24"/>
          <w:lang w:eastAsia="en-GB"/>
        </w:rPr>
        <w:t xml:space="preserve"> Journal of Agriculture, 9</w:t>
      </w:r>
      <w:r w:rsidRPr="00CC3632">
        <w:rPr>
          <w:rFonts w:ascii="Times New Roman" w:eastAsia="Times New Roman" w:hAnsi="Times New Roman" w:cs="Times New Roman"/>
          <w:sz w:val="24"/>
          <w:szCs w:val="24"/>
          <w:lang w:eastAsia="en-GB"/>
        </w:rPr>
        <w:t xml:space="preserve">(2), 30–37. </w:t>
      </w:r>
      <w:r w:rsidRPr="00CC3632">
        <w:rPr>
          <w:rFonts w:ascii="Times New Roman" w:hAnsi="Times New Roman" w:cs="Times New Roman"/>
          <w:sz w:val="24"/>
          <w:szCs w:val="24"/>
        </w:rPr>
        <w:br/>
      </w:r>
      <w:hyperlink r:id="rId10" w:history="1">
        <w:r w:rsidRPr="00CC3632">
          <w:rPr>
            <w:rStyle w:val="Hyperlink"/>
            <w:rFonts w:ascii="Times New Roman" w:hAnsi="Times New Roman" w:cs="Times New Roman"/>
            <w:sz w:val="24"/>
            <w:szCs w:val="24"/>
            <w:shd w:val="clear" w:color="auto" w:fill="FFFFFF"/>
          </w:rPr>
          <w:t>https://doi.org/10.5281/zenodo.17148360</w:t>
        </w:r>
      </w:hyperlink>
    </w:p>
    <w:bookmarkEnd w:id="1"/>
    <w:p w14:paraId="40183863" w14:textId="2FF555A6" w:rsidR="00553366" w:rsidRPr="00CC3632" w:rsidRDefault="00E97D5A"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hAnsi="Times New Roman" w:cs="Times New Roman"/>
          <w:sz w:val="24"/>
          <w:szCs w:val="24"/>
        </w:rPr>
        <w:t>Ekwere</w:t>
      </w:r>
      <w:proofErr w:type="spellEnd"/>
      <w:r w:rsidRPr="00CC3632">
        <w:rPr>
          <w:rFonts w:ascii="Times New Roman" w:hAnsi="Times New Roman" w:cs="Times New Roman"/>
          <w:sz w:val="24"/>
          <w:szCs w:val="24"/>
        </w:rPr>
        <w:t xml:space="preserve">, I. O., </w:t>
      </w:r>
      <w:proofErr w:type="spellStart"/>
      <w:r w:rsidRPr="00CC3632">
        <w:rPr>
          <w:rFonts w:ascii="Times New Roman" w:hAnsi="Times New Roman" w:cs="Times New Roman"/>
          <w:sz w:val="24"/>
          <w:szCs w:val="24"/>
        </w:rPr>
        <w:t>Okpoji</w:t>
      </w:r>
      <w:proofErr w:type="spellEnd"/>
      <w:r w:rsidRPr="00CC3632">
        <w:rPr>
          <w:rFonts w:ascii="Times New Roman" w:hAnsi="Times New Roman" w:cs="Times New Roman"/>
          <w:sz w:val="24"/>
          <w:szCs w:val="24"/>
        </w:rPr>
        <w:t xml:space="preserve">, A. U., </w:t>
      </w:r>
      <w:proofErr w:type="spellStart"/>
      <w:r w:rsidRPr="00CC3632">
        <w:rPr>
          <w:rFonts w:ascii="Times New Roman" w:hAnsi="Times New Roman" w:cs="Times New Roman"/>
          <w:sz w:val="24"/>
          <w:szCs w:val="24"/>
        </w:rPr>
        <w:t>Igwegbe</w:t>
      </w:r>
      <w:proofErr w:type="spellEnd"/>
      <w:r w:rsidRPr="00CC3632">
        <w:rPr>
          <w:rFonts w:ascii="Times New Roman" w:hAnsi="Times New Roman" w:cs="Times New Roman"/>
          <w:sz w:val="24"/>
          <w:szCs w:val="24"/>
        </w:rPr>
        <w:t xml:space="preserve">, K. C., Okonkwo, C. O., </w:t>
      </w:r>
      <w:proofErr w:type="spellStart"/>
      <w:r w:rsidRPr="00CC3632">
        <w:rPr>
          <w:rFonts w:ascii="Times New Roman" w:hAnsi="Times New Roman" w:cs="Times New Roman"/>
          <w:sz w:val="24"/>
          <w:szCs w:val="24"/>
        </w:rPr>
        <w:t>Yekeen</w:t>
      </w:r>
      <w:proofErr w:type="spellEnd"/>
      <w:r w:rsidRPr="00CC3632">
        <w:rPr>
          <w:rFonts w:ascii="Times New Roman" w:hAnsi="Times New Roman" w:cs="Times New Roman"/>
          <w:sz w:val="24"/>
          <w:szCs w:val="24"/>
        </w:rPr>
        <w:t xml:space="preserve">, A. A., </w:t>
      </w:r>
      <w:proofErr w:type="spellStart"/>
      <w:r w:rsidRPr="00CC3632">
        <w:rPr>
          <w:rFonts w:ascii="Times New Roman" w:hAnsi="Times New Roman" w:cs="Times New Roman"/>
          <w:sz w:val="24"/>
          <w:szCs w:val="24"/>
        </w:rPr>
        <w:t>Obunezi</w:t>
      </w:r>
      <w:proofErr w:type="spellEnd"/>
      <w:r w:rsidRPr="00CC3632">
        <w:rPr>
          <w:rFonts w:ascii="Times New Roman" w:hAnsi="Times New Roman" w:cs="Times New Roman"/>
          <w:sz w:val="24"/>
          <w:szCs w:val="24"/>
        </w:rPr>
        <w:t xml:space="preserve">, O. C., </w:t>
      </w:r>
      <w:proofErr w:type="spellStart"/>
      <w:r w:rsidRPr="00CC3632">
        <w:rPr>
          <w:rFonts w:ascii="Times New Roman" w:hAnsi="Times New Roman" w:cs="Times New Roman"/>
          <w:sz w:val="24"/>
          <w:szCs w:val="24"/>
        </w:rPr>
        <w:t>Okpanachi</w:t>
      </w:r>
      <w:proofErr w:type="spellEnd"/>
      <w:r w:rsidRPr="00CC3632">
        <w:rPr>
          <w:rFonts w:ascii="Times New Roman" w:hAnsi="Times New Roman" w:cs="Times New Roman"/>
          <w:sz w:val="24"/>
          <w:szCs w:val="24"/>
        </w:rPr>
        <w:t xml:space="preserve">, C. B., </w:t>
      </w:r>
      <w:proofErr w:type="spellStart"/>
      <w:r w:rsidRPr="00CC3632">
        <w:rPr>
          <w:rFonts w:ascii="Times New Roman" w:hAnsi="Times New Roman" w:cs="Times New Roman"/>
          <w:sz w:val="24"/>
          <w:szCs w:val="24"/>
        </w:rPr>
        <w:t>Garuba</w:t>
      </w:r>
      <w:proofErr w:type="spellEnd"/>
      <w:r w:rsidRPr="00CC3632">
        <w:rPr>
          <w:rFonts w:ascii="Times New Roman" w:hAnsi="Times New Roman" w:cs="Times New Roman"/>
          <w:sz w:val="24"/>
          <w:szCs w:val="24"/>
        </w:rPr>
        <w:t xml:space="preserve">, M. H., </w:t>
      </w:r>
      <w:proofErr w:type="spellStart"/>
      <w:r w:rsidRPr="00CC3632">
        <w:rPr>
          <w:rFonts w:ascii="Times New Roman" w:hAnsi="Times New Roman" w:cs="Times New Roman"/>
          <w:sz w:val="24"/>
          <w:szCs w:val="24"/>
        </w:rPr>
        <w:t>Ogini</w:t>
      </w:r>
      <w:proofErr w:type="spellEnd"/>
      <w:r w:rsidRPr="00CC3632">
        <w:rPr>
          <w:rFonts w:ascii="Times New Roman" w:hAnsi="Times New Roman" w:cs="Times New Roman"/>
          <w:sz w:val="24"/>
          <w:szCs w:val="24"/>
        </w:rPr>
        <w:t xml:space="preserve">, O. R., &amp; </w:t>
      </w:r>
      <w:proofErr w:type="spellStart"/>
      <w:r w:rsidRPr="00CC3632">
        <w:rPr>
          <w:rFonts w:ascii="Times New Roman" w:hAnsi="Times New Roman" w:cs="Times New Roman"/>
          <w:sz w:val="24"/>
          <w:szCs w:val="24"/>
        </w:rPr>
        <w:t>Odibo</w:t>
      </w:r>
      <w:proofErr w:type="spellEnd"/>
      <w:r w:rsidRPr="00CC3632">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CC3632">
        <w:rPr>
          <w:rFonts w:ascii="Times New Roman" w:hAnsi="Times New Roman" w:cs="Times New Roman"/>
          <w:sz w:val="24"/>
          <w:szCs w:val="24"/>
        </w:rPr>
        <w:t>niloticus</w:t>
      </w:r>
      <w:proofErr w:type="spellEnd"/>
      <w:r w:rsidRPr="00CC3632">
        <w:rPr>
          <w:rFonts w:ascii="Times New Roman" w:hAnsi="Times New Roman" w:cs="Times New Roman"/>
          <w:sz w:val="24"/>
          <w:szCs w:val="24"/>
        </w:rPr>
        <w:t xml:space="preserve">). Journal of Environment, Climate, and Ecology, 2(2), 90-97. </w:t>
      </w:r>
      <w:hyperlink r:id="rId11" w:history="1">
        <w:r w:rsidRPr="00CC3632">
          <w:rPr>
            <w:rStyle w:val="Hyperlink"/>
            <w:rFonts w:ascii="Times New Roman" w:hAnsi="Times New Roman" w:cs="Times New Roman"/>
            <w:sz w:val="24"/>
            <w:szCs w:val="24"/>
          </w:rPr>
          <w:t>https://doi.org/10.69739/jece.v2i2.952</w:t>
        </w:r>
      </w:hyperlink>
      <w:r w:rsidRPr="00CC3632">
        <w:rPr>
          <w:rFonts w:ascii="Times New Roman" w:hAnsi="Times New Roman" w:cs="Times New Roman"/>
          <w:sz w:val="24"/>
          <w:szCs w:val="24"/>
        </w:rPr>
        <w:t xml:space="preserve"> </w:t>
      </w:r>
    </w:p>
    <w:p w14:paraId="7C380135" w14:textId="7ED695CC" w:rsidR="00553366" w:rsidRPr="00CC3632" w:rsidRDefault="00E008FB"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hAnsi="Times New Roman" w:cs="Times New Roman"/>
          <w:sz w:val="24"/>
          <w:szCs w:val="24"/>
        </w:rPr>
        <w:t>Ekwere</w:t>
      </w:r>
      <w:proofErr w:type="spellEnd"/>
      <w:r w:rsidRPr="00CC3632">
        <w:rPr>
          <w:rFonts w:ascii="Times New Roman" w:hAnsi="Times New Roman" w:cs="Times New Roman"/>
          <w:sz w:val="24"/>
          <w:szCs w:val="24"/>
        </w:rPr>
        <w:t xml:space="preserve">, I. O., </w:t>
      </w:r>
      <w:proofErr w:type="spellStart"/>
      <w:r w:rsidRPr="00CC3632">
        <w:rPr>
          <w:rFonts w:ascii="Times New Roman" w:hAnsi="Times New Roman" w:cs="Times New Roman"/>
          <w:sz w:val="24"/>
          <w:szCs w:val="24"/>
        </w:rPr>
        <w:t>Okpoji</w:t>
      </w:r>
      <w:proofErr w:type="spellEnd"/>
      <w:r w:rsidRPr="00CC3632">
        <w:rPr>
          <w:rFonts w:ascii="Times New Roman" w:hAnsi="Times New Roman" w:cs="Times New Roman"/>
          <w:sz w:val="24"/>
          <w:szCs w:val="24"/>
        </w:rPr>
        <w:t xml:space="preserve">, A. U., Okagbare, U. V., </w:t>
      </w:r>
      <w:proofErr w:type="spellStart"/>
      <w:r w:rsidRPr="00CC3632">
        <w:rPr>
          <w:rFonts w:ascii="Times New Roman" w:hAnsi="Times New Roman" w:cs="Times New Roman"/>
          <w:sz w:val="24"/>
          <w:szCs w:val="24"/>
        </w:rPr>
        <w:t>Ewuola</w:t>
      </w:r>
      <w:proofErr w:type="spellEnd"/>
      <w:r w:rsidRPr="00CC3632">
        <w:rPr>
          <w:rFonts w:ascii="Times New Roman" w:hAnsi="Times New Roman" w:cs="Times New Roman"/>
          <w:sz w:val="24"/>
          <w:szCs w:val="24"/>
        </w:rPr>
        <w:t xml:space="preserve">, A. A., </w:t>
      </w:r>
      <w:proofErr w:type="spellStart"/>
      <w:r w:rsidRPr="00CC3632">
        <w:rPr>
          <w:rFonts w:ascii="Times New Roman" w:hAnsi="Times New Roman" w:cs="Times New Roman"/>
          <w:sz w:val="24"/>
          <w:szCs w:val="24"/>
        </w:rPr>
        <w:t>Awortu</w:t>
      </w:r>
      <w:proofErr w:type="spellEnd"/>
      <w:r w:rsidRPr="00CC3632">
        <w:rPr>
          <w:rFonts w:ascii="Times New Roman" w:hAnsi="Times New Roman" w:cs="Times New Roman"/>
          <w:sz w:val="24"/>
          <w:szCs w:val="24"/>
        </w:rPr>
        <w:t xml:space="preserve">, R. C., </w:t>
      </w:r>
      <w:proofErr w:type="spellStart"/>
      <w:r w:rsidRPr="00CC3632">
        <w:rPr>
          <w:rFonts w:ascii="Times New Roman" w:hAnsi="Times New Roman" w:cs="Times New Roman"/>
          <w:sz w:val="24"/>
          <w:szCs w:val="24"/>
        </w:rPr>
        <w:t>Onoja</w:t>
      </w:r>
      <w:proofErr w:type="spellEnd"/>
      <w:r w:rsidRPr="00CC3632">
        <w:rPr>
          <w:rFonts w:ascii="Times New Roman" w:hAnsi="Times New Roman" w:cs="Times New Roman"/>
          <w:sz w:val="24"/>
          <w:szCs w:val="24"/>
        </w:rPr>
        <w:t xml:space="preserve">, C. R., </w:t>
      </w:r>
      <w:proofErr w:type="spellStart"/>
      <w:r w:rsidRPr="00CC3632">
        <w:rPr>
          <w:rFonts w:ascii="Times New Roman" w:hAnsi="Times New Roman" w:cs="Times New Roman"/>
          <w:sz w:val="24"/>
          <w:szCs w:val="24"/>
        </w:rPr>
        <w:t>Alaekwe</w:t>
      </w:r>
      <w:proofErr w:type="spellEnd"/>
      <w:r w:rsidRPr="00CC3632">
        <w:rPr>
          <w:rFonts w:ascii="Times New Roman" w:hAnsi="Times New Roman" w:cs="Times New Roman"/>
          <w:sz w:val="24"/>
          <w:szCs w:val="24"/>
        </w:rPr>
        <w:t xml:space="preserve">, I. O., </w:t>
      </w:r>
      <w:proofErr w:type="spellStart"/>
      <w:r w:rsidRPr="00CC3632">
        <w:rPr>
          <w:rFonts w:ascii="Times New Roman" w:hAnsi="Times New Roman" w:cs="Times New Roman"/>
          <w:sz w:val="24"/>
          <w:szCs w:val="24"/>
        </w:rPr>
        <w:t>Etesin</w:t>
      </w:r>
      <w:proofErr w:type="spellEnd"/>
      <w:r w:rsidRPr="00CC3632">
        <w:rPr>
          <w:rFonts w:ascii="Times New Roman" w:hAnsi="Times New Roman" w:cs="Times New Roman"/>
          <w:sz w:val="24"/>
          <w:szCs w:val="24"/>
        </w:rPr>
        <w:t xml:space="preserve">, M. O., &amp; </w:t>
      </w:r>
      <w:proofErr w:type="spellStart"/>
      <w:r w:rsidRPr="00CC3632">
        <w:rPr>
          <w:rFonts w:ascii="Times New Roman" w:hAnsi="Times New Roman" w:cs="Times New Roman"/>
          <w:sz w:val="24"/>
          <w:szCs w:val="24"/>
        </w:rPr>
        <w:t>Edodi</w:t>
      </w:r>
      <w:proofErr w:type="spellEnd"/>
      <w:r w:rsidRPr="00CC3632">
        <w:rPr>
          <w:rFonts w:ascii="Times New Roman" w:hAnsi="Times New Roman" w:cs="Times New Roman"/>
          <w:sz w:val="24"/>
          <w:szCs w:val="24"/>
        </w:rPr>
        <w:t xml:space="preserve">, I. O. (2025). Nutritional evaluation of Nile tilapia (Oreochromis </w:t>
      </w:r>
      <w:proofErr w:type="spellStart"/>
      <w:r w:rsidRPr="00CC3632">
        <w:rPr>
          <w:rFonts w:ascii="Times New Roman" w:hAnsi="Times New Roman" w:cs="Times New Roman"/>
          <w:sz w:val="24"/>
          <w:szCs w:val="24"/>
        </w:rPr>
        <w:t>niloticus</w:t>
      </w:r>
      <w:proofErr w:type="spellEnd"/>
      <w:r w:rsidRPr="00CC3632">
        <w:rPr>
          <w:rFonts w:ascii="Times New Roman" w:hAnsi="Times New Roman" w:cs="Times New Roman"/>
          <w:sz w:val="24"/>
          <w:szCs w:val="24"/>
        </w:rPr>
        <w:t xml:space="preserve">) processed by different drying methods in </w:t>
      </w:r>
      <w:proofErr w:type="spellStart"/>
      <w:r w:rsidRPr="00CC3632">
        <w:rPr>
          <w:rFonts w:ascii="Times New Roman" w:hAnsi="Times New Roman" w:cs="Times New Roman"/>
          <w:sz w:val="24"/>
          <w:szCs w:val="24"/>
        </w:rPr>
        <w:t>Akwa</w:t>
      </w:r>
      <w:proofErr w:type="spellEnd"/>
      <w:r w:rsidRPr="00CC3632">
        <w:rPr>
          <w:rFonts w:ascii="Times New Roman" w:hAnsi="Times New Roman" w:cs="Times New Roman"/>
          <w:sz w:val="24"/>
          <w:szCs w:val="24"/>
        </w:rPr>
        <w:t xml:space="preserve"> Ibom State, Nigeria. Journal of Sustainable Research and Development, 1(2), 11–17. </w:t>
      </w:r>
      <w:hyperlink r:id="rId12" w:history="1">
        <w:r w:rsidRPr="00CC3632">
          <w:rPr>
            <w:rStyle w:val="Hyperlink"/>
            <w:rFonts w:ascii="Times New Roman" w:hAnsi="Times New Roman" w:cs="Times New Roman"/>
            <w:sz w:val="24"/>
            <w:szCs w:val="24"/>
          </w:rPr>
          <w:t>https://doi.org/10.69739/jsrd.v1i2.1033</w:t>
        </w:r>
      </w:hyperlink>
      <w:r w:rsidRPr="00CC3632">
        <w:rPr>
          <w:rFonts w:ascii="Times New Roman" w:hAnsi="Times New Roman" w:cs="Times New Roman"/>
          <w:sz w:val="24"/>
          <w:szCs w:val="24"/>
        </w:rPr>
        <w:t xml:space="preserve"> </w:t>
      </w:r>
    </w:p>
    <w:p w14:paraId="0B9346E4" w14:textId="483C94A2" w:rsidR="00553366" w:rsidRPr="00247942" w:rsidRDefault="00766D7F" w:rsidP="00CC3632">
      <w:pPr>
        <w:pStyle w:val="NormalWeb"/>
        <w:spacing w:line="276" w:lineRule="auto"/>
        <w:jc w:val="both"/>
      </w:pPr>
      <w:proofErr w:type="spellStart"/>
      <w:r w:rsidRPr="00766D7F">
        <w:rPr>
          <w:lang w:val="en-US" w:eastAsia="zh-CN" w:bidi="ar"/>
        </w:rPr>
        <w:lastRenderedPageBreak/>
        <w:t>Etesin</w:t>
      </w:r>
      <w:proofErr w:type="spellEnd"/>
      <w:r w:rsidRPr="00766D7F">
        <w:rPr>
          <w:lang w:val="en-US" w:eastAsia="zh-CN" w:bidi="ar"/>
        </w:rPr>
        <w:t xml:space="preserve">, M. U., </w:t>
      </w:r>
      <w:proofErr w:type="spellStart"/>
      <w:r w:rsidRPr="00766D7F">
        <w:rPr>
          <w:lang w:val="en-US" w:eastAsia="zh-CN" w:bidi="ar"/>
        </w:rPr>
        <w:t>Ezeabsili</w:t>
      </w:r>
      <w:proofErr w:type="spellEnd"/>
      <w:r w:rsidRPr="00766D7F">
        <w:rPr>
          <w:lang w:val="en-US" w:eastAsia="zh-CN" w:bidi="ar"/>
        </w:rPr>
        <w:t xml:space="preserve">, P. I., </w:t>
      </w:r>
      <w:proofErr w:type="spellStart"/>
      <w:r w:rsidRPr="00766D7F">
        <w:rPr>
          <w:lang w:val="en-US" w:eastAsia="zh-CN" w:bidi="ar"/>
        </w:rPr>
        <w:t>Agu</w:t>
      </w:r>
      <w:proofErr w:type="spellEnd"/>
      <w:r w:rsidRPr="00766D7F">
        <w:rPr>
          <w:lang w:val="en-US" w:eastAsia="zh-CN" w:bidi="ar"/>
        </w:rPr>
        <w:t xml:space="preserve">, M. O., Okeke, C. F., </w:t>
      </w:r>
      <w:proofErr w:type="spellStart"/>
      <w:r w:rsidRPr="00766D7F">
        <w:rPr>
          <w:lang w:val="en-US" w:eastAsia="zh-CN" w:bidi="ar"/>
        </w:rPr>
        <w:t>Olotu</w:t>
      </w:r>
      <w:proofErr w:type="spellEnd"/>
      <w:r w:rsidRPr="00766D7F">
        <w:rPr>
          <w:lang w:val="en-US" w:eastAsia="zh-CN" w:bidi="ar"/>
        </w:rPr>
        <w:t xml:space="preserve">, O. N., </w:t>
      </w:r>
      <w:proofErr w:type="spellStart"/>
      <w:r w:rsidRPr="00766D7F">
        <w:rPr>
          <w:lang w:val="en-US" w:eastAsia="zh-CN" w:bidi="ar"/>
        </w:rPr>
        <w:t>Aligwo</w:t>
      </w:r>
      <w:proofErr w:type="spellEnd"/>
      <w:r w:rsidRPr="00766D7F">
        <w:rPr>
          <w:lang w:val="en-US" w:eastAsia="zh-CN" w:bidi="ar"/>
        </w:rPr>
        <w:t xml:space="preserve">, M. C., </w:t>
      </w:r>
      <w:proofErr w:type="spellStart"/>
      <w:r w:rsidRPr="00766D7F">
        <w:rPr>
          <w:lang w:val="en-US" w:eastAsia="zh-CN" w:bidi="ar"/>
        </w:rPr>
        <w:t>Eze</w:t>
      </w:r>
      <w:proofErr w:type="spellEnd"/>
      <w:r w:rsidRPr="00766D7F">
        <w:rPr>
          <w:lang w:val="en-US" w:eastAsia="zh-CN" w:bidi="ar"/>
        </w:rPr>
        <w:t xml:space="preserve">, V. C., Nwankwo, A. O., </w:t>
      </w:r>
      <w:proofErr w:type="spellStart"/>
      <w:r w:rsidRPr="00766D7F">
        <w:rPr>
          <w:lang w:val="en-US" w:eastAsia="zh-CN" w:bidi="ar"/>
        </w:rPr>
        <w:t>Okpoji</w:t>
      </w:r>
      <w:proofErr w:type="spellEnd"/>
      <w:r w:rsidRPr="00766D7F">
        <w:rPr>
          <w:lang w:val="en-US" w:eastAsia="zh-CN" w:bidi="ar"/>
        </w:rPr>
        <w:t xml:space="preserve">, A. U., &amp; </w:t>
      </w:r>
      <w:proofErr w:type="spellStart"/>
      <w:r w:rsidRPr="00766D7F">
        <w:rPr>
          <w:lang w:val="en-US" w:eastAsia="zh-CN" w:bidi="ar"/>
        </w:rPr>
        <w:t>Ekong</w:t>
      </w:r>
      <w:proofErr w:type="spellEnd"/>
      <w:r w:rsidRPr="00766D7F">
        <w:rPr>
          <w:lang w:val="en-US" w:eastAsia="zh-CN" w:bidi="ar"/>
        </w:rPr>
        <w:t xml:space="preserve">, I. U. (2025). Determination of polychlorinated biphenyls in soils and industrial effluents and health risks assessment in </w:t>
      </w:r>
      <w:proofErr w:type="spellStart"/>
      <w:r w:rsidRPr="00766D7F">
        <w:rPr>
          <w:lang w:val="en-US" w:eastAsia="zh-CN" w:bidi="ar"/>
        </w:rPr>
        <w:t>Uyo</w:t>
      </w:r>
      <w:proofErr w:type="spellEnd"/>
      <w:r w:rsidRPr="00766D7F">
        <w:rPr>
          <w:lang w:val="en-US" w:eastAsia="zh-CN" w:bidi="ar"/>
        </w:rPr>
        <w:t xml:space="preserve">, </w:t>
      </w:r>
      <w:proofErr w:type="spellStart"/>
      <w:r w:rsidRPr="00766D7F">
        <w:rPr>
          <w:lang w:val="en-US" w:eastAsia="zh-CN" w:bidi="ar"/>
        </w:rPr>
        <w:t>Akwa</w:t>
      </w:r>
      <w:proofErr w:type="spellEnd"/>
      <w:r w:rsidRPr="00766D7F">
        <w:rPr>
          <w:lang w:val="en-US" w:eastAsia="zh-CN" w:bidi="ar"/>
        </w:rPr>
        <w:t xml:space="preserve"> Ibom State, Nigeria. Journal of Medical Science, Biology, and Chemistry, 2(2), 285–292. </w:t>
      </w:r>
      <w:hyperlink r:id="rId13" w:history="1">
        <w:r w:rsidRPr="004761E6">
          <w:rPr>
            <w:rStyle w:val="Hyperlink"/>
            <w:lang w:val="en-US" w:eastAsia="zh-CN" w:bidi="ar"/>
          </w:rPr>
          <w:t>https://doi.org/10.69739/jmsbc.v2i2.1258</w:t>
        </w:r>
      </w:hyperlink>
      <w:r>
        <w:rPr>
          <w:lang w:val="en-US" w:eastAsia="zh-CN" w:bidi="ar"/>
        </w:rPr>
        <w:t xml:space="preserve"> </w:t>
      </w:r>
    </w:p>
    <w:p w14:paraId="2C135D64" w14:textId="646D17B9" w:rsidR="00553366" w:rsidRPr="00247942" w:rsidRDefault="001B256D" w:rsidP="00CC3632">
      <w:pPr>
        <w:pStyle w:val="NormalWeb"/>
        <w:jc w:val="both"/>
      </w:pPr>
      <w:r w:rsidRPr="001B256D">
        <w:t xml:space="preserve">John, E. E., </w:t>
      </w:r>
      <w:proofErr w:type="spellStart"/>
      <w:r w:rsidRPr="001B256D">
        <w:t>Emah</w:t>
      </w:r>
      <w:proofErr w:type="spellEnd"/>
      <w:r w:rsidRPr="001B256D">
        <w:t xml:space="preserve">, O. A., </w:t>
      </w:r>
      <w:proofErr w:type="spellStart"/>
      <w:r w:rsidRPr="001B256D">
        <w:t>Ifiok</w:t>
      </w:r>
      <w:proofErr w:type="spellEnd"/>
      <w:r w:rsidRPr="001B256D">
        <w:t xml:space="preserve">, O. E., </w:t>
      </w:r>
      <w:proofErr w:type="spellStart"/>
      <w:r w:rsidRPr="001B256D">
        <w:t>Okpoji</w:t>
      </w:r>
      <w:proofErr w:type="spellEnd"/>
      <w:r w:rsidRPr="001B256D">
        <w:t xml:space="preserve">, A. U., </w:t>
      </w:r>
      <w:proofErr w:type="spellStart"/>
      <w:r w:rsidRPr="001B256D">
        <w:t>Iyam</w:t>
      </w:r>
      <w:proofErr w:type="spellEnd"/>
      <w:r w:rsidRPr="001B256D">
        <w:t xml:space="preserve">, O. E., Henderson, O. O., Akinola, A. E., Gloria, N. A., &amp; Charles, N. O. (2025). Health Risk Implications of Polycyclic Aromatic Hydrocarbons in Smoked and Dried Fish Consumed in Nigeria. Journal of Medical Science, Biology, and Chemistry, 2(2), 192–199. </w:t>
      </w:r>
      <w:hyperlink r:id="rId14" w:history="1">
        <w:r w:rsidRPr="004761E6">
          <w:rPr>
            <w:rStyle w:val="Hyperlink"/>
          </w:rPr>
          <w:t>https://doi.org/10.69739/jmsbc.v2i2.1045</w:t>
        </w:r>
      </w:hyperlink>
      <w:r>
        <w:t xml:space="preserve"> </w:t>
      </w:r>
    </w:p>
    <w:p w14:paraId="7DF28085" w14:textId="22F1752B" w:rsidR="00553366" w:rsidRPr="00247942" w:rsidRDefault="00803633" w:rsidP="00CC3632">
      <w:pPr>
        <w:pStyle w:val="NormalWeb"/>
        <w:spacing w:line="276" w:lineRule="auto"/>
        <w:jc w:val="both"/>
        <w:rPr>
          <w:lang w:val="en-US"/>
        </w:rPr>
      </w:pPr>
      <w:proofErr w:type="spellStart"/>
      <w:r w:rsidRPr="00803633">
        <w:t>Ogbaji</w:t>
      </w:r>
      <w:proofErr w:type="spellEnd"/>
      <w:r w:rsidRPr="00803633">
        <w:t xml:space="preserve">, H. O., Akpan, N. A., </w:t>
      </w:r>
      <w:proofErr w:type="spellStart"/>
      <w:r w:rsidRPr="00803633">
        <w:t>Ijioma</w:t>
      </w:r>
      <w:proofErr w:type="spellEnd"/>
      <w:r w:rsidRPr="00803633">
        <w:t xml:space="preserve">, C. C., </w:t>
      </w:r>
      <w:proofErr w:type="spellStart"/>
      <w:r w:rsidRPr="00803633">
        <w:t>Okpoji</w:t>
      </w:r>
      <w:proofErr w:type="spellEnd"/>
      <w:r w:rsidRPr="00803633">
        <w:t xml:space="preserve">, A. U., </w:t>
      </w:r>
      <w:proofErr w:type="spellStart"/>
      <w:r w:rsidRPr="00803633">
        <w:t>Eze</w:t>
      </w:r>
      <w:proofErr w:type="spellEnd"/>
      <w:r w:rsidRPr="00803633">
        <w:t xml:space="preserve">, V. C., Obi, J. N., Martins, N. P., &amp; </w:t>
      </w:r>
      <w:proofErr w:type="spellStart"/>
      <w:r w:rsidRPr="00803633">
        <w:t>Etesin</w:t>
      </w:r>
      <w:proofErr w:type="spellEnd"/>
      <w:r w:rsidRPr="00803633">
        <w:t xml:space="preserve">, M. U. (2025). Seasonal variation in hydrocarbon contamination of sediments and biota in Bonny Estuary, Rivers State, Nigeria. Asian Journal of Geographical Research, 8(4), 330–338. </w:t>
      </w:r>
      <w:hyperlink r:id="rId15" w:history="1">
        <w:r w:rsidRPr="004761E6">
          <w:rPr>
            <w:rStyle w:val="Hyperlink"/>
          </w:rPr>
          <w:t>https://doi.org/10.9734/ajgr/2025/v8i4341</w:t>
        </w:r>
      </w:hyperlink>
      <w:r>
        <w:t xml:space="preserve"> </w:t>
      </w:r>
    </w:p>
    <w:p w14:paraId="5B395B30" w14:textId="3B7E217B" w:rsidR="00553366" w:rsidRPr="00247942" w:rsidRDefault="00633D9D" w:rsidP="00CC3632">
      <w:pPr>
        <w:pStyle w:val="NormalWeb"/>
      </w:pPr>
      <w:proofErr w:type="spellStart"/>
      <w:r w:rsidRPr="00633D9D">
        <w:t>Ohaturuonye</w:t>
      </w:r>
      <w:proofErr w:type="spellEnd"/>
      <w:r w:rsidRPr="00633D9D">
        <w:t xml:space="preserve">, S. O., </w:t>
      </w:r>
      <w:proofErr w:type="spellStart"/>
      <w:r w:rsidRPr="00633D9D">
        <w:t>Okpoji</w:t>
      </w:r>
      <w:proofErr w:type="spellEnd"/>
      <w:r w:rsidRPr="00633D9D">
        <w:t xml:space="preserve">, A. U., Akpan, N. A., Njoku, C. A., Isaac, S. C., </w:t>
      </w:r>
      <w:proofErr w:type="spellStart"/>
      <w:r w:rsidRPr="00633D9D">
        <w:t>Etesin</w:t>
      </w:r>
      <w:proofErr w:type="spellEnd"/>
      <w:r w:rsidRPr="00633D9D">
        <w:t xml:space="preserve">, M. U., &amp; </w:t>
      </w:r>
      <w:proofErr w:type="spellStart"/>
      <w:r w:rsidRPr="00633D9D">
        <w:t>Ekwere</w:t>
      </w:r>
      <w:proofErr w:type="spellEnd"/>
      <w:r w:rsidRPr="00633D9D">
        <w:t xml:space="preserve">, I. O. (2025). Biomarker responses in fish and crustaceans exposed to heavy metals and petroleum hydrocarbons in the Qua </w:t>
      </w:r>
      <w:proofErr w:type="spellStart"/>
      <w:r w:rsidRPr="00633D9D">
        <w:t>Iboe</w:t>
      </w:r>
      <w:proofErr w:type="spellEnd"/>
      <w:r w:rsidRPr="00633D9D">
        <w:t xml:space="preserve"> Estuary, Niger Delta. Asian Journal of Research in Zoology, 8(4), 234–244. </w:t>
      </w:r>
      <w:hyperlink r:id="rId16" w:history="1">
        <w:r w:rsidRPr="004761E6">
          <w:rPr>
            <w:rStyle w:val="Hyperlink"/>
          </w:rPr>
          <w:t>https://doi.org/10.9734/ajriz/2025/v8i4233</w:t>
        </w:r>
      </w:hyperlink>
      <w:r>
        <w:t xml:space="preserve"> </w:t>
      </w:r>
    </w:p>
    <w:p w14:paraId="426C176E" w14:textId="6CE027D8" w:rsidR="00553366" w:rsidRPr="00247942" w:rsidRDefault="003F272A" w:rsidP="00CC3632">
      <w:pPr>
        <w:pStyle w:val="NormalWeb"/>
        <w:spacing w:line="276" w:lineRule="auto"/>
        <w:jc w:val="both"/>
      </w:pPr>
      <w:r w:rsidRPr="003F272A">
        <w:t xml:space="preserve">Okagbare, U. V., </w:t>
      </w:r>
      <w:proofErr w:type="spellStart"/>
      <w:r w:rsidRPr="003F272A">
        <w:t>Umueni</w:t>
      </w:r>
      <w:proofErr w:type="spellEnd"/>
      <w:r w:rsidRPr="003F272A">
        <w:t xml:space="preserve">, U. E., Ekpe, J. E., </w:t>
      </w:r>
      <w:proofErr w:type="spellStart"/>
      <w:r w:rsidRPr="003F272A">
        <w:t>Etukudo</w:t>
      </w:r>
      <w:proofErr w:type="spellEnd"/>
      <w:r w:rsidRPr="003F272A">
        <w:t xml:space="preserve">, N. J., </w:t>
      </w:r>
      <w:proofErr w:type="spellStart"/>
      <w:r w:rsidRPr="003F272A">
        <w:t>Okpoji</w:t>
      </w:r>
      <w:proofErr w:type="spellEnd"/>
      <w:r w:rsidRPr="003F272A">
        <w:t xml:space="preserve">, A. U., Okoye, P. I., </w:t>
      </w:r>
      <w:proofErr w:type="spellStart"/>
      <w:r w:rsidRPr="003F272A">
        <w:t>Ekwere</w:t>
      </w:r>
      <w:proofErr w:type="spellEnd"/>
      <w:r w:rsidRPr="003F272A">
        <w:t xml:space="preserve">, I. O., </w:t>
      </w:r>
      <w:proofErr w:type="spellStart"/>
      <w:r w:rsidRPr="003F272A">
        <w:t>Etesin</w:t>
      </w:r>
      <w:proofErr w:type="spellEnd"/>
      <w:r w:rsidRPr="003F272A">
        <w:t xml:space="preserve">, M. U., </w:t>
      </w:r>
      <w:proofErr w:type="spellStart"/>
      <w:r w:rsidRPr="003F272A">
        <w:t>Okpanachi</w:t>
      </w:r>
      <w:proofErr w:type="spellEnd"/>
      <w:r w:rsidRPr="003F272A">
        <w:t xml:space="preserve">, C. B., &amp; Okafor, C. A. (2025). Geophysical and </w:t>
      </w:r>
      <w:proofErr w:type="spellStart"/>
      <w:r w:rsidRPr="003F272A">
        <w:t>Hydrochemical</w:t>
      </w:r>
      <w:proofErr w:type="spellEnd"/>
      <w:r w:rsidRPr="003F272A">
        <w:t xml:space="preserve"> Assessment of Groundwater Vulnerability to Oil Pollution in </w:t>
      </w:r>
      <w:proofErr w:type="spellStart"/>
      <w:r w:rsidRPr="003F272A">
        <w:t>Yenagoa</w:t>
      </w:r>
      <w:proofErr w:type="spellEnd"/>
      <w:r w:rsidRPr="003F272A">
        <w:t xml:space="preserve">, Bayelsa State, Nigeria. Journal of Environment, Climate, and Ecology, 2(2), 138–146. </w:t>
      </w:r>
      <w:hyperlink r:id="rId17" w:history="1">
        <w:r w:rsidRPr="004761E6">
          <w:rPr>
            <w:rStyle w:val="Hyperlink"/>
          </w:rPr>
          <w:t>https://doi.org/10.69739/jece.v2i2.1078</w:t>
        </w:r>
      </w:hyperlink>
      <w:r>
        <w:t xml:space="preserve"> </w:t>
      </w:r>
    </w:p>
    <w:p w14:paraId="47CBAC61" w14:textId="356BACF8" w:rsidR="00553366" w:rsidRPr="00247942" w:rsidRDefault="0077414A" w:rsidP="00CC3632">
      <w:pPr>
        <w:pStyle w:val="NormalWeb"/>
      </w:pPr>
      <w:proofErr w:type="spellStart"/>
      <w:r w:rsidRPr="0077414A">
        <w:t>Okpoji</w:t>
      </w:r>
      <w:proofErr w:type="spellEnd"/>
      <w:r w:rsidRPr="0077414A">
        <w:t xml:space="preserve">, A. U., Akpan, N. A., </w:t>
      </w:r>
      <w:proofErr w:type="spellStart"/>
      <w:r w:rsidRPr="0077414A">
        <w:t>Eze</w:t>
      </w:r>
      <w:proofErr w:type="spellEnd"/>
      <w:r w:rsidRPr="0077414A">
        <w:t xml:space="preserve">, V. C., </w:t>
      </w:r>
      <w:proofErr w:type="spellStart"/>
      <w:r w:rsidRPr="0077414A">
        <w:t>Ijioma</w:t>
      </w:r>
      <w:proofErr w:type="spellEnd"/>
      <w:r w:rsidRPr="0077414A">
        <w:t xml:space="preserve">, C. C., Hassan, D. H., Kareem, M. M., Obi, A. I., </w:t>
      </w:r>
      <w:proofErr w:type="spellStart"/>
      <w:r w:rsidRPr="0077414A">
        <w:t>Aningo</w:t>
      </w:r>
      <w:proofErr w:type="spellEnd"/>
      <w:r w:rsidRPr="0077414A">
        <w:t xml:space="preserve">, G. N., Okoye, P. I., </w:t>
      </w:r>
      <w:proofErr w:type="spellStart"/>
      <w:r w:rsidRPr="0077414A">
        <w:t>Ogbonnaya</w:t>
      </w:r>
      <w:proofErr w:type="spellEnd"/>
      <w:r w:rsidRPr="0077414A">
        <w:t xml:space="preserve">, C. N., </w:t>
      </w:r>
      <w:proofErr w:type="spellStart"/>
      <w:r w:rsidRPr="0077414A">
        <w:t>Ekwere</w:t>
      </w:r>
      <w:proofErr w:type="spellEnd"/>
      <w:r w:rsidRPr="0077414A">
        <w:t xml:space="preserve">, I. O., Okeke, C. F., &amp; </w:t>
      </w:r>
      <w:proofErr w:type="spellStart"/>
      <w:r w:rsidRPr="0077414A">
        <w:t>Aligwo</w:t>
      </w:r>
      <w:proofErr w:type="spellEnd"/>
      <w:r w:rsidRPr="0077414A">
        <w:t xml:space="preserve">, M. C. (2025). Toxicity and bioaccumulation of heavy metals and polycyclic aromatic hydrocarbons in estuarine fish from the </w:t>
      </w:r>
      <w:proofErr w:type="spellStart"/>
      <w:r w:rsidRPr="0077414A">
        <w:t>Andoni</w:t>
      </w:r>
      <w:proofErr w:type="spellEnd"/>
      <w:r w:rsidRPr="0077414A">
        <w:t xml:space="preserve"> Estuary, Niger Delta, Nigeria. Journal of Applied Physical Science International, 17(2), 10–22. </w:t>
      </w:r>
      <w:hyperlink r:id="rId18" w:history="1">
        <w:r w:rsidRPr="004761E6">
          <w:rPr>
            <w:rStyle w:val="Hyperlink"/>
          </w:rPr>
          <w:t>https://doi.org/10.56557/japsi/2025/v17i210026</w:t>
        </w:r>
      </w:hyperlink>
      <w:r>
        <w:t xml:space="preserve"> </w:t>
      </w:r>
    </w:p>
    <w:p w14:paraId="6BA0E1C6" w14:textId="3A72F13F" w:rsidR="00553366" w:rsidRPr="00CC3632" w:rsidRDefault="00611818"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Anarado</w:t>
      </w:r>
      <w:proofErr w:type="spellEnd"/>
      <w:r w:rsidRPr="00CC3632">
        <w:rPr>
          <w:rFonts w:ascii="Times New Roman" w:eastAsia="Times New Roman" w:hAnsi="Times New Roman" w:cs="Times New Roman"/>
          <w:sz w:val="24"/>
          <w:szCs w:val="24"/>
          <w:lang w:eastAsia="en-GB"/>
        </w:rPr>
        <w:t xml:space="preserve">, C. O., </w:t>
      </w:r>
      <w:proofErr w:type="spellStart"/>
      <w:r w:rsidRPr="00CC3632">
        <w:rPr>
          <w:rFonts w:ascii="Times New Roman" w:eastAsia="Times New Roman" w:hAnsi="Times New Roman" w:cs="Times New Roman"/>
          <w:sz w:val="24"/>
          <w:szCs w:val="24"/>
          <w:lang w:eastAsia="en-GB"/>
        </w:rPr>
        <w:t>Mmuta</w:t>
      </w:r>
      <w:proofErr w:type="spellEnd"/>
      <w:r w:rsidRPr="00CC3632">
        <w:rPr>
          <w:rFonts w:ascii="Times New Roman" w:eastAsia="Times New Roman" w:hAnsi="Times New Roman" w:cs="Times New Roman"/>
          <w:sz w:val="24"/>
          <w:szCs w:val="24"/>
          <w:lang w:eastAsia="en-GB"/>
        </w:rPr>
        <w:t xml:space="preserve">, E. C., </w:t>
      </w:r>
      <w:proofErr w:type="spellStart"/>
      <w:r w:rsidRPr="00CC3632">
        <w:rPr>
          <w:rFonts w:ascii="Times New Roman" w:eastAsia="Times New Roman" w:hAnsi="Times New Roman" w:cs="Times New Roman"/>
          <w:sz w:val="24"/>
          <w:szCs w:val="24"/>
          <w:lang w:eastAsia="en-GB"/>
        </w:rPr>
        <w:t>Ekwere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Alaekwe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Odibo</w:t>
      </w:r>
      <w:proofErr w:type="spellEnd"/>
      <w:r w:rsidRPr="00CC3632">
        <w:rPr>
          <w:rFonts w:ascii="Times New Roman" w:eastAsia="Times New Roman" w:hAnsi="Times New Roman" w:cs="Times New Roman"/>
          <w:sz w:val="24"/>
          <w:szCs w:val="24"/>
          <w:lang w:eastAsia="en-GB"/>
        </w:rPr>
        <w:t xml:space="preserve">, U. E., </w:t>
      </w:r>
      <w:proofErr w:type="spellStart"/>
      <w:r w:rsidRPr="00CC3632">
        <w:rPr>
          <w:rFonts w:ascii="Times New Roman" w:eastAsia="Times New Roman" w:hAnsi="Times New Roman" w:cs="Times New Roman"/>
          <w:sz w:val="24"/>
          <w:szCs w:val="24"/>
          <w:lang w:eastAsia="en-GB"/>
        </w:rPr>
        <w:t>Igwegbe</w:t>
      </w:r>
      <w:proofErr w:type="spellEnd"/>
      <w:r w:rsidRPr="00CC3632">
        <w:rPr>
          <w:rFonts w:ascii="Times New Roman" w:eastAsia="Times New Roman" w:hAnsi="Times New Roman" w:cs="Times New Roman"/>
          <w:sz w:val="24"/>
          <w:szCs w:val="24"/>
          <w:lang w:eastAsia="en-GB"/>
        </w:rPr>
        <w:t xml:space="preserve">, K. C., </w:t>
      </w:r>
      <w:proofErr w:type="spellStart"/>
      <w:r w:rsidRPr="00CC3632">
        <w:rPr>
          <w:rFonts w:ascii="Times New Roman" w:eastAsia="Times New Roman" w:hAnsi="Times New Roman" w:cs="Times New Roman"/>
          <w:sz w:val="24"/>
          <w:szCs w:val="24"/>
          <w:lang w:eastAsia="en-GB"/>
        </w:rPr>
        <w:t>Eboj-Ajoku</w:t>
      </w:r>
      <w:proofErr w:type="spellEnd"/>
      <w:r w:rsidRPr="00CC3632">
        <w:rPr>
          <w:rFonts w:ascii="Times New Roman" w:eastAsia="Times New Roman" w:hAnsi="Times New Roman" w:cs="Times New Roman"/>
          <w:sz w:val="24"/>
          <w:szCs w:val="24"/>
          <w:lang w:eastAsia="en-GB"/>
        </w:rPr>
        <w:t xml:space="preserve">, I. O., &amp; </w:t>
      </w:r>
      <w:proofErr w:type="spellStart"/>
      <w:r w:rsidRPr="00CC3632">
        <w:rPr>
          <w:rFonts w:ascii="Times New Roman" w:eastAsia="Times New Roman" w:hAnsi="Times New Roman" w:cs="Times New Roman"/>
          <w:sz w:val="24"/>
          <w:szCs w:val="24"/>
          <w:lang w:eastAsia="en-GB"/>
        </w:rPr>
        <w:t>Obunezi</w:t>
      </w:r>
      <w:proofErr w:type="spellEnd"/>
      <w:r w:rsidRPr="00CC3632">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19" w:history="1">
        <w:r w:rsidRPr="00CC3632">
          <w:rPr>
            <w:rStyle w:val="Hyperlink"/>
            <w:rFonts w:ascii="Times New Roman" w:eastAsia="Times New Roman" w:hAnsi="Times New Roman" w:cs="Times New Roman"/>
            <w:sz w:val="24"/>
            <w:szCs w:val="24"/>
            <w:lang w:eastAsia="en-GB"/>
          </w:rPr>
          <w:t>https://doi.org/10.69739/jlsph.v1i1.879</w:t>
        </w:r>
      </w:hyperlink>
      <w:r w:rsidRPr="00CC3632">
        <w:rPr>
          <w:rFonts w:ascii="Times New Roman" w:eastAsia="Times New Roman" w:hAnsi="Times New Roman" w:cs="Times New Roman"/>
          <w:sz w:val="24"/>
          <w:szCs w:val="24"/>
          <w:lang w:eastAsia="en-GB"/>
        </w:rPr>
        <w:t xml:space="preserve"> </w:t>
      </w:r>
    </w:p>
    <w:p w14:paraId="16024F49" w14:textId="28309E3F" w:rsidR="00553366" w:rsidRPr="00CC3632" w:rsidRDefault="00EF7A21"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Chinyere, U. E., </w:t>
      </w:r>
      <w:proofErr w:type="spellStart"/>
      <w:r w:rsidRPr="00CC3632">
        <w:rPr>
          <w:rFonts w:ascii="Times New Roman" w:eastAsia="Times New Roman" w:hAnsi="Times New Roman" w:cs="Times New Roman"/>
          <w:sz w:val="24"/>
          <w:szCs w:val="24"/>
          <w:lang w:eastAsia="en-GB"/>
        </w:rPr>
        <w:t>Nwokoye</w:t>
      </w:r>
      <w:proofErr w:type="spellEnd"/>
      <w:r w:rsidRPr="00CC3632">
        <w:rPr>
          <w:rFonts w:ascii="Times New Roman" w:eastAsia="Times New Roman" w:hAnsi="Times New Roman" w:cs="Times New Roman"/>
          <w:sz w:val="24"/>
          <w:szCs w:val="24"/>
          <w:lang w:eastAsia="en-GB"/>
        </w:rPr>
        <w:t xml:space="preserve">, J. N., </w:t>
      </w:r>
      <w:proofErr w:type="spellStart"/>
      <w:r w:rsidRPr="00CC3632">
        <w:rPr>
          <w:rFonts w:ascii="Times New Roman" w:eastAsia="Times New Roman" w:hAnsi="Times New Roman" w:cs="Times New Roman"/>
          <w:sz w:val="24"/>
          <w:szCs w:val="24"/>
          <w:lang w:eastAsia="en-GB"/>
        </w:rPr>
        <w:t>Ezekwuemen</w:t>
      </w:r>
      <w:proofErr w:type="spellEnd"/>
      <w:r w:rsidRPr="00CC3632">
        <w:rPr>
          <w:rFonts w:ascii="Times New Roman" w:eastAsia="Times New Roman" w:hAnsi="Times New Roman" w:cs="Times New Roman"/>
          <w:sz w:val="24"/>
          <w:szCs w:val="24"/>
          <w:lang w:eastAsia="en-GB"/>
        </w:rPr>
        <w:t xml:space="preserve">, O. I., </w:t>
      </w:r>
      <w:proofErr w:type="spellStart"/>
      <w:r w:rsidRPr="00CC3632">
        <w:rPr>
          <w:rFonts w:ascii="Times New Roman" w:eastAsia="Times New Roman" w:hAnsi="Times New Roman" w:cs="Times New Roman"/>
          <w:sz w:val="24"/>
          <w:szCs w:val="24"/>
          <w:lang w:eastAsia="en-GB"/>
        </w:rPr>
        <w:t>Alaekwe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Odidika</w:t>
      </w:r>
      <w:proofErr w:type="spellEnd"/>
      <w:r w:rsidRPr="00CC3632">
        <w:rPr>
          <w:rFonts w:ascii="Times New Roman" w:eastAsia="Times New Roman" w:hAnsi="Times New Roman" w:cs="Times New Roman"/>
          <w:sz w:val="24"/>
          <w:szCs w:val="24"/>
          <w:lang w:eastAsia="en-GB"/>
        </w:rPr>
        <w:t xml:space="preserve">, C. C., </w:t>
      </w:r>
      <w:proofErr w:type="spellStart"/>
      <w:r w:rsidRPr="00CC3632">
        <w:rPr>
          <w:rFonts w:ascii="Times New Roman" w:eastAsia="Times New Roman" w:hAnsi="Times New Roman" w:cs="Times New Roman"/>
          <w:sz w:val="24"/>
          <w:szCs w:val="24"/>
          <w:lang w:eastAsia="en-GB"/>
        </w:rPr>
        <w:t>Owughara</w:t>
      </w:r>
      <w:proofErr w:type="spellEnd"/>
      <w:r w:rsidRPr="00CC3632">
        <w:rPr>
          <w:rFonts w:ascii="Times New Roman" w:eastAsia="Times New Roman" w:hAnsi="Times New Roman" w:cs="Times New Roman"/>
          <w:sz w:val="24"/>
          <w:szCs w:val="24"/>
          <w:lang w:eastAsia="en-GB"/>
        </w:rPr>
        <w:t xml:space="preserve">, C. N., </w:t>
      </w:r>
      <w:proofErr w:type="spellStart"/>
      <w:r w:rsidRPr="00CC3632">
        <w:rPr>
          <w:rFonts w:ascii="Times New Roman" w:eastAsia="Times New Roman" w:hAnsi="Times New Roman" w:cs="Times New Roman"/>
          <w:sz w:val="24"/>
          <w:szCs w:val="24"/>
          <w:lang w:eastAsia="en-GB"/>
        </w:rPr>
        <w:t>Enyi</w:t>
      </w:r>
      <w:proofErr w:type="spellEnd"/>
      <w:r w:rsidRPr="00CC3632">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CC3632">
        <w:rPr>
          <w:rFonts w:ascii="Times New Roman" w:eastAsia="Times New Roman" w:hAnsi="Times New Roman" w:cs="Times New Roman"/>
          <w:sz w:val="24"/>
          <w:szCs w:val="24"/>
          <w:lang w:eastAsia="en-GB"/>
        </w:rPr>
        <w:t>Andoni</w:t>
      </w:r>
      <w:proofErr w:type="spellEnd"/>
      <w:r w:rsidRPr="00CC3632">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0" w:history="1">
        <w:r w:rsidRPr="00CC3632">
          <w:rPr>
            <w:rStyle w:val="Hyperlink"/>
            <w:rFonts w:ascii="Times New Roman" w:eastAsia="Times New Roman" w:hAnsi="Times New Roman" w:cs="Times New Roman"/>
            <w:sz w:val="24"/>
            <w:szCs w:val="24"/>
            <w:lang w:eastAsia="en-GB"/>
          </w:rPr>
          <w:t>https://www.ijmsrt.com/environmental-assessment-of-heavy-metals-and-hydrocarbon-pollution-in-surface-waters-of-oil-bearing-communities-in-andoni-rivers-state-nigeria</w:t>
        </w:r>
      </w:hyperlink>
      <w:r w:rsidRPr="00CC3632">
        <w:rPr>
          <w:rFonts w:ascii="Times New Roman" w:eastAsia="Times New Roman" w:hAnsi="Times New Roman" w:cs="Times New Roman"/>
          <w:sz w:val="24"/>
          <w:szCs w:val="24"/>
          <w:lang w:eastAsia="en-GB"/>
        </w:rPr>
        <w:t xml:space="preserve"> </w:t>
      </w:r>
    </w:p>
    <w:p w14:paraId="71A85BCA" w14:textId="6B54DA66" w:rsidR="00553366" w:rsidRPr="00CC3632" w:rsidRDefault="006A683D"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lastRenderedPageBreak/>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Eboh-Ajoku</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Mmuta</w:t>
      </w:r>
      <w:proofErr w:type="spellEnd"/>
      <w:r w:rsidRPr="00CC3632">
        <w:rPr>
          <w:rFonts w:ascii="Times New Roman" w:eastAsia="Times New Roman" w:hAnsi="Times New Roman" w:cs="Times New Roman"/>
          <w:sz w:val="24"/>
          <w:szCs w:val="24"/>
          <w:lang w:eastAsia="en-GB"/>
        </w:rPr>
        <w:t xml:space="preserve">, E. C., </w:t>
      </w:r>
      <w:proofErr w:type="spellStart"/>
      <w:r w:rsidRPr="00CC3632">
        <w:rPr>
          <w:rFonts w:ascii="Times New Roman" w:eastAsia="Times New Roman" w:hAnsi="Times New Roman" w:cs="Times New Roman"/>
          <w:sz w:val="24"/>
          <w:szCs w:val="24"/>
          <w:lang w:eastAsia="en-GB"/>
        </w:rPr>
        <w:t>Ndubuisi</w:t>
      </w:r>
      <w:proofErr w:type="spellEnd"/>
      <w:r w:rsidRPr="00CC3632">
        <w:rPr>
          <w:rFonts w:ascii="Times New Roman" w:eastAsia="Times New Roman" w:hAnsi="Times New Roman" w:cs="Times New Roman"/>
          <w:sz w:val="24"/>
          <w:szCs w:val="24"/>
          <w:lang w:eastAsia="en-GB"/>
        </w:rPr>
        <w:t xml:space="preserve">, J. O., </w:t>
      </w:r>
      <w:proofErr w:type="spellStart"/>
      <w:r w:rsidRPr="00CC3632">
        <w:rPr>
          <w:rFonts w:ascii="Times New Roman" w:eastAsia="Times New Roman" w:hAnsi="Times New Roman" w:cs="Times New Roman"/>
          <w:sz w:val="24"/>
          <w:szCs w:val="24"/>
          <w:lang w:eastAsia="en-GB"/>
        </w:rPr>
        <w:t>Alaekwe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Odibo</w:t>
      </w:r>
      <w:proofErr w:type="spellEnd"/>
      <w:r w:rsidRPr="00CC3632">
        <w:rPr>
          <w:rFonts w:ascii="Times New Roman" w:eastAsia="Times New Roman" w:hAnsi="Times New Roman" w:cs="Times New Roman"/>
          <w:sz w:val="24"/>
          <w:szCs w:val="24"/>
          <w:lang w:eastAsia="en-GB"/>
        </w:rPr>
        <w:t xml:space="preserve">, U. E., </w:t>
      </w:r>
      <w:proofErr w:type="spellStart"/>
      <w:r w:rsidRPr="00CC3632">
        <w:rPr>
          <w:rFonts w:ascii="Times New Roman" w:eastAsia="Times New Roman" w:hAnsi="Times New Roman" w:cs="Times New Roman"/>
          <w:sz w:val="24"/>
          <w:szCs w:val="24"/>
          <w:lang w:eastAsia="en-GB"/>
        </w:rPr>
        <w:t>Nwoka</w:t>
      </w:r>
      <w:proofErr w:type="spellEnd"/>
      <w:r w:rsidRPr="00CC3632">
        <w:rPr>
          <w:rFonts w:ascii="Times New Roman" w:eastAsia="Times New Roman" w:hAnsi="Times New Roman" w:cs="Times New Roman"/>
          <w:sz w:val="24"/>
          <w:szCs w:val="24"/>
          <w:lang w:eastAsia="en-GB"/>
        </w:rPr>
        <w:t xml:space="preserve">, N. G., Okafor, C. A., &amp; </w:t>
      </w:r>
      <w:proofErr w:type="spellStart"/>
      <w:r w:rsidRPr="00CC3632">
        <w:rPr>
          <w:rFonts w:ascii="Times New Roman" w:eastAsia="Times New Roman" w:hAnsi="Times New Roman" w:cs="Times New Roman"/>
          <w:sz w:val="24"/>
          <w:szCs w:val="24"/>
          <w:lang w:eastAsia="en-GB"/>
        </w:rPr>
        <w:t>Obunezi</w:t>
      </w:r>
      <w:proofErr w:type="spellEnd"/>
      <w:r w:rsidRPr="00CC3632">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1" w:history="1">
        <w:r w:rsidRPr="00CC3632">
          <w:rPr>
            <w:rStyle w:val="Hyperlink"/>
            <w:rFonts w:ascii="Times New Roman" w:eastAsia="Times New Roman" w:hAnsi="Times New Roman" w:cs="Times New Roman"/>
            <w:sz w:val="24"/>
            <w:szCs w:val="24"/>
            <w:lang w:eastAsia="en-GB"/>
          </w:rPr>
          <w:t>https://doi.org/10.5281/zenodo.16921896</w:t>
        </w:r>
      </w:hyperlink>
      <w:r w:rsidRPr="00CC3632">
        <w:rPr>
          <w:rFonts w:ascii="Times New Roman" w:eastAsia="Times New Roman" w:hAnsi="Times New Roman" w:cs="Times New Roman"/>
          <w:sz w:val="24"/>
          <w:szCs w:val="24"/>
          <w:lang w:eastAsia="en-GB"/>
        </w:rPr>
        <w:t xml:space="preserve"> </w:t>
      </w:r>
    </w:p>
    <w:p w14:paraId="62D63E08" w14:textId="1C5B19F2" w:rsidR="00553366" w:rsidRPr="00CC3632" w:rsidRDefault="001F0580"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Ekwere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Igwegbe</w:t>
      </w:r>
      <w:proofErr w:type="spellEnd"/>
      <w:r w:rsidRPr="00CC3632">
        <w:rPr>
          <w:rFonts w:ascii="Times New Roman" w:eastAsia="Times New Roman" w:hAnsi="Times New Roman" w:cs="Times New Roman"/>
          <w:sz w:val="24"/>
          <w:szCs w:val="24"/>
          <w:lang w:eastAsia="en-GB"/>
        </w:rPr>
        <w:t xml:space="preserve">, K. C., </w:t>
      </w:r>
      <w:proofErr w:type="spellStart"/>
      <w:r w:rsidRPr="00CC3632">
        <w:rPr>
          <w:rFonts w:ascii="Times New Roman" w:eastAsia="Times New Roman" w:hAnsi="Times New Roman" w:cs="Times New Roman"/>
          <w:sz w:val="24"/>
          <w:szCs w:val="24"/>
          <w:lang w:eastAsia="en-GB"/>
        </w:rPr>
        <w:t>Anarado</w:t>
      </w:r>
      <w:proofErr w:type="spellEnd"/>
      <w:r w:rsidRPr="00CC3632">
        <w:rPr>
          <w:rFonts w:ascii="Times New Roman" w:eastAsia="Times New Roman" w:hAnsi="Times New Roman" w:cs="Times New Roman"/>
          <w:sz w:val="24"/>
          <w:szCs w:val="24"/>
          <w:lang w:eastAsia="en-GB"/>
        </w:rPr>
        <w:t xml:space="preserve">, C. J. O., Ogbonna, C., </w:t>
      </w:r>
      <w:proofErr w:type="spellStart"/>
      <w:r w:rsidRPr="00CC3632">
        <w:rPr>
          <w:rFonts w:ascii="Times New Roman" w:eastAsia="Times New Roman" w:hAnsi="Times New Roman" w:cs="Times New Roman"/>
          <w:sz w:val="24"/>
          <w:szCs w:val="24"/>
          <w:lang w:eastAsia="en-GB"/>
        </w:rPr>
        <w:t>Ewuola</w:t>
      </w:r>
      <w:proofErr w:type="spellEnd"/>
      <w:r w:rsidRPr="00CC3632">
        <w:rPr>
          <w:rFonts w:ascii="Times New Roman" w:eastAsia="Times New Roman" w:hAnsi="Times New Roman" w:cs="Times New Roman"/>
          <w:sz w:val="24"/>
          <w:szCs w:val="24"/>
          <w:lang w:eastAsia="en-GB"/>
        </w:rPr>
        <w:t xml:space="preserve">, A. A., </w:t>
      </w:r>
      <w:proofErr w:type="spellStart"/>
      <w:r w:rsidRPr="00CC3632">
        <w:rPr>
          <w:rFonts w:ascii="Times New Roman" w:eastAsia="Times New Roman" w:hAnsi="Times New Roman" w:cs="Times New Roman"/>
          <w:sz w:val="24"/>
          <w:szCs w:val="24"/>
          <w:lang w:eastAsia="en-GB"/>
        </w:rPr>
        <w:t>Odibo</w:t>
      </w:r>
      <w:proofErr w:type="spellEnd"/>
      <w:r w:rsidRPr="00CC3632">
        <w:rPr>
          <w:rFonts w:ascii="Times New Roman" w:eastAsia="Times New Roman" w:hAnsi="Times New Roman" w:cs="Times New Roman"/>
          <w:sz w:val="24"/>
          <w:szCs w:val="24"/>
          <w:lang w:eastAsia="en-GB"/>
        </w:rPr>
        <w:t xml:space="preserve">, U. E., &amp; </w:t>
      </w:r>
      <w:proofErr w:type="spellStart"/>
      <w:r w:rsidRPr="00CC3632">
        <w:rPr>
          <w:rFonts w:ascii="Times New Roman" w:eastAsia="Times New Roman" w:hAnsi="Times New Roman" w:cs="Times New Roman"/>
          <w:sz w:val="24"/>
          <w:szCs w:val="24"/>
          <w:lang w:eastAsia="en-GB"/>
        </w:rPr>
        <w:t>Garuba</w:t>
      </w:r>
      <w:proofErr w:type="spellEnd"/>
      <w:r w:rsidRPr="00CC3632">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2" w:history="1">
        <w:r w:rsidRPr="00CC3632">
          <w:rPr>
            <w:rStyle w:val="Hyperlink"/>
            <w:rFonts w:ascii="Times New Roman" w:eastAsia="Times New Roman" w:hAnsi="Times New Roman" w:cs="Times New Roman"/>
            <w:sz w:val="24"/>
            <w:szCs w:val="24"/>
            <w:lang w:eastAsia="en-GB"/>
          </w:rPr>
          <w:t>https://doi.org/10.69739/jlsph.v1i1.962</w:t>
        </w:r>
      </w:hyperlink>
      <w:r w:rsidRPr="00CC3632">
        <w:rPr>
          <w:rFonts w:ascii="Times New Roman" w:eastAsia="Times New Roman" w:hAnsi="Times New Roman" w:cs="Times New Roman"/>
          <w:sz w:val="24"/>
          <w:szCs w:val="24"/>
          <w:lang w:eastAsia="en-GB"/>
        </w:rPr>
        <w:t xml:space="preserve"> </w:t>
      </w:r>
    </w:p>
    <w:p w14:paraId="5016973E" w14:textId="135C543B" w:rsidR="00553366" w:rsidRPr="00CC3632" w:rsidRDefault="00E4697B"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Ekwere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Igwegbe</w:t>
      </w:r>
      <w:proofErr w:type="spellEnd"/>
      <w:r w:rsidRPr="00CC3632">
        <w:rPr>
          <w:rFonts w:ascii="Times New Roman" w:eastAsia="Times New Roman" w:hAnsi="Times New Roman" w:cs="Times New Roman"/>
          <w:sz w:val="24"/>
          <w:szCs w:val="24"/>
          <w:lang w:eastAsia="en-GB"/>
        </w:rPr>
        <w:t xml:space="preserve">, K. C., </w:t>
      </w:r>
      <w:proofErr w:type="spellStart"/>
      <w:r w:rsidRPr="00CC3632">
        <w:rPr>
          <w:rFonts w:ascii="Times New Roman" w:eastAsia="Times New Roman" w:hAnsi="Times New Roman" w:cs="Times New Roman"/>
          <w:sz w:val="24"/>
          <w:szCs w:val="24"/>
          <w:lang w:eastAsia="en-GB"/>
        </w:rPr>
        <w:t>Etesin</w:t>
      </w:r>
      <w:proofErr w:type="spellEnd"/>
      <w:r w:rsidRPr="00CC3632">
        <w:rPr>
          <w:rFonts w:ascii="Times New Roman" w:eastAsia="Times New Roman" w:hAnsi="Times New Roman" w:cs="Times New Roman"/>
          <w:sz w:val="24"/>
          <w:szCs w:val="24"/>
          <w:lang w:eastAsia="en-GB"/>
        </w:rPr>
        <w:t xml:space="preserve">, U. M., </w:t>
      </w:r>
      <w:proofErr w:type="spellStart"/>
      <w:r w:rsidRPr="00CC3632">
        <w:rPr>
          <w:rFonts w:ascii="Times New Roman" w:eastAsia="Times New Roman" w:hAnsi="Times New Roman" w:cs="Times New Roman"/>
          <w:sz w:val="24"/>
          <w:szCs w:val="24"/>
          <w:lang w:eastAsia="en-GB"/>
        </w:rPr>
        <w:t>Ugwuanyi</w:t>
      </w:r>
      <w:proofErr w:type="spellEnd"/>
      <w:r w:rsidRPr="00CC3632">
        <w:rPr>
          <w:rFonts w:ascii="Times New Roman" w:eastAsia="Times New Roman" w:hAnsi="Times New Roman" w:cs="Times New Roman"/>
          <w:sz w:val="24"/>
          <w:szCs w:val="24"/>
          <w:lang w:eastAsia="en-GB"/>
        </w:rPr>
        <w:t xml:space="preserve">, G. C., </w:t>
      </w:r>
      <w:proofErr w:type="spellStart"/>
      <w:r w:rsidRPr="00CC3632">
        <w:rPr>
          <w:rFonts w:ascii="Times New Roman" w:eastAsia="Times New Roman" w:hAnsi="Times New Roman" w:cs="Times New Roman"/>
          <w:sz w:val="24"/>
          <w:szCs w:val="24"/>
          <w:lang w:eastAsia="en-GB"/>
        </w:rPr>
        <w:t>Okpanachi</w:t>
      </w:r>
      <w:proofErr w:type="spellEnd"/>
      <w:r w:rsidRPr="00CC3632">
        <w:rPr>
          <w:rFonts w:ascii="Times New Roman" w:eastAsia="Times New Roman" w:hAnsi="Times New Roman" w:cs="Times New Roman"/>
          <w:sz w:val="24"/>
          <w:szCs w:val="24"/>
          <w:lang w:eastAsia="en-GB"/>
        </w:rPr>
        <w:t xml:space="preserve">, C. B., </w:t>
      </w:r>
      <w:proofErr w:type="spellStart"/>
      <w:r w:rsidRPr="00CC3632">
        <w:rPr>
          <w:rFonts w:ascii="Times New Roman" w:eastAsia="Times New Roman" w:hAnsi="Times New Roman" w:cs="Times New Roman"/>
          <w:sz w:val="24"/>
          <w:szCs w:val="24"/>
          <w:lang w:eastAsia="en-GB"/>
        </w:rPr>
        <w:t>Ewuola</w:t>
      </w:r>
      <w:proofErr w:type="spellEnd"/>
      <w:r w:rsidRPr="00CC3632">
        <w:rPr>
          <w:rFonts w:ascii="Times New Roman" w:eastAsia="Times New Roman" w:hAnsi="Times New Roman" w:cs="Times New Roman"/>
          <w:sz w:val="24"/>
          <w:szCs w:val="24"/>
          <w:lang w:eastAsia="en-GB"/>
        </w:rPr>
        <w:t xml:space="preserve">, A. A., </w:t>
      </w:r>
      <w:proofErr w:type="spellStart"/>
      <w:r w:rsidRPr="00CC3632">
        <w:rPr>
          <w:rFonts w:ascii="Times New Roman" w:eastAsia="Times New Roman" w:hAnsi="Times New Roman" w:cs="Times New Roman"/>
          <w:sz w:val="24"/>
          <w:szCs w:val="24"/>
          <w:lang w:eastAsia="en-GB"/>
        </w:rPr>
        <w:t>Mojisola</w:t>
      </w:r>
      <w:proofErr w:type="spellEnd"/>
      <w:r w:rsidRPr="00CC3632">
        <w:rPr>
          <w:rFonts w:ascii="Times New Roman" w:eastAsia="Times New Roman" w:hAnsi="Times New Roman" w:cs="Times New Roman"/>
          <w:sz w:val="24"/>
          <w:szCs w:val="24"/>
          <w:lang w:eastAsia="en-GB"/>
        </w:rPr>
        <w:t xml:space="preserve">, K. M., &amp; </w:t>
      </w:r>
      <w:proofErr w:type="spellStart"/>
      <w:r w:rsidRPr="00CC3632">
        <w:rPr>
          <w:rFonts w:ascii="Times New Roman" w:eastAsia="Times New Roman" w:hAnsi="Times New Roman" w:cs="Times New Roman"/>
          <w:sz w:val="24"/>
          <w:szCs w:val="24"/>
          <w:lang w:eastAsia="en-GB"/>
        </w:rPr>
        <w:t>Ezekwueme</w:t>
      </w:r>
      <w:proofErr w:type="spellEnd"/>
      <w:r w:rsidRPr="00CC3632">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CC3632">
        <w:rPr>
          <w:rFonts w:ascii="Times New Roman" w:eastAsia="Times New Roman" w:hAnsi="Times New Roman" w:cs="Times New Roman"/>
          <w:sz w:val="24"/>
          <w:szCs w:val="24"/>
          <w:lang w:eastAsia="en-GB"/>
        </w:rPr>
        <w:t>TiO</w:t>
      </w:r>
      <w:proofErr w:type="spellEnd"/>
      <w:r w:rsidRPr="00CC3632">
        <w:rPr>
          <w:rFonts w:ascii="Times New Roman" w:eastAsia="Times New Roman" w:hAnsi="Times New Roman" w:cs="Times New Roman"/>
          <w:sz w:val="24"/>
          <w:szCs w:val="24"/>
          <w:lang w:eastAsia="en-GB"/>
        </w:rPr>
        <w:t xml:space="preserve">₂ nanomaterials. Journal of Environment, Climate, and Ecology, 2(2), 56–62. </w:t>
      </w:r>
      <w:hyperlink r:id="rId23" w:history="1">
        <w:r w:rsidRPr="00CC3632">
          <w:rPr>
            <w:rStyle w:val="Hyperlink"/>
            <w:rFonts w:ascii="Times New Roman" w:eastAsia="Times New Roman" w:hAnsi="Times New Roman" w:cs="Times New Roman"/>
            <w:sz w:val="24"/>
            <w:szCs w:val="24"/>
            <w:lang w:eastAsia="en-GB"/>
          </w:rPr>
          <w:t>https://doi.org/10.69739/jece.v2i2.961</w:t>
        </w:r>
      </w:hyperlink>
      <w:r w:rsidRPr="00CC3632">
        <w:rPr>
          <w:rFonts w:ascii="Times New Roman" w:eastAsia="Times New Roman" w:hAnsi="Times New Roman" w:cs="Times New Roman"/>
          <w:sz w:val="24"/>
          <w:szCs w:val="24"/>
          <w:lang w:eastAsia="en-GB"/>
        </w:rPr>
        <w:t xml:space="preserve"> </w:t>
      </w:r>
    </w:p>
    <w:p w14:paraId="0DB4F34D" w14:textId="3377B8F8" w:rsidR="00553366" w:rsidRPr="00CC3632" w:rsidRDefault="002731F3"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Emem</w:t>
      </w:r>
      <w:proofErr w:type="spellEnd"/>
      <w:r w:rsidRPr="00CC3632">
        <w:rPr>
          <w:rFonts w:ascii="Times New Roman" w:eastAsia="Times New Roman" w:hAnsi="Times New Roman" w:cs="Times New Roman"/>
          <w:sz w:val="24"/>
          <w:szCs w:val="24"/>
          <w:lang w:eastAsia="en-GB"/>
        </w:rPr>
        <w:t xml:space="preserve">, J. A., </w:t>
      </w:r>
      <w:proofErr w:type="spellStart"/>
      <w:r w:rsidRPr="00CC3632">
        <w:rPr>
          <w:rFonts w:ascii="Times New Roman" w:eastAsia="Times New Roman" w:hAnsi="Times New Roman" w:cs="Times New Roman"/>
          <w:sz w:val="24"/>
          <w:szCs w:val="24"/>
          <w:lang w:eastAsia="en-GB"/>
        </w:rPr>
        <w:t>Ekwere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Odibo</w:t>
      </w:r>
      <w:proofErr w:type="spellEnd"/>
      <w:r w:rsidRPr="00CC3632">
        <w:rPr>
          <w:rFonts w:ascii="Times New Roman" w:eastAsia="Times New Roman" w:hAnsi="Times New Roman" w:cs="Times New Roman"/>
          <w:sz w:val="24"/>
          <w:szCs w:val="24"/>
          <w:lang w:eastAsia="en-GB"/>
        </w:rPr>
        <w:t xml:space="preserve">, U. E., </w:t>
      </w:r>
      <w:proofErr w:type="spellStart"/>
      <w:r w:rsidRPr="00CC3632">
        <w:rPr>
          <w:rFonts w:ascii="Times New Roman" w:eastAsia="Times New Roman" w:hAnsi="Times New Roman" w:cs="Times New Roman"/>
          <w:sz w:val="24"/>
          <w:szCs w:val="24"/>
          <w:lang w:eastAsia="en-GB"/>
        </w:rPr>
        <w:t>Aleaekwe</w:t>
      </w:r>
      <w:proofErr w:type="spellEnd"/>
      <w:r w:rsidRPr="00CC3632">
        <w:rPr>
          <w:rFonts w:ascii="Times New Roman" w:eastAsia="Times New Roman" w:hAnsi="Times New Roman" w:cs="Times New Roman"/>
          <w:sz w:val="24"/>
          <w:szCs w:val="24"/>
          <w:lang w:eastAsia="en-GB"/>
        </w:rPr>
        <w:t xml:space="preserve">, I. O., Warder, A. B., &amp; </w:t>
      </w:r>
      <w:proofErr w:type="spellStart"/>
      <w:r w:rsidRPr="00CC3632">
        <w:rPr>
          <w:rFonts w:ascii="Times New Roman" w:eastAsia="Times New Roman" w:hAnsi="Times New Roman" w:cs="Times New Roman"/>
          <w:sz w:val="24"/>
          <w:szCs w:val="24"/>
          <w:lang w:eastAsia="en-GB"/>
        </w:rPr>
        <w:t>Eboj-Ajoku</w:t>
      </w:r>
      <w:proofErr w:type="spellEnd"/>
      <w:r w:rsidRPr="00CC3632">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CC3632">
        <w:rPr>
          <w:rFonts w:ascii="Times New Roman" w:eastAsia="Times New Roman" w:hAnsi="Times New Roman" w:cs="Times New Roman"/>
          <w:sz w:val="24"/>
          <w:szCs w:val="24"/>
          <w:lang w:eastAsia="en-GB"/>
        </w:rPr>
        <w:t>sapidus</w:t>
      </w:r>
      <w:proofErr w:type="spellEnd"/>
      <w:r w:rsidRPr="00CC3632">
        <w:rPr>
          <w:rFonts w:ascii="Times New Roman" w:eastAsia="Times New Roman" w:hAnsi="Times New Roman" w:cs="Times New Roman"/>
          <w:sz w:val="24"/>
          <w:szCs w:val="24"/>
          <w:lang w:eastAsia="en-GB"/>
        </w:rPr>
        <w:t xml:space="preserve"> from the </w:t>
      </w:r>
      <w:proofErr w:type="spellStart"/>
      <w:r w:rsidRPr="00CC3632">
        <w:rPr>
          <w:rFonts w:ascii="Times New Roman" w:eastAsia="Times New Roman" w:hAnsi="Times New Roman" w:cs="Times New Roman"/>
          <w:sz w:val="24"/>
          <w:szCs w:val="24"/>
          <w:lang w:eastAsia="en-GB"/>
        </w:rPr>
        <w:t>Iko</w:t>
      </w:r>
      <w:proofErr w:type="spellEnd"/>
      <w:r w:rsidRPr="00CC3632">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4" w:history="1">
        <w:r w:rsidRPr="00CC3632">
          <w:rPr>
            <w:rStyle w:val="Hyperlink"/>
            <w:rFonts w:ascii="Times New Roman" w:eastAsia="Times New Roman" w:hAnsi="Times New Roman" w:cs="Times New Roman"/>
            <w:sz w:val="24"/>
            <w:szCs w:val="24"/>
            <w:lang w:eastAsia="en-GB"/>
          </w:rPr>
          <w:t>https://doi.org/10.69739/jece.v2i2.844</w:t>
        </w:r>
      </w:hyperlink>
      <w:r w:rsidRPr="00CC3632">
        <w:rPr>
          <w:rFonts w:ascii="Times New Roman" w:eastAsia="Times New Roman" w:hAnsi="Times New Roman" w:cs="Times New Roman"/>
          <w:sz w:val="24"/>
          <w:szCs w:val="24"/>
          <w:lang w:eastAsia="en-GB"/>
        </w:rPr>
        <w:t xml:space="preserve"> </w:t>
      </w:r>
    </w:p>
    <w:p w14:paraId="71E69947" w14:textId="6C78205D" w:rsidR="00553366" w:rsidRPr="00247942" w:rsidRDefault="000D54EE" w:rsidP="00CC3632">
      <w:pPr>
        <w:pStyle w:val="NormalWeb"/>
        <w:spacing w:line="276" w:lineRule="auto"/>
        <w:jc w:val="both"/>
      </w:pPr>
      <w:proofErr w:type="spellStart"/>
      <w:r w:rsidRPr="000D54EE">
        <w:t>Okpoji</w:t>
      </w:r>
      <w:proofErr w:type="spellEnd"/>
      <w:r w:rsidRPr="000D54EE">
        <w:t xml:space="preserve">, A. U., </w:t>
      </w:r>
      <w:proofErr w:type="spellStart"/>
      <w:r w:rsidRPr="000D54EE">
        <w:t>Etesin</w:t>
      </w:r>
      <w:proofErr w:type="spellEnd"/>
      <w:r w:rsidRPr="000D54EE">
        <w:t xml:space="preserve">, M. U., </w:t>
      </w:r>
      <w:proofErr w:type="spellStart"/>
      <w:r w:rsidRPr="000D54EE">
        <w:t>Ekwere</w:t>
      </w:r>
      <w:proofErr w:type="spellEnd"/>
      <w:r w:rsidRPr="000D54EE">
        <w:t xml:space="preserve">, I. O., Martins, N. P., </w:t>
      </w:r>
      <w:proofErr w:type="spellStart"/>
      <w:r w:rsidRPr="000D54EE">
        <w:t>Okpanachi</w:t>
      </w:r>
      <w:proofErr w:type="spellEnd"/>
      <w:r w:rsidRPr="000D54EE">
        <w:t xml:space="preserve">, C. B., </w:t>
      </w:r>
      <w:proofErr w:type="spellStart"/>
      <w:r w:rsidRPr="000D54EE">
        <w:t>Adisa</w:t>
      </w:r>
      <w:proofErr w:type="spellEnd"/>
      <w:r w:rsidRPr="000D54EE">
        <w:t xml:space="preserve">, O. J., &amp; Okonkwo, C. C. (2025). Geochemical speciation and ecological risk of heavy metals in estuarine sediments of the Qua </w:t>
      </w:r>
      <w:proofErr w:type="spellStart"/>
      <w:r w:rsidRPr="000D54EE">
        <w:t>Iboe</w:t>
      </w:r>
      <w:proofErr w:type="spellEnd"/>
      <w:r w:rsidRPr="000D54EE">
        <w:t xml:space="preserve"> River, Nigeria. Asian Journal of Chemical Sciences, 15(6), 20–31. </w:t>
      </w:r>
      <w:hyperlink r:id="rId25" w:history="1">
        <w:r w:rsidRPr="004761E6">
          <w:rPr>
            <w:rStyle w:val="Hyperlink"/>
          </w:rPr>
          <w:t>https://doi.org/10.9734/ajocs/2025/v15i6402</w:t>
        </w:r>
      </w:hyperlink>
      <w:r>
        <w:t xml:space="preserve"> </w:t>
      </w:r>
    </w:p>
    <w:p w14:paraId="36931D7F" w14:textId="37C29207" w:rsidR="00553366" w:rsidRPr="00CC3632" w:rsidRDefault="001B2E1F"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Ndubuisi</w:t>
      </w:r>
      <w:proofErr w:type="spellEnd"/>
      <w:r w:rsidRPr="00CC3632">
        <w:rPr>
          <w:rFonts w:ascii="Times New Roman" w:eastAsia="Times New Roman" w:hAnsi="Times New Roman" w:cs="Times New Roman"/>
          <w:sz w:val="24"/>
          <w:szCs w:val="24"/>
          <w:lang w:eastAsia="en-GB"/>
        </w:rPr>
        <w:t xml:space="preserve">, J. O., </w:t>
      </w:r>
      <w:proofErr w:type="spellStart"/>
      <w:r w:rsidRPr="00CC3632">
        <w:rPr>
          <w:rFonts w:ascii="Times New Roman" w:eastAsia="Times New Roman" w:hAnsi="Times New Roman" w:cs="Times New Roman"/>
          <w:sz w:val="24"/>
          <w:szCs w:val="24"/>
          <w:lang w:eastAsia="en-GB"/>
        </w:rPr>
        <w:t>Eboh-Ajoku</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Emem</w:t>
      </w:r>
      <w:proofErr w:type="spellEnd"/>
      <w:r w:rsidRPr="00CC3632">
        <w:rPr>
          <w:rFonts w:ascii="Times New Roman" w:eastAsia="Times New Roman" w:hAnsi="Times New Roman" w:cs="Times New Roman"/>
          <w:sz w:val="24"/>
          <w:szCs w:val="24"/>
          <w:lang w:eastAsia="en-GB"/>
        </w:rPr>
        <w:t xml:space="preserve">, J. A., </w:t>
      </w:r>
      <w:proofErr w:type="spellStart"/>
      <w:r w:rsidRPr="00CC3632">
        <w:rPr>
          <w:rFonts w:ascii="Times New Roman" w:eastAsia="Times New Roman" w:hAnsi="Times New Roman" w:cs="Times New Roman"/>
          <w:sz w:val="24"/>
          <w:szCs w:val="24"/>
          <w:lang w:eastAsia="en-GB"/>
        </w:rPr>
        <w:t>Ekwere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Alaekwe</w:t>
      </w:r>
      <w:proofErr w:type="spellEnd"/>
      <w:r w:rsidRPr="00CC3632">
        <w:rPr>
          <w:rFonts w:ascii="Times New Roman" w:eastAsia="Times New Roman" w:hAnsi="Times New Roman" w:cs="Times New Roman"/>
          <w:sz w:val="24"/>
          <w:szCs w:val="24"/>
          <w:lang w:eastAsia="en-GB"/>
        </w:rPr>
        <w:t xml:space="preserve">, I. O., </w:t>
      </w:r>
      <w:proofErr w:type="spellStart"/>
      <w:r w:rsidRPr="00CC3632">
        <w:rPr>
          <w:rFonts w:ascii="Times New Roman" w:eastAsia="Times New Roman" w:hAnsi="Times New Roman" w:cs="Times New Roman"/>
          <w:sz w:val="24"/>
          <w:szCs w:val="24"/>
          <w:lang w:eastAsia="en-GB"/>
        </w:rPr>
        <w:t>Odibo</w:t>
      </w:r>
      <w:proofErr w:type="spellEnd"/>
      <w:r w:rsidRPr="00CC3632">
        <w:rPr>
          <w:rFonts w:ascii="Times New Roman" w:eastAsia="Times New Roman" w:hAnsi="Times New Roman" w:cs="Times New Roman"/>
          <w:sz w:val="24"/>
          <w:szCs w:val="24"/>
          <w:lang w:eastAsia="en-GB"/>
        </w:rPr>
        <w:t xml:space="preserve">, U. E., </w:t>
      </w:r>
      <w:proofErr w:type="spellStart"/>
      <w:r w:rsidRPr="00CC3632">
        <w:rPr>
          <w:rFonts w:ascii="Times New Roman" w:eastAsia="Times New Roman" w:hAnsi="Times New Roman" w:cs="Times New Roman"/>
          <w:sz w:val="24"/>
          <w:szCs w:val="24"/>
          <w:lang w:eastAsia="en-GB"/>
        </w:rPr>
        <w:t>Igwegbe</w:t>
      </w:r>
      <w:proofErr w:type="spellEnd"/>
      <w:r w:rsidRPr="00CC3632">
        <w:rPr>
          <w:rFonts w:ascii="Times New Roman" w:eastAsia="Times New Roman" w:hAnsi="Times New Roman" w:cs="Times New Roman"/>
          <w:sz w:val="24"/>
          <w:szCs w:val="24"/>
          <w:lang w:eastAsia="en-GB"/>
        </w:rPr>
        <w:t xml:space="preserve">, K. C., </w:t>
      </w:r>
      <w:proofErr w:type="spellStart"/>
      <w:r w:rsidRPr="00CC3632">
        <w:rPr>
          <w:rFonts w:ascii="Times New Roman" w:eastAsia="Times New Roman" w:hAnsi="Times New Roman" w:cs="Times New Roman"/>
          <w:sz w:val="24"/>
          <w:szCs w:val="24"/>
          <w:lang w:eastAsia="en-GB"/>
        </w:rPr>
        <w:t>Onoja</w:t>
      </w:r>
      <w:proofErr w:type="spellEnd"/>
      <w:r w:rsidRPr="00CC3632">
        <w:rPr>
          <w:rFonts w:ascii="Times New Roman" w:eastAsia="Times New Roman" w:hAnsi="Times New Roman" w:cs="Times New Roman"/>
          <w:sz w:val="24"/>
          <w:szCs w:val="24"/>
          <w:lang w:eastAsia="en-GB"/>
        </w:rPr>
        <w:t xml:space="preserve">, C. R., Warder, A. B., &amp; </w:t>
      </w:r>
      <w:proofErr w:type="spellStart"/>
      <w:r w:rsidRPr="00CC3632">
        <w:rPr>
          <w:rFonts w:ascii="Times New Roman" w:eastAsia="Times New Roman" w:hAnsi="Times New Roman" w:cs="Times New Roman"/>
          <w:sz w:val="24"/>
          <w:szCs w:val="24"/>
          <w:lang w:eastAsia="en-GB"/>
        </w:rPr>
        <w:t>InyangAbia</w:t>
      </w:r>
      <w:proofErr w:type="spellEnd"/>
      <w:r w:rsidRPr="00CC3632">
        <w:rPr>
          <w:rFonts w:ascii="Times New Roman" w:eastAsia="Times New Roman" w:hAnsi="Times New Roman" w:cs="Times New Roman"/>
          <w:sz w:val="24"/>
          <w:szCs w:val="24"/>
          <w:lang w:eastAsia="en-GB"/>
        </w:rPr>
        <w:t xml:space="preserve">, A. J. (2025). Trematode infections and histopathological effects in </w:t>
      </w:r>
      <w:proofErr w:type="spellStart"/>
      <w:r w:rsidRPr="00CC3632">
        <w:rPr>
          <w:rFonts w:ascii="Times New Roman" w:eastAsia="Times New Roman" w:hAnsi="Times New Roman" w:cs="Times New Roman"/>
          <w:sz w:val="24"/>
          <w:szCs w:val="24"/>
          <w:lang w:eastAsia="en-GB"/>
        </w:rPr>
        <w:t>Chrysichthys</w:t>
      </w:r>
      <w:proofErr w:type="spellEnd"/>
      <w:r w:rsidRPr="00CC3632">
        <w:rPr>
          <w:rFonts w:ascii="Times New Roman" w:eastAsia="Times New Roman" w:hAnsi="Times New Roman" w:cs="Times New Roman"/>
          <w:sz w:val="24"/>
          <w:szCs w:val="24"/>
          <w:lang w:eastAsia="en-GB"/>
        </w:rPr>
        <w:t xml:space="preserve"> </w:t>
      </w:r>
      <w:proofErr w:type="spellStart"/>
      <w:r w:rsidRPr="00CC3632">
        <w:rPr>
          <w:rFonts w:ascii="Times New Roman" w:eastAsia="Times New Roman" w:hAnsi="Times New Roman" w:cs="Times New Roman"/>
          <w:sz w:val="24"/>
          <w:szCs w:val="24"/>
          <w:lang w:eastAsia="en-GB"/>
        </w:rPr>
        <w:t>nigrodigitatus</w:t>
      </w:r>
      <w:proofErr w:type="spellEnd"/>
      <w:r w:rsidRPr="00CC3632">
        <w:rPr>
          <w:rFonts w:ascii="Times New Roman" w:eastAsia="Times New Roman" w:hAnsi="Times New Roman" w:cs="Times New Roman"/>
          <w:sz w:val="24"/>
          <w:szCs w:val="24"/>
          <w:lang w:eastAsia="en-GB"/>
        </w:rPr>
        <w:t xml:space="preserve"> from the polluted </w:t>
      </w:r>
      <w:proofErr w:type="spellStart"/>
      <w:r w:rsidRPr="00CC3632">
        <w:rPr>
          <w:rFonts w:ascii="Times New Roman" w:eastAsia="Times New Roman" w:hAnsi="Times New Roman" w:cs="Times New Roman"/>
          <w:sz w:val="24"/>
          <w:szCs w:val="24"/>
          <w:lang w:eastAsia="en-GB"/>
        </w:rPr>
        <w:t>Andoni</w:t>
      </w:r>
      <w:proofErr w:type="spellEnd"/>
      <w:r w:rsidRPr="00CC3632">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26" w:history="1">
        <w:r w:rsidRPr="00CC3632">
          <w:rPr>
            <w:rStyle w:val="Hyperlink"/>
            <w:rFonts w:ascii="Times New Roman" w:eastAsia="Times New Roman" w:hAnsi="Times New Roman" w:cs="Times New Roman"/>
            <w:sz w:val="24"/>
            <w:szCs w:val="24"/>
            <w:lang w:eastAsia="en-GB"/>
          </w:rPr>
          <w:t>https://doi.org/10.69739/jaaas.v2i2.882</w:t>
        </w:r>
      </w:hyperlink>
      <w:r w:rsidRPr="00CC3632">
        <w:rPr>
          <w:rFonts w:ascii="Times New Roman" w:eastAsia="Times New Roman" w:hAnsi="Times New Roman" w:cs="Times New Roman"/>
          <w:sz w:val="24"/>
          <w:szCs w:val="24"/>
          <w:lang w:eastAsia="en-GB"/>
        </w:rPr>
        <w:t xml:space="preserve"> </w:t>
      </w:r>
    </w:p>
    <w:p w14:paraId="44DF6FC5" w14:textId="3BE353A2" w:rsidR="00553366" w:rsidRPr="00CC3632" w:rsidRDefault="000D6279"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3632">
        <w:rPr>
          <w:rFonts w:ascii="Times New Roman" w:eastAsia="Times New Roman" w:hAnsi="Times New Roman" w:cs="Times New Roman"/>
          <w:sz w:val="24"/>
          <w:szCs w:val="24"/>
          <w:lang w:eastAsia="en-GB"/>
        </w:rPr>
        <w:t>Okpoji</w:t>
      </w:r>
      <w:proofErr w:type="spellEnd"/>
      <w:r w:rsidRPr="00CC3632">
        <w:rPr>
          <w:rFonts w:ascii="Times New Roman" w:eastAsia="Times New Roman" w:hAnsi="Times New Roman" w:cs="Times New Roman"/>
          <w:sz w:val="24"/>
          <w:szCs w:val="24"/>
          <w:lang w:eastAsia="en-GB"/>
        </w:rPr>
        <w:t xml:space="preserve">, A. U., </w:t>
      </w:r>
      <w:proofErr w:type="spellStart"/>
      <w:r w:rsidRPr="00CC3632">
        <w:rPr>
          <w:rFonts w:ascii="Times New Roman" w:eastAsia="Times New Roman" w:hAnsi="Times New Roman" w:cs="Times New Roman"/>
          <w:sz w:val="24"/>
          <w:szCs w:val="24"/>
          <w:lang w:eastAsia="en-GB"/>
        </w:rPr>
        <w:t>Nwoka</w:t>
      </w:r>
      <w:proofErr w:type="spellEnd"/>
      <w:r w:rsidRPr="00CC3632">
        <w:rPr>
          <w:rFonts w:ascii="Times New Roman" w:eastAsia="Times New Roman" w:hAnsi="Times New Roman" w:cs="Times New Roman"/>
          <w:sz w:val="24"/>
          <w:szCs w:val="24"/>
          <w:lang w:eastAsia="en-GB"/>
        </w:rPr>
        <w:t xml:space="preserve">, N. G., </w:t>
      </w:r>
      <w:proofErr w:type="spellStart"/>
      <w:r w:rsidRPr="00CC3632">
        <w:rPr>
          <w:rFonts w:ascii="Times New Roman" w:eastAsia="Times New Roman" w:hAnsi="Times New Roman" w:cs="Times New Roman"/>
          <w:sz w:val="24"/>
          <w:szCs w:val="24"/>
          <w:lang w:eastAsia="en-GB"/>
        </w:rPr>
        <w:t>Odibo</w:t>
      </w:r>
      <w:proofErr w:type="spellEnd"/>
      <w:r w:rsidRPr="00CC3632">
        <w:rPr>
          <w:rFonts w:ascii="Times New Roman" w:eastAsia="Times New Roman" w:hAnsi="Times New Roman" w:cs="Times New Roman"/>
          <w:sz w:val="24"/>
          <w:szCs w:val="24"/>
          <w:lang w:eastAsia="en-GB"/>
        </w:rPr>
        <w:t xml:space="preserve">, U. E., </w:t>
      </w:r>
      <w:proofErr w:type="spellStart"/>
      <w:r w:rsidRPr="00CC3632">
        <w:rPr>
          <w:rFonts w:ascii="Times New Roman" w:eastAsia="Times New Roman" w:hAnsi="Times New Roman" w:cs="Times New Roman"/>
          <w:sz w:val="24"/>
          <w:szCs w:val="24"/>
          <w:lang w:eastAsia="en-GB"/>
        </w:rPr>
        <w:t>Alaekwe</w:t>
      </w:r>
      <w:proofErr w:type="spellEnd"/>
      <w:r w:rsidRPr="00CC3632">
        <w:rPr>
          <w:rFonts w:ascii="Times New Roman" w:eastAsia="Times New Roman" w:hAnsi="Times New Roman" w:cs="Times New Roman"/>
          <w:sz w:val="24"/>
          <w:szCs w:val="24"/>
          <w:lang w:eastAsia="en-GB"/>
        </w:rPr>
        <w:t xml:space="preserve">, I. O., Okafor, C. A., </w:t>
      </w:r>
      <w:proofErr w:type="spellStart"/>
      <w:r w:rsidRPr="00CC3632">
        <w:rPr>
          <w:rFonts w:ascii="Times New Roman" w:eastAsia="Times New Roman" w:hAnsi="Times New Roman" w:cs="Times New Roman"/>
          <w:sz w:val="24"/>
          <w:szCs w:val="24"/>
          <w:lang w:eastAsia="en-GB"/>
        </w:rPr>
        <w:t>Ogwu</w:t>
      </w:r>
      <w:proofErr w:type="spellEnd"/>
      <w:r w:rsidRPr="00CC3632">
        <w:rPr>
          <w:rFonts w:ascii="Times New Roman" w:eastAsia="Times New Roman" w:hAnsi="Times New Roman" w:cs="Times New Roman"/>
          <w:sz w:val="24"/>
          <w:szCs w:val="24"/>
          <w:lang w:eastAsia="en-GB"/>
        </w:rPr>
        <w:t xml:space="preserve">, N. G., &amp; </w:t>
      </w:r>
      <w:proofErr w:type="spellStart"/>
      <w:r w:rsidRPr="00CC3632">
        <w:rPr>
          <w:rFonts w:ascii="Times New Roman" w:eastAsia="Times New Roman" w:hAnsi="Times New Roman" w:cs="Times New Roman"/>
          <w:sz w:val="24"/>
          <w:szCs w:val="24"/>
          <w:lang w:eastAsia="en-GB"/>
        </w:rPr>
        <w:t>Akatakpo</w:t>
      </w:r>
      <w:proofErr w:type="spellEnd"/>
      <w:r w:rsidRPr="00CC3632">
        <w:rPr>
          <w:rFonts w:ascii="Times New Roman" w:eastAsia="Times New Roman" w:hAnsi="Times New Roman" w:cs="Times New Roman"/>
          <w:sz w:val="24"/>
          <w:szCs w:val="24"/>
          <w:lang w:eastAsia="en-GB"/>
        </w:rPr>
        <w:t xml:space="preserve">, C. U. (2025). Seasonal variation in </w:t>
      </w:r>
      <w:proofErr w:type="spellStart"/>
      <w:r w:rsidRPr="00CC3632">
        <w:rPr>
          <w:rFonts w:ascii="Times New Roman" w:eastAsia="Times New Roman" w:hAnsi="Times New Roman" w:cs="Times New Roman"/>
          <w:sz w:val="24"/>
          <w:szCs w:val="24"/>
          <w:lang w:eastAsia="en-GB"/>
        </w:rPr>
        <w:t>hydrochemical</w:t>
      </w:r>
      <w:proofErr w:type="spellEnd"/>
      <w:r w:rsidRPr="00CC3632">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CC3632">
        <w:rPr>
          <w:rFonts w:ascii="Times New Roman" w:eastAsia="Times New Roman" w:hAnsi="Times New Roman" w:cs="Times New Roman"/>
          <w:sz w:val="24"/>
          <w:szCs w:val="24"/>
          <w:lang w:eastAsia="en-GB"/>
        </w:rPr>
        <w:t>Andoni-Isiokwan</w:t>
      </w:r>
      <w:proofErr w:type="spellEnd"/>
      <w:r w:rsidRPr="00CC3632">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27" w:history="1">
        <w:r w:rsidRPr="00CC3632">
          <w:rPr>
            <w:rStyle w:val="Hyperlink"/>
            <w:rFonts w:ascii="Times New Roman" w:eastAsia="Times New Roman" w:hAnsi="Times New Roman" w:cs="Times New Roman"/>
            <w:sz w:val="24"/>
            <w:szCs w:val="24"/>
            <w:lang w:eastAsia="en-GB"/>
          </w:rPr>
          <w:t>https://doi.org/10.5281/zenodo.16778873</w:t>
        </w:r>
      </w:hyperlink>
      <w:r w:rsidRPr="00CC3632">
        <w:rPr>
          <w:rFonts w:ascii="Times New Roman" w:eastAsia="Times New Roman" w:hAnsi="Times New Roman" w:cs="Times New Roman"/>
          <w:sz w:val="24"/>
          <w:szCs w:val="24"/>
          <w:lang w:eastAsia="en-GB"/>
        </w:rPr>
        <w:t xml:space="preserve"> </w:t>
      </w:r>
    </w:p>
    <w:p w14:paraId="4ACFC237" w14:textId="5CEEE879" w:rsidR="00553366" w:rsidRPr="00247942" w:rsidRDefault="00EC751C" w:rsidP="00CC3632">
      <w:pPr>
        <w:pStyle w:val="NormalWeb"/>
        <w:spacing w:line="276" w:lineRule="auto"/>
        <w:jc w:val="both"/>
      </w:pPr>
      <w:proofErr w:type="spellStart"/>
      <w:r w:rsidRPr="00EC751C">
        <w:t>Okpoji</w:t>
      </w:r>
      <w:proofErr w:type="spellEnd"/>
      <w:r w:rsidRPr="00EC751C">
        <w:t xml:space="preserve">, A. U., </w:t>
      </w:r>
      <w:proofErr w:type="spellStart"/>
      <w:r w:rsidRPr="00EC751C">
        <w:t>Ogbaji</w:t>
      </w:r>
      <w:proofErr w:type="spellEnd"/>
      <w:r w:rsidRPr="00EC751C">
        <w:t>, H. O., Hassan, D. H., Orji-</w:t>
      </w:r>
      <w:proofErr w:type="spellStart"/>
      <w:r w:rsidRPr="00EC751C">
        <w:t>Azuka</w:t>
      </w:r>
      <w:proofErr w:type="spellEnd"/>
      <w:r w:rsidRPr="00EC751C">
        <w:t xml:space="preserve">, L. N., Rasheed, H. O., </w:t>
      </w:r>
      <w:proofErr w:type="spellStart"/>
      <w:r w:rsidRPr="00EC751C">
        <w:t>Ohaturuonye</w:t>
      </w:r>
      <w:proofErr w:type="spellEnd"/>
      <w:r w:rsidRPr="00EC751C">
        <w:t xml:space="preserve">, S. O., </w:t>
      </w:r>
      <w:proofErr w:type="spellStart"/>
      <w:r w:rsidRPr="00EC751C">
        <w:t>Ejeka</w:t>
      </w:r>
      <w:proofErr w:type="spellEnd"/>
      <w:r w:rsidRPr="00EC751C">
        <w:t xml:space="preserve">, J. C., </w:t>
      </w:r>
      <w:proofErr w:type="spellStart"/>
      <w:r w:rsidRPr="00EC751C">
        <w:t>Okpanachi</w:t>
      </w:r>
      <w:proofErr w:type="spellEnd"/>
      <w:r w:rsidRPr="00EC751C">
        <w:t xml:space="preserve">, C. B., &amp; </w:t>
      </w:r>
      <w:proofErr w:type="spellStart"/>
      <w:r w:rsidRPr="00EC751C">
        <w:t>Ekwere</w:t>
      </w:r>
      <w:proofErr w:type="spellEnd"/>
      <w:r w:rsidRPr="00EC751C">
        <w:t xml:space="preserve">, I. O. (2025). </w:t>
      </w:r>
      <w:proofErr w:type="spellStart"/>
      <w:r w:rsidRPr="00EC751C">
        <w:t>Physico</w:t>
      </w:r>
      <w:proofErr w:type="spellEnd"/>
      <w:r w:rsidRPr="00EC751C">
        <w:t xml:space="preserve">-chemical transport of volatile organic compounds (VOCs) from gas flaring into surface waters of </w:t>
      </w:r>
      <w:proofErr w:type="spellStart"/>
      <w:r w:rsidRPr="00EC751C">
        <w:t>Ogoniland</w:t>
      </w:r>
      <w:proofErr w:type="spellEnd"/>
      <w:r w:rsidRPr="00EC751C">
        <w:t xml:space="preserve">, Rivers State, Nigeria. Asian Journal of Physical and Chemical Sciences, 13(4), 151–159. </w:t>
      </w:r>
      <w:hyperlink r:id="rId28" w:history="1">
        <w:r w:rsidRPr="004761E6">
          <w:rPr>
            <w:rStyle w:val="Hyperlink"/>
          </w:rPr>
          <w:t>https://doi.org/10.9734/ajopacs/2025/v13i4271</w:t>
        </w:r>
      </w:hyperlink>
      <w:r>
        <w:t xml:space="preserve"> </w:t>
      </w:r>
    </w:p>
    <w:p w14:paraId="1F5A962B" w14:textId="7C4C67DF" w:rsidR="00553366" w:rsidRPr="00247942" w:rsidRDefault="002A2B07" w:rsidP="00CC3632">
      <w:pPr>
        <w:pStyle w:val="NormalWeb"/>
      </w:pPr>
      <w:proofErr w:type="spellStart"/>
      <w:r w:rsidRPr="002A2B07">
        <w:t>Okpoji</w:t>
      </w:r>
      <w:proofErr w:type="spellEnd"/>
      <w:r w:rsidRPr="002A2B07">
        <w:t>, A. U., Orji-</w:t>
      </w:r>
      <w:proofErr w:type="spellStart"/>
      <w:r w:rsidRPr="002A2B07">
        <w:t>Azuka</w:t>
      </w:r>
      <w:proofErr w:type="spellEnd"/>
      <w:r w:rsidRPr="002A2B07">
        <w:t xml:space="preserve">, L. N., </w:t>
      </w:r>
      <w:proofErr w:type="spellStart"/>
      <w:r w:rsidRPr="002A2B07">
        <w:t>Igwegbe</w:t>
      </w:r>
      <w:proofErr w:type="spellEnd"/>
      <w:r w:rsidRPr="002A2B07">
        <w:t xml:space="preserve">, K. C., </w:t>
      </w:r>
      <w:proofErr w:type="spellStart"/>
      <w:r w:rsidRPr="002A2B07">
        <w:t>Ekwere</w:t>
      </w:r>
      <w:proofErr w:type="spellEnd"/>
      <w:r w:rsidRPr="002A2B07">
        <w:t xml:space="preserve">, I. O., </w:t>
      </w:r>
      <w:proofErr w:type="spellStart"/>
      <w:r w:rsidRPr="002A2B07">
        <w:t>Ewuola</w:t>
      </w:r>
      <w:proofErr w:type="spellEnd"/>
      <w:r w:rsidRPr="002A2B07">
        <w:t xml:space="preserve">, A. A., </w:t>
      </w:r>
      <w:proofErr w:type="spellStart"/>
      <w:r w:rsidRPr="002A2B07">
        <w:t>Garuba</w:t>
      </w:r>
      <w:proofErr w:type="spellEnd"/>
      <w:r w:rsidRPr="002A2B07">
        <w:t xml:space="preserve">, M. H., &amp; </w:t>
      </w:r>
      <w:proofErr w:type="spellStart"/>
      <w:r w:rsidRPr="002A2B07">
        <w:t>Etukudo</w:t>
      </w:r>
      <w:proofErr w:type="spellEnd"/>
      <w:r w:rsidRPr="002A2B07">
        <w:t xml:space="preserve">, E. W. (2025). Water quality and ecotoxicological impacts of surfactants and </w:t>
      </w:r>
      <w:r w:rsidRPr="002A2B07">
        <w:lastRenderedPageBreak/>
        <w:t xml:space="preserve">heavy metals in urban rivers of Benin City, Niger Delta, Nigeria. Asian Journal of Geological Research, 8(3), 697–707. </w:t>
      </w:r>
      <w:hyperlink r:id="rId29" w:history="1">
        <w:r w:rsidRPr="004761E6">
          <w:rPr>
            <w:rStyle w:val="Hyperlink"/>
          </w:rPr>
          <w:t>https://doi.org/10.9734/ajoger/2025/v8i3223</w:t>
        </w:r>
      </w:hyperlink>
      <w:r>
        <w:t xml:space="preserve"> </w:t>
      </w:r>
    </w:p>
    <w:p w14:paraId="713FAF75" w14:textId="77777777" w:rsidR="00553366" w:rsidRPr="00CC3632" w:rsidRDefault="00553366" w:rsidP="00CC363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3632">
        <w:rPr>
          <w:rFonts w:ascii="Times New Roman" w:hAnsi="Times New Roman" w:cs="Times New Roman"/>
          <w:sz w:val="24"/>
          <w:szCs w:val="24"/>
        </w:rPr>
        <w:t xml:space="preserve">Onoja, C. R., Ogbaji, H. O., Edodi, I. O., </w:t>
      </w:r>
      <w:proofErr w:type="spellStart"/>
      <w:r w:rsidRPr="00CC3632">
        <w:rPr>
          <w:rFonts w:ascii="Times New Roman" w:hAnsi="Times New Roman" w:cs="Times New Roman"/>
          <w:sz w:val="24"/>
          <w:szCs w:val="24"/>
        </w:rPr>
        <w:t>Mmuta</w:t>
      </w:r>
      <w:proofErr w:type="spellEnd"/>
      <w:r w:rsidRPr="00CC3632">
        <w:rPr>
          <w:rFonts w:ascii="Times New Roman" w:hAnsi="Times New Roman" w:cs="Times New Roman"/>
          <w:sz w:val="24"/>
          <w:szCs w:val="24"/>
        </w:rPr>
        <w:t xml:space="preserve">, E. C., </w:t>
      </w:r>
      <w:proofErr w:type="spellStart"/>
      <w:r w:rsidRPr="00CC3632">
        <w:rPr>
          <w:rFonts w:ascii="Times New Roman" w:hAnsi="Times New Roman" w:cs="Times New Roman"/>
          <w:sz w:val="24"/>
          <w:szCs w:val="24"/>
        </w:rPr>
        <w:t>Igwegbe</w:t>
      </w:r>
      <w:proofErr w:type="spellEnd"/>
      <w:r w:rsidRPr="00CC3632">
        <w:rPr>
          <w:rFonts w:ascii="Times New Roman" w:hAnsi="Times New Roman" w:cs="Times New Roman"/>
          <w:sz w:val="24"/>
          <w:szCs w:val="24"/>
        </w:rPr>
        <w:t xml:space="preserve">, K. C., Ogini, O. R., </w:t>
      </w:r>
      <w:proofErr w:type="spellStart"/>
      <w:r w:rsidRPr="00CC3632">
        <w:rPr>
          <w:rFonts w:ascii="Times New Roman" w:hAnsi="Times New Roman" w:cs="Times New Roman"/>
          <w:sz w:val="24"/>
          <w:szCs w:val="24"/>
        </w:rPr>
        <w:t>Odibo</w:t>
      </w:r>
      <w:proofErr w:type="spellEnd"/>
      <w:r w:rsidRPr="00CC3632">
        <w:rPr>
          <w:rFonts w:ascii="Times New Roman" w:hAnsi="Times New Roman" w:cs="Times New Roman"/>
          <w:sz w:val="24"/>
          <w:szCs w:val="24"/>
        </w:rPr>
        <w:t xml:space="preserve">, U. E., </w:t>
      </w:r>
      <w:proofErr w:type="spellStart"/>
      <w:r w:rsidRPr="00CC3632">
        <w:rPr>
          <w:rFonts w:ascii="Times New Roman" w:hAnsi="Times New Roman" w:cs="Times New Roman"/>
          <w:sz w:val="24"/>
          <w:szCs w:val="24"/>
        </w:rPr>
        <w:t>Ewuola</w:t>
      </w:r>
      <w:proofErr w:type="spellEnd"/>
      <w:r w:rsidRPr="00CC3632">
        <w:rPr>
          <w:rFonts w:ascii="Times New Roman" w:hAnsi="Times New Roman" w:cs="Times New Roman"/>
          <w:sz w:val="24"/>
          <w:szCs w:val="24"/>
        </w:rPr>
        <w:t xml:space="preserve">, A. A., Mahmoud, A. B., &amp; </w:t>
      </w:r>
      <w:proofErr w:type="spellStart"/>
      <w:r w:rsidRPr="00CC3632">
        <w:rPr>
          <w:rFonts w:ascii="Times New Roman" w:hAnsi="Times New Roman" w:cs="Times New Roman"/>
          <w:sz w:val="24"/>
          <w:szCs w:val="24"/>
        </w:rPr>
        <w:t>Okpoji</w:t>
      </w:r>
      <w:proofErr w:type="spellEnd"/>
      <w:r w:rsidRPr="00CC3632">
        <w:rPr>
          <w:rFonts w:ascii="Times New Roman" w:hAnsi="Times New Roman" w:cs="Times New Roman"/>
          <w:sz w:val="24"/>
          <w:szCs w:val="24"/>
        </w:rPr>
        <w:t xml:space="preserve">, A. U. (2025). </w:t>
      </w:r>
      <w:r w:rsidRPr="00CC3632">
        <w:rPr>
          <w:rStyle w:val="Emphasis"/>
          <w:rFonts w:ascii="Times New Roman" w:hAnsi="Times New Roman" w:cs="Times New Roman"/>
          <w:sz w:val="24"/>
          <w:szCs w:val="24"/>
        </w:rPr>
        <w:t>Heavy Metal Contamination and Health Risk Assessment of Smoked-Dried Fish Sold in Eke-</w:t>
      </w:r>
      <w:proofErr w:type="spellStart"/>
      <w:r w:rsidRPr="00CC3632">
        <w:rPr>
          <w:rStyle w:val="Emphasis"/>
          <w:rFonts w:ascii="Times New Roman" w:hAnsi="Times New Roman" w:cs="Times New Roman"/>
          <w:sz w:val="24"/>
          <w:szCs w:val="24"/>
        </w:rPr>
        <w:t>Awka</w:t>
      </w:r>
      <w:proofErr w:type="spellEnd"/>
      <w:r w:rsidRPr="00CC3632">
        <w:rPr>
          <w:rStyle w:val="Emphasis"/>
          <w:rFonts w:ascii="Times New Roman" w:hAnsi="Times New Roman" w:cs="Times New Roman"/>
          <w:sz w:val="24"/>
          <w:szCs w:val="24"/>
        </w:rPr>
        <w:t xml:space="preserve"> Market, Anambra State, Nigeria.</w:t>
      </w:r>
      <w:r w:rsidRPr="00CC3632">
        <w:rPr>
          <w:rFonts w:ascii="Times New Roman" w:hAnsi="Times New Roman" w:cs="Times New Roman"/>
          <w:sz w:val="24"/>
          <w:szCs w:val="24"/>
        </w:rPr>
        <w:t xml:space="preserve"> </w:t>
      </w:r>
      <w:r w:rsidRPr="00CC3632">
        <w:rPr>
          <w:rFonts w:ascii="Times New Roman" w:hAnsi="Times New Roman" w:cs="Times New Roman"/>
          <w:i/>
          <w:iCs/>
          <w:sz w:val="24"/>
          <w:szCs w:val="24"/>
        </w:rPr>
        <w:t>Journal of Sustainable Research and Development</w:t>
      </w:r>
      <w:r w:rsidRPr="00CC3632">
        <w:rPr>
          <w:rFonts w:ascii="Times New Roman" w:hAnsi="Times New Roman" w:cs="Times New Roman"/>
          <w:sz w:val="24"/>
          <w:szCs w:val="24"/>
        </w:rPr>
        <w:t xml:space="preserve">, 1(2), 18-25. </w:t>
      </w:r>
      <w:hyperlink r:id="rId30" w:tgtFrame="_new" w:history="1">
        <w:r w:rsidRPr="00CC3632">
          <w:rPr>
            <w:rStyle w:val="Hyperlink"/>
            <w:rFonts w:ascii="Times New Roman" w:hAnsi="Times New Roman" w:cs="Times New Roman"/>
            <w:sz w:val="24"/>
            <w:szCs w:val="24"/>
          </w:rPr>
          <w:t>https://doi.org/10.69739/jsrd.v1i2.1044</w:t>
        </w:r>
      </w:hyperlink>
    </w:p>
    <w:p w14:paraId="333B126B" w14:textId="693C2E12" w:rsidR="00553366" w:rsidRPr="00247942" w:rsidRDefault="00852706" w:rsidP="00CC3632">
      <w:pPr>
        <w:pStyle w:val="NormalWeb"/>
        <w:spacing w:line="276" w:lineRule="auto"/>
        <w:jc w:val="both"/>
        <w:rPr>
          <w:rStyle w:val="Hyperlink"/>
        </w:rPr>
      </w:pPr>
      <w:proofErr w:type="spellStart"/>
      <w:r w:rsidRPr="00852706">
        <w:t>Osuafor</w:t>
      </w:r>
      <w:proofErr w:type="spellEnd"/>
      <w:r w:rsidRPr="00852706">
        <w:t xml:space="preserve">, O. O., Okeke, C. F., </w:t>
      </w:r>
      <w:proofErr w:type="spellStart"/>
      <w:r w:rsidRPr="00852706">
        <w:t>Agu</w:t>
      </w:r>
      <w:proofErr w:type="spellEnd"/>
      <w:r w:rsidRPr="00852706">
        <w:t xml:space="preserve">, M. O., </w:t>
      </w:r>
      <w:proofErr w:type="spellStart"/>
      <w:r w:rsidRPr="00852706">
        <w:t>Isueken</w:t>
      </w:r>
      <w:proofErr w:type="spellEnd"/>
      <w:r w:rsidRPr="00852706">
        <w:t xml:space="preserve">, C. O., </w:t>
      </w:r>
      <w:proofErr w:type="spellStart"/>
      <w:r w:rsidRPr="00852706">
        <w:t>Aligwo</w:t>
      </w:r>
      <w:proofErr w:type="spellEnd"/>
      <w:r w:rsidRPr="00852706">
        <w:t xml:space="preserve">, M. C., </w:t>
      </w:r>
      <w:proofErr w:type="spellStart"/>
      <w:r w:rsidRPr="00852706">
        <w:t>Ohaturuonye</w:t>
      </w:r>
      <w:proofErr w:type="spellEnd"/>
      <w:r w:rsidRPr="00852706">
        <w:t xml:space="preserve">, S. O., </w:t>
      </w:r>
      <w:proofErr w:type="spellStart"/>
      <w:r w:rsidRPr="00852706">
        <w:t>Okpoji</w:t>
      </w:r>
      <w:proofErr w:type="spellEnd"/>
      <w:r w:rsidRPr="00852706">
        <w:t xml:space="preserve">, A. U., </w:t>
      </w:r>
      <w:proofErr w:type="spellStart"/>
      <w:r w:rsidRPr="00852706">
        <w:t>Etesin</w:t>
      </w:r>
      <w:proofErr w:type="spellEnd"/>
      <w:r w:rsidRPr="00852706">
        <w:t xml:space="preserve">, M. U., &amp; </w:t>
      </w:r>
      <w:proofErr w:type="spellStart"/>
      <w:r w:rsidRPr="00852706">
        <w:t>Ekwere</w:t>
      </w:r>
      <w:proofErr w:type="spellEnd"/>
      <w:r w:rsidRPr="00852706">
        <w:t xml:space="preserve">, I. O. (2025). Hydrogeochemical characterisation and water quality assessment of streams impacted by agricultural runoff in </w:t>
      </w:r>
      <w:proofErr w:type="spellStart"/>
      <w:r w:rsidRPr="00852706">
        <w:t>Uyo</w:t>
      </w:r>
      <w:proofErr w:type="spellEnd"/>
      <w:r w:rsidRPr="00852706">
        <w:t xml:space="preserve">, </w:t>
      </w:r>
      <w:proofErr w:type="spellStart"/>
      <w:r w:rsidRPr="00852706">
        <w:t>Akwa</w:t>
      </w:r>
      <w:proofErr w:type="spellEnd"/>
      <w:r w:rsidRPr="00852706">
        <w:t xml:space="preserve"> Ibom State, Nigeria. Asian Journal of Agricultural and Horticultural Research, 12(4), 182–192. </w:t>
      </w:r>
      <w:hyperlink r:id="rId31" w:history="1">
        <w:r w:rsidRPr="004761E6">
          <w:rPr>
            <w:rStyle w:val="Hyperlink"/>
          </w:rPr>
          <w:t>https://doi.org/10.9734/ajahr/2025/v12i4427</w:t>
        </w:r>
      </w:hyperlink>
      <w:r>
        <w:t xml:space="preserve"> </w:t>
      </w:r>
    </w:p>
    <w:p w14:paraId="7C3E5089" w14:textId="5DDD3498" w:rsidR="00553366" w:rsidRPr="00247942" w:rsidRDefault="003521E2" w:rsidP="00CC3632">
      <w:pPr>
        <w:pStyle w:val="NormalWeb"/>
        <w:spacing w:line="276" w:lineRule="auto"/>
        <w:jc w:val="both"/>
      </w:pPr>
      <w:proofErr w:type="spellStart"/>
      <w:r w:rsidRPr="003521E2">
        <w:t>Umueni</w:t>
      </w:r>
      <w:proofErr w:type="spellEnd"/>
      <w:r w:rsidRPr="003521E2">
        <w:t xml:space="preserve">, U. E., </w:t>
      </w:r>
      <w:proofErr w:type="spellStart"/>
      <w:r w:rsidRPr="003521E2">
        <w:t>Etukudo</w:t>
      </w:r>
      <w:proofErr w:type="spellEnd"/>
      <w:r w:rsidRPr="003521E2">
        <w:t xml:space="preserve">, N. J., Okoye, P. I., </w:t>
      </w:r>
      <w:proofErr w:type="spellStart"/>
      <w:r w:rsidRPr="003521E2">
        <w:t>Okpoji</w:t>
      </w:r>
      <w:proofErr w:type="spellEnd"/>
      <w:r w:rsidRPr="003521E2">
        <w:t xml:space="preserve">, A. U., </w:t>
      </w:r>
      <w:proofErr w:type="spellStart"/>
      <w:r w:rsidRPr="003521E2">
        <w:t>Eze</w:t>
      </w:r>
      <w:proofErr w:type="spellEnd"/>
      <w:r w:rsidRPr="003521E2">
        <w:t xml:space="preserve">, V. C., </w:t>
      </w:r>
      <w:proofErr w:type="spellStart"/>
      <w:r w:rsidRPr="003521E2">
        <w:t>Aningo</w:t>
      </w:r>
      <w:proofErr w:type="spellEnd"/>
      <w:r w:rsidRPr="003521E2">
        <w:t xml:space="preserve">, G. N., </w:t>
      </w:r>
      <w:proofErr w:type="spellStart"/>
      <w:r w:rsidRPr="003521E2">
        <w:t>Ekwere</w:t>
      </w:r>
      <w:proofErr w:type="spellEnd"/>
      <w:r w:rsidRPr="003521E2">
        <w:t xml:space="preserve">, I. O., &amp; </w:t>
      </w:r>
      <w:proofErr w:type="spellStart"/>
      <w:r w:rsidRPr="003521E2">
        <w:t>Garuba</w:t>
      </w:r>
      <w:proofErr w:type="spellEnd"/>
      <w:r w:rsidRPr="003521E2">
        <w:t xml:space="preserve">, M. H. (2025). Geochemical and ecological risk assessment of petroleum hydrocarbons in sediments of </w:t>
      </w:r>
      <w:proofErr w:type="spellStart"/>
      <w:r w:rsidRPr="003521E2">
        <w:t>Forcados</w:t>
      </w:r>
      <w:proofErr w:type="spellEnd"/>
      <w:r w:rsidRPr="003521E2">
        <w:t xml:space="preserve"> River, Delta State. Asian Journal of Geographical Research, 8(4), 287–298. </w:t>
      </w:r>
      <w:hyperlink r:id="rId32" w:history="1">
        <w:r w:rsidRPr="004761E6">
          <w:rPr>
            <w:rStyle w:val="Hyperlink"/>
          </w:rPr>
          <w:t>https://doi.org/10.9734/ajgr/2025/v8i4337</w:t>
        </w:r>
      </w:hyperlink>
      <w:r>
        <w:t xml:space="preserve"> </w:t>
      </w:r>
    </w:p>
    <w:p w14:paraId="7DA4846A" w14:textId="68027542" w:rsidR="00553366" w:rsidRPr="00247942" w:rsidRDefault="00D02D0A" w:rsidP="00CC3632">
      <w:pPr>
        <w:pStyle w:val="NormalWeb"/>
        <w:spacing w:line="276" w:lineRule="auto"/>
        <w:jc w:val="both"/>
      </w:pPr>
      <w:proofErr w:type="spellStart"/>
      <w:r w:rsidRPr="00D02D0A">
        <w:t>Umueni</w:t>
      </w:r>
      <w:proofErr w:type="spellEnd"/>
      <w:r w:rsidRPr="00D02D0A">
        <w:t xml:space="preserve">, U. E., Rasheed, H. O., </w:t>
      </w:r>
      <w:proofErr w:type="spellStart"/>
      <w:r w:rsidRPr="00D02D0A">
        <w:t>Edodi</w:t>
      </w:r>
      <w:proofErr w:type="spellEnd"/>
      <w:r w:rsidRPr="00D02D0A">
        <w:t xml:space="preserve">, I. O., </w:t>
      </w:r>
      <w:proofErr w:type="spellStart"/>
      <w:r w:rsidRPr="00D02D0A">
        <w:t>Aningo</w:t>
      </w:r>
      <w:proofErr w:type="spellEnd"/>
      <w:r w:rsidRPr="00D02D0A">
        <w:t xml:space="preserve">, G. N., </w:t>
      </w:r>
      <w:proofErr w:type="spellStart"/>
      <w:r w:rsidRPr="00D02D0A">
        <w:t>Okpoji</w:t>
      </w:r>
      <w:proofErr w:type="spellEnd"/>
      <w:r w:rsidRPr="00D02D0A">
        <w:t xml:space="preserve">, A. U., </w:t>
      </w:r>
      <w:proofErr w:type="spellStart"/>
      <w:r w:rsidRPr="00D02D0A">
        <w:t>Etesin</w:t>
      </w:r>
      <w:proofErr w:type="spellEnd"/>
      <w:r w:rsidRPr="00D02D0A">
        <w:t xml:space="preserve">, M. U., Okonkwo, C. C., </w:t>
      </w:r>
      <w:proofErr w:type="spellStart"/>
      <w:r w:rsidRPr="00D02D0A">
        <w:t>Ekwere</w:t>
      </w:r>
      <w:proofErr w:type="spellEnd"/>
      <w:r w:rsidRPr="00D02D0A">
        <w:t xml:space="preserve">, I. O., Okeke, C. F., &amp; </w:t>
      </w:r>
      <w:proofErr w:type="spellStart"/>
      <w:r w:rsidRPr="00D02D0A">
        <w:t>Anarah</w:t>
      </w:r>
      <w:proofErr w:type="spellEnd"/>
      <w:r w:rsidRPr="00D02D0A">
        <w:t xml:space="preserve">, S. E. (2025). Nutrient enrichment and eutrophication potential of agricultural runoff in </w:t>
      </w:r>
      <w:proofErr w:type="spellStart"/>
      <w:r w:rsidRPr="00D02D0A">
        <w:t>Otuoke</w:t>
      </w:r>
      <w:proofErr w:type="spellEnd"/>
      <w:r w:rsidRPr="00D02D0A">
        <w:t xml:space="preserve">, Bayelsa State, Nigeria. Asian Journal of Agricultural and Horticultural Research, 12(4), 154–163. </w:t>
      </w:r>
      <w:hyperlink r:id="rId33" w:history="1">
        <w:r w:rsidRPr="004761E6">
          <w:rPr>
            <w:rStyle w:val="Hyperlink"/>
          </w:rPr>
          <w:t>https://doi.org/10.9734/ajahr/2025/v12i4424</w:t>
        </w:r>
      </w:hyperlink>
      <w:r>
        <w:t xml:space="preserve"> </w:t>
      </w:r>
    </w:p>
    <w:p w14:paraId="7470C7B0" w14:textId="77777777" w:rsidR="00CE7C7D" w:rsidRPr="00553366" w:rsidRDefault="00CE7C7D" w:rsidP="00553366">
      <w:pPr>
        <w:jc w:val="both"/>
        <w:rPr>
          <w:rFonts w:ascii="Times New Roman" w:hAnsi="Times New Roman" w:cs="Times New Roman"/>
          <w:sz w:val="24"/>
          <w:szCs w:val="24"/>
        </w:rPr>
      </w:pPr>
    </w:p>
    <w:sectPr w:rsidR="00CE7C7D" w:rsidRPr="0055336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133D" w14:textId="77777777" w:rsidR="00F86496" w:rsidRDefault="00F86496" w:rsidP="00FF2760">
      <w:pPr>
        <w:spacing w:after="0" w:line="240" w:lineRule="auto"/>
      </w:pPr>
      <w:r>
        <w:separator/>
      </w:r>
    </w:p>
  </w:endnote>
  <w:endnote w:type="continuationSeparator" w:id="0">
    <w:p w14:paraId="072DA038" w14:textId="77777777" w:rsidR="00F86496" w:rsidRDefault="00F86496" w:rsidP="00FF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AD17" w14:textId="77777777" w:rsidR="00FF2760" w:rsidRDefault="00FF2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561A" w14:textId="77777777" w:rsidR="00FF2760" w:rsidRDefault="00FF2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CD87" w14:textId="77777777" w:rsidR="00FF2760" w:rsidRDefault="00FF2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09AC4" w14:textId="77777777" w:rsidR="00F86496" w:rsidRDefault="00F86496" w:rsidP="00FF2760">
      <w:pPr>
        <w:spacing w:after="0" w:line="240" w:lineRule="auto"/>
      </w:pPr>
      <w:r>
        <w:separator/>
      </w:r>
    </w:p>
  </w:footnote>
  <w:footnote w:type="continuationSeparator" w:id="0">
    <w:p w14:paraId="623F6451" w14:textId="77777777" w:rsidR="00F86496" w:rsidRDefault="00F86496" w:rsidP="00FF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71A4" w14:textId="53882E0B" w:rsidR="00FF2760" w:rsidRDefault="00FF2760">
    <w:pPr>
      <w:pStyle w:val="Header"/>
    </w:pPr>
    <w:r>
      <w:rPr>
        <w:noProof/>
      </w:rPr>
      <w:pict w14:anchorId="23B0D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64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71EA" w14:textId="3FFED6E4" w:rsidR="00FF2760" w:rsidRDefault="00FF2760">
    <w:pPr>
      <w:pStyle w:val="Header"/>
    </w:pPr>
    <w:r>
      <w:rPr>
        <w:noProof/>
      </w:rPr>
      <w:pict w14:anchorId="2713D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64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0668" w14:textId="72CB4AA3" w:rsidR="00FF2760" w:rsidRDefault="00FF2760">
    <w:pPr>
      <w:pStyle w:val="Header"/>
    </w:pPr>
    <w:r>
      <w:rPr>
        <w:noProof/>
      </w:rPr>
      <w:pict w14:anchorId="32975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64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3CCC"/>
    <w:multiLevelType w:val="hybridMultilevel"/>
    <w:tmpl w:val="5E2C2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82"/>
    <w:rsid w:val="000D54EE"/>
    <w:rsid w:val="000D6279"/>
    <w:rsid w:val="001B256D"/>
    <w:rsid w:val="001B2E1F"/>
    <w:rsid w:val="001F0580"/>
    <w:rsid w:val="002731F3"/>
    <w:rsid w:val="002A2B07"/>
    <w:rsid w:val="003521E2"/>
    <w:rsid w:val="003F272A"/>
    <w:rsid w:val="00553366"/>
    <w:rsid w:val="00611818"/>
    <w:rsid w:val="00633D9D"/>
    <w:rsid w:val="006A683D"/>
    <w:rsid w:val="0073525B"/>
    <w:rsid w:val="0076467F"/>
    <w:rsid w:val="00766D7F"/>
    <w:rsid w:val="0077414A"/>
    <w:rsid w:val="00803633"/>
    <w:rsid w:val="00852706"/>
    <w:rsid w:val="00921382"/>
    <w:rsid w:val="009D3BA8"/>
    <w:rsid w:val="00A454E2"/>
    <w:rsid w:val="00B52904"/>
    <w:rsid w:val="00B95254"/>
    <w:rsid w:val="00CC3632"/>
    <w:rsid w:val="00CD50AA"/>
    <w:rsid w:val="00CE7C7D"/>
    <w:rsid w:val="00D02D0A"/>
    <w:rsid w:val="00DD44F9"/>
    <w:rsid w:val="00E008FB"/>
    <w:rsid w:val="00E4697B"/>
    <w:rsid w:val="00E97D5A"/>
    <w:rsid w:val="00EC751C"/>
    <w:rsid w:val="00EF7A21"/>
    <w:rsid w:val="00F86496"/>
    <w:rsid w:val="00FF2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02D59"/>
  <w15:chartTrackingRefBased/>
  <w15:docId w15:val="{82CBA3FA-15EF-4F77-A47D-68FC1D4C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213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213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3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2138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21382"/>
    <w:rPr>
      <w:b/>
      <w:bCs/>
    </w:rPr>
  </w:style>
  <w:style w:type="paragraph" w:styleId="NormalWeb">
    <w:name w:val="Normal (Web)"/>
    <w:basedOn w:val="Normal"/>
    <w:uiPriority w:val="99"/>
    <w:unhideWhenUsed/>
    <w:rsid w:val="009213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D50AA"/>
    <w:rPr>
      <w:i/>
      <w:iCs/>
    </w:rPr>
  </w:style>
  <w:style w:type="character" w:styleId="Hyperlink">
    <w:name w:val="Hyperlink"/>
    <w:basedOn w:val="DefaultParagraphFont"/>
    <w:uiPriority w:val="99"/>
    <w:unhideWhenUsed/>
    <w:rsid w:val="00553366"/>
    <w:rPr>
      <w:color w:val="0563C1" w:themeColor="hyperlink"/>
      <w:u w:val="single"/>
    </w:rPr>
  </w:style>
  <w:style w:type="character" w:styleId="UnresolvedMention">
    <w:name w:val="Unresolved Mention"/>
    <w:basedOn w:val="DefaultParagraphFont"/>
    <w:uiPriority w:val="99"/>
    <w:semiHidden/>
    <w:unhideWhenUsed/>
    <w:rsid w:val="00B95254"/>
    <w:rPr>
      <w:color w:val="605E5C"/>
      <w:shd w:val="clear" w:color="auto" w:fill="E1DFDD"/>
    </w:rPr>
  </w:style>
  <w:style w:type="paragraph" w:styleId="ListParagraph">
    <w:name w:val="List Paragraph"/>
    <w:basedOn w:val="Normal"/>
    <w:uiPriority w:val="34"/>
    <w:qFormat/>
    <w:rsid w:val="009D3BA8"/>
    <w:pPr>
      <w:ind w:left="720"/>
      <w:contextualSpacing/>
    </w:pPr>
  </w:style>
  <w:style w:type="paragraph" w:styleId="Header">
    <w:name w:val="header"/>
    <w:basedOn w:val="Normal"/>
    <w:link w:val="HeaderChar"/>
    <w:uiPriority w:val="99"/>
    <w:unhideWhenUsed/>
    <w:rsid w:val="00FF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60"/>
  </w:style>
  <w:style w:type="paragraph" w:styleId="Footer">
    <w:name w:val="footer"/>
    <w:basedOn w:val="Normal"/>
    <w:link w:val="FooterChar"/>
    <w:uiPriority w:val="99"/>
    <w:unhideWhenUsed/>
    <w:rsid w:val="00FF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4575">
      <w:bodyDiv w:val="1"/>
      <w:marLeft w:val="0"/>
      <w:marRight w:val="0"/>
      <w:marTop w:val="0"/>
      <w:marBottom w:val="0"/>
      <w:divBdr>
        <w:top w:val="none" w:sz="0" w:space="0" w:color="auto"/>
        <w:left w:val="none" w:sz="0" w:space="0" w:color="auto"/>
        <w:bottom w:val="none" w:sz="0" w:space="0" w:color="auto"/>
        <w:right w:val="none" w:sz="0" w:space="0" w:color="auto"/>
      </w:divBdr>
      <w:divsChild>
        <w:div w:id="1061639194">
          <w:marLeft w:val="0"/>
          <w:marRight w:val="0"/>
          <w:marTop w:val="0"/>
          <w:marBottom w:val="0"/>
          <w:divBdr>
            <w:top w:val="none" w:sz="0" w:space="0" w:color="auto"/>
            <w:left w:val="none" w:sz="0" w:space="0" w:color="auto"/>
            <w:bottom w:val="none" w:sz="0" w:space="0" w:color="auto"/>
            <w:right w:val="none" w:sz="0" w:space="0" w:color="auto"/>
          </w:divBdr>
          <w:divsChild>
            <w:div w:id="1367563829">
              <w:marLeft w:val="0"/>
              <w:marRight w:val="0"/>
              <w:marTop w:val="0"/>
              <w:marBottom w:val="0"/>
              <w:divBdr>
                <w:top w:val="none" w:sz="0" w:space="0" w:color="auto"/>
                <w:left w:val="none" w:sz="0" w:space="0" w:color="auto"/>
                <w:bottom w:val="none" w:sz="0" w:space="0" w:color="auto"/>
                <w:right w:val="none" w:sz="0" w:space="0" w:color="auto"/>
              </w:divBdr>
              <w:divsChild>
                <w:div w:id="568346521">
                  <w:marLeft w:val="0"/>
                  <w:marRight w:val="0"/>
                  <w:marTop w:val="0"/>
                  <w:marBottom w:val="0"/>
                  <w:divBdr>
                    <w:top w:val="none" w:sz="0" w:space="0" w:color="auto"/>
                    <w:left w:val="none" w:sz="0" w:space="0" w:color="auto"/>
                    <w:bottom w:val="none" w:sz="0" w:space="0" w:color="auto"/>
                    <w:right w:val="none" w:sz="0" w:space="0" w:color="auto"/>
                  </w:divBdr>
                  <w:divsChild>
                    <w:div w:id="602031510">
                      <w:marLeft w:val="0"/>
                      <w:marRight w:val="0"/>
                      <w:marTop w:val="0"/>
                      <w:marBottom w:val="0"/>
                      <w:divBdr>
                        <w:top w:val="none" w:sz="0" w:space="0" w:color="auto"/>
                        <w:left w:val="none" w:sz="0" w:space="0" w:color="auto"/>
                        <w:bottom w:val="none" w:sz="0" w:space="0" w:color="auto"/>
                        <w:right w:val="none" w:sz="0" w:space="0" w:color="auto"/>
                      </w:divBdr>
                      <w:divsChild>
                        <w:div w:id="582645342">
                          <w:marLeft w:val="0"/>
                          <w:marRight w:val="0"/>
                          <w:marTop w:val="0"/>
                          <w:marBottom w:val="0"/>
                          <w:divBdr>
                            <w:top w:val="none" w:sz="0" w:space="0" w:color="auto"/>
                            <w:left w:val="none" w:sz="0" w:space="0" w:color="auto"/>
                            <w:bottom w:val="none" w:sz="0" w:space="0" w:color="auto"/>
                            <w:right w:val="none" w:sz="0" w:space="0" w:color="auto"/>
                          </w:divBdr>
                          <w:divsChild>
                            <w:div w:id="2789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4224">
      <w:bodyDiv w:val="1"/>
      <w:marLeft w:val="0"/>
      <w:marRight w:val="0"/>
      <w:marTop w:val="0"/>
      <w:marBottom w:val="0"/>
      <w:divBdr>
        <w:top w:val="none" w:sz="0" w:space="0" w:color="auto"/>
        <w:left w:val="none" w:sz="0" w:space="0" w:color="auto"/>
        <w:bottom w:val="none" w:sz="0" w:space="0" w:color="auto"/>
        <w:right w:val="none" w:sz="0" w:space="0" w:color="auto"/>
      </w:divBdr>
    </w:div>
    <w:div w:id="715811422">
      <w:bodyDiv w:val="1"/>
      <w:marLeft w:val="0"/>
      <w:marRight w:val="0"/>
      <w:marTop w:val="0"/>
      <w:marBottom w:val="0"/>
      <w:divBdr>
        <w:top w:val="none" w:sz="0" w:space="0" w:color="auto"/>
        <w:left w:val="none" w:sz="0" w:space="0" w:color="auto"/>
        <w:bottom w:val="none" w:sz="0" w:space="0" w:color="auto"/>
        <w:right w:val="none" w:sz="0" w:space="0" w:color="auto"/>
      </w:divBdr>
      <w:divsChild>
        <w:div w:id="431584346">
          <w:marLeft w:val="0"/>
          <w:marRight w:val="0"/>
          <w:marTop w:val="0"/>
          <w:marBottom w:val="0"/>
          <w:divBdr>
            <w:top w:val="none" w:sz="0" w:space="0" w:color="auto"/>
            <w:left w:val="none" w:sz="0" w:space="0" w:color="auto"/>
            <w:bottom w:val="none" w:sz="0" w:space="0" w:color="auto"/>
            <w:right w:val="none" w:sz="0" w:space="0" w:color="auto"/>
          </w:divBdr>
          <w:divsChild>
            <w:div w:id="147088672">
              <w:marLeft w:val="0"/>
              <w:marRight w:val="0"/>
              <w:marTop w:val="0"/>
              <w:marBottom w:val="0"/>
              <w:divBdr>
                <w:top w:val="none" w:sz="0" w:space="0" w:color="auto"/>
                <w:left w:val="none" w:sz="0" w:space="0" w:color="auto"/>
                <w:bottom w:val="none" w:sz="0" w:space="0" w:color="auto"/>
                <w:right w:val="none" w:sz="0" w:space="0" w:color="auto"/>
              </w:divBdr>
            </w:div>
          </w:divsChild>
        </w:div>
        <w:div w:id="1779055826">
          <w:marLeft w:val="0"/>
          <w:marRight w:val="0"/>
          <w:marTop w:val="0"/>
          <w:marBottom w:val="0"/>
          <w:divBdr>
            <w:top w:val="none" w:sz="0" w:space="0" w:color="auto"/>
            <w:left w:val="none" w:sz="0" w:space="0" w:color="auto"/>
            <w:bottom w:val="none" w:sz="0" w:space="0" w:color="auto"/>
            <w:right w:val="none" w:sz="0" w:space="0" w:color="auto"/>
          </w:divBdr>
          <w:divsChild>
            <w:div w:id="685133545">
              <w:marLeft w:val="0"/>
              <w:marRight w:val="0"/>
              <w:marTop w:val="0"/>
              <w:marBottom w:val="0"/>
              <w:divBdr>
                <w:top w:val="none" w:sz="0" w:space="0" w:color="auto"/>
                <w:left w:val="none" w:sz="0" w:space="0" w:color="auto"/>
                <w:bottom w:val="none" w:sz="0" w:space="0" w:color="auto"/>
                <w:right w:val="none" w:sz="0" w:space="0" w:color="auto"/>
              </w:divBdr>
            </w:div>
          </w:divsChild>
        </w:div>
        <w:div w:id="654381634">
          <w:marLeft w:val="0"/>
          <w:marRight w:val="0"/>
          <w:marTop w:val="0"/>
          <w:marBottom w:val="0"/>
          <w:divBdr>
            <w:top w:val="none" w:sz="0" w:space="0" w:color="auto"/>
            <w:left w:val="none" w:sz="0" w:space="0" w:color="auto"/>
            <w:bottom w:val="none" w:sz="0" w:space="0" w:color="auto"/>
            <w:right w:val="none" w:sz="0" w:space="0" w:color="auto"/>
          </w:divBdr>
          <w:divsChild>
            <w:div w:id="1407654948">
              <w:marLeft w:val="0"/>
              <w:marRight w:val="0"/>
              <w:marTop w:val="0"/>
              <w:marBottom w:val="0"/>
              <w:divBdr>
                <w:top w:val="none" w:sz="0" w:space="0" w:color="auto"/>
                <w:left w:val="none" w:sz="0" w:space="0" w:color="auto"/>
                <w:bottom w:val="none" w:sz="0" w:space="0" w:color="auto"/>
                <w:right w:val="none" w:sz="0" w:space="0" w:color="auto"/>
              </w:divBdr>
            </w:div>
          </w:divsChild>
        </w:div>
        <w:div w:id="383523015">
          <w:marLeft w:val="0"/>
          <w:marRight w:val="0"/>
          <w:marTop w:val="0"/>
          <w:marBottom w:val="0"/>
          <w:divBdr>
            <w:top w:val="none" w:sz="0" w:space="0" w:color="auto"/>
            <w:left w:val="none" w:sz="0" w:space="0" w:color="auto"/>
            <w:bottom w:val="none" w:sz="0" w:space="0" w:color="auto"/>
            <w:right w:val="none" w:sz="0" w:space="0" w:color="auto"/>
          </w:divBdr>
          <w:divsChild>
            <w:div w:id="343749786">
              <w:marLeft w:val="0"/>
              <w:marRight w:val="0"/>
              <w:marTop w:val="0"/>
              <w:marBottom w:val="0"/>
              <w:divBdr>
                <w:top w:val="none" w:sz="0" w:space="0" w:color="auto"/>
                <w:left w:val="none" w:sz="0" w:space="0" w:color="auto"/>
                <w:bottom w:val="none" w:sz="0" w:space="0" w:color="auto"/>
                <w:right w:val="none" w:sz="0" w:space="0" w:color="auto"/>
              </w:divBdr>
            </w:div>
          </w:divsChild>
        </w:div>
        <w:div w:id="2054034658">
          <w:marLeft w:val="0"/>
          <w:marRight w:val="0"/>
          <w:marTop w:val="0"/>
          <w:marBottom w:val="0"/>
          <w:divBdr>
            <w:top w:val="none" w:sz="0" w:space="0" w:color="auto"/>
            <w:left w:val="none" w:sz="0" w:space="0" w:color="auto"/>
            <w:bottom w:val="none" w:sz="0" w:space="0" w:color="auto"/>
            <w:right w:val="none" w:sz="0" w:space="0" w:color="auto"/>
          </w:divBdr>
          <w:divsChild>
            <w:div w:id="1928230947">
              <w:marLeft w:val="0"/>
              <w:marRight w:val="0"/>
              <w:marTop w:val="0"/>
              <w:marBottom w:val="0"/>
              <w:divBdr>
                <w:top w:val="none" w:sz="0" w:space="0" w:color="auto"/>
                <w:left w:val="none" w:sz="0" w:space="0" w:color="auto"/>
                <w:bottom w:val="none" w:sz="0" w:space="0" w:color="auto"/>
                <w:right w:val="none" w:sz="0" w:space="0" w:color="auto"/>
              </w:divBdr>
            </w:div>
          </w:divsChild>
        </w:div>
        <w:div w:id="1274164416">
          <w:marLeft w:val="0"/>
          <w:marRight w:val="0"/>
          <w:marTop w:val="0"/>
          <w:marBottom w:val="0"/>
          <w:divBdr>
            <w:top w:val="none" w:sz="0" w:space="0" w:color="auto"/>
            <w:left w:val="none" w:sz="0" w:space="0" w:color="auto"/>
            <w:bottom w:val="none" w:sz="0" w:space="0" w:color="auto"/>
            <w:right w:val="none" w:sz="0" w:space="0" w:color="auto"/>
          </w:divBdr>
          <w:divsChild>
            <w:div w:id="1244340892">
              <w:marLeft w:val="0"/>
              <w:marRight w:val="0"/>
              <w:marTop w:val="0"/>
              <w:marBottom w:val="0"/>
              <w:divBdr>
                <w:top w:val="none" w:sz="0" w:space="0" w:color="auto"/>
                <w:left w:val="none" w:sz="0" w:space="0" w:color="auto"/>
                <w:bottom w:val="none" w:sz="0" w:space="0" w:color="auto"/>
                <w:right w:val="none" w:sz="0" w:space="0" w:color="auto"/>
              </w:divBdr>
            </w:div>
          </w:divsChild>
        </w:div>
        <w:div w:id="1703047567">
          <w:marLeft w:val="0"/>
          <w:marRight w:val="0"/>
          <w:marTop w:val="0"/>
          <w:marBottom w:val="0"/>
          <w:divBdr>
            <w:top w:val="none" w:sz="0" w:space="0" w:color="auto"/>
            <w:left w:val="none" w:sz="0" w:space="0" w:color="auto"/>
            <w:bottom w:val="none" w:sz="0" w:space="0" w:color="auto"/>
            <w:right w:val="none" w:sz="0" w:space="0" w:color="auto"/>
          </w:divBdr>
          <w:divsChild>
            <w:div w:id="4481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4029">
      <w:bodyDiv w:val="1"/>
      <w:marLeft w:val="0"/>
      <w:marRight w:val="0"/>
      <w:marTop w:val="0"/>
      <w:marBottom w:val="0"/>
      <w:divBdr>
        <w:top w:val="none" w:sz="0" w:space="0" w:color="auto"/>
        <w:left w:val="none" w:sz="0" w:space="0" w:color="auto"/>
        <w:bottom w:val="none" w:sz="0" w:space="0" w:color="auto"/>
        <w:right w:val="none" w:sz="0" w:space="0" w:color="auto"/>
      </w:divBdr>
    </w:div>
    <w:div w:id="1389841147">
      <w:bodyDiv w:val="1"/>
      <w:marLeft w:val="0"/>
      <w:marRight w:val="0"/>
      <w:marTop w:val="0"/>
      <w:marBottom w:val="0"/>
      <w:divBdr>
        <w:top w:val="none" w:sz="0" w:space="0" w:color="auto"/>
        <w:left w:val="none" w:sz="0" w:space="0" w:color="auto"/>
        <w:bottom w:val="none" w:sz="0" w:space="0" w:color="auto"/>
        <w:right w:val="none" w:sz="0" w:space="0" w:color="auto"/>
      </w:divBdr>
      <w:divsChild>
        <w:div w:id="1357001430">
          <w:marLeft w:val="0"/>
          <w:marRight w:val="0"/>
          <w:marTop w:val="0"/>
          <w:marBottom w:val="0"/>
          <w:divBdr>
            <w:top w:val="none" w:sz="0" w:space="0" w:color="auto"/>
            <w:left w:val="none" w:sz="0" w:space="0" w:color="auto"/>
            <w:bottom w:val="none" w:sz="0" w:space="0" w:color="auto"/>
            <w:right w:val="none" w:sz="0" w:space="0" w:color="auto"/>
          </w:divBdr>
          <w:divsChild>
            <w:div w:id="760757394">
              <w:marLeft w:val="0"/>
              <w:marRight w:val="0"/>
              <w:marTop w:val="0"/>
              <w:marBottom w:val="0"/>
              <w:divBdr>
                <w:top w:val="none" w:sz="0" w:space="0" w:color="auto"/>
                <w:left w:val="none" w:sz="0" w:space="0" w:color="auto"/>
                <w:bottom w:val="none" w:sz="0" w:space="0" w:color="auto"/>
                <w:right w:val="none" w:sz="0" w:space="0" w:color="auto"/>
              </w:divBdr>
              <w:divsChild>
                <w:div w:id="588470693">
                  <w:marLeft w:val="0"/>
                  <w:marRight w:val="0"/>
                  <w:marTop w:val="0"/>
                  <w:marBottom w:val="0"/>
                  <w:divBdr>
                    <w:top w:val="none" w:sz="0" w:space="0" w:color="auto"/>
                    <w:left w:val="none" w:sz="0" w:space="0" w:color="auto"/>
                    <w:bottom w:val="none" w:sz="0" w:space="0" w:color="auto"/>
                    <w:right w:val="none" w:sz="0" w:space="0" w:color="auto"/>
                  </w:divBdr>
                  <w:divsChild>
                    <w:div w:id="1638756658">
                      <w:marLeft w:val="0"/>
                      <w:marRight w:val="0"/>
                      <w:marTop w:val="0"/>
                      <w:marBottom w:val="0"/>
                      <w:divBdr>
                        <w:top w:val="none" w:sz="0" w:space="0" w:color="auto"/>
                        <w:left w:val="none" w:sz="0" w:space="0" w:color="auto"/>
                        <w:bottom w:val="none" w:sz="0" w:space="0" w:color="auto"/>
                        <w:right w:val="none" w:sz="0" w:space="0" w:color="auto"/>
                      </w:divBdr>
                      <w:divsChild>
                        <w:div w:id="1826780581">
                          <w:marLeft w:val="0"/>
                          <w:marRight w:val="0"/>
                          <w:marTop w:val="0"/>
                          <w:marBottom w:val="0"/>
                          <w:divBdr>
                            <w:top w:val="none" w:sz="0" w:space="0" w:color="auto"/>
                            <w:left w:val="none" w:sz="0" w:space="0" w:color="auto"/>
                            <w:bottom w:val="none" w:sz="0" w:space="0" w:color="auto"/>
                            <w:right w:val="none" w:sz="0" w:space="0" w:color="auto"/>
                          </w:divBdr>
                          <w:divsChild>
                            <w:div w:id="14387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719016">
      <w:bodyDiv w:val="1"/>
      <w:marLeft w:val="0"/>
      <w:marRight w:val="0"/>
      <w:marTop w:val="0"/>
      <w:marBottom w:val="0"/>
      <w:divBdr>
        <w:top w:val="none" w:sz="0" w:space="0" w:color="auto"/>
        <w:left w:val="none" w:sz="0" w:space="0" w:color="auto"/>
        <w:bottom w:val="none" w:sz="0" w:space="0" w:color="auto"/>
        <w:right w:val="none" w:sz="0" w:space="0" w:color="auto"/>
      </w:divBdr>
    </w:div>
    <w:div w:id="1753163853">
      <w:bodyDiv w:val="1"/>
      <w:marLeft w:val="0"/>
      <w:marRight w:val="0"/>
      <w:marTop w:val="0"/>
      <w:marBottom w:val="0"/>
      <w:divBdr>
        <w:top w:val="none" w:sz="0" w:space="0" w:color="auto"/>
        <w:left w:val="none" w:sz="0" w:space="0" w:color="auto"/>
        <w:bottom w:val="none" w:sz="0" w:space="0" w:color="auto"/>
        <w:right w:val="none" w:sz="0" w:space="0" w:color="auto"/>
      </w:divBdr>
    </w:div>
    <w:div w:id="1893925015">
      <w:bodyDiv w:val="1"/>
      <w:marLeft w:val="0"/>
      <w:marRight w:val="0"/>
      <w:marTop w:val="0"/>
      <w:marBottom w:val="0"/>
      <w:divBdr>
        <w:top w:val="none" w:sz="0" w:space="0" w:color="auto"/>
        <w:left w:val="none" w:sz="0" w:space="0" w:color="auto"/>
        <w:bottom w:val="none" w:sz="0" w:space="0" w:color="auto"/>
        <w:right w:val="none" w:sz="0" w:space="0" w:color="auto"/>
      </w:divBdr>
      <w:divsChild>
        <w:div w:id="2030373421">
          <w:marLeft w:val="0"/>
          <w:marRight w:val="0"/>
          <w:marTop w:val="0"/>
          <w:marBottom w:val="0"/>
          <w:divBdr>
            <w:top w:val="none" w:sz="0" w:space="0" w:color="auto"/>
            <w:left w:val="none" w:sz="0" w:space="0" w:color="auto"/>
            <w:bottom w:val="none" w:sz="0" w:space="0" w:color="auto"/>
            <w:right w:val="none" w:sz="0" w:space="0" w:color="auto"/>
          </w:divBdr>
          <w:divsChild>
            <w:div w:id="1799180450">
              <w:marLeft w:val="0"/>
              <w:marRight w:val="0"/>
              <w:marTop w:val="0"/>
              <w:marBottom w:val="0"/>
              <w:divBdr>
                <w:top w:val="none" w:sz="0" w:space="0" w:color="auto"/>
                <w:left w:val="none" w:sz="0" w:space="0" w:color="auto"/>
                <w:bottom w:val="none" w:sz="0" w:space="0" w:color="auto"/>
                <w:right w:val="none" w:sz="0" w:space="0" w:color="auto"/>
              </w:divBdr>
              <w:divsChild>
                <w:div w:id="2121415460">
                  <w:marLeft w:val="0"/>
                  <w:marRight w:val="0"/>
                  <w:marTop w:val="0"/>
                  <w:marBottom w:val="0"/>
                  <w:divBdr>
                    <w:top w:val="none" w:sz="0" w:space="0" w:color="auto"/>
                    <w:left w:val="none" w:sz="0" w:space="0" w:color="auto"/>
                    <w:bottom w:val="none" w:sz="0" w:space="0" w:color="auto"/>
                    <w:right w:val="none" w:sz="0" w:space="0" w:color="auto"/>
                  </w:divBdr>
                  <w:divsChild>
                    <w:div w:id="1124887159">
                      <w:marLeft w:val="0"/>
                      <w:marRight w:val="0"/>
                      <w:marTop w:val="0"/>
                      <w:marBottom w:val="0"/>
                      <w:divBdr>
                        <w:top w:val="none" w:sz="0" w:space="0" w:color="auto"/>
                        <w:left w:val="none" w:sz="0" w:space="0" w:color="auto"/>
                        <w:bottom w:val="none" w:sz="0" w:space="0" w:color="auto"/>
                        <w:right w:val="none" w:sz="0" w:space="0" w:color="auto"/>
                      </w:divBdr>
                      <w:divsChild>
                        <w:div w:id="1558541448">
                          <w:marLeft w:val="0"/>
                          <w:marRight w:val="0"/>
                          <w:marTop w:val="0"/>
                          <w:marBottom w:val="0"/>
                          <w:divBdr>
                            <w:top w:val="none" w:sz="0" w:space="0" w:color="auto"/>
                            <w:left w:val="none" w:sz="0" w:space="0" w:color="auto"/>
                            <w:bottom w:val="none" w:sz="0" w:space="0" w:color="auto"/>
                            <w:right w:val="none" w:sz="0" w:space="0" w:color="auto"/>
                          </w:divBdr>
                          <w:divsChild>
                            <w:div w:id="1761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33585">
      <w:bodyDiv w:val="1"/>
      <w:marLeft w:val="0"/>
      <w:marRight w:val="0"/>
      <w:marTop w:val="0"/>
      <w:marBottom w:val="0"/>
      <w:divBdr>
        <w:top w:val="none" w:sz="0" w:space="0" w:color="auto"/>
        <w:left w:val="none" w:sz="0" w:space="0" w:color="auto"/>
        <w:bottom w:val="none" w:sz="0" w:space="0" w:color="auto"/>
        <w:right w:val="none" w:sz="0" w:space="0" w:color="auto"/>
      </w:divBdr>
      <w:divsChild>
        <w:div w:id="2003119000">
          <w:marLeft w:val="0"/>
          <w:marRight w:val="0"/>
          <w:marTop w:val="0"/>
          <w:marBottom w:val="0"/>
          <w:divBdr>
            <w:top w:val="none" w:sz="0" w:space="0" w:color="auto"/>
            <w:left w:val="none" w:sz="0" w:space="0" w:color="auto"/>
            <w:bottom w:val="none" w:sz="0" w:space="0" w:color="auto"/>
            <w:right w:val="none" w:sz="0" w:space="0" w:color="auto"/>
          </w:divBdr>
          <w:divsChild>
            <w:div w:id="1007637239">
              <w:marLeft w:val="0"/>
              <w:marRight w:val="0"/>
              <w:marTop w:val="0"/>
              <w:marBottom w:val="0"/>
              <w:divBdr>
                <w:top w:val="none" w:sz="0" w:space="0" w:color="auto"/>
                <w:left w:val="none" w:sz="0" w:space="0" w:color="auto"/>
                <w:bottom w:val="none" w:sz="0" w:space="0" w:color="auto"/>
                <w:right w:val="none" w:sz="0" w:space="0" w:color="auto"/>
              </w:divBdr>
              <w:divsChild>
                <w:div w:id="857163756">
                  <w:marLeft w:val="0"/>
                  <w:marRight w:val="0"/>
                  <w:marTop w:val="0"/>
                  <w:marBottom w:val="0"/>
                  <w:divBdr>
                    <w:top w:val="none" w:sz="0" w:space="0" w:color="auto"/>
                    <w:left w:val="none" w:sz="0" w:space="0" w:color="auto"/>
                    <w:bottom w:val="none" w:sz="0" w:space="0" w:color="auto"/>
                    <w:right w:val="none" w:sz="0" w:space="0" w:color="auto"/>
                  </w:divBdr>
                  <w:divsChild>
                    <w:div w:id="1829899346">
                      <w:marLeft w:val="0"/>
                      <w:marRight w:val="0"/>
                      <w:marTop w:val="0"/>
                      <w:marBottom w:val="0"/>
                      <w:divBdr>
                        <w:top w:val="none" w:sz="0" w:space="0" w:color="auto"/>
                        <w:left w:val="none" w:sz="0" w:space="0" w:color="auto"/>
                        <w:bottom w:val="none" w:sz="0" w:space="0" w:color="auto"/>
                        <w:right w:val="none" w:sz="0" w:space="0" w:color="auto"/>
                      </w:divBdr>
                      <w:divsChild>
                        <w:div w:id="1725062153">
                          <w:marLeft w:val="0"/>
                          <w:marRight w:val="0"/>
                          <w:marTop w:val="0"/>
                          <w:marBottom w:val="0"/>
                          <w:divBdr>
                            <w:top w:val="none" w:sz="0" w:space="0" w:color="auto"/>
                            <w:left w:val="none" w:sz="0" w:space="0" w:color="auto"/>
                            <w:bottom w:val="none" w:sz="0" w:space="0" w:color="auto"/>
                            <w:right w:val="none" w:sz="0" w:space="0" w:color="auto"/>
                          </w:divBdr>
                          <w:divsChild>
                            <w:div w:id="8308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msbc.v2i2.1258" TargetMode="External"/><Relationship Id="rId18" Type="http://schemas.openxmlformats.org/officeDocument/2006/relationships/hyperlink" Target="https://doi.org/10.56557/japsi/2025/v17i210026" TargetMode="External"/><Relationship Id="rId26" Type="http://schemas.openxmlformats.org/officeDocument/2006/relationships/hyperlink" Target="https://doi.org/10.69739/jaaas.v2i2.882" TargetMode="External"/><Relationship Id="rId39" Type="http://schemas.openxmlformats.org/officeDocument/2006/relationships/footer" Target="footer3.xml"/><Relationship Id="rId21" Type="http://schemas.openxmlformats.org/officeDocument/2006/relationships/hyperlink" Target="https://doi.org/10.5281/zenodo.16921896" TargetMode="External"/><Relationship Id="rId34" Type="http://schemas.openxmlformats.org/officeDocument/2006/relationships/header" Target="header1.xml"/><Relationship Id="rId7" Type="http://schemas.openxmlformats.org/officeDocument/2006/relationships/hyperlink" Target="https://doi.org/10.9734/ajee/2025/v24i11822" TargetMode="External"/><Relationship Id="rId2" Type="http://schemas.openxmlformats.org/officeDocument/2006/relationships/styles" Target="styles.xml"/><Relationship Id="rId16" Type="http://schemas.openxmlformats.org/officeDocument/2006/relationships/hyperlink" Target="https://doi.org/10.9734/ajriz/2025/v8i4233" TargetMode="External"/><Relationship Id="rId20" Type="http://schemas.openxmlformats.org/officeDocument/2006/relationships/hyperlink" Target="https://www.ijmsrt.com/environmental-assessment-of-heavy-metals-and-hydrocarbon-pollution-in-surface-waters-of-oil-bearing-communities-in-andoni-rivers-state-nigeria" TargetMode="External"/><Relationship Id="rId29" Type="http://schemas.openxmlformats.org/officeDocument/2006/relationships/hyperlink" Target="https://doi.org/10.9734/ajoger/2025/v8i322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ece.v2i2.952" TargetMode="External"/><Relationship Id="rId24" Type="http://schemas.openxmlformats.org/officeDocument/2006/relationships/hyperlink" Target="https://doi.org/10.69739/jece.v2i2.844" TargetMode="External"/><Relationship Id="rId32" Type="http://schemas.openxmlformats.org/officeDocument/2006/relationships/hyperlink" Target="https://doi.org/10.9734/ajgr/2025/v8i433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ajgr/2025/v8i4341" TargetMode="External"/><Relationship Id="rId23" Type="http://schemas.openxmlformats.org/officeDocument/2006/relationships/hyperlink" Target="https://doi.org/10.69739/jece.v2i2.961" TargetMode="External"/><Relationship Id="rId28" Type="http://schemas.openxmlformats.org/officeDocument/2006/relationships/hyperlink" Target="https://doi.org/10.9734/ajopacs/2025/v13i4271" TargetMode="External"/><Relationship Id="rId36" Type="http://schemas.openxmlformats.org/officeDocument/2006/relationships/footer" Target="footer1.xml"/><Relationship Id="rId10" Type="http://schemas.openxmlformats.org/officeDocument/2006/relationships/hyperlink" Target="https://doi.org/10.5281/zenodo.17148360" TargetMode="External"/><Relationship Id="rId19" Type="http://schemas.openxmlformats.org/officeDocument/2006/relationships/hyperlink" Target="https://doi.org/10.69739/jlsph.v1i1.879" TargetMode="External"/><Relationship Id="rId31" Type="http://schemas.openxmlformats.org/officeDocument/2006/relationships/hyperlink" Target="https://doi.org/10.9734/ajahr/2025/v12i4427" TargetMode="External"/><Relationship Id="rId4" Type="http://schemas.openxmlformats.org/officeDocument/2006/relationships/webSettings" Target="webSettings.xml"/><Relationship Id="rId9" Type="http://schemas.openxmlformats.org/officeDocument/2006/relationships/hyperlink" Target="https://doi.org/10.9734/ajocs/2025/v15i6406" TargetMode="External"/><Relationship Id="rId14" Type="http://schemas.openxmlformats.org/officeDocument/2006/relationships/hyperlink" Target="https://doi.org/10.69739/jmsbc.v2i2.1045" TargetMode="External"/><Relationship Id="rId22" Type="http://schemas.openxmlformats.org/officeDocument/2006/relationships/hyperlink" Target="https://doi.org/10.69739/jlsph.v1i1.962" TargetMode="External"/><Relationship Id="rId27" Type="http://schemas.openxmlformats.org/officeDocument/2006/relationships/hyperlink" Target="https://doi.org/10.5281/zenodo.16778873" TargetMode="External"/><Relationship Id="rId30" Type="http://schemas.openxmlformats.org/officeDocument/2006/relationships/hyperlink" Target="https://doi.org/10.69739/jsrd.v1i2.1044" TargetMode="External"/><Relationship Id="rId35" Type="http://schemas.openxmlformats.org/officeDocument/2006/relationships/header" Target="header2.xml"/><Relationship Id="rId8" Type="http://schemas.openxmlformats.org/officeDocument/2006/relationships/hyperlink" Target="https://doi.org/10.9734/AJEE/2023/v21i4469" TargetMode="External"/><Relationship Id="rId3" Type="http://schemas.openxmlformats.org/officeDocument/2006/relationships/settings" Target="settings.xml"/><Relationship Id="rId12" Type="http://schemas.openxmlformats.org/officeDocument/2006/relationships/hyperlink" Target="https://doi.org/10.69739/jsrd.v1i2.1033" TargetMode="External"/><Relationship Id="rId17" Type="http://schemas.openxmlformats.org/officeDocument/2006/relationships/hyperlink" Target="https://doi.org/10.69739/jece.v2i2.1078" TargetMode="External"/><Relationship Id="rId25" Type="http://schemas.openxmlformats.org/officeDocument/2006/relationships/hyperlink" Target="https://doi.org/10.9734/ajocs/2025/v15i6402" TargetMode="External"/><Relationship Id="rId33" Type="http://schemas.openxmlformats.org/officeDocument/2006/relationships/hyperlink" Target="https://doi.org/10.9734/ajahr/2025/v12i4424"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5869</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29</cp:revision>
  <dcterms:created xsi:type="dcterms:W3CDTF">2025-12-29T18:00:00Z</dcterms:created>
  <dcterms:modified xsi:type="dcterms:W3CDTF">2025-12-30T10:37:00Z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d204a3a2-247a-4c7b-b30c-e99e56f50ab2</vt:lpwstr>
  </property>
</Properties>
</file>