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32584" w14:textId="77777777" w:rsidR="008C652B" w:rsidRDefault="00C7335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QUALITY EVALUATION OF CAKES FROM WHEAT, ACHA AND COCONUT RESIDUE FLOUR BLENDS</w:t>
      </w:r>
    </w:p>
    <w:p w14:paraId="1B533083" w14:textId="615ADA0F" w:rsidR="008C652B" w:rsidRDefault="008C652B">
      <w:pPr>
        <w:spacing w:line="240" w:lineRule="auto"/>
        <w:jc w:val="both"/>
        <w:rPr>
          <w:rFonts w:ascii="Times New Roman" w:hAnsi="Times New Roman" w:cs="Times New Roman"/>
          <w:b/>
          <w:bCs/>
          <w:sz w:val="24"/>
          <w:szCs w:val="24"/>
        </w:rPr>
      </w:pPr>
    </w:p>
    <w:p w14:paraId="756C6882" w14:textId="77777777" w:rsidR="000F7C33" w:rsidRDefault="000F7C33">
      <w:pPr>
        <w:spacing w:line="240" w:lineRule="auto"/>
        <w:jc w:val="both"/>
        <w:rPr>
          <w:rFonts w:ascii="Times New Roman" w:hAnsi="Times New Roman" w:cs="Times New Roman"/>
          <w:b/>
          <w:bCs/>
          <w:sz w:val="24"/>
          <w:szCs w:val="24"/>
        </w:rPr>
      </w:pPr>
    </w:p>
    <w:p w14:paraId="795080A8" w14:textId="77777777" w:rsidR="00543E49" w:rsidRDefault="00C73355">
      <w:pPr>
        <w:pStyle w:val="Heading1"/>
        <w:spacing w:after="0"/>
        <w:jc w:val="center"/>
        <w:rPr>
          <w:rFonts w:cs="Times New Roman"/>
          <w:b w:val="0"/>
          <w:color w:val="auto"/>
          <w:szCs w:val="24"/>
        </w:rPr>
      </w:pPr>
      <w:r>
        <w:rPr>
          <w:rStyle w:val="Strong"/>
          <w:rFonts w:cs="Times New Roman"/>
          <w:b/>
          <w:color w:val="auto"/>
          <w:szCs w:val="24"/>
        </w:rPr>
        <w:t>ABSTRACT</w:t>
      </w:r>
    </w:p>
    <w:p w14:paraId="2064A332" w14:textId="77777777" w:rsidR="00543E49" w:rsidRDefault="00C73355">
      <w:pPr>
        <w:pStyle w:val="NormalWeb"/>
        <w:spacing w:before="0" w:beforeAutospacing="0"/>
        <w:jc w:val="both"/>
      </w:pPr>
      <w:r>
        <w:t>This study evaluated the functional, proximate, physical, and sensory properties of cakes p</w:t>
      </w:r>
      <w:r>
        <w:t>roduced from wheat, “</w:t>
      </w:r>
      <w:proofErr w:type="spellStart"/>
      <w:r>
        <w:t>acha</w:t>
      </w:r>
      <w:proofErr w:type="spellEnd"/>
      <w:r>
        <w:t>” (</w:t>
      </w:r>
      <w:proofErr w:type="spellStart"/>
      <w:r>
        <w:rPr>
          <w:i/>
        </w:rPr>
        <w:t>Digitaria</w:t>
      </w:r>
      <w:proofErr w:type="spellEnd"/>
      <w:r>
        <w:rPr>
          <w:i/>
        </w:rPr>
        <w:t xml:space="preserve"> </w:t>
      </w:r>
      <w:proofErr w:type="spellStart"/>
      <w:r>
        <w:rPr>
          <w:i/>
        </w:rPr>
        <w:t>exilis</w:t>
      </w:r>
      <w:proofErr w:type="spellEnd"/>
      <w:r>
        <w:t>), and coconut residue flour blends. Four formulations were prepared: 100% wheat (control), 80:15:5, 75:20:5, and 70:25:5 (wheat–</w:t>
      </w:r>
      <w:proofErr w:type="spellStart"/>
      <w:r>
        <w:t>acha</w:t>
      </w:r>
      <w:proofErr w:type="spellEnd"/>
      <w:r>
        <w:t>–coconut residue). The produced cake samples were subjected to functional, prox</w:t>
      </w:r>
      <w:r>
        <w:t>imate, physical and sensory analysis using standard procedure. Functional properties revealed that incorporation of “</w:t>
      </w:r>
      <w:proofErr w:type="spellStart"/>
      <w:r>
        <w:t>acha</w:t>
      </w:r>
      <w:proofErr w:type="spellEnd"/>
      <w:r>
        <w:t>” and coconut residue significantly (p&lt;0.05) enhanced water and oil absorption capacities. Proximate composition showed notable variati</w:t>
      </w:r>
      <w:r>
        <w:t xml:space="preserve">ons across samples, with protein content ranging from 8.44% in the control to 11.60% in the 70:25:5 blend, fat from 16.90% to 27.00%, crude fibre from 0.93% to 3.09%, and ash from 1.65% to 1.94%, while carbohydrate content decreased from 58.24% to 41.61%. </w:t>
      </w:r>
      <w:r>
        <w:t>Physical properties indicated a reduction in weight (81.10–51.10 g) and volume (102.70–78.60 cm³) in composite cakes relative to the control, whereas specific volume improved in blends containing 15–25% “</w:t>
      </w:r>
      <w:proofErr w:type="spellStart"/>
      <w:r>
        <w:t>acha</w:t>
      </w:r>
      <w:proofErr w:type="spellEnd"/>
      <w:r>
        <w:t>” and 5% coconut residue (1.53–1.55 cm³/g). Sens</w:t>
      </w:r>
      <w:r>
        <w:t>ory evaluation showed that the control was most preferred, but cakes with up to 25% “</w:t>
      </w:r>
      <w:proofErr w:type="spellStart"/>
      <w:r>
        <w:t>acha</w:t>
      </w:r>
      <w:proofErr w:type="spellEnd"/>
      <w:r>
        <w:t>” and 5% coconut residue (sample D) maintained high acceptability scores, particularly for taste (8.70) and overall acceptability (8.65). The findings demonstrated tha</w:t>
      </w:r>
      <w:r>
        <w:t>t partial substitution of wheat with “</w:t>
      </w:r>
      <w:proofErr w:type="spellStart"/>
      <w:r>
        <w:t>acha</w:t>
      </w:r>
      <w:proofErr w:type="spellEnd"/>
      <w:r>
        <w:t>” and coconut residue flour improved nutritional quality while maintaining satisfactory sensory and physical attributes. The blend of 70% wheat, 25% “</w:t>
      </w:r>
      <w:proofErr w:type="spellStart"/>
      <w:r>
        <w:t>acha</w:t>
      </w:r>
      <w:proofErr w:type="spellEnd"/>
      <w:r>
        <w:t>”, and 5% coconut residue is recommended for producing nutri</w:t>
      </w:r>
      <w:r>
        <w:t>tionally enhanced and consumer-acceptable cakes.</w:t>
      </w:r>
    </w:p>
    <w:p w14:paraId="4FD579DF"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 xml:space="preserve">Key words: </w:t>
      </w:r>
      <w:r>
        <w:rPr>
          <w:rFonts w:ascii="Times New Roman" w:hAnsi="Times New Roman" w:cs="Times New Roman"/>
        </w:rPr>
        <w:t xml:space="preserve">Wheat, </w:t>
      </w:r>
      <w:proofErr w:type="spellStart"/>
      <w:r>
        <w:rPr>
          <w:rFonts w:ascii="Times New Roman" w:hAnsi="Times New Roman" w:cs="Times New Roman"/>
        </w:rPr>
        <w:t>Acha</w:t>
      </w:r>
      <w:proofErr w:type="spellEnd"/>
      <w:r>
        <w:rPr>
          <w:rFonts w:ascii="Times New Roman" w:hAnsi="Times New Roman" w:cs="Times New Roman"/>
        </w:rPr>
        <w:t>, Coconut residue, Functional, Proximate, Cupcakes</w:t>
      </w:r>
    </w:p>
    <w:p w14:paraId="4BB14F81" w14:textId="77777777" w:rsidR="00543E49" w:rsidRDefault="00C73355">
      <w:pPr>
        <w:spacing w:line="480" w:lineRule="auto"/>
        <w:jc w:val="both"/>
        <w:rPr>
          <w:rFonts w:ascii="Times New Roman" w:hAnsi="Times New Roman" w:cs="Times New Roman"/>
          <w:b/>
          <w:bCs/>
        </w:rPr>
      </w:pPr>
      <w:r>
        <w:rPr>
          <w:rFonts w:ascii="Times New Roman" w:hAnsi="Times New Roman" w:cs="Times New Roman"/>
          <w:b/>
          <w:bCs/>
        </w:rPr>
        <w:t>1.0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INTRODUCTION</w:t>
      </w:r>
    </w:p>
    <w:p w14:paraId="6C43EC7D" w14:textId="77777777" w:rsidR="00543E49" w:rsidRDefault="00C73355">
      <w:pPr>
        <w:pStyle w:val="NormalWeb"/>
        <w:spacing w:before="0" w:beforeAutospacing="0"/>
        <w:jc w:val="both"/>
      </w:pPr>
      <w:r>
        <w:t>Conventionally, cakes are prepared from wheat flour due to its desirable functional properties, especially the pr</w:t>
      </w:r>
      <w:r>
        <w:t xml:space="preserve">esence of gluten which contributes to the structure and elasticity of baked goods (Adeyeye </w:t>
      </w:r>
      <w:r>
        <w:rPr>
          <w:i/>
          <w:iCs/>
        </w:rPr>
        <w:t>et al</w:t>
      </w:r>
      <w:r>
        <w:t>., 2021). However, the growing dependence on imported wheat in developing countries such as Nigeria presents economic challenges, including high foreign exchang</w:t>
      </w:r>
      <w:r>
        <w:t>e demand and food insecurity. Consequently, there is increasing interest in the use of composite flours, derived from blends of wheat with locally available, underutilized or agro-industrial by-products, to reduce over-reliance on wheat and promote the uti</w:t>
      </w:r>
      <w:r>
        <w:t xml:space="preserve">lization of indigenous crops (Olagunju </w:t>
      </w:r>
      <w:r>
        <w:rPr>
          <w:i/>
          <w:iCs/>
        </w:rPr>
        <w:t>et al</w:t>
      </w:r>
      <w:r>
        <w:t>., 2023).</w:t>
      </w:r>
    </w:p>
    <w:p w14:paraId="04D47572" w14:textId="77777777" w:rsidR="00543E49" w:rsidRDefault="00C73355">
      <w:pPr>
        <w:spacing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Acha</w:t>
      </w:r>
      <w:proofErr w:type="spellEnd"/>
      <w:r>
        <w:rPr>
          <w:rFonts w:ascii="Times New Roman" w:hAnsi="Times New Roman" w:cs="Times New Roman"/>
        </w:rPr>
        <w:t>” (</w:t>
      </w:r>
      <w:proofErr w:type="spellStart"/>
      <w:r>
        <w:rPr>
          <w:rFonts w:ascii="Times New Roman" w:hAnsi="Times New Roman" w:cs="Times New Roman"/>
          <w:i/>
          <w:iCs/>
        </w:rPr>
        <w:t>Digitaria</w:t>
      </w:r>
      <w:proofErr w:type="spellEnd"/>
      <w:r>
        <w:rPr>
          <w:rFonts w:ascii="Times New Roman" w:hAnsi="Times New Roman" w:cs="Times New Roman"/>
          <w:i/>
          <w:iCs/>
        </w:rPr>
        <w:t xml:space="preserve"> </w:t>
      </w:r>
      <w:proofErr w:type="spellStart"/>
      <w:r>
        <w:rPr>
          <w:rFonts w:ascii="Times New Roman" w:hAnsi="Times New Roman" w:cs="Times New Roman"/>
          <w:i/>
          <w:iCs/>
        </w:rPr>
        <w:t>exilis</w:t>
      </w:r>
      <w:proofErr w:type="spellEnd"/>
      <w:r>
        <w:rPr>
          <w:rFonts w:ascii="Times New Roman" w:hAnsi="Times New Roman" w:cs="Times New Roman"/>
        </w:rPr>
        <w:t xml:space="preserve">), also known as </w:t>
      </w:r>
      <w:proofErr w:type="spellStart"/>
      <w:r>
        <w:rPr>
          <w:rFonts w:ascii="Times New Roman" w:hAnsi="Times New Roman" w:cs="Times New Roman"/>
        </w:rPr>
        <w:t>fonio</w:t>
      </w:r>
      <w:proofErr w:type="spellEnd"/>
      <w:r>
        <w:rPr>
          <w:rFonts w:ascii="Times New Roman" w:hAnsi="Times New Roman" w:cs="Times New Roman"/>
        </w:rPr>
        <w:t xml:space="preserve">, is a highly nutritious and underutilized cereal indigenous to West Africa. It is rich in essential amino acids such as methionine and cysteine, which are deficient in most cereals, and also contains appreciable amounts of iron, calcium, and dietary </w:t>
      </w:r>
      <w:proofErr w:type="spellStart"/>
      <w:r>
        <w:rPr>
          <w:rFonts w:ascii="Times New Roman" w:hAnsi="Times New Roman" w:cs="Times New Roman"/>
        </w:rPr>
        <w:t>fibre</w:t>
      </w:r>
      <w:proofErr w:type="spellEnd"/>
      <w:r>
        <w:rPr>
          <w:rFonts w:ascii="Times New Roman" w:hAnsi="Times New Roman" w:cs="Times New Roman"/>
        </w:rPr>
        <w:t xml:space="preserve"> (</w:t>
      </w:r>
      <w:proofErr w:type="spellStart"/>
      <w:r>
        <w:rPr>
          <w:rFonts w:ascii="Times New Roman" w:hAnsi="Times New Roman" w:cs="Times New Roman"/>
        </w:rPr>
        <w:t>Adedayo</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2022). “</w:t>
      </w:r>
      <w:proofErr w:type="spellStart"/>
      <w:r>
        <w:rPr>
          <w:rFonts w:ascii="Times New Roman" w:hAnsi="Times New Roman" w:cs="Times New Roman"/>
        </w:rPr>
        <w:t>Acha</w:t>
      </w:r>
      <w:proofErr w:type="spellEnd"/>
      <w:r>
        <w:rPr>
          <w:rFonts w:ascii="Times New Roman" w:hAnsi="Times New Roman" w:cs="Times New Roman"/>
        </w:rPr>
        <w:t>” has a low glycemic index, making it suitable for diabetic and health-conscious individuals, and has gained attention in functional food development due to its antioxidant potential and gluten-free nature (</w:t>
      </w:r>
      <w:proofErr w:type="spellStart"/>
      <w:r>
        <w:rPr>
          <w:rFonts w:ascii="Times New Roman" w:hAnsi="Times New Roman" w:cs="Times New Roman"/>
        </w:rPr>
        <w:t>Bamiduro</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w:t>
      </w:r>
      <w:r>
        <w:rPr>
          <w:rFonts w:ascii="Times New Roman" w:hAnsi="Times New Roman" w:cs="Times New Roman"/>
        </w:rPr>
        <w:t xml:space="preserve">21). Blending </w:t>
      </w:r>
      <w:proofErr w:type="spellStart"/>
      <w:r>
        <w:rPr>
          <w:rFonts w:ascii="Times New Roman" w:hAnsi="Times New Roman" w:cs="Times New Roman"/>
        </w:rPr>
        <w:t>acha</w:t>
      </w:r>
      <w:proofErr w:type="spellEnd"/>
      <w:r>
        <w:rPr>
          <w:rFonts w:ascii="Times New Roman" w:hAnsi="Times New Roman" w:cs="Times New Roman"/>
        </w:rPr>
        <w:t xml:space="preserve"> with wheat flour in cake production can improve the nutritional profile of the product while supporting local agriculture and biodiversity conservation.</w:t>
      </w:r>
    </w:p>
    <w:p w14:paraId="65AA379B" w14:textId="77777777" w:rsidR="00543E49" w:rsidRDefault="00C73355">
      <w:pPr>
        <w:spacing w:line="240" w:lineRule="auto"/>
        <w:jc w:val="both"/>
        <w:rPr>
          <w:rFonts w:ascii="Times New Roman" w:hAnsi="Times New Roman" w:cs="Times New Roman"/>
        </w:rPr>
      </w:pPr>
      <w:r>
        <w:rPr>
          <w:rFonts w:ascii="Times New Roman" w:hAnsi="Times New Roman" w:cs="Times New Roman"/>
        </w:rPr>
        <w:t>Coconut residue flour, a by-product obtained after extracting coconut milk or oil, i</w:t>
      </w:r>
      <w:r>
        <w:rPr>
          <w:rFonts w:ascii="Times New Roman" w:hAnsi="Times New Roman" w:cs="Times New Roman"/>
        </w:rPr>
        <w:t xml:space="preserve">s another promising ingredient in composite flour technology. It is high in dietary </w:t>
      </w:r>
      <w:proofErr w:type="spellStart"/>
      <w:r>
        <w:rPr>
          <w:rFonts w:ascii="Times New Roman" w:hAnsi="Times New Roman" w:cs="Times New Roman"/>
        </w:rPr>
        <w:t>fibre</w:t>
      </w:r>
      <w:proofErr w:type="spellEnd"/>
      <w:r>
        <w:rPr>
          <w:rFonts w:ascii="Times New Roman" w:hAnsi="Times New Roman" w:cs="Times New Roman"/>
        </w:rPr>
        <w:t xml:space="preserve">, particularly insoluble </w:t>
      </w:r>
      <w:proofErr w:type="spellStart"/>
      <w:r>
        <w:rPr>
          <w:rFonts w:ascii="Times New Roman" w:hAnsi="Times New Roman" w:cs="Times New Roman"/>
        </w:rPr>
        <w:t>fibre</w:t>
      </w:r>
      <w:proofErr w:type="spellEnd"/>
      <w:r>
        <w:rPr>
          <w:rFonts w:ascii="Times New Roman" w:hAnsi="Times New Roman" w:cs="Times New Roman"/>
        </w:rPr>
        <w:t xml:space="preserve">, and contains beneficial phytochemicals such as phenolics and antioxidants (Oladeji </w:t>
      </w:r>
      <w:r>
        <w:rPr>
          <w:rFonts w:ascii="Times New Roman" w:hAnsi="Times New Roman" w:cs="Times New Roman"/>
          <w:i/>
          <w:iCs/>
        </w:rPr>
        <w:t>et al</w:t>
      </w:r>
      <w:r>
        <w:rPr>
          <w:rFonts w:ascii="Times New Roman" w:hAnsi="Times New Roman" w:cs="Times New Roman"/>
        </w:rPr>
        <w:t xml:space="preserve">., 2021). Incorporation </w:t>
      </w:r>
      <w:r>
        <w:rPr>
          <w:rFonts w:ascii="Times New Roman" w:hAnsi="Times New Roman" w:cs="Times New Roman"/>
        </w:rPr>
        <w:lastRenderedPageBreak/>
        <w:t>of coconut residue flou</w:t>
      </w:r>
      <w:r>
        <w:rPr>
          <w:rFonts w:ascii="Times New Roman" w:hAnsi="Times New Roman" w:cs="Times New Roman"/>
        </w:rPr>
        <w:t xml:space="preserve">r in baked products has been shown to enhance water absorption capacity and impart health benefits such as improved gut health and reduced risk of cardiovascular diseases (Adeoti </w:t>
      </w:r>
      <w:r>
        <w:rPr>
          <w:rFonts w:ascii="Times New Roman" w:hAnsi="Times New Roman" w:cs="Times New Roman"/>
          <w:i/>
          <w:iCs/>
        </w:rPr>
        <w:t>et al</w:t>
      </w:r>
      <w:r>
        <w:rPr>
          <w:rFonts w:ascii="Times New Roman" w:hAnsi="Times New Roman" w:cs="Times New Roman"/>
        </w:rPr>
        <w:t>., 2023). Moreover, utilizing coconut residue as a food ingredient align</w:t>
      </w:r>
      <w:r>
        <w:rPr>
          <w:rFonts w:ascii="Times New Roman" w:hAnsi="Times New Roman" w:cs="Times New Roman"/>
        </w:rPr>
        <w:t>s with current trends in sustainable food processing by promoting waste reduction and resource optimization.</w:t>
      </w:r>
    </w:p>
    <w:p w14:paraId="4E24210E" w14:textId="77777777" w:rsidR="00543E49" w:rsidRDefault="00C73355">
      <w:pPr>
        <w:spacing w:line="240" w:lineRule="auto"/>
        <w:jc w:val="both"/>
        <w:rPr>
          <w:rFonts w:ascii="Times New Roman" w:hAnsi="Times New Roman" w:cs="Times New Roman"/>
        </w:rPr>
      </w:pPr>
      <w:r>
        <w:rPr>
          <w:rFonts w:ascii="Times New Roman" w:hAnsi="Times New Roman" w:cs="Times New Roman"/>
        </w:rPr>
        <w:t xml:space="preserve">The combination of wheat, </w:t>
      </w:r>
      <w:proofErr w:type="spellStart"/>
      <w:r>
        <w:rPr>
          <w:rFonts w:ascii="Times New Roman" w:hAnsi="Times New Roman" w:cs="Times New Roman"/>
        </w:rPr>
        <w:t>acha</w:t>
      </w:r>
      <w:proofErr w:type="spellEnd"/>
      <w:r>
        <w:rPr>
          <w:rFonts w:ascii="Times New Roman" w:hAnsi="Times New Roman" w:cs="Times New Roman"/>
        </w:rPr>
        <w:t xml:space="preserve">, and coconut residue flours in cake formulation presents a novel approach to improving the nutritional, functional, </w:t>
      </w:r>
      <w:r>
        <w:rPr>
          <w:rFonts w:ascii="Times New Roman" w:hAnsi="Times New Roman" w:cs="Times New Roman"/>
        </w:rPr>
        <w:t>and sensory qualities of cakes. Previous studies have indicated that cakes made from composite flours can retain acceptable sensory attributes when substitution levels are carefully optimized (</w:t>
      </w:r>
      <w:proofErr w:type="spellStart"/>
      <w:r>
        <w:rPr>
          <w:rFonts w:ascii="Times New Roman" w:hAnsi="Times New Roman" w:cs="Times New Roman"/>
        </w:rPr>
        <w:t>Ezeama</w:t>
      </w:r>
      <w:proofErr w:type="spellEnd"/>
      <w:r>
        <w:rPr>
          <w:rFonts w:ascii="Times New Roman" w:hAnsi="Times New Roman" w:cs="Times New Roman"/>
        </w:rPr>
        <w:t xml:space="preserve"> and </w:t>
      </w:r>
      <w:proofErr w:type="spellStart"/>
      <w:r>
        <w:rPr>
          <w:rFonts w:ascii="Times New Roman" w:hAnsi="Times New Roman" w:cs="Times New Roman"/>
        </w:rPr>
        <w:t>Uzochukwu</w:t>
      </w:r>
      <w:proofErr w:type="spellEnd"/>
      <w:r>
        <w:rPr>
          <w:rFonts w:ascii="Times New Roman" w:hAnsi="Times New Roman" w:cs="Times New Roman"/>
        </w:rPr>
        <w:t>, 2020). Furthermore, functional properties</w:t>
      </w:r>
      <w:r>
        <w:rPr>
          <w:rFonts w:ascii="Times New Roman" w:hAnsi="Times New Roman" w:cs="Times New Roman"/>
        </w:rPr>
        <w:t xml:space="preserve"> such as bulk density, oil absorption, and emulsifying capacity are crucial in determining the final quality of baked products and are influenced by the type and proportion of flour components used. The broad objective of this study was to evaluate the qua</w:t>
      </w:r>
      <w:r>
        <w:rPr>
          <w:rFonts w:ascii="Times New Roman" w:hAnsi="Times New Roman" w:cs="Times New Roman"/>
        </w:rPr>
        <w:t xml:space="preserve">lity of cakes from wheat, </w:t>
      </w:r>
      <w:proofErr w:type="spellStart"/>
      <w:r>
        <w:rPr>
          <w:rFonts w:ascii="Times New Roman" w:hAnsi="Times New Roman" w:cs="Times New Roman"/>
        </w:rPr>
        <w:t>acha</w:t>
      </w:r>
      <w:proofErr w:type="spellEnd"/>
      <w:r>
        <w:rPr>
          <w:rFonts w:ascii="Times New Roman" w:hAnsi="Times New Roman" w:cs="Times New Roman"/>
        </w:rPr>
        <w:t xml:space="preserve"> and coconut residue flour blends. </w:t>
      </w:r>
    </w:p>
    <w:p w14:paraId="5B14F791" w14:textId="77777777" w:rsidR="00543E49" w:rsidRDefault="00C73355">
      <w:pPr>
        <w:spacing w:line="240" w:lineRule="auto"/>
        <w:jc w:val="both"/>
        <w:rPr>
          <w:rFonts w:ascii="Times New Roman" w:hAnsi="Times New Roman" w:cs="Times New Roman"/>
          <w:b/>
        </w:rPr>
      </w:pPr>
      <w:r>
        <w:rPr>
          <w:rFonts w:ascii="Times New Roman" w:hAnsi="Times New Roman" w:cs="Times New Roman"/>
          <w:b/>
        </w:rPr>
        <w:t>2.0        Materials and Methods</w:t>
      </w:r>
    </w:p>
    <w:p w14:paraId="4E6A5B94" w14:textId="77777777" w:rsidR="00543E49" w:rsidRDefault="00C73355">
      <w:pPr>
        <w:pStyle w:val="Heading1"/>
        <w:spacing w:before="0" w:line="240" w:lineRule="auto"/>
        <w:rPr>
          <w:rFonts w:cs="Times New Roman"/>
          <w:color w:val="auto"/>
          <w:szCs w:val="24"/>
        </w:rPr>
      </w:pPr>
      <w:bookmarkStart w:id="0" w:name="_Toc183650787"/>
      <w:r>
        <w:rPr>
          <w:rFonts w:cs="Times New Roman"/>
          <w:color w:val="auto"/>
          <w:szCs w:val="24"/>
        </w:rPr>
        <w:t>2.1       Source of Raw Materials</w:t>
      </w:r>
      <w:bookmarkEnd w:id="0"/>
    </w:p>
    <w:p w14:paraId="614817CD" w14:textId="77777777" w:rsidR="00543E49" w:rsidRDefault="00C73355">
      <w:pPr>
        <w:pStyle w:val="BodyText"/>
        <w:ind w:right="115"/>
        <w:jc w:val="both"/>
      </w:pPr>
      <w:r>
        <w:t>Wheat</w:t>
      </w:r>
      <w:r>
        <w:rPr>
          <w:spacing w:val="-3"/>
        </w:rPr>
        <w:t xml:space="preserve"> </w:t>
      </w:r>
      <w:r>
        <w:t>flour,</w:t>
      </w:r>
      <w:r>
        <w:rPr>
          <w:spacing w:val="-5"/>
        </w:rPr>
        <w:t xml:space="preserve"> </w:t>
      </w:r>
      <w:proofErr w:type="spellStart"/>
      <w:r>
        <w:rPr>
          <w:spacing w:val="-5"/>
        </w:rPr>
        <w:t>acha</w:t>
      </w:r>
      <w:proofErr w:type="spellEnd"/>
      <w:r>
        <w:rPr>
          <w:spacing w:val="-5"/>
        </w:rPr>
        <w:t xml:space="preserve">, </w:t>
      </w:r>
      <w:r>
        <w:t>coconut,</w:t>
      </w:r>
      <w:r>
        <w:rPr>
          <w:spacing w:val="-2"/>
        </w:rPr>
        <w:t xml:space="preserve"> </w:t>
      </w:r>
      <w:r>
        <w:t>and</w:t>
      </w:r>
      <w:r>
        <w:rPr>
          <w:spacing w:val="-4"/>
        </w:rPr>
        <w:t xml:space="preserve"> </w:t>
      </w:r>
      <w:r>
        <w:t>other</w:t>
      </w:r>
      <w:r>
        <w:rPr>
          <w:spacing w:val="-4"/>
        </w:rPr>
        <w:t xml:space="preserve"> </w:t>
      </w:r>
      <w:r>
        <w:t>ingredients</w:t>
      </w:r>
      <w:r>
        <w:rPr>
          <w:spacing w:val="-3"/>
        </w:rPr>
        <w:t xml:space="preserve"> </w:t>
      </w:r>
      <w:r>
        <w:t>necessary</w:t>
      </w:r>
      <w:r>
        <w:rPr>
          <w:spacing w:val="-3"/>
        </w:rPr>
        <w:t xml:space="preserve"> </w:t>
      </w:r>
      <w:r>
        <w:t>for</w:t>
      </w:r>
      <w:r>
        <w:rPr>
          <w:spacing w:val="-6"/>
        </w:rPr>
        <w:t xml:space="preserve"> </w:t>
      </w:r>
      <w:r>
        <w:t>cake</w:t>
      </w:r>
      <w:r>
        <w:rPr>
          <w:spacing w:val="-4"/>
        </w:rPr>
        <w:t xml:space="preserve"> </w:t>
      </w:r>
      <w:r>
        <w:t>production</w:t>
      </w:r>
      <w:r>
        <w:rPr>
          <w:spacing w:val="-5"/>
        </w:rPr>
        <w:t xml:space="preserve"> </w:t>
      </w:r>
      <w:r>
        <w:t xml:space="preserve">were bought from Rail way market, Makurdi, </w:t>
      </w:r>
      <w:r>
        <w:t>Benue State, Nigeria. These raw materials and</w:t>
      </w:r>
      <w:r>
        <w:rPr>
          <w:spacing w:val="1"/>
        </w:rPr>
        <w:t xml:space="preserve"> </w:t>
      </w:r>
      <w:r>
        <w:t>ingredients were taken to the laboratory for processing. All equipment used were</w:t>
      </w:r>
      <w:r>
        <w:rPr>
          <w:spacing w:val="1"/>
        </w:rPr>
        <w:t xml:space="preserve"> </w:t>
      </w:r>
      <w:r>
        <w:t>obtained from the Department of Food Science and Technology laboratory, Joseph Sarwuan</w:t>
      </w:r>
      <w:r>
        <w:rPr>
          <w:spacing w:val="1"/>
        </w:rPr>
        <w:t xml:space="preserve"> </w:t>
      </w:r>
      <w:r>
        <w:t>Tarka,</w:t>
      </w:r>
      <w:r>
        <w:rPr>
          <w:spacing w:val="-1"/>
        </w:rPr>
        <w:t xml:space="preserve"> </w:t>
      </w:r>
      <w:r>
        <w:t>University, Makurdi,</w:t>
      </w:r>
      <w:r>
        <w:rPr>
          <w:spacing w:val="-1"/>
        </w:rPr>
        <w:t xml:space="preserve"> </w:t>
      </w:r>
      <w:r>
        <w:t>Benue</w:t>
      </w:r>
      <w:r>
        <w:rPr>
          <w:spacing w:val="-1"/>
        </w:rPr>
        <w:t xml:space="preserve"> </w:t>
      </w:r>
      <w:r>
        <w:t>State.</w:t>
      </w:r>
    </w:p>
    <w:p w14:paraId="25C607EA" w14:textId="77777777" w:rsidR="00543E49" w:rsidRDefault="00C73355">
      <w:pPr>
        <w:pStyle w:val="Heading1"/>
        <w:spacing w:before="0" w:line="240" w:lineRule="auto"/>
        <w:rPr>
          <w:rFonts w:cs="Times New Roman"/>
          <w:color w:val="auto"/>
          <w:szCs w:val="24"/>
        </w:rPr>
      </w:pPr>
      <w:bookmarkStart w:id="1" w:name="_Toc183650788"/>
      <w:r>
        <w:rPr>
          <w:rFonts w:cs="Times New Roman"/>
          <w:color w:val="auto"/>
          <w:szCs w:val="24"/>
        </w:rPr>
        <w:t>2</w:t>
      </w:r>
      <w:r>
        <w:rPr>
          <w:rFonts w:cs="Times New Roman"/>
          <w:color w:val="auto"/>
          <w:szCs w:val="24"/>
        </w:rPr>
        <w:t>.2       Sample Preparation</w:t>
      </w:r>
      <w:bookmarkEnd w:id="1"/>
    </w:p>
    <w:p w14:paraId="392A59D3" w14:textId="77777777" w:rsidR="00543E49" w:rsidRDefault="00C73355">
      <w:pPr>
        <w:pStyle w:val="Heading1"/>
        <w:spacing w:before="0" w:line="240" w:lineRule="auto"/>
        <w:rPr>
          <w:rFonts w:cs="Times New Roman"/>
          <w:color w:val="auto"/>
          <w:szCs w:val="24"/>
        </w:rPr>
      </w:pPr>
      <w:r>
        <w:rPr>
          <w:rFonts w:cs="Times New Roman"/>
          <w:color w:val="auto"/>
          <w:szCs w:val="24"/>
        </w:rPr>
        <w:t>2.2.1</w:t>
      </w:r>
      <w:r>
        <w:rPr>
          <w:rFonts w:cs="Times New Roman"/>
          <w:color w:val="auto"/>
          <w:szCs w:val="24"/>
        </w:rPr>
        <w:tab/>
        <w:t xml:space="preserve">Production of </w:t>
      </w:r>
      <w:proofErr w:type="spellStart"/>
      <w:r>
        <w:rPr>
          <w:rFonts w:cs="Times New Roman"/>
          <w:color w:val="auto"/>
          <w:szCs w:val="24"/>
        </w:rPr>
        <w:t>acha</w:t>
      </w:r>
      <w:proofErr w:type="spellEnd"/>
      <w:r>
        <w:rPr>
          <w:rFonts w:cs="Times New Roman"/>
          <w:color w:val="auto"/>
          <w:szCs w:val="24"/>
        </w:rPr>
        <w:t xml:space="preserve"> flour</w:t>
      </w:r>
    </w:p>
    <w:p w14:paraId="28C4C7E0" w14:textId="77777777" w:rsidR="00543E49" w:rsidRDefault="00C73355">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procedure outlined by Ayo </w:t>
      </w:r>
      <w:r>
        <w:rPr>
          <w:rFonts w:ascii="Times New Roman" w:eastAsia="Times New Roman" w:hAnsi="Times New Roman" w:cs="Times New Roman"/>
          <w:i/>
          <w:iCs/>
        </w:rPr>
        <w:t>et al</w:t>
      </w:r>
      <w:r>
        <w:rPr>
          <w:rFonts w:ascii="Times New Roman" w:eastAsia="Times New Roman" w:hAnsi="Times New Roman" w:cs="Times New Roman"/>
        </w:rPr>
        <w:t>. (2018) was modified to prepare the “</w:t>
      </w:r>
      <w:proofErr w:type="spellStart"/>
      <w:r>
        <w:rPr>
          <w:rFonts w:ascii="Times New Roman" w:eastAsia="Times New Roman" w:hAnsi="Times New Roman" w:cs="Times New Roman"/>
        </w:rPr>
        <w:t>acha</w:t>
      </w:r>
      <w:proofErr w:type="spellEnd"/>
      <w:r>
        <w:rPr>
          <w:rFonts w:ascii="Times New Roman" w:eastAsia="Times New Roman" w:hAnsi="Times New Roman" w:cs="Times New Roman"/>
        </w:rPr>
        <w:t>” flour. The grains were manually sorted to remove unwanted materials, sieved and washed in clean water to remove dust, chaff and other foreign materials (by decanting them as they floated on top of the water). The water was drained off using a sieve and t</w:t>
      </w:r>
      <w:r>
        <w:rPr>
          <w:rFonts w:ascii="Times New Roman" w:eastAsia="Times New Roman" w:hAnsi="Times New Roman" w:cs="Times New Roman"/>
        </w:rPr>
        <w:t xml:space="preserve">he grains dried in a hot oven (Belco industries; electric Bakery oven) at 60 </w:t>
      </w:r>
      <w:proofErr w:type="spellStart"/>
      <w:r>
        <w:rPr>
          <w:rFonts w:ascii="Times New Roman" w:eastAsia="Times New Roman" w:hAnsi="Times New Roman" w:cs="Times New Roman"/>
          <w:vertAlign w:val="superscript"/>
        </w:rPr>
        <w:t>o</w:t>
      </w:r>
      <w:r>
        <w:rPr>
          <w:rFonts w:ascii="Times New Roman" w:eastAsia="Times New Roman" w:hAnsi="Times New Roman" w:cs="Times New Roman"/>
        </w:rPr>
        <w:t>C</w:t>
      </w:r>
      <w:proofErr w:type="spellEnd"/>
      <w:r>
        <w:rPr>
          <w:rFonts w:ascii="Times New Roman" w:eastAsia="Times New Roman" w:hAnsi="Times New Roman" w:cs="Times New Roman"/>
        </w:rPr>
        <w:t xml:space="preserve"> for 5h, milled using attrition mill, sieved through 0.20mm aperture screen, packaged (polyethylene) and stored under room temperature. </w:t>
      </w:r>
    </w:p>
    <w:p w14:paraId="20349626" w14:textId="77777777" w:rsidR="00543E49" w:rsidRDefault="00C73355">
      <w:pPr>
        <w:pStyle w:val="Heading1"/>
        <w:spacing w:before="0" w:line="240" w:lineRule="auto"/>
        <w:rPr>
          <w:rFonts w:cs="Times New Roman"/>
          <w:color w:val="auto"/>
          <w:szCs w:val="24"/>
        </w:rPr>
      </w:pPr>
      <w:r>
        <w:rPr>
          <w:rFonts w:cs="Times New Roman"/>
          <w:color w:val="auto"/>
          <w:szCs w:val="24"/>
        </w:rPr>
        <w:t>2.2.2</w:t>
      </w:r>
      <w:r>
        <w:rPr>
          <w:rFonts w:cs="Times New Roman"/>
          <w:color w:val="auto"/>
          <w:szCs w:val="24"/>
        </w:rPr>
        <w:tab/>
        <w:t>Preparation of coconut residue flo</w:t>
      </w:r>
      <w:r>
        <w:rPr>
          <w:rFonts w:cs="Times New Roman"/>
          <w:color w:val="auto"/>
          <w:szCs w:val="24"/>
        </w:rPr>
        <w:t xml:space="preserve">ur </w:t>
      </w:r>
    </w:p>
    <w:p w14:paraId="1C70E502" w14:textId="77777777" w:rsidR="00543E49" w:rsidRDefault="00C73355">
      <w:pPr>
        <w:spacing w:line="240" w:lineRule="auto"/>
        <w:jc w:val="both"/>
        <w:rPr>
          <w:rFonts w:ascii="Times New Roman" w:hAnsi="Times New Roman" w:cs="Times New Roman"/>
        </w:rPr>
      </w:pPr>
      <w:r>
        <w:rPr>
          <w:rFonts w:ascii="Times New Roman" w:hAnsi="Times New Roman" w:cs="Times New Roman"/>
        </w:rPr>
        <w:t xml:space="preserve">Coconut residue flour was prepared as described by </w:t>
      </w:r>
      <w:proofErr w:type="spellStart"/>
      <w:r>
        <w:rPr>
          <w:rFonts w:ascii="Times New Roman" w:hAnsi="Times New Roman" w:cs="Times New Roman"/>
        </w:rPr>
        <w:t>Eadmusik</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(2022). Coconut was husked, shelled, pared, washed and then grated. Through the grating process, coconut milk was extracted and then spined. The coconut residue gotten was defatted. Coc</w:t>
      </w:r>
      <w:r>
        <w:rPr>
          <w:rFonts w:ascii="Times New Roman" w:hAnsi="Times New Roman" w:cs="Times New Roman"/>
        </w:rPr>
        <w:t xml:space="preserve">onut residue flour was prepared by drying coconut residue, a by-product from coconut milk extraction, at 55 </w:t>
      </w:r>
      <w:proofErr w:type="spellStart"/>
      <w:r>
        <w:rPr>
          <w:rFonts w:ascii="Times New Roman" w:hAnsi="Times New Roman" w:cs="Times New Roman"/>
          <w:vertAlign w:val="superscript"/>
        </w:rPr>
        <w:t>o</w:t>
      </w:r>
      <w:r>
        <w:rPr>
          <w:rFonts w:ascii="Times New Roman" w:hAnsi="Times New Roman" w:cs="Times New Roman"/>
        </w:rPr>
        <w:t>C</w:t>
      </w:r>
      <w:proofErr w:type="spellEnd"/>
      <w:r>
        <w:rPr>
          <w:rFonts w:ascii="Times New Roman" w:hAnsi="Times New Roman" w:cs="Times New Roman"/>
        </w:rPr>
        <w:t xml:space="preserve"> for 9 h (moisture content less than 5%) and ground with a blender (Buono-17778P, Taiwan) at 24,000 rpm for 40 s to a fine powder. It was then sie</w:t>
      </w:r>
      <w:r>
        <w:rPr>
          <w:rFonts w:ascii="Times New Roman" w:hAnsi="Times New Roman" w:cs="Times New Roman"/>
        </w:rPr>
        <w:t xml:space="preserve">ved through a 0.5 mesh sifter, vacuum-packed in aluminum foil packs and stored in 4 </w:t>
      </w:r>
      <w:proofErr w:type="spellStart"/>
      <w:r>
        <w:rPr>
          <w:rFonts w:ascii="Times New Roman" w:hAnsi="Times New Roman" w:cs="Times New Roman"/>
          <w:vertAlign w:val="superscript"/>
        </w:rPr>
        <w:t>o</w:t>
      </w:r>
      <w:r>
        <w:rPr>
          <w:rFonts w:ascii="Times New Roman" w:hAnsi="Times New Roman" w:cs="Times New Roman"/>
        </w:rPr>
        <w:t>C</w:t>
      </w:r>
      <w:proofErr w:type="spellEnd"/>
      <w:r>
        <w:rPr>
          <w:rFonts w:ascii="Times New Roman" w:hAnsi="Times New Roman" w:cs="Times New Roman"/>
        </w:rPr>
        <w:t xml:space="preserve"> until when needed for analysis.</w:t>
      </w:r>
    </w:p>
    <w:p w14:paraId="320E2FDB" w14:textId="77777777" w:rsidR="00543E49" w:rsidRDefault="00C73355">
      <w:pPr>
        <w:pStyle w:val="Heading1"/>
        <w:spacing w:line="240" w:lineRule="auto"/>
        <w:rPr>
          <w:rFonts w:cs="Times New Roman"/>
          <w:color w:val="auto"/>
          <w:szCs w:val="24"/>
        </w:rPr>
      </w:pPr>
      <w:r>
        <w:rPr>
          <w:rFonts w:cs="Times New Roman"/>
          <w:color w:val="auto"/>
          <w:szCs w:val="24"/>
        </w:rPr>
        <w:t>2.3</w:t>
      </w:r>
      <w:r>
        <w:rPr>
          <w:rFonts w:cs="Times New Roman"/>
          <w:color w:val="auto"/>
          <w:szCs w:val="24"/>
        </w:rPr>
        <w:tab/>
        <w:t>Production of Cake</w:t>
      </w:r>
    </w:p>
    <w:p w14:paraId="654EABE3" w14:textId="77777777" w:rsidR="00543E49" w:rsidRDefault="00C73355">
      <w:pPr>
        <w:spacing w:line="240" w:lineRule="auto"/>
        <w:jc w:val="both"/>
        <w:rPr>
          <w:rFonts w:ascii="Times New Roman" w:hAnsi="Times New Roman" w:cs="Times New Roman"/>
        </w:rPr>
      </w:pPr>
      <w:r>
        <w:rPr>
          <w:rFonts w:ascii="Times New Roman" w:hAnsi="Times New Roman" w:cs="Times New Roman"/>
        </w:rPr>
        <w:t xml:space="preserve">Cup-cakes were produced using four blend formulations </w:t>
      </w:r>
      <w:r>
        <w:rPr>
          <w:rFonts w:ascii="Times New Roman" w:hAnsi="Times New Roman" w:cs="Times New Roman"/>
          <w:sz w:val="24"/>
          <w:szCs w:val="24"/>
        </w:rPr>
        <w:t>prepared as follows: 100% wheat (control), 80:15:5, 75:20:5,</w:t>
      </w:r>
      <w:r>
        <w:rPr>
          <w:rFonts w:ascii="Times New Roman" w:hAnsi="Times New Roman" w:cs="Times New Roman"/>
          <w:sz w:val="24"/>
          <w:szCs w:val="24"/>
        </w:rPr>
        <w:t xml:space="preserve"> and 70:25:5 (wheat–</w:t>
      </w:r>
      <w:proofErr w:type="spellStart"/>
      <w:r>
        <w:rPr>
          <w:rFonts w:ascii="Times New Roman" w:hAnsi="Times New Roman" w:cs="Times New Roman"/>
          <w:sz w:val="24"/>
          <w:szCs w:val="24"/>
        </w:rPr>
        <w:t>acha</w:t>
      </w:r>
      <w:proofErr w:type="spellEnd"/>
      <w:r>
        <w:rPr>
          <w:rFonts w:ascii="Times New Roman" w:hAnsi="Times New Roman" w:cs="Times New Roman"/>
          <w:sz w:val="24"/>
          <w:szCs w:val="24"/>
        </w:rPr>
        <w:t>–coconut residue).</w:t>
      </w:r>
      <w:r>
        <w:rPr>
          <w:rFonts w:ascii="Times New Roman" w:hAnsi="Times New Roman" w:cs="Times New Roman"/>
        </w:rPr>
        <w:t xml:space="preserve"> Sugar and butter were mixed according to the method as described by Abegunde </w:t>
      </w:r>
      <w:r>
        <w:rPr>
          <w:rFonts w:ascii="Times New Roman" w:hAnsi="Times New Roman" w:cs="Times New Roman"/>
          <w:i/>
          <w:iCs/>
        </w:rPr>
        <w:t>et al</w:t>
      </w:r>
      <w:r>
        <w:rPr>
          <w:rFonts w:ascii="Times New Roman" w:hAnsi="Times New Roman" w:cs="Times New Roman"/>
        </w:rPr>
        <w:t>. (2019) with slight modification. Wheat flour (60%), sugar (5%), shortening (5%), baking powder (3%) and 4 eggs were used. The bak</w:t>
      </w:r>
      <w:r>
        <w:rPr>
          <w:rFonts w:ascii="Times New Roman" w:hAnsi="Times New Roman" w:cs="Times New Roman"/>
        </w:rPr>
        <w:t>ing fat and granulated sugar were creamed together with the mixer for 20 mins until light. The eggs were beaten for 5mins with the homogenizer. These were mixed with milk and water to proportion and poured into greased cupcake pans. These were placed in th</w:t>
      </w:r>
      <w:r>
        <w:rPr>
          <w:rFonts w:ascii="Times New Roman" w:hAnsi="Times New Roman" w:cs="Times New Roman"/>
        </w:rPr>
        <w:t xml:space="preserve">e oven and baked at temperature of 190°C for 15mins. The cakes were cooled and removed from the pan after 1h. The cooled cakes were then packaged in </w:t>
      </w:r>
      <w:proofErr w:type="spellStart"/>
      <w:r>
        <w:rPr>
          <w:rFonts w:ascii="Times New Roman" w:hAnsi="Times New Roman" w:cs="Times New Roman"/>
        </w:rPr>
        <w:t>aluminium</w:t>
      </w:r>
      <w:proofErr w:type="spellEnd"/>
      <w:r>
        <w:rPr>
          <w:rFonts w:ascii="Times New Roman" w:hAnsi="Times New Roman" w:cs="Times New Roman"/>
        </w:rPr>
        <w:t xml:space="preserve"> foils and kept in the refrigerator until required for sensory evaluation.</w:t>
      </w:r>
    </w:p>
    <w:p w14:paraId="162520AC" w14:textId="77777777" w:rsidR="00543E49" w:rsidRDefault="00C73355">
      <w:pPr>
        <w:spacing w:line="240" w:lineRule="auto"/>
        <w:jc w:val="both"/>
        <w:rPr>
          <w:rFonts w:ascii="Times New Roman" w:hAnsi="Times New Roman" w:cs="Times New Roman"/>
          <w:b/>
        </w:rPr>
      </w:pPr>
      <w:r>
        <w:rPr>
          <w:rFonts w:ascii="Times New Roman" w:hAnsi="Times New Roman" w:cs="Times New Roman"/>
          <w:b/>
        </w:rPr>
        <w:t xml:space="preserve">2.4      Determination </w:t>
      </w:r>
      <w:r>
        <w:rPr>
          <w:rFonts w:ascii="Times New Roman" w:hAnsi="Times New Roman" w:cs="Times New Roman"/>
          <w:b/>
        </w:rPr>
        <w:t>of Functional Properties</w:t>
      </w:r>
    </w:p>
    <w:p w14:paraId="29632DF8" w14:textId="77777777" w:rsidR="00543E49" w:rsidRDefault="00C73355">
      <w:pPr>
        <w:pStyle w:val="Heading1"/>
        <w:spacing w:before="0" w:line="240" w:lineRule="auto"/>
        <w:rPr>
          <w:rFonts w:cs="Times New Roman"/>
          <w:color w:val="auto"/>
          <w:szCs w:val="24"/>
        </w:rPr>
      </w:pPr>
      <w:bookmarkStart w:id="2" w:name="_Toc89953537"/>
      <w:bookmarkStart w:id="3" w:name="_Toc183650795"/>
      <w:r>
        <w:rPr>
          <w:rFonts w:cs="Times New Roman"/>
          <w:color w:val="auto"/>
          <w:szCs w:val="24"/>
        </w:rPr>
        <w:t xml:space="preserve">2.4.1 </w:t>
      </w:r>
      <w:r>
        <w:rPr>
          <w:rFonts w:cs="Times New Roman"/>
          <w:color w:val="auto"/>
          <w:szCs w:val="24"/>
        </w:rPr>
        <w:tab/>
        <w:t>Water absorption capacity</w:t>
      </w:r>
      <w:bookmarkEnd w:id="2"/>
      <w:bookmarkEnd w:id="3"/>
      <w:r>
        <w:rPr>
          <w:rFonts w:cs="Times New Roman"/>
          <w:color w:val="auto"/>
          <w:szCs w:val="24"/>
        </w:rPr>
        <w:t xml:space="preserve"> </w:t>
      </w:r>
    </w:p>
    <w:p w14:paraId="5CE74182" w14:textId="77777777" w:rsidR="00543E49" w:rsidRDefault="00C73355">
      <w:pPr>
        <w:adjustRightInd w:val="0"/>
        <w:spacing w:line="240" w:lineRule="auto"/>
        <w:jc w:val="both"/>
        <w:rPr>
          <w:rFonts w:ascii="Times New Roman" w:hAnsi="Times New Roman" w:cs="Times New Roman"/>
        </w:rPr>
      </w:pPr>
      <w:r>
        <w:rPr>
          <w:rFonts w:ascii="Times New Roman" w:hAnsi="Times New Roman" w:cs="Times New Roman"/>
        </w:rPr>
        <w:t>The method described by Onwuka (2005) was used. 1 g of the</w:t>
      </w:r>
      <w:r>
        <w:rPr>
          <w:rFonts w:ascii="Times New Roman" w:hAnsi="Times New Roman" w:cs="Times New Roman"/>
          <w:b/>
          <w:bCs/>
        </w:rPr>
        <w:t xml:space="preserve"> </w:t>
      </w:r>
      <w:r>
        <w:rPr>
          <w:rFonts w:ascii="Times New Roman" w:hAnsi="Times New Roman" w:cs="Times New Roman"/>
        </w:rPr>
        <w:t>flour sample was weighed into a 15 ml centrifuge tube and suspended in 10 ml of water. It was shaken on a platform tube rocker for 1 minut</w:t>
      </w:r>
      <w:r>
        <w:rPr>
          <w:rFonts w:ascii="Times New Roman" w:hAnsi="Times New Roman" w:cs="Times New Roman"/>
        </w:rPr>
        <w:t xml:space="preserve">e at </w:t>
      </w:r>
      <w:r>
        <w:rPr>
          <w:rFonts w:ascii="Times New Roman" w:hAnsi="Times New Roman" w:cs="Times New Roman"/>
        </w:rPr>
        <w:lastRenderedPageBreak/>
        <w:t xml:space="preserve">room temperature. The sample was allowed to stand for 30 min and centrifuged (Model SM 800B </w:t>
      </w:r>
      <w:proofErr w:type="spellStart"/>
      <w:r>
        <w:rPr>
          <w:rFonts w:ascii="Times New Roman" w:hAnsi="Times New Roman" w:cs="Times New Roman"/>
        </w:rPr>
        <w:t>Uniscope</w:t>
      </w:r>
      <w:proofErr w:type="spellEnd"/>
      <w:r>
        <w:rPr>
          <w:rFonts w:ascii="Times New Roman" w:hAnsi="Times New Roman" w:cs="Times New Roman"/>
        </w:rPr>
        <w:t xml:space="preserve"> </w:t>
      </w:r>
      <w:proofErr w:type="spellStart"/>
      <w:r>
        <w:rPr>
          <w:rFonts w:ascii="Times New Roman" w:hAnsi="Times New Roman" w:cs="Times New Roman"/>
        </w:rPr>
        <w:t>Surgifriends</w:t>
      </w:r>
      <w:proofErr w:type="spellEnd"/>
      <w:r>
        <w:rPr>
          <w:rFonts w:ascii="Times New Roman" w:hAnsi="Times New Roman" w:cs="Times New Roman"/>
        </w:rPr>
        <w:t xml:space="preserve"> Medicals, England) at 500 rpm for 30 min. The volume of free water was read directly from the centrifuge tube. Density of water was taken</w:t>
      </w:r>
      <w:r>
        <w:rPr>
          <w:rFonts w:ascii="Times New Roman" w:hAnsi="Times New Roman" w:cs="Times New Roman"/>
        </w:rPr>
        <w:t xml:space="preserve"> to be 1 g/cm</w:t>
      </w:r>
      <w:r>
        <w:rPr>
          <w:rFonts w:ascii="Times New Roman" w:hAnsi="Times New Roman" w:cs="Times New Roman"/>
          <w:vertAlign w:val="superscript"/>
        </w:rPr>
        <w:t>3</w:t>
      </w:r>
      <w:r>
        <w:rPr>
          <w:rFonts w:ascii="Times New Roman" w:hAnsi="Times New Roman" w:cs="Times New Roman"/>
        </w:rPr>
        <w:t>.</w:t>
      </w:r>
    </w:p>
    <w:p w14:paraId="2EC8FDD5" w14:textId="77777777" w:rsidR="00543E49" w:rsidRDefault="00C73355">
      <w:pPr>
        <w:adjustRightInd w:val="0"/>
        <w:spacing w:line="240" w:lineRule="auto"/>
        <w:jc w:val="both"/>
        <w:rPr>
          <w:rFonts w:ascii="Times New Roman" w:hAnsi="Times New Roman" w:cs="Times New Roman"/>
        </w:rPr>
      </w:pPr>
      <m:oMathPara>
        <m:oMathParaPr>
          <m:jc m:val="left"/>
        </m:oMathParaPr>
        <m:oMath>
          <m:r>
            <w:rPr>
              <w:rFonts w:ascii="Cambria Math" w:hAnsi="Cambria Math" w:cs="Times New Roman"/>
            </w:rPr>
            <m:t>WA</m:t>
          </m:r>
          <m:r>
            <w:rPr>
              <w:rFonts w:ascii="Cambria Math" w:hAnsi="Cambria Math" w:cs="Times New Roman"/>
            </w:rPr>
            <m:t xml:space="preserve"> </m:t>
          </m:r>
          <m:r>
            <w:rPr>
              <w:rFonts w:ascii="Cambria Math" w:hAnsi="Cambria Math" w:cs="Times New Roman"/>
            </w:rPr>
            <m:t>C</m:t>
          </m:r>
          <m:r>
            <w:rPr>
              <w:rFonts w:ascii="Cambria Math" w:hAnsi="Cambria Math" w:cs="Times New Roman"/>
            </w:rPr>
            <m:t xml:space="preserve"> </m:t>
          </m:r>
          <m:d>
            <m:dPr>
              <m:ctrlPr>
                <w:rPr>
                  <w:rFonts w:ascii="Cambria Math" w:hAnsi="Cambria Math" w:cs="Times New Roman"/>
                </w:rPr>
              </m:ctrlPr>
            </m:dPr>
            <m:e>
              <m:r>
                <m:rPr>
                  <m:sty m:val="p"/>
                </m:rPr>
                <w:rPr>
                  <w:rFonts w:ascii="Cambria Math" w:hAnsi="Cambria Math" w:cs="Times New Roman"/>
                </w:rPr>
                <m:t>%</m:t>
              </m:r>
              <m:ctrlPr>
                <w:rPr>
                  <w:rFonts w:ascii="Cambria Math" w:hAnsi="Cambria Math" w:cs="Times New Roman"/>
                  <w:i/>
                </w:rPr>
              </m:ctrlP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Amount</m:t>
              </m:r>
              <m:r>
                <w:rPr>
                  <w:rFonts w:ascii="Cambria Math" w:hAnsi="Cambria Math" w:cs="Times New Roman"/>
                </w:rPr>
                <m:t xml:space="preserve"> </m:t>
              </m:r>
              <m:r>
                <w:rPr>
                  <w:rFonts w:ascii="Cambria Math" w:hAnsi="Cambria Math" w:cs="Times New Roman"/>
                </w:rPr>
                <m:t>of</m:t>
              </m:r>
              <m:r>
                <w:rPr>
                  <w:rFonts w:ascii="Cambria Math" w:hAnsi="Cambria Math" w:cs="Times New Roman"/>
                </w:rPr>
                <m:t xml:space="preserve"> </m:t>
              </m:r>
              <m:r>
                <w:rPr>
                  <w:rFonts w:ascii="Cambria Math" w:hAnsi="Cambria Math" w:cs="Times New Roman"/>
                </w:rPr>
                <m:t>water</m:t>
              </m:r>
              <m:r>
                <w:rPr>
                  <w:rFonts w:ascii="Cambria Math" w:hAnsi="Cambria Math" w:cs="Times New Roman"/>
                </w:rPr>
                <m:t xml:space="preserve"> </m:t>
              </m:r>
              <m:r>
                <w:rPr>
                  <w:rFonts w:ascii="Cambria Math" w:hAnsi="Cambria Math" w:cs="Times New Roman"/>
                </w:rPr>
                <m:t>added</m:t>
              </m:r>
              <m:r>
                <w:rPr>
                  <w:rFonts w:ascii="Cambria Math" w:hAnsi="Cambria Math" w:cs="Times New Roman"/>
                </w:rPr>
                <m:t>-</m:t>
              </m:r>
              <m:r>
                <w:rPr>
                  <w:rFonts w:ascii="Cambria Math" w:hAnsi="Cambria Math" w:cs="Times New Roman"/>
                </w:rPr>
                <m:t>Freewater</m:t>
              </m:r>
            </m:num>
            <m:den>
              <m:r>
                <w:rPr>
                  <w:rFonts w:ascii="Cambria Math" w:hAnsi="Cambria Math" w:cs="Times New Roman"/>
                </w:rPr>
                <m:t>Weig</m:t>
              </m:r>
              <m:r>
                <w:rPr>
                  <w:rFonts w:ascii="Cambria Math" w:hAnsi="Cambria Math" w:cs="Times New Roman"/>
                </w:rPr>
                <m:t>h</m:t>
              </m:r>
              <m:r>
                <w:rPr>
                  <w:rFonts w:ascii="Cambria Math" w:hAnsi="Cambria Math" w:cs="Times New Roman"/>
                </w:rPr>
                <m:t>t</m:t>
              </m:r>
              <m:r>
                <w:rPr>
                  <w:rFonts w:ascii="Cambria Math" w:hAnsi="Cambria Math" w:cs="Times New Roman"/>
                </w:rPr>
                <m:t xml:space="preserve"> </m:t>
              </m:r>
              <m:r>
                <w:rPr>
                  <w:rFonts w:ascii="Cambria Math" w:hAnsi="Cambria Math" w:cs="Times New Roman"/>
                </w:rPr>
                <m:t>of</m:t>
              </m:r>
              <m:r>
                <w:rPr>
                  <w:rFonts w:ascii="Cambria Math" w:hAnsi="Cambria Math" w:cs="Times New Roman"/>
                </w:rPr>
                <m:t xml:space="preserve"> </m:t>
              </m:r>
              <m:r>
                <w:rPr>
                  <w:rFonts w:ascii="Cambria Math" w:hAnsi="Cambria Math" w:cs="Times New Roman"/>
                </w:rPr>
                <m:t>sample</m:t>
              </m:r>
              <m:r>
                <w:rPr>
                  <w:rFonts w:ascii="Cambria Math" w:hAnsi="Cambria Math" w:cs="Times New Roman"/>
                </w:rPr>
                <m:t xml:space="preserve"> </m:t>
              </m:r>
            </m:den>
          </m:f>
          <m:r>
            <w:rPr>
              <w:rFonts w:ascii="Cambria Math" w:hAnsi="Cambria Math" w:cs="Times New Roman"/>
            </w:rPr>
            <m:t xml:space="preserve"> ×</m:t>
          </m:r>
          <m:r>
            <w:rPr>
              <w:rFonts w:ascii="Cambria Math" w:hAnsi="Cambria Math" w:cs="Times New Roman"/>
            </w:rPr>
            <m:t>density</m:t>
          </m:r>
          <m:r>
            <w:rPr>
              <w:rFonts w:ascii="Cambria Math" w:hAnsi="Cambria Math" w:cs="Times New Roman"/>
            </w:rPr>
            <m:t xml:space="preserve"> </m:t>
          </m:r>
          <m:r>
            <w:rPr>
              <w:rFonts w:ascii="Cambria Math" w:hAnsi="Cambria Math" w:cs="Times New Roman"/>
            </w:rPr>
            <m:t>of</m:t>
          </m:r>
          <m:r>
            <w:rPr>
              <w:rFonts w:ascii="Cambria Math" w:hAnsi="Cambria Math" w:cs="Times New Roman"/>
            </w:rPr>
            <m:t xml:space="preserve"> </m:t>
          </m:r>
          <m:r>
            <w:rPr>
              <w:rFonts w:ascii="Cambria Math" w:hAnsi="Cambria Math" w:cs="Times New Roman"/>
            </w:rPr>
            <m:t>water</m:t>
          </m:r>
          <m:r>
            <w:rPr>
              <w:rFonts w:ascii="Cambria Math" w:hAnsi="Cambria Math" w:cs="Times New Roman"/>
            </w:rPr>
            <m:t xml:space="preserve"> ×100         </m:t>
          </m:r>
        </m:oMath>
      </m:oMathPara>
    </w:p>
    <w:p w14:paraId="6FBE938A" w14:textId="77777777" w:rsidR="00543E49" w:rsidRDefault="00C73355">
      <w:pPr>
        <w:pStyle w:val="Heading1"/>
        <w:spacing w:before="0" w:line="240" w:lineRule="auto"/>
        <w:rPr>
          <w:rFonts w:cs="Times New Roman"/>
          <w:color w:val="auto"/>
          <w:szCs w:val="24"/>
        </w:rPr>
      </w:pPr>
      <w:bookmarkStart w:id="4" w:name="_Toc89953538"/>
      <w:bookmarkStart w:id="5" w:name="_Toc183650796"/>
      <w:r>
        <w:rPr>
          <w:rFonts w:cs="Times New Roman"/>
          <w:color w:val="auto"/>
          <w:szCs w:val="24"/>
        </w:rPr>
        <w:t>2.4.2 Oil absorption capacity</w:t>
      </w:r>
      <w:bookmarkEnd w:id="4"/>
      <w:bookmarkEnd w:id="5"/>
      <w:r>
        <w:rPr>
          <w:rFonts w:cs="Times New Roman"/>
          <w:color w:val="auto"/>
          <w:szCs w:val="24"/>
        </w:rPr>
        <w:t xml:space="preserve"> </w:t>
      </w:r>
    </w:p>
    <w:p w14:paraId="7D2F1A0D" w14:textId="77777777" w:rsidR="00543E49" w:rsidRDefault="00C73355">
      <w:pPr>
        <w:adjustRightInd w:val="0"/>
        <w:spacing w:line="240" w:lineRule="auto"/>
        <w:jc w:val="both"/>
        <w:rPr>
          <w:rFonts w:ascii="Times New Roman" w:hAnsi="Times New Roman" w:cs="Times New Roman"/>
        </w:rPr>
      </w:pPr>
      <w:r>
        <w:rPr>
          <w:rFonts w:ascii="Times New Roman" w:hAnsi="Times New Roman" w:cs="Times New Roman"/>
        </w:rPr>
        <w:t xml:space="preserve">The method as described by Onwuka (2005) was used. One gram (1g) of the flour was mixed with 10 ml refined oil in a centrifuge tube and allowed to stand at room temperature (30 ± 2 °C) for 1 hr. It was centrifuged (Model SM 800B </w:t>
      </w:r>
      <w:proofErr w:type="spellStart"/>
      <w:r>
        <w:rPr>
          <w:rFonts w:ascii="Times New Roman" w:hAnsi="Times New Roman" w:cs="Times New Roman"/>
        </w:rPr>
        <w:t>Uniscope</w:t>
      </w:r>
      <w:proofErr w:type="spellEnd"/>
      <w:r>
        <w:rPr>
          <w:rFonts w:ascii="Times New Roman" w:hAnsi="Times New Roman" w:cs="Times New Roman"/>
        </w:rPr>
        <w:t xml:space="preserve"> </w:t>
      </w:r>
      <w:proofErr w:type="spellStart"/>
      <w:r>
        <w:rPr>
          <w:rFonts w:ascii="Times New Roman" w:hAnsi="Times New Roman" w:cs="Times New Roman"/>
        </w:rPr>
        <w:t>Surgifriends</w:t>
      </w:r>
      <w:proofErr w:type="spellEnd"/>
      <w:r>
        <w:rPr>
          <w:rFonts w:ascii="Times New Roman" w:hAnsi="Times New Roman" w:cs="Times New Roman"/>
        </w:rPr>
        <w:t xml:space="preserve"> Medic</w:t>
      </w:r>
      <w:r>
        <w:rPr>
          <w:rFonts w:ascii="Times New Roman" w:hAnsi="Times New Roman" w:cs="Times New Roman"/>
        </w:rPr>
        <w:t>als, England) at 500 rpm for 30 min. The volume of free oil was recorded and decanted. Fat absorption capacity was expressed as ml of oil bound by 100 g dried flour</w:t>
      </w:r>
      <w:r>
        <w:rPr>
          <w:rFonts w:ascii="Times New Roman" w:hAnsi="Times New Roman" w:cs="Times New Roman"/>
          <w:b/>
          <w:bCs/>
        </w:rPr>
        <w:t xml:space="preserve">. </w:t>
      </w:r>
      <w:r>
        <w:rPr>
          <w:rFonts w:ascii="Times New Roman" w:hAnsi="Times New Roman" w:cs="Times New Roman"/>
        </w:rPr>
        <w:t>Density of oil was taken to be 0.98 g/cm</w:t>
      </w:r>
      <w:r>
        <w:rPr>
          <w:rFonts w:ascii="Times New Roman" w:hAnsi="Times New Roman" w:cs="Times New Roman"/>
          <w:vertAlign w:val="superscript"/>
        </w:rPr>
        <w:t>3</w:t>
      </w:r>
      <w:r>
        <w:rPr>
          <w:rFonts w:ascii="Times New Roman" w:hAnsi="Times New Roman" w:cs="Times New Roman"/>
        </w:rPr>
        <w:t>.</w:t>
      </w:r>
    </w:p>
    <w:p w14:paraId="13076DEB" w14:textId="77777777" w:rsidR="00543E49" w:rsidRDefault="00C73355">
      <w:pPr>
        <w:adjustRightInd w:val="0"/>
        <w:spacing w:line="240" w:lineRule="auto"/>
        <w:jc w:val="both"/>
        <w:rPr>
          <w:rFonts w:ascii="Times New Roman" w:hAnsi="Times New Roman" w:cs="Times New Roman"/>
        </w:rPr>
      </w:pPr>
      <m:oMathPara>
        <m:oMathParaPr>
          <m:jc m:val="left"/>
        </m:oMathParaPr>
        <m:oMath>
          <m:r>
            <w:rPr>
              <w:rFonts w:ascii="Cambria Math" w:hAnsi="Cambria Math" w:cs="Times New Roman"/>
            </w:rPr>
            <m:t>OAC</m:t>
          </m:r>
          <m:d>
            <m:dPr>
              <m:ctrlPr>
                <w:rPr>
                  <w:rFonts w:ascii="Cambria Math" w:hAnsi="Cambria Math" w:cs="Times New Roman"/>
                </w:rPr>
              </m:ctrlPr>
            </m:dPr>
            <m:e>
              <m:r>
                <m:rPr>
                  <m:sty m:val="p"/>
                </m:rPr>
                <w:rPr>
                  <w:rFonts w:ascii="Cambria Math" w:hAnsi="Cambria Math" w:cs="Times New Roman"/>
                </w:rPr>
                <m:t>%</m:t>
              </m:r>
              <m:ctrlPr>
                <w:rPr>
                  <w:rFonts w:ascii="Cambria Math" w:hAnsi="Cambria Math" w:cs="Times New Roman"/>
                  <w:i/>
                </w:rPr>
              </m:ctrlP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Amount</m:t>
              </m:r>
              <m:r>
                <w:rPr>
                  <w:rFonts w:ascii="Cambria Math" w:hAnsi="Cambria Math" w:cs="Times New Roman"/>
                </w:rPr>
                <m:t xml:space="preserve"> </m:t>
              </m:r>
              <m:r>
                <w:rPr>
                  <w:rFonts w:ascii="Cambria Math" w:hAnsi="Cambria Math" w:cs="Times New Roman"/>
                </w:rPr>
                <m:t>of</m:t>
              </m:r>
              <m:r>
                <w:rPr>
                  <w:rFonts w:ascii="Cambria Math" w:hAnsi="Cambria Math" w:cs="Times New Roman"/>
                </w:rPr>
                <m:t xml:space="preserve"> </m:t>
              </m:r>
              <m:r>
                <w:rPr>
                  <w:rFonts w:ascii="Cambria Math" w:hAnsi="Cambria Math" w:cs="Times New Roman"/>
                </w:rPr>
                <m:t>oil</m:t>
              </m:r>
              <m:r>
                <w:rPr>
                  <w:rFonts w:ascii="Cambria Math" w:hAnsi="Cambria Math" w:cs="Times New Roman"/>
                </w:rPr>
                <m:t xml:space="preserve"> </m:t>
              </m:r>
              <m:r>
                <w:rPr>
                  <w:rFonts w:ascii="Cambria Math" w:hAnsi="Cambria Math" w:cs="Times New Roman"/>
                </w:rPr>
                <m:t>added</m:t>
              </m:r>
              <m:r>
                <w:rPr>
                  <w:rFonts w:ascii="Cambria Math" w:hAnsi="Cambria Math" w:cs="Times New Roman"/>
                </w:rPr>
                <m:t>-</m:t>
              </m:r>
              <m:r>
                <w:rPr>
                  <w:rFonts w:ascii="Cambria Math" w:hAnsi="Cambria Math" w:cs="Times New Roman"/>
                </w:rPr>
                <m:t>F</m:t>
              </m:r>
              <m:r>
                <w:rPr>
                  <w:rFonts w:ascii="Cambria Math" w:hAnsi="Cambria Math" w:cs="Times New Roman"/>
                </w:rPr>
                <m:t>ree</m:t>
              </m:r>
              <m:r>
                <w:rPr>
                  <w:rFonts w:ascii="Cambria Math" w:hAnsi="Cambria Math" w:cs="Times New Roman"/>
                </w:rPr>
                <m:t xml:space="preserve"> </m:t>
              </m:r>
              <m:r>
                <w:rPr>
                  <w:rFonts w:ascii="Cambria Math" w:hAnsi="Cambria Math" w:cs="Times New Roman"/>
                </w:rPr>
                <m:t>oil</m:t>
              </m:r>
            </m:num>
            <m:den>
              <m:r>
                <w:rPr>
                  <w:rFonts w:ascii="Cambria Math" w:hAnsi="Cambria Math" w:cs="Times New Roman"/>
                </w:rPr>
                <m:t>Weig</m:t>
              </m:r>
              <m:r>
                <w:rPr>
                  <w:rFonts w:ascii="Cambria Math" w:hAnsi="Cambria Math" w:cs="Times New Roman"/>
                </w:rPr>
                <m:t>h</m:t>
              </m:r>
              <m:r>
                <w:rPr>
                  <w:rFonts w:ascii="Cambria Math" w:hAnsi="Cambria Math" w:cs="Times New Roman"/>
                </w:rPr>
                <m:t>t</m:t>
              </m:r>
              <m:r>
                <w:rPr>
                  <w:rFonts w:ascii="Cambria Math" w:hAnsi="Cambria Math" w:cs="Times New Roman"/>
                </w:rPr>
                <m:t xml:space="preserve"> </m:t>
              </m:r>
              <m:r>
                <w:rPr>
                  <w:rFonts w:ascii="Cambria Math" w:hAnsi="Cambria Math" w:cs="Times New Roman"/>
                </w:rPr>
                <m:t>of</m:t>
              </m:r>
              <m:r>
                <w:rPr>
                  <w:rFonts w:ascii="Cambria Math" w:hAnsi="Cambria Math" w:cs="Times New Roman"/>
                </w:rPr>
                <m:t xml:space="preserve"> </m:t>
              </m:r>
              <m:r>
                <w:rPr>
                  <w:rFonts w:ascii="Cambria Math" w:hAnsi="Cambria Math" w:cs="Times New Roman"/>
                </w:rPr>
                <m:t>sample</m:t>
              </m:r>
              <m:r>
                <w:rPr>
                  <w:rFonts w:ascii="Cambria Math" w:hAnsi="Cambria Math" w:cs="Times New Roman"/>
                </w:rPr>
                <m:t xml:space="preserve"> </m:t>
              </m:r>
            </m:den>
          </m:f>
          <m:r>
            <w:rPr>
              <w:rFonts w:ascii="Cambria Math" w:hAnsi="Cambria Math" w:cs="Times New Roman"/>
            </w:rPr>
            <m:t xml:space="preserve"> ×</m:t>
          </m:r>
          <m:r>
            <w:rPr>
              <w:rFonts w:ascii="Cambria Math" w:hAnsi="Cambria Math" w:cs="Times New Roman"/>
            </w:rPr>
            <m:t>density</m:t>
          </m:r>
          <m:r>
            <w:rPr>
              <w:rFonts w:ascii="Cambria Math" w:hAnsi="Cambria Math" w:cs="Times New Roman"/>
            </w:rPr>
            <m:t xml:space="preserve"> </m:t>
          </m:r>
          <m:r>
            <w:rPr>
              <w:rFonts w:ascii="Cambria Math" w:hAnsi="Cambria Math" w:cs="Times New Roman"/>
            </w:rPr>
            <m:t>of</m:t>
          </m:r>
          <m:r>
            <w:rPr>
              <w:rFonts w:ascii="Cambria Math" w:hAnsi="Cambria Math" w:cs="Times New Roman"/>
            </w:rPr>
            <m:t xml:space="preserve"> </m:t>
          </m:r>
          <m:r>
            <w:rPr>
              <w:rFonts w:ascii="Cambria Math" w:hAnsi="Cambria Math" w:cs="Times New Roman"/>
            </w:rPr>
            <m:t>oil</m:t>
          </m:r>
          <m:r>
            <w:rPr>
              <w:rFonts w:ascii="Cambria Math" w:hAnsi="Cambria Math" w:cs="Times New Roman"/>
            </w:rPr>
            <m:t xml:space="preserve"> ×100                </m:t>
          </m:r>
        </m:oMath>
      </m:oMathPara>
    </w:p>
    <w:p w14:paraId="1F109A54" w14:textId="77777777" w:rsidR="00543E49" w:rsidRDefault="00C73355">
      <w:pPr>
        <w:pStyle w:val="Heading1"/>
        <w:spacing w:before="0" w:line="240" w:lineRule="auto"/>
        <w:rPr>
          <w:rFonts w:cs="Times New Roman"/>
          <w:color w:val="auto"/>
          <w:szCs w:val="24"/>
        </w:rPr>
      </w:pPr>
      <w:bookmarkStart w:id="6" w:name="_Toc183650797"/>
      <w:bookmarkStart w:id="7" w:name="_Toc89953539"/>
      <w:r>
        <w:rPr>
          <w:rFonts w:cs="Times New Roman"/>
          <w:color w:val="auto"/>
          <w:szCs w:val="24"/>
        </w:rPr>
        <w:t>2.4.3 Bulk density</w:t>
      </w:r>
      <w:bookmarkEnd w:id="6"/>
      <w:bookmarkEnd w:id="7"/>
    </w:p>
    <w:p w14:paraId="5AFD46B4" w14:textId="77777777" w:rsidR="00543E49" w:rsidRDefault="00C73355">
      <w:pPr>
        <w:adjustRightInd w:val="0"/>
        <w:spacing w:line="240" w:lineRule="auto"/>
        <w:jc w:val="both"/>
        <w:rPr>
          <w:rFonts w:ascii="Times New Roman" w:hAnsi="Times New Roman" w:cs="Times New Roman"/>
        </w:rPr>
      </w:pPr>
      <w:r>
        <w:rPr>
          <w:rFonts w:ascii="Times New Roman" w:hAnsi="Times New Roman" w:cs="Times New Roman"/>
        </w:rPr>
        <w:t>The method described by Onwuka (2005) was adopted for determination of bulk density. A graduated cylinder 10 ml was weighed and gently filled wi</w:t>
      </w:r>
      <w:r>
        <w:rPr>
          <w:rFonts w:ascii="Times New Roman" w:hAnsi="Times New Roman" w:cs="Times New Roman"/>
        </w:rPr>
        <w:t>th 2g of flour sample up to the 10 ml mark. The bottom of the cylinder was then tapped gently on a laboratory bench several times. This continued until no further diminution of the test flour sample in the cylinder after filling to mark was observed. Weigh</w:t>
      </w:r>
      <w:r>
        <w:rPr>
          <w:rFonts w:ascii="Times New Roman" w:hAnsi="Times New Roman" w:cs="Times New Roman"/>
        </w:rPr>
        <w:t xml:space="preserve">t of cylinder plus flour was measured and recorded. Bulk density was expressed as: </w:t>
      </w:r>
    </w:p>
    <w:p w14:paraId="418E5E74" w14:textId="77777777" w:rsidR="00543E49" w:rsidRDefault="00C73355">
      <w:pPr>
        <w:adjustRightInd w:val="0"/>
        <w:spacing w:line="240" w:lineRule="auto"/>
        <w:jc w:val="both"/>
        <w:rPr>
          <w:rFonts w:ascii="Times New Roman" w:eastAsiaTheme="minorEastAsia" w:hAnsi="Times New Roman" w:cs="Times New Roman"/>
        </w:rPr>
      </w:pPr>
      <m:oMath>
        <m:r>
          <w:rPr>
            <w:rFonts w:ascii="Cambria Math" w:hAnsi="Cambria Math" w:cs="Times New Roman"/>
          </w:rPr>
          <m:t>Bulk</m:t>
        </m:r>
        <m:r>
          <w:rPr>
            <w:rFonts w:ascii="Cambria Math" w:hAnsi="Cambria Math" w:cs="Times New Roman"/>
          </w:rPr>
          <m:t xml:space="preserve"> </m:t>
        </m:r>
        <m:r>
          <w:rPr>
            <w:rFonts w:ascii="Cambria Math" w:hAnsi="Cambria Math" w:cs="Times New Roman"/>
          </w:rPr>
          <m:t>Density</m:t>
        </m:r>
        <m:r>
          <w:rPr>
            <w:rFonts w:ascii="Cambria Math" w:hAnsi="Cambria Math" w:cs="Times New Roman"/>
          </w:rPr>
          <m:t xml:space="preserve"> (</m:t>
        </m:r>
        <m:r>
          <w:rPr>
            <w:rFonts w:ascii="Cambria Math" w:hAnsi="Cambria Math" w:cs="Times New Roman"/>
          </w:rPr>
          <m:t>g</m:t>
        </m:r>
        <m:r>
          <w:rPr>
            <w:rFonts w:ascii="Cambria Math" w:hAnsi="Cambria Math" w:cs="Times New Roman"/>
          </w:rPr>
          <m:t>/</m:t>
        </m:r>
      </m:oMath>
      <w:r>
        <w:rPr>
          <w:rFonts w:ascii="Times New Roman" w:hAnsi="Times New Roman" w:cs="Times New Roman"/>
        </w:rPr>
        <w:t>cm</w:t>
      </w:r>
      <w:r>
        <w:rPr>
          <w:rFonts w:ascii="Times New Roman" w:hAnsi="Times New Roman" w:cs="Times New Roman"/>
          <w:vertAlign w:val="superscript"/>
        </w:rPr>
        <w:t>3</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weig</m:t>
            </m:r>
            <m:r>
              <w:rPr>
                <w:rFonts w:ascii="Cambria Math" w:hAnsi="Cambria Math" w:cs="Times New Roman"/>
              </w:rPr>
              <m:t>h</m:t>
            </m:r>
            <m:r>
              <w:rPr>
                <w:rFonts w:ascii="Cambria Math" w:hAnsi="Cambria Math" w:cs="Times New Roman"/>
              </w:rPr>
              <m:t>t</m:t>
            </m:r>
            <m:r>
              <w:rPr>
                <w:rFonts w:ascii="Cambria Math" w:hAnsi="Cambria Math" w:cs="Times New Roman"/>
              </w:rPr>
              <m:t xml:space="preserve"> </m:t>
            </m:r>
            <m:r>
              <w:rPr>
                <w:rFonts w:ascii="Cambria Math" w:hAnsi="Cambria Math" w:cs="Times New Roman"/>
              </w:rPr>
              <m:t>of</m:t>
            </m:r>
            <m:r>
              <w:rPr>
                <w:rFonts w:ascii="Cambria Math" w:hAnsi="Cambria Math" w:cs="Times New Roman"/>
              </w:rPr>
              <m:t xml:space="preserve"> </m:t>
            </m:r>
            <m:r>
              <w:rPr>
                <w:rFonts w:ascii="Cambria Math" w:hAnsi="Cambria Math" w:cs="Times New Roman"/>
              </w:rPr>
              <m:t>sample</m:t>
            </m:r>
            <m:r>
              <w:rPr>
                <w:rFonts w:ascii="Cambria Math" w:hAnsi="Cambria Math" w:cs="Times New Roman"/>
              </w:rPr>
              <m:t xml:space="preserve"> (</m:t>
            </m:r>
            <m:r>
              <w:rPr>
                <w:rFonts w:ascii="Cambria Math" w:hAnsi="Cambria Math" w:cs="Times New Roman"/>
              </w:rPr>
              <m:t>g</m:t>
            </m:r>
            <m:r>
              <w:rPr>
                <w:rFonts w:ascii="Cambria Math" w:hAnsi="Cambria Math" w:cs="Times New Roman"/>
              </w:rPr>
              <m:t>)</m:t>
            </m:r>
          </m:num>
          <m:den>
            <m:r>
              <w:rPr>
                <w:rFonts w:ascii="Cambria Math" w:hAnsi="Cambria Math" w:cs="Times New Roman"/>
              </w:rPr>
              <m:t>volume</m:t>
            </m:r>
            <m:r>
              <w:rPr>
                <w:rFonts w:ascii="Cambria Math" w:hAnsi="Cambria Math" w:cs="Times New Roman"/>
              </w:rPr>
              <m:t xml:space="preserve"> </m:t>
            </m:r>
            <m:r>
              <w:rPr>
                <w:rFonts w:ascii="Cambria Math" w:hAnsi="Cambria Math" w:cs="Times New Roman"/>
              </w:rPr>
              <m:t>of</m:t>
            </m:r>
            <m:r>
              <w:rPr>
                <w:rFonts w:ascii="Cambria Math" w:hAnsi="Cambria Math" w:cs="Times New Roman"/>
              </w:rPr>
              <m:t xml:space="preserve"> </m:t>
            </m:r>
            <m:r>
              <w:rPr>
                <w:rFonts w:ascii="Cambria Math" w:hAnsi="Cambria Math" w:cs="Times New Roman"/>
              </w:rPr>
              <m:t>sample</m:t>
            </m:r>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3</m:t>
                </m:r>
              </m:sup>
            </m:sSup>
            <m:r>
              <w:rPr>
                <w:rFonts w:ascii="Cambria Math" w:hAnsi="Cambria Math" w:cs="Times New Roman"/>
              </w:rPr>
              <m:t>)</m:t>
            </m:r>
          </m:den>
        </m:f>
      </m:oMath>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p>
    <w:p w14:paraId="0DCA53AC" w14:textId="77777777" w:rsidR="00543E49" w:rsidRDefault="00C73355">
      <w:pPr>
        <w:pStyle w:val="Heading1"/>
        <w:spacing w:before="0" w:line="240" w:lineRule="auto"/>
        <w:rPr>
          <w:rFonts w:cs="Times New Roman"/>
          <w:color w:val="auto"/>
          <w:szCs w:val="24"/>
        </w:rPr>
      </w:pPr>
      <w:bookmarkStart w:id="8" w:name="_Toc183650798"/>
      <w:r>
        <w:rPr>
          <w:rFonts w:cs="Times New Roman"/>
          <w:color w:val="auto"/>
          <w:szCs w:val="24"/>
        </w:rPr>
        <w:t>2.4.4 Swelling capacity (%)</w:t>
      </w:r>
      <w:bookmarkEnd w:id="8"/>
      <w:r>
        <w:rPr>
          <w:rFonts w:cs="Times New Roman"/>
          <w:color w:val="auto"/>
          <w:szCs w:val="24"/>
        </w:rPr>
        <w:t xml:space="preserve"> </w:t>
      </w:r>
    </w:p>
    <w:p w14:paraId="25F8A48F" w14:textId="77777777" w:rsidR="00543E49" w:rsidRDefault="00C73355">
      <w:pPr>
        <w:spacing w:line="240" w:lineRule="auto"/>
        <w:jc w:val="both"/>
        <w:rPr>
          <w:rFonts w:ascii="Times New Roman" w:hAnsi="Times New Roman" w:cs="Times New Roman"/>
        </w:rPr>
      </w:pPr>
      <w:r>
        <w:rPr>
          <w:rFonts w:ascii="Times New Roman" w:hAnsi="Times New Roman" w:cs="Times New Roman"/>
        </w:rPr>
        <w:t>The swelling capacity (%) of</w:t>
      </w:r>
      <w:r>
        <w:rPr>
          <w:rFonts w:ascii="Times New Roman" w:hAnsi="Times New Roman" w:cs="Times New Roman"/>
        </w:rPr>
        <w:t xml:space="preserve"> the flour was determined based on method described by Kakar </w:t>
      </w:r>
      <w:r>
        <w:rPr>
          <w:rFonts w:ascii="Times New Roman" w:hAnsi="Times New Roman" w:cs="Times New Roman"/>
          <w:i/>
          <w:iCs/>
        </w:rPr>
        <w:t>et al</w:t>
      </w:r>
      <w:r>
        <w:rPr>
          <w:rFonts w:ascii="Times New Roman" w:hAnsi="Times New Roman" w:cs="Times New Roman"/>
        </w:rPr>
        <w:t xml:space="preserve">. (2022). Five gram (5g) of the sample was transferred into a weighed graduated 50 mL centrifuge tube. Distilled water was added to give a total volume of 40 </w:t>
      </w:r>
      <w:proofErr w:type="spellStart"/>
      <w:r>
        <w:rPr>
          <w:rFonts w:ascii="Times New Roman" w:hAnsi="Times New Roman" w:cs="Times New Roman"/>
        </w:rPr>
        <w:t>mL.</w:t>
      </w:r>
      <w:proofErr w:type="spellEnd"/>
      <w:r>
        <w:rPr>
          <w:rFonts w:ascii="Times New Roman" w:hAnsi="Times New Roman" w:cs="Times New Roman"/>
        </w:rPr>
        <w:t xml:space="preserve"> The suspension stirred unifo</w:t>
      </w:r>
      <w:r>
        <w:rPr>
          <w:rFonts w:ascii="Times New Roman" w:hAnsi="Times New Roman" w:cs="Times New Roman"/>
        </w:rPr>
        <w:t>rmly with a stirrer avoiding excessive speed, in order not to cause fragmentation of the starch granules. The sample heated at 85°C in a thermostatically regulated temperature bath (Grant instruments, England Ltd.) for 30 min with constant stirring. The tu</w:t>
      </w:r>
      <w:r>
        <w:rPr>
          <w:rFonts w:ascii="Times New Roman" w:hAnsi="Times New Roman" w:cs="Times New Roman"/>
        </w:rPr>
        <w:t>be was removed, wiped dry on the outside and cooled to room temperature, then centrifuged for 15 min at 560 g (Mistral 3000i, UK). The solubility was determined by evaporating the supernatant in a hot air oven (BS Gallen Kamp, England) and the residue weig</w:t>
      </w:r>
      <w:r>
        <w:rPr>
          <w:rFonts w:ascii="Times New Roman" w:hAnsi="Times New Roman" w:cs="Times New Roman"/>
        </w:rPr>
        <w:t>hed. The swelling volume was obtained by directly reading the volume of the swollen sediment in the tube. The sediment paste was weighed. The swelling capacity (%) was determined by the formula:</w:t>
      </w:r>
    </w:p>
    <w:p w14:paraId="4ECDC8D5" w14:textId="77777777" w:rsidR="00543E49" w:rsidRDefault="00C73355">
      <w:pPr>
        <w:spacing w:after="0" w:line="240" w:lineRule="auto"/>
        <w:jc w:val="both"/>
        <w:rPr>
          <w:rFonts w:ascii="Times New Roman" w:eastAsiaTheme="minorEastAsia" w:hAnsi="Times New Roman" w:cs="Times New Roman"/>
        </w:rPr>
      </w:pPr>
      <m:oMathPara>
        <m:oMathParaPr>
          <m:jc m:val="left"/>
        </m:oMathParaPr>
        <m:oMath>
          <m:r>
            <w:rPr>
              <w:rFonts w:ascii="Cambria Math" w:hAnsi="Cambria Math" w:cs="Times New Roman"/>
            </w:rPr>
            <m:t>Swelling</m:t>
          </m:r>
          <m:r>
            <w:rPr>
              <w:rFonts w:ascii="Cambria Math" w:hAnsi="Cambria Math" w:cs="Times New Roman"/>
            </w:rPr>
            <m:t xml:space="preserve"> </m:t>
          </m:r>
          <m:r>
            <w:rPr>
              <w:rFonts w:ascii="Cambria Math" w:hAnsi="Cambria Math" w:cs="Times New Roman"/>
            </w:rPr>
            <m:t>capacity</m:t>
          </m:r>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weig</m:t>
              </m:r>
              <m:r>
                <w:rPr>
                  <w:rFonts w:ascii="Cambria Math" w:hAnsi="Cambria Math" w:cs="Times New Roman"/>
                </w:rPr>
                <m:t>h</m:t>
              </m:r>
              <m:r>
                <w:rPr>
                  <w:rFonts w:ascii="Cambria Math" w:hAnsi="Cambria Math" w:cs="Times New Roman"/>
                </w:rPr>
                <m:t>t</m:t>
              </m:r>
              <m:r>
                <w:rPr>
                  <w:rFonts w:ascii="Cambria Math" w:hAnsi="Cambria Math" w:cs="Times New Roman"/>
                </w:rPr>
                <m:t xml:space="preserve"> </m:t>
              </m:r>
              <m:r>
                <w:rPr>
                  <w:rFonts w:ascii="Cambria Math" w:hAnsi="Cambria Math" w:cs="Times New Roman"/>
                </w:rPr>
                <m:t>of</m:t>
              </m:r>
              <m:r>
                <w:rPr>
                  <w:rFonts w:ascii="Cambria Math" w:hAnsi="Cambria Math" w:cs="Times New Roman"/>
                </w:rPr>
                <m:t xml:space="preserve"> </m:t>
              </m:r>
              <m:r>
                <w:rPr>
                  <w:rFonts w:ascii="Cambria Math" w:hAnsi="Cambria Math" w:cs="Times New Roman"/>
                </w:rPr>
                <m:t>sed</m:t>
              </m:r>
              <m:r>
                <w:rPr>
                  <w:rFonts w:ascii="Cambria Math" w:hAnsi="Cambria Math" w:cs="Times New Roman"/>
                </w:rPr>
                <m:t>i</m:t>
              </m:r>
              <m:r>
                <w:rPr>
                  <w:rFonts w:ascii="Cambria Math" w:hAnsi="Cambria Math" w:cs="Times New Roman"/>
                </w:rPr>
                <m:t>ment</m:t>
              </m:r>
              <m:r>
                <w:rPr>
                  <w:rFonts w:ascii="Cambria Math" w:hAnsi="Cambria Math" w:cs="Times New Roman"/>
                </w:rPr>
                <m:t xml:space="preserve"> </m:t>
              </m:r>
              <m:r>
                <w:rPr>
                  <w:rFonts w:ascii="Cambria Math" w:hAnsi="Cambria Math" w:cs="Times New Roman"/>
                </w:rPr>
                <m:t>paste</m:t>
              </m:r>
            </m:num>
            <m:den>
              <m:r>
                <w:rPr>
                  <w:rFonts w:ascii="Cambria Math" w:hAnsi="Cambria Math" w:cs="Times New Roman"/>
                </w:rPr>
                <m:t>weig</m:t>
              </m:r>
              <m:r>
                <w:rPr>
                  <w:rFonts w:ascii="Cambria Math" w:hAnsi="Cambria Math" w:cs="Times New Roman"/>
                </w:rPr>
                <m:t>h</m:t>
              </m:r>
              <m:r>
                <w:rPr>
                  <w:rFonts w:ascii="Cambria Math" w:hAnsi="Cambria Math" w:cs="Times New Roman"/>
                </w:rPr>
                <m:t>t</m:t>
              </m:r>
              <m:r>
                <w:rPr>
                  <w:rFonts w:ascii="Cambria Math" w:hAnsi="Cambria Math" w:cs="Times New Roman"/>
                </w:rPr>
                <m:t xml:space="preserve"> </m:t>
              </m:r>
              <m:r>
                <w:rPr>
                  <w:rFonts w:ascii="Cambria Math" w:hAnsi="Cambria Math" w:cs="Times New Roman"/>
                </w:rPr>
                <m:t>of</m:t>
              </m:r>
              <m:r>
                <w:rPr>
                  <w:rFonts w:ascii="Cambria Math" w:hAnsi="Cambria Math" w:cs="Times New Roman"/>
                </w:rPr>
                <m:t xml:space="preserve"> </m:t>
              </m:r>
              <m:r>
                <w:rPr>
                  <w:rFonts w:ascii="Cambria Math" w:hAnsi="Cambria Math" w:cs="Times New Roman"/>
                </w:rPr>
                <m:t>flour</m:t>
              </m:r>
            </m:den>
          </m:f>
          <m:r>
            <w:rPr>
              <w:rFonts w:ascii="Cambria Math" w:hAnsi="Cambria Math" w:cs="Times New Roman"/>
            </w:rPr>
            <m:t>X</m:t>
          </m:r>
          <m:r>
            <w:rPr>
              <w:rFonts w:ascii="Cambria Math" w:hAnsi="Cambria Math" w:cs="Times New Roman"/>
            </w:rPr>
            <m:t>100</m:t>
          </m:r>
        </m:oMath>
      </m:oMathPara>
    </w:p>
    <w:p w14:paraId="479E66C6" w14:textId="77777777" w:rsidR="00543E49" w:rsidRDefault="00543E49">
      <w:pPr>
        <w:spacing w:after="0" w:line="240" w:lineRule="auto"/>
        <w:rPr>
          <w:rFonts w:ascii="Times New Roman" w:hAnsi="Times New Roman" w:cs="Times New Roman"/>
        </w:rPr>
      </w:pPr>
    </w:p>
    <w:p w14:paraId="22D99A24" w14:textId="77777777" w:rsidR="00543E49" w:rsidRDefault="00C73355">
      <w:pPr>
        <w:pStyle w:val="Heading1"/>
        <w:spacing w:before="0" w:line="240" w:lineRule="auto"/>
        <w:rPr>
          <w:rFonts w:cs="Times New Roman"/>
          <w:color w:val="auto"/>
          <w:szCs w:val="24"/>
        </w:rPr>
      </w:pPr>
      <w:r>
        <w:rPr>
          <w:rFonts w:cs="Times New Roman"/>
          <w:color w:val="auto"/>
          <w:szCs w:val="24"/>
        </w:rPr>
        <w:t>2.5</w:t>
      </w:r>
      <w:r>
        <w:rPr>
          <w:rFonts w:cs="Times New Roman"/>
          <w:color w:val="auto"/>
          <w:szCs w:val="24"/>
        </w:rPr>
        <w:tab/>
        <w:t xml:space="preserve">Determination of the Physical Properties </w:t>
      </w:r>
    </w:p>
    <w:p w14:paraId="10FB1340" w14:textId="77777777" w:rsidR="00543E49" w:rsidRDefault="00C73355">
      <w:pPr>
        <w:spacing w:line="240" w:lineRule="auto"/>
        <w:jc w:val="both"/>
        <w:rPr>
          <w:rFonts w:ascii="Times New Roman" w:hAnsi="Times New Roman" w:cs="Times New Roman"/>
        </w:rPr>
      </w:pPr>
      <w:r>
        <w:rPr>
          <w:rFonts w:ascii="Times New Roman" w:hAnsi="Times New Roman" w:cs="Times New Roman"/>
        </w:rPr>
        <w:t xml:space="preserve">The physical characteristics of the enriched cake was measured using the method reported by (AOAC, 2020) with slight modification. Physical parameters that </w:t>
      </w:r>
      <w:r>
        <w:rPr>
          <w:rFonts w:ascii="Times New Roman" w:hAnsi="Times New Roman" w:cs="Times New Roman"/>
        </w:rPr>
        <w:t xml:space="preserve">were measured included height, weight, volume and specific volume. </w:t>
      </w:r>
    </w:p>
    <w:p w14:paraId="0B1E2C42" w14:textId="77777777" w:rsidR="00543E49" w:rsidRDefault="00C73355">
      <w:pPr>
        <w:spacing w:line="240" w:lineRule="auto"/>
        <w:jc w:val="both"/>
        <w:rPr>
          <w:rFonts w:ascii="Times New Roman" w:hAnsi="Times New Roman" w:cs="Times New Roman"/>
          <w:b/>
          <w:bCs/>
        </w:rPr>
      </w:pPr>
      <w:r>
        <w:rPr>
          <w:rFonts w:ascii="Times New Roman" w:hAnsi="Times New Roman" w:cs="Times New Roman"/>
          <w:b/>
          <w:bCs/>
        </w:rPr>
        <w:t>2.5.1</w:t>
      </w:r>
      <w:r>
        <w:rPr>
          <w:rFonts w:ascii="Times New Roman" w:hAnsi="Times New Roman" w:cs="Times New Roman"/>
          <w:b/>
          <w:bCs/>
        </w:rPr>
        <w:tab/>
        <w:t>Cake Height</w:t>
      </w:r>
    </w:p>
    <w:p w14:paraId="1F94A7AF" w14:textId="77777777" w:rsidR="00543E49" w:rsidRDefault="00C73355">
      <w:pPr>
        <w:spacing w:line="240" w:lineRule="auto"/>
        <w:jc w:val="both"/>
        <w:rPr>
          <w:rFonts w:ascii="Times New Roman" w:hAnsi="Times New Roman" w:cs="Times New Roman"/>
        </w:rPr>
      </w:pPr>
      <w:r>
        <w:rPr>
          <w:rFonts w:ascii="Times New Roman" w:hAnsi="Times New Roman" w:cs="Times New Roman"/>
        </w:rPr>
        <w:t>The height of the baked cake was measured at the Centre using a calibrated digital Vernier caliper. Measurements were taken from the base to the top of the cake, and expr</w:t>
      </w:r>
      <w:r>
        <w:rPr>
          <w:rFonts w:ascii="Times New Roman" w:hAnsi="Times New Roman" w:cs="Times New Roman"/>
        </w:rPr>
        <w:t>essed in centimeters (cm).</w:t>
      </w:r>
    </w:p>
    <w:p w14:paraId="24F1B7E5" w14:textId="77777777" w:rsidR="00543E49" w:rsidRDefault="00C73355">
      <w:pPr>
        <w:tabs>
          <w:tab w:val="left" w:pos="1814"/>
        </w:tabs>
        <w:spacing w:line="240" w:lineRule="auto"/>
        <w:rPr>
          <w:rFonts w:ascii="Times New Roman" w:hAnsi="Times New Roman" w:cs="Times New Roman"/>
        </w:rPr>
        <w:sectPr w:rsidR="00543E49">
          <w:headerReference w:type="even" r:id="rId8"/>
          <w:headerReference w:type="default" r:id="rId9"/>
          <w:footerReference w:type="even" r:id="rId10"/>
          <w:footerReference w:type="default" r:id="rId11"/>
          <w:headerReference w:type="first" r:id="rId12"/>
          <w:footerReference w:type="first" r:id="rId13"/>
          <w:pgSz w:w="11910" w:h="16840"/>
          <w:pgMar w:top="1360" w:right="1320" w:bottom="1200" w:left="1320" w:header="0" w:footer="1000" w:gutter="0"/>
          <w:pgNumType w:start="1"/>
          <w:cols w:space="720"/>
          <w:docGrid w:linePitch="326"/>
        </w:sectPr>
      </w:pPr>
      <w:r>
        <w:rPr>
          <w:rFonts w:ascii="Times New Roman" w:hAnsi="Times New Roman" w:cs="Times New Roman"/>
        </w:rPr>
        <w:tab/>
      </w:r>
    </w:p>
    <w:p w14:paraId="6828A56E" w14:textId="77777777" w:rsidR="00543E49" w:rsidRDefault="00C73355">
      <w:pPr>
        <w:spacing w:line="240" w:lineRule="auto"/>
        <w:jc w:val="both"/>
        <w:rPr>
          <w:rFonts w:ascii="Times New Roman" w:hAnsi="Times New Roman" w:cs="Times New Roman"/>
          <w:b/>
          <w:bCs/>
        </w:rPr>
      </w:pPr>
      <w:r>
        <w:rPr>
          <w:rFonts w:ascii="Times New Roman" w:hAnsi="Times New Roman" w:cs="Times New Roman"/>
          <w:b/>
          <w:bCs/>
        </w:rPr>
        <w:lastRenderedPageBreak/>
        <w:t>2.5.2</w:t>
      </w:r>
      <w:r>
        <w:rPr>
          <w:rFonts w:ascii="Times New Roman" w:hAnsi="Times New Roman" w:cs="Times New Roman"/>
          <w:b/>
          <w:bCs/>
        </w:rPr>
        <w:tab/>
        <w:t>Cake Weight</w:t>
      </w:r>
    </w:p>
    <w:p w14:paraId="7A5F539C" w14:textId="77777777" w:rsidR="00543E49" w:rsidRDefault="00C73355">
      <w:pPr>
        <w:spacing w:line="240" w:lineRule="auto"/>
        <w:jc w:val="both"/>
        <w:rPr>
          <w:rFonts w:ascii="Times New Roman" w:hAnsi="Times New Roman" w:cs="Times New Roman"/>
        </w:rPr>
      </w:pPr>
      <w:r>
        <w:rPr>
          <w:rFonts w:ascii="Times New Roman" w:hAnsi="Times New Roman" w:cs="Times New Roman"/>
        </w:rPr>
        <w:t>The weight of each cake was determined using a precision digital electronic weighing balance (±0.01 g accuracy). Each cake was weighed immediately after cooling to room temperature (2</w:t>
      </w:r>
      <w:r>
        <w:rPr>
          <w:rFonts w:ascii="Times New Roman" w:hAnsi="Times New Roman" w:cs="Times New Roman"/>
        </w:rPr>
        <w:t>5 ± 2 °C), and the weight was recorded in grams (g).</w:t>
      </w:r>
    </w:p>
    <w:p w14:paraId="36178208" w14:textId="77777777" w:rsidR="00543E49" w:rsidRDefault="00C73355">
      <w:pPr>
        <w:spacing w:line="240" w:lineRule="auto"/>
        <w:jc w:val="both"/>
        <w:rPr>
          <w:rFonts w:ascii="Times New Roman" w:hAnsi="Times New Roman" w:cs="Times New Roman"/>
          <w:b/>
          <w:bCs/>
        </w:rPr>
      </w:pPr>
      <w:r>
        <w:rPr>
          <w:rFonts w:ascii="Times New Roman" w:hAnsi="Times New Roman" w:cs="Times New Roman"/>
          <w:b/>
          <w:bCs/>
        </w:rPr>
        <w:t>2.5.3</w:t>
      </w:r>
      <w:r>
        <w:rPr>
          <w:rFonts w:ascii="Times New Roman" w:hAnsi="Times New Roman" w:cs="Times New Roman"/>
          <w:b/>
          <w:bCs/>
        </w:rPr>
        <w:tab/>
        <w:t>Cake Volume</w:t>
      </w:r>
    </w:p>
    <w:p w14:paraId="3EE43836" w14:textId="77777777" w:rsidR="00543E49" w:rsidRDefault="00C73355">
      <w:pPr>
        <w:spacing w:line="240" w:lineRule="auto"/>
        <w:jc w:val="both"/>
        <w:rPr>
          <w:rFonts w:ascii="Times New Roman" w:hAnsi="Times New Roman" w:cs="Times New Roman"/>
        </w:rPr>
      </w:pPr>
      <w:r>
        <w:rPr>
          <w:rFonts w:ascii="Times New Roman" w:hAnsi="Times New Roman" w:cs="Times New Roman"/>
        </w:rPr>
        <w:t>The cup cakes' volume was calculated using the formula for the volume of a truncated cone, as shown below:</w:t>
      </w:r>
    </w:p>
    <w:p w14:paraId="544D3826" w14:textId="77777777" w:rsidR="00543E49" w:rsidRDefault="00C73355">
      <w:pPr>
        <w:spacing w:line="240" w:lineRule="auto"/>
        <w:jc w:val="both"/>
        <w:rPr>
          <w:rFonts w:ascii="Times New Roman" w:hAnsi="Times New Roman" w:cs="Times New Roman"/>
        </w:rPr>
      </w:pPr>
      <w:r>
        <w:rPr>
          <w:rFonts w:ascii="Times New Roman" w:hAnsi="Times New Roman" w:cs="Times New Roman"/>
        </w:rPr>
        <w:t>Volume (cm</w:t>
      </w:r>
      <w:r>
        <w:rPr>
          <w:rFonts w:ascii="Times New Roman" w:hAnsi="Times New Roman" w:cs="Times New Roman"/>
          <w:vertAlign w:val="superscript"/>
        </w:rPr>
        <w:t>3</w:t>
      </w:r>
      <w:r>
        <w:rPr>
          <w:rFonts w:ascii="Times New Roman" w:hAnsi="Times New Roman" w:cs="Times New Roman"/>
        </w:rPr>
        <w:t xml:space="preserve">) = </w:t>
      </w:r>
      <m:oMath>
        <m:f>
          <m:fPr>
            <m:ctrlPr>
              <w:rPr>
                <w:rFonts w:ascii="Cambria Math" w:hAnsi="Cambria Math" w:cs="Times New Roman"/>
                <w:i/>
              </w:rPr>
            </m:ctrlPr>
          </m:fPr>
          <m:num>
            <m:r>
              <w:rPr>
                <w:rFonts w:ascii="Cambria Math" w:hAnsi="Cambria Math" w:cs="Times New Roman"/>
              </w:rPr>
              <m:t>π</m:t>
            </m:r>
            <m:r>
              <w:rPr>
                <w:rFonts w:ascii="Cambria Math" w:hAnsi="Cambria Math" w:cs="Times New Roman"/>
              </w:rPr>
              <m:t>h</m:t>
            </m:r>
          </m:num>
          <m:den>
            <m:r>
              <w:rPr>
                <w:rFonts w:ascii="Cambria Math" w:hAnsi="Cambria Math" w:cs="Times New Roman"/>
              </w:rPr>
              <m:t>12</m:t>
            </m:r>
          </m:den>
        </m:f>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r>
              <w:rPr>
                <w:rFonts w:ascii="Cambria Math" w:hAnsi="Cambria Math" w:cs="Times New Roman"/>
              </w:rPr>
              <m:t>+</m:t>
            </m:r>
            <m:r>
              <w:rPr>
                <w:rFonts w:ascii="Cambria Math" w:hAnsi="Cambria Math" w:cs="Times New Roman"/>
              </w:rPr>
              <m:t>db</m:t>
            </m:r>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e>
        </m:d>
      </m:oMath>
    </w:p>
    <w:p w14:paraId="316FDD0D" w14:textId="77777777" w:rsidR="00543E49" w:rsidRDefault="00C73355">
      <w:pPr>
        <w:spacing w:line="240" w:lineRule="auto"/>
        <w:jc w:val="both"/>
        <w:rPr>
          <w:rFonts w:ascii="Times New Roman" w:hAnsi="Times New Roman" w:cs="Times New Roman"/>
        </w:rPr>
      </w:pPr>
      <w:r>
        <w:rPr>
          <w:rFonts w:ascii="Times New Roman" w:hAnsi="Times New Roman" w:cs="Times New Roman"/>
        </w:rPr>
        <w:t>Where:</w:t>
      </w:r>
    </w:p>
    <w:p w14:paraId="2B800DFF" w14:textId="77777777" w:rsidR="00543E49" w:rsidRDefault="00C73355">
      <w:pPr>
        <w:spacing w:line="240" w:lineRule="auto"/>
        <w:jc w:val="both"/>
        <w:rPr>
          <w:rFonts w:ascii="Times New Roman" w:hAnsi="Times New Roman" w:cs="Times New Roman"/>
        </w:rPr>
      </w:pPr>
      <w:r>
        <w:rPr>
          <w:rFonts w:ascii="Times New Roman" w:hAnsi="Times New Roman" w:cs="Times New Roman"/>
        </w:rPr>
        <w:t>V = volume (cm³)</w:t>
      </w:r>
    </w:p>
    <w:p w14:paraId="6AA5B40B" w14:textId="77777777" w:rsidR="00543E49" w:rsidRDefault="00C73355">
      <w:pPr>
        <w:spacing w:line="240" w:lineRule="auto"/>
        <w:jc w:val="both"/>
        <w:rPr>
          <w:rFonts w:ascii="Times New Roman" w:hAnsi="Times New Roman" w:cs="Times New Roman"/>
        </w:rPr>
      </w:pPr>
      <w:r>
        <w:rPr>
          <w:rFonts w:ascii="Times New Roman" w:hAnsi="Times New Roman" w:cs="Times New Roman"/>
        </w:rPr>
        <w:t>π ≈ 3.1416</w:t>
      </w:r>
    </w:p>
    <w:p w14:paraId="71F903FA" w14:textId="77777777" w:rsidR="00543E49" w:rsidRDefault="00C73355">
      <w:pPr>
        <w:spacing w:line="240" w:lineRule="auto"/>
        <w:jc w:val="both"/>
        <w:rPr>
          <w:rFonts w:ascii="Times New Roman" w:hAnsi="Times New Roman" w:cs="Times New Roman"/>
        </w:rPr>
      </w:pPr>
      <w:r>
        <w:rPr>
          <w:rFonts w:ascii="Times New Roman" w:hAnsi="Times New Roman" w:cs="Times New Roman"/>
        </w:rPr>
        <w:t>h = height</w:t>
      </w:r>
      <w:r>
        <w:rPr>
          <w:rFonts w:ascii="Times New Roman" w:hAnsi="Times New Roman" w:cs="Times New Roman"/>
        </w:rPr>
        <w:t xml:space="preserve"> of the cake (cm)</w:t>
      </w:r>
    </w:p>
    <w:p w14:paraId="791A82EE" w14:textId="77777777" w:rsidR="00543E49" w:rsidRDefault="00C73355">
      <w:pPr>
        <w:spacing w:line="240" w:lineRule="auto"/>
        <w:jc w:val="both"/>
        <w:rPr>
          <w:rFonts w:ascii="Times New Roman" w:hAnsi="Times New Roman" w:cs="Times New Roman"/>
        </w:rPr>
      </w:pPr>
      <w:r>
        <w:rPr>
          <w:rFonts w:ascii="Times New Roman" w:hAnsi="Times New Roman" w:cs="Times New Roman"/>
        </w:rPr>
        <w:t>d = top diameter (cm)</w:t>
      </w:r>
    </w:p>
    <w:p w14:paraId="091DE112" w14:textId="77777777" w:rsidR="00543E49" w:rsidRDefault="00C73355">
      <w:pPr>
        <w:tabs>
          <w:tab w:val="left" w:pos="5139"/>
        </w:tabs>
        <w:spacing w:line="240" w:lineRule="auto"/>
        <w:jc w:val="both"/>
        <w:rPr>
          <w:rFonts w:ascii="Times New Roman" w:hAnsi="Times New Roman" w:cs="Times New Roman"/>
        </w:rPr>
      </w:pPr>
      <w:r>
        <w:rPr>
          <w:rFonts w:ascii="Times New Roman" w:hAnsi="Times New Roman" w:cs="Times New Roman"/>
        </w:rPr>
        <w:t>b = bottom diameter (cm)</w:t>
      </w:r>
      <w:r>
        <w:rPr>
          <w:rFonts w:ascii="Times New Roman" w:hAnsi="Times New Roman" w:cs="Times New Roman"/>
        </w:rPr>
        <w:tab/>
      </w:r>
    </w:p>
    <w:p w14:paraId="5A5025B6" w14:textId="77777777" w:rsidR="00543E49" w:rsidRDefault="00C73355">
      <w:pPr>
        <w:spacing w:line="240" w:lineRule="auto"/>
        <w:jc w:val="both"/>
        <w:rPr>
          <w:rFonts w:ascii="Times New Roman" w:hAnsi="Times New Roman" w:cs="Times New Roman"/>
          <w:b/>
          <w:bCs/>
        </w:rPr>
      </w:pPr>
      <w:r>
        <w:rPr>
          <w:rFonts w:ascii="Times New Roman" w:hAnsi="Times New Roman" w:cs="Times New Roman"/>
          <w:b/>
          <w:bCs/>
        </w:rPr>
        <w:t>2.5.4</w:t>
      </w:r>
      <w:r>
        <w:rPr>
          <w:rFonts w:ascii="Times New Roman" w:hAnsi="Times New Roman" w:cs="Times New Roman"/>
          <w:b/>
          <w:bCs/>
        </w:rPr>
        <w:tab/>
        <w:t>Specific Volume of Cake</w:t>
      </w:r>
    </w:p>
    <w:p w14:paraId="4FC39D78" w14:textId="77777777" w:rsidR="00543E49" w:rsidRDefault="00C73355">
      <w:pPr>
        <w:spacing w:line="240" w:lineRule="auto"/>
        <w:jc w:val="both"/>
        <w:rPr>
          <w:rFonts w:ascii="Times New Roman" w:hAnsi="Times New Roman" w:cs="Times New Roman"/>
        </w:rPr>
      </w:pPr>
      <w:r>
        <w:rPr>
          <w:rFonts w:ascii="Times New Roman" w:hAnsi="Times New Roman" w:cs="Times New Roman"/>
        </w:rPr>
        <w:t>The specific volume of each cake sample was calculated by dividing the volume (cm³), obtained using the truncated cone equation, by its weight (g) as shown in t</w:t>
      </w:r>
      <w:r>
        <w:rPr>
          <w:rFonts w:ascii="Times New Roman" w:hAnsi="Times New Roman" w:cs="Times New Roman"/>
        </w:rPr>
        <w:t>he equation below;</w:t>
      </w:r>
    </w:p>
    <w:p w14:paraId="1E7CE315" w14:textId="77777777" w:rsidR="00543E49" w:rsidRDefault="00C73355">
      <w:pPr>
        <w:spacing w:after="0" w:line="240" w:lineRule="auto"/>
        <w:jc w:val="both"/>
        <w:rPr>
          <w:rFonts w:ascii="Times New Roman" w:eastAsiaTheme="minorEastAsia" w:hAnsi="Times New Roman" w:cs="Times New Roman"/>
        </w:rPr>
      </w:pPr>
      <w:r>
        <w:rPr>
          <w:rFonts w:ascii="Times New Roman" w:hAnsi="Times New Roman" w:cs="Times New Roman"/>
        </w:rPr>
        <w:t>Specific Volume (cm</w:t>
      </w:r>
      <w:r>
        <w:rPr>
          <w:rFonts w:ascii="Times New Roman" w:hAnsi="Times New Roman" w:cs="Times New Roman"/>
          <w:vertAlign w:val="superscript"/>
        </w:rPr>
        <w:t>3</w:t>
      </w:r>
      <w:r>
        <w:rPr>
          <w:rFonts w:ascii="Times New Roman" w:hAnsi="Times New Roman" w:cs="Times New Roman"/>
        </w:rPr>
        <w:t xml:space="preserve">/g) = </w:t>
      </w:r>
      <m:oMath>
        <m:f>
          <m:fPr>
            <m:ctrlPr>
              <w:rPr>
                <w:rFonts w:ascii="Cambria Math" w:hAnsi="Cambria Math" w:cs="Times New Roman"/>
                <w:i/>
              </w:rPr>
            </m:ctrlPr>
          </m:fPr>
          <m:num>
            <m:r>
              <w:rPr>
                <w:rFonts w:ascii="Cambria Math" w:hAnsi="Cambria Math" w:cs="Times New Roman"/>
              </w:rPr>
              <m:t>Cake</m:t>
            </m:r>
            <m:r>
              <w:rPr>
                <w:rFonts w:ascii="Cambria Math" w:hAnsi="Cambria Math" w:cs="Times New Roman"/>
              </w:rPr>
              <m:t> </m:t>
            </m:r>
            <m:r>
              <w:rPr>
                <w:rFonts w:ascii="Cambria Math" w:hAnsi="Cambria Math" w:cs="Times New Roman"/>
              </w:rPr>
              <m:t>Volume</m:t>
            </m:r>
            <m:r>
              <w:rPr>
                <w:rFonts w:ascii="Cambria Math" w:hAnsi="Cambria Math" w:cs="Times New Roman"/>
              </w:rPr>
              <m:t> (</m:t>
            </m:r>
            <m:sSup>
              <m:sSupPr>
                <m:ctrlPr>
                  <w:rPr>
                    <w:rFonts w:ascii="Cambria Math" w:hAnsi="Cambria Math" w:cs="Times New Roman"/>
                    <w:i/>
                    <w:iCs/>
                  </w:rPr>
                </m:ctrlPr>
              </m:sSupPr>
              <m:e>
                <m:r>
                  <w:rPr>
                    <w:rFonts w:ascii="Cambria Math" w:hAnsi="Cambria Math" w:cs="Times New Roman"/>
                  </w:rPr>
                  <m:t>cm</m:t>
                </m:r>
              </m:e>
              <m:sup>
                <m:r>
                  <w:rPr>
                    <w:rFonts w:ascii="Cambria Math" w:hAnsi="Cambria Math" w:cs="Times New Roman"/>
                  </w:rPr>
                  <m:t>3</m:t>
                </m:r>
              </m:sup>
            </m:sSup>
            <m:r>
              <w:rPr>
                <w:rFonts w:ascii="Cambria Math" w:hAnsi="Cambria Math" w:cs="Times New Roman"/>
              </w:rPr>
              <m:t>)​</m:t>
            </m:r>
          </m:num>
          <m:den>
            <m:r>
              <w:rPr>
                <w:rFonts w:ascii="Cambria Math" w:hAnsi="Cambria Math" w:cs="Times New Roman"/>
              </w:rPr>
              <m:t>Cake</m:t>
            </m:r>
            <m:r>
              <w:rPr>
                <w:rFonts w:ascii="Cambria Math" w:hAnsi="Cambria Math" w:cs="Times New Roman"/>
              </w:rPr>
              <m:t xml:space="preserve"> </m:t>
            </m:r>
            <m:r>
              <w:rPr>
                <w:rFonts w:ascii="Cambria Math" w:hAnsi="Cambria Math" w:cs="Times New Roman"/>
              </w:rPr>
              <m:t>Weig</m:t>
            </m:r>
            <m:r>
              <w:rPr>
                <w:rFonts w:ascii="Cambria Math" w:hAnsi="Cambria Math" w:cs="Times New Roman"/>
              </w:rPr>
              <m:t>h</m:t>
            </m:r>
            <m:r>
              <w:rPr>
                <w:rFonts w:ascii="Cambria Math" w:hAnsi="Cambria Math" w:cs="Times New Roman"/>
              </w:rPr>
              <m:t>t</m:t>
            </m:r>
            <m:r>
              <w:rPr>
                <w:rFonts w:ascii="Cambria Math" w:hAnsi="Cambria Math" w:cs="Times New Roman"/>
              </w:rPr>
              <m:t xml:space="preserve"> (</m:t>
            </m:r>
            <m:r>
              <w:rPr>
                <w:rFonts w:ascii="Cambria Math" w:hAnsi="Cambria Math" w:cs="Times New Roman"/>
              </w:rPr>
              <m:t>g</m:t>
            </m:r>
            <m:r>
              <w:rPr>
                <w:rFonts w:ascii="Cambria Math" w:hAnsi="Cambria Math" w:cs="Times New Roman"/>
              </w:rPr>
              <m:t>)</m:t>
            </m:r>
          </m:den>
        </m:f>
      </m:oMath>
    </w:p>
    <w:p w14:paraId="382051FB" w14:textId="77777777" w:rsidR="00543E49" w:rsidRDefault="00C73355">
      <w:pPr>
        <w:spacing w:line="240" w:lineRule="auto"/>
        <w:jc w:val="both"/>
        <w:rPr>
          <w:rFonts w:ascii="Times New Roman" w:hAnsi="Times New Roman" w:cs="Times New Roman"/>
          <w:b/>
        </w:rPr>
      </w:pPr>
      <w:r>
        <w:rPr>
          <w:rFonts w:ascii="Times New Roman" w:hAnsi="Times New Roman" w:cs="Times New Roman"/>
          <w:b/>
        </w:rPr>
        <w:t>2.6 Determination of Proximate Composition of Cakes</w:t>
      </w:r>
    </w:p>
    <w:p w14:paraId="4AF5CA3F" w14:textId="77777777" w:rsidR="00543E49" w:rsidRDefault="00C73355">
      <w:pPr>
        <w:spacing w:line="240" w:lineRule="auto"/>
        <w:jc w:val="both"/>
        <w:rPr>
          <w:rFonts w:ascii="Times New Roman" w:hAnsi="Times New Roman" w:cs="Times New Roman"/>
        </w:rPr>
      </w:pPr>
      <w:r>
        <w:rPr>
          <w:rFonts w:ascii="Times New Roman" w:hAnsi="Times New Roman" w:cs="Times New Roman"/>
        </w:rPr>
        <w:t>The moisture content (hot air oven method), fat (Soxhlet extraction method), ash, protein (Kjeldahl met</w:t>
      </w:r>
      <w:r>
        <w:rPr>
          <w:rFonts w:ascii="Times New Roman" w:hAnsi="Times New Roman" w:cs="Times New Roman"/>
        </w:rPr>
        <w:t xml:space="preserve">hod) and crude </w:t>
      </w:r>
      <w:proofErr w:type="spellStart"/>
      <w:r>
        <w:rPr>
          <w:rFonts w:ascii="Times New Roman" w:hAnsi="Times New Roman" w:cs="Times New Roman"/>
        </w:rPr>
        <w:t>fibre</w:t>
      </w:r>
      <w:proofErr w:type="spellEnd"/>
      <w:r>
        <w:rPr>
          <w:rFonts w:ascii="Times New Roman" w:hAnsi="Times New Roman" w:cs="Times New Roman"/>
        </w:rPr>
        <w:t xml:space="preserve"> were determined using AOAC (2012) method. The carbohydrate content was determined by difference (</w:t>
      </w:r>
      <w:proofErr w:type="spellStart"/>
      <w:r>
        <w:rPr>
          <w:rFonts w:ascii="Times New Roman" w:hAnsi="Times New Roman" w:cs="Times New Roman"/>
        </w:rPr>
        <w:t>Ihekoronye</w:t>
      </w:r>
      <w:proofErr w:type="spellEnd"/>
      <w:r>
        <w:rPr>
          <w:rFonts w:ascii="Times New Roman" w:hAnsi="Times New Roman" w:cs="Times New Roman"/>
        </w:rPr>
        <w:t xml:space="preserve"> and </w:t>
      </w:r>
      <w:proofErr w:type="spellStart"/>
      <w:r>
        <w:rPr>
          <w:rFonts w:ascii="Times New Roman" w:hAnsi="Times New Roman" w:cs="Times New Roman"/>
        </w:rPr>
        <w:t>Ngoddy</w:t>
      </w:r>
      <w:proofErr w:type="spellEnd"/>
      <w:r>
        <w:rPr>
          <w:rFonts w:ascii="Times New Roman" w:hAnsi="Times New Roman" w:cs="Times New Roman"/>
        </w:rPr>
        <w:t xml:space="preserve">, 1985).  </w:t>
      </w:r>
    </w:p>
    <w:p w14:paraId="525CB857" w14:textId="77777777" w:rsidR="00543E49" w:rsidRDefault="00C73355">
      <w:pPr>
        <w:pStyle w:val="Heading1"/>
        <w:spacing w:before="3" w:after="0" w:line="240" w:lineRule="auto"/>
        <w:rPr>
          <w:rFonts w:cs="Times New Roman"/>
          <w:color w:val="auto"/>
          <w:szCs w:val="24"/>
        </w:rPr>
      </w:pPr>
      <w:bookmarkStart w:id="9" w:name="_Toc183650810"/>
      <w:r>
        <w:rPr>
          <w:rFonts w:cs="Times New Roman"/>
          <w:color w:val="auto"/>
          <w:szCs w:val="24"/>
        </w:rPr>
        <w:t xml:space="preserve">2.7    </w:t>
      </w:r>
      <w:r>
        <w:rPr>
          <w:rFonts w:cs="Times New Roman"/>
          <w:color w:val="auto"/>
          <w:spacing w:val="59"/>
          <w:szCs w:val="24"/>
        </w:rPr>
        <w:t xml:space="preserve"> </w:t>
      </w:r>
      <w:r>
        <w:rPr>
          <w:rFonts w:cs="Times New Roman"/>
          <w:color w:val="auto"/>
          <w:szCs w:val="24"/>
        </w:rPr>
        <w:t>Sensory</w:t>
      </w:r>
      <w:r>
        <w:rPr>
          <w:rFonts w:cs="Times New Roman"/>
          <w:color w:val="auto"/>
          <w:spacing w:val="-1"/>
          <w:szCs w:val="24"/>
        </w:rPr>
        <w:t xml:space="preserve"> </w:t>
      </w:r>
      <w:r>
        <w:rPr>
          <w:rFonts w:cs="Times New Roman"/>
          <w:color w:val="auto"/>
          <w:szCs w:val="24"/>
        </w:rPr>
        <w:t>Evaluation of</w:t>
      </w:r>
      <w:r>
        <w:rPr>
          <w:rFonts w:cs="Times New Roman"/>
          <w:color w:val="auto"/>
          <w:spacing w:val="-2"/>
          <w:szCs w:val="24"/>
        </w:rPr>
        <w:t xml:space="preserve"> </w:t>
      </w:r>
      <w:bookmarkEnd w:id="9"/>
      <w:r>
        <w:rPr>
          <w:rFonts w:cs="Times New Roman"/>
          <w:color w:val="auto"/>
          <w:szCs w:val="24"/>
        </w:rPr>
        <w:t>Cakes</w:t>
      </w:r>
    </w:p>
    <w:p w14:paraId="4A18B932" w14:textId="77777777" w:rsidR="00543E49" w:rsidRDefault="00C73355">
      <w:pPr>
        <w:pStyle w:val="BodyText"/>
        <w:ind w:right="115"/>
        <w:jc w:val="both"/>
      </w:pPr>
      <w:r>
        <w:t>The</w:t>
      </w:r>
      <w:r>
        <w:rPr>
          <w:spacing w:val="-5"/>
        </w:rPr>
        <w:t xml:space="preserve"> </w:t>
      </w:r>
      <w:r>
        <w:t>cake</w:t>
      </w:r>
      <w:r>
        <w:rPr>
          <w:spacing w:val="-3"/>
        </w:rPr>
        <w:t xml:space="preserve"> </w:t>
      </w:r>
      <w:r>
        <w:t>samples</w:t>
      </w:r>
      <w:r>
        <w:rPr>
          <w:spacing w:val="-4"/>
        </w:rPr>
        <w:t xml:space="preserve"> </w:t>
      </w:r>
      <w:r>
        <w:t>produced</w:t>
      </w:r>
      <w:r>
        <w:rPr>
          <w:spacing w:val="-4"/>
        </w:rPr>
        <w:t xml:space="preserve"> </w:t>
      </w:r>
      <w:r>
        <w:t>from</w:t>
      </w:r>
      <w:r>
        <w:rPr>
          <w:spacing w:val="-4"/>
        </w:rPr>
        <w:t xml:space="preserve"> </w:t>
      </w:r>
      <w:r>
        <w:t>the</w:t>
      </w:r>
      <w:r>
        <w:rPr>
          <w:spacing w:val="-4"/>
        </w:rPr>
        <w:t xml:space="preserve"> </w:t>
      </w:r>
      <w:r>
        <w:t>flour</w:t>
      </w:r>
      <w:r>
        <w:rPr>
          <w:spacing w:val="-5"/>
        </w:rPr>
        <w:t xml:space="preserve"> </w:t>
      </w:r>
      <w:r>
        <w:t>blends</w:t>
      </w:r>
      <w:r>
        <w:rPr>
          <w:spacing w:val="-4"/>
        </w:rPr>
        <w:t xml:space="preserve"> </w:t>
      </w:r>
      <w:r>
        <w:t>of</w:t>
      </w:r>
      <w:r>
        <w:rPr>
          <w:spacing w:val="-5"/>
        </w:rPr>
        <w:t xml:space="preserve"> </w:t>
      </w:r>
      <w:r>
        <w:t xml:space="preserve">wheat, </w:t>
      </w:r>
      <w:proofErr w:type="spellStart"/>
      <w:r>
        <w:t>acha</w:t>
      </w:r>
      <w:proofErr w:type="spellEnd"/>
      <w:r>
        <w:rPr>
          <w:spacing w:val="-3"/>
        </w:rPr>
        <w:t xml:space="preserve"> </w:t>
      </w:r>
      <w:r>
        <w:t>and</w:t>
      </w:r>
      <w:r>
        <w:rPr>
          <w:spacing w:val="-4"/>
        </w:rPr>
        <w:t xml:space="preserve"> </w:t>
      </w:r>
      <w:r>
        <w:t>coconut residue</w:t>
      </w:r>
      <w:r>
        <w:rPr>
          <w:spacing w:val="-3"/>
        </w:rPr>
        <w:t xml:space="preserve"> </w:t>
      </w:r>
      <w:r>
        <w:t>flour</w:t>
      </w:r>
      <w:r>
        <w:rPr>
          <w:spacing w:val="-3"/>
        </w:rPr>
        <w:t xml:space="preserve"> </w:t>
      </w:r>
      <w:r>
        <w:t>were</w:t>
      </w:r>
      <w:r>
        <w:rPr>
          <w:spacing w:val="-8"/>
        </w:rPr>
        <w:t xml:space="preserve"> </w:t>
      </w:r>
      <w:r>
        <w:t>subjected</w:t>
      </w:r>
      <w:r>
        <w:rPr>
          <w:spacing w:val="-7"/>
        </w:rPr>
        <w:t xml:space="preserve"> </w:t>
      </w:r>
      <w:r>
        <w:t>to</w:t>
      </w:r>
      <w:r>
        <w:rPr>
          <w:spacing w:val="-6"/>
        </w:rPr>
        <w:t xml:space="preserve"> </w:t>
      </w:r>
      <w:r>
        <w:t>sensory</w:t>
      </w:r>
      <w:r>
        <w:rPr>
          <w:spacing w:val="-4"/>
        </w:rPr>
        <w:t xml:space="preserve"> </w:t>
      </w:r>
      <w:r>
        <w:t>evaluation</w:t>
      </w:r>
      <w:r>
        <w:rPr>
          <w:spacing w:val="-6"/>
        </w:rPr>
        <w:t xml:space="preserve"> </w:t>
      </w:r>
      <w:r>
        <w:t>for</w:t>
      </w:r>
      <w:r>
        <w:rPr>
          <w:spacing w:val="-8"/>
        </w:rPr>
        <w:t xml:space="preserve"> </w:t>
      </w:r>
      <w:r>
        <w:t>the</w:t>
      </w:r>
      <w:r>
        <w:rPr>
          <w:spacing w:val="-7"/>
        </w:rPr>
        <w:t xml:space="preserve"> </w:t>
      </w:r>
      <w:r>
        <w:t>attributes</w:t>
      </w:r>
      <w:r>
        <w:rPr>
          <w:spacing w:val="-6"/>
        </w:rPr>
        <w:t xml:space="preserve"> </w:t>
      </w:r>
      <w:r>
        <w:t>of</w:t>
      </w:r>
      <w:r>
        <w:rPr>
          <w:spacing w:val="-6"/>
        </w:rPr>
        <w:t xml:space="preserve"> </w:t>
      </w:r>
      <w:r>
        <w:t>appearance,</w:t>
      </w:r>
      <w:r>
        <w:rPr>
          <w:spacing w:val="-6"/>
        </w:rPr>
        <w:t xml:space="preserve"> </w:t>
      </w:r>
      <w:r>
        <w:t>aroma,</w:t>
      </w:r>
      <w:r>
        <w:rPr>
          <w:spacing w:val="-6"/>
        </w:rPr>
        <w:t xml:space="preserve"> </w:t>
      </w:r>
      <w:r>
        <w:t>taste,</w:t>
      </w:r>
      <w:r>
        <w:rPr>
          <w:spacing w:val="-6"/>
        </w:rPr>
        <w:t xml:space="preserve"> </w:t>
      </w:r>
      <w:r>
        <w:t>mouthfeel</w:t>
      </w:r>
      <w:r>
        <w:rPr>
          <w:spacing w:val="-6"/>
        </w:rPr>
        <w:t xml:space="preserve"> </w:t>
      </w:r>
      <w:r>
        <w:t>and</w:t>
      </w:r>
      <w:r>
        <w:rPr>
          <w:spacing w:val="-58"/>
        </w:rPr>
        <w:t xml:space="preserve"> </w:t>
      </w:r>
      <w:r>
        <w:t>overall acceptability. A semi-trained fifteen-member panel were used comprising of under</w:t>
      </w:r>
      <w:r>
        <w:rPr>
          <w:spacing w:val="1"/>
        </w:rPr>
        <w:t xml:space="preserve"> </w:t>
      </w:r>
      <w:r>
        <w:t>graduate students, and scores were allocated b</w:t>
      </w:r>
      <w:r>
        <w:t>y the panelists based on a 9-point Hedonic</w:t>
      </w:r>
      <w:r>
        <w:rPr>
          <w:spacing w:val="1"/>
        </w:rPr>
        <w:t xml:space="preserve"> </w:t>
      </w:r>
      <w:r>
        <w:t>scale, ranging from 1 (dislike extremely) to 9 (like extremely). The data collected were</w:t>
      </w:r>
      <w:r>
        <w:rPr>
          <w:spacing w:val="1"/>
        </w:rPr>
        <w:t xml:space="preserve"> </w:t>
      </w:r>
      <w:r>
        <w:t>subjected</w:t>
      </w:r>
      <w:r>
        <w:rPr>
          <w:spacing w:val="-1"/>
        </w:rPr>
        <w:t xml:space="preserve"> </w:t>
      </w:r>
      <w:r>
        <w:t>to</w:t>
      </w:r>
      <w:r>
        <w:rPr>
          <w:spacing w:val="-1"/>
        </w:rPr>
        <w:t xml:space="preserve"> </w:t>
      </w:r>
      <w:r>
        <w:t>statistical</w:t>
      </w:r>
      <w:r>
        <w:rPr>
          <w:spacing w:val="-1"/>
        </w:rPr>
        <w:t xml:space="preserve"> </w:t>
      </w:r>
      <w:r>
        <w:t>analysis</w:t>
      </w:r>
      <w:r>
        <w:rPr>
          <w:spacing w:val="-2"/>
        </w:rPr>
        <w:t xml:space="preserve"> </w:t>
      </w:r>
      <w:r>
        <w:t>to determine</w:t>
      </w:r>
      <w:r>
        <w:rPr>
          <w:spacing w:val="-2"/>
        </w:rPr>
        <w:t xml:space="preserve"> </w:t>
      </w:r>
      <w:r>
        <w:t>possible</w:t>
      </w:r>
      <w:r>
        <w:rPr>
          <w:spacing w:val="-1"/>
        </w:rPr>
        <w:t xml:space="preserve"> </w:t>
      </w:r>
      <w:r>
        <w:t>differences</w:t>
      </w:r>
      <w:r>
        <w:rPr>
          <w:spacing w:val="-2"/>
        </w:rPr>
        <w:t xml:space="preserve"> </w:t>
      </w:r>
      <w:r>
        <w:t>among</w:t>
      </w:r>
      <w:r>
        <w:rPr>
          <w:spacing w:val="-1"/>
        </w:rPr>
        <w:t xml:space="preserve"> </w:t>
      </w:r>
      <w:r>
        <w:t>samples.</w:t>
      </w:r>
    </w:p>
    <w:p w14:paraId="318599F8" w14:textId="77777777" w:rsidR="00543E49" w:rsidRDefault="00C73355">
      <w:pPr>
        <w:pStyle w:val="Heading1"/>
        <w:spacing w:before="1" w:line="240" w:lineRule="auto"/>
        <w:rPr>
          <w:rFonts w:cs="Times New Roman"/>
          <w:color w:val="auto"/>
          <w:szCs w:val="24"/>
        </w:rPr>
      </w:pPr>
      <w:bookmarkStart w:id="10" w:name="_Toc183650811"/>
      <w:r>
        <w:rPr>
          <w:rFonts w:cs="Times New Roman"/>
          <w:color w:val="auto"/>
          <w:szCs w:val="24"/>
        </w:rPr>
        <w:t xml:space="preserve">2.8    </w:t>
      </w:r>
      <w:r>
        <w:rPr>
          <w:rFonts w:cs="Times New Roman"/>
          <w:color w:val="auto"/>
          <w:spacing w:val="59"/>
          <w:szCs w:val="24"/>
        </w:rPr>
        <w:t xml:space="preserve"> </w:t>
      </w:r>
      <w:r>
        <w:rPr>
          <w:rFonts w:cs="Times New Roman"/>
          <w:color w:val="auto"/>
          <w:szCs w:val="24"/>
        </w:rPr>
        <w:t>Statistical</w:t>
      </w:r>
      <w:r>
        <w:rPr>
          <w:rFonts w:cs="Times New Roman"/>
          <w:color w:val="auto"/>
          <w:spacing w:val="-1"/>
          <w:szCs w:val="24"/>
        </w:rPr>
        <w:t xml:space="preserve"> </w:t>
      </w:r>
      <w:r>
        <w:rPr>
          <w:rFonts w:cs="Times New Roman"/>
          <w:color w:val="auto"/>
          <w:szCs w:val="24"/>
        </w:rPr>
        <w:t>Analysis</w:t>
      </w:r>
      <w:bookmarkEnd w:id="10"/>
    </w:p>
    <w:p w14:paraId="6D707AA9" w14:textId="77777777" w:rsidR="00543E49" w:rsidRDefault="00C73355">
      <w:pPr>
        <w:pStyle w:val="BodyText"/>
        <w:ind w:right="117"/>
        <w:jc w:val="both"/>
      </w:pPr>
      <w:r>
        <w:t xml:space="preserve">The data </w:t>
      </w:r>
      <w:r>
        <w:t>generated was subjected to analysis of variance (ANOVA) and means were</w:t>
      </w:r>
      <w:r>
        <w:rPr>
          <w:spacing w:val="1"/>
        </w:rPr>
        <w:t xml:space="preserve"> </w:t>
      </w:r>
      <w:r>
        <w:t>separated using Fishers’ Least Significance difference while significant difference was</w:t>
      </w:r>
      <w:r>
        <w:rPr>
          <w:spacing w:val="1"/>
        </w:rPr>
        <w:t xml:space="preserve"> </w:t>
      </w:r>
      <w:r>
        <w:t>tested</w:t>
      </w:r>
      <w:r>
        <w:rPr>
          <w:spacing w:val="-1"/>
        </w:rPr>
        <w:t xml:space="preserve"> </w:t>
      </w:r>
      <w:r>
        <w:t>at 5 % level of</w:t>
      </w:r>
      <w:r>
        <w:rPr>
          <w:spacing w:val="-1"/>
        </w:rPr>
        <w:t xml:space="preserve"> </w:t>
      </w:r>
      <w:r>
        <w:t>probability.</w:t>
      </w:r>
    </w:p>
    <w:p w14:paraId="0F1E8EBF" w14:textId="77777777" w:rsidR="00543E49" w:rsidRDefault="00C73355">
      <w:pPr>
        <w:spacing w:line="240" w:lineRule="auto"/>
        <w:jc w:val="both"/>
        <w:rPr>
          <w:rFonts w:ascii="Times New Roman" w:hAnsi="Times New Roman" w:cs="Times New Roman"/>
          <w:b/>
        </w:rPr>
      </w:pPr>
      <w:r>
        <w:rPr>
          <w:rFonts w:ascii="Times New Roman" w:hAnsi="Times New Roman" w:cs="Times New Roman"/>
        </w:rPr>
        <w:t xml:space="preserve"> 3</w:t>
      </w:r>
      <w:r>
        <w:rPr>
          <w:rFonts w:ascii="Times New Roman" w:hAnsi="Times New Roman" w:cs="Times New Roman"/>
          <w:b/>
        </w:rPr>
        <w:t>.0      Results and Discussion</w:t>
      </w:r>
    </w:p>
    <w:p w14:paraId="2256F7DA" w14:textId="77777777" w:rsidR="00543E49" w:rsidRDefault="00C73355">
      <w:pPr>
        <w:spacing w:line="240" w:lineRule="auto"/>
        <w:jc w:val="both"/>
        <w:rPr>
          <w:rFonts w:ascii="Times New Roman" w:hAnsi="Times New Roman" w:cs="Times New Roman"/>
          <w:b/>
        </w:rPr>
      </w:pPr>
      <w:r>
        <w:rPr>
          <w:rFonts w:ascii="Times New Roman" w:hAnsi="Times New Roman" w:cs="Times New Roman"/>
          <w:b/>
        </w:rPr>
        <w:t xml:space="preserve"> 3.1       Functional Proper</w:t>
      </w:r>
      <w:r>
        <w:rPr>
          <w:rFonts w:ascii="Times New Roman" w:hAnsi="Times New Roman" w:cs="Times New Roman"/>
          <w:b/>
        </w:rPr>
        <w:t xml:space="preserve">ties of Wheat, </w:t>
      </w:r>
      <w:proofErr w:type="spellStart"/>
      <w:r>
        <w:rPr>
          <w:rFonts w:ascii="Times New Roman" w:hAnsi="Times New Roman" w:cs="Times New Roman"/>
          <w:b/>
        </w:rPr>
        <w:t>Acha</w:t>
      </w:r>
      <w:proofErr w:type="spellEnd"/>
      <w:r>
        <w:rPr>
          <w:rFonts w:ascii="Times New Roman" w:hAnsi="Times New Roman" w:cs="Times New Roman"/>
          <w:b/>
        </w:rPr>
        <w:t xml:space="preserve"> and Coconut Residue Flour Blends </w:t>
      </w:r>
    </w:p>
    <w:p w14:paraId="7D6F1E17" w14:textId="77777777" w:rsidR="00543E49" w:rsidRDefault="00C73355">
      <w:pPr>
        <w:spacing w:line="240" w:lineRule="auto"/>
        <w:jc w:val="both"/>
        <w:rPr>
          <w:rFonts w:ascii="Times New Roman" w:hAnsi="Times New Roman" w:cs="Times New Roman"/>
        </w:rPr>
      </w:pPr>
      <w:r>
        <w:rPr>
          <w:rFonts w:ascii="Times New Roman" w:hAnsi="Times New Roman" w:cs="Times New Roman"/>
        </w:rPr>
        <w:t xml:space="preserve">Table 1 shows that oil absorption capacity increased significantly (p&lt;0.05) from 0.67 g/ml in sample A (100% wheat flour) to 0.89 g/ml in sample D (70% wheat flour: 25% </w:t>
      </w:r>
      <w:proofErr w:type="spellStart"/>
      <w:r>
        <w:rPr>
          <w:rFonts w:ascii="Times New Roman" w:hAnsi="Times New Roman" w:cs="Times New Roman"/>
        </w:rPr>
        <w:t>acha</w:t>
      </w:r>
      <w:proofErr w:type="spellEnd"/>
      <w:r>
        <w:rPr>
          <w:rFonts w:ascii="Times New Roman" w:hAnsi="Times New Roman" w:cs="Times New Roman"/>
        </w:rPr>
        <w:t xml:space="preserve"> flour: 5% coconut residue fl</w:t>
      </w:r>
      <w:r>
        <w:rPr>
          <w:rFonts w:ascii="Times New Roman" w:hAnsi="Times New Roman" w:cs="Times New Roman"/>
        </w:rPr>
        <w:t xml:space="preserve">our). </w:t>
      </w:r>
      <w:r>
        <w:rPr>
          <w:rFonts w:ascii="Times New Roman" w:hAnsi="Times New Roman" w:cs="Times New Roman"/>
        </w:rPr>
        <w:lastRenderedPageBreak/>
        <w:t xml:space="preserve">The higher levels of </w:t>
      </w:r>
      <w:proofErr w:type="spellStart"/>
      <w:r>
        <w:rPr>
          <w:rFonts w:ascii="Times New Roman" w:hAnsi="Times New Roman" w:cs="Times New Roman"/>
        </w:rPr>
        <w:t>acha</w:t>
      </w:r>
      <w:proofErr w:type="spellEnd"/>
      <w:r>
        <w:rPr>
          <w:rFonts w:ascii="Times New Roman" w:hAnsi="Times New Roman" w:cs="Times New Roman"/>
        </w:rPr>
        <w:t xml:space="preserve"> flour increased the </w:t>
      </w:r>
      <w:proofErr w:type="gramStart"/>
      <w:r>
        <w:rPr>
          <w:rFonts w:ascii="Times New Roman" w:hAnsi="Times New Roman" w:cs="Times New Roman"/>
        </w:rPr>
        <w:t>amount</w:t>
      </w:r>
      <w:proofErr w:type="gramEnd"/>
      <w:r>
        <w:rPr>
          <w:rFonts w:ascii="Times New Roman" w:hAnsi="Times New Roman" w:cs="Times New Roman"/>
        </w:rPr>
        <w:t xml:space="preserve"> of hydrophobic sites and porous surface area available to bind lipids. The addition of coconut residue flour and </w:t>
      </w:r>
      <w:proofErr w:type="spellStart"/>
      <w:r>
        <w:rPr>
          <w:rFonts w:ascii="Times New Roman" w:hAnsi="Times New Roman" w:cs="Times New Roman"/>
        </w:rPr>
        <w:t>acha</w:t>
      </w:r>
      <w:proofErr w:type="spellEnd"/>
      <w:r>
        <w:rPr>
          <w:rFonts w:ascii="Times New Roman" w:hAnsi="Times New Roman" w:cs="Times New Roman"/>
        </w:rPr>
        <w:t xml:space="preserve"> flour contained more exposed protein fractions and fibrous matrices that increa</w:t>
      </w:r>
      <w:r>
        <w:rPr>
          <w:rFonts w:ascii="Times New Roman" w:hAnsi="Times New Roman" w:cs="Times New Roman"/>
        </w:rPr>
        <w:t xml:space="preserve">sed oil absorption. This is consistent with the reports of </w:t>
      </w:r>
      <w:proofErr w:type="spellStart"/>
      <w:r>
        <w:rPr>
          <w:rFonts w:ascii="Times New Roman" w:hAnsi="Times New Roman" w:cs="Times New Roman"/>
        </w:rPr>
        <w:t>Adsare</w:t>
      </w:r>
      <w:proofErr w:type="spellEnd"/>
      <w:r>
        <w:rPr>
          <w:rFonts w:ascii="Times New Roman" w:hAnsi="Times New Roman" w:cs="Times New Roman"/>
        </w:rPr>
        <w:t xml:space="preserve"> and </w:t>
      </w:r>
      <w:proofErr w:type="spellStart"/>
      <w:r>
        <w:rPr>
          <w:rFonts w:ascii="Times New Roman" w:hAnsi="Times New Roman" w:cs="Times New Roman"/>
        </w:rPr>
        <w:t>Annapure</w:t>
      </w:r>
      <w:proofErr w:type="spellEnd"/>
      <w:r>
        <w:rPr>
          <w:rFonts w:ascii="Times New Roman" w:hAnsi="Times New Roman" w:cs="Times New Roman"/>
        </w:rPr>
        <w:t xml:space="preserve"> (2024); James and Krishnamoorthy (2025) on defatted/partially defatted coconut flour with higher OAC values ranging from 1.06 to 2.46g/g. </w:t>
      </w:r>
    </w:p>
    <w:p w14:paraId="2AE24587" w14:textId="77777777" w:rsidR="00543E49" w:rsidRDefault="00C73355">
      <w:pPr>
        <w:pStyle w:val="NormalWeb"/>
        <w:jc w:val="both"/>
      </w:pPr>
      <w:r>
        <w:t>Bulk density decreased with increasing</w:t>
      </w:r>
      <w:r>
        <w:t xml:space="preserve"> substitution, indicating that blends with more </w:t>
      </w:r>
      <w:proofErr w:type="spellStart"/>
      <w:r>
        <w:t>acha</w:t>
      </w:r>
      <w:proofErr w:type="spellEnd"/>
      <w:r>
        <w:t xml:space="preserve"> and coconut residue became less dense (more voluminous per unit mass). This is explained by the typically lower particle packing and higher porosity of non-wheat flours (</w:t>
      </w:r>
      <w:proofErr w:type="spellStart"/>
      <w:r>
        <w:t>acha</w:t>
      </w:r>
      <w:proofErr w:type="spellEnd"/>
      <w:r>
        <w:t xml:space="preserve"> and coconut residue tend to </w:t>
      </w:r>
      <w:r>
        <w:t>produce coarser, lighter particles and higher inter-particle air spaces than refined wheat), and by the dilution of the fine, compact wheat starch matrix. Similar studies (</w:t>
      </w:r>
      <w:r>
        <w:rPr>
          <w:shd w:val="clear" w:color="auto" w:fill="FFFFFF"/>
        </w:rPr>
        <w:t xml:space="preserve">Olapade and Oluwole, 2013; </w:t>
      </w:r>
      <w:proofErr w:type="spellStart"/>
      <w:r>
        <w:rPr>
          <w:shd w:val="clear" w:color="auto" w:fill="FFFFFF"/>
        </w:rPr>
        <w:t>Mbaeyi-Nwaoha</w:t>
      </w:r>
      <w:proofErr w:type="spellEnd"/>
      <w:r>
        <w:rPr>
          <w:shd w:val="clear" w:color="auto" w:fill="FFFFFF"/>
        </w:rPr>
        <w:t xml:space="preserve"> and Uchendu, 2016)</w:t>
      </w:r>
      <w:r>
        <w:t xml:space="preserve"> on wheat–</w:t>
      </w:r>
      <w:proofErr w:type="spellStart"/>
      <w:r>
        <w:t>acha</w:t>
      </w:r>
      <w:proofErr w:type="spellEnd"/>
      <w:r>
        <w:t xml:space="preserve"> and wheat–</w:t>
      </w:r>
      <w:r>
        <w:t xml:space="preserve">coconut blends reported reduced bulk density with higher substitution levels. These authors reported bulk density which ranged from 0.55 to 0.97 g/mL, supporting the present trend. </w:t>
      </w:r>
    </w:p>
    <w:p w14:paraId="4592188B" w14:textId="77777777" w:rsidR="00543E49" w:rsidRDefault="00C73355">
      <w:pPr>
        <w:pStyle w:val="NormalWeb"/>
        <w:jc w:val="both"/>
      </w:pPr>
      <w:r>
        <w:t xml:space="preserve">Swelling capacity increased markedly with substitution from 2.14 to 3.05g/ml. Swelling power is governed mainly by starch composition and the presence of soluble polysaccharides and fibre that affect water uptake and granule swelling. </w:t>
      </w:r>
      <w:proofErr w:type="spellStart"/>
      <w:r>
        <w:t>Acha’s</w:t>
      </w:r>
      <w:proofErr w:type="spellEnd"/>
      <w:r>
        <w:t xml:space="preserve"> starch charact</w:t>
      </w:r>
      <w:r>
        <w:t>eristics and the fibrous matrix from coconut residue promote greater water uptake and swelling in composite systems; several recent composite-flour studies (</w:t>
      </w:r>
      <w:proofErr w:type="spellStart"/>
      <w:r>
        <w:rPr>
          <w:shd w:val="clear" w:color="auto" w:fill="FFFFFF"/>
        </w:rPr>
        <w:t>Deriu</w:t>
      </w:r>
      <w:proofErr w:type="spellEnd"/>
      <w:r>
        <w:t xml:space="preserve"> </w:t>
      </w:r>
      <w:r>
        <w:rPr>
          <w:i/>
        </w:rPr>
        <w:t>et al</w:t>
      </w:r>
      <w:r>
        <w:t xml:space="preserve">., 2022; </w:t>
      </w:r>
      <w:r>
        <w:rPr>
          <w:shd w:val="clear" w:color="auto" w:fill="FFFFFF"/>
        </w:rPr>
        <w:t>Shakeela and Mohan, 2024)</w:t>
      </w:r>
      <w:r>
        <w:t xml:space="preserve"> reported increased swelling or swelling index with ad</w:t>
      </w:r>
      <w:r>
        <w:t>dition of non-wheat flours or residues. The various authors reported swelling capacity vary by material and method but show the same positive relationship with substitution. The increase in swelling capacity here parallels the increases in WAC and supports</w:t>
      </w:r>
      <w:r>
        <w:t xml:space="preserve"> a picture of greater hydration and expansibility in the blended flours (</w:t>
      </w:r>
      <w:r>
        <w:rPr>
          <w:shd w:val="clear" w:color="auto" w:fill="FFFFFF"/>
        </w:rPr>
        <w:t>Shakeela and Mohan, 2024)</w:t>
      </w:r>
      <w:r>
        <w:t xml:space="preserve">. </w:t>
      </w:r>
    </w:p>
    <w:p w14:paraId="10C477CC" w14:textId="77777777" w:rsidR="00543E49" w:rsidRDefault="00C73355">
      <w:pPr>
        <w:pStyle w:val="NormalWeb"/>
        <w:jc w:val="both"/>
        <w:rPr>
          <w:b/>
        </w:rPr>
      </w:pPr>
      <w:r>
        <w:rPr>
          <w:b/>
        </w:rPr>
        <w:t xml:space="preserve">Table 1: Functional Properties of Wheat, </w:t>
      </w:r>
      <w:proofErr w:type="spellStart"/>
      <w:r>
        <w:rPr>
          <w:b/>
        </w:rPr>
        <w:t>Acha</w:t>
      </w:r>
      <w:proofErr w:type="spellEnd"/>
      <w:r>
        <w:rPr>
          <w:b/>
        </w:rPr>
        <w:t xml:space="preserve"> and Coconut Residue Flour Blends</w:t>
      </w:r>
    </w:p>
    <w:tbl>
      <w:tblPr>
        <w:tblStyle w:val="PlainTable21"/>
        <w:tblW w:w="5152" w:type="pct"/>
        <w:tblLayout w:type="fixed"/>
        <w:tblLook w:val="04A0" w:firstRow="1" w:lastRow="0" w:firstColumn="1" w:lastColumn="0" w:noHBand="0" w:noVBand="1"/>
      </w:tblPr>
      <w:tblGrid>
        <w:gridCol w:w="980"/>
        <w:gridCol w:w="2081"/>
        <w:gridCol w:w="2070"/>
        <w:gridCol w:w="2519"/>
        <w:gridCol w:w="1995"/>
      </w:tblGrid>
      <w:tr w:rsidR="00543E49" w14:paraId="1AB7CAA3" w14:textId="77777777" w:rsidTr="00543E4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8" w:type="pct"/>
            <w:noWrap/>
          </w:tcPr>
          <w:p w14:paraId="5C3484C8"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rPr>
            </w:pPr>
            <w:r>
              <w:rPr>
                <w:rFonts w:ascii="Times New Roman" w:hAnsi="Times New Roman" w:cs="Times New Roman"/>
                <w:kern w:val="0"/>
                <w:sz w:val="24"/>
                <w:szCs w:val="24"/>
              </w:rPr>
              <w:t xml:space="preserve">Sample </w:t>
            </w:r>
          </w:p>
        </w:tc>
        <w:tc>
          <w:tcPr>
            <w:tcW w:w="1079" w:type="pct"/>
            <w:noWrap/>
          </w:tcPr>
          <w:p w14:paraId="65D6C4EB"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rPr>
            </w:pPr>
            <w:r>
              <w:rPr>
                <w:rFonts w:ascii="Times New Roman" w:hAnsi="Times New Roman" w:cs="Times New Roman"/>
                <w:kern w:val="0"/>
                <w:sz w:val="24"/>
                <w:szCs w:val="24"/>
              </w:rPr>
              <w:t xml:space="preserve"> Oil Absorption Capacity (g/mL)</w:t>
            </w:r>
          </w:p>
        </w:tc>
        <w:tc>
          <w:tcPr>
            <w:tcW w:w="1073" w:type="pct"/>
            <w:noWrap/>
          </w:tcPr>
          <w:p w14:paraId="7B4D6A85"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rPr>
            </w:pPr>
            <w:r>
              <w:rPr>
                <w:rFonts w:ascii="Times New Roman" w:hAnsi="Times New Roman" w:cs="Times New Roman"/>
                <w:kern w:val="0"/>
                <w:sz w:val="24"/>
                <w:szCs w:val="24"/>
              </w:rPr>
              <w:t>Bulk density (g/g)</w:t>
            </w:r>
          </w:p>
        </w:tc>
        <w:tc>
          <w:tcPr>
            <w:tcW w:w="1306" w:type="pct"/>
            <w:noWrap/>
          </w:tcPr>
          <w:p w14:paraId="63FC79E2"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rPr>
            </w:pPr>
            <w:r>
              <w:rPr>
                <w:rFonts w:ascii="Times New Roman" w:hAnsi="Times New Roman" w:cs="Times New Roman"/>
                <w:kern w:val="0"/>
                <w:sz w:val="24"/>
                <w:szCs w:val="24"/>
              </w:rPr>
              <w:t xml:space="preserve">Water Absorption </w:t>
            </w:r>
            <w:r>
              <w:rPr>
                <w:rFonts w:ascii="Times New Roman" w:hAnsi="Times New Roman" w:cs="Times New Roman"/>
                <w:kern w:val="0"/>
                <w:sz w:val="24"/>
                <w:szCs w:val="24"/>
              </w:rPr>
              <w:t>Capacity (g/mL)</w:t>
            </w:r>
          </w:p>
        </w:tc>
        <w:tc>
          <w:tcPr>
            <w:tcW w:w="1034" w:type="pct"/>
            <w:noWrap/>
          </w:tcPr>
          <w:p w14:paraId="67DCBFD2"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rPr>
            </w:pPr>
            <w:r>
              <w:rPr>
                <w:rFonts w:ascii="Times New Roman" w:hAnsi="Times New Roman" w:cs="Times New Roman"/>
                <w:kern w:val="0"/>
                <w:sz w:val="24"/>
                <w:szCs w:val="24"/>
              </w:rPr>
              <w:t>Swelling capacity (g/mL)</w:t>
            </w:r>
          </w:p>
        </w:tc>
      </w:tr>
      <w:tr w:rsidR="00543E49" w14:paraId="6D56F4CC"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508" w:type="pct"/>
            <w:noWrap/>
          </w:tcPr>
          <w:p w14:paraId="17E57F8C"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rPr>
            </w:pPr>
            <w:r>
              <w:rPr>
                <w:rFonts w:ascii="Times New Roman" w:hAnsi="Times New Roman" w:cs="Times New Roman"/>
                <w:kern w:val="0"/>
                <w:sz w:val="24"/>
                <w:szCs w:val="24"/>
              </w:rPr>
              <w:t>A</w:t>
            </w:r>
          </w:p>
        </w:tc>
        <w:tc>
          <w:tcPr>
            <w:tcW w:w="1079" w:type="pct"/>
            <w:noWrap/>
          </w:tcPr>
          <w:p w14:paraId="5A5AD767"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0.67</w:t>
            </w:r>
            <w:r>
              <w:rPr>
                <w:rFonts w:ascii="Times New Roman" w:hAnsi="Times New Roman" w:cs="Times New Roman"/>
                <w:kern w:val="0"/>
                <w:sz w:val="24"/>
                <w:szCs w:val="24"/>
                <w:vertAlign w:val="superscript"/>
              </w:rPr>
              <w:t>d</w:t>
            </w:r>
            <w:r>
              <w:rPr>
                <w:rFonts w:ascii="Times New Roman" w:hAnsi="Times New Roman" w:cs="Times New Roman"/>
                <w:kern w:val="0"/>
                <w:sz w:val="24"/>
                <w:szCs w:val="24"/>
              </w:rPr>
              <w:t>±0.01</w:t>
            </w:r>
          </w:p>
        </w:tc>
        <w:tc>
          <w:tcPr>
            <w:tcW w:w="1073" w:type="pct"/>
            <w:noWrap/>
          </w:tcPr>
          <w:p w14:paraId="6A067770"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0.69</w:t>
            </w:r>
            <w:r>
              <w:rPr>
                <w:rFonts w:ascii="Times New Roman" w:hAnsi="Times New Roman" w:cs="Times New Roman"/>
                <w:kern w:val="0"/>
                <w:sz w:val="24"/>
                <w:szCs w:val="24"/>
                <w:vertAlign w:val="superscript"/>
              </w:rPr>
              <w:t>a</w:t>
            </w:r>
            <w:r>
              <w:rPr>
                <w:rFonts w:ascii="Times New Roman" w:hAnsi="Times New Roman" w:cs="Times New Roman"/>
                <w:kern w:val="0"/>
                <w:sz w:val="24"/>
                <w:szCs w:val="24"/>
              </w:rPr>
              <w:t>±0.01</w:t>
            </w:r>
          </w:p>
        </w:tc>
        <w:tc>
          <w:tcPr>
            <w:tcW w:w="1306" w:type="pct"/>
            <w:noWrap/>
          </w:tcPr>
          <w:p w14:paraId="1520E88B"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0.96</w:t>
            </w:r>
            <w:r>
              <w:rPr>
                <w:rFonts w:ascii="Times New Roman" w:hAnsi="Times New Roman" w:cs="Times New Roman"/>
                <w:kern w:val="0"/>
                <w:sz w:val="24"/>
                <w:szCs w:val="24"/>
                <w:vertAlign w:val="superscript"/>
              </w:rPr>
              <w:t>d</w:t>
            </w:r>
            <w:r>
              <w:rPr>
                <w:rFonts w:ascii="Times New Roman" w:hAnsi="Times New Roman" w:cs="Times New Roman"/>
                <w:kern w:val="0"/>
                <w:sz w:val="24"/>
                <w:szCs w:val="24"/>
              </w:rPr>
              <w:t>±0.04</w:t>
            </w:r>
          </w:p>
        </w:tc>
        <w:tc>
          <w:tcPr>
            <w:tcW w:w="1034" w:type="pct"/>
            <w:noWrap/>
          </w:tcPr>
          <w:p w14:paraId="2A85E2B5"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2.14</w:t>
            </w:r>
            <w:r>
              <w:rPr>
                <w:rFonts w:ascii="Times New Roman" w:hAnsi="Times New Roman" w:cs="Times New Roman"/>
                <w:kern w:val="0"/>
                <w:sz w:val="24"/>
                <w:szCs w:val="24"/>
                <w:vertAlign w:val="superscript"/>
              </w:rPr>
              <w:t>d</w:t>
            </w:r>
            <w:r>
              <w:rPr>
                <w:rFonts w:ascii="Times New Roman" w:hAnsi="Times New Roman" w:cs="Times New Roman"/>
                <w:kern w:val="0"/>
                <w:sz w:val="24"/>
                <w:szCs w:val="24"/>
              </w:rPr>
              <w:t>±0.08</w:t>
            </w:r>
          </w:p>
        </w:tc>
      </w:tr>
      <w:tr w:rsidR="00543E49" w14:paraId="538AA9D9"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508" w:type="pct"/>
            <w:noWrap/>
          </w:tcPr>
          <w:p w14:paraId="3BFA150B"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rPr>
            </w:pPr>
            <w:r>
              <w:rPr>
                <w:rFonts w:ascii="Times New Roman" w:hAnsi="Times New Roman" w:cs="Times New Roman"/>
                <w:kern w:val="0"/>
                <w:sz w:val="24"/>
                <w:szCs w:val="24"/>
              </w:rPr>
              <w:t>B</w:t>
            </w:r>
          </w:p>
        </w:tc>
        <w:tc>
          <w:tcPr>
            <w:tcW w:w="1079" w:type="pct"/>
            <w:noWrap/>
          </w:tcPr>
          <w:p w14:paraId="0406263C"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0.74</w:t>
            </w:r>
            <w:r>
              <w:rPr>
                <w:rFonts w:ascii="Times New Roman" w:hAnsi="Times New Roman" w:cs="Times New Roman"/>
                <w:kern w:val="0"/>
                <w:sz w:val="24"/>
                <w:szCs w:val="24"/>
                <w:vertAlign w:val="superscript"/>
              </w:rPr>
              <w:t>c</w:t>
            </w:r>
            <w:r>
              <w:rPr>
                <w:rFonts w:ascii="Times New Roman" w:hAnsi="Times New Roman" w:cs="Times New Roman"/>
                <w:kern w:val="0"/>
                <w:sz w:val="24"/>
                <w:szCs w:val="24"/>
              </w:rPr>
              <w:t>±0.01</w:t>
            </w:r>
          </w:p>
        </w:tc>
        <w:tc>
          <w:tcPr>
            <w:tcW w:w="1073" w:type="pct"/>
            <w:noWrap/>
          </w:tcPr>
          <w:p w14:paraId="7AF57A19"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0.65</w:t>
            </w:r>
            <w:r>
              <w:rPr>
                <w:rFonts w:ascii="Times New Roman" w:hAnsi="Times New Roman" w:cs="Times New Roman"/>
                <w:kern w:val="0"/>
                <w:sz w:val="24"/>
                <w:szCs w:val="24"/>
                <w:vertAlign w:val="superscript"/>
              </w:rPr>
              <w:t>ab</w:t>
            </w:r>
            <w:r>
              <w:rPr>
                <w:rFonts w:ascii="Times New Roman" w:hAnsi="Times New Roman" w:cs="Times New Roman"/>
                <w:kern w:val="0"/>
                <w:sz w:val="24"/>
                <w:szCs w:val="24"/>
              </w:rPr>
              <w:t>±0.01</w:t>
            </w:r>
          </w:p>
        </w:tc>
        <w:tc>
          <w:tcPr>
            <w:tcW w:w="1306" w:type="pct"/>
            <w:noWrap/>
          </w:tcPr>
          <w:p w14:paraId="365A1B07"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1.09</w:t>
            </w:r>
            <w:r>
              <w:rPr>
                <w:rFonts w:ascii="Times New Roman" w:hAnsi="Times New Roman" w:cs="Times New Roman"/>
                <w:kern w:val="0"/>
                <w:sz w:val="24"/>
                <w:szCs w:val="24"/>
                <w:vertAlign w:val="superscript"/>
              </w:rPr>
              <w:t>c</w:t>
            </w:r>
            <w:r>
              <w:rPr>
                <w:rFonts w:ascii="Times New Roman" w:hAnsi="Times New Roman" w:cs="Times New Roman"/>
                <w:kern w:val="0"/>
                <w:sz w:val="24"/>
                <w:szCs w:val="24"/>
              </w:rPr>
              <w:t>±0.01</w:t>
            </w:r>
          </w:p>
        </w:tc>
        <w:tc>
          <w:tcPr>
            <w:tcW w:w="1034" w:type="pct"/>
            <w:noWrap/>
          </w:tcPr>
          <w:p w14:paraId="39CB9E74"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2.45</w:t>
            </w:r>
            <w:r>
              <w:rPr>
                <w:rFonts w:ascii="Times New Roman" w:hAnsi="Times New Roman" w:cs="Times New Roman"/>
                <w:kern w:val="0"/>
                <w:sz w:val="24"/>
                <w:szCs w:val="24"/>
                <w:vertAlign w:val="superscript"/>
              </w:rPr>
              <w:t>c</w:t>
            </w:r>
            <w:r>
              <w:rPr>
                <w:rFonts w:ascii="Times New Roman" w:hAnsi="Times New Roman" w:cs="Times New Roman"/>
                <w:kern w:val="0"/>
                <w:sz w:val="24"/>
                <w:szCs w:val="24"/>
              </w:rPr>
              <w:t>±0.07</w:t>
            </w:r>
          </w:p>
        </w:tc>
      </w:tr>
      <w:tr w:rsidR="00543E49" w14:paraId="1EE299FA"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508" w:type="pct"/>
            <w:noWrap/>
          </w:tcPr>
          <w:p w14:paraId="09A2BE48"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rPr>
            </w:pPr>
            <w:r>
              <w:rPr>
                <w:rFonts w:ascii="Times New Roman" w:hAnsi="Times New Roman" w:cs="Times New Roman"/>
                <w:kern w:val="0"/>
                <w:sz w:val="24"/>
                <w:szCs w:val="24"/>
              </w:rPr>
              <w:t>C</w:t>
            </w:r>
          </w:p>
        </w:tc>
        <w:tc>
          <w:tcPr>
            <w:tcW w:w="1079" w:type="pct"/>
            <w:noWrap/>
          </w:tcPr>
          <w:p w14:paraId="436A7878"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0.80</w:t>
            </w:r>
            <w:r>
              <w:rPr>
                <w:rFonts w:ascii="Times New Roman" w:hAnsi="Times New Roman" w:cs="Times New Roman"/>
                <w:kern w:val="0"/>
                <w:sz w:val="24"/>
                <w:szCs w:val="24"/>
                <w:vertAlign w:val="superscript"/>
              </w:rPr>
              <w:t>b</w:t>
            </w:r>
            <w:r>
              <w:rPr>
                <w:rFonts w:ascii="Times New Roman" w:hAnsi="Times New Roman" w:cs="Times New Roman"/>
                <w:kern w:val="0"/>
                <w:sz w:val="24"/>
                <w:szCs w:val="24"/>
              </w:rPr>
              <w:t>±0.02</w:t>
            </w:r>
          </w:p>
        </w:tc>
        <w:tc>
          <w:tcPr>
            <w:tcW w:w="1073" w:type="pct"/>
            <w:noWrap/>
          </w:tcPr>
          <w:p w14:paraId="669C62CA"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0.61</w:t>
            </w:r>
            <w:r>
              <w:rPr>
                <w:rFonts w:ascii="Times New Roman" w:hAnsi="Times New Roman" w:cs="Times New Roman"/>
                <w:kern w:val="0"/>
                <w:sz w:val="24"/>
                <w:szCs w:val="24"/>
                <w:vertAlign w:val="superscript"/>
              </w:rPr>
              <w:t>bc</w:t>
            </w:r>
            <w:r>
              <w:rPr>
                <w:rFonts w:ascii="Times New Roman" w:hAnsi="Times New Roman" w:cs="Times New Roman"/>
                <w:kern w:val="0"/>
                <w:sz w:val="24"/>
                <w:szCs w:val="24"/>
              </w:rPr>
              <w:t>±0.01</w:t>
            </w:r>
          </w:p>
        </w:tc>
        <w:tc>
          <w:tcPr>
            <w:tcW w:w="1306" w:type="pct"/>
            <w:noWrap/>
          </w:tcPr>
          <w:p w14:paraId="1886DF5D"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1.19</w:t>
            </w:r>
            <w:r>
              <w:rPr>
                <w:rFonts w:ascii="Times New Roman" w:hAnsi="Times New Roman" w:cs="Times New Roman"/>
                <w:kern w:val="0"/>
                <w:sz w:val="24"/>
                <w:szCs w:val="24"/>
                <w:vertAlign w:val="superscript"/>
              </w:rPr>
              <w:t>b</w:t>
            </w:r>
            <w:r>
              <w:rPr>
                <w:rFonts w:ascii="Times New Roman" w:hAnsi="Times New Roman" w:cs="Times New Roman"/>
                <w:kern w:val="0"/>
                <w:sz w:val="24"/>
                <w:szCs w:val="24"/>
              </w:rPr>
              <w:t>±0.01</w:t>
            </w:r>
          </w:p>
        </w:tc>
        <w:tc>
          <w:tcPr>
            <w:tcW w:w="1034" w:type="pct"/>
            <w:noWrap/>
          </w:tcPr>
          <w:p w14:paraId="0933AF8E"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2.75</w:t>
            </w:r>
            <w:r>
              <w:rPr>
                <w:rFonts w:ascii="Times New Roman" w:hAnsi="Times New Roman" w:cs="Times New Roman"/>
                <w:kern w:val="0"/>
                <w:sz w:val="24"/>
                <w:szCs w:val="24"/>
                <w:vertAlign w:val="superscript"/>
              </w:rPr>
              <w:t>b</w:t>
            </w:r>
            <w:r>
              <w:rPr>
                <w:rFonts w:ascii="Times New Roman" w:hAnsi="Times New Roman" w:cs="Times New Roman"/>
                <w:kern w:val="0"/>
                <w:sz w:val="24"/>
                <w:szCs w:val="24"/>
              </w:rPr>
              <w:t>±0.07</w:t>
            </w:r>
          </w:p>
        </w:tc>
      </w:tr>
      <w:tr w:rsidR="00543E49" w14:paraId="4393405E"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508" w:type="pct"/>
            <w:noWrap/>
          </w:tcPr>
          <w:p w14:paraId="7639D8EB"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rPr>
            </w:pPr>
            <w:r>
              <w:rPr>
                <w:rFonts w:ascii="Times New Roman" w:hAnsi="Times New Roman" w:cs="Times New Roman"/>
                <w:kern w:val="0"/>
                <w:sz w:val="24"/>
                <w:szCs w:val="24"/>
              </w:rPr>
              <w:t>D</w:t>
            </w:r>
          </w:p>
        </w:tc>
        <w:tc>
          <w:tcPr>
            <w:tcW w:w="1079" w:type="pct"/>
            <w:noWrap/>
          </w:tcPr>
          <w:p w14:paraId="2443AC0E"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0.89</w:t>
            </w:r>
            <w:r>
              <w:rPr>
                <w:rFonts w:ascii="Times New Roman" w:hAnsi="Times New Roman" w:cs="Times New Roman"/>
                <w:kern w:val="0"/>
                <w:sz w:val="24"/>
                <w:szCs w:val="24"/>
                <w:vertAlign w:val="superscript"/>
              </w:rPr>
              <w:t>a</w:t>
            </w:r>
            <w:r>
              <w:rPr>
                <w:rFonts w:ascii="Times New Roman" w:hAnsi="Times New Roman" w:cs="Times New Roman"/>
                <w:kern w:val="0"/>
                <w:sz w:val="24"/>
                <w:szCs w:val="24"/>
              </w:rPr>
              <w:t>±0.01</w:t>
            </w:r>
          </w:p>
        </w:tc>
        <w:tc>
          <w:tcPr>
            <w:tcW w:w="1073" w:type="pct"/>
            <w:noWrap/>
          </w:tcPr>
          <w:p w14:paraId="532C5227"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0.57</w:t>
            </w:r>
            <w:r>
              <w:rPr>
                <w:rFonts w:ascii="Times New Roman" w:hAnsi="Times New Roman" w:cs="Times New Roman"/>
                <w:kern w:val="0"/>
                <w:sz w:val="24"/>
                <w:szCs w:val="24"/>
                <w:vertAlign w:val="superscript"/>
              </w:rPr>
              <w:t>c</w:t>
            </w:r>
            <w:r>
              <w:rPr>
                <w:rFonts w:ascii="Times New Roman" w:hAnsi="Times New Roman" w:cs="Times New Roman"/>
                <w:kern w:val="0"/>
                <w:sz w:val="24"/>
                <w:szCs w:val="24"/>
              </w:rPr>
              <w:t>±0.01</w:t>
            </w:r>
          </w:p>
        </w:tc>
        <w:tc>
          <w:tcPr>
            <w:tcW w:w="1306" w:type="pct"/>
            <w:noWrap/>
          </w:tcPr>
          <w:p w14:paraId="66587D6E"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1.28</w:t>
            </w:r>
            <w:r>
              <w:rPr>
                <w:rFonts w:ascii="Times New Roman" w:hAnsi="Times New Roman" w:cs="Times New Roman"/>
                <w:kern w:val="0"/>
                <w:sz w:val="24"/>
                <w:szCs w:val="24"/>
                <w:vertAlign w:val="superscript"/>
              </w:rPr>
              <w:t>a</w:t>
            </w:r>
            <w:r>
              <w:rPr>
                <w:rFonts w:ascii="Times New Roman" w:hAnsi="Times New Roman" w:cs="Times New Roman"/>
                <w:kern w:val="0"/>
                <w:sz w:val="24"/>
                <w:szCs w:val="24"/>
              </w:rPr>
              <w:t>±0.03</w:t>
            </w:r>
          </w:p>
        </w:tc>
        <w:tc>
          <w:tcPr>
            <w:tcW w:w="1034" w:type="pct"/>
            <w:noWrap/>
          </w:tcPr>
          <w:p w14:paraId="6BD0C7F0"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3.05</w:t>
            </w:r>
            <w:r>
              <w:rPr>
                <w:rFonts w:ascii="Times New Roman" w:hAnsi="Times New Roman" w:cs="Times New Roman"/>
                <w:kern w:val="0"/>
                <w:sz w:val="24"/>
                <w:szCs w:val="24"/>
                <w:vertAlign w:val="superscript"/>
              </w:rPr>
              <w:t>a</w:t>
            </w:r>
            <w:r>
              <w:rPr>
                <w:rFonts w:ascii="Times New Roman" w:hAnsi="Times New Roman" w:cs="Times New Roman"/>
                <w:kern w:val="0"/>
                <w:sz w:val="24"/>
                <w:szCs w:val="24"/>
              </w:rPr>
              <w:t>±0.07</w:t>
            </w:r>
          </w:p>
        </w:tc>
      </w:tr>
      <w:tr w:rsidR="00543E49" w14:paraId="5C5A7C46"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508" w:type="pct"/>
            <w:noWrap/>
          </w:tcPr>
          <w:p w14:paraId="03192B7F"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rPr>
            </w:pPr>
            <w:r>
              <w:rPr>
                <w:rFonts w:ascii="Times New Roman" w:hAnsi="Times New Roman" w:cs="Times New Roman"/>
                <w:kern w:val="0"/>
                <w:sz w:val="24"/>
                <w:szCs w:val="24"/>
              </w:rPr>
              <w:t>LSD</w:t>
            </w:r>
          </w:p>
        </w:tc>
        <w:tc>
          <w:tcPr>
            <w:tcW w:w="1079" w:type="pct"/>
            <w:noWrap/>
          </w:tcPr>
          <w:p w14:paraId="77A65657"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0.05</w:t>
            </w:r>
          </w:p>
        </w:tc>
        <w:tc>
          <w:tcPr>
            <w:tcW w:w="1073" w:type="pct"/>
            <w:noWrap/>
          </w:tcPr>
          <w:p w14:paraId="434B3215"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0.04</w:t>
            </w:r>
          </w:p>
        </w:tc>
        <w:tc>
          <w:tcPr>
            <w:tcW w:w="1306" w:type="pct"/>
            <w:noWrap/>
          </w:tcPr>
          <w:p w14:paraId="36CD1E61"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0.07</w:t>
            </w:r>
          </w:p>
        </w:tc>
        <w:tc>
          <w:tcPr>
            <w:tcW w:w="1034" w:type="pct"/>
            <w:noWrap/>
          </w:tcPr>
          <w:p w14:paraId="76134567"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0.21</w:t>
            </w:r>
          </w:p>
        </w:tc>
      </w:tr>
    </w:tbl>
    <w:p w14:paraId="165E6D03" w14:textId="77777777" w:rsidR="00543E49" w:rsidRDefault="00C7335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Values are means ± standard deviations of 3 replicates. Means in the same column with different superscripts are significantly (p&lt;0.05) different</w:t>
      </w:r>
    </w:p>
    <w:p w14:paraId="3F88CEED" w14:textId="77777777" w:rsidR="00543E49" w:rsidRDefault="00C73355">
      <w:pPr>
        <w:spacing w:after="0" w:line="240" w:lineRule="auto"/>
        <w:jc w:val="both"/>
        <w:rPr>
          <w:rFonts w:ascii="Times New Roman" w:hAnsi="Times New Roman" w:cs="Times New Roman"/>
          <w:b/>
        </w:rPr>
      </w:pPr>
      <w:r>
        <w:rPr>
          <w:rFonts w:ascii="Times New Roman" w:hAnsi="Times New Roman" w:cs="Times New Roman"/>
          <w:b/>
        </w:rPr>
        <w:t>Keys</w:t>
      </w:r>
    </w:p>
    <w:p w14:paraId="7E7734D5"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A</w:t>
      </w:r>
      <w:r>
        <w:rPr>
          <w:rFonts w:ascii="Times New Roman" w:hAnsi="Times New Roman" w:cs="Times New Roman"/>
        </w:rPr>
        <w:t xml:space="preserve"> = 100% wheat flour (control), </w:t>
      </w:r>
      <w:r>
        <w:rPr>
          <w:rFonts w:ascii="Times New Roman" w:hAnsi="Times New Roman" w:cs="Times New Roman"/>
          <w:b/>
        </w:rPr>
        <w:t>B</w:t>
      </w:r>
      <w:r>
        <w:rPr>
          <w:rFonts w:ascii="Times New Roman" w:hAnsi="Times New Roman" w:cs="Times New Roman"/>
        </w:rPr>
        <w:t xml:space="preserve"> = 80% wheat flour+15%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3E32CE4F"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C</w:t>
      </w:r>
      <w:r>
        <w:rPr>
          <w:rFonts w:ascii="Times New Roman" w:hAnsi="Times New Roman" w:cs="Times New Roman"/>
        </w:rPr>
        <w:t xml:space="preserve"> = 75% wheat flour+20%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 </w:t>
      </w:r>
      <w:r>
        <w:rPr>
          <w:rFonts w:ascii="Times New Roman" w:hAnsi="Times New Roman" w:cs="Times New Roman"/>
          <w:b/>
        </w:rPr>
        <w:t>D</w:t>
      </w:r>
      <w:r>
        <w:rPr>
          <w:rFonts w:ascii="Times New Roman" w:hAnsi="Times New Roman" w:cs="Times New Roman"/>
        </w:rPr>
        <w:t xml:space="preserve"> = 70% wheat flour+25%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3E217B26" w14:textId="77777777" w:rsidR="00543E49" w:rsidRDefault="00C73355">
      <w:pPr>
        <w:spacing w:line="240" w:lineRule="auto"/>
        <w:jc w:val="both"/>
        <w:rPr>
          <w:rFonts w:ascii="Times New Roman" w:hAnsi="Times New Roman" w:cs="Times New Roman"/>
          <w:b/>
        </w:rPr>
      </w:pPr>
      <w:r>
        <w:rPr>
          <w:rFonts w:ascii="Times New Roman" w:hAnsi="Times New Roman" w:cs="Times New Roman"/>
          <w:b/>
        </w:rPr>
        <w:t>3.2 Proximate Composition of Cakes</w:t>
      </w:r>
    </w:p>
    <w:p w14:paraId="257E4177" w14:textId="77777777" w:rsidR="00543E49" w:rsidRDefault="00C73355">
      <w:pPr>
        <w:pStyle w:val="NormalWeb"/>
        <w:spacing w:before="0" w:beforeAutospacing="0"/>
        <w:jc w:val="both"/>
      </w:pPr>
      <w:r>
        <w:t>The results of the proximate composition of the cakes are presented in Table 2.</w:t>
      </w:r>
    </w:p>
    <w:p w14:paraId="77A231D7" w14:textId="77777777" w:rsidR="00543E49" w:rsidRDefault="00C73355">
      <w:pPr>
        <w:pStyle w:val="NormalWeb"/>
        <w:jc w:val="both"/>
      </w:pPr>
      <w:r>
        <w:lastRenderedPageBreak/>
        <w:t>It showed significa</w:t>
      </w:r>
      <w:r>
        <w:t xml:space="preserve">nt differences across the blends, which can be attributed to the compositional variations introduced by the inclusion of </w:t>
      </w:r>
      <w:proofErr w:type="spellStart"/>
      <w:r>
        <w:t>acha</w:t>
      </w:r>
      <w:proofErr w:type="spellEnd"/>
      <w:r>
        <w:t xml:space="preserve"> and coconut residue flours. The progressive increase in protein content from 8.44% in the control (100% wheat) to 11.60% in the 70</w:t>
      </w:r>
      <w:r>
        <w:t>:25:5 wheat–</w:t>
      </w:r>
      <w:proofErr w:type="spellStart"/>
      <w:r>
        <w:t>acha</w:t>
      </w:r>
      <w:proofErr w:type="spellEnd"/>
      <w:r>
        <w:t xml:space="preserve">–coconut blend was linked to the higher protein quality of </w:t>
      </w:r>
      <w:proofErr w:type="spellStart"/>
      <w:r>
        <w:t>acha</w:t>
      </w:r>
      <w:proofErr w:type="spellEnd"/>
      <w:r>
        <w:t xml:space="preserve">, which is rich in essential amino acids such as methionine and cysteine (Abioye </w:t>
      </w:r>
      <w:r>
        <w:rPr>
          <w:i/>
        </w:rPr>
        <w:t>et al</w:t>
      </w:r>
      <w:r>
        <w:t xml:space="preserve">., 2021). This aligns with the findings of Ayo </w:t>
      </w:r>
      <w:r>
        <w:rPr>
          <w:i/>
        </w:rPr>
        <w:t>et al</w:t>
      </w:r>
      <w:r>
        <w:t>. (2014), who reported protein values i</w:t>
      </w:r>
      <w:r>
        <w:t xml:space="preserve">n </w:t>
      </w:r>
      <w:proofErr w:type="spellStart"/>
      <w:r>
        <w:t>acha</w:t>
      </w:r>
      <w:proofErr w:type="spellEnd"/>
      <w:r>
        <w:t xml:space="preserve">-based baked products ranging between 9.0% and 12.2%. The fat content, which rose from 16.90% in the control to 27.00% in the highest inclusion of </w:t>
      </w:r>
      <w:proofErr w:type="spellStart"/>
      <w:r>
        <w:t>acha</w:t>
      </w:r>
      <w:proofErr w:type="spellEnd"/>
      <w:r>
        <w:t xml:space="preserve"> and coconut residue flour, can be explained by the residual oil retained in coconut residue flour </w:t>
      </w:r>
      <w:r>
        <w:t xml:space="preserve">after milk extraction, as well as the natural lipid contribution from </w:t>
      </w:r>
      <w:proofErr w:type="spellStart"/>
      <w:r>
        <w:t>acha</w:t>
      </w:r>
      <w:proofErr w:type="spellEnd"/>
      <w:r>
        <w:t xml:space="preserve"> grains. Similar trends were documented by </w:t>
      </w:r>
      <w:proofErr w:type="spellStart"/>
      <w:r>
        <w:t>Ekunseitan</w:t>
      </w:r>
      <w:proofErr w:type="spellEnd"/>
      <w:r>
        <w:t xml:space="preserve"> </w:t>
      </w:r>
      <w:r>
        <w:rPr>
          <w:i/>
        </w:rPr>
        <w:t>et al</w:t>
      </w:r>
      <w:r>
        <w:t>. (2017), who observed fat values of 17–28% in baked products enriched with coconut derivatives.</w:t>
      </w:r>
    </w:p>
    <w:p w14:paraId="245F0D7A" w14:textId="77777777" w:rsidR="00543E49" w:rsidRDefault="00C73355">
      <w:pPr>
        <w:pStyle w:val="NormalWeb"/>
        <w:jc w:val="both"/>
      </w:pPr>
      <w:r>
        <w:t>The crude fibre content in</w:t>
      </w:r>
      <w:r>
        <w:t>creased consistently with substitution levels, ranging from 0.93% in the control to 3.09% in the most substituted blend, attributable to the high fibre fraction of coconut residue, which is well-documented as a fibre-rich by-product (</w:t>
      </w:r>
      <w:proofErr w:type="spellStart"/>
      <w:r>
        <w:t>Onweluzo</w:t>
      </w:r>
      <w:proofErr w:type="spellEnd"/>
      <w:r>
        <w:t xml:space="preserve"> and </w:t>
      </w:r>
      <w:proofErr w:type="spellStart"/>
      <w:r>
        <w:t>Odume</w:t>
      </w:r>
      <w:proofErr w:type="spellEnd"/>
      <w:r>
        <w:t>, 20</w:t>
      </w:r>
      <w:r>
        <w:t xml:space="preserve">20). This is consistent with the fibre ranges of 1.2–3.5% reported for composite cakes enriched with coconut flour (Jannah </w:t>
      </w:r>
      <w:r>
        <w:rPr>
          <w:i/>
        </w:rPr>
        <w:t>et al</w:t>
      </w:r>
      <w:r>
        <w:t xml:space="preserve">., 2018). Similarly, ash content increased slightly with supplementation (1.65–1.94%), reflecting the mineral contribution of </w:t>
      </w:r>
      <w:proofErr w:type="spellStart"/>
      <w:r>
        <w:t>ac</w:t>
      </w:r>
      <w:r>
        <w:t>ha</w:t>
      </w:r>
      <w:proofErr w:type="spellEnd"/>
      <w:r>
        <w:t xml:space="preserve"> and coconut residues, which are known to supply essential elements such as calcium, potassium, and iron (Gyang </w:t>
      </w:r>
      <w:r>
        <w:rPr>
          <w:i/>
        </w:rPr>
        <w:t>et al</w:t>
      </w:r>
      <w:r>
        <w:t>., 2017).</w:t>
      </w:r>
    </w:p>
    <w:p w14:paraId="6D94CB46" w14:textId="77777777" w:rsidR="00543E49" w:rsidRDefault="00C73355">
      <w:pPr>
        <w:pStyle w:val="NormalWeb"/>
        <w:jc w:val="both"/>
      </w:pPr>
      <w:r>
        <w:t xml:space="preserve">Moisture content, though not showing a clear linear trend, was generally within the range of 12.88% – 14.78%, values which are </w:t>
      </w:r>
      <w:r>
        <w:t>comparable to the 12–15% reported for cakes and cookies fortified with indigenous flours (</w:t>
      </w:r>
      <w:proofErr w:type="spellStart"/>
      <w:r>
        <w:t>Adegunwa</w:t>
      </w:r>
      <w:proofErr w:type="spellEnd"/>
      <w:r>
        <w:t xml:space="preserve"> </w:t>
      </w:r>
      <w:r>
        <w:rPr>
          <w:i/>
        </w:rPr>
        <w:t>et al</w:t>
      </w:r>
      <w:r>
        <w:t xml:space="preserve">., 2017). The variation may be linked to differences in water absorption capacity of </w:t>
      </w:r>
      <w:proofErr w:type="spellStart"/>
      <w:r>
        <w:t>acha</w:t>
      </w:r>
      <w:proofErr w:type="spellEnd"/>
      <w:r>
        <w:t xml:space="preserve"> and coconut flour, as reported earlier in the functional prope</w:t>
      </w:r>
      <w:r>
        <w:t xml:space="preserve">rties table. Conversely, carbohydrate content, decreased significantly from 58.24% in the control to 41.61% in the most substituted sample, which is expected since partial replacement with protein, fat, and fibre-rich </w:t>
      </w:r>
      <w:proofErr w:type="spellStart"/>
      <w:r>
        <w:t>acha</w:t>
      </w:r>
      <w:proofErr w:type="spellEnd"/>
      <w:r>
        <w:t xml:space="preserve"> and coconut residue reduced the c</w:t>
      </w:r>
      <w:r>
        <w:t>arbohydrate fraction. This corroborates findings by Okpala and Akpala (2020), who noted carbohydrate ranges of 42–57% in composite cakes developed from wheat and local crop flours.</w:t>
      </w:r>
    </w:p>
    <w:p w14:paraId="004720FD" w14:textId="77777777" w:rsidR="00543E49" w:rsidRDefault="00C73355">
      <w:pPr>
        <w:autoSpaceDE w:val="0"/>
        <w:autoSpaceDN w:val="0"/>
        <w:adjustRightInd w:val="0"/>
        <w:spacing w:after="0" w:line="240" w:lineRule="auto"/>
        <w:ind w:left="900" w:hanging="900"/>
        <w:jc w:val="both"/>
        <w:rPr>
          <w:rFonts w:ascii="Times New Roman" w:hAnsi="Times New Roman" w:cs="Times New Roman"/>
          <w:b/>
        </w:rPr>
      </w:pPr>
      <w:r>
        <w:rPr>
          <w:rFonts w:ascii="Times New Roman" w:hAnsi="Times New Roman" w:cs="Times New Roman"/>
          <w:b/>
        </w:rPr>
        <w:t xml:space="preserve">Table 2: Proximate Composition (%) of Cakes from Wheat, </w:t>
      </w:r>
      <w:proofErr w:type="spellStart"/>
      <w:r>
        <w:rPr>
          <w:rFonts w:ascii="Times New Roman" w:hAnsi="Times New Roman" w:cs="Times New Roman"/>
          <w:b/>
        </w:rPr>
        <w:t>Acha</w:t>
      </w:r>
      <w:proofErr w:type="spellEnd"/>
      <w:r>
        <w:rPr>
          <w:rFonts w:ascii="Times New Roman" w:hAnsi="Times New Roman" w:cs="Times New Roman"/>
          <w:b/>
        </w:rPr>
        <w:t xml:space="preserve"> and Coconut Re</w:t>
      </w:r>
      <w:r>
        <w:rPr>
          <w:rFonts w:ascii="Times New Roman" w:hAnsi="Times New Roman" w:cs="Times New Roman"/>
          <w:b/>
        </w:rPr>
        <w:t>sidue Flour Blends</w:t>
      </w:r>
    </w:p>
    <w:tbl>
      <w:tblPr>
        <w:tblStyle w:val="ListTable6Colorful1"/>
        <w:tblW w:w="5160" w:type="pct"/>
        <w:tblLook w:val="04A0" w:firstRow="1" w:lastRow="0" w:firstColumn="1" w:lastColumn="0" w:noHBand="0" w:noVBand="1"/>
      </w:tblPr>
      <w:tblGrid>
        <w:gridCol w:w="977"/>
        <w:gridCol w:w="1690"/>
        <w:gridCol w:w="1388"/>
        <w:gridCol w:w="1490"/>
        <w:gridCol w:w="1268"/>
        <w:gridCol w:w="1459"/>
        <w:gridCol w:w="1670"/>
      </w:tblGrid>
      <w:tr w:rsidR="00543E49" w14:paraId="2D3CE2CB" w14:textId="77777777" w:rsidTr="00543E49">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93" w:type="pct"/>
            <w:tcBorders>
              <w:top w:val="single" w:sz="4" w:space="0" w:color="000000" w:themeColor="text1"/>
              <w:left w:val="nil"/>
              <w:right w:val="nil"/>
            </w:tcBorders>
            <w:noWrap/>
          </w:tcPr>
          <w:p w14:paraId="43C93465"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 xml:space="preserve">Sample </w:t>
            </w:r>
          </w:p>
        </w:tc>
        <w:tc>
          <w:tcPr>
            <w:tcW w:w="819" w:type="pct"/>
            <w:tcBorders>
              <w:top w:val="single" w:sz="4" w:space="0" w:color="000000" w:themeColor="text1"/>
              <w:left w:val="nil"/>
              <w:right w:val="nil"/>
            </w:tcBorders>
            <w:noWrap/>
          </w:tcPr>
          <w:p w14:paraId="18EBE029"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Crude Protein</w:t>
            </w:r>
          </w:p>
        </w:tc>
        <w:tc>
          <w:tcPr>
            <w:tcW w:w="731" w:type="pct"/>
            <w:tcBorders>
              <w:top w:val="single" w:sz="4" w:space="0" w:color="000000" w:themeColor="text1"/>
              <w:left w:val="nil"/>
              <w:right w:val="nil"/>
            </w:tcBorders>
            <w:noWrap/>
          </w:tcPr>
          <w:p w14:paraId="2C03421D"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Fat</w:t>
            </w:r>
          </w:p>
        </w:tc>
        <w:tc>
          <w:tcPr>
            <w:tcW w:w="721" w:type="pct"/>
            <w:tcBorders>
              <w:top w:val="single" w:sz="4" w:space="0" w:color="000000" w:themeColor="text1"/>
              <w:left w:val="nil"/>
              <w:right w:val="nil"/>
            </w:tcBorders>
            <w:noWrap/>
          </w:tcPr>
          <w:p w14:paraId="140C1560"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Crude Fibre</w:t>
            </w:r>
          </w:p>
        </w:tc>
        <w:tc>
          <w:tcPr>
            <w:tcW w:w="667" w:type="pct"/>
            <w:tcBorders>
              <w:top w:val="single" w:sz="4" w:space="0" w:color="000000" w:themeColor="text1"/>
              <w:left w:val="nil"/>
              <w:right w:val="nil"/>
            </w:tcBorders>
            <w:noWrap/>
          </w:tcPr>
          <w:p w14:paraId="2E9CB840"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Ash</w:t>
            </w:r>
          </w:p>
        </w:tc>
        <w:tc>
          <w:tcPr>
            <w:tcW w:w="768" w:type="pct"/>
            <w:tcBorders>
              <w:top w:val="single" w:sz="4" w:space="0" w:color="000000" w:themeColor="text1"/>
              <w:left w:val="nil"/>
              <w:right w:val="nil"/>
            </w:tcBorders>
            <w:noWrap/>
          </w:tcPr>
          <w:p w14:paraId="4D5547D1"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Moisture</w:t>
            </w:r>
          </w:p>
        </w:tc>
        <w:tc>
          <w:tcPr>
            <w:tcW w:w="801" w:type="pct"/>
            <w:tcBorders>
              <w:top w:val="single" w:sz="4" w:space="0" w:color="000000" w:themeColor="text1"/>
              <w:left w:val="nil"/>
              <w:right w:val="nil"/>
            </w:tcBorders>
            <w:noWrap/>
          </w:tcPr>
          <w:p w14:paraId="5BB0EB39"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Carbohydrate</w:t>
            </w:r>
          </w:p>
        </w:tc>
      </w:tr>
      <w:tr w:rsidR="00543E49" w14:paraId="4BDF0889" w14:textId="77777777" w:rsidTr="00543E49">
        <w:trPr>
          <w:trHeight w:val="299"/>
        </w:trPr>
        <w:tc>
          <w:tcPr>
            <w:cnfStyle w:val="001000000000" w:firstRow="0" w:lastRow="0" w:firstColumn="1" w:lastColumn="0" w:oddVBand="0" w:evenVBand="0" w:oddHBand="0" w:evenHBand="0" w:firstRowFirstColumn="0" w:firstRowLastColumn="0" w:lastRowFirstColumn="0" w:lastRowLastColumn="0"/>
            <w:tcW w:w="493" w:type="pct"/>
            <w:tcBorders>
              <w:top w:val="nil"/>
              <w:left w:val="nil"/>
              <w:bottom w:val="nil"/>
              <w:right w:val="nil"/>
            </w:tcBorders>
            <w:noWrap/>
          </w:tcPr>
          <w:p w14:paraId="13D54D9B"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A</w:t>
            </w:r>
          </w:p>
        </w:tc>
        <w:tc>
          <w:tcPr>
            <w:tcW w:w="819" w:type="pct"/>
            <w:tcBorders>
              <w:top w:val="nil"/>
              <w:left w:val="nil"/>
              <w:bottom w:val="nil"/>
              <w:right w:val="nil"/>
            </w:tcBorders>
            <w:noWrap/>
          </w:tcPr>
          <w:p w14:paraId="790EEE33"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8.44</w:t>
            </w:r>
            <w:r>
              <w:rPr>
                <w:rFonts w:ascii="Times New Roman" w:hAnsi="Times New Roman" w:cs="Times New Roman"/>
                <w:kern w:val="0"/>
                <w:sz w:val="24"/>
                <w:szCs w:val="24"/>
                <w:vertAlign w:val="superscript"/>
                <w:lang w:val="en-GB"/>
              </w:rPr>
              <w:t>d</w:t>
            </w:r>
            <w:r>
              <w:rPr>
                <w:rFonts w:ascii="Times New Roman" w:hAnsi="Times New Roman" w:cs="Times New Roman"/>
                <w:kern w:val="0"/>
                <w:sz w:val="24"/>
                <w:szCs w:val="24"/>
                <w:lang w:val="en-GB"/>
              </w:rPr>
              <w:t>±0.18</w:t>
            </w:r>
          </w:p>
        </w:tc>
        <w:tc>
          <w:tcPr>
            <w:tcW w:w="731" w:type="pct"/>
            <w:tcBorders>
              <w:top w:val="nil"/>
              <w:left w:val="nil"/>
              <w:bottom w:val="nil"/>
              <w:right w:val="nil"/>
            </w:tcBorders>
            <w:noWrap/>
          </w:tcPr>
          <w:p w14:paraId="4CD511E3"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16.90</w:t>
            </w:r>
            <w:r>
              <w:rPr>
                <w:rFonts w:ascii="Times New Roman" w:hAnsi="Times New Roman" w:cs="Times New Roman"/>
                <w:kern w:val="0"/>
                <w:sz w:val="24"/>
                <w:szCs w:val="24"/>
                <w:vertAlign w:val="superscript"/>
                <w:lang w:val="en-GB"/>
              </w:rPr>
              <w:t>d</w:t>
            </w:r>
            <w:r>
              <w:rPr>
                <w:rFonts w:ascii="Times New Roman" w:hAnsi="Times New Roman" w:cs="Times New Roman"/>
                <w:kern w:val="0"/>
                <w:sz w:val="24"/>
                <w:szCs w:val="24"/>
                <w:lang w:val="en-GB"/>
              </w:rPr>
              <w:t>±0.42</w:t>
            </w:r>
          </w:p>
        </w:tc>
        <w:tc>
          <w:tcPr>
            <w:tcW w:w="721" w:type="pct"/>
            <w:tcBorders>
              <w:top w:val="nil"/>
              <w:left w:val="nil"/>
              <w:bottom w:val="nil"/>
              <w:right w:val="nil"/>
            </w:tcBorders>
            <w:noWrap/>
          </w:tcPr>
          <w:p w14:paraId="251C18F1"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0.93</w:t>
            </w:r>
            <w:r>
              <w:rPr>
                <w:rFonts w:ascii="Times New Roman" w:hAnsi="Times New Roman" w:cs="Times New Roman"/>
                <w:kern w:val="0"/>
                <w:sz w:val="24"/>
                <w:szCs w:val="24"/>
                <w:vertAlign w:val="superscript"/>
                <w:lang w:val="en-GB"/>
              </w:rPr>
              <w:t>d</w:t>
            </w:r>
            <w:r>
              <w:rPr>
                <w:rFonts w:ascii="Times New Roman" w:hAnsi="Times New Roman" w:cs="Times New Roman"/>
                <w:kern w:val="0"/>
                <w:sz w:val="24"/>
                <w:szCs w:val="24"/>
                <w:lang w:val="en-GB"/>
              </w:rPr>
              <w:t>±0.04</w:t>
            </w:r>
          </w:p>
        </w:tc>
        <w:tc>
          <w:tcPr>
            <w:tcW w:w="667" w:type="pct"/>
            <w:tcBorders>
              <w:top w:val="nil"/>
              <w:left w:val="nil"/>
              <w:bottom w:val="nil"/>
              <w:right w:val="nil"/>
            </w:tcBorders>
            <w:noWrap/>
          </w:tcPr>
          <w:p w14:paraId="41F5A978"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1.65</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±0.01</w:t>
            </w:r>
          </w:p>
        </w:tc>
        <w:tc>
          <w:tcPr>
            <w:tcW w:w="768" w:type="pct"/>
            <w:tcBorders>
              <w:top w:val="nil"/>
              <w:left w:val="nil"/>
              <w:bottom w:val="nil"/>
              <w:right w:val="nil"/>
            </w:tcBorders>
            <w:noWrap/>
          </w:tcPr>
          <w:p w14:paraId="08734B38"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13.85</w:t>
            </w:r>
            <w:r>
              <w:rPr>
                <w:rFonts w:ascii="Times New Roman" w:hAnsi="Times New Roman" w:cs="Times New Roman"/>
                <w:kern w:val="0"/>
                <w:sz w:val="24"/>
                <w:szCs w:val="24"/>
                <w:vertAlign w:val="superscript"/>
                <w:lang w:val="en-GB"/>
              </w:rPr>
              <w:t>ab</w:t>
            </w:r>
            <w:r>
              <w:rPr>
                <w:rFonts w:ascii="Times New Roman" w:hAnsi="Times New Roman" w:cs="Times New Roman"/>
                <w:kern w:val="0"/>
                <w:sz w:val="24"/>
                <w:szCs w:val="24"/>
                <w:lang w:val="en-GB"/>
              </w:rPr>
              <w:t>±0.64</w:t>
            </w:r>
          </w:p>
        </w:tc>
        <w:tc>
          <w:tcPr>
            <w:tcW w:w="801" w:type="pct"/>
            <w:tcBorders>
              <w:top w:val="nil"/>
              <w:left w:val="nil"/>
              <w:bottom w:val="nil"/>
              <w:right w:val="nil"/>
            </w:tcBorders>
            <w:noWrap/>
          </w:tcPr>
          <w:p w14:paraId="4A196907"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58.24</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±1.22</w:t>
            </w:r>
          </w:p>
        </w:tc>
      </w:tr>
      <w:tr w:rsidR="00543E49" w14:paraId="0C3380BE" w14:textId="77777777" w:rsidTr="00543E49">
        <w:trPr>
          <w:trHeight w:val="299"/>
        </w:trPr>
        <w:tc>
          <w:tcPr>
            <w:cnfStyle w:val="001000000000" w:firstRow="0" w:lastRow="0" w:firstColumn="1" w:lastColumn="0" w:oddVBand="0" w:evenVBand="0" w:oddHBand="0" w:evenHBand="0" w:firstRowFirstColumn="0" w:firstRowLastColumn="0" w:lastRowFirstColumn="0" w:lastRowLastColumn="0"/>
            <w:tcW w:w="493" w:type="pct"/>
            <w:tcBorders>
              <w:top w:val="nil"/>
              <w:left w:val="nil"/>
              <w:bottom w:val="nil"/>
              <w:right w:val="nil"/>
            </w:tcBorders>
            <w:noWrap/>
          </w:tcPr>
          <w:p w14:paraId="46574530"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B</w:t>
            </w:r>
          </w:p>
        </w:tc>
        <w:tc>
          <w:tcPr>
            <w:tcW w:w="819" w:type="pct"/>
            <w:tcBorders>
              <w:top w:val="nil"/>
              <w:left w:val="nil"/>
              <w:bottom w:val="nil"/>
              <w:right w:val="nil"/>
            </w:tcBorders>
            <w:noWrap/>
          </w:tcPr>
          <w:p w14:paraId="1D061EFA"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9.32</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±0.18</w:t>
            </w:r>
          </w:p>
        </w:tc>
        <w:tc>
          <w:tcPr>
            <w:tcW w:w="731" w:type="pct"/>
            <w:tcBorders>
              <w:top w:val="nil"/>
              <w:left w:val="nil"/>
              <w:bottom w:val="nil"/>
              <w:right w:val="nil"/>
            </w:tcBorders>
            <w:noWrap/>
          </w:tcPr>
          <w:p w14:paraId="0EDF1CD0"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18.60</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±0.28</w:t>
            </w:r>
          </w:p>
        </w:tc>
        <w:tc>
          <w:tcPr>
            <w:tcW w:w="721" w:type="pct"/>
            <w:tcBorders>
              <w:top w:val="nil"/>
              <w:left w:val="nil"/>
              <w:bottom w:val="nil"/>
              <w:right w:val="nil"/>
            </w:tcBorders>
            <w:noWrap/>
          </w:tcPr>
          <w:p w14:paraId="20610FB0"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1.78</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±0.11</w:t>
            </w:r>
          </w:p>
        </w:tc>
        <w:tc>
          <w:tcPr>
            <w:tcW w:w="667" w:type="pct"/>
            <w:tcBorders>
              <w:top w:val="nil"/>
              <w:left w:val="nil"/>
              <w:bottom w:val="nil"/>
              <w:right w:val="nil"/>
            </w:tcBorders>
            <w:noWrap/>
          </w:tcPr>
          <w:p w14:paraId="46A38849"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1.78</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±0.03</w:t>
            </w:r>
          </w:p>
        </w:tc>
        <w:tc>
          <w:tcPr>
            <w:tcW w:w="768" w:type="pct"/>
            <w:tcBorders>
              <w:top w:val="nil"/>
              <w:left w:val="nil"/>
              <w:bottom w:val="nil"/>
              <w:right w:val="nil"/>
            </w:tcBorders>
            <w:noWrap/>
          </w:tcPr>
          <w:p w14:paraId="0AB03EF3"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13.15</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±0.85</w:t>
            </w:r>
          </w:p>
        </w:tc>
        <w:tc>
          <w:tcPr>
            <w:tcW w:w="801" w:type="pct"/>
            <w:tcBorders>
              <w:top w:val="nil"/>
              <w:left w:val="nil"/>
              <w:bottom w:val="nil"/>
              <w:right w:val="nil"/>
            </w:tcBorders>
            <w:noWrap/>
          </w:tcPr>
          <w:p w14:paraId="266BAF5E"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55.38</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±0.31</w:t>
            </w:r>
          </w:p>
        </w:tc>
      </w:tr>
      <w:tr w:rsidR="00543E49" w14:paraId="6307AFC0" w14:textId="77777777" w:rsidTr="00543E49">
        <w:trPr>
          <w:trHeight w:val="299"/>
        </w:trPr>
        <w:tc>
          <w:tcPr>
            <w:cnfStyle w:val="001000000000" w:firstRow="0" w:lastRow="0" w:firstColumn="1" w:lastColumn="0" w:oddVBand="0" w:evenVBand="0" w:oddHBand="0" w:evenHBand="0" w:firstRowFirstColumn="0" w:firstRowLastColumn="0" w:lastRowFirstColumn="0" w:lastRowLastColumn="0"/>
            <w:tcW w:w="493" w:type="pct"/>
            <w:tcBorders>
              <w:top w:val="nil"/>
              <w:left w:val="nil"/>
              <w:bottom w:val="nil"/>
              <w:right w:val="nil"/>
            </w:tcBorders>
            <w:noWrap/>
          </w:tcPr>
          <w:p w14:paraId="2EDEB977"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w:t>
            </w:r>
          </w:p>
        </w:tc>
        <w:tc>
          <w:tcPr>
            <w:tcW w:w="819" w:type="pct"/>
            <w:tcBorders>
              <w:top w:val="nil"/>
              <w:left w:val="nil"/>
              <w:bottom w:val="nil"/>
              <w:right w:val="nil"/>
            </w:tcBorders>
            <w:noWrap/>
          </w:tcPr>
          <w:p w14:paraId="317DC5C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9.98</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±0.13</w:t>
            </w:r>
          </w:p>
        </w:tc>
        <w:tc>
          <w:tcPr>
            <w:tcW w:w="731" w:type="pct"/>
            <w:tcBorders>
              <w:top w:val="nil"/>
              <w:left w:val="nil"/>
              <w:bottom w:val="nil"/>
              <w:right w:val="nil"/>
            </w:tcBorders>
            <w:noWrap/>
          </w:tcPr>
          <w:p w14:paraId="411A0C75"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23.75</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±0.92</w:t>
            </w:r>
          </w:p>
        </w:tc>
        <w:tc>
          <w:tcPr>
            <w:tcW w:w="721" w:type="pct"/>
            <w:tcBorders>
              <w:top w:val="nil"/>
              <w:left w:val="nil"/>
              <w:bottom w:val="nil"/>
              <w:right w:val="nil"/>
            </w:tcBorders>
            <w:noWrap/>
          </w:tcPr>
          <w:p w14:paraId="1F5CCD2E"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2.20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±0.08</w:t>
            </w:r>
          </w:p>
        </w:tc>
        <w:tc>
          <w:tcPr>
            <w:tcW w:w="667" w:type="pct"/>
            <w:tcBorders>
              <w:top w:val="nil"/>
              <w:left w:val="nil"/>
              <w:bottom w:val="nil"/>
              <w:right w:val="nil"/>
            </w:tcBorders>
            <w:noWrap/>
          </w:tcPr>
          <w:p w14:paraId="46382E09"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1.88</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±0.03</w:t>
            </w:r>
          </w:p>
        </w:tc>
        <w:tc>
          <w:tcPr>
            <w:tcW w:w="768" w:type="pct"/>
            <w:tcBorders>
              <w:top w:val="nil"/>
              <w:left w:val="nil"/>
              <w:bottom w:val="nil"/>
              <w:right w:val="nil"/>
            </w:tcBorders>
            <w:noWrap/>
          </w:tcPr>
          <w:p w14:paraId="744ADE51"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12.88</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±0.11</w:t>
            </w:r>
          </w:p>
        </w:tc>
        <w:tc>
          <w:tcPr>
            <w:tcW w:w="801" w:type="pct"/>
            <w:tcBorders>
              <w:top w:val="nil"/>
              <w:left w:val="nil"/>
              <w:bottom w:val="nil"/>
              <w:right w:val="nil"/>
            </w:tcBorders>
            <w:noWrap/>
          </w:tcPr>
          <w:p w14:paraId="773FBB77"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49.33</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±0.79</w:t>
            </w:r>
          </w:p>
        </w:tc>
      </w:tr>
      <w:tr w:rsidR="00543E49" w14:paraId="0629E2F6" w14:textId="77777777" w:rsidTr="00543E49">
        <w:trPr>
          <w:trHeight w:val="299"/>
        </w:trPr>
        <w:tc>
          <w:tcPr>
            <w:cnfStyle w:val="001000000000" w:firstRow="0" w:lastRow="0" w:firstColumn="1" w:lastColumn="0" w:oddVBand="0" w:evenVBand="0" w:oddHBand="0" w:evenHBand="0" w:firstRowFirstColumn="0" w:firstRowLastColumn="0" w:lastRowFirstColumn="0" w:lastRowLastColumn="0"/>
            <w:tcW w:w="493" w:type="pct"/>
            <w:tcBorders>
              <w:top w:val="nil"/>
              <w:left w:val="nil"/>
              <w:bottom w:val="nil"/>
              <w:right w:val="nil"/>
            </w:tcBorders>
            <w:noWrap/>
          </w:tcPr>
          <w:p w14:paraId="38EE4BC4"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D</w:t>
            </w:r>
          </w:p>
        </w:tc>
        <w:tc>
          <w:tcPr>
            <w:tcW w:w="819" w:type="pct"/>
            <w:tcBorders>
              <w:top w:val="nil"/>
              <w:left w:val="nil"/>
              <w:bottom w:val="nil"/>
              <w:right w:val="nil"/>
            </w:tcBorders>
            <w:noWrap/>
          </w:tcPr>
          <w:p w14:paraId="28DD7113"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11.60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±0.30</w:t>
            </w:r>
          </w:p>
        </w:tc>
        <w:tc>
          <w:tcPr>
            <w:tcW w:w="731" w:type="pct"/>
            <w:tcBorders>
              <w:top w:val="nil"/>
              <w:left w:val="nil"/>
              <w:bottom w:val="nil"/>
              <w:right w:val="nil"/>
            </w:tcBorders>
            <w:noWrap/>
          </w:tcPr>
          <w:p w14:paraId="5247BBB2"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27.00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±0.28</w:t>
            </w:r>
          </w:p>
        </w:tc>
        <w:tc>
          <w:tcPr>
            <w:tcW w:w="721" w:type="pct"/>
            <w:tcBorders>
              <w:top w:val="nil"/>
              <w:left w:val="nil"/>
              <w:bottom w:val="nil"/>
              <w:right w:val="nil"/>
            </w:tcBorders>
            <w:noWrap/>
          </w:tcPr>
          <w:p w14:paraId="24F874AE"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3.09</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±0.09</w:t>
            </w:r>
          </w:p>
        </w:tc>
        <w:tc>
          <w:tcPr>
            <w:tcW w:w="667" w:type="pct"/>
            <w:tcBorders>
              <w:top w:val="nil"/>
              <w:left w:val="nil"/>
              <w:bottom w:val="nil"/>
              <w:right w:val="nil"/>
            </w:tcBorders>
            <w:noWrap/>
          </w:tcPr>
          <w:p w14:paraId="6AA108F5"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1.94</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±0.01</w:t>
            </w:r>
          </w:p>
        </w:tc>
        <w:tc>
          <w:tcPr>
            <w:tcW w:w="768" w:type="pct"/>
            <w:tcBorders>
              <w:top w:val="nil"/>
              <w:left w:val="nil"/>
              <w:bottom w:val="nil"/>
              <w:right w:val="nil"/>
            </w:tcBorders>
            <w:noWrap/>
          </w:tcPr>
          <w:p w14:paraId="3EE17F5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14.78</w:t>
            </w:r>
            <w:r>
              <w:rPr>
                <w:rFonts w:ascii="Times New Roman" w:hAnsi="Times New Roman" w:cs="Times New Roman"/>
                <w:kern w:val="0"/>
                <w:sz w:val="24"/>
                <w:szCs w:val="24"/>
                <w:vertAlign w:val="superscript"/>
                <w:lang w:val="en-GB"/>
              </w:rPr>
              <w:t>ab</w:t>
            </w:r>
            <w:r>
              <w:rPr>
                <w:rFonts w:ascii="Times New Roman" w:hAnsi="Times New Roman" w:cs="Times New Roman"/>
                <w:kern w:val="0"/>
                <w:sz w:val="24"/>
                <w:szCs w:val="24"/>
                <w:lang w:val="en-GB"/>
              </w:rPr>
              <w:t>±0.04</w:t>
            </w:r>
          </w:p>
        </w:tc>
        <w:tc>
          <w:tcPr>
            <w:tcW w:w="801" w:type="pct"/>
            <w:tcBorders>
              <w:top w:val="nil"/>
              <w:left w:val="nil"/>
              <w:bottom w:val="nil"/>
              <w:right w:val="nil"/>
            </w:tcBorders>
            <w:noWrap/>
          </w:tcPr>
          <w:p w14:paraId="6BDFDCE3"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41.61</w:t>
            </w:r>
            <w:r>
              <w:rPr>
                <w:rFonts w:ascii="Times New Roman" w:hAnsi="Times New Roman" w:cs="Times New Roman"/>
                <w:kern w:val="0"/>
                <w:sz w:val="24"/>
                <w:szCs w:val="24"/>
                <w:vertAlign w:val="superscript"/>
                <w:lang w:val="en-GB"/>
              </w:rPr>
              <w:t>d</w:t>
            </w:r>
            <w:r>
              <w:rPr>
                <w:rFonts w:ascii="Times New Roman" w:hAnsi="Times New Roman" w:cs="Times New Roman"/>
                <w:kern w:val="0"/>
                <w:sz w:val="24"/>
                <w:szCs w:val="24"/>
                <w:lang w:val="en-GB"/>
              </w:rPr>
              <w:t>±0.16</w:t>
            </w:r>
          </w:p>
        </w:tc>
      </w:tr>
      <w:tr w:rsidR="00543E49" w14:paraId="278622F7" w14:textId="77777777" w:rsidTr="00543E49">
        <w:trPr>
          <w:trHeight w:val="299"/>
        </w:trPr>
        <w:tc>
          <w:tcPr>
            <w:cnfStyle w:val="001000000000" w:firstRow="0" w:lastRow="0" w:firstColumn="1" w:lastColumn="0" w:oddVBand="0" w:evenVBand="0" w:oddHBand="0" w:evenHBand="0" w:firstRowFirstColumn="0" w:firstRowLastColumn="0" w:lastRowFirstColumn="0" w:lastRowLastColumn="0"/>
            <w:tcW w:w="493" w:type="pct"/>
            <w:tcBorders>
              <w:top w:val="nil"/>
              <w:left w:val="nil"/>
              <w:bottom w:val="single" w:sz="4" w:space="0" w:color="000000" w:themeColor="text1"/>
              <w:right w:val="nil"/>
            </w:tcBorders>
            <w:noWrap/>
          </w:tcPr>
          <w:p w14:paraId="0FF49976"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LSD</w:t>
            </w:r>
          </w:p>
        </w:tc>
        <w:tc>
          <w:tcPr>
            <w:tcW w:w="819" w:type="pct"/>
            <w:tcBorders>
              <w:top w:val="nil"/>
              <w:left w:val="nil"/>
              <w:bottom w:val="single" w:sz="4" w:space="0" w:color="000000" w:themeColor="text1"/>
              <w:right w:val="nil"/>
            </w:tcBorders>
            <w:noWrap/>
          </w:tcPr>
          <w:p w14:paraId="35B01025"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0.57</w:t>
            </w:r>
          </w:p>
        </w:tc>
        <w:tc>
          <w:tcPr>
            <w:tcW w:w="731" w:type="pct"/>
            <w:tcBorders>
              <w:top w:val="nil"/>
              <w:left w:val="nil"/>
              <w:bottom w:val="single" w:sz="4" w:space="0" w:color="000000" w:themeColor="text1"/>
              <w:right w:val="nil"/>
            </w:tcBorders>
            <w:noWrap/>
          </w:tcPr>
          <w:p w14:paraId="3E6831D6"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1.51</w:t>
            </w:r>
          </w:p>
        </w:tc>
        <w:tc>
          <w:tcPr>
            <w:tcW w:w="721" w:type="pct"/>
            <w:tcBorders>
              <w:top w:val="nil"/>
              <w:left w:val="nil"/>
              <w:bottom w:val="single" w:sz="4" w:space="0" w:color="000000" w:themeColor="text1"/>
              <w:right w:val="nil"/>
            </w:tcBorders>
            <w:noWrap/>
          </w:tcPr>
          <w:p w14:paraId="3E4CA2C7"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0.23</w:t>
            </w:r>
          </w:p>
        </w:tc>
        <w:tc>
          <w:tcPr>
            <w:tcW w:w="667" w:type="pct"/>
            <w:tcBorders>
              <w:top w:val="nil"/>
              <w:left w:val="nil"/>
              <w:bottom w:val="single" w:sz="4" w:space="0" w:color="000000" w:themeColor="text1"/>
              <w:right w:val="nil"/>
            </w:tcBorders>
            <w:noWrap/>
          </w:tcPr>
          <w:p w14:paraId="1D0D8370"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0.06</w:t>
            </w:r>
          </w:p>
        </w:tc>
        <w:tc>
          <w:tcPr>
            <w:tcW w:w="768" w:type="pct"/>
            <w:tcBorders>
              <w:top w:val="nil"/>
              <w:left w:val="nil"/>
              <w:bottom w:val="single" w:sz="4" w:space="0" w:color="000000" w:themeColor="text1"/>
              <w:right w:val="nil"/>
            </w:tcBorders>
            <w:noWrap/>
          </w:tcPr>
          <w:p w14:paraId="2A781CAE"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1.48</w:t>
            </w:r>
          </w:p>
        </w:tc>
        <w:tc>
          <w:tcPr>
            <w:tcW w:w="801" w:type="pct"/>
            <w:tcBorders>
              <w:top w:val="nil"/>
              <w:left w:val="nil"/>
              <w:bottom w:val="single" w:sz="4" w:space="0" w:color="000000" w:themeColor="text1"/>
              <w:right w:val="nil"/>
            </w:tcBorders>
            <w:noWrap/>
          </w:tcPr>
          <w:p w14:paraId="5CF11381"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2.07</w:t>
            </w:r>
          </w:p>
        </w:tc>
      </w:tr>
    </w:tbl>
    <w:p w14:paraId="5FF8352C" w14:textId="77777777" w:rsidR="00543E49" w:rsidRDefault="00C73355">
      <w:pPr>
        <w:autoSpaceDE w:val="0"/>
        <w:autoSpaceDN w:val="0"/>
        <w:adjustRightInd w:val="0"/>
        <w:spacing w:after="0" w:line="240" w:lineRule="auto"/>
        <w:jc w:val="both"/>
        <w:rPr>
          <w:rFonts w:ascii="Times New Roman" w:hAnsi="Times New Roman" w:cs="Times New Roman"/>
          <w:lang w:val="en-GB"/>
          <w14:ligatures w14:val="standardContextual"/>
        </w:rPr>
      </w:pPr>
      <w:r>
        <w:rPr>
          <w:rFonts w:ascii="Times New Roman" w:hAnsi="Times New Roman" w:cs="Times New Roman"/>
        </w:rPr>
        <w:t xml:space="preserve">Values are means ± standard deviations of 3 replicates. Means in the same column with different </w:t>
      </w:r>
      <w:r>
        <w:rPr>
          <w:rFonts w:ascii="Times New Roman" w:hAnsi="Times New Roman" w:cs="Times New Roman"/>
        </w:rPr>
        <w:t>superscripts are significantly (P&lt;0.05) different</w:t>
      </w:r>
    </w:p>
    <w:p w14:paraId="501CB1D9" w14:textId="77777777" w:rsidR="00543E49" w:rsidRDefault="00C73355">
      <w:pPr>
        <w:spacing w:after="0" w:line="240" w:lineRule="auto"/>
        <w:jc w:val="both"/>
        <w:rPr>
          <w:rFonts w:ascii="Times New Roman" w:hAnsi="Times New Roman" w:cs="Times New Roman"/>
          <w:b/>
          <w:kern w:val="2"/>
        </w:rPr>
      </w:pPr>
      <w:r>
        <w:rPr>
          <w:rFonts w:ascii="Times New Roman" w:hAnsi="Times New Roman" w:cs="Times New Roman"/>
          <w:b/>
        </w:rPr>
        <w:t>Keys</w:t>
      </w:r>
    </w:p>
    <w:p w14:paraId="77DFBC01"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A</w:t>
      </w:r>
      <w:r>
        <w:rPr>
          <w:rFonts w:ascii="Times New Roman" w:hAnsi="Times New Roman" w:cs="Times New Roman"/>
        </w:rPr>
        <w:t xml:space="preserve"> = 100% wheat flour (control), </w:t>
      </w:r>
      <w:r>
        <w:rPr>
          <w:rFonts w:ascii="Times New Roman" w:hAnsi="Times New Roman" w:cs="Times New Roman"/>
          <w:b/>
        </w:rPr>
        <w:t>B</w:t>
      </w:r>
      <w:r>
        <w:rPr>
          <w:rFonts w:ascii="Times New Roman" w:hAnsi="Times New Roman" w:cs="Times New Roman"/>
        </w:rPr>
        <w:t xml:space="preserve"> = 80% wheat flour+15%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5D3C5AF6"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C</w:t>
      </w:r>
      <w:r>
        <w:rPr>
          <w:rFonts w:ascii="Times New Roman" w:hAnsi="Times New Roman" w:cs="Times New Roman"/>
        </w:rPr>
        <w:t xml:space="preserve"> = 75% wheat flour+20%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 </w:t>
      </w:r>
      <w:r>
        <w:rPr>
          <w:rFonts w:ascii="Times New Roman" w:hAnsi="Times New Roman" w:cs="Times New Roman"/>
          <w:b/>
        </w:rPr>
        <w:t>D</w:t>
      </w:r>
      <w:r>
        <w:rPr>
          <w:rFonts w:ascii="Times New Roman" w:hAnsi="Times New Roman" w:cs="Times New Roman"/>
        </w:rPr>
        <w:t xml:space="preserve"> = 70% wheat flour+25%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6F7A7F15" w14:textId="77777777" w:rsidR="00543E49" w:rsidRDefault="00543E49">
      <w:pPr>
        <w:pStyle w:val="NormalWeb"/>
        <w:jc w:val="both"/>
      </w:pPr>
    </w:p>
    <w:p w14:paraId="496A422A" w14:textId="77777777" w:rsidR="00543E49" w:rsidRDefault="00C73355">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lastRenderedPageBreak/>
        <w:t>3.3</w:t>
      </w:r>
      <w:r>
        <w:rPr>
          <w:rFonts w:ascii="Times New Roman" w:hAnsi="Times New Roman" w:cs="Times New Roman"/>
        </w:rPr>
        <w:tab/>
      </w:r>
      <w:r>
        <w:rPr>
          <w:rFonts w:ascii="Times New Roman" w:hAnsi="Times New Roman" w:cs="Times New Roman"/>
          <w:b/>
        </w:rPr>
        <w:t xml:space="preserve">Physical Properties of Cakes from Wheat, </w:t>
      </w:r>
      <w:proofErr w:type="spellStart"/>
      <w:r>
        <w:rPr>
          <w:rFonts w:ascii="Times New Roman" w:hAnsi="Times New Roman" w:cs="Times New Roman"/>
          <w:b/>
        </w:rPr>
        <w:t>Acha</w:t>
      </w:r>
      <w:proofErr w:type="spellEnd"/>
      <w:r>
        <w:rPr>
          <w:rFonts w:ascii="Times New Roman" w:hAnsi="Times New Roman" w:cs="Times New Roman"/>
          <w:b/>
        </w:rPr>
        <w:t xml:space="preserve"> and Coconut Residue Flour Blends</w:t>
      </w:r>
    </w:p>
    <w:p w14:paraId="0C7910B7" w14:textId="77777777" w:rsidR="00543E49" w:rsidRDefault="00C73355">
      <w:pPr>
        <w:pStyle w:val="NormalWeb"/>
        <w:spacing w:before="0" w:beforeAutospacing="0"/>
        <w:jc w:val="both"/>
      </w:pPr>
      <w:r>
        <w:t xml:space="preserve">Table 3 shows that cake weight ranged from 51.10 g in sample B to 81.10 g in sample A, volume ranged from 78.60 cm³ in sample C to 102.70 </w:t>
      </w:r>
      <w:r>
        <w:t>cm³ in sample A, while specific volume ranged from 1.24 cm³/g in sample C to 1.55 cm³/g in sample B.</w:t>
      </w:r>
    </w:p>
    <w:p w14:paraId="1B82EC96" w14:textId="77777777" w:rsidR="00543E49" w:rsidRDefault="00C73355">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Table 3: Physical Properties of Cakes from Wheat, </w:t>
      </w:r>
      <w:proofErr w:type="spellStart"/>
      <w:r>
        <w:rPr>
          <w:rFonts w:ascii="Times New Roman" w:hAnsi="Times New Roman" w:cs="Times New Roman"/>
          <w:b/>
        </w:rPr>
        <w:t>Acha</w:t>
      </w:r>
      <w:proofErr w:type="spellEnd"/>
      <w:r>
        <w:rPr>
          <w:rFonts w:ascii="Times New Roman" w:hAnsi="Times New Roman" w:cs="Times New Roman"/>
          <w:b/>
        </w:rPr>
        <w:t xml:space="preserve"> and Coconut Residue Flour Blends</w:t>
      </w:r>
    </w:p>
    <w:tbl>
      <w:tblPr>
        <w:tblStyle w:val="ListTable6Colorful1"/>
        <w:tblW w:w="5000" w:type="pct"/>
        <w:tblLook w:val="04A0" w:firstRow="1" w:lastRow="0" w:firstColumn="1" w:lastColumn="0" w:noHBand="0" w:noVBand="1"/>
      </w:tblPr>
      <w:tblGrid>
        <w:gridCol w:w="2248"/>
        <w:gridCol w:w="2248"/>
        <w:gridCol w:w="2248"/>
        <w:gridCol w:w="2616"/>
      </w:tblGrid>
      <w:tr w:rsidR="00543E49" w14:paraId="11584409" w14:textId="77777777" w:rsidTr="00543E4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000000" w:themeColor="text1"/>
              <w:left w:val="nil"/>
              <w:right w:val="nil"/>
            </w:tcBorders>
            <w:noWrap/>
          </w:tcPr>
          <w:p w14:paraId="08BB0180"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 xml:space="preserve">Sample </w:t>
            </w:r>
          </w:p>
        </w:tc>
        <w:tc>
          <w:tcPr>
            <w:tcW w:w="1216" w:type="pct"/>
            <w:tcBorders>
              <w:top w:val="single" w:sz="4" w:space="0" w:color="000000" w:themeColor="text1"/>
              <w:left w:val="nil"/>
              <w:right w:val="nil"/>
            </w:tcBorders>
            <w:noWrap/>
          </w:tcPr>
          <w:p w14:paraId="09353829"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Weight (g)</w:t>
            </w:r>
          </w:p>
        </w:tc>
        <w:tc>
          <w:tcPr>
            <w:tcW w:w="1216" w:type="pct"/>
            <w:tcBorders>
              <w:top w:val="single" w:sz="4" w:space="0" w:color="000000" w:themeColor="text1"/>
              <w:left w:val="nil"/>
              <w:right w:val="nil"/>
            </w:tcBorders>
            <w:noWrap/>
          </w:tcPr>
          <w:p w14:paraId="59B83A42"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Volume (cm</w:t>
            </w:r>
            <w:r>
              <w:rPr>
                <w:rFonts w:ascii="Times New Roman" w:hAnsi="Times New Roman" w:cs="Times New Roman"/>
                <w:kern w:val="0"/>
                <w:sz w:val="24"/>
                <w:szCs w:val="24"/>
                <w:vertAlign w:val="superscript"/>
                <w:lang w:val="en-GB"/>
              </w:rPr>
              <w:t>3</w:t>
            </w:r>
            <w:r>
              <w:rPr>
                <w:rFonts w:ascii="Times New Roman" w:hAnsi="Times New Roman" w:cs="Times New Roman"/>
                <w:kern w:val="0"/>
                <w:sz w:val="24"/>
                <w:szCs w:val="24"/>
                <w:lang w:val="en-GB"/>
              </w:rPr>
              <w:t>)</w:t>
            </w:r>
          </w:p>
        </w:tc>
        <w:tc>
          <w:tcPr>
            <w:tcW w:w="1353" w:type="pct"/>
            <w:tcBorders>
              <w:top w:val="single" w:sz="4" w:space="0" w:color="000000" w:themeColor="text1"/>
              <w:left w:val="nil"/>
              <w:right w:val="nil"/>
            </w:tcBorders>
            <w:noWrap/>
          </w:tcPr>
          <w:p w14:paraId="0B9FED1E"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Specific volume (cm</w:t>
            </w:r>
            <w:r>
              <w:rPr>
                <w:rFonts w:ascii="Times New Roman" w:hAnsi="Times New Roman" w:cs="Times New Roman"/>
                <w:kern w:val="0"/>
                <w:sz w:val="24"/>
                <w:szCs w:val="24"/>
                <w:vertAlign w:val="superscript"/>
                <w:lang w:val="en-GB"/>
              </w:rPr>
              <w:t>3</w:t>
            </w:r>
            <w:r>
              <w:rPr>
                <w:rFonts w:ascii="Times New Roman" w:hAnsi="Times New Roman" w:cs="Times New Roman"/>
                <w:kern w:val="0"/>
                <w:sz w:val="24"/>
                <w:szCs w:val="24"/>
                <w:lang w:val="en-GB"/>
              </w:rPr>
              <w:t>/g)</w:t>
            </w:r>
          </w:p>
        </w:tc>
      </w:tr>
      <w:tr w:rsidR="00543E49" w14:paraId="2B00BC5D"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1216" w:type="pct"/>
            <w:tcBorders>
              <w:top w:val="nil"/>
              <w:left w:val="nil"/>
              <w:bottom w:val="nil"/>
              <w:right w:val="nil"/>
            </w:tcBorders>
            <w:noWrap/>
          </w:tcPr>
          <w:p w14:paraId="0236C03A"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A</w:t>
            </w:r>
          </w:p>
        </w:tc>
        <w:tc>
          <w:tcPr>
            <w:tcW w:w="1216" w:type="pct"/>
            <w:tcBorders>
              <w:top w:val="nil"/>
              <w:left w:val="nil"/>
              <w:bottom w:val="nil"/>
              <w:right w:val="nil"/>
            </w:tcBorders>
            <w:noWrap/>
          </w:tcPr>
          <w:p w14:paraId="097911F8"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81.10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±3.25</w:t>
            </w:r>
          </w:p>
        </w:tc>
        <w:tc>
          <w:tcPr>
            <w:tcW w:w="1216" w:type="pct"/>
            <w:tcBorders>
              <w:top w:val="nil"/>
              <w:left w:val="nil"/>
              <w:bottom w:val="nil"/>
              <w:right w:val="nil"/>
            </w:tcBorders>
            <w:noWrap/>
          </w:tcPr>
          <w:p w14:paraId="04B3009C"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102.70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±1.27</w:t>
            </w:r>
          </w:p>
        </w:tc>
        <w:tc>
          <w:tcPr>
            <w:tcW w:w="1353" w:type="pct"/>
            <w:tcBorders>
              <w:top w:val="nil"/>
              <w:left w:val="nil"/>
              <w:bottom w:val="nil"/>
              <w:right w:val="nil"/>
            </w:tcBorders>
            <w:noWrap/>
          </w:tcPr>
          <w:p w14:paraId="622B1CE7"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1.27</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±0.04</w:t>
            </w:r>
          </w:p>
        </w:tc>
      </w:tr>
      <w:tr w:rsidR="00543E49" w14:paraId="541514E0"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1216" w:type="pct"/>
            <w:tcBorders>
              <w:top w:val="nil"/>
              <w:left w:val="nil"/>
              <w:bottom w:val="nil"/>
              <w:right w:val="nil"/>
            </w:tcBorders>
            <w:noWrap/>
          </w:tcPr>
          <w:p w14:paraId="564704B0"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B</w:t>
            </w:r>
          </w:p>
        </w:tc>
        <w:tc>
          <w:tcPr>
            <w:tcW w:w="1216" w:type="pct"/>
            <w:tcBorders>
              <w:top w:val="nil"/>
              <w:left w:val="nil"/>
              <w:bottom w:val="nil"/>
              <w:right w:val="nil"/>
            </w:tcBorders>
            <w:noWrap/>
          </w:tcPr>
          <w:p w14:paraId="7D8BCA05"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51.10</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±0.14</w:t>
            </w:r>
          </w:p>
        </w:tc>
        <w:tc>
          <w:tcPr>
            <w:tcW w:w="1216" w:type="pct"/>
            <w:tcBorders>
              <w:top w:val="nil"/>
              <w:left w:val="nil"/>
              <w:bottom w:val="nil"/>
              <w:right w:val="nil"/>
            </w:tcBorders>
            <w:noWrap/>
          </w:tcPr>
          <w:p w14:paraId="76D22C35"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79.30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±3.82</w:t>
            </w:r>
          </w:p>
        </w:tc>
        <w:tc>
          <w:tcPr>
            <w:tcW w:w="1353" w:type="pct"/>
            <w:tcBorders>
              <w:top w:val="nil"/>
              <w:left w:val="nil"/>
              <w:bottom w:val="nil"/>
              <w:right w:val="nil"/>
            </w:tcBorders>
            <w:noWrap/>
          </w:tcPr>
          <w:p w14:paraId="77F6D9F9"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1.55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±0.07</w:t>
            </w:r>
          </w:p>
        </w:tc>
      </w:tr>
      <w:tr w:rsidR="00543E49" w14:paraId="6B9C3ACA"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1216" w:type="pct"/>
            <w:tcBorders>
              <w:top w:val="nil"/>
              <w:left w:val="nil"/>
              <w:bottom w:val="nil"/>
              <w:right w:val="nil"/>
            </w:tcBorders>
            <w:noWrap/>
          </w:tcPr>
          <w:p w14:paraId="47CEB31C"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w:t>
            </w:r>
          </w:p>
        </w:tc>
        <w:tc>
          <w:tcPr>
            <w:tcW w:w="1216" w:type="pct"/>
            <w:tcBorders>
              <w:top w:val="nil"/>
              <w:left w:val="nil"/>
              <w:bottom w:val="nil"/>
              <w:right w:val="nil"/>
            </w:tcBorders>
            <w:noWrap/>
          </w:tcPr>
          <w:p w14:paraId="5FBA1BE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63.50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±0.71</w:t>
            </w:r>
          </w:p>
        </w:tc>
        <w:tc>
          <w:tcPr>
            <w:tcW w:w="1216" w:type="pct"/>
            <w:tcBorders>
              <w:top w:val="nil"/>
              <w:left w:val="nil"/>
              <w:bottom w:val="nil"/>
              <w:right w:val="nil"/>
            </w:tcBorders>
            <w:noWrap/>
          </w:tcPr>
          <w:p w14:paraId="01CE3C60"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78.60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±0.85</w:t>
            </w:r>
          </w:p>
        </w:tc>
        <w:tc>
          <w:tcPr>
            <w:tcW w:w="1353" w:type="pct"/>
            <w:tcBorders>
              <w:top w:val="nil"/>
              <w:left w:val="nil"/>
              <w:bottom w:val="nil"/>
              <w:right w:val="nil"/>
            </w:tcBorders>
            <w:noWrap/>
          </w:tcPr>
          <w:p w14:paraId="5FEEEA37"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1.24</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±0.03</w:t>
            </w:r>
          </w:p>
        </w:tc>
      </w:tr>
      <w:tr w:rsidR="00543E49" w14:paraId="6483A9CF"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1216" w:type="pct"/>
            <w:tcBorders>
              <w:top w:val="nil"/>
              <w:left w:val="nil"/>
              <w:bottom w:val="nil"/>
              <w:right w:val="nil"/>
            </w:tcBorders>
            <w:noWrap/>
          </w:tcPr>
          <w:p w14:paraId="63883D0F"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D</w:t>
            </w:r>
          </w:p>
        </w:tc>
        <w:tc>
          <w:tcPr>
            <w:tcW w:w="1216" w:type="pct"/>
            <w:tcBorders>
              <w:top w:val="nil"/>
              <w:left w:val="nil"/>
              <w:bottom w:val="nil"/>
              <w:right w:val="nil"/>
            </w:tcBorders>
            <w:noWrap/>
          </w:tcPr>
          <w:p w14:paraId="7C9B5504"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52.80</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±0.14</w:t>
            </w:r>
          </w:p>
        </w:tc>
        <w:tc>
          <w:tcPr>
            <w:tcW w:w="1216" w:type="pct"/>
            <w:tcBorders>
              <w:top w:val="nil"/>
              <w:left w:val="nil"/>
              <w:bottom w:val="nil"/>
              <w:right w:val="nil"/>
            </w:tcBorders>
            <w:noWrap/>
          </w:tcPr>
          <w:p w14:paraId="6E198238"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80.60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±1.98</w:t>
            </w:r>
          </w:p>
        </w:tc>
        <w:tc>
          <w:tcPr>
            <w:tcW w:w="1353" w:type="pct"/>
            <w:tcBorders>
              <w:top w:val="nil"/>
              <w:left w:val="nil"/>
              <w:bottom w:val="nil"/>
              <w:right w:val="nil"/>
            </w:tcBorders>
            <w:noWrap/>
          </w:tcPr>
          <w:p w14:paraId="63A5A3A4"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1.53</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±0.04</w:t>
            </w:r>
          </w:p>
        </w:tc>
      </w:tr>
      <w:tr w:rsidR="00543E49" w14:paraId="60769153"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1216" w:type="pct"/>
            <w:tcBorders>
              <w:top w:val="nil"/>
              <w:left w:val="nil"/>
              <w:bottom w:val="single" w:sz="4" w:space="0" w:color="000000" w:themeColor="text1"/>
              <w:right w:val="nil"/>
            </w:tcBorders>
            <w:noWrap/>
          </w:tcPr>
          <w:p w14:paraId="2A16653C"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LSD</w:t>
            </w:r>
          </w:p>
        </w:tc>
        <w:tc>
          <w:tcPr>
            <w:tcW w:w="1216" w:type="pct"/>
            <w:tcBorders>
              <w:top w:val="nil"/>
              <w:left w:val="nil"/>
              <w:bottom w:val="single" w:sz="4" w:space="0" w:color="000000" w:themeColor="text1"/>
              <w:right w:val="nil"/>
            </w:tcBorders>
            <w:noWrap/>
          </w:tcPr>
          <w:p w14:paraId="38366C04"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4.63</w:t>
            </w:r>
          </w:p>
        </w:tc>
        <w:tc>
          <w:tcPr>
            <w:tcW w:w="1216" w:type="pct"/>
            <w:tcBorders>
              <w:top w:val="nil"/>
              <w:left w:val="nil"/>
              <w:bottom w:val="single" w:sz="4" w:space="0" w:color="000000" w:themeColor="text1"/>
              <w:right w:val="nil"/>
            </w:tcBorders>
            <w:noWrap/>
          </w:tcPr>
          <w:p w14:paraId="1ADA984B"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6.34</w:t>
            </w:r>
          </w:p>
        </w:tc>
        <w:tc>
          <w:tcPr>
            <w:tcW w:w="1353" w:type="pct"/>
            <w:tcBorders>
              <w:top w:val="nil"/>
              <w:left w:val="nil"/>
              <w:bottom w:val="single" w:sz="4" w:space="0" w:color="000000" w:themeColor="text1"/>
              <w:right w:val="nil"/>
            </w:tcBorders>
            <w:noWrap/>
          </w:tcPr>
          <w:p w14:paraId="4F11299F"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0.13</w:t>
            </w:r>
          </w:p>
        </w:tc>
      </w:tr>
    </w:tbl>
    <w:p w14:paraId="3FB211D1" w14:textId="77777777" w:rsidR="00543E49" w:rsidRDefault="00C73355">
      <w:pPr>
        <w:autoSpaceDE w:val="0"/>
        <w:autoSpaceDN w:val="0"/>
        <w:adjustRightInd w:val="0"/>
        <w:spacing w:after="0" w:line="240" w:lineRule="auto"/>
        <w:jc w:val="both"/>
        <w:rPr>
          <w:rFonts w:ascii="Times New Roman" w:hAnsi="Times New Roman" w:cs="Times New Roman"/>
          <w:lang w:val="en-GB"/>
          <w14:ligatures w14:val="standardContextual"/>
        </w:rPr>
      </w:pPr>
      <w:r>
        <w:rPr>
          <w:rFonts w:ascii="Times New Roman" w:hAnsi="Times New Roman" w:cs="Times New Roman"/>
        </w:rPr>
        <w:t xml:space="preserve">Values are means ± standard deviations of 3 replicates. Means in the same column with </w:t>
      </w:r>
      <w:r>
        <w:rPr>
          <w:rFonts w:ascii="Times New Roman" w:hAnsi="Times New Roman" w:cs="Times New Roman"/>
        </w:rPr>
        <w:t>different superscripts are significantly (p&lt;0.05) different</w:t>
      </w:r>
    </w:p>
    <w:p w14:paraId="2D6251A6" w14:textId="77777777" w:rsidR="00543E49" w:rsidRDefault="00C73355">
      <w:pPr>
        <w:spacing w:after="0" w:line="240" w:lineRule="auto"/>
        <w:jc w:val="both"/>
        <w:rPr>
          <w:rFonts w:ascii="Times New Roman" w:hAnsi="Times New Roman" w:cs="Times New Roman"/>
          <w:b/>
          <w:kern w:val="2"/>
        </w:rPr>
      </w:pPr>
      <w:r>
        <w:rPr>
          <w:rFonts w:ascii="Times New Roman" w:hAnsi="Times New Roman" w:cs="Times New Roman"/>
          <w:b/>
        </w:rPr>
        <w:t>Keys</w:t>
      </w:r>
    </w:p>
    <w:p w14:paraId="2FE3152A" w14:textId="77777777" w:rsidR="00543E49" w:rsidRDefault="00C73355">
      <w:pPr>
        <w:spacing w:line="240" w:lineRule="auto"/>
        <w:jc w:val="both"/>
        <w:rPr>
          <w:rFonts w:ascii="Times New Roman" w:hAnsi="Times New Roman" w:cs="Times New Roman"/>
        </w:rPr>
      </w:pPr>
      <w:r>
        <w:rPr>
          <w:rFonts w:ascii="Times New Roman" w:hAnsi="Times New Roman" w:cs="Times New Roman"/>
        </w:rPr>
        <w:t xml:space="preserve">A = 100% wheat flour (control), B = 80% wheat flour+15%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 C = 75% wheat flour+20%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 D = 70% wheat flour+25%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35AFA727"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3.4</w:t>
      </w:r>
      <w:r>
        <w:rPr>
          <w:rFonts w:ascii="Times New Roman" w:hAnsi="Times New Roman" w:cs="Times New Roman"/>
        </w:rPr>
        <w:tab/>
      </w:r>
      <w:r>
        <w:rPr>
          <w:rFonts w:ascii="Times New Roman" w:hAnsi="Times New Roman" w:cs="Times New Roman"/>
          <w:b/>
        </w:rPr>
        <w:t xml:space="preserve">Sensory Properties of Cakes from Wheat, </w:t>
      </w:r>
      <w:proofErr w:type="spellStart"/>
      <w:r>
        <w:rPr>
          <w:rFonts w:ascii="Times New Roman" w:hAnsi="Times New Roman" w:cs="Times New Roman"/>
          <w:b/>
        </w:rPr>
        <w:t>Acha</w:t>
      </w:r>
      <w:proofErr w:type="spellEnd"/>
      <w:r>
        <w:rPr>
          <w:rFonts w:ascii="Times New Roman" w:hAnsi="Times New Roman" w:cs="Times New Roman"/>
          <w:b/>
        </w:rPr>
        <w:t xml:space="preserve"> and Coconut Residue Flour Blends</w:t>
      </w:r>
    </w:p>
    <w:p w14:paraId="2EAC542B" w14:textId="77777777" w:rsidR="00543E49" w:rsidRDefault="00C73355">
      <w:pPr>
        <w:spacing w:line="240" w:lineRule="auto"/>
        <w:jc w:val="both"/>
        <w:rPr>
          <w:rFonts w:ascii="Times New Roman" w:hAnsi="Times New Roman" w:cs="Times New Roman"/>
        </w:rPr>
      </w:pPr>
      <w:r>
        <w:rPr>
          <w:rFonts w:ascii="Times New Roman" w:hAnsi="Times New Roman" w:cs="Times New Roman"/>
        </w:rPr>
        <w:t>Table 4 shows that aroma ranged from 8.20 in sample B to 8.85 in sample A, appearance ranged from 7.90 in sample C to 8.75 in sample A, crum</w:t>
      </w:r>
      <w:r>
        <w:rPr>
          <w:rFonts w:ascii="Times New Roman" w:hAnsi="Times New Roman" w:cs="Times New Roman"/>
        </w:rPr>
        <w:t>b ranged from 7.85 in sample C to 8.95 in sample A, taste ranged from 7.85 in sample C to 9.00 in sample A, while overall acceptability ranged from 8.00 in sample C to 9.00 in sample A.</w:t>
      </w:r>
    </w:p>
    <w:p w14:paraId="2425B6A9" w14:textId="77777777" w:rsidR="00543E49" w:rsidRDefault="00C73355">
      <w:pPr>
        <w:spacing w:line="240" w:lineRule="auto"/>
        <w:jc w:val="both"/>
        <w:rPr>
          <w:rFonts w:ascii="Times New Roman" w:hAnsi="Times New Roman" w:cs="Times New Roman"/>
        </w:rPr>
      </w:pPr>
      <w:r>
        <w:rPr>
          <w:rFonts w:ascii="Times New Roman" w:hAnsi="Times New Roman" w:cs="Times New Roman"/>
        </w:rPr>
        <w:t>The sensory performance of the composite cakes reflected the balance b</w:t>
      </w:r>
      <w:r>
        <w:rPr>
          <w:rFonts w:ascii="Times New Roman" w:hAnsi="Times New Roman" w:cs="Times New Roman"/>
        </w:rPr>
        <w:t>etween nutritional enrichment and structural integrity. The control sample (A) consistently attained the highest ratings in aroma (8.85), appearance (8.75), crumb (8.95), taste (9.00), and overall acceptability (9.00), whereas the most substituted blend (C</w:t>
      </w:r>
      <w:r>
        <w:rPr>
          <w:rFonts w:ascii="Times New Roman" w:hAnsi="Times New Roman" w:cs="Times New Roman"/>
        </w:rPr>
        <w:t xml:space="preserve">) exhibited the lowest scores in appearance (7.90), crumb (7.85), taste (7.85), and overall acceptability (8.00). These decrements are attributable to gluten dilution and higher </w:t>
      </w:r>
      <w:proofErr w:type="spellStart"/>
      <w:r>
        <w:rPr>
          <w:rFonts w:ascii="Times New Roman" w:hAnsi="Times New Roman" w:cs="Times New Roman"/>
        </w:rPr>
        <w:t>fibre</w:t>
      </w:r>
      <w:proofErr w:type="spellEnd"/>
      <w:r>
        <w:rPr>
          <w:rFonts w:ascii="Times New Roman" w:hAnsi="Times New Roman" w:cs="Times New Roman"/>
        </w:rPr>
        <w:t xml:space="preserve"> content from </w:t>
      </w:r>
      <w:proofErr w:type="spellStart"/>
      <w:r>
        <w:rPr>
          <w:rFonts w:ascii="Times New Roman" w:hAnsi="Times New Roman" w:cs="Times New Roman"/>
        </w:rPr>
        <w:t>acha</w:t>
      </w:r>
      <w:proofErr w:type="spellEnd"/>
      <w:r>
        <w:rPr>
          <w:rFonts w:ascii="Times New Roman" w:hAnsi="Times New Roman" w:cs="Times New Roman"/>
        </w:rPr>
        <w:t xml:space="preserve"> and coconut residue, which can impair gas retention, w</w:t>
      </w:r>
      <w:r>
        <w:rPr>
          <w:rFonts w:ascii="Times New Roman" w:hAnsi="Times New Roman" w:cs="Times New Roman"/>
        </w:rPr>
        <w:t>eaken crumb structure, and introduce coarse texture or off-</w:t>
      </w:r>
      <w:proofErr w:type="spellStart"/>
      <w:r>
        <w:rPr>
          <w:rFonts w:ascii="Times New Roman" w:hAnsi="Times New Roman" w:cs="Times New Roman"/>
        </w:rPr>
        <w:t>flavours</w:t>
      </w:r>
      <w:proofErr w:type="spellEnd"/>
      <w:r>
        <w:rPr>
          <w:rFonts w:ascii="Times New Roman" w:hAnsi="Times New Roman" w:cs="Times New Roman"/>
        </w:rPr>
        <w:t xml:space="preserve"> (Srivastava and </w:t>
      </w:r>
      <w:proofErr w:type="spellStart"/>
      <w:r>
        <w:rPr>
          <w:rFonts w:ascii="Times New Roman" w:hAnsi="Times New Roman" w:cs="Times New Roman"/>
        </w:rPr>
        <w:t>Semwal</w:t>
      </w:r>
      <w:proofErr w:type="spellEnd"/>
      <w:r>
        <w:rPr>
          <w:rFonts w:ascii="Times New Roman" w:hAnsi="Times New Roman" w:cs="Times New Roman"/>
        </w:rPr>
        <w:t>, 2015). In studies on coconut–wheat composite cakes, it was observed that substitution levels beyond 25% led to firmer textures and reduced sensory scores, reflectin</w:t>
      </w:r>
      <w:r>
        <w:rPr>
          <w:rFonts w:ascii="Times New Roman" w:hAnsi="Times New Roman" w:cs="Times New Roman"/>
        </w:rPr>
        <w:t>g similar limitations (</w:t>
      </w:r>
      <w:proofErr w:type="spellStart"/>
      <w:r>
        <w:rPr>
          <w:rFonts w:ascii="Times New Roman" w:hAnsi="Times New Roman" w:cs="Times New Roman"/>
          <w:shd w:val="clear" w:color="auto" w:fill="FFFFFF"/>
        </w:rPr>
        <w:t>Afoakwah</w:t>
      </w:r>
      <w:proofErr w:type="spellEnd"/>
      <w:r>
        <w:rPr>
          <w:rFonts w:ascii="Times New Roman" w:hAnsi="Times New Roman" w:cs="Times New Roman"/>
          <w:shd w:val="clear" w:color="auto" w:fill="FFFFFF"/>
        </w:rPr>
        <w:t xml:space="preserve"> </w:t>
      </w:r>
      <w:r>
        <w:rPr>
          <w:rFonts w:ascii="Times New Roman" w:hAnsi="Times New Roman" w:cs="Times New Roman"/>
          <w:i/>
        </w:rPr>
        <w:t>et al</w:t>
      </w:r>
      <w:r>
        <w:rPr>
          <w:rFonts w:ascii="Times New Roman" w:hAnsi="Times New Roman" w:cs="Times New Roman"/>
        </w:rPr>
        <w:t>., 2019). Furthermore, in muffin formulations enriched with plant-derived flours, incremental substitutions improved nutritional content but constrained texture and mouthfeel, reducing panelists’ acceptance when the sub</w:t>
      </w:r>
      <w:r>
        <w:rPr>
          <w:rFonts w:ascii="Times New Roman" w:hAnsi="Times New Roman" w:cs="Times New Roman"/>
        </w:rPr>
        <w:t>stitution exceeded 15% (</w:t>
      </w:r>
      <w:proofErr w:type="spellStart"/>
      <w:r>
        <w:rPr>
          <w:rFonts w:ascii="Times New Roman" w:hAnsi="Times New Roman" w:cs="Times New Roman"/>
          <w:shd w:val="clear" w:color="auto" w:fill="FFFFFF"/>
        </w:rPr>
        <w:t>Mkoko</w:t>
      </w:r>
      <w:proofErr w:type="spellEnd"/>
      <w:r>
        <w:rPr>
          <w:rFonts w:ascii="Times New Roman" w:hAnsi="Times New Roman" w:cs="Times New Roman"/>
          <w:shd w:val="clear" w:color="auto" w:fill="FFFFFF"/>
        </w:rPr>
        <w:t xml:space="preserve"> </w:t>
      </w:r>
      <w:r>
        <w:rPr>
          <w:rFonts w:ascii="Times New Roman" w:hAnsi="Times New Roman" w:cs="Times New Roman"/>
          <w:i/>
          <w:shd w:val="clear" w:color="auto" w:fill="FFFFFF"/>
        </w:rPr>
        <w:t>et al</w:t>
      </w:r>
      <w:r>
        <w:rPr>
          <w:rFonts w:ascii="Times New Roman" w:hAnsi="Times New Roman" w:cs="Times New Roman"/>
          <w:shd w:val="clear" w:color="auto" w:fill="FFFFFF"/>
        </w:rPr>
        <w:t>.</w:t>
      </w:r>
      <w:r>
        <w:rPr>
          <w:rFonts w:ascii="Times New Roman" w:hAnsi="Times New Roman" w:cs="Times New Roman"/>
        </w:rPr>
        <w:t>, 2025). The relatively strong scores for sample D (taste 8.70, overall acceptability 8.65) suggest that substitution up to 25% still retains acceptable sensory quality, a threshold echoed in numerous composite flour inv</w:t>
      </w:r>
      <w:r>
        <w:rPr>
          <w:rFonts w:ascii="Times New Roman" w:hAnsi="Times New Roman" w:cs="Times New Roman"/>
        </w:rPr>
        <w:t>estigations where consumer acceptability remains viable at moderate levels (</w:t>
      </w:r>
      <w:proofErr w:type="spellStart"/>
      <w:r>
        <w:rPr>
          <w:rFonts w:ascii="Times New Roman" w:hAnsi="Times New Roman" w:cs="Times New Roman"/>
        </w:rPr>
        <w:t>Olamiti</w:t>
      </w:r>
      <w:proofErr w:type="spellEnd"/>
      <w:r>
        <w:rPr>
          <w:rFonts w:ascii="Times New Roman" w:hAnsi="Times New Roman" w:cs="Times New Roman"/>
        </w:rPr>
        <w:t xml:space="preserve"> and </w:t>
      </w:r>
      <w:proofErr w:type="spellStart"/>
      <w:r>
        <w:rPr>
          <w:rFonts w:ascii="Times New Roman" w:hAnsi="Times New Roman" w:cs="Times New Roman"/>
        </w:rPr>
        <w:t>Ramashia</w:t>
      </w:r>
      <w:proofErr w:type="spellEnd"/>
      <w:r>
        <w:rPr>
          <w:rFonts w:ascii="Times New Roman" w:hAnsi="Times New Roman" w:cs="Times New Roman"/>
        </w:rPr>
        <w:t>, 2024). Thus, the sensory results aligned with prior evidence indicating that composite flour incorporation must remain within a limit to preserve desirable se</w:t>
      </w:r>
      <w:r>
        <w:rPr>
          <w:rFonts w:ascii="Times New Roman" w:hAnsi="Times New Roman" w:cs="Times New Roman"/>
        </w:rPr>
        <w:t>nsory attributes while achieving nutritional enhancement.</w:t>
      </w:r>
    </w:p>
    <w:p w14:paraId="55DD3E58" w14:textId="77777777" w:rsidR="00543E49" w:rsidRDefault="00C73355">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Table 4: Sensory Properties of Cakes from Wheat, </w:t>
      </w:r>
      <w:proofErr w:type="spellStart"/>
      <w:r>
        <w:rPr>
          <w:rFonts w:ascii="Times New Roman" w:hAnsi="Times New Roman" w:cs="Times New Roman"/>
          <w:b/>
        </w:rPr>
        <w:t>Acha</w:t>
      </w:r>
      <w:proofErr w:type="spellEnd"/>
      <w:r>
        <w:rPr>
          <w:rFonts w:ascii="Times New Roman" w:hAnsi="Times New Roman" w:cs="Times New Roman"/>
          <w:b/>
        </w:rPr>
        <w:t xml:space="preserve"> and Coconut Residue Flour Blends</w:t>
      </w:r>
    </w:p>
    <w:tbl>
      <w:tblPr>
        <w:tblStyle w:val="ListTable6Colorful1"/>
        <w:tblW w:w="5000" w:type="pct"/>
        <w:tblLook w:val="04A0" w:firstRow="1" w:lastRow="0" w:firstColumn="1" w:lastColumn="0" w:noHBand="0" w:noVBand="1"/>
      </w:tblPr>
      <w:tblGrid>
        <w:gridCol w:w="1344"/>
        <w:gridCol w:w="1344"/>
        <w:gridCol w:w="1627"/>
        <w:gridCol w:w="1344"/>
        <w:gridCol w:w="1345"/>
        <w:gridCol w:w="2356"/>
      </w:tblGrid>
      <w:tr w:rsidR="00543E49" w14:paraId="7C815AA2" w14:textId="77777777" w:rsidTr="00543E4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single" w:sz="4" w:space="0" w:color="000000" w:themeColor="text1"/>
              <w:left w:val="nil"/>
              <w:right w:val="nil"/>
            </w:tcBorders>
            <w:noWrap/>
          </w:tcPr>
          <w:p w14:paraId="23ADA4B7"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 xml:space="preserve">Sample </w:t>
            </w:r>
          </w:p>
        </w:tc>
        <w:tc>
          <w:tcPr>
            <w:tcW w:w="774" w:type="pct"/>
            <w:tcBorders>
              <w:top w:val="single" w:sz="4" w:space="0" w:color="000000" w:themeColor="text1"/>
              <w:left w:val="nil"/>
              <w:right w:val="nil"/>
            </w:tcBorders>
            <w:noWrap/>
          </w:tcPr>
          <w:p w14:paraId="5794C5CA"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Aroma</w:t>
            </w:r>
          </w:p>
        </w:tc>
        <w:tc>
          <w:tcPr>
            <w:tcW w:w="925" w:type="pct"/>
            <w:tcBorders>
              <w:top w:val="single" w:sz="4" w:space="0" w:color="000000" w:themeColor="text1"/>
              <w:left w:val="nil"/>
              <w:right w:val="nil"/>
            </w:tcBorders>
            <w:noWrap/>
          </w:tcPr>
          <w:p w14:paraId="0174B0E6"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Appearance</w:t>
            </w:r>
          </w:p>
        </w:tc>
        <w:tc>
          <w:tcPr>
            <w:tcW w:w="774" w:type="pct"/>
            <w:tcBorders>
              <w:top w:val="single" w:sz="4" w:space="0" w:color="000000" w:themeColor="text1"/>
              <w:left w:val="nil"/>
              <w:right w:val="nil"/>
            </w:tcBorders>
            <w:noWrap/>
          </w:tcPr>
          <w:p w14:paraId="74B32B36"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Crumb</w:t>
            </w:r>
          </w:p>
        </w:tc>
        <w:tc>
          <w:tcPr>
            <w:tcW w:w="774" w:type="pct"/>
            <w:tcBorders>
              <w:top w:val="single" w:sz="4" w:space="0" w:color="000000" w:themeColor="text1"/>
              <w:left w:val="nil"/>
              <w:right w:val="nil"/>
            </w:tcBorders>
            <w:noWrap/>
          </w:tcPr>
          <w:p w14:paraId="188DB7A6"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Taste</w:t>
            </w:r>
          </w:p>
        </w:tc>
        <w:tc>
          <w:tcPr>
            <w:tcW w:w="979" w:type="pct"/>
            <w:tcBorders>
              <w:top w:val="single" w:sz="4" w:space="0" w:color="000000" w:themeColor="text1"/>
              <w:left w:val="nil"/>
              <w:right w:val="nil"/>
            </w:tcBorders>
            <w:noWrap/>
          </w:tcPr>
          <w:p w14:paraId="0FCB1215"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Overall acceptability</w:t>
            </w:r>
          </w:p>
        </w:tc>
      </w:tr>
      <w:tr w:rsidR="00543E49" w14:paraId="051D924C"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nil"/>
              <w:left w:val="nil"/>
              <w:bottom w:val="nil"/>
              <w:right w:val="nil"/>
            </w:tcBorders>
            <w:noWrap/>
          </w:tcPr>
          <w:p w14:paraId="097F0319"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A</w:t>
            </w:r>
          </w:p>
        </w:tc>
        <w:tc>
          <w:tcPr>
            <w:tcW w:w="774" w:type="pct"/>
            <w:tcBorders>
              <w:top w:val="nil"/>
              <w:left w:val="nil"/>
              <w:bottom w:val="nil"/>
              <w:right w:val="nil"/>
            </w:tcBorders>
            <w:noWrap/>
          </w:tcPr>
          <w:p w14:paraId="68A68E80"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8.85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±0.37</w:t>
            </w:r>
          </w:p>
        </w:tc>
        <w:tc>
          <w:tcPr>
            <w:tcW w:w="925" w:type="pct"/>
            <w:tcBorders>
              <w:top w:val="nil"/>
              <w:left w:val="nil"/>
              <w:bottom w:val="nil"/>
              <w:right w:val="nil"/>
            </w:tcBorders>
            <w:noWrap/>
          </w:tcPr>
          <w:p w14:paraId="58B5BC16"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8.75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±0.44</w:t>
            </w:r>
          </w:p>
        </w:tc>
        <w:tc>
          <w:tcPr>
            <w:tcW w:w="774" w:type="pct"/>
            <w:tcBorders>
              <w:top w:val="nil"/>
              <w:left w:val="nil"/>
              <w:bottom w:val="nil"/>
              <w:right w:val="nil"/>
            </w:tcBorders>
            <w:noWrap/>
          </w:tcPr>
          <w:p w14:paraId="4EFD6DEF"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8.95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±0.22</w:t>
            </w:r>
          </w:p>
        </w:tc>
        <w:tc>
          <w:tcPr>
            <w:tcW w:w="774" w:type="pct"/>
            <w:tcBorders>
              <w:top w:val="nil"/>
              <w:left w:val="nil"/>
              <w:bottom w:val="nil"/>
              <w:right w:val="nil"/>
            </w:tcBorders>
            <w:noWrap/>
          </w:tcPr>
          <w:p w14:paraId="6B6F50C6"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9.00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±0.00</w:t>
            </w:r>
          </w:p>
        </w:tc>
        <w:tc>
          <w:tcPr>
            <w:tcW w:w="979" w:type="pct"/>
            <w:tcBorders>
              <w:top w:val="nil"/>
              <w:left w:val="nil"/>
              <w:bottom w:val="nil"/>
              <w:right w:val="nil"/>
            </w:tcBorders>
            <w:noWrap/>
          </w:tcPr>
          <w:p w14:paraId="287AABC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9.00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±0.00</w:t>
            </w:r>
          </w:p>
        </w:tc>
      </w:tr>
      <w:tr w:rsidR="00543E49" w14:paraId="03BDC2CF"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nil"/>
              <w:left w:val="nil"/>
              <w:bottom w:val="nil"/>
              <w:right w:val="nil"/>
            </w:tcBorders>
            <w:noWrap/>
          </w:tcPr>
          <w:p w14:paraId="5A821146"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B</w:t>
            </w:r>
          </w:p>
        </w:tc>
        <w:tc>
          <w:tcPr>
            <w:tcW w:w="774" w:type="pct"/>
            <w:tcBorders>
              <w:top w:val="nil"/>
              <w:left w:val="nil"/>
              <w:bottom w:val="nil"/>
              <w:right w:val="nil"/>
            </w:tcBorders>
            <w:noWrap/>
          </w:tcPr>
          <w:p w14:paraId="4ADD95F4"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8.20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±0.89</w:t>
            </w:r>
          </w:p>
        </w:tc>
        <w:tc>
          <w:tcPr>
            <w:tcW w:w="925" w:type="pct"/>
            <w:tcBorders>
              <w:top w:val="nil"/>
              <w:left w:val="nil"/>
              <w:bottom w:val="nil"/>
              <w:right w:val="nil"/>
            </w:tcBorders>
            <w:noWrap/>
          </w:tcPr>
          <w:p w14:paraId="31CE7E38"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8.45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±0.76</w:t>
            </w:r>
          </w:p>
        </w:tc>
        <w:tc>
          <w:tcPr>
            <w:tcW w:w="774" w:type="pct"/>
            <w:tcBorders>
              <w:top w:val="nil"/>
              <w:left w:val="nil"/>
              <w:bottom w:val="nil"/>
              <w:right w:val="nil"/>
            </w:tcBorders>
            <w:noWrap/>
          </w:tcPr>
          <w:p w14:paraId="59CCF63F"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8.50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±0.61</w:t>
            </w:r>
          </w:p>
        </w:tc>
        <w:tc>
          <w:tcPr>
            <w:tcW w:w="774" w:type="pct"/>
            <w:tcBorders>
              <w:top w:val="nil"/>
              <w:left w:val="nil"/>
              <w:bottom w:val="nil"/>
              <w:right w:val="nil"/>
            </w:tcBorders>
            <w:noWrap/>
          </w:tcPr>
          <w:p w14:paraId="270FA8C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8.65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±0.67</w:t>
            </w:r>
          </w:p>
        </w:tc>
        <w:tc>
          <w:tcPr>
            <w:tcW w:w="979" w:type="pct"/>
            <w:tcBorders>
              <w:top w:val="nil"/>
              <w:left w:val="nil"/>
              <w:bottom w:val="nil"/>
              <w:right w:val="nil"/>
            </w:tcBorders>
            <w:noWrap/>
          </w:tcPr>
          <w:p w14:paraId="1ECB991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8.50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±0.76</w:t>
            </w:r>
          </w:p>
        </w:tc>
      </w:tr>
      <w:tr w:rsidR="00543E49" w14:paraId="664BF3F8"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nil"/>
              <w:left w:val="nil"/>
              <w:bottom w:val="nil"/>
              <w:right w:val="nil"/>
            </w:tcBorders>
            <w:noWrap/>
          </w:tcPr>
          <w:p w14:paraId="21E72770"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w:t>
            </w:r>
          </w:p>
        </w:tc>
        <w:tc>
          <w:tcPr>
            <w:tcW w:w="774" w:type="pct"/>
            <w:tcBorders>
              <w:top w:val="nil"/>
              <w:left w:val="nil"/>
              <w:bottom w:val="nil"/>
              <w:right w:val="nil"/>
            </w:tcBorders>
            <w:noWrap/>
          </w:tcPr>
          <w:p w14:paraId="3BE0BBEB"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8.25</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±0.72</w:t>
            </w:r>
          </w:p>
        </w:tc>
        <w:tc>
          <w:tcPr>
            <w:tcW w:w="925" w:type="pct"/>
            <w:tcBorders>
              <w:top w:val="nil"/>
              <w:left w:val="nil"/>
              <w:bottom w:val="nil"/>
              <w:right w:val="nil"/>
            </w:tcBorders>
            <w:noWrap/>
          </w:tcPr>
          <w:p w14:paraId="3796041B"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7.90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±0.85</w:t>
            </w:r>
          </w:p>
        </w:tc>
        <w:tc>
          <w:tcPr>
            <w:tcW w:w="774" w:type="pct"/>
            <w:tcBorders>
              <w:top w:val="nil"/>
              <w:left w:val="nil"/>
              <w:bottom w:val="nil"/>
              <w:right w:val="nil"/>
            </w:tcBorders>
            <w:noWrap/>
          </w:tcPr>
          <w:p w14:paraId="11286291"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7.85</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±0.99</w:t>
            </w:r>
          </w:p>
        </w:tc>
        <w:tc>
          <w:tcPr>
            <w:tcW w:w="774" w:type="pct"/>
            <w:tcBorders>
              <w:top w:val="nil"/>
              <w:left w:val="nil"/>
              <w:bottom w:val="nil"/>
              <w:right w:val="nil"/>
            </w:tcBorders>
            <w:noWrap/>
          </w:tcPr>
          <w:p w14:paraId="555A1796"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7.85</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±0.99</w:t>
            </w:r>
          </w:p>
        </w:tc>
        <w:tc>
          <w:tcPr>
            <w:tcW w:w="979" w:type="pct"/>
            <w:tcBorders>
              <w:top w:val="nil"/>
              <w:left w:val="nil"/>
              <w:bottom w:val="nil"/>
              <w:right w:val="nil"/>
            </w:tcBorders>
            <w:noWrap/>
          </w:tcPr>
          <w:p w14:paraId="7C47B732"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8.00</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±0.79</w:t>
            </w:r>
          </w:p>
        </w:tc>
      </w:tr>
      <w:tr w:rsidR="00543E49" w14:paraId="4BCBC1CF"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nil"/>
              <w:left w:val="nil"/>
              <w:bottom w:val="nil"/>
              <w:right w:val="nil"/>
            </w:tcBorders>
            <w:noWrap/>
          </w:tcPr>
          <w:p w14:paraId="0ADB6636"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D</w:t>
            </w:r>
          </w:p>
        </w:tc>
        <w:tc>
          <w:tcPr>
            <w:tcW w:w="774" w:type="pct"/>
            <w:tcBorders>
              <w:top w:val="nil"/>
              <w:left w:val="nil"/>
              <w:bottom w:val="nil"/>
              <w:right w:val="nil"/>
            </w:tcBorders>
            <w:noWrap/>
          </w:tcPr>
          <w:p w14:paraId="1DECD56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8.60</w:t>
            </w:r>
            <w:r>
              <w:rPr>
                <w:rFonts w:ascii="Times New Roman" w:hAnsi="Times New Roman" w:cs="Times New Roman"/>
                <w:kern w:val="0"/>
                <w:sz w:val="24"/>
                <w:szCs w:val="24"/>
                <w:vertAlign w:val="superscript"/>
                <w:lang w:val="en-GB"/>
              </w:rPr>
              <w:t>ab</w:t>
            </w:r>
            <w:r>
              <w:rPr>
                <w:rFonts w:ascii="Times New Roman" w:hAnsi="Times New Roman" w:cs="Times New Roman"/>
                <w:kern w:val="0"/>
                <w:sz w:val="24"/>
                <w:szCs w:val="24"/>
                <w:lang w:val="en-GB"/>
              </w:rPr>
              <w:t>±0.50</w:t>
            </w:r>
          </w:p>
        </w:tc>
        <w:tc>
          <w:tcPr>
            <w:tcW w:w="925" w:type="pct"/>
            <w:tcBorders>
              <w:top w:val="nil"/>
              <w:left w:val="nil"/>
              <w:bottom w:val="nil"/>
              <w:right w:val="nil"/>
            </w:tcBorders>
            <w:noWrap/>
          </w:tcPr>
          <w:p w14:paraId="21C465BB"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8.55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±0.51</w:t>
            </w:r>
          </w:p>
        </w:tc>
        <w:tc>
          <w:tcPr>
            <w:tcW w:w="774" w:type="pct"/>
            <w:tcBorders>
              <w:top w:val="nil"/>
              <w:left w:val="nil"/>
              <w:bottom w:val="nil"/>
              <w:right w:val="nil"/>
            </w:tcBorders>
            <w:noWrap/>
          </w:tcPr>
          <w:p w14:paraId="067F7414"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8.50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±0.61</w:t>
            </w:r>
          </w:p>
        </w:tc>
        <w:tc>
          <w:tcPr>
            <w:tcW w:w="774" w:type="pct"/>
            <w:tcBorders>
              <w:top w:val="nil"/>
              <w:left w:val="nil"/>
              <w:bottom w:val="nil"/>
              <w:right w:val="nil"/>
            </w:tcBorders>
            <w:noWrap/>
          </w:tcPr>
          <w:p w14:paraId="6294DF22"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8.70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±0.47</w:t>
            </w:r>
          </w:p>
        </w:tc>
        <w:tc>
          <w:tcPr>
            <w:tcW w:w="979" w:type="pct"/>
            <w:tcBorders>
              <w:top w:val="nil"/>
              <w:left w:val="nil"/>
              <w:bottom w:val="nil"/>
              <w:right w:val="nil"/>
            </w:tcBorders>
            <w:noWrap/>
          </w:tcPr>
          <w:p w14:paraId="0440FA37"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8.65</w:t>
            </w:r>
            <w:r>
              <w:rPr>
                <w:rFonts w:ascii="Times New Roman" w:hAnsi="Times New Roman" w:cs="Times New Roman"/>
                <w:kern w:val="0"/>
                <w:sz w:val="24"/>
                <w:szCs w:val="24"/>
                <w:vertAlign w:val="superscript"/>
                <w:lang w:val="en-GB"/>
              </w:rPr>
              <w:t>ab</w:t>
            </w:r>
            <w:r>
              <w:rPr>
                <w:rFonts w:ascii="Times New Roman" w:hAnsi="Times New Roman" w:cs="Times New Roman"/>
                <w:kern w:val="0"/>
                <w:sz w:val="24"/>
                <w:szCs w:val="24"/>
                <w:lang w:val="en-GB"/>
              </w:rPr>
              <w:t>±0.49</w:t>
            </w:r>
          </w:p>
        </w:tc>
      </w:tr>
      <w:tr w:rsidR="00543E49" w14:paraId="7DB8151A"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nil"/>
              <w:left w:val="nil"/>
              <w:bottom w:val="single" w:sz="4" w:space="0" w:color="000000" w:themeColor="text1"/>
              <w:right w:val="nil"/>
            </w:tcBorders>
            <w:noWrap/>
          </w:tcPr>
          <w:p w14:paraId="62D6F405"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LSD</w:t>
            </w:r>
          </w:p>
        </w:tc>
        <w:tc>
          <w:tcPr>
            <w:tcW w:w="774" w:type="pct"/>
            <w:tcBorders>
              <w:top w:val="nil"/>
              <w:left w:val="nil"/>
              <w:bottom w:val="single" w:sz="4" w:space="0" w:color="000000" w:themeColor="text1"/>
              <w:right w:val="nil"/>
            </w:tcBorders>
            <w:noWrap/>
          </w:tcPr>
          <w:p w14:paraId="6B5C4B24"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0.41</w:t>
            </w:r>
          </w:p>
        </w:tc>
        <w:tc>
          <w:tcPr>
            <w:tcW w:w="925" w:type="pct"/>
            <w:tcBorders>
              <w:top w:val="nil"/>
              <w:left w:val="nil"/>
              <w:bottom w:val="single" w:sz="4" w:space="0" w:color="000000" w:themeColor="text1"/>
              <w:right w:val="nil"/>
            </w:tcBorders>
            <w:noWrap/>
          </w:tcPr>
          <w:p w14:paraId="4EBB906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0.42</w:t>
            </w:r>
          </w:p>
        </w:tc>
        <w:tc>
          <w:tcPr>
            <w:tcW w:w="774" w:type="pct"/>
            <w:tcBorders>
              <w:top w:val="nil"/>
              <w:left w:val="nil"/>
              <w:bottom w:val="single" w:sz="4" w:space="0" w:color="000000" w:themeColor="text1"/>
              <w:right w:val="nil"/>
            </w:tcBorders>
            <w:noWrap/>
          </w:tcPr>
          <w:p w14:paraId="0CA07241"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0.42</w:t>
            </w:r>
          </w:p>
        </w:tc>
        <w:tc>
          <w:tcPr>
            <w:tcW w:w="774" w:type="pct"/>
            <w:tcBorders>
              <w:top w:val="nil"/>
              <w:left w:val="nil"/>
              <w:bottom w:val="single" w:sz="4" w:space="0" w:color="000000" w:themeColor="text1"/>
              <w:right w:val="nil"/>
            </w:tcBorders>
            <w:noWrap/>
          </w:tcPr>
          <w:p w14:paraId="024BD420"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0.40</w:t>
            </w:r>
          </w:p>
        </w:tc>
        <w:tc>
          <w:tcPr>
            <w:tcW w:w="979" w:type="pct"/>
            <w:tcBorders>
              <w:top w:val="nil"/>
              <w:left w:val="nil"/>
              <w:bottom w:val="single" w:sz="4" w:space="0" w:color="000000" w:themeColor="text1"/>
              <w:right w:val="nil"/>
            </w:tcBorders>
            <w:noWrap/>
          </w:tcPr>
          <w:p w14:paraId="32157F0E"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0.38</w:t>
            </w:r>
          </w:p>
        </w:tc>
      </w:tr>
    </w:tbl>
    <w:p w14:paraId="1A0E6F33" w14:textId="77777777" w:rsidR="00543E49" w:rsidRDefault="00C73355">
      <w:pPr>
        <w:autoSpaceDE w:val="0"/>
        <w:autoSpaceDN w:val="0"/>
        <w:adjustRightInd w:val="0"/>
        <w:spacing w:after="0" w:line="240" w:lineRule="auto"/>
        <w:jc w:val="both"/>
        <w:rPr>
          <w:rFonts w:ascii="Times New Roman" w:hAnsi="Times New Roman" w:cs="Times New Roman"/>
          <w:lang w:val="en-GB"/>
          <w14:ligatures w14:val="standardContextual"/>
        </w:rPr>
      </w:pPr>
      <w:r>
        <w:rPr>
          <w:rFonts w:ascii="Times New Roman" w:hAnsi="Times New Roman" w:cs="Times New Roman"/>
        </w:rPr>
        <w:lastRenderedPageBreak/>
        <w:t xml:space="preserve">Values are means ± standard deviations of </w:t>
      </w:r>
      <w:r>
        <w:rPr>
          <w:rFonts w:ascii="Times New Roman" w:hAnsi="Times New Roman" w:cs="Times New Roman"/>
        </w:rPr>
        <w:t>20 replicates. Means in the same column with different superscripts are significantly (P&lt;0.05) different</w:t>
      </w:r>
    </w:p>
    <w:p w14:paraId="36CCA89B" w14:textId="77777777" w:rsidR="00543E49" w:rsidRDefault="00C73355">
      <w:pPr>
        <w:spacing w:after="0" w:line="240" w:lineRule="auto"/>
        <w:jc w:val="both"/>
        <w:rPr>
          <w:rFonts w:ascii="Times New Roman" w:hAnsi="Times New Roman" w:cs="Times New Roman"/>
          <w:b/>
          <w:kern w:val="2"/>
        </w:rPr>
      </w:pPr>
      <w:r>
        <w:rPr>
          <w:rFonts w:ascii="Times New Roman" w:hAnsi="Times New Roman" w:cs="Times New Roman"/>
          <w:b/>
        </w:rPr>
        <w:t>Keys</w:t>
      </w:r>
    </w:p>
    <w:p w14:paraId="646D1B2C"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A</w:t>
      </w:r>
      <w:r>
        <w:rPr>
          <w:rFonts w:ascii="Times New Roman" w:hAnsi="Times New Roman" w:cs="Times New Roman"/>
        </w:rPr>
        <w:t xml:space="preserve"> = 100% wheat flour (control), </w:t>
      </w:r>
      <w:r>
        <w:rPr>
          <w:rFonts w:ascii="Times New Roman" w:hAnsi="Times New Roman" w:cs="Times New Roman"/>
          <w:b/>
        </w:rPr>
        <w:t>B</w:t>
      </w:r>
      <w:r>
        <w:rPr>
          <w:rFonts w:ascii="Times New Roman" w:hAnsi="Times New Roman" w:cs="Times New Roman"/>
        </w:rPr>
        <w:t xml:space="preserve"> = 80% wheat flour+15%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48B85128"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C</w:t>
      </w:r>
      <w:r>
        <w:rPr>
          <w:rFonts w:ascii="Times New Roman" w:hAnsi="Times New Roman" w:cs="Times New Roman"/>
        </w:rPr>
        <w:t xml:space="preserve"> = 75% wheat flour+20% </w:t>
      </w:r>
      <w:proofErr w:type="spellStart"/>
      <w:r>
        <w:rPr>
          <w:rFonts w:ascii="Times New Roman" w:hAnsi="Times New Roman" w:cs="Times New Roman"/>
        </w:rPr>
        <w:t>acha</w:t>
      </w:r>
      <w:proofErr w:type="spellEnd"/>
      <w:r>
        <w:rPr>
          <w:rFonts w:ascii="Times New Roman" w:hAnsi="Times New Roman" w:cs="Times New Roman"/>
        </w:rPr>
        <w:t xml:space="preserve"> flour+5% coconut residue</w:t>
      </w:r>
      <w:r>
        <w:rPr>
          <w:rFonts w:ascii="Times New Roman" w:hAnsi="Times New Roman" w:cs="Times New Roman"/>
        </w:rPr>
        <w:t xml:space="preserve">s flour, </w:t>
      </w:r>
      <w:r>
        <w:rPr>
          <w:rFonts w:ascii="Times New Roman" w:hAnsi="Times New Roman" w:cs="Times New Roman"/>
          <w:b/>
        </w:rPr>
        <w:t>D</w:t>
      </w:r>
      <w:r>
        <w:rPr>
          <w:rFonts w:ascii="Times New Roman" w:hAnsi="Times New Roman" w:cs="Times New Roman"/>
        </w:rPr>
        <w:t xml:space="preserve"> = 70% wheat flour+25%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620E5421" w14:textId="77777777" w:rsidR="00543E49" w:rsidRDefault="00543E49">
      <w:pPr>
        <w:spacing w:line="240" w:lineRule="auto"/>
        <w:jc w:val="both"/>
        <w:rPr>
          <w:rFonts w:ascii="Times New Roman" w:hAnsi="Times New Roman" w:cs="Times New Roman"/>
          <w:b/>
        </w:rPr>
      </w:pPr>
    </w:p>
    <w:p w14:paraId="5ABE65B4" w14:textId="77777777" w:rsidR="00543E49" w:rsidRDefault="00C73355">
      <w:pPr>
        <w:spacing w:line="480" w:lineRule="auto"/>
        <w:jc w:val="both"/>
        <w:rPr>
          <w:rFonts w:ascii="Times New Roman" w:hAnsi="Times New Roman" w:cs="Times New Roman"/>
        </w:rPr>
      </w:pPr>
      <w:r>
        <w:rPr>
          <w:noProof/>
        </w:rPr>
        <w:drawing>
          <wp:anchor distT="0" distB="0" distL="114300" distR="114300" simplePos="0" relativeHeight="251656704" behindDoc="0" locked="0" layoutInCell="1" allowOverlap="1" wp14:anchorId="02714B67" wp14:editId="4F665DB2">
            <wp:simplePos x="0" y="0"/>
            <wp:positionH relativeFrom="margin">
              <wp:posOffset>76200</wp:posOffset>
            </wp:positionH>
            <wp:positionV relativeFrom="paragraph">
              <wp:posOffset>36830</wp:posOffset>
            </wp:positionV>
            <wp:extent cx="3009900" cy="3162300"/>
            <wp:effectExtent l="0" t="0" r="0" b="0"/>
            <wp:wrapNone/>
            <wp:docPr id="2" name="Picture 2" descr="WhatsApp Image 2025-10-01 at 19.20.49_091d1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5-10-01 at 19.20.49_091d1a2b"/>
                    <pic:cNvPicPr>
                      <a:picLocks noChangeAspect="1" noChangeArrowheads="1"/>
                    </pic:cNvPicPr>
                  </pic:nvPicPr>
                  <pic:blipFill>
                    <a:blip r:embed="rId14">
                      <a:extLst>
                        <a:ext uri="{28A0092B-C50C-407E-A947-70E740481C1C}">
                          <a14:useLocalDpi xmlns:a14="http://schemas.microsoft.com/office/drawing/2010/main" val="0"/>
                        </a:ext>
                      </a:extLst>
                    </a:blip>
                    <a:srcRect l="5826" t="14636" b="11165"/>
                    <a:stretch>
                      <a:fillRect/>
                    </a:stretch>
                  </pic:blipFill>
                  <pic:spPr>
                    <a:xfrm>
                      <a:off x="0" y="0"/>
                      <a:ext cx="3009900" cy="3162300"/>
                    </a:xfrm>
                    <a:prstGeom prst="rect">
                      <a:avLst/>
                    </a:prstGeom>
                    <a:noFill/>
                  </pic:spPr>
                </pic:pic>
              </a:graphicData>
            </a:graphic>
          </wp:anchor>
        </w:drawing>
      </w:r>
      <w:r>
        <w:rPr>
          <w:noProof/>
        </w:rPr>
        <mc:AlternateContent>
          <mc:Choice Requires="wps">
            <w:drawing>
              <wp:anchor distT="0" distB="0" distL="114300" distR="114300" simplePos="0" relativeHeight="251657728" behindDoc="0" locked="0" layoutInCell="1" allowOverlap="1" wp14:anchorId="2525671C" wp14:editId="26F167CD">
                <wp:simplePos x="0" y="0"/>
                <wp:positionH relativeFrom="column">
                  <wp:posOffset>62230</wp:posOffset>
                </wp:positionH>
                <wp:positionV relativeFrom="paragraph">
                  <wp:posOffset>37465</wp:posOffset>
                </wp:positionV>
                <wp:extent cx="513080" cy="598170"/>
                <wp:effectExtent l="0" t="0" r="0" b="0"/>
                <wp:wrapNone/>
                <wp:docPr id="5" name="Rectangle 5"/>
                <wp:cNvGraphicFramePr/>
                <a:graphic xmlns:a="http://schemas.openxmlformats.org/drawingml/2006/main">
                  <a:graphicData uri="http://schemas.microsoft.com/office/word/2010/wordprocessingShape">
                    <wps:wsp>
                      <wps:cNvSpPr/>
                      <wps:spPr>
                        <a:xfrm>
                          <a:off x="0" y="0"/>
                          <a:ext cx="513080" cy="617220"/>
                        </a:xfrm>
                        <a:prstGeom prst="rect">
                          <a:avLst/>
                        </a:prstGeom>
                      </wps:spPr>
                      <wps:txbx>
                        <w:txbxContent>
                          <w:p w14:paraId="0D5C80AB" w14:textId="77777777" w:rsidR="00543E49" w:rsidRDefault="00C73355">
                            <w:pPr>
                              <w:pStyle w:val="NormalWeb"/>
                              <w:spacing w:before="0" w:beforeAutospacing="0" w:after="0" w:afterAutospacing="0"/>
                              <w:rPr>
                                <w:color w:val="C00000"/>
                                <w:sz w:val="48"/>
                              </w:rPr>
                            </w:pPr>
                            <w:r>
                              <w:rPr>
                                <w:b/>
                                <w:bCs/>
                                <w:color w:val="C00000"/>
                                <w:kern w:val="24"/>
                                <w:sz w:val="72"/>
                                <w:szCs w:val="36"/>
                              </w:rPr>
                              <w:t>A</w:t>
                            </w:r>
                          </w:p>
                        </w:txbxContent>
                      </wps:txbx>
                      <wps:bodyPr wrap="none">
                        <a:spAutoFit/>
                      </wps:bodyPr>
                    </wps:wsp>
                  </a:graphicData>
                </a:graphic>
              </wp:anchor>
            </w:drawing>
          </mc:Choice>
          <mc:Fallback>
            <w:pict>
              <v:rect w14:anchorId="2525671C" id="Rectangle 5" o:spid="_x0000_s1026" style="position:absolute;left:0;text-align:left;margin-left:4.9pt;margin-top:2.95pt;width:40.4pt;height:47.1pt;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" filled="f" stroked="f">
                <v:textbox style="mso-fit-shape-to-text:t">
                  <w:txbxContent>
                    <w:p w14:paraId="0D5C80AB" w14:textId="77777777" w:rsidR="00543E49" w:rsidRDefault="00C73355">
                      <w:pPr>
                        <w:pStyle w:val="NormalWeb"/>
                        <w:spacing w:before="0" w:beforeAutospacing="0" w:after="0" w:afterAutospacing="0"/>
                        <w:rPr>
                          <w:color w:val="C00000"/>
                          <w:sz w:val="48"/>
                        </w:rPr>
                      </w:pPr>
                      <w:r>
                        <w:rPr>
                          <w:b/>
                          <w:bCs/>
                          <w:color w:val="C00000"/>
                          <w:kern w:val="24"/>
                          <w:sz w:val="72"/>
                          <w:szCs w:val="36"/>
                        </w:rPr>
                        <w:t>A</w:t>
                      </w:r>
                    </w:p>
                  </w:txbxContent>
                </v:textbox>
              </v:rect>
            </w:pict>
          </mc:Fallback>
        </mc:AlternateContent>
      </w:r>
      <w:r>
        <w:rPr>
          <w:noProof/>
        </w:rPr>
        <w:drawing>
          <wp:anchor distT="0" distB="0" distL="114300" distR="114300" simplePos="0" relativeHeight="251655680" behindDoc="0" locked="0" layoutInCell="1" allowOverlap="1" wp14:anchorId="1627FA05" wp14:editId="16AF3D6D">
            <wp:simplePos x="0" y="0"/>
            <wp:positionH relativeFrom="margin">
              <wp:posOffset>3257550</wp:posOffset>
            </wp:positionH>
            <wp:positionV relativeFrom="paragraph">
              <wp:posOffset>17780</wp:posOffset>
            </wp:positionV>
            <wp:extent cx="2411095" cy="3143250"/>
            <wp:effectExtent l="0" t="0" r="8255" b="0"/>
            <wp:wrapNone/>
            <wp:docPr id="1" name="Picture 1" descr="WhatsApp Image 2025-10-01 at 19.29.33_015f7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5-10-01 at 19.29.33_015f76eb"/>
                    <pic:cNvPicPr>
                      <a:picLocks noChangeAspect="1" noChangeArrowheads="1"/>
                    </pic:cNvPicPr>
                  </pic:nvPicPr>
                  <pic:blipFill>
                    <a:blip r:embed="rId15" cstate="print">
                      <a:extLst>
                        <a:ext uri="{28A0092B-C50C-407E-A947-70E740481C1C}">
                          <a14:useLocalDpi xmlns:a14="http://schemas.microsoft.com/office/drawing/2010/main" val="0"/>
                        </a:ext>
                      </a:extLst>
                    </a:blip>
                    <a:srcRect l="12946" t="14806" r="3883" b="3883"/>
                    <a:stretch>
                      <a:fillRect/>
                    </a:stretch>
                  </pic:blipFill>
                  <pic:spPr>
                    <a:xfrm>
                      <a:off x="0" y="0"/>
                      <a:ext cx="2411095" cy="3143250"/>
                    </a:xfrm>
                    <a:prstGeom prst="rect">
                      <a:avLst/>
                    </a:prstGeom>
                    <a:noFill/>
                  </pic:spPr>
                </pic:pic>
              </a:graphicData>
            </a:graphic>
          </wp:anchor>
        </w:drawing>
      </w:r>
      <w:r>
        <w:rPr>
          <w:noProof/>
        </w:rPr>
        <mc:AlternateContent>
          <mc:Choice Requires="wps">
            <w:drawing>
              <wp:anchor distT="0" distB="0" distL="114300" distR="114300" simplePos="0" relativeHeight="251658752" behindDoc="0" locked="0" layoutInCell="1" allowOverlap="1" wp14:anchorId="5BD44D7F" wp14:editId="7AADE53D">
                <wp:simplePos x="0" y="0"/>
                <wp:positionH relativeFrom="column">
                  <wp:posOffset>5105400</wp:posOffset>
                </wp:positionH>
                <wp:positionV relativeFrom="paragraph">
                  <wp:posOffset>2468880</wp:posOffset>
                </wp:positionV>
                <wp:extent cx="487680" cy="678180"/>
                <wp:effectExtent l="0" t="0" r="0" b="0"/>
                <wp:wrapNone/>
                <wp:docPr id="6" name="Rectangle 6"/>
                <wp:cNvGraphicFramePr/>
                <a:graphic xmlns:a="http://schemas.openxmlformats.org/drawingml/2006/main">
                  <a:graphicData uri="http://schemas.microsoft.com/office/word/2010/wordprocessingShape">
                    <wps:wsp>
                      <wps:cNvSpPr/>
                      <wps:spPr>
                        <a:xfrm>
                          <a:off x="0" y="0"/>
                          <a:ext cx="488315" cy="700405"/>
                        </a:xfrm>
                        <a:prstGeom prst="rect">
                          <a:avLst/>
                        </a:prstGeom>
                      </wps:spPr>
                      <wps:txbx>
                        <w:txbxContent>
                          <w:p w14:paraId="7270D002" w14:textId="77777777" w:rsidR="00543E49" w:rsidRDefault="00C73355">
                            <w:pPr>
                              <w:spacing w:after="0"/>
                              <w:rPr>
                                <w:rFonts w:ascii="Times New Roman" w:hAnsi="Times New Roman" w:cs="Times New Roman"/>
                                <w:color w:val="FFFFFF" w:themeColor="background1"/>
                                <w:sz w:val="48"/>
                              </w:rPr>
                            </w:pPr>
                            <w:r>
                              <w:rPr>
                                <w:rFonts w:ascii="Times New Roman" w:hAnsi="Times New Roman" w:cs="Times New Roman"/>
                                <w:b/>
                                <w:bCs/>
                                <w:color w:val="FFFFFF" w:themeColor="background1"/>
                                <w:kern w:val="24"/>
                                <w:sz w:val="72"/>
                                <w:szCs w:val="36"/>
                              </w:rPr>
                              <w:t>B</w:t>
                            </w:r>
                          </w:p>
                        </w:txbxContent>
                      </wps:txbx>
                      <wps:bodyPr wrap="none">
                        <a:spAutoFit/>
                      </wps:bodyPr>
                    </wps:wsp>
                  </a:graphicData>
                </a:graphic>
              </wp:anchor>
            </w:drawing>
          </mc:Choice>
          <mc:Fallback>
            <w:pict>
              <v:rect w14:anchorId="5BD44D7F" id="Rectangle 6" o:spid="_x0000_s1027" style="position:absolute;left:0;text-align:left;margin-left:402pt;margin-top:194.4pt;width:38.4pt;height:53.4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" filled="f" stroked="f">
                <v:textbox style="mso-fit-shape-to-text:t">
                  <w:txbxContent>
                    <w:p w14:paraId="7270D002" w14:textId="77777777" w:rsidR="00543E49" w:rsidRDefault="00C73355">
                      <w:pPr>
                        <w:spacing w:after="0"/>
                        <w:rPr>
                          <w:rFonts w:ascii="Times New Roman" w:hAnsi="Times New Roman" w:cs="Times New Roman"/>
                          <w:color w:val="FFFFFF" w:themeColor="background1"/>
                          <w:sz w:val="48"/>
                        </w:rPr>
                      </w:pPr>
                      <w:r>
                        <w:rPr>
                          <w:rFonts w:ascii="Times New Roman" w:hAnsi="Times New Roman" w:cs="Times New Roman"/>
                          <w:b/>
                          <w:bCs/>
                          <w:color w:val="FFFFFF" w:themeColor="background1"/>
                          <w:kern w:val="24"/>
                          <w:sz w:val="72"/>
                          <w:szCs w:val="36"/>
                        </w:rPr>
                        <w:t>B</w:t>
                      </w:r>
                    </w:p>
                  </w:txbxContent>
                </v:textbox>
              </v:rect>
            </w:pict>
          </mc:Fallback>
        </mc:AlternateContent>
      </w:r>
    </w:p>
    <w:p w14:paraId="5550A3EC" w14:textId="77777777" w:rsidR="00543E49" w:rsidRDefault="00543E49">
      <w:pPr>
        <w:spacing w:line="480" w:lineRule="auto"/>
        <w:jc w:val="both"/>
        <w:rPr>
          <w:rFonts w:ascii="Times New Roman" w:hAnsi="Times New Roman" w:cs="Times New Roman"/>
        </w:rPr>
      </w:pPr>
    </w:p>
    <w:p w14:paraId="11AD8667" w14:textId="77777777" w:rsidR="00543E49" w:rsidRDefault="00543E49">
      <w:pPr>
        <w:spacing w:line="480" w:lineRule="auto"/>
        <w:jc w:val="both"/>
        <w:rPr>
          <w:rFonts w:ascii="Times New Roman" w:hAnsi="Times New Roman" w:cs="Times New Roman"/>
        </w:rPr>
      </w:pPr>
    </w:p>
    <w:p w14:paraId="4909E5F3" w14:textId="77777777" w:rsidR="00543E49" w:rsidRDefault="00543E49">
      <w:pPr>
        <w:spacing w:line="480" w:lineRule="auto"/>
        <w:jc w:val="both"/>
        <w:rPr>
          <w:rFonts w:ascii="Times New Roman" w:hAnsi="Times New Roman" w:cs="Times New Roman"/>
        </w:rPr>
      </w:pPr>
    </w:p>
    <w:p w14:paraId="1BC76E86" w14:textId="77777777" w:rsidR="00543E49" w:rsidRDefault="00543E49">
      <w:pPr>
        <w:spacing w:line="480" w:lineRule="auto"/>
        <w:jc w:val="both"/>
        <w:rPr>
          <w:rFonts w:ascii="Times New Roman" w:hAnsi="Times New Roman" w:cs="Times New Roman"/>
        </w:rPr>
      </w:pPr>
    </w:p>
    <w:p w14:paraId="4CE7DCF3" w14:textId="77777777" w:rsidR="00543E49" w:rsidRDefault="00543E49">
      <w:pPr>
        <w:spacing w:line="480" w:lineRule="auto"/>
        <w:jc w:val="both"/>
        <w:rPr>
          <w:rFonts w:ascii="Times New Roman" w:hAnsi="Times New Roman" w:cs="Times New Roman"/>
        </w:rPr>
      </w:pPr>
    </w:p>
    <w:p w14:paraId="7614410C" w14:textId="77777777" w:rsidR="00543E49" w:rsidRDefault="00543E49">
      <w:pPr>
        <w:spacing w:line="480" w:lineRule="auto"/>
        <w:jc w:val="both"/>
        <w:rPr>
          <w:rFonts w:ascii="Times New Roman" w:hAnsi="Times New Roman" w:cs="Times New Roman"/>
        </w:rPr>
      </w:pPr>
    </w:p>
    <w:p w14:paraId="02106359" w14:textId="77777777" w:rsidR="00543E49" w:rsidRDefault="00543E49">
      <w:pPr>
        <w:pStyle w:val="NormalWeb"/>
        <w:jc w:val="both"/>
      </w:pPr>
    </w:p>
    <w:p w14:paraId="2302630C" w14:textId="6D06525B" w:rsidR="00543E49" w:rsidRDefault="00C73355">
      <w:pPr>
        <w:spacing w:line="480" w:lineRule="auto"/>
        <w:jc w:val="both"/>
        <w:rPr>
          <w:rFonts w:ascii="Times New Roman" w:hAnsi="Times New Roman" w:cs="Times New Roman"/>
          <w:b/>
        </w:rPr>
      </w:pPr>
      <w:r>
        <w:rPr>
          <w:noProof/>
        </w:rPr>
        <mc:AlternateContent>
          <mc:Choice Requires="wps">
            <w:drawing>
              <wp:anchor distT="0" distB="0" distL="114300" distR="114300" simplePos="0" relativeHeight="251659776" behindDoc="0" locked="0" layoutInCell="1" allowOverlap="1" wp14:anchorId="7C4048C5" wp14:editId="4934B842">
                <wp:simplePos x="0" y="0"/>
                <wp:positionH relativeFrom="margin">
                  <wp:posOffset>-69850</wp:posOffset>
                </wp:positionH>
                <wp:positionV relativeFrom="paragraph">
                  <wp:posOffset>456565</wp:posOffset>
                </wp:positionV>
                <wp:extent cx="513080" cy="678180"/>
                <wp:effectExtent l="0" t="0" r="0" b="0"/>
                <wp:wrapNone/>
                <wp:docPr id="3" name="Rectangle 3"/>
                <wp:cNvGraphicFramePr/>
                <a:graphic xmlns:a="http://schemas.openxmlformats.org/drawingml/2006/main">
                  <a:graphicData uri="http://schemas.microsoft.com/office/word/2010/wordprocessingShape">
                    <wps:wsp>
                      <wps:cNvSpPr/>
                      <wps:spPr>
                        <a:xfrm>
                          <a:off x="0" y="0"/>
                          <a:ext cx="513080" cy="700405"/>
                        </a:xfrm>
                        <a:prstGeom prst="rect">
                          <a:avLst/>
                        </a:prstGeom>
                      </wps:spPr>
                      <wps:txbx>
                        <w:txbxContent>
                          <w:p w14:paraId="39A1C88A" w14:textId="77777777" w:rsidR="00543E49" w:rsidRDefault="00C73355">
                            <w:pPr>
                              <w:spacing w:after="0"/>
                              <w:rPr>
                                <w:rFonts w:ascii="Times New Roman" w:hAnsi="Times New Roman" w:cs="Times New Roman"/>
                                <w:color w:val="FFFFFF" w:themeColor="background1"/>
                                <w:sz w:val="48"/>
                              </w:rPr>
                            </w:pPr>
                            <w:r>
                              <w:rPr>
                                <w:rFonts w:ascii="Times New Roman" w:hAnsi="Times New Roman" w:cs="Times New Roman"/>
                                <w:b/>
                                <w:bCs/>
                                <w:color w:val="FFFFFF" w:themeColor="background1"/>
                                <w:kern w:val="24"/>
                                <w:sz w:val="72"/>
                                <w:szCs w:val="36"/>
                              </w:rPr>
                              <w:t>C</w:t>
                            </w:r>
                          </w:p>
                        </w:txbxContent>
                      </wps:txbx>
                      <wps:bodyPr wrap="none">
                        <a:spAutoFit/>
                      </wps:bodyPr>
                    </wps:wsp>
                  </a:graphicData>
                </a:graphic>
              </wp:anchor>
            </w:drawing>
          </mc:Choice>
          <mc:Fallback>
            <w:pict>
              <v:rect w14:anchorId="7C4048C5" id="Rectangle 3" o:spid="_x0000_s1028" style="position:absolute;left:0;text-align:left;margin-left:-5.5pt;margin-top:35.95pt;width:40.4pt;height:53.4pt;z-index:2516597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" filled="f" stroked="f">
                <v:textbox style="mso-fit-shape-to-text:t">
                  <w:txbxContent>
                    <w:p w14:paraId="39A1C88A" w14:textId="77777777" w:rsidR="00543E49" w:rsidRDefault="00C73355">
                      <w:pPr>
                        <w:spacing w:after="0"/>
                        <w:rPr>
                          <w:rFonts w:ascii="Times New Roman" w:hAnsi="Times New Roman" w:cs="Times New Roman"/>
                          <w:color w:val="FFFFFF" w:themeColor="background1"/>
                          <w:sz w:val="48"/>
                        </w:rPr>
                      </w:pPr>
                      <w:r>
                        <w:rPr>
                          <w:rFonts w:ascii="Times New Roman" w:hAnsi="Times New Roman" w:cs="Times New Roman"/>
                          <w:b/>
                          <w:bCs/>
                          <w:color w:val="FFFFFF" w:themeColor="background1"/>
                          <w:kern w:val="24"/>
                          <w:sz w:val="72"/>
                          <w:szCs w:val="36"/>
                        </w:rPr>
                        <w:t>C</w:t>
                      </w:r>
                    </w:p>
                  </w:txbxContent>
                </v:textbox>
                <w10:wrap anchorx="margin"/>
              </v:rect>
            </w:pict>
          </mc:Fallback>
        </mc:AlternateContent>
      </w:r>
      <w:bookmarkStart w:id="11" w:name="_GoBack"/>
      <w:bookmarkEnd w:id="11"/>
      <w:r>
        <w:rPr>
          <w:rFonts w:ascii="Times New Roman" w:hAnsi="Times New Roman" w:cs="Times New Roman"/>
          <w:b/>
        </w:rPr>
        <w:t>P</w:t>
      </w:r>
      <w:r>
        <w:rPr>
          <w:rFonts w:ascii="Times New Roman" w:hAnsi="Times New Roman" w:cs="Times New Roman"/>
          <w:b/>
        </w:rPr>
        <w:t xml:space="preserve">late 1: Cakes from Wheat, </w:t>
      </w:r>
      <w:proofErr w:type="spellStart"/>
      <w:r>
        <w:rPr>
          <w:rFonts w:ascii="Times New Roman" w:hAnsi="Times New Roman" w:cs="Times New Roman"/>
          <w:b/>
        </w:rPr>
        <w:t>Acha</w:t>
      </w:r>
      <w:proofErr w:type="spellEnd"/>
      <w:r>
        <w:rPr>
          <w:rFonts w:ascii="Times New Roman" w:hAnsi="Times New Roman" w:cs="Times New Roman"/>
          <w:b/>
        </w:rPr>
        <w:t xml:space="preserve"> and Coconut Residue Flour Blends</w:t>
      </w:r>
    </w:p>
    <w:p w14:paraId="2D9E83F3" w14:textId="77777777" w:rsidR="00543E49" w:rsidRDefault="00C73355">
      <w:pPr>
        <w:spacing w:line="240" w:lineRule="auto"/>
        <w:rPr>
          <w:rFonts w:ascii="Times New Roman" w:hAnsi="Times New Roman" w:cs="Times New Roman"/>
          <w:b/>
          <w:sz w:val="24"/>
          <w:szCs w:val="24"/>
        </w:rPr>
      </w:pPr>
      <w:r>
        <w:rPr>
          <w:rFonts w:ascii="Times New Roman" w:hAnsi="Times New Roman" w:cs="Times New Roman"/>
          <w:b/>
          <w:sz w:val="24"/>
          <w:szCs w:val="24"/>
        </w:rPr>
        <w:t>Conclusion and Recommendation</w:t>
      </w:r>
    </w:p>
    <w:p w14:paraId="3538CAC8" w14:textId="77777777" w:rsidR="00543E49" w:rsidRDefault="00C73355">
      <w:pPr>
        <w:spacing w:before="100" w:beforeAutospacing="1" w:after="100" w:afterAutospacing="1"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Proximate composition revealed increases in protein, fat, crude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and ash as substitution levels of </w:t>
      </w:r>
      <w:proofErr w:type="spellStart"/>
      <w:r>
        <w:rPr>
          <w:rFonts w:ascii="Times New Roman" w:eastAsia="Times New Roman" w:hAnsi="Times New Roman" w:cs="Times New Roman"/>
          <w:sz w:val="24"/>
          <w:szCs w:val="24"/>
        </w:rPr>
        <w:t>acha</w:t>
      </w:r>
      <w:proofErr w:type="spellEnd"/>
      <w:r>
        <w:rPr>
          <w:rFonts w:ascii="Times New Roman" w:eastAsia="Times New Roman" w:hAnsi="Times New Roman" w:cs="Times New Roman"/>
          <w:sz w:val="24"/>
          <w:szCs w:val="24"/>
        </w:rPr>
        <w:t xml:space="preserve"> increased, while carbohydrate content decreased. Physical analysis demonstrated that the control sample (100% wheat) had the highest weight and vo</w:t>
      </w:r>
      <w:r>
        <w:rPr>
          <w:rFonts w:ascii="Times New Roman" w:eastAsia="Times New Roman" w:hAnsi="Times New Roman" w:cs="Times New Roman"/>
          <w:sz w:val="24"/>
          <w:szCs w:val="24"/>
        </w:rPr>
        <w:t>lume, while composite cakes recorded reduced weights and volumes. However, specific volume improved with substitution, with samples B and D producing lighter cake structures relative to their mass. Sensory evaluation indicated that while the control was mo</w:t>
      </w:r>
      <w:r>
        <w:rPr>
          <w:rFonts w:ascii="Times New Roman" w:eastAsia="Times New Roman" w:hAnsi="Times New Roman" w:cs="Times New Roman"/>
          <w:sz w:val="24"/>
          <w:szCs w:val="24"/>
        </w:rPr>
        <w:t xml:space="preserve">st preferred across attributes, cakes containing up to 25% </w:t>
      </w:r>
      <w:proofErr w:type="spellStart"/>
      <w:r>
        <w:rPr>
          <w:rFonts w:ascii="Times New Roman" w:eastAsia="Times New Roman" w:hAnsi="Times New Roman" w:cs="Times New Roman"/>
          <w:sz w:val="24"/>
          <w:szCs w:val="24"/>
        </w:rPr>
        <w:t>acha</w:t>
      </w:r>
      <w:proofErr w:type="spellEnd"/>
      <w:r>
        <w:rPr>
          <w:rFonts w:ascii="Times New Roman" w:eastAsia="Times New Roman" w:hAnsi="Times New Roman" w:cs="Times New Roman"/>
          <w:sz w:val="24"/>
          <w:szCs w:val="24"/>
        </w:rPr>
        <w:t xml:space="preserve"> and 5% coconut residue (sample D) retained good acceptability scores, particularly in taste and overall acceptability. A</w:t>
      </w:r>
      <w:r>
        <w:rPr>
          <w:rFonts w:ascii="Times New Roman" w:eastAsia="Times New Roman" w:hAnsi="Times New Roman" w:cs="Times New Roman"/>
        </w:rPr>
        <w:t xml:space="preserve"> blend containing 70% wheat, 25% </w:t>
      </w:r>
      <w:proofErr w:type="spellStart"/>
      <w:r>
        <w:rPr>
          <w:rFonts w:ascii="Times New Roman" w:eastAsia="Times New Roman" w:hAnsi="Times New Roman" w:cs="Times New Roman"/>
        </w:rPr>
        <w:t>acha</w:t>
      </w:r>
      <w:proofErr w:type="spellEnd"/>
      <w:r>
        <w:rPr>
          <w:rFonts w:ascii="Times New Roman" w:eastAsia="Times New Roman" w:hAnsi="Times New Roman" w:cs="Times New Roman"/>
        </w:rPr>
        <w:t>, and 5% coconut residue flour is r</w:t>
      </w:r>
      <w:r>
        <w:rPr>
          <w:rFonts w:ascii="Times New Roman" w:eastAsia="Times New Roman" w:hAnsi="Times New Roman" w:cs="Times New Roman"/>
        </w:rPr>
        <w:t>ecommended for commercial cake production, balancing nutrition with physical and sensory quality.</w:t>
      </w:r>
      <w:r>
        <w:rPr>
          <w:rFonts w:ascii="Times New Roman" w:eastAsia="Times New Roman" w:hAnsi="Times New Roman" w:cs="Times New Roman"/>
          <w:sz w:val="24"/>
          <w:szCs w:val="24"/>
        </w:rPr>
        <w:t xml:space="preserve"> </w:t>
      </w:r>
      <w:r>
        <w:rPr>
          <w:rFonts w:ascii="Times New Roman" w:eastAsia="Times New Roman" w:hAnsi="Times New Roman" w:cs="Times New Roman"/>
        </w:rPr>
        <w:t>Storage stability and microbial safety of cakes from these blends should be investigated to establish their commercial viability.</w:t>
      </w:r>
    </w:p>
    <w:p w14:paraId="5EC83BC3" w14:textId="77777777" w:rsidR="00543E49" w:rsidRDefault="00C73355">
      <w:pPr>
        <w:spacing w:line="240" w:lineRule="auto"/>
        <w:rPr>
          <w:rFonts w:ascii="Times New Roman" w:hAnsi="Times New Roman" w:cs="Times New Roman"/>
          <w:b/>
          <w:sz w:val="24"/>
          <w:szCs w:val="24"/>
        </w:rPr>
      </w:pPr>
      <w:r>
        <w:rPr>
          <w:rFonts w:ascii="Times New Roman" w:hAnsi="Times New Roman" w:cs="Times New Roman"/>
          <w:b/>
          <w:sz w:val="24"/>
          <w:szCs w:val="24"/>
        </w:rPr>
        <w:t>References</w:t>
      </w:r>
    </w:p>
    <w:p w14:paraId="3E222A25" w14:textId="284CEA07" w:rsidR="00E2251D" w:rsidRPr="00E2251D" w:rsidRDefault="00E2251D" w:rsidP="00D02B8F">
      <w:pPr>
        <w:pStyle w:val="NormalWeb"/>
        <w:spacing w:after="0" w:afterAutospacing="0"/>
        <w:ind w:left="360"/>
        <w:jc w:val="both"/>
      </w:pPr>
      <w:r w:rsidRPr="00E2251D">
        <w:rPr>
          <w:rFonts w:eastAsiaTheme="minorHAnsi"/>
          <w:sz w:val="22"/>
          <w:szCs w:val="22"/>
          <w:lang w:val="en-US" w:eastAsia="en-US"/>
        </w:rPr>
        <w:lastRenderedPageBreak/>
        <w:t xml:space="preserve">Abegunde, T. A., Bolaji, O. T., Adeyeye, S. A., &amp; </w:t>
      </w:r>
      <w:proofErr w:type="spellStart"/>
      <w:r w:rsidRPr="00E2251D">
        <w:rPr>
          <w:rFonts w:eastAsiaTheme="minorHAnsi"/>
          <w:sz w:val="22"/>
          <w:szCs w:val="22"/>
          <w:lang w:val="en-US" w:eastAsia="en-US"/>
        </w:rPr>
        <w:t>Peluola</w:t>
      </w:r>
      <w:proofErr w:type="spellEnd"/>
      <w:r w:rsidRPr="00E2251D">
        <w:rPr>
          <w:rFonts w:eastAsiaTheme="minorHAnsi"/>
          <w:sz w:val="22"/>
          <w:szCs w:val="22"/>
          <w:lang w:val="en-US" w:eastAsia="en-US"/>
        </w:rPr>
        <w:t xml:space="preserve">-Adeyemi, O. A. (2019). Quality evaluation of baked cake from wheat breadfruit composite flour. American Journal of Food Science and Technology, 7(1), 31-39. </w:t>
      </w:r>
      <w:hyperlink r:id="rId16" w:history="1">
        <w:r w:rsidRPr="00B700E1">
          <w:rPr>
            <w:rStyle w:val="Hyperlink"/>
            <w:rFonts w:eastAsiaTheme="minorHAnsi"/>
            <w:sz w:val="22"/>
            <w:szCs w:val="22"/>
            <w:lang w:val="en-US" w:eastAsia="en-US"/>
          </w:rPr>
          <w:t>https://doi.org/10.12691/ajfst-7-1-6</w:t>
        </w:r>
      </w:hyperlink>
    </w:p>
    <w:p w14:paraId="7E36A6FB" w14:textId="7053138E" w:rsidR="00543E49" w:rsidRDefault="00C73355" w:rsidP="00D02B8F">
      <w:pPr>
        <w:pStyle w:val="NormalWeb"/>
        <w:spacing w:after="0" w:afterAutospacing="0"/>
        <w:ind w:left="360"/>
        <w:jc w:val="both"/>
      </w:pPr>
      <w:r>
        <w:t>Abioye, V. F., Ade-</w:t>
      </w:r>
      <w:proofErr w:type="spellStart"/>
      <w:r>
        <w:t>Omowaye</w:t>
      </w:r>
      <w:proofErr w:type="spellEnd"/>
      <w:r>
        <w:t xml:space="preserve">, B. I. O., Babarinde, G. O. and </w:t>
      </w:r>
      <w:proofErr w:type="spellStart"/>
      <w:r>
        <w:t>Adesigbin</w:t>
      </w:r>
      <w:proofErr w:type="spellEnd"/>
      <w:r>
        <w:t>, M. K. (2021): Nutritional quality and sensory acceptability of biscuits from wheat–</w:t>
      </w:r>
      <w:proofErr w:type="spellStart"/>
      <w:r>
        <w:t>acha</w:t>
      </w:r>
      <w:proofErr w:type="spellEnd"/>
      <w:r>
        <w:t xml:space="preserve"> composite flour supplemented with soybean flour. </w:t>
      </w:r>
      <w:r>
        <w:rPr>
          <w:rStyle w:val="Emphasis"/>
          <w:rFonts w:eastAsiaTheme="majorEastAsia"/>
        </w:rPr>
        <w:t>Food Science</w:t>
      </w:r>
      <w:r>
        <w:rPr>
          <w:rStyle w:val="Emphasis"/>
          <w:rFonts w:eastAsiaTheme="majorEastAsia"/>
        </w:rPr>
        <w:t xml:space="preserve"> and Nutrition, 9</w:t>
      </w:r>
      <w:r>
        <w:t xml:space="preserve">(2): 1088–1097. </w:t>
      </w:r>
    </w:p>
    <w:p w14:paraId="11B0DDC1" w14:textId="77777777" w:rsidR="00543E49" w:rsidRPr="00D02B8F" w:rsidRDefault="00C73355" w:rsidP="00D02B8F">
      <w:pPr>
        <w:spacing w:after="0" w:line="240" w:lineRule="auto"/>
        <w:ind w:left="360"/>
        <w:jc w:val="both"/>
        <w:rPr>
          <w:rFonts w:ascii="Times New Roman" w:hAnsi="Times New Roman" w:cs="Times New Roman"/>
        </w:rPr>
      </w:pPr>
      <w:r w:rsidRPr="00D02B8F">
        <w:rPr>
          <w:rFonts w:ascii="Times New Roman" w:hAnsi="Times New Roman" w:cs="Times New Roman"/>
        </w:rPr>
        <w:t xml:space="preserve">Adedayo, B. C., Olagunju, F. I. and Adebayo, S. E. (2022): </w:t>
      </w:r>
      <w:proofErr w:type="spellStart"/>
      <w:r w:rsidRPr="00D02B8F">
        <w:rPr>
          <w:rFonts w:ascii="Times New Roman" w:hAnsi="Times New Roman" w:cs="Times New Roman"/>
        </w:rPr>
        <w:t>Fonio</w:t>
      </w:r>
      <w:proofErr w:type="spellEnd"/>
      <w:r w:rsidRPr="00D02B8F">
        <w:rPr>
          <w:rFonts w:ascii="Times New Roman" w:hAnsi="Times New Roman" w:cs="Times New Roman"/>
        </w:rPr>
        <w:t xml:space="preserve"> (</w:t>
      </w:r>
      <w:proofErr w:type="spellStart"/>
      <w:r w:rsidRPr="00D02B8F">
        <w:rPr>
          <w:rFonts w:ascii="Times New Roman" w:hAnsi="Times New Roman" w:cs="Times New Roman"/>
          <w:i/>
          <w:iCs/>
        </w:rPr>
        <w:t>Digitaria</w:t>
      </w:r>
      <w:proofErr w:type="spellEnd"/>
      <w:r w:rsidRPr="00D02B8F">
        <w:rPr>
          <w:rFonts w:ascii="Times New Roman" w:hAnsi="Times New Roman" w:cs="Times New Roman"/>
          <w:i/>
          <w:iCs/>
        </w:rPr>
        <w:t xml:space="preserve"> </w:t>
      </w:r>
      <w:proofErr w:type="spellStart"/>
      <w:r w:rsidRPr="00D02B8F">
        <w:rPr>
          <w:rFonts w:ascii="Times New Roman" w:hAnsi="Times New Roman" w:cs="Times New Roman"/>
          <w:i/>
          <w:iCs/>
        </w:rPr>
        <w:t>exilis</w:t>
      </w:r>
      <w:proofErr w:type="spellEnd"/>
      <w:r w:rsidRPr="00D02B8F">
        <w:rPr>
          <w:rFonts w:ascii="Times New Roman" w:hAnsi="Times New Roman" w:cs="Times New Roman"/>
        </w:rPr>
        <w:t xml:space="preserve">) as a nutritional cereal for food security in Africa: A review. </w:t>
      </w:r>
      <w:r w:rsidRPr="00D02B8F">
        <w:rPr>
          <w:rFonts w:ascii="Times New Roman" w:hAnsi="Times New Roman" w:cs="Times New Roman"/>
          <w:i/>
          <w:iCs/>
        </w:rPr>
        <w:t>Food Science and Nutrition</w:t>
      </w:r>
      <w:r w:rsidRPr="00D02B8F">
        <w:rPr>
          <w:rFonts w:ascii="Times New Roman" w:hAnsi="Times New Roman" w:cs="Times New Roman"/>
        </w:rPr>
        <w:t xml:space="preserve">, 10(5): 1500–1511. </w:t>
      </w:r>
    </w:p>
    <w:p w14:paraId="76BB2A4D" w14:textId="07564209" w:rsidR="00E2251D" w:rsidRDefault="00E2251D" w:rsidP="00D02B8F">
      <w:pPr>
        <w:pStyle w:val="NormalWeb"/>
        <w:spacing w:after="0" w:afterAutospacing="0"/>
        <w:ind w:left="360"/>
        <w:jc w:val="both"/>
      </w:pPr>
      <w:proofErr w:type="spellStart"/>
      <w:r w:rsidRPr="00E2251D">
        <w:t>Adegunwa</w:t>
      </w:r>
      <w:proofErr w:type="spellEnd"/>
      <w:r w:rsidRPr="00E2251D">
        <w:t xml:space="preserve">, M. O., Adelekan, E. O., Adebowale, A. A., Bakare, H. A., &amp; Alamu, E. O. (2015). Evaluation of functional properties of composite flours and sensorial attributes of composite flour biscuits. Journal of Food Science and Technology, 52(6), 3681–3688. </w:t>
      </w:r>
      <w:hyperlink r:id="rId17" w:history="1">
        <w:r w:rsidRPr="00B700E1">
          <w:rPr>
            <w:rStyle w:val="Hyperlink"/>
          </w:rPr>
          <w:t>https://doi.org/10.1007/s13197-014-1427-2</w:t>
        </w:r>
      </w:hyperlink>
    </w:p>
    <w:p w14:paraId="7F560C5F" w14:textId="397FCBD3" w:rsidR="00543E49" w:rsidRDefault="00C73355" w:rsidP="00D02B8F">
      <w:pPr>
        <w:pStyle w:val="NormalWeb"/>
        <w:spacing w:after="0" w:afterAutospacing="0"/>
        <w:ind w:left="360"/>
        <w:jc w:val="both"/>
      </w:pPr>
      <w:r>
        <w:t xml:space="preserve">Adeoti, O. A., </w:t>
      </w:r>
      <w:proofErr w:type="spellStart"/>
      <w:r>
        <w:t>Obadina</w:t>
      </w:r>
      <w:proofErr w:type="spellEnd"/>
      <w:r>
        <w:t xml:space="preserve">, A. O. and Adebo, O. A. (2023): Nutritional and health-promoting attributes of ancient grains: </w:t>
      </w:r>
      <w:proofErr w:type="spellStart"/>
      <w:r>
        <w:t>Acha</w:t>
      </w:r>
      <w:proofErr w:type="spellEnd"/>
      <w:r>
        <w:t xml:space="preserve">, millet, and sorghum. </w:t>
      </w:r>
      <w:r>
        <w:rPr>
          <w:rStyle w:val="Emphasis"/>
          <w:rFonts w:eastAsiaTheme="majorEastAsia"/>
        </w:rPr>
        <w:t>Nutrients</w:t>
      </w:r>
      <w:r>
        <w:t>, 15(2),</w:t>
      </w:r>
      <w:r>
        <w:t xml:space="preserve"> 395. https://doi.org/10.3390/nu15020395</w:t>
      </w:r>
    </w:p>
    <w:p w14:paraId="23259186" w14:textId="77777777" w:rsidR="00543E49" w:rsidRPr="00D02B8F" w:rsidRDefault="00C73355" w:rsidP="00D02B8F">
      <w:pPr>
        <w:spacing w:after="0" w:line="240" w:lineRule="auto"/>
        <w:ind w:left="360"/>
        <w:jc w:val="both"/>
        <w:rPr>
          <w:rFonts w:ascii="Times New Roman" w:hAnsi="Times New Roman" w:cs="Times New Roman"/>
        </w:rPr>
      </w:pPr>
      <w:r w:rsidRPr="00D02B8F">
        <w:rPr>
          <w:rFonts w:ascii="Times New Roman" w:hAnsi="Times New Roman" w:cs="Times New Roman"/>
        </w:rPr>
        <w:t>Adeyeye, S. A. O., Adedeji, O. R. and Adebayo-</w:t>
      </w:r>
      <w:proofErr w:type="spellStart"/>
      <w:r w:rsidRPr="00D02B8F">
        <w:rPr>
          <w:rFonts w:ascii="Times New Roman" w:hAnsi="Times New Roman" w:cs="Times New Roman"/>
        </w:rPr>
        <w:t>Oyetoro</w:t>
      </w:r>
      <w:proofErr w:type="spellEnd"/>
      <w:r w:rsidRPr="00D02B8F">
        <w:rPr>
          <w:rFonts w:ascii="Times New Roman" w:hAnsi="Times New Roman" w:cs="Times New Roman"/>
        </w:rPr>
        <w:t xml:space="preserve">, A. O. (2021): Nutritional and functional properties of composite flours for bread and cake production. </w:t>
      </w:r>
      <w:r w:rsidRPr="00D02B8F">
        <w:rPr>
          <w:rFonts w:ascii="Times New Roman" w:hAnsi="Times New Roman" w:cs="Times New Roman"/>
          <w:i/>
          <w:iCs/>
        </w:rPr>
        <w:t>Journal of Culinary Science and Technology</w:t>
      </w:r>
      <w:r w:rsidRPr="00D02B8F">
        <w:rPr>
          <w:rFonts w:ascii="Times New Roman" w:hAnsi="Times New Roman" w:cs="Times New Roman"/>
        </w:rPr>
        <w:t>, 19(3): 187–20</w:t>
      </w:r>
      <w:r w:rsidRPr="00D02B8F">
        <w:rPr>
          <w:rFonts w:ascii="Times New Roman" w:hAnsi="Times New Roman" w:cs="Times New Roman"/>
        </w:rPr>
        <w:t xml:space="preserve">2. </w:t>
      </w:r>
    </w:p>
    <w:p w14:paraId="1000DB15" w14:textId="68B771F5" w:rsidR="00E2251D" w:rsidRPr="00D02B8F" w:rsidRDefault="00E2251D" w:rsidP="00D02B8F">
      <w:pPr>
        <w:spacing w:after="0" w:line="240" w:lineRule="auto"/>
        <w:ind w:left="360"/>
        <w:jc w:val="both"/>
        <w:rPr>
          <w:rFonts w:ascii="Times New Roman" w:hAnsi="Times New Roman" w:cs="Times New Roman"/>
          <w:shd w:val="clear" w:color="auto" w:fill="FFFFFF"/>
        </w:rPr>
      </w:pPr>
      <w:proofErr w:type="spellStart"/>
      <w:r w:rsidRPr="00D02B8F">
        <w:rPr>
          <w:rFonts w:ascii="Times New Roman" w:hAnsi="Times New Roman" w:cs="Times New Roman"/>
          <w:shd w:val="clear" w:color="auto" w:fill="FFFFFF"/>
        </w:rPr>
        <w:t>Adsare</w:t>
      </w:r>
      <w:proofErr w:type="spellEnd"/>
      <w:r w:rsidRPr="00D02B8F">
        <w:rPr>
          <w:rFonts w:ascii="Times New Roman" w:hAnsi="Times New Roman" w:cs="Times New Roman"/>
          <w:shd w:val="clear" w:color="auto" w:fill="FFFFFF"/>
        </w:rPr>
        <w:t xml:space="preserve">, S. R., &amp; </w:t>
      </w:r>
      <w:proofErr w:type="spellStart"/>
      <w:r w:rsidRPr="00D02B8F">
        <w:rPr>
          <w:rFonts w:ascii="Times New Roman" w:hAnsi="Times New Roman" w:cs="Times New Roman"/>
          <w:shd w:val="clear" w:color="auto" w:fill="FFFFFF"/>
        </w:rPr>
        <w:t>Annapure</w:t>
      </w:r>
      <w:proofErr w:type="spellEnd"/>
      <w:r w:rsidRPr="00D02B8F">
        <w:rPr>
          <w:rFonts w:ascii="Times New Roman" w:hAnsi="Times New Roman" w:cs="Times New Roman"/>
          <w:shd w:val="clear" w:color="auto" w:fill="FFFFFF"/>
        </w:rPr>
        <w:t xml:space="preserve">, U. S. (2024). Partially defatted coconut flour as a functional ingredient in replacement of refined wheat flour for development of fiber rich muffins. Journal of Food Science and Technology, 61(3), 491-502. </w:t>
      </w:r>
      <w:hyperlink r:id="rId18" w:history="1">
        <w:r w:rsidRPr="00D02B8F">
          <w:rPr>
            <w:rStyle w:val="Hyperlink"/>
            <w:rFonts w:ascii="Times New Roman" w:hAnsi="Times New Roman" w:cs="Times New Roman"/>
            <w:shd w:val="clear" w:color="auto" w:fill="FFFFFF"/>
          </w:rPr>
          <w:t>https://doi.org/10.1007/s13197-023-05857-2</w:t>
        </w:r>
      </w:hyperlink>
    </w:p>
    <w:p w14:paraId="1365B897" w14:textId="1586AB52" w:rsidR="00E2251D" w:rsidRPr="00D02B8F" w:rsidRDefault="00E2251D" w:rsidP="00D02B8F">
      <w:pPr>
        <w:spacing w:after="0" w:line="240" w:lineRule="auto"/>
        <w:ind w:left="360"/>
        <w:rPr>
          <w:rFonts w:ascii="Times New Roman" w:hAnsi="Times New Roman" w:cs="Times New Roman"/>
          <w:sz w:val="24"/>
          <w:szCs w:val="24"/>
        </w:rPr>
      </w:pPr>
      <w:proofErr w:type="spellStart"/>
      <w:r w:rsidRPr="00D02B8F">
        <w:rPr>
          <w:rFonts w:ascii="Times New Roman" w:hAnsi="Times New Roman" w:cs="Times New Roman"/>
          <w:shd w:val="clear" w:color="auto" w:fill="FFFFFF"/>
        </w:rPr>
        <w:t>Afoakwah</w:t>
      </w:r>
      <w:proofErr w:type="spellEnd"/>
      <w:r w:rsidRPr="00D02B8F">
        <w:rPr>
          <w:rFonts w:ascii="Times New Roman" w:hAnsi="Times New Roman" w:cs="Times New Roman"/>
          <w:shd w:val="clear" w:color="auto" w:fill="FFFFFF"/>
        </w:rPr>
        <w:t xml:space="preserve">, N. A., Owusu, J., &amp; Owusu, V. (2019). Characteristics of coconut (Cocos nucifera) flour and its application in cake. Asian Food Science Journal, 13(1), 1-11. </w:t>
      </w:r>
      <w:hyperlink r:id="rId19" w:history="1">
        <w:r w:rsidRPr="00D02B8F">
          <w:rPr>
            <w:rStyle w:val="Hyperlink"/>
            <w:rFonts w:ascii="Times New Roman" w:hAnsi="Times New Roman" w:cs="Times New Roman"/>
            <w:shd w:val="clear" w:color="auto" w:fill="FFFFFF"/>
          </w:rPr>
          <w:t>https://doi.org/10.9734/afsj/2019/v13i130095</w:t>
        </w:r>
      </w:hyperlink>
    </w:p>
    <w:p w14:paraId="09B585C1" w14:textId="6AECA43D" w:rsidR="00543E49" w:rsidRPr="00D02B8F" w:rsidRDefault="00C73355" w:rsidP="00D02B8F">
      <w:pPr>
        <w:spacing w:after="0" w:line="240" w:lineRule="auto"/>
        <w:ind w:left="360"/>
        <w:rPr>
          <w:rFonts w:ascii="Times New Roman" w:hAnsi="Times New Roman" w:cs="Times New Roman"/>
          <w:sz w:val="24"/>
          <w:szCs w:val="24"/>
        </w:rPr>
      </w:pPr>
      <w:r w:rsidRPr="00D02B8F">
        <w:rPr>
          <w:rFonts w:ascii="Times New Roman" w:hAnsi="Times New Roman" w:cs="Times New Roman"/>
          <w:sz w:val="24"/>
          <w:szCs w:val="24"/>
        </w:rPr>
        <w:t xml:space="preserve">AOAC (2012): </w:t>
      </w:r>
      <w:r w:rsidRPr="00D02B8F">
        <w:rPr>
          <w:rFonts w:ascii="Times New Roman" w:hAnsi="Times New Roman" w:cs="Times New Roman"/>
          <w:i/>
          <w:sz w:val="24"/>
          <w:szCs w:val="24"/>
        </w:rPr>
        <w:t>Official Methods of Analysis of AOAC International. 19</w:t>
      </w:r>
      <w:r w:rsidRPr="00D02B8F">
        <w:rPr>
          <w:rFonts w:ascii="Times New Roman" w:hAnsi="Times New Roman" w:cs="Times New Roman"/>
          <w:i/>
          <w:sz w:val="24"/>
          <w:szCs w:val="24"/>
          <w:vertAlign w:val="superscript"/>
        </w:rPr>
        <w:t>th</w:t>
      </w:r>
      <w:r w:rsidRPr="00D02B8F">
        <w:rPr>
          <w:rFonts w:ascii="Times New Roman" w:hAnsi="Times New Roman" w:cs="Times New Roman"/>
          <w:i/>
          <w:sz w:val="24"/>
          <w:szCs w:val="24"/>
        </w:rPr>
        <w:t xml:space="preserve"> Edition.</w:t>
      </w:r>
      <w:r w:rsidRPr="00D02B8F">
        <w:rPr>
          <w:rFonts w:ascii="Times New Roman" w:hAnsi="Times New Roman" w:cs="Times New Roman"/>
          <w:sz w:val="24"/>
          <w:szCs w:val="24"/>
        </w:rPr>
        <w:t xml:space="preserve"> Gaithersburg    MD, USA: AOAC International.</w:t>
      </w:r>
    </w:p>
    <w:p w14:paraId="0706EB80" w14:textId="71FF0D8C" w:rsidR="00E2251D" w:rsidRPr="00E2251D" w:rsidRDefault="00E2251D" w:rsidP="00D02B8F">
      <w:pPr>
        <w:pStyle w:val="NormalWeb"/>
        <w:spacing w:after="0" w:afterAutospacing="0"/>
        <w:ind w:left="360"/>
        <w:jc w:val="both"/>
      </w:pPr>
      <w:r w:rsidRPr="00E2251D">
        <w:rPr>
          <w:rFonts w:eastAsiaTheme="minorHAnsi"/>
          <w:lang w:val="en-US" w:eastAsia="en-US"/>
        </w:rPr>
        <w:t xml:space="preserve">AOAC International. (2019). Official Methods of Analysis of AOAC International (21st ed.). Gaithersburg, MD: AOAC International. </w:t>
      </w:r>
      <w:hyperlink r:id="rId20" w:history="1">
        <w:r w:rsidRPr="00B700E1">
          <w:rPr>
            <w:rStyle w:val="Hyperlink"/>
            <w:rFonts w:eastAsiaTheme="minorHAnsi"/>
            <w:lang w:val="en-US" w:eastAsia="en-US"/>
          </w:rPr>
          <w:t>https://www.aoac.org/official-methods-of-analysis/2019-edition-official-methods-of-analysis-oma-print/</w:t>
        </w:r>
      </w:hyperlink>
    </w:p>
    <w:p w14:paraId="2CC318A0" w14:textId="27A8EF85" w:rsidR="00E2251D" w:rsidRDefault="00E2251D" w:rsidP="00D02B8F">
      <w:pPr>
        <w:pStyle w:val="NormalWeb"/>
        <w:spacing w:after="0" w:afterAutospacing="0"/>
        <w:ind w:left="360"/>
        <w:jc w:val="both"/>
      </w:pPr>
      <w:r w:rsidRPr="00E2251D">
        <w:t xml:space="preserve">Ayo, J. A., Ayo, V. A., </w:t>
      </w:r>
      <w:proofErr w:type="spellStart"/>
      <w:r w:rsidRPr="00E2251D">
        <w:t>Nkama</w:t>
      </w:r>
      <w:proofErr w:type="spellEnd"/>
      <w:r w:rsidRPr="00E2251D">
        <w:t xml:space="preserve">, I., &amp; </w:t>
      </w:r>
      <w:proofErr w:type="spellStart"/>
      <w:r w:rsidRPr="00E2251D">
        <w:t>Adewori</w:t>
      </w:r>
      <w:proofErr w:type="spellEnd"/>
      <w:r w:rsidRPr="00E2251D">
        <w:t>, R. (2007). Physicochemical, in-vitro digestibility and organoleptic evaluation of “</w:t>
      </w:r>
      <w:proofErr w:type="spellStart"/>
      <w:r w:rsidRPr="00E2251D">
        <w:t>Acha</w:t>
      </w:r>
      <w:proofErr w:type="spellEnd"/>
      <w:r w:rsidRPr="00E2251D">
        <w:t xml:space="preserve">” wheat biscuit supplemented with soybean flour. Nigerian Food Journal, 25(1), 77–89. </w:t>
      </w:r>
      <w:hyperlink r:id="rId21" w:history="1">
        <w:r w:rsidRPr="00B700E1">
          <w:rPr>
            <w:rStyle w:val="Hyperlink"/>
          </w:rPr>
          <w:t>https://doi.org/10.4314/nifoj.v25i1.33656</w:t>
        </w:r>
      </w:hyperlink>
    </w:p>
    <w:p w14:paraId="78DD7699" w14:textId="3AAD7DE2" w:rsidR="00543E49" w:rsidRDefault="00C73355" w:rsidP="00D02B8F">
      <w:pPr>
        <w:pStyle w:val="NormalWeb"/>
        <w:spacing w:after="0" w:afterAutospacing="0"/>
        <w:ind w:left="360"/>
        <w:jc w:val="both"/>
      </w:pPr>
      <w:r>
        <w:t xml:space="preserve">Ayo, J. A, Ayo, V. A. and Popoola, C. (2018): Development and Evaluation of </w:t>
      </w:r>
      <w:proofErr w:type="spellStart"/>
      <w:r>
        <w:t>acha</w:t>
      </w:r>
      <w:proofErr w:type="spellEnd"/>
      <w:r>
        <w:t xml:space="preserve"> (</w:t>
      </w:r>
      <w:proofErr w:type="spellStart"/>
      <w:r>
        <w:t>Digitaria</w:t>
      </w:r>
      <w:proofErr w:type="spellEnd"/>
      <w:r>
        <w:t xml:space="preserve"> </w:t>
      </w:r>
      <w:proofErr w:type="spellStart"/>
      <w:r>
        <w:t>exilis</w:t>
      </w:r>
      <w:proofErr w:type="spellEnd"/>
      <w:r>
        <w:t>) flour bread blended with w</w:t>
      </w:r>
      <w:r>
        <w:t xml:space="preserve">heat flour. </w:t>
      </w:r>
      <w:r>
        <w:rPr>
          <w:i/>
        </w:rPr>
        <w:t xml:space="preserve">Journal of Food Science and Technology, </w:t>
      </w:r>
      <w:r>
        <w:t>55(8): 3210-3218.https://doi.org/10.1007/s13197-018-3250-5</w:t>
      </w:r>
    </w:p>
    <w:p w14:paraId="631BC3B1" w14:textId="77777777" w:rsidR="00543E49" w:rsidRPr="00D02B8F" w:rsidRDefault="00C73355" w:rsidP="00D02B8F">
      <w:pPr>
        <w:spacing w:after="0" w:line="240" w:lineRule="auto"/>
        <w:ind w:left="360"/>
        <w:jc w:val="both"/>
        <w:rPr>
          <w:rFonts w:ascii="Times New Roman" w:hAnsi="Times New Roman" w:cs="Times New Roman"/>
        </w:rPr>
      </w:pPr>
      <w:proofErr w:type="spellStart"/>
      <w:r w:rsidRPr="00D02B8F">
        <w:rPr>
          <w:rFonts w:ascii="Times New Roman" w:hAnsi="Times New Roman" w:cs="Times New Roman"/>
        </w:rPr>
        <w:t>Bamiduro</w:t>
      </w:r>
      <w:proofErr w:type="spellEnd"/>
      <w:r w:rsidRPr="00D02B8F">
        <w:rPr>
          <w:rFonts w:ascii="Times New Roman" w:hAnsi="Times New Roman" w:cs="Times New Roman"/>
        </w:rPr>
        <w:t xml:space="preserve">, T. A., </w:t>
      </w:r>
      <w:proofErr w:type="spellStart"/>
      <w:r w:rsidRPr="00D02B8F">
        <w:rPr>
          <w:rFonts w:ascii="Times New Roman" w:hAnsi="Times New Roman" w:cs="Times New Roman"/>
        </w:rPr>
        <w:t>Ogunlakin</w:t>
      </w:r>
      <w:proofErr w:type="spellEnd"/>
      <w:r w:rsidRPr="00D02B8F">
        <w:rPr>
          <w:rFonts w:ascii="Times New Roman" w:hAnsi="Times New Roman" w:cs="Times New Roman"/>
        </w:rPr>
        <w:t xml:space="preserve">, G. O. and Ojo, M. O. (2021): Nutritional and functional properties of </w:t>
      </w:r>
      <w:proofErr w:type="spellStart"/>
      <w:r w:rsidRPr="00D02B8F">
        <w:rPr>
          <w:rFonts w:ascii="Times New Roman" w:hAnsi="Times New Roman" w:cs="Times New Roman"/>
        </w:rPr>
        <w:t>acha</w:t>
      </w:r>
      <w:proofErr w:type="spellEnd"/>
      <w:r w:rsidRPr="00D02B8F">
        <w:rPr>
          <w:rFonts w:ascii="Times New Roman" w:hAnsi="Times New Roman" w:cs="Times New Roman"/>
        </w:rPr>
        <w:t xml:space="preserve"> (</w:t>
      </w:r>
      <w:proofErr w:type="spellStart"/>
      <w:r w:rsidRPr="00D02B8F">
        <w:rPr>
          <w:rFonts w:ascii="Times New Roman" w:hAnsi="Times New Roman" w:cs="Times New Roman"/>
          <w:i/>
          <w:iCs/>
        </w:rPr>
        <w:t>Digitaria</w:t>
      </w:r>
      <w:proofErr w:type="spellEnd"/>
      <w:r w:rsidRPr="00D02B8F">
        <w:rPr>
          <w:rFonts w:ascii="Times New Roman" w:hAnsi="Times New Roman" w:cs="Times New Roman"/>
          <w:i/>
          <w:iCs/>
        </w:rPr>
        <w:t xml:space="preserve"> </w:t>
      </w:r>
      <w:proofErr w:type="spellStart"/>
      <w:r w:rsidRPr="00D02B8F">
        <w:rPr>
          <w:rFonts w:ascii="Times New Roman" w:hAnsi="Times New Roman" w:cs="Times New Roman"/>
          <w:i/>
          <w:iCs/>
        </w:rPr>
        <w:t>exilis</w:t>
      </w:r>
      <w:proofErr w:type="spellEnd"/>
      <w:r w:rsidRPr="00D02B8F">
        <w:rPr>
          <w:rFonts w:ascii="Times New Roman" w:hAnsi="Times New Roman" w:cs="Times New Roman"/>
        </w:rPr>
        <w:t xml:space="preserve">) and its application in food products: A review. </w:t>
      </w:r>
      <w:r w:rsidRPr="00D02B8F">
        <w:rPr>
          <w:rFonts w:ascii="Times New Roman" w:hAnsi="Times New Roman" w:cs="Times New Roman"/>
          <w:i/>
          <w:iCs/>
        </w:rPr>
        <w:t>Nigerian Journal of Nutritional Sciences</w:t>
      </w:r>
      <w:r w:rsidRPr="00D02B8F">
        <w:rPr>
          <w:rFonts w:ascii="Times New Roman" w:hAnsi="Times New Roman" w:cs="Times New Roman"/>
        </w:rPr>
        <w:t>, 42(1): 18–29.</w:t>
      </w:r>
    </w:p>
    <w:p w14:paraId="21AFFB03" w14:textId="3B262A82" w:rsidR="00D02B8F" w:rsidRPr="00D02B8F" w:rsidRDefault="00D02B8F" w:rsidP="00D02B8F">
      <w:pPr>
        <w:spacing w:after="0" w:line="240" w:lineRule="auto"/>
        <w:ind w:left="360"/>
        <w:jc w:val="both"/>
        <w:rPr>
          <w:rFonts w:ascii="Times New Roman" w:hAnsi="Times New Roman" w:cs="Times New Roman"/>
          <w:shd w:val="clear" w:color="auto" w:fill="FFFFFF"/>
        </w:rPr>
      </w:pPr>
      <w:proofErr w:type="spellStart"/>
      <w:r w:rsidRPr="00D02B8F">
        <w:rPr>
          <w:rFonts w:ascii="Times New Roman" w:hAnsi="Times New Roman" w:cs="Times New Roman"/>
          <w:shd w:val="clear" w:color="auto" w:fill="FFFFFF"/>
        </w:rPr>
        <w:t>Deriu</w:t>
      </w:r>
      <w:proofErr w:type="spellEnd"/>
      <w:r w:rsidRPr="00D02B8F">
        <w:rPr>
          <w:rFonts w:ascii="Times New Roman" w:hAnsi="Times New Roman" w:cs="Times New Roman"/>
          <w:shd w:val="clear" w:color="auto" w:fill="FFFFFF"/>
        </w:rPr>
        <w:t xml:space="preserve">, A. G., Vela, A. J., &amp; Ronda, F. (2022). Techno-Functional and Gelling Properties of </w:t>
      </w:r>
      <w:proofErr w:type="spellStart"/>
      <w:r w:rsidRPr="00D02B8F">
        <w:rPr>
          <w:rFonts w:ascii="Times New Roman" w:hAnsi="Times New Roman" w:cs="Times New Roman"/>
          <w:shd w:val="clear" w:color="auto" w:fill="FFFFFF"/>
        </w:rPr>
        <w:t>Acha</w:t>
      </w:r>
      <w:proofErr w:type="spellEnd"/>
      <w:r w:rsidRPr="00D02B8F">
        <w:rPr>
          <w:rFonts w:ascii="Times New Roman" w:hAnsi="Times New Roman" w:cs="Times New Roman"/>
          <w:shd w:val="clear" w:color="auto" w:fill="FFFFFF"/>
        </w:rPr>
        <w:t xml:space="preserve"> (</w:t>
      </w:r>
      <w:proofErr w:type="spellStart"/>
      <w:r w:rsidRPr="00D02B8F">
        <w:rPr>
          <w:rFonts w:ascii="Times New Roman" w:hAnsi="Times New Roman" w:cs="Times New Roman"/>
          <w:shd w:val="clear" w:color="auto" w:fill="FFFFFF"/>
        </w:rPr>
        <w:t>Fonio</w:t>
      </w:r>
      <w:proofErr w:type="spellEnd"/>
      <w:r w:rsidRPr="00D02B8F">
        <w:rPr>
          <w:rFonts w:ascii="Times New Roman" w:hAnsi="Times New Roman" w:cs="Times New Roman"/>
          <w:shd w:val="clear" w:color="auto" w:fill="FFFFFF"/>
        </w:rPr>
        <w:t>) (</w:t>
      </w:r>
      <w:proofErr w:type="spellStart"/>
      <w:r w:rsidRPr="00D02B8F">
        <w:rPr>
          <w:rFonts w:ascii="Times New Roman" w:hAnsi="Times New Roman" w:cs="Times New Roman"/>
          <w:shd w:val="clear" w:color="auto" w:fill="FFFFFF"/>
        </w:rPr>
        <w:t>Digitaria</w:t>
      </w:r>
      <w:proofErr w:type="spellEnd"/>
      <w:r w:rsidRPr="00D02B8F">
        <w:rPr>
          <w:rFonts w:ascii="Times New Roman" w:hAnsi="Times New Roman" w:cs="Times New Roman"/>
          <w:shd w:val="clear" w:color="auto" w:fill="FFFFFF"/>
        </w:rPr>
        <w:t xml:space="preserve"> </w:t>
      </w:r>
      <w:proofErr w:type="spellStart"/>
      <w:r w:rsidRPr="00D02B8F">
        <w:rPr>
          <w:rFonts w:ascii="Times New Roman" w:hAnsi="Times New Roman" w:cs="Times New Roman"/>
          <w:shd w:val="clear" w:color="auto" w:fill="FFFFFF"/>
        </w:rPr>
        <w:t>exilis</w:t>
      </w:r>
      <w:proofErr w:type="spellEnd"/>
      <w:r w:rsidRPr="00D02B8F">
        <w:rPr>
          <w:rFonts w:ascii="Times New Roman" w:hAnsi="Times New Roman" w:cs="Times New Roman"/>
          <w:shd w:val="clear" w:color="auto" w:fill="FFFFFF"/>
        </w:rPr>
        <w:t xml:space="preserve"> </w:t>
      </w:r>
      <w:proofErr w:type="spellStart"/>
      <w:r w:rsidRPr="00D02B8F">
        <w:rPr>
          <w:rFonts w:ascii="Times New Roman" w:hAnsi="Times New Roman" w:cs="Times New Roman"/>
          <w:shd w:val="clear" w:color="auto" w:fill="FFFFFF"/>
        </w:rPr>
        <w:t>stapf</w:t>
      </w:r>
      <w:proofErr w:type="spellEnd"/>
      <w:r w:rsidRPr="00D02B8F">
        <w:rPr>
          <w:rFonts w:ascii="Times New Roman" w:hAnsi="Times New Roman" w:cs="Times New Roman"/>
          <w:shd w:val="clear" w:color="auto" w:fill="FFFFFF"/>
        </w:rPr>
        <w:t xml:space="preserve">) Flour: A Study of Its Potential as a New Gluten-Free Starch Source in Industrial Applications. Foods. </w:t>
      </w:r>
      <w:hyperlink r:id="rId22" w:history="1">
        <w:r w:rsidRPr="00D02B8F">
          <w:rPr>
            <w:rStyle w:val="Hyperlink"/>
            <w:rFonts w:ascii="Times New Roman" w:hAnsi="Times New Roman" w:cs="Times New Roman"/>
            <w:shd w:val="clear" w:color="auto" w:fill="FFFFFF"/>
          </w:rPr>
          <w:t>https://doi.org/10.3390/foods11020183</w:t>
        </w:r>
      </w:hyperlink>
    </w:p>
    <w:p w14:paraId="4081457E" w14:textId="459DE349" w:rsidR="00D02B8F" w:rsidRPr="00D02B8F" w:rsidRDefault="00D02B8F" w:rsidP="00D02B8F">
      <w:pPr>
        <w:pStyle w:val="NormalWeb"/>
        <w:spacing w:after="0" w:afterAutospacing="0"/>
        <w:ind w:left="360"/>
        <w:jc w:val="both"/>
      </w:pPr>
      <w:r w:rsidRPr="00D02B8F">
        <w:rPr>
          <w:rFonts w:eastAsiaTheme="minorHAnsi"/>
          <w:sz w:val="22"/>
          <w:szCs w:val="22"/>
          <w:shd w:val="clear" w:color="auto" w:fill="FFFFFF"/>
          <w:lang w:val="en-US" w:eastAsia="en-US"/>
        </w:rPr>
        <w:lastRenderedPageBreak/>
        <w:t xml:space="preserve">Eadmusik, S., </w:t>
      </w:r>
      <w:proofErr w:type="spellStart"/>
      <w:r w:rsidRPr="00D02B8F">
        <w:rPr>
          <w:rFonts w:eastAsiaTheme="minorHAnsi"/>
          <w:sz w:val="22"/>
          <w:szCs w:val="22"/>
          <w:shd w:val="clear" w:color="auto" w:fill="FFFFFF"/>
          <w:lang w:val="en-US" w:eastAsia="en-US"/>
        </w:rPr>
        <w:t>Phungamngoen</w:t>
      </w:r>
      <w:proofErr w:type="spellEnd"/>
      <w:r w:rsidRPr="00D02B8F">
        <w:rPr>
          <w:rFonts w:eastAsiaTheme="minorHAnsi"/>
          <w:sz w:val="22"/>
          <w:szCs w:val="22"/>
          <w:shd w:val="clear" w:color="auto" w:fill="FFFFFF"/>
          <w:lang w:val="en-US" w:eastAsia="en-US"/>
        </w:rPr>
        <w:t xml:space="preserve">, C., </w:t>
      </w:r>
      <w:proofErr w:type="spellStart"/>
      <w:r w:rsidRPr="00D02B8F">
        <w:rPr>
          <w:rFonts w:eastAsiaTheme="minorHAnsi"/>
          <w:sz w:val="22"/>
          <w:szCs w:val="22"/>
          <w:shd w:val="clear" w:color="auto" w:fill="FFFFFF"/>
          <w:lang w:val="en-US" w:eastAsia="en-US"/>
        </w:rPr>
        <w:t>Panphut</w:t>
      </w:r>
      <w:proofErr w:type="spellEnd"/>
      <w:r w:rsidRPr="00D02B8F">
        <w:rPr>
          <w:rFonts w:eastAsiaTheme="minorHAnsi"/>
          <w:sz w:val="22"/>
          <w:szCs w:val="22"/>
          <w:shd w:val="clear" w:color="auto" w:fill="FFFFFF"/>
          <w:lang w:val="en-US" w:eastAsia="en-US"/>
        </w:rPr>
        <w:t xml:space="preserve">, W., &amp; </w:t>
      </w:r>
      <w:proofErr w:type="spellStart"/>
      <w:r w:rsidRPr="00D02B8F">
        <w:rPr>
          <w:rFonts w:eastAsiaTheme="minorHAnsi"/>
          <w:sz w:val="22"/>
          <w:szCs w:val="22"/>
          <w:shd w:val="clear" w:color="auto" w:fill="FFFFFF"/>
          <w:lang w:val="en-US" w:eastAsia="en-US"/>
        </w:rPr>
        <w:t>Budsabun</w:t>
      </w:r>
      <w:proofErr w:type="spellEnd"/>
      <w:r w:rsidRPr="00D02B8F">
        <w:rPr>
          <w:rFonts w:eastAsiaTheme="minorHAnsi"/>
          <w:sz w:val="22"/>
          <w:szCs w:val="22"/>
          <w:shd w:val="clear" w:color="auto" w:fill="FFFFFF"/>
          <w:lang w:val="en-US" w:eastAsia="en-US"/>
        </w:rPr>
        <w:t xml:space="preserve">, T. (2022). Partially substitution of wheat flour by coconut residues in bakery products and their physical and sensorial properties. Food Research, 6(1), 99-105. </w:t>
      </w:r>
      <w:hyperlink r:id="rId23" w:history="1">
        <w:r w:rsidRPr="00B700E1">
          <w:rPr>
            <w:rStyle w:val="Hyperlink"/>
            <w:rFonts w:eastAsiaTheme="minorHAnsi"/>
            <w:sz w:val="22"/>
            <w:szCs w:val="22"/>
            <w:shd w:val="clear" w:color="auto" w:fill="FFFFFF"/>
            <w:lang w:val="en-US" w:eastAsia="en-US"/>
          </w:rPr>
          <w:t>https://doi.org/10.26656/fr.2017.6(1).140</w:t>
        </w:r>
      </w:hyperlink>
    </w:p>
    <w:p w14:paraId="69ACD284" w14:textId="38556E9D" w:rsidR="00543E49" w:rsidRDefault="00C73355" w:rsidP="00D02B8F">
      <w:pPr>
        <w:pStyle w:val="NormalWeb"/>
        <w:spacing w:after="0" w:afterAutospacing="0"/>
        <w:ind w:left="360"/>
        <w:jc w:val="both"/>
      </w:pPr>
      <w:proofErr w:type="spellStart"/>
      <w:r>
        <w:t>Ekunseitan</w:t>
      </w:r>
      <w:proofErr w:type="spellEnd"/>
      <w:r>
        <w:t>, F. O., A</w:t>
      </w:r>
      <w:r>
        <w:t xml:space="preserve">labi, K. A., Olaniyi, T. A. and </w:t>
      </w:r>
      <w:proofErr w:type="spellStart"/>
      <w:r>
        <w:t>Adejuyitan</w:t>
      </w:r>
      <w:proofErr w:type="spellEnd"/>
      <w:r>
        <w:t xml:space="preserve">, J. A. (2017): Nutritional composition of cakes enriched with coconut flour. </w:t>
      </w:r>
      <w:r>
        <w:rPr>
          <w:rStyle w:val="Emphasis"/>
          <w:rFonts w:eastAsiaTheme="majorEastAsia"/>
        </w:rPr>
        <w:t>Journal of Culinary Science and Technology, 15</w:t>
      </w:r>
      <w:r>
        <w:t xml:space="preserve">(3): 208–222. </w:t>
      </w:r>
    </w:p>
    <w:p w14:paraId="26150126" w14:textId="77777777" w:rsidR="00543E49" w:rsidRPr="00D02B8F" w:rsidRDefault="00C73355" w:rsidP="00D02B8F">
      <w:pPr>
        <w:spacing w:after="0" w:line="240" w:lineRule="auto"/>
        <w:ind w:left="360"/>
        <w:jc w:val="both"/>
        <w:rPr>
          <w:rFonts w:ascii="Times New Roman" w:hAnsi="Times New Roman" w:cs="Times New Roman"/>
        </w:rPr>
      </w:pPr>
      <w:proofErr w:type="spellStart"/>
      <w:r w:rsidRPr="00D02B8F">
        <w:rPr>
          <w:rFonts w:ascii="Times New Roman" w:hAnsi="Times New Roman" w:cs="Times New Roman"/>
        </w:rPr>
        <w:t>Ezeama</w:t>
      </w:r>
      <w:proofErr w:type="spellEnd"/>
      <w:r w:rsidRPr="00D02B8F">
        <w:rPr>
          <w:rFonts w:ascii="Times New Roman" w:hAnsi="Times New Roman" w:cs="Times New Roman"/>
        </w:rPr>
        <w:t xml:space="preserve">, C. F. and Uzochukwu, S. V. (2020): Effect of wheat and </w:t>
      </w:r>
      <w:proofErr w:type="spellStart"/>
      <w:r w:rsidRPr="00D02B8F">
        <w:rPr>
          <w:rFonts w:ascii="Times New Roman" w:hAnsi="Times New Roman" w:cs="Times New Roman"/>
        </w:rPr>
        <w:t>acha</w:t>
      </w:r>
      <w:proofErr w:type="spellEnd"/>
      <w:r w:rsidRPr="00D02B8F">
        <w:rPr>
          <w:rFonts w:ascii="Times New Roman" w:hAnsi="Times New Roman" w:cs="Times New Roman"/>
        </w:rPr>
        <w:t xml:space="preserve"> flour b</w:t>
      </w:r>
      <w:r w:rsidRPr="00D02B8F">
        <w:rPr>
          <w:rFonts w:ascii="Times New Roman" w:hAnsi="Times New Roman" w:cs="Times New Roman"/>
        </w:rPr>
        <w:t xml:space="preserve">lends on the physical and sensory properties of cake. </w:t>
      </w:r>
      <w:r w:rsidRPr="00D02B8F">
        <w:rPr>
          <w:rFonts w:ascii="Times New Roman" w:hAnsi="Times New Roman" w:cs="Times New Roman"/>
          <w:i/>
          <w:iCs/>
        </w:rPr>
        <w:t>International Journal of Food Science and Nutrition</w:t>
      </w:r>
      <w:r w:rsidRPr="00D02B8F">
        <w:rPr>
          <w:rFonts w:ascii="Times New Roman" w:hAnsi="Times New Roman" w:cs="Times New Roman"/>
        </w:rPr>
        <w:t>, 5(3): 10–17.</w:t>
      </w:r>
    </w:p>
    <w:p w14:paraId="0ED9D790" w14:textId="77777777" w:rsidR="00543E49" w:rsidRDefault="00C73355" w:rsidP="00D02B8F">
      <w:pPr>
        <w:pStyle w:val="NormalWeb"/>
        <w:spacing w:after="0" w:afterAutospacing="0"/>
        <w:ind w:left="360"/>
        <w:jc w:val="both"/>
      </w:pPr>
      <w:r>
        <w:t xml:space="preserve">Gyang, S. S., Yusuf, A. A. and Madaki, A. (2017): Proximate composition and mineral content of </w:t>
      </w:r>
      <w:proofErr w:type="spellStart"/>
      <w:r>
        <w:t>acha</w:t>
      </w:r>
      <w:proofErr w:type="spellEnd"/>
      <w:r>
        <w:t xml:space="preserve"> (</w:t>
      </w:r>
      <w:proofErr w:type="spellStart"/>
      <w:r>
        <w:rPr>
          <w:i/>
        </w:rPr>
        <w:t>Digitaria</w:t>
      </w:r>
      <w:proofErr w:type="spellEnd"/>
      <w:r>
        <w:rPr>
          <w:i/>
        </w:rPr>
        <w:t xml:space="preserve"> </w:t>
      </w:r>
      <w:proofErr w:type="spellStart"/>
      <w:r>
        <w:rPr>
          <w:i/>
        </w:rPr>
        <w:t>exilis</w:t>
      </w:r>
      <w:proofErr w:type="spellEnd"/>
      <w:r>
        <w:t xml:space="preserve">) as influenced by </w:t>
      </w:r>
      <w:r>
        <w:t xml:space="preserve">processing methods. </w:t>
      </w:r>
      <w:r>
        <w:rPr>
          <w:rStyle w:val="Emphasis"/>
          <w:rFonts w:eastAsiaTheme="majorEastAsia"/>
        </w:rPr>
        <w:t>Nigerian Journal of Nutritional Sciences, 38</w:t>
      </w:r>
      <w:r>
        <w:t>(1): 75–81.</w:t>
      </w:r>
    </w:p>
    <w:p w14:paraId="562F7119" w14:textId="77777777" w:rsidR="00543E49" w:rsidRDefault="00C73355" w:rsidP="00D02B8F">
      <w:pPr>
        <w:pStyle w:val="NormalWeb"/>
        <w:spacing w:after="0" w:afterAutospacing="0"/>
        <w:ind w:left="360"/>
        <w:jc w:val="both"/>
      </w:pPr>
      <w:proofErr w:type="spellStart"/>
      <w:r>
        <w:t>Ihekoronye</w:t>
      </w:r>
      <w:proofErr w:type="spellEnd"/>
      <w:r>
        <w:t xml:space="preserve">, A. I. and </w:t>
      </w:r>
      <w:proofErr w:type="spellStart"/>
      <w:r>
        <w:t>Ngoddy</w:t>
      </w:r>
      <w:proofErr w:type="spellEnd"/>
      <w:r>
        <w:t>, P. O. (1985): Integrated Food Science and Technology for the Tropics (2</w:t>
      </w:r>
      <w:r>
        <w:rPr>
          <w:vertAlign w:val="superscript"/>
        </w:rPr>
        <w:t>nd</w:t>
      </w:r>
      <w:r>
        <w:t xml:space="preserve"> Edition). MacMillan Publishers.</w:t>
      </w:r>
    </w:p>
    <w:p w14:paraId="7512B85A" w14:textId="77777777" w:rsidR="00543E49" w:rsidRPr="00D02B8F" w:rsidRDefault="00C73355" w:rsidP="00D02B8F">
      <w:pPr>
        <w:spacing w:after="0" w:line="240" w:lineRule="auto"/>
        <w:ind w:left="360"/>
        <w:jc w:val="both"/>
        <w:rPr>
          <w:rFonts w:ascii="Times New Roman" w:hAnsi="Times New Roman" w:cs="Times New Roman"/>
          <w:shd w:val="clear" w:color="auto" w:fill="FFFFFF"/>
        </w:rPr>
      </w:pPr>
      <w:r w:rsidRPr="00D02B8F">
        <w:rPr>
          <w:rFonts w:ascii="Times New Roman" w:hAnsi="Times New Roman" w:cs="Times New Roman"/>
          <w:shd w:val="clear" w:color="auto" w:fill="FFFFFF"/>
        </w:rPr>
        <w:t xml:space="preserve">James, R. M. and Krishnamoorthy, E. (2025): </w:t>
      </w:r>
      <w:r w:rsidRPr="00D02B8F">
        <w:rPr>
          <w:rFonts w:ascii="Times New Roman" w:hAnsi="Times New Roman" w:cs="Times New Roman"/>
          <w:shd w:val="clear" w:color="auto" w:fill="FFFFFF"/>
        </w:rPr>
        <w:t>Coconut Flour as a Novel Functional Ingredient in Tilapia Fish Sausage: Effect on Textural and Sensory Properties. </w:t>
      </w:r>
      <w:r w:rsidRPr="00D02B8F">
        <w:rPr>
          <w:rFonts w:ascii="Times New Roman" w:hAnsi="Times New Roman" w:cs="Times New Roman"/>
          <w:i/>
          <w:iCs/>
          <w:shd w:val="clear" w:color="auto" w:fill="FFFFFF"/>
        </w:rPr>
        <w:t>Food Safety and Health</w:t>
      </w:r>
      <w:r w:rsidRPr="00D02B8F">
        <w:rPr>
          <w:rFonts w:ascii="Times New Roman" w:hAnsi="Times New Roman" w:cs="Times New Roman"/>
          <w:shd w:val="clear" w:color="auto" w:fill="FFFFFF"/>
        </w:rPr>
        <w:t>.</w:t>
      </w:r>
    </w:p>
    <w:p w14:paraId="6A374097" w14:textId="77777777" w:rsidR="00543E49" w:rsidRDefault="00C73355" w:rsidP="00D02B8F">
      <w:pPr>
        <w:pStyle w:val="NormalWeb"/>
        <w:spacing w:after="0" w:afterAutospacing="0"/>
        <w:ind w:left="360"/>
        <w:jc w:val="both"/>
      </w:pPr>
      <w:r>
        <w:t xml:space="preserve">Jannah, M., Amin, M. and </w:t>
      </w:r>
      <w:proofErr w:type="spellStart"/>
      <w:r>
        <w:t>Kusumawardani</w:t>
      </w:r>
      <w:proofErr w:type="spellEnd"/>
      <w:r>
        <w:t>, S. (2018): Effect of substitution with coconut flour on proximate and sensory</w:t>
      </w:r>
      <w:r>
        <w:t xml:space="preserve"> properties of cake. </w:t>
      </w:r>
      <w:r>
        <w:rPr>
          <w:rStyle w:val="Emphasis"/>
          <w:rFonts w:eastAsiaTheme="majorEastAsia"/>
        </w:rPr>
        <w:t>International Journal of Food Studies, 7</w:t>
      </w:r>
      <w:r>
        <w:t xml:space="preserve">(1), 56–64. </w:t>
      </w:r>
    </w:p>
    <w:p w14:paraId="48363841" w14:textId="5A59E33D" w:rsidR="00D02B8F" w:rsidRPr="00D02B8F" w:rsidRDefault="00D02B8F" w:rsidP="00D02B8F">
      <w:pPr>
        <w:spacing w:after="0" w:line="240" w:lineRule="auto"/>
        <w:ind w:left="360"/>
        <w:jc w:val="both"/>
        <w:rPr>
          <w:rFonts w:ascii="Times New Roman" w:hAnsi="Times New Roman" w:cs="Times New Roman"/>
          <w:shd w:val="clear" w:color="auto" w:fill="FFFFFF"/>
        </w:rPr>
      </w:pPr>
      <w:r w:rsidRPr="00D02B8F">
        <w:rPr>
          <w:rFonts w:ascii="Times New Roman" w:hAnsi="Times New Roman" w:cs="Times New Roman"/>
          <w:shd w:val="clear" w:color="auto" w:fill="FFFFFF"/>
        </w:rPr>
        <w:t xml:space="preserve">Mbaeyi-Nwaoha, I. E., &amp; Uchendu, N. O. (2016). Production and evaluation of breakfast cereals from blends of </w:t>
      </w:r>
      <w:proofErr w:type="spellStart"/>
      <w:r w:rsidRPr="00D02B8F">
        <w:rPr>
          <w:rFonts w:ascii="Times New Roman" w:hAnsi="Times New Roman" w:cs="Times New Roman"/>
          <w:shd w:val="clear" w:color="auto" w:fill="FFFFFF"/>
        </w:rPr>
        <w:t>acha</w:t>
      </w:r>
      <w:proofErr w:type="spellEnd"/>
      <w:r w:rsidRPr="00D02B8F">
        <w:rPr>
          <w:rFonts w:ascii="Times New Roman" w:hAnsi="Times New Roman" w:cs="Times New Roman"/>
          <w:shd w:val="clear" w:color="auto" w:fill="FFFFFF"/>
        </w:rPr>
        <w:t xml:space="preserve"> and fermented soybean paste (okara). Journal of Food Science and Technology, 53(1), 50-70. </w:t>
      </w:r>
      <w:hyperlink r:id="rId24" w:history="1">
        <w:r w:rsidRPr="00D02B8F">
          <w:rPr>
            <w:rStyle w:val="Hyperlink"/>
            <w:rFonts w:ascii="Times New Roman" w:hAnsi="Times New Roman" w:cs="Times New Roman"/>
            <w:shd w:val="clear" w:color="auto" w:fill="FFFFFF"/>
          </w:rPr>
          <w:t>https://doi.org/10.1007/s13197-015-2032-8</w:t>
        </w:r>
      </w:hyperlink>
    </w:p>
    <w:p w14:paraId="770B0315" w14:textId="0156B762" w:rsidR="00D02B8F" w:rsidRPr="00D02B8F" w:rsidRDefault="00D02B8F" w:rsidP="00D02B8F">
      <w:pPr>
        <w:pStyle w:val="NormalWeb"/>
        <w:spacing w:after="0" w:afterAutospacing="0"/>
        <w:ind w:left="360"/>
        <w:jc w:val="both"/>
      </w:pPr>
      <w:proofErr w:type="spellStart"/>
      <w:r w:rsidRPr="00D02B8F">
        <w:rPr>
          <w:rFonts w:eastAsiaTheme="minorHAnsi"/>
          <w:sz w:val="22"/>
          <w:szCs w:val="22"/>
          <w:shd w:val="clear" w:color="auto" w:fill="FFFFFF"/>
          <w:lang w:val="en-US" w:eastAsia="en-US"/>
        </w:rPr>
        <w:t>Mkoko</w:t>
      </w:r>
      <w:proofErr w:type="spellEnd"/>
      <w:r w:rsidRPr="00D02B8F">
        <w:rPr>
          <w:rFonts w:eastAsiaTheme="minorHAnsi"/>
          <w:sz w:val="22"/>
          <w:szCs w:val="22"/>
          <w:shd w:val="clear" w:color="auto" w:fill="FFFFFF"/>
          <w:lang w:val="en-US" w:eastAsia="en-US"/>
        </w:rPr>
        <w:t xml:space="preserve">, T., Kidane, S. W., Shelembe, J. S., Nkambule, T. P., Dlamini, M. M., &amp; </w:t>
      </w:r>
      <w:proofErr w:type="spellStart"/>
      <w:r w:rsidRPr="00D02B8F">
        <w:rPr>
          <w:rFonts w:eastAsiaTheme="minorHAnsi"/>
          <w:sz w:val="22"/>
          <w:szCs w:val="22"/>
          <w:shd w:val="clear" w:color="auto" w:fill="FFFFFF"/>
          <w:lang w:val="en-US" w:eastAsia="en-US"/>
        </w:rPr>
        <w:t>Nkhambule</w:t>
      </w:r>
      <w:proofErr w:type="spellEnd"/>
      <w:r w:rsidRPr="00D02B8F">
        <w:rPr>
          <w:rFonts w:eastAsiaTheme="minorHAnsi"/>
          <w:sz w:val="22"/>
          <w:szCs w:val="22"/>
          <w:shd w:val="clear" w:color="auto" w:fill="FFFFFF"/>
          <w:lang w:val="en-US" w:eastAsia="en-US"/>
        </w:rPr>
        <w:t xml:space="preserve">, T. B. (2025). Dough Rheology, Physicochemical and Sensory Qualities of Muffins Made </w:t>
      </w:r>
      <w:proofErr w:type="gramStart"/>
      <w:r w:rsidRPr="00D02B8F">
        <w:rPr>
          <w:rFonts w:eastAsiaTheme="minorHAnsi"/>
          <w:sz w:val="22"/>
          <w:szCs w:val="22"/>
          <w:shd w:val="clear" w:color="auto" w:fill="FFFFFF"/>
          <w:lang w:val="en-US" w:eastAsia="en-US"/>
        </w:rPr>
        <w:t>From</w:t>
      </w:r>
      <w:proofErr w:type="gramEnd"/>
      <w:r w:rsidRPr="00D02B8F">
        <w:rPr>
          <w:rFonts w:eastAsiaTheme="minorHAnsi"/>
          <w:sz w:val="22"/>
          <w:szCs w:val="22"/>
          <w:shd w:val="clear" w:color="auto" w:fill="FFFFFF"/>
          <w:lang w:val="en-US" w:eastAsia="en-US"/>
        </w:rPr>
        <w:t xml:space="preserve"> Wheat–Partially Defatted Peanut Composite Flour. International Journal of Food Science, 2025(1), 663-676. </w:t>
      </w:r>
      <w:hyperlink r:id="rId25" w:history="1">
        <w:r w:rsidRPr="00B700E1">
          <w:rPr>
            <w:rStyle w:val="Hyperlink"/>
            <w:rFonts w:eastAsiaTheme="minorHAnsi"/>
            <w:sz w:val="22"/>
            <w:szCs w:val="22"/>
            <w:shd w:val="clear" w:color="auto" w:fill="FFFFFF"/>
            <w:lang w:val="en-US" w:eastAsia="en-US"/>
          </w:rPr>
          <w:t>https://doi.org/10.1155/ijfo/6635106</w:t>
        </w:r>
      </w:hyperlink>
    </w:p>
    <w:p w14:paraId="675EAD24" w14:textId="68B807AA" w:rsidR="00543E49" w:rsidRDefault="00C73355" w:rsidP="00D02B8F">
      <w:pPr>
        <w:pStyle w:val="NormalWeb"/>
        <w:spacing w:after="0" w:afterAutospacing="0"/>
        <w:ind w:left="360"/>
        <w:jc w:val="both"/>
      </w:pPr>
      <w:r>
        <w:t>Okpala, L. C. a</w:t>
      </w:r>
      <w:r>
        <w:t xml:space="preserve">nd Akpala, C. O. (2020): Quality attributes of cakes produced from blends of wheat, </w:t>
      </w:r>
      <w:proofErr w:type="spellStart"/>
      <w:r>
        <w:t>acha</w:t>
      </w:r>
      <w:proofErr w:type="spellEnd"/>
      <w:r>
        <w:t xml:space="preserve">, and soybean flours. </w:t>
      </w:r>
      <w:proofErr w:type="spellStart"/>
      <w:r>
        <w:rPr>
          <w:rStyle w:val="Emphasis"/>
          <w:rFonts w:eastAsiaTheme="majorEastAsia"/>
        </w:rPr>
        <w:t>Heliyon</w:t>
      </w:r>
      <w:proofErr w:type="spellEnd"/>
      <w:r>
        <w:rPr>
          <w:rStyle w:val="Emphasis"/>
          <w:rFonts w:eastAsiaTheme="majorEastAsia"/>
        </w:rPr>
        <w:t>, 6</w:t>
      </w:r>
      <w:r>
        <w:t xml:space="preserve">(7): e04420. </w:t>
      </w:r>
    </w:p>
    <w:p w14:paraId="36252B79" w14:textId="77777777" w:rsidR="00543E49" w:rsidRPr="00D02B8F" w:rsidRDefault="00C73355" w:rsidP="00D02B8F">
      <w:pPr>
        <w:spacing w:after="0" w:line="240" w:lineRule="auto"/>
        <w:ind w:left="360"/>
        <w:jc w:val="both"/>
        <w:rPr>
          <w:rFonts w:ascii="Times New Roman" w:hAnsi="Times New Roman" w:cs="Times New Roman"/>
        </w:rPr>
      </w:pPr>
      <w:r w:rsidRPr="00D02B8F">
        <w:rPr>
          <w:rFonts w:ascii="Times New Roman" w:hAnsi="Times New Roman" w:cs="Times New Roman"/>
        </w:rPr>
        <w:t xml:space="preserve">Oladeji, B. S., </w:t>
      </w:r>
      <w:proofErr w:type="spellStart"/>
      <w:r w:rsidRPr="00D02B8F">
        <w:rPr>
          <w:rFonts w:ascii="Times New Roman" w:hAnsi="Times New Roman" w:cs="Times New Roman"/>
        </w:rPr>
        <w:t>Arowora</w:t>
      </w:r>
      <w:proofErr w:type="spellEnd"/>
      <w:r w:rsidRPr="00D02B8F">
        <w:rPr>
          <w:rFonts w:ascii="Times New Roman" w:hAnsi="Times New Roman" w:cs="Times New Roman"/>
        </w:rPr>
        <w:t xml:space="preserve">, K. A. and Oloyede, A. R. (2021): Chemical composition and physicochemical properties of coconut residue flour for food applications. </w:t>
      </w:r>
      <w:r w:rsidRPr="00D02B8F">
        <w:rPr>
          <w:rFonts w:ascii="Times New Roman" w:hAnsi="Times New Roman" w:cs="Times New Roman"/>
          <w:i/>
          <w:iCs/>
        </w:rPr>
        <w:t>Journal of Food Chemistry and Nutrition</w:t>
      </w:r>
      <w:r w:rsidRPr="00D02B8F">
        <w:rPr>
          <w:rFonts w:ascii="Times New Roman" w:hAnsi="Times New Roman" w:cs="Times New Roman"/>
        </w:rPr>
        <w:t>, 9(2): 45–53.</w:t>
      </w:r>
    </w:p>
    <w:p w14:paraId="4B01A24A" w14:textId="77777777" w:rsidR="00543E49" w:rsidRPr="00D02B8F" w:rsidRDefault="00C73355" w:rsidP="00D02B8F">
      <w:pPr>
        <w:spacing w:after="0" w:line="240" w:lineRule="auto"/>
        <w:ind w:left="360"/>
        <w:jc w:val="both"/>
        <w:rPr>
          <w:rFonts w:ascii="Times New Roman" w:hAnsi="Times New Roman" w:cs="Times New Roman"/>
        </w:rPr>
      </w:pPr>
      <w:r w:rsidRPr="00D02B8F">
        <w:rPr>
          <w:rFonts w:ascii="Times New Roman" w:hAnsi="Times New Roman" w:cs="Times New Roman"/>
        </w:rPr>
        <w:t xml:space="preserve">Olagunju, A. I., Oboh, G. and </w:t>
      </w:r>
      <w:proofErr w:type="spellStart"/>
      <w:r w:rsidRPr="00D02B8F">
        <w:rPr>
          <w:rFonts w:ascii="Times New Roman" w:hAnsi="Times New Roman" w:cs="Times New Roman"/>
        </w:rPr>
        <w:t>Boligon</w:t>
      </w:r>
      <w:proofErr w:type="spellEnd"/>
      <w:r w:rsidRPr="00D02B8F">
        <w:rPr>
          <w:rFonts w:ascii="Times New Roman" w:hAnsi="Times New Roman" w:cs="Times New Roman"/>
        </w:rPr>
        <w:t>, A. A. (2023): Use of underut</w:t>
      </w:r>
      <w:r w:rsidRPr="00D02B8F">
        <w:rPr>
          <w:rFonts w:ascii="Times New Roman" w:hAnsi="Times New Roman" w:cs="Times New Roman"/>
        </w:rPr>
        <w:t xml:space="preserve">ilized grains in composite flour for improved food security and nutrition in sub-Saharan Africa. </w:t>
      </w:r>
      <w:r w:rsidRPr="00D02B8F">
        <w:rPr>
          <w:rFonts w:ascii="Times New Roman" w:hAnsi="Times New Roman" w:cs="Times New Roman"/>
          <w:i/>
          <w:iCs/>
        </w:rPr>
        <w:t>Journal of Food Processing and Preservation</w:t>
      </w:r>
      <w:r w:rsidRPr="00D02B8F">
        <w:rPr>
          <w:rFonts w:ascii="Times New Roman" w:hAnsi="Times New Roman" w:cs="Times New Roman"/>
        </w:rPr>
        <w:t xml:space="preserve">, 47(4): e17458. </w:t>
      </w:r>
    </w:p>
    <w:p w14:paraId="56757C53" w14:textId="7AEB12CC" w:rsidR="00D02B8F" w:rsidRPr="00D02B8F" w:rsidRDefault="00D02B8F" w:rsidP="00D02B8F">
      <w:pPr>
        <w:spacing w:after="0" w:line="240" w:lineRule="auto"/>
        <w:ind w:left="360"/>
        <w:jc w:val="both"/>
        <w:rPr>
          <w:rFonts w:ascii="Times New Roman" w:hAnsi="Times New Roman" w:cs="Times New Roman"/>
          <w:shd w:val="clear" w:color="auto" w:fill="FFFFFF"/>
        </w:rPr>
      </w:pPr>
      <w:proofErr w:type="spellStart"/>
      <w:r w:rsidRPr="00D02B8F">
        <w:rPr>
          <w:rFonts w:ascii="Times New Roman" w:hAnsi="Times New Roman" w:cs="Times New Roman"/>
          <w:shd w:val="clear" w:color="auto" w:fill="FFFFFF"/>
        </w:rPr>
        <w:t>Olamiti</w:t>
      </w:r>
      <w:proofErr w:type="spellEnd"/>
      <w:r w:rsidRPr="00D02B8F">
        <w:rPr>
          <w:rFonts w:ascii="Times New Roman" w:hAnsi="Times New Roman" w:cs="Times New Roman"/>
          <w:shd w:val="clear" w:color="auto" w:fill="FFFFFF"/>
        </w:rPr>
        <w:t xml:space="preserve">, G., &amp; </w:t>
      </w:r>
      <w:proofErr w:type="spellStart"/>
      <w:r w:rsidRPr="00D02B8F">
        <w:rPr>
          <w:rFonts w:ascii="Times New Roman" w:hAnsi="Times New Roman" w:cs="Times New Roman"/>
          <w:shd w:val="clear" w:color="auto" w:fill="FFFFFF"/>
        </w:rPr>
        <w:t>Ramashia</w:t>
      </w:r>
      <w:proofErr w:type="spellEnd"/>
      <w:r w:rsidRPr="00D02B8F">
        <w:rPr>
          <w:rFonts w:ascii="Times New Roman" w:hAnsi="Times New Roman" w:cs="Times New Roman"/>
          <w:shd w:val="clear" w:color="auto" w:fill="FFFFFF"/>
        </w:rPr>
        <w:t xml:space="preserve">, S. E. (2024). Impact of Composite Flour on Nutritional, Bioactive and Sensory Characteristics of Pastry Foods: A Review. Current Research in Nutrition and Food Science, 12(3), 1018-1034. </w:t>
      </w:r>
      <w:hyperlink r:id="rId26" w:history="1">
        <w:r w:rsidRPr="00D02B8F">
          <w:rPr>
            <w:rStyle w:val="Hyperlink"/>
            <w:rFonts w:ascii="Times New Roman" w:hAnsi="Times New Roman" w:cs="Times New Roman"/>
            <w:shd w:val="clear" w:color="auto" w:fill="FFFFFF"/>
          </w:rPr>
          <w:t>https://doi.org/10.12944/CRNFSJ.12.3.4</w:t>
        </w:r>
      </w:hyperlink>
    </w:p>
    <w:p w14:paraId="5A4C6D5E" w14:textId="1D5B00B8" w:rsidR="00D02B8F" w:rsidRPr="00D02B8F" w:rsidRDefault="00D02B8F" w:rsidP="00D02B8F">
      <w:pPr>
        <w:pStyle w:val="NormalWeb"/>
        <w:spacing w:after="0" w:afterAutospacing="0"/>
        <w:ind w:left="360"/>
        <w:jc w:val="both"/>
      </w:pPr>
      <w:r w:rsidRPr="00D02B8F">
        <w:rPr>
          <w:rFonts w:eastAsiaTheme="minorHAnsi"/>
          <w:sz w:val="22"/>
          <w:szCs w:val="22"/>
          <w:shd w:val="clear" w:color="auto" w:fill="FFFFFF"/>
          <w:lang w:val="en-US" w:eastAsia="en-US"/>
        </w:rPr>
        <w:t>Olapade, A. A., &amp; Oluwole, O. B. (2013). Bread Making Potential of Composite Flour of Wheat-</w:t>
      </w:r>
      <w:proofErr w:type="spellStart"/>
      <w:r w:rsidRPr="00D02B8F">
        <w:rPr>
          <w:rFonts w:eastAsiaTheme="minorHAnsi"/>
          <w:sz w:val="22"/>
          <w:szCs w:val="22"/>
          <w:shd w:val="clear" w:color="auto" w:fill="FFFFFF"/>
          <w:lang w:val="en-US" w:eastAsia="en-US"/>
        </w:rPr>
        <w:t>Acha</w:t>
      </w:r>
      <w:proofErr w:type="spellEnd"/>
      <w:r w:rsidRPr="00D02B8F">
        <w:rPr>
          <w:rFonts w:eastAsiaTheme="minorHAnsi"/>
          <w:sz w:val="22"/>
          <w:szCs w:val="22"/>
          <w:shd w:val="clear" w:color="auto" w:fill="FFFFFF"/>
          <w:lang w:val="en-US" w:eastAsia="en-US"/>
        </w:rPr>
        <w:t xml:space="preserve"> (</w:t>
      </w:r>
      <w:proofErr w:type="spellStart"/>
      <w:r w:rsidRPr="00D02B8F">
        <w:rPr>
          <w:rFonts w:eastAsiaTheme="minorHAnsi"/>
          <w:sz w:val="22"/>
          <w:szCs w:val="22"/>
          <w:shd w:val="clear" w:color="auto" w:fill="FFFFFF"/>
          <w:lang w:val="en-US" w:eastAsia="en-US"/>
        </w:rPr>
        <w:t>Digitaria</w:t>
      </w:r>
      <w:proofErr w:type="spellEnd"/>
      <w:r w:rsidRPr="00D02B8F">
        <w:rPr>
          <w:rFonts w:eastAsiaTheme="minorHAnsi"/>
          <w:sz w:val="22"/>
          <w:szCs w:val="22"/>
          <w:shd w:val="clear" w:color="auto" w:fill="FFFFFF"/>
          <w:lang w:val="en-US" w:eastAsia="en-US"/>
        </w:rPr>
        <w:t xml:space="preserve"> </w:t>
      </w:r>
      <w:proofErr w:type="spellStart"/>
      <w:r w:rsidRPr="00D02B8F">
        <w:rPr>
          <w:rFonts w:eastAsiaTheme="minorHAnsi"/>
          <w:sz w:val="22"/>
          <w:szCs w:val="22"/>
          <w:shd w:val="clear" w:color="auto" w:fill="FFFFFF"/>
          <w:lang w:val="en-US" w:eastAsia="en-US"/>
        </w:rPr>
        <w:t>exilis</w:t>
      </w:r>
      <w:proofErr w:type="spellEnd"/>
      <w:r w:rsidRPr="00D02B8F">
        <w:rPr>
          <w:rFonts w:eastAsiaTheme="minorHAnsi"/>
          <w:sz w:val="22"/>
          <w:szCs w:val="22"/>
          <w:shd w:val="clear" w:color="auto" w:fill="FFFFFF"/>
          <w:lang w:val="en-US" w:eastAsia="en-US"/>
        </w:rPr>
        <w:t xml:space="preserve"> Staph) Enriched with Cowpea (Vigna unguiculata L. Walp.) Flour. Nigerian Food Journal, 31(1), 6-12. </w:t>
      </w:r>
      <w:hyperlink r:id="rId27" w:history="1">
        <w:r w:rsidRPr="00B700E1">
          <w:rPr>
            <w:rStyle w:val="Hyperlink"/>
            <w:rFonts w:eastAsiaTheme="minorHAnsi"/>
            <w:sz w:val="22"/>
            <w:szCs w:val="22"/>
            <w:shd w:val="clear" w:color="auto" w:fill="FFFFFF"/>
            <w:lang w:val="en-US" w:eastAsia="en-US"/>
          </w:rPr>
          <w:t>https://doi.org/10.1016/S0189-7241(15)30050-3</w:t>
        </w:r>
      </w:hyperlink>
    </w:p>
    <w:p w14:paraId="7E17F5DC" w14:textId="4D5F40F9" w:rsidR="00543E49" w:rsidRDefault="00C73355" w:rsidP="00D02B8F">
      <w:pPr>
        <w:pStyle w:val="NormalWeb"/>
        <w:spacing w:after="0" w:afterAutospacing="0"/>
        <w:ind w:left="360"/>
        <w:jc w:val="both"/>
      </w:pPr>
      <w:proofErr w:type="spellStart"/>
      <w:r>
        <w:lastRenderedPageBreak/>
        <w:t>Onweluzo</w:t>
      </w:r>
      <w:proofErr w:type="spellEnd"/>
      <w:r>
        <w:t xml:space="preserve">, J. C. and </w:t>
      </w:r>
      <w:proofErr w:type="spellStart"/>
      <w:r>
        <w:t>Odume</w:t>
      </w:r>
      <w:proofErr w:type="spellEnd"/>
      <w:r>
        <w:t xml:space="preserve">, L. (2020): Coconut flour: Production, nutritional composition and utilization in bakery products. </w:t>
      </w:r>
      <w:r>
        <w:rPr>
          <w:rStyle w:val="Emphasis"/>
          <w:rFonts w:eastAsiaTheme="majorEastAsia"/>
        </w:rPr>
        <w:t>Journal of Food Processing and Preser</w:t>
      </w:r>
      <w:r>
        <w:rPr>
          <w:rStyle w:val="Emphasis"/>
          <w:rFonts w:eastAsiaTheme="majorEastAsia"/>
        </w:rPr>
        <w:t>vation, 44</w:t>
      </w:r>
      <w:r>
        <w:t xml:space="preserve">(5): e14356. </w:t>
      </w:r>
    </w:p>
    <w:p w14:paraId="783FE424" w14:textId="77777777" w:rsidR="00543E49" w:rsidRPr="00D02B8F" w:rsidRDefault="00C73355" w:rsidP="00D02B8F">
      <w:pPr>
        <w:spacing w:after="0" w:line="240" w:lineRule="auto"/>
        <w:ind w:left="360"/>
        <w:jc w:val="both"/>
        <w:rPr>
          <w:rFonts w:ascii="Times New Roman" w:hAnsi="Times New Roman" w:cs="Times New Roman"/>
        </w:rPr>
      </w:pPr>
      <w:r w:rsidRPr="00D02B8F">
        <w:rPr>
          <w:rFonts w:ascii="Times New Roman" w:hAnsi="Times New Roman" w:cs="Times New Roman"/>
        </w:rPr>
        <w:t>Onwuka, G. I. (2005): Food Analysis and Instrumentation: Theory and Practice. Lagos, Nigeria. Naphtali Print.</w:t>
      </w:r>
    </w:p>
    <w:p w14:paraId="6513AF4B" w14:textId="30998F50" w:rsidR="00D02B8F" w:rsidRPr="00D02B8F" w:rsidRDefault="00D02B8F" w:rsidP="00D02B8F">
      <w:pPr>
        <w:spacing w:after="0" w:line="240" w:lineRule="auto"/>
        <w:ind w:left="360"/>
        <w:jc w:val="both"/>
        <w:rPr>
          <w:rFonts w:ascii="Times New Roman" w:hAnsi="Times New Roman" w:cs="Times New Roman"/>
          <w:shd w:val="clear" w:color="auto" w:fill="FFFFFF"/>
        </w:rPr>
      </w:pPr>
      <w:r w:rsidRPr="00D02B8F">
        <w:rPr>
          <w:rFonts w:ascii="Times New Roman" w:hAnsi="Times New Roman" w:cs="Times New Roman"/>
          <w:shd w:val="clear" w:color="auto" w:fill="FFFFFF"/>
        </w:rPr>
        <w:t xml:space="preserve">Shakeela, H., Mohan, K., &amp; Nisha, P. (2024). Unlocking a nutritional treasure: health benefits and sustainable applications of spent coconut meal. Sustainable Food Technology, 2(3), 497-505. </w:t>
      </w:r>
      <w:hyperlink r:id="rId28" w:history="1">
        <w:r w:rsidRPr="00D02B8F">
          <w:rPr>
            <w:rStyle w:val="Hyperlink"/>
            <w:rFonts w:ascii="Times New Roman" w:hAnsi="Times New Roman" w:cs="Times New Roman"/>
            <w:shd w:val="clear" w:color="auto" w:fill="FFFFFF"/>
          </w:rPr>
          <w:t>https://doi.org/10.1039/D3FB00247K</w:t>
        </w:r>
      </w:hyperlink>
    </w:p>
    <w:p w14:paraId="523FAA36" w14:textId="670A6DBA" w:rsidR="00543E49" w:rsidRPr="00D02B8F" w:rsidRDefault="00D02B8F" w:rsidP="00D02B8F">
      <w:pPr>
        <w:spacing w:line="240" w:lineRule="auto"/>
        <w:ind w:left="360"/>
        <w:rPr>
          <w:rFonts w:ascii="Times New Roman" w:hAnsi="Times New Roman" w:cs="Times New Roman"/>
          <w:sz w:val="24"/>
          <w:szCs w:val="24"/>
        </w:rPr>
      </w:pPr>
      <w:r w:rsidRPr="00D02B8F">
        <w:rPr>
          <w:rFonts w:ascii="Times New Roman" w:hAnsi="Times New Roman" w:cs="Times New Roman"/>
          <w:shd w:val="clear" w:color="auto" w:fill="FFFFFF"/>
        </w:rPr>
        <w:t>Srivastava, Y., &amp; Semwal, A. D. (2015). Effect of virgin coconut meal (VCM) on the rheological, micro-structure and baking properties of cake and batter. Journal of Food Science and Technology, 52(12), 8122–8130. https://doi.org/10.1007/s13197-015-1966-1</w:t>
      </w:r>
    </w:p>
    <w:p w14:paraId="6F71BC98" w14:textId="77777777" w:rsidR="00543E49" w:rsidRDefault="00543E49">
      <w:pPr>
        <w:spacing w:line="240" w:lineRule="auto"/>
        <w:rPr>
          <w:rFonts w:ascii="Times New Roman" w:hAnsi="Times New Roman" w:cs="Times New Roman"/>
          <w:b/>
          <w:sz w:val="24"/>
          <w:szCs w:val="24"/>
        </w:rPr>
      </w:pPr>
    </w:p>
    <w:p w14:paraId="795D1165" w14:textId="77777777" w:rsidR="00543E49" w:rsidRDefault="00543E49">
      <w:pPr>
        <w:spacing w:line="240" w:lineRule="auto"/>
        <w:rPr>
          <w:rFonts w:ascii="Times New Roman" w:hAnsi="Times New Roman" w:cs="Times New Roman"/>
          <w:sz w:val="24"/>
          <w:szCs w:val="24"/>
        </w:rPr>
      </w:pPr>
    </w:p>
    <w:sectPr w:rsidR="00543E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0EBD3" w14:textId="77777777" w:rsidR="00C73355" w:rsidRDefault="00C73355">
      <w:pPr>
        <w:spacing w:line="240" w:lineRule="auto"/>
      </w:pPr>
      <w:r>
        <w:separator/>
      </w:r>
    </w:p>
  </w:endnote>
  <w:endnote w:type="continuationSeparator" w:id="0">
    <w:p w14:paraId="6072BC07" w14:textId="77777777" w:rsidR="00C73355" w:rsidRDefault="00C733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52D0" w14:textId="77777777" w:rsidR="000F7C33" w:rsidRDefault="000F7C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1CA14" w14:textId="77777777" w:rsidR="000F7C33" w:rsidRDefault="000F7C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E2D44" w14:textId="77777777" w:rsidR="000F7C33" w:rsidRDefault="000F7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4EE78" w14:textId="77777777" w:rsidR="00C73355" w:rsidRDefault="00C73355">
      <w:pPr>
        <w:spacing w:after="0"/>
      </w:pPr>
      <w:r>
        <w:separator/>
      </w:r>
    </w:p>
  </w:footnote>
  <w:footnote w:type="continuationSeparator" w:id="0">
    <w:p w14:paraId="4D429B08" w14:textId="77777777" w:rsidR="00C73355" w:rsidRDefault="00C733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08F6F" w14:textId="6ACF4FB8" w:rsidR="000F7C33" w:rsidRDefault="000F7C33">
    <w:pPr>
      <w:pStyle w:val="Header"/>
    </w:pPr>
    <w:r>
      <w:rPr>
        <w:noProof/>
      </w:rPr>
      <w:pict w14:anchorId="58DB2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34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C8482" w14:textId="2F2F8888" w:rsidR="000F7C33" w:rsidRDefault="000F7C33">
    <w:pPr>
      <w:pStyle w:val="Header"/>
    </w:pPr>
    <w:r>
      <w:rPr>
        <w:noProof/>
      </w:rPr>
      <w:pict w14:anchorId="3A6E29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34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7E25" w14:textId="680FB97D" w:rsidR="000F7C33" w:rsidRDefault="000F7C33">
    <w:pPr>
      <w:pStyle w:val="Header"/>
    </w:pPr>
    <w:r>
      <w:rPr>
        <w:noProof/>
      </w:rPr>
      <w:pict w14:anchorId="60459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34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C172C3"/>
    <w:multiLevelType w:val="hybridMultilevel"/>
    <w:tmpl w:val="D5025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520"/>
    <w:rsid w:val="00013E75"/>
    <w:rsid w:val="00034F76"/>
    <w:rsid w:val="00071561"/>
    <w:rsid w:val="00081117"/>
    <w:rsid w:val="000A0F3E"/>
    <w:rsid w:val="000A7033"/>
    <w:rsid w:val="000C27BF"/>
    <w:rsid w:val="000D6A3D"/>
    <w:rsid w:val="000E386B"/>
    <w:rsid w:val="000F7C33"/>
    <w:rsid w:val="001325AC"/>
    <w:rsid w:val="00133046"/>
    <w:rsid w:val="001366D9"/>
    <w:rsid w:val="001673C1"/>
    <w:rsid w:val="001A562D"/>
    <w:rsid w:val="001C2E33"/>
    <w:rsid w:val="0023569C"/>
    <w:rsid w:val="00275C43"/>
    <w:rsid w:val="0028346C"/>
    <w:rsid w:val="002E128C"/>
    <w:rsid w:val="002E236D"/>
    <w:rsid w:val="002E5246"/>
    <w:rsid w:val="003052DD"/>
    <w:rsid w:val="00321D05"/>
    <w:rsid w:val="00322D8D"/>
    <w:rsid w:val="00330520"/>
    <w:rsid w:val="00340476"/>
    <w:rsid w:val="00382CE8"/>
    <w:rsid w:val="003A3A1E"/>
    <w:rsid w:val="003A6E74"/>
    <w:rsid w:val="003D3841"/>
    <w:rsid w:val="003F2D9F"/>
    <w:rsid w:val="004225F6"/>
    <w:rsid w:val="00426AAD"/>
    <w:rsid w:val="004662DB"/>
    <w:rsid w:val="0047365D"/>
    <w:rsid w:val="004A100A"/>
    <w:rsid w:val="004C5139"/>
    <w:rsid w:val="0053188A"/>
    <w:rsid w:val="00543E49"/>
    <w:rsid w:val="00554BF4"/>
    <w:rsid w:val="00597B1F"/>
    <w:rsid w:val="005C0CEC"/>
    <w:rsid w:val="0060113F"/>
    <w:rsid w:val="00632B86"/>
    <w:rsid w:val="006407C9"/>
    <w:rsid w:val="00642729"/>
    <w:rsid w:val="00683B19"/>
    <w:rsid w:val="00700364"/>
    <w:rsid w:val="00734262"/>
    <w:rsid w:val="00743363"/>
    <w:rsid w:val="00745639"/>
    <w:rsid w:val="007471EA"/>
    <w:rsid w:val="007522EB"/>
    <w:rsid w:val="00786182"/>
    <w:rsid w:val="00786E7A"/>
    <w:rsid w:val="007A7459"/>
    <w:rsid w:val="007C023A"/>
    <w:rsid w:val="007D59E7"/>
    <w:rsid w:val="008362C0"/>
    <w:rsid w:val="00886BD0"/>
    <w:rsid w:val="008A0E73"/>
    <w:rsid w:val="008A1C6C"/>
    <w:rsid w:val="008A6894"/>
    <w:rsid w:val="008C26E2"/>
    <w:rsid w:val="008C47D9"/>
    <w:rsid w:val="008C652B"/>
    <w:rsid w:val="00904FF1"/>
    <w:rsid w:val="00957818"/>
    <w:rsid w:val="00997F52"/>
    <w:rsid w:val="009A7EC0"/>
    <w:rsid w:val="009E7484"/>
    <w:rsid w:val="009F1C8A"/>
    <w:rsid w:val="009F6DAE"/>
    <w:rsid w:val="00A8270D"/>
    <w:rsid w:val="00AA3B2F"/>
    <w:rsid w:val="00AB179D"/>
    <w:rsid w:val="00AC4308"/>
    <w:rsid w:val="00B35582"/>
    <w:rsid w:val="00B60808"/>
    <w:rsid w:val="00B63AEC"/>
    <w:rsid w:val="00BB371C"/>
    <w:rsid w:val="00BB4FFB"/>
    <w:rsid w:val="00BF2F63"/>
    <w:rsid w:val="00C14015"/>
    <w:rsid w:val="00C15596"/>
    <w:rsid w:val="00C46806"/>
    <w:rsid w:val="00C63A24"/>
    <w:rsid w:val="00C73355"/>
    <w:rsid w:val="00CA08CB"/>
    <w:rsid w:val="00CE39C8"/>
    <w:rsid w:val="00CF0020"/>
    <w:rsid w:val="00D02B8F"/>
    <w:rsid w:val="00D12CE1"/>
    <w:rsid w:val="00D24D07"/>
    <w:rsid w:val="00D252FE"/>
    <w:rsid w:val="00D333E2"/>
    <w:rsid w:val="00DB303D"/>
    <w:rsid w:val="00DE04A2"/>
    <w:rsid w:val="00E2251D"/>
    <w:rsid w:val="00E27D6C"/>
    <w:rsid w:val="00E31344"/>
    <w:rsid w:val="00E63347"/>
    <w:rsid w:val="00E72D34"/>
    <w:rsid w:val="00E9731F"/>
    <w:rsid w:val="00ED256A"/>
    <w:rsid w:val="00EF0381"/>
    <w:rsid w:val="00EF203E"/>
    <w:rsid w:val="00F21DB2"/>
    <w:rsid w:val="00F21F13"/>
    <w:rsid w:val="146E5E60"/>
    <w:rsid w:val="56FC2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2103164E"/>
  <w15:docId w15:val="{E61D496B-C567-45E3-B9C1-D3C16E2E4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next w:val="Normal"/>
    <w:link w:val="Heading1Char"/>
    <w:uiPriority w:val="1"/>
    <w:qFormat/>
    <w:pPr>
      <w:keepNext/>
      <w:keepLines/>
      <w:spacing w:before="360" w:after="80" w:line="480" w:lineRule="auto"/>
      <w:jc w:val="both"/>
      <w:outlineLvl w:val="0"/>
    </w:pPr>
    <w:rPr>
      <w:rFonts w:ascii="Times New Roman" w:eastAsiaTheme="majorEastAsia" w:hAnsi="Times New Roman" w:cstheme="majorBidi"/>
      <w:b/>
      <w:color w:val="000000" w:themeColor="text1"/>
      <w:kern w:val="2"/>
      <w:sz w:val="24"/>
      <w:szCs w:val="40"/>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kern w:val="2"/>
      <w:sz w:val="20"/>
      <w:szCs w:val="20"/>
      <w:lang w:val="en-GB"/>
      <w14:ligatures w14:val="standardContextual"/>
    </w:rPr>
  </w:style>
  <w:style w:type="paragraph" w:styleId="CommentSubject">
    <w:name w:val="annotation subject"/>
    <w:basedOn w:val="CommentText"/>
    <w:next w:val="CommentText"/>
    <w:link w:val="CommentSubjectChar"/>
    <w:uiPriority w:val="99"/>
    <w:semiHidden/>
    <w:unhideWhenUsed/>
    <w:qFormat/>
    <w:rPr>
      <w:b/>
      <w:bCs/>
      <w:kern w:val="0"/>
      <w:lang w:val="en-US"/>
      <w14:ligatures w14:val="none"/>
    </w:rPr>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1"/>
    <w:qFormat/>
    <w:rPr>
      <w:rFonts w:ascii="Times New Roman" w:eastAsiaTheme="majorEastAsia" w:hAnsi="Times New Roman" w:cstheme="majorBidi"/>
      <w:b/>
      <w:color w:val="000000" w:themeColor="text1"/>
      <w:kern w:val="2"/>
      <w:sz w:val="24"/>
      <w:szCs w:val="40"/>
      <w:lang w:val="en-GB"/>
      <w14:ligatures w14:val="standardContextual"/>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qFormat/>
    <w:rPr>
      <w:kern w:val="2"/>
      <w:sz w:val="20"/>
      <w:szCs w:val="20"/>
      <w:lang w:val="en-GB"/>
      <w14:ligatures w14:val="standardContextual"/>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Pr>
      <w:b/>
      <w:bCs/>
      <w:kern w:val="2"/>
      <w:sz w:val="20"/>
      <w:szCs w:val="20"/>
      <w:lang w:val="en-GB"/>
      <w14:ligatures w14:val="standardContextual"/>
    </w:rPr>
  </w:style>
  <w:style w:type="table" w:customStyle="1" w:styleId="PlainTable21">
    <w:name w:val="Plain Table 21"/>
    <w:basedOn w:val="TableNormal"/>
    <w:uiPriority w:val="42"/>
    <w:qFormat/>
    <w:rPr>
      <w:kern w:val="2"/>
      <w14:ligatures w14:val="standardContextual"/>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
    <w:name w:val="List Table 6 Colorful1"/>
    <w:basedOn w:val="TableNormal"/>
    <w:uiPriority w:val="51"/>
    <w:qFormat/>
    <w:rPr>
      <w:color w:val="000000" w:themeColor="text1"/>
      <w:kern w:val="2"/>
      <w:sz w:val="24"/>
      <w:szCs w:val="24"/>
      <w14:ligatures w14:val="standardContextual"/>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8C652B"/>
    <w:rPr>
      <w:color w:val="0563C1" w:themeColor="hyperlink"/>
      <w:u w:val="single"/>
    </w:rPr>
  </w:style>
  <w:style w:type="character" w:styleId="UnresolvedMention">
    <w:name w:val="Unresolved Mention"/>
    <w:basedOn w:val="DefaultParagraphFont"/>
    <w:uiPriority w:val="99"/>
    <w:semiHidden/>
    <w:unhideWhenUsed/>
    <w:rsid w:val="008C652B"/>
    <w:rPr>
      <w:color w:val="605E5C"/>
      <w:shd w:val="clear" w:color="auto" w:fill="E1DFDD"/>
    </w:rPr>
  </w:style>
  <w:style w:type="paragraph" w:styleId="ListParagraph">
    <w:name w:val="List Paragraph"/>
    <w:basedOn w:val="Normal"/>
    <w:uiPriority w:val="99"/>
    <w:unhideWhenUsed/>
    <w:rsid w:val="00E2251D"/>
    <w:pPr>
      <w:ind w:left="720"/>
      <w:contextualSpacing/>
    </w:pPr>
  </w:style>
  <w:style w:type="paragraph" w:styleId="Header">
    <w:name w:val="header"/>
    <w:basedOn w:val="Normal"/>
    <w:link w:val="HeaderChar"/>
    <w:uiPriority w:val="99"/>
    <w:unhideWhenUsed/>
    <w:rsid w:val="000F7C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C33"/>
    <w:rPr>
      <w:sz w:val="22"/>
      <w:szCs w:val="22"/>
      <w:lang w:val="en-US" w:eastAsia="en-US"/>
    </w:rPr>
  </w:style>
  <w:style w:type="paragraph" w:styleId="Footer">
    <w:name w:val="footer"/>
    <w:basedOn w:val="Normal"/>
    <w:link w:val="FooterChar"/>
    <w:uiPriority w:val="99"/>
    <w:unhideWhenUsed/>
    <w:rsid w:val="000F7C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C33"/>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07/s13197-023-05857-2" TargetMode="External"/><Relationship Id="rId26" Type="http://schemas.openxmlformats.org/officeDocument/2006/relationships/hyperlink" Target="https://doi.org/10.12944/CRNFSJ.12.3.4" TargetMode="External"/><Relationship Id="rId3" Type="http://schemas.openxmlformats.org/officeDocument/2006/relationships/styles" Target="styles.xml"/><Relationship Id="rId21" Type="http://schemas.openxmlformats.org/officeDocument/2006/relationships/hyperlink" Target="https://doi.org/10.4314/nifoj.v25i1.3365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07/s13197-014-1427-2" TargetMode="External"/><Relationship Id="rId25" Type="http://schemas.openxmlformats.org/officeDocument/2006/relationships/hyperlink" Target="https://doi.org/10.1155/ijfo/6635106" TargetMode="External"/><Relationship Id="rId2" Type="http://schemas.openxmlformats.org/officeDocument/2006/relationships/numbering" Target="numbering.xml"/><Relationship Id="rId16" Type="http://schemas.openxmlformats.org/officeDocument/2006/relationships/hyperlink" Target="https://doi.org/10.12691/ajfst-7-1-6" TargetMode="External"/><Relationship Id="rId20" Type="http://schemas.openxmlformats.org/officeDocument/2006/relationships/hyperlink" Target="https://www.aoac.org/official-methods-of-analysis/2019-edition-official-methods-of-analysis-oma-pri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s13197-015-2032-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26656/fr.2017.6(1).140" TargetMode="External"/><Relationship Id="rId28" Type="http://schemas.openxmlformats.org/officeDocument/2006/relationships/hyperlink" Target="https://doi.org/10.1039/D3FB00247K" TargetMode="External"/><Relationship Id="rId10" Type="http://schemas.openxmlformats.org/officeDocument/2006/relationships/footer" Target="footer1.xml"/><Relationship Id="rId19" Type="http://schemas.openxmlformats.org/officeDocument/2006/relationships/hyperlink" Target="https://doi.org/10.9734/afsj/2019/v13i13009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foods11020183" TargetMode="External"/><Relationship Id="rId27" Type="http://schemas.openxmlformats.org/officeDocument/2006/relationships/hyperlink" Target="https://doi.org/10.1016/S0189-7241(15)30050-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11</Pages>
  <Words>4827</Words>
  <Characters>27517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ADENIKE PC</dc:creator>
  <cp:lastModifiedBy>SDI 1084</cp:lastModifiedBy>
  <cp:revision>102</cp:revision>
  <dcterms:created xsi:type="dcterms:W3CDTF">2025-11-18T10:39:00Z</dcterms:created>
  <dcterms:modified xsi:type="dcterms:W3CDTF">2025-12-22T09:08:00Z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E85EAE2C93F645439FD368483888E003_12</vt:lpwstr>
  </property>
</Properties>
</file>