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6AF40" w14:textId="77777777" w:rsidR="00754C9A" w:rsidRDefault="00754C9A" w:rsidP="00441B6F">
      <w:pPr>
        <w:pStyle w:val="Title"/>
        <w:spacing w:after="0"/>
        <w:jc w:val="both"/>
        <w:rPr>
          <w:rFonts w:ascii="Arial" w:hAnsi="Arial" w:cs="Arial"/>
        </w:rPr>
      </w:pPr>
    </w:p>
    <w:p w14:paraId="6567E8C2" w14:textId="77777777" w:rsidR="003351AC" w:rsidRDefault="003351AC" w:rsidP="00E94E4F">
      <w:pPr>
        <w:pStyle w:val="Author"/>
        <w:spacing w:line="240" w:lineRule="auto"/>
        <w:jc w:val="both"/>
        <w:rPr>
          <w:rFonts w:ascii="Arial" w:hAnsi="Arial" w:cs="Arial"/>
          <w:bCs/>
          <w:iCs/>
          <w:kern w:val="28"/>
          <w:sz w:val="36"/>
          <w:lang w:val="en"/>
        </w:rPr>
      </w:pPr>
      <w:r w:rsidRPr="003351AC">
        <w:rPr>
          <w:rFonts w:ascii="Arial" w:hAnsi="Arial" w:cs="Arial"/>
          <w:bCs/>
          <w:iCs/>
          <w:kern w:val="28"/>
          <w:sz w:val="36"/>
          <w:lang w:val="en"/>
        </w:rPr>
        <w:t>Original Research Article</w:t>
      </w:r>
    </w:p>
    <w:p w14:paraId="4272477E" w14:textId="77777777" w:rsidR="003351AC" w:rsidRDefault="003351AC" w:rsidP="00E94E4F">
      <w:pPr>
        <w:pStyle w:val="Author"/>
        <w:spacing w:line="240" w:lineRule="auto"/>
        <w:jc w:val="both"/>
        <w:rPr>
          <w:rFonts w:ascii="Arial" w:hAnsi="Arial" w:cs="Arial"/>
          <w:bCs/>
          <w:iCs/>
          <w:kern w:val="28"/>
          <w:sz w:val="36"/>
          <w:lang w:val="en"/>
        </w:rPr>
      </w:pPr>
    </w:p>
    <w:p w14:paraId="0052F7FB" w14:textId="2DEEEFCD" w:rsidR="00E94E4F" w:rsidRPr="00E94E4F" w:rsidRDefault="00E94E4F" w:rsidP="00E94E4F">
      <w:pPr>
        <w:pStyle w:val="Author"/>
        <w:spacing w:line="240" w:lineRule="auto"/>
        <w:jc w:val="both"/>
        <w:rPr>
          <w:rFonts w:ascii="Arial" w:hAnsi="Arial" w:cs="Arial"/>
          <w:bCs/>
          <w:iCs/>
          <w:kern w:val="28"/>
          <w:sz w:val="36"/>
          <w:lang w:val="en"/>
        </w:rPr>
      </w:pPr>
      <w:r w:rsidRPr="00E94E4F">
        <w:rPr>
          <w:rFonts w:ascii="Arial" w:hAnsi="Arial" w:cs="Arial"/>
          <w:bCs/>
          <w:iCs/>
          <w:kern w:val="28"/>
          <w:sz w:val="36"/>
          <w:lang w:val="en"/>
        </w:rPr>
        <w:t xml:space="preserve">Evaluation of New Canned Products from Spent Hen </w:t>
      </w:r>
    </w:p>
    <w:p w14:paraId="2D08C55E" w14:textId="77777777" w:rsidR="00A258C3" w:rsidRPr="00E94E4F" w:rsidRDefault="00A258C3" w:rsidP="00441B6F">
      <w:pPr>
        <w:pStyle w:val="Author"/>
        <w:spacing w:line="240" w:lineRule="auto"/>
        <w:jc w:val="both"/>
        <w:rPr>
          <w:rFonts w:ascii="Arial" w:hAnsi="Arial" w:cs="Arial"/>
          <w:sz w:val="36"/>
          <w:lang w:val="en"/>
        </w:rPr>
      </w:pPr>
    </w:p>
    <w:p w14:paraId="793BAC46" w14:textId="77777777" w:rsidR="00790ADA" w:rsidRDefault="00790ADA" w:rsidP="00441B6F">
      <w:pPr>
        <w:pStyle w:val="Affiliation"/>
        <w:spacing w:after="0" w:line="240" w:lineRule="auto"/>
        <w:jc w:val="both"/>
        <w:rPr>
          <w:rFonts w:ascii="Arial" w:hAnsi="Arial" w:cs="Arial"/>
        </w:rPr>
      </w:pPr>
      <w:bookmarkStart w:id="0" w:name="_GoBack"/>
      <w:bookmarkEnd w:id="0"/>
    </w:p>
    <w:p w14:paraId="014CF3CB" w14:textId="77777777" w:rsidR="002C57D2" w:rsidRPr="00FB3A86" w:rsidRDefault="002C57D2" w:rsidP="00441B6F">
      <w:pPr>
        <w:pStyle w:val="Affiliation"/>
        <w:spacing w:after="0" w:line="240" w:lineRule="auto"/>
        <w:jc w:val="both"/>
        <w:rPr>
          <w:rFonts w:ascii="Arial" w:hAnsi="Arial" w:cs="Arial"/>
        </w:rPr>
      </w:pPr>
    </w:p>
    <w:p w14:paraId="003157B1" w14:textId="77777777" w:rsidR="00B01FCD" w:rsidRPr="00FB3A86" w:rsidRDefault="00726AB2" w:rsidP="00441B6F">
      <w:pPr>
        <w:pStyle w:val="Copyright"/>
        <w:spacing w:after="0" w:line="240" w:lineRule="auto"/>
        <w:jc w:val="both"/>
        <w:rPr>
          <w:rFonts w:ascii="Arial" w:hAnsi="Arial" w:cs="Arial"/>
        </w:rPr>
        <w:sectPr w:rsidR="00B01FCD" w:rsidRPr="00FB3A86" w:rsidSect="008E2A4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DD4F33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FFDC377" w14:textId="66CB51AD" w:rsidR="00B01FCD" w:rsidRDefault="00B01FCD" w:rsidP="00FB5A6C">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540B15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3871D0" w14:paraId="044B88B4" w14:textId="77777777" w:rsidTr="001E44FE">
        <w:tc>
          <w:tcPr>
            <w:tcW w:w="9576" w:type="dxa"/>
            <w:shd w:val="clear" w:color="auto" w:fill="F2F2F2"/>
          </w:tcPr>
          <w:p w14:paraId="0397E648" w14:textId="77777777" w:rsidR="00E94E4F" w:rsidRPr="003871D0" w:rsidRDefault="00BA1B01" w:rsidP="00E94E4F">
            <w:pPr>
              <w:pStyle w:val="Body"/>
              <w:spacing w:after="0"/>
              <w:rPr>
                <w:rFonts w:ascii="Arial" w:eastAsia="Calibri" w:hAnsi="Arial" w:cs="Arial"/>
                <w:b/>
                <w:sz w:val="22"/>
                <w:szCs w:val="22"/>
              </w:rPr>
            </w:pPr>
            <w:r w:rsidRPr="003871D0">
              <w:rPr>
                <w:rFonts w:ascii="Arial" w:eastAsia="Calibri" w:hAnsi="Arial" w:cs="Arial"/>
                <w:b/>
                <w:sz w:val="22"/>
                <w:szCs w:val="22"/>
              </w:rPr>
              <w:t xml:space="preserve">Aims: </w:t>
            </w:r>
            <w:r w:rsidR="00E94E4F" w:rsidRPr="003871D0">
              <w:rPr>
                <w:rFonts w:ascii="Arial" w:eastAsia="Calibri" w:hAnsi="Arial" w:cs="Arial"/>
                <w:b/>
                <w:sz w:val="22"/>
                <w:szCs w:val="22"/>
              </w:rPr>
              <w:t>The long rearing cycle of laying hens leads to decreased hens' size and production, making maintenance uneconomical and reducing their meat quality. A study aimed to develop new products from spent hen meats to increase marketing value of meat, which is an excellent and inexpensive source of animal protein that can effectively reduce acute malnutrition resulting from protein and energy deficiency, especially in developing countries. Canning alone or combined with smoking liquid was used to produce ten treatments from spent hen meats.</w:t>
            </w:r>
          </w:p>
          <w:p w14:paraId="3C92B374" w14:textId="77777777" w:rsidR="00BA1B01" w:rsidRPr="003871D0" w:rsidRDefault="00BA1B01" w:rsidP="00441B6F">
            <w:pPr>
              <w:pStyle w:val="Body"/>
              <w:spacing w:after="0"/>
              <w:rPr>
                <w:rFonts w:ascii="Arial" w:eastAsia="Calibri" w:hAnsi="Arial" w:cs="Arial"/>
                <w:b/>
                <w:sz w:val="22"/>
                <w:szCs w:val="22"/>
              </w:rPr>
            </w:pPr>
            <w:r w:rsidRPr="003871D0">
              <w:rPr>
                <w:rFonts w:ascii="Arial" w:eastAsia="Calibri" w:hAnsi="Arial" w:cs="Arial"/>
                <w:b/>
                <w:sz w:val="22"/>
                <w:szCs w:val="22"/>
              </w:rPr>
              <w:t xml:space="preserve">Place and Duration of Study: </w:t>
            </w:r>
            <w:r w:rsidR="00315186" w:rsidRPr="003871D0">
              <w:rPr>
                <w:rFonts w:ascii="Arial" w:eastAsia="Calibri" w:hAnsi="Arial" w:cs="Arial"/>
                <w:b/>
                <w:sz w:val="22"/>
                <w:szCs w:val="22"/>
              </w:rPr>
              <w:t xml:space="preserve">Sample: </w:t>
            </w:r>
            <w:r w:rsidRPr="003871D0">
              <w:rPr>
                <w:rFonts w:ascii="Arial" w:eastAsia="Calibri" w:hAnsi="Arial" w:cs="Arial"/>
                <w:b/>
                <w:sz w:val="22"/>
                <w:szCs w:val="22"/>
              </w:rPr>
              <w:t>Department of Medicine (Medical Unit IV) and Department of Radiology, Services Institute of Medical Sciences (SIMS), Services Hospital Lahore, between June 2009 and July 2010.</w:t>
            </w:r>
          </w:p>
          <w:p w14:paraId="62FB405B" w14:textId="128D476A" w:rsidR="00BA1B01" w:rsidRPr="003871D0" w:rsidRDefault="00BA1B01" w:rsidP="001B7F4D">
            <w:pPr>
              <w:pStyle w:val="Body"/>
              <w:spacing w:after="0"/>
              <w:rPr>
                <w:rFonts w:ascii="Arial" w:eastAsia="Calibri" w:hAnsi="Arial" w:cs="Arial"/>
                <w:b/>
                <w:sz w:val="22"/>
                <w:szCs w:val="22"/>
              </w:rPr>
            </w:pPr>
            <w:r w:rsidRPr="003871D0">
              <w:rPr>
                <w:rFonts w:ascii="Arial" w:eastAsia="Calibri" w:hAnsi="Arial" w:cs="Arial"/>
                <w:b/>
                <w:sz w:val="22"/>
                <w:szCs w:val="22"/>
              </w:rPr>
              <w:t xml:space="preserve">Methodology: </w:t>
            </w:r>
            <w:r w:rsidR="00E94E4F" w:rsidRPr="003871D0">
              <w:rPr>
                <w:rFonts w:ascii="Arial" w:eastAsia="Calibri" w:hAnsi="Arial" w:cs="Arial"/>
                <w:b/>
                <w:sz w:val="22"/>
                <w:szCs w:val="22"/>
              </w:rPr>
              <w:t xml:space="preserve">The first was a single piece of chicken breast (solid canned chicken), while the other four treatments were pieces (chunk) and shredded made from breasts and thighs. The last five treatments were created from the previous five treatments by incorporating 1% smoke liquid during canning. </w:t>
            </w:r>
          </w:p>
          <w:p w14:paraId="1BD29F25" w14:textId="1988391A" w:rsidR="00AB2F0A" w:rsidRPr="003871D0" w:rsidRDefault="00BA1B01" w:rsidP="00AB2F0A">
            <w:pPr>
              <w:pStyle w:val="Body"/>
              <w:rPr>
                <w:rFonts w:ascii="Arial" w:eastAsia="Calibri" w:hAnsi="Arial" w:cs="Arial"/>
                <w:b/>
                <w:sz w:val="22"/>
                <w:szCs w:val="22"/>
                <w:lang w:val="en"/>
              </w:rPr>
            </w:pPr>
            <w:r w:rsidRPr="003871D0">
              <w:rPr>
                <w:rFonts w:ascii="Arial" w:eastAsia="Calibri" w:hAnsi="Arial" w:cs="Arial"/>
                <w:b/>
                <w:sz w:val="22"/>
                <w:szCs w:val="22"/>
              </w:rPr>
              <w:t xml:space="preserve">Results: </w:t>
            </w:r>
            <w:r w:rsidR="001B7F4D" w:rsidRPr="003871D0">
              <w:rPr>
                <w:rFonts w:ascii="Arial" w:eastAsia="Calibri" w:hAnsi="Arial" w:cs="Arial"/>
                <w:b/>
                <w:sz w:val="22"/>
                <w:szCs w:val="22"/>
                <w:lang w:val="en"/>
              </w:rPr>
              <w:t xml:space="preserve">Raw chicken thighs samples had more moisture, fat, ash, and pH, but less protein than chicken breast samples. Canning for the three different types (solid, chunk and shredded) made from breasts or thighs reduced moisture and increased protein, fat, and ash content while decreasing muscle water-holding ability, with the exception of thighs, which have a higher fat content than breast meat. Total volatile nitrogen (TVN) content in canned chicken thighs was lower than that of canned breast meat, while </w:t>
            </w:r>
            <w:proofErr w:type="spellStart"/>
            <w:r w:rsidR="001B7F4D" w:rsidRPr="003871D0">
              <w:rPr>
                <w:rFonts w:ascii="Arial" w:eastAsia="Calibri" w:hAnsi="Arial" w:cs="Arial"/>
                <w:b/>
                <w:sz w:val="22"/>
                <w:szCs w:val="22"/>
                <w:lang w:val="en"/>
              </w:rPr>
              <w:t>thiobarbituric</w:t>
            </w:r>
            <w:proofErr w:type="spellEnd"/>
            <w:r w:rsidR="001B7F4D" w:rsidRPr="003871D0">
              <w:rPr>
                <w:rFonts w:ascii="Arial" w:eastAsia="Calibri" w:hAnsi="Arial" w:cs="Arial"/>
                <w:b/>
                <w:sz w:val="22"/>
                <w:szCs w:val="22"/>
                <w:lang w:val="en"/>
              </w:rPr>
              <w:t xml:space="preserve"> acid (TBA) levels were higher in canned thighs compared to canned breast meat due to the higher fat content of the thighs. However, the study results show that the TVN and TBA contents in all samples were below the permissible limits according to the Egyptian standard specifications. Canned chicken breast meat recorded a higher overall acceptability score than canned thighs, while solid samples recorded the highest quality score, followed by chunk and then shredded. Smoking improved the sensory attributes compared to unsmoked meat. All canned chicken samples (smoked or unsmoked) were negative for </w:t>
            </w:r>
            <w:r w:rsidR="001B7F4D" w:rsidRPr="003871D0">
              <w:rPr>
                <w:rFonts w:ascii="Arial" w:eastAsia="Calibri" w:hAnsi="Arial" w:cs="Arial"/>
                <w:b/>
                <w:i/>
                <w:sz w:val="22"/>
                <w:szCs w:val="22"/>
                <w:lang w:val="en"/>
              </w:rPr>
              <w:t>Clostridium botulinum, Salmonella</w:t>
            </w:r>
            <w:r w:rsidR="001B7F4D" w:rsidRPr="003871D0">
              <w:rPr>
                <w:rFonts w:ascii="Arial" w:eastAsia="Calibri" w:hAnsi="Arial" w:cs="Arial"/>
                <w:b/>
                <w:sz w:val="22"/>
                <w:szCs w:val="22"/>
                <w:lang w:val="en"/>
              </w:rPr>
              <w:t xml:space="preserve"> </w:t>
            </w:r>
            <w:r w:rsidR="001B7F4D" w:rsidRPr="003871D0">
              <w:rPr>
                <w:rFonts w:ascii="Arial" w:eastAsia="Calibri" w:hAnsi="Arial" w:cs="Arial"/>
                <w:b/>
                <w:i/>
                <w:sz w:val="22"/>
                <w:szCs w:val="22"/>
                <w:lang w:val="en"/>
              </w:rPr>
              <w:t>spp</w:t>
            </w:r>
            <w:r w:rsidR="001B7F4D" w:rsidRPr="003871D0">
              <w:rPr>
                <w:rFonts w:ascii="Arial" w:eastAsia="Calibri" w:hAnsi="Arial" w:cs="Arial"/>
                <w:b/>
                <w:sz w:val="22"/>
                <w:szCs w:val="22"/>
                <w:lang w:val="en"/>
              </w:rPr>
              <w:t xml:space="preserve">., and spore-forming bacteria. </w:t>
            </w:r>
          </w:p>
          <w:p w14:paraId="16DBAB69" w14:textId="62BDE58D" w:rsidR="00505F06" w:rsidRPr="003871D0" w:rsidRDefault="00BA1B01" w:rsidP="00AB2F0A">
            <w:pPr>
              <w:pStyle w:val="Body"/>
              <w:rPr>
                <w:rFonts w:ascii="Arial" w:eastAsia="Calibri" w:hAnsi="Arial" w:cs="Arial"/>
                <w:b/>
                <w:sz w:val="22"/>
                <w:szCs w:val="22"/>
              </w:rPr>
            </w:pPr>
            <w:r w:rsidRPr="003871D0">
              <w:rPr>
                <w:rFonts w:ascii="Arial" w:eastAsia="Calibri" w:hAnsi="Arial" w:cs="Arial"/>
                <w:b/>
                <w:sz w:val="22"/>
                <w:szCs w:val="22"/>
              </w:rPr>
              <w:t xml:space="preserve">Conclusion: </w:t>
            </w:r>
            <w:r w:rsidR="00AB2F0A" w:rsidRPr="003871D0">
              <w:rPr>
                <w:rFonts w:ascii="Arial" w:eastAsia="Calibri" w:hAnsi="Arial" w:cs="Arial"/>
                <w:b/>
                <w:sz w:val="22"/>
                <w:szCs w:val="22"/>
                <w:lang w:val="en"/>
              </w:rPr>
              <w:t xml:space="preserve">The results show that all canned chicken samples are highly </w:t>
            </w:r>
            <w:r w:rsidR="00AB2F0A" w:rsidRPr="003871D0">
              <w:rPr>
                <w:rFonts w:ascii="Arial" w:eastAsia="Calibri" w:hAnsi="Arial" w:cs="Arial"/>
                <w:b/>
                <w:sz w:val="22"/>
                <w:szCs w:val="22"/>
                <w:lang w:val="en"/>
              </w:rPr>
              <w:lastRenderedPageBreak/>
              <w:t>acceptable and safe for human consumption. Smoking reduced TVN and TBA levels, pH values, and increased WHC, elasticity, and water-holding capacity of the canned chicken meat compared to unsmoked.</w:t>
            </w:r>
          </w:p>
        </w:tc>
      </w:tr>
    </w:tbl>
    <w:p w14:paraId="60C825A6" w14:textId="77777777" w:rsidR="00636EB2" w:rsidRDefault="00636EB2" w:rsidP="00441B6F">
      <w:pPr>
        <w:pStyle w:val="Body"/>
        <w:spacing w:after="0"/>
        <w:rPr>
          <w:rFonts w:ascii="Arial" w:hAnsi="Arial" w:cs="Arial"/>
          <w:i/>
        </w:rPr>
      </w:pPr>
    </w:p>
    <w:p w14:paraId="79593D59" w14:textId="5A970517" w:rsidR="00A24E7E" w:rsidRDefault="00A24E7E" w:rsidP="00982D55">
      <w:pPr>
        <w:pStyle w:val="Body"/>
        <w:spacing w:after="0"/>
        <w:rPr>
          <w:rFonts w:ascii="Arial" w:hAnsi="Arial" w:cs="Arial"/>
          <w:i/>
        </w:rPr>
      </w:pPr>
      <w:r>
        <w:rPr>
          <w:rFonts w:ascii="Arial" w:hAnsi="Arial" w:cs="Arial"/>
          <w:i/>
        </w:rPr>
        <w:t xml:space="preserve">Keywords: </w:t>
      </w:r>
      <w:r w:rsidR="00982D55" w:rsidRPr="00982D55">
        <w:rPr>
          <w:rFonts w:ascii="Arial" w:hAnsi="Arial" w:cs="Arial"/>
          <w:i/>
        </w:rPr>
        <w:t>Chicken meat, Breasts, Thighs, Canning, Smoking, Solid, Chunk, Shredded</w:t>
      </w:r>
    </w:p>
    <w:p w14:paraId="6F937CAF" w14:textId="77777777" w:rsidR="00790ADA" w:rsidRDefault="00790ADA" w:rsidP="00441B6F">
      <w:pPr>
        <w:pStyle w:val="Body"/>
        <w:spacing w:after="0"/>
        <w:rPr>
          <w:rFonts w:ascii="Arial" w:hAnsi="Arial" w:cs="Arial"/>
          <w:i/>
        </w:rPr>
      </w:pPr>
    </w:p>
    <w:p w14:paraId="60F96107" w14:textId="4D7495C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A0C42A0" w14:textId="77777777" w:rsidR="00790ADA" w:rsidRPr="00FB3A86" w:rsidRDefault="00790ADA" w:rsidP="00441B6F">
      <w:pPr>
        <w:pStyle w:val="AbstHead"/>
        <w:spacing w:after="0"/>
        <w:jc w:val="both"/>
        <w:rPr>
          <w:rFonts w:ascii="Arial" w:hAnsi="Arial" w:cs="Arial"/>
        </w:rPr>
      </w:pPr>
    </w:p>
    <w:p w14:paraId="4A4DFA33" w14:textId="77777777" w:rsidR="00982D55" w:rsidRPr="00982D55" w:rsidRDefault="00982D55" w:rsidP="00982D55">
      <w:pPr>
        <w:pStyle w:val="Body"/>
        <w:rPr>
          <w:rFonts w:ascii="Arial" w:hAnsi="Arial" w:cs="Arial"/>
        </w:rPr>
      </w:pPr>
      <w:r w:rsidRPr="00982D55">
        <w:rPr>
          <w:rFonts w:ascii="Arial" w:hAnsi="Arial" w:cs="Arial"/>
        </w:rPr>
        <w:t xml:space="preserve">The fast-paced lifestyle, rising individual income, improved socio-economic status, and increased awareness of hygiene and nutrition are all contributing factors to the global rise in demand for convenience meat products. The demand for poultry meat has increased over the past several years due to its good and cheaper source of animal protein and its association with low-fat and low-calorie foods </w:t>
      </w:r>
      <w:r w:rsidRPr="00982D55">
        <w:rPr>
          <w:rFonts w:ascii="Arial" w:hAnsi="Arial" w:cs="Arial"/>
          <w:b/>
        </w:rPr>
        <w:t xml:space="preserve">(Sarkar </w:t>
      </w:r>
      <w:r w:rsidRPr="00982D55">
        <w:rPr>
          <w:rFonts w:ascii="Arial" w:hAnsi="Arial" w:cs="Arial"/>
          <w:b/>
          <w:i/>
        </w:rPr>
        <w:t>et al</w:t>
      </w:r>
      <w:r w:rsidRPr="00982D55">
        <w:rPr>
          <w:rFonts w:ascii="Arial" w:hAnsi="Arial" w:cs="Arial"/>
          <w:b/>
        </w:rPr>
        <w:t xml:space="preserve">., 2020; </w:t>
      </w:r>
      <w:proofErr w:type="spellStart"/>
      <w:r w:rsidRPr="00982D55">
        <w:rPr>
          <w:rFonts w:ascii="Arial" w:hAnsi="Arial" w:cs="Arial"/>
          <w:b/>
        </w:rPr>
        <w:t>Erdaw</w:t>
      </w:r>
      <w:proofErr w:type="spellEnd"/>
      <w:r w:rsidRPr="00982D55">
        <w:rPr>
          <w:rFonts w:ascii="Arial" w:hAnsi="Arial" w:cs="Arial"/>
          <w:b/>
        </w:rPr>
        <w:t xml:space="preserve"> and </w:t>
      </w:r>
      <w:proofErr w:type="spellStart"/>
      <w:r w:rsidRPr="00982D55">
        <w:rPr>
          <w:rFonts w:ascii="Arial" w:hAnsi="Arial" w:cs="Arial"/>
          <w:b/>
        </w:rPr>
        <w:t>Beyene</w:t>
      </w:r>
      <w:proofErr w:type="spellEnd"/>
      <w:r w:rsidRPr="00982D55">
        <w:rPr>
          <w:rFonts w:ascii="Arial" w:hAnsi="Arial" w:cs="Arial"/>
          <w:b/>
        </w:rPr>
        <w:t xml:space="preserve">, 2022). </w:t>
      </w:r>
      <w:r w:rsidRPr="00982D55">
        <w:rPr>
          <w:rFonts w:ascii="Arial" w:hAnsi="Arial" w:cs="Arial"/>
        </w:rPr>
        <w:t>Spent hen meats is an excellent and inexpensive source of animal protein. It is low in cholesterol and rich in omega-3 polyunsaturated fatty acids, especially in the breast muscles. This is beneficial to health and can be used to develop new products that effectively reduce acute protein-energy malnutrition, especially in developing countries. Spent hens are used for egg production for 12 to 18 months or indefinitely. Due to the long rearing cycle, as they age, their size and production rate decline, making it economically unviable to keep them. These birds are then used for meat and meat products (</w:t>
      </w:r>
      <w:r w:rsidRPr="00982D55">
        <w:rPr>
          <w:rFonts w:ascii="Arial" w:hAnsi="Arial" w:cs="Arial"/>
          <w:b/>
        </w:rPr>
        <w:t>Barido and Lee, 2021</w:t>
      </w:r>
      <w:r w:rsidRPr="00982D55">
        <w:rPr>
          <w:rFonts w:ascii="Arial" w:hAnsi="Arial" w:cs="Arial"/>
        </w:rPr>
        <w:t xml:space="preserve">; </w:t>
      </w:r>
      <w:proofErr w:type="spellStart"/>
      <w:r w:rsidRPr="00982D55">
        <w:rPr>
          <w:rFonts w:ascii="Arial" w:hAnsi="Arial" w:cs="Arial"/>
          <w:b/>
        </w:rPr>
        <w:t>Alugwu</w:t>
      </w:r>
      <w:proofErr w:type="spellEnd"/>
      <w:r w:rsidRPr="00982D55">
        <w:rPr>
          <w:rFonts w:ascii="Arial" w:hAnsi="Arial" w:cs="Arial"/>
          <w:b/>
        </w:rPr>
        <w:t xml:space="preserve"> </w:t>
      </w:r>
      <w:r w:rsidRPr="00982D55">
        <w:rPr>
          <w:rFonts w:ascii="Arial" w:hAnsi="Arial" w:cs="Arial"/>
          <w:i/>
        </w:rPr>
        <w:t>et al</w:t>
      </w:r>
      <w:r w:rsidRPr="00982D55">
        <w:rPr>
          <w:rFonts w:ascii="Arial" w:hAnsi="Arial" w:cs="Arial"/>
          <w:b/>
        </w:rPr>
        <w:t>., 2022</w:t>
      </w:r>
      <w:r w:rsidRPr="00982D55">
        <w:rPr>
          <w:rFonts w:ascii="Arial" w:hAnsi="Arial" w:cs="Arial"/>
        </w:rPr>
        <w:t xml:space="preserve">). Spent hens is characterized by its small weight and tough, lean meat, making it difficult to cook. It often requires processing before being put on the market </w:t>
      </w:r>
      <w:r w:rsidRPr="00982D55">
        <w:rPr>
          <w:rFonts w:ascii="Arial" w:hAnsi="Arial" w:cs="Arial"/>
          <w:b/>
        </w:rPr>
        <w:t>(Egg, 2022</w:t>
      </w:r>
      <w:r w:rsidRPr="00982D55">
        <w:rPr>
          <w:rFonts w:ascii="Arial" w:hAnsi="Arial" w:cs="Arial"/>
        </w:rPr>
        <w:t>). Consumer acceptance of spent hens as a food varies due to the strength of its muscles, which contain a large amount of collagen and cross-linking. Spent hens is a popular dish in several regions of the world, including India, China, Thailand, and Korea. It can also be used to make chicken burgers, sausages, luncheon meats, surimi, soups, and processed meat products (</w:t>
      </w:r>
      <w:proofErr w:type="spellStart"/>
      <w:r w:rsidRPr="00982D55">
        <w:rPr>
          <w:rFonts w:ascii="Arial" w:hAnsi="Arial" w:cs="Arial"/>
          <w:b/>
        </w:rPr>
        <w:t>Sabikun</w:t>
      </w:r>
      <w:proofErr w:type="spellEnd"/>
      <w:r w:rsidRPr="00982D55">
        <w:rPr>
          <w:rFonts w:ascii="Arial" w:hAnsi="Arial" w:cs="Arial"/>
          <w:b/>
        </w:rPr>
        <w:t xml:space="preserve"> </w:t>
      </w:r>
      <w:r w:rsidRPr="00982D55">
        <w:rPr>
          <w:rFonts w:ascii="Arial" w:hAnsi="Arial" w:cs="Arial"/>
          <w:b/>
          <w:i/>
        </w:rPr>
        <w:t>et al</w:t>
      </w:r>
      <w:r w:rsidRPr="00982D55">
        <w:rPr>
          <w:rFonts w:ascii="Arial" w:hAnsi="Arial" w:cs="Arial"/>
          <w:b/>
        </w:rPr>
        <w:t>., 2021</w:t>
      </w:r>
      <w:r w:rsidRPr="00982D55">
        <w:rPr>
          <w:rFonts w:ascii="Arial" w:hAnsi="Arial" w:cs="Arial"/>
        </w:rPr>
        <w:t>).</w:t>
      </w:r>
    </w:p>
    <w:p w14:paraId="3AC28FDA" w14:textId="77777777" w:rsidR="00982D55" w:rsidRDefault="00982D55" w:rsidP="00982D55">
      <w:pPr>
        <w:pStyle w:val="Body"/>
        <w:rPr>
          <w:rFonts w:ascii="Arial" w:hAnsi="Arial" w:cs="Arial"/>
        </w:rPr>
      </w:pPr>
      <w:r w:rsidRPr="00982D55">
        <w:rPr>
          <w:rFonts w:ascii="Arial" w:hAnsi="Arial" w:cs="Arial"/>
        </w:rPr>
        <w:t>Food preservation is a critical aspect of ensuring food safety and quality, preventing</w:t>
      </w:r>
      <w:r>
        <w:rPr>
          <w:rFonts w:ascii="Arial" w:hAnsi="Arial" w:cs="Arial"/>
        </w:rPr>
        <w:t xml:space="preserve"> </w:t>
      </w:r>
      <w:r w:rsidRPr="00982D55">
        <w:rPr>
          <w:rFonts w:ascii="Arial" w:hAnsi="Arial" w:cs="Arial"/>
        </w:rPr>
        <w:t>spoilage, and extending the shelf life of perishable products (</w:t>
      </w:r>
      <w:proofErr w:type="spellStart"/>
      <w:r w:rsidRPr="00982D55">
        <w:rPr>
          <w:rFonts w:ascii="Arial" w:hAnsi="Arial" w:cs="Arial"/>
          <w:b/>
        </w:rPr>
        <w:t>Ogwu</w:t>
      </w:r>
      <w:proofErr w:type="spellEnd"/>
      <w:r w:rsidRPr="00982D55">
        <w:rPr>
          <w:rFonts w:ascii="Arial" w:hAnsi="Arial" w:cs="Arial"/>
          <w:b/>
        </w:rPr>
        <w:t xml:space="preserve"> 2023</w:t>
      </w:r>
      <w:proofErr w:type="gramStart"/>
      <w:r w:rsidRPr="00982D55">
        <w:rPr>
          <w:rFonts w:ascii="Arial" w:hAnsi="Arial" w:cs="Arial"/>
          <w:b/>
        </w:rPr>
        <w:t>a,b</w:t>
      </w:r>
      <w:proofErr w:type="gramEnd"/>
      <w:r w:rsidRPr="00982D55">
        <w:rPr>
          <w:rFonts w:ascii="Arial" w:hAnsi="Arial" w:cs="Arial"/>
        </w:rPr>
        <w:t>). Meat is a rich source of protein, iron, zinc, fatty acids, and vitamins. Its high moisture content makes it a highly perishable product due to chemical reactions and enzymatic activity. This leads to the decomposition of fats, proteins, and carbohydrates in meat, resulting in odors, putrefaction, and the production of mucus, rendering the meat unfit for human consumption. Humidity, temperature, microorganisms, ambient oxygen, and internal enzymes also affect the shelf life and freshness of meat, causing it to deteriorate. For this reason, many techniques are used to preserve meat and meat products by inactivating or eliminating microbes (</w:t>
      </w:r>
      <w:r w:rsidRPr="00982D55">
        <w:rPr>
          <w:rFonts w:ascii="Arial" w:hAnsi="Arial" w:cs="Arial"/>
          <w:b/>
        </w:rPr>
        <w:t xml:space="preserve">Rahman </w:t>
      </w:r>
      <w:r w:rsidRPr="00982D55">
        <w:rPr>
          <w:rFonts w:ascii="Arial" w:hAnsi="Arial" w:cs="Arial"/>
          <w:b/>
          <w:i/>
        </w:rPr>
        <w:t>et al</w:t>
      </w:r>
      <w:r w:rsidRPr="00982D55">
        <w:rPr>
          <w:rFonts w:ascii="Arial" w:hAnsi="Arial" w:cs="Arial"/>
          <w:b/>
        </w:rPr>
        <w:t>., 2023</w:t>
      </w:r>
      <w:r w:rsidRPr="00982D55">
        <w:rPr>
          <w:rFonts w:ascii="Arial" w:hAnsi="Arial" w:cs="Arial"/>
        </w:rPr>
        <w:t>). Meat and poultry can be preserved for long-term storage through canning, drying, freezing, salting, or smoking. These preservation techniques allow meat and poultry to be safely</w:t>
      </w:r>
      <w:r>
        <w:rPr>
          <w:rFonts w:ascii="Arial" w:hAnsi="Arial" w:cs="Arial"/>
        </w:rPr>
        <w:t xml:space="preserve"> </w:t>
      </w:r>
      <w:r w:rsidRPr="00982D55">
        <w:rPr>
          <w:rFonts w:ascii="Arial" w:hAnsi="Arial" w:cs="Arial"/>
        </w:rPr>
        <w:t>consumed well beyond their product date. Canning is widespread worldwide because it provides ready-to-eat food where refrigeration is not available, whether during work, travel, or camping, while preserving high-quality protein sources (</w:t>
      </w:r>
      <w:r w:rsidRPr="00982D55">
        <w:rPr>
          <w:rFonts w:ascii="Arial" w:hAnsi="Arial" w:cs="Arial"/>
          <w:b/>
        </w:rPr>
        <w:t xml:space="preserve">Khalafallah </w:t>
      </w:r>
      <w:r w:rsidRPr="00982D55">
        <w:rPr>
          <w:rFonts w:ascii="Arial" w:hAnsi="Arial" w:cs="Arial"/>
          <w:b/>
          <w:i/>
        </w:rPr>
        <w:t>et al</w:t>
      </w:r>
      <w:r w:rsidRPr="00982D55">
        <w:rPr>
          <w:rFonts w:ascii="Arial" w:hAnsi="Arial" w:cs="Arial"/>
          <w:b/>
        </w:rPr>
        <w:t>, 2020</w:t>
      </w:r>
      <w:r w:rsidRPr="00982D55">
        <w:rPr>
          <w:rFonts w:ascii="Arial" w:hAnsi="Arial" w:cs="Arial"/>
        </w:rPr>
        <w:t>). Canned meat is heat-treated to maintain its long-term stability. Heat treatment is carried out at temperatures exceeding 100°C. This process results in the complete inactivation of all vegetative bacteria and partial inactivation of spore-forming bacteria (</w:t>
      </w:r>
      <w:r w:rsidRPr="00982D55">
        <w:rPr>
          <w:rFonts w:ascii="Arial" w:hAnsi="Arial" w:cs="Arial"/>
          <w:b/>
        </w:rPr>
        <w:t xml:space="preserve">André </w:t>
      </w:r>
      <w:r w:rsidRPr="00982D55">
        <w:rPr>
          <w:rFonts w:ascii="Arial" w:hAnsi="Arial" w:cs="Arial"/>
          <w:b/>
          <w:i/>
        </w:rPr>
        <w:t>et al</w:t>
      </w:r>
      <w:r w:rsidRPr="00982D55">
        <w:rPr>
          <w:rFonts w:ascii="Arial" w:hAnsi="Arial" w:cs="Arial"/>
          <w:b/>
        </w:rPr>
        <w:t>., 2013</w:t>
      </w:r>
      <w:r w:rsidRPr="00982D55">
        <w:rPr>
          <w:rFonts w:ascii="Arial" w:hAnsi="Arial" w:cs="Arial"/>
        </w:rPr>
        <w:t>). Oxygen removal is critical in the meat canning process, and many food additives such as sodium benzoate, sodium sorbate, sodium ascorbate, ascorbic acid, and sulfur dioxide are also used. Bacterial growth can be inhibited using acetic and lactic acids, and yeast growth can be inhibited using sorbates and acetates (</w:t>
      </w:r>
      <w:r w:rsidRPr="00982D55">
        <w:rPr>
          <w:rFonts w:ascii="Arial" w:hAnsi="Arial" w:cs="Arial"/>
          <w:b/>
        </w:rPr>
        <w:t>Edris et al, 2017</w:t>
      </w:r>
      <w:r w:rsidRPr="00982D55">
        <w:rPr>
          <w:rFonts w:ascii="Arial" w:hAnsi="Arial" w:cs="Arial"/>
        </w:rPr>
        <w:t xml:space="preserve">). According to </w:t>
      </w:r>
      <w:r w:rsidRPr="00982D55">
        <w:rPr>
          <w:rFonts w:ascii="Arial" w:hAnsi="Arial" w:cs="Arial"/>
          <w:b/>
        </w:rPr>
        <w:t>Shephard (2006)</w:t>
      </w:r>
      <w:r w:rsidRPr="00982D55">
        <w:rPr>
          <w:rFonts w:ascii="Arial" w:hAnsi="Arial" w:cs="Arial"/>
        </w:rPr>
        <w:t xml:space="preserve">, canning involves preparing food, placing it in sterile containers such as cans or jars, and then boiling it to eliminate or weaken any lingering </w:t>
      </w:r>
      <w:r w:rsidRPr="00982D55">
        <w:rPr>
          <w:rFonts w:ascii="Arial" w:hAnsi="Arial" w:cs="Arial"/>
        </w:rPr>
        <w:lastRenderedPageBreak/>
        <w:t xml:space="preserve">microorganisms. According to </w:t>
      </w:r>
      <w:proofErr w:type="spellStart"/>
      <w:r w:rsidRPr="00982D55">
        <w:rPr>
          <w:rFonts w:ascii="Arial" w:hAnsi="Arial" w:cs="Arial"/>
          <w:b/>
        </w:rPr>
        <w:t>Ariyamuthu</w:t>
      </w:r>
      <w:proofErr w:type="spellEnd"/>
      <w:r w:rsidRPr="00982D55">
        <w:rPr>
          <w:rFonts w:ascii="Arial" w:hAnsi="Arial" w:cs="Arial"/>
          <w:b/>
        </w:rPr>
        <w:t xml:space="preserve"> </w:t>
      </w:r>
      <w:r w:rsidRPr="00982D55">
        <w:rPr>
          <w:rFonts w:ascii="Arial" w:hAnsi="Arial" w:cs="Arial"/>
          <w:b/>
          <w:i/>
        </w:rPr>
        <w:t>et al</w:t>
      </w:r>
      <w:r w:rsidRPr="00982D55">
        <w:rPr>
          <w:rFonts w:ascii="Arial" w:hAnsi="Arial" w:cs="Arial"/>
          <w:b/>
        </w:rPr>
        <w:t>. (2022)</w:t>
      </w:r>
      <w:r w:rsidRPr="00982D55">
        <w:rPr>
          <w:rFonts w:ascii="Arial" w:hAnsi="Arial" w:cs="Arial"/>
        </w:rPr>
        <w:t>, this process involves immersing jars of food in boiling water and cooking them for a predetermined period of time.</w:t>
      </w:r>
      <w:r>
        <w:rPr>
          <w:rFonts w:ascii="Arial" w:hAnsi="Arial" w:cs="Arial"/>
        </w:rPr>
        <w:t xml:space="preserve"> </w:t>
      </w:r>
    </w:p>
    <w:p w14:paraId="2189F9C6" w14:textId="5B327BC1" w:rsidR="00982D55" w:rsidRPr="00982D55" w:rsidRDefault="00982D55" w:rsidP="00982D55">
      <w:pPr>
        <w:pStyle w:val="Body"/>
        <w:rPr>
          <w:rFonts w:ascii="Arial" w:hAnsi="Arial" w:cs="Arial"/>
        </w:rPr>
      </w:pPr>
      <w:r w:rsidRPr="00982D55">
        <w:rPr>
          <w:rFonts w:ascii="Arial" w:hAnsi="Arial" w:cs="Arial"/>
        </w:rPr>
        <w:t>Protein food products can be smoked. Additionally, the aromatic chemicals in smoke may impart more flavor and color to the food, and may also have antioxidant and antibacterial properties, extending its shelf life (</w:t>
      </w:r>
      <w:r w:rsidRPr="00982D55">
        <w:rPr>
          <w:rFonts w:ascii="Arial" w:hAnsi="Arial" w:cs="Arial"/>
          <w:b/>
        </w:rPr>
        <w:t xml:space="preserve">Farag </w:t>
      </w:r>
      <w:r w:rsidRPr="00982D55">
        <w:rPr>
          <w:rFonts w:ascii="Arial" w:hAnsi="Arial" w:cs="Arial"/>
          <w:b/>
          <w:i/>
        </w:rPr>
        <w:t>et al</w:t>
      </w:r>
      <w:r w:rsidRPr="00982D55">
        <w:rPr>
          <w:rFonts w:ascii="Arial" w:hAnsi="Arial" w:cs="Arial"/>
          <w:b/>
        </w:rPr>
        <w:t>., 2024</w:t>
      </w:r>
      <w:r w:rsidRPr="00982D55">
        <w:rPr>
          <w:rFonts w:ascii="Arial" w:hAnsi="Arial" w:cs="Arial"/>
        </w:rPr>
        <w:t>). Liquid smoke gives smoked products a distinctive aroma and enhanced color quality. Food preservation has become essential because it allows any food to be transported long distances without losing its nutritional value, texture, or color (</w:t>
      </w:r>
      <w:proofErr w:type="spellStart"/>
      <w:r w:rsidRPr="00982D55">
        <w:rPr>
          <w:rFonts w:ascii="Arial" w:hAnsi="Arial" w:cs="Arial"/>
          <w:b/>
        </w:rPr>
        <w:t>Ogwu</w:t>
      </w:r>
      <w:proofErr w:type="spellEnd"/>
      <w:r w:rsidRPr="00982D55">
        <w:rPr>
          <w:rFonts w:ascii="Arial" w:hAnsi="Arial" w:cs="Arial"/>
          <w:b/>
        </w:rPr>
        <w:t xml:space="preserve"> 2023a</w:t>
      </w:r>
      <w:r w:rsidRPr="00982D55">
        <w:rPr>
          <w:rFonts w:ascii="Arial" w:hAnsi="Arial" w:cs="Arial"/>
        </w:rPr>
        <w:t>). Liquid smoke is a compound that simultaneously evaporates from a hot reactor via pyrolysis (thermal decomposition) and condenses in the cooling system. It contains phenolic compounds that act as antioxidants by stabilizing free radicals (</w:t>
      </w:r>
      <w:proofErr w:type="spellStart"/>
      <w:r w:rsidRPr="00982D55">
        <w:rPr>
          <w:rFonts w:ascii="Arial" w:hAnsi="Arial" w:cs="Arial"/>
          <w:b/>
        </w:rPr>
        <w:t>Indiarto</w:t>
      </w:r>
      <w:proofErr w:type="spellEnd"/>
      <w:r w:rsidRPr="00982D55">
        <w:rPr>
          <w:rFonts w:ascii="Arial" w:hAnsi="Arial" w:cs="Arial"/>
          <w:b/>
        </w:rPr>
        <w:t xml:space="preserve"> </w:t>
      </w:r>
      <w:r w:rsidRPr="00982D55">
        <w:rPr>
          <w:rFonts w:ascii="Arial" w:hAnsi="Arial" w:cs="Arial"/>
          <w:b/>
          <w:i/>
        </w:rPr>
        <w:t>et al</w:t>
      </w:r>
      <w:r w:rsidRPr="00982D55">
        <w:rPr>
          <w:rFonts w:ascii="Arial" w:hAnsi="Arial" w:cs="Arial"/>
          <w:b/>
        </w:rPr>
        <w:t>., 2020</w:t>
      </w:r>
      <w:r w:rsidRPr="00982D55">
        <w:rPr>
          <w:rFonts w:ascii="Arial" w:hAnsi="Arial" w:cs="Arial"/>
        </w:rPr>
        <w:t xml:space="preserve">). The phenolic and acetic acid content of liquid smoke can inhibit the growth of bacteria such as </w:t>
      </w:r>
      <w:r w:rsidRPr="00982D55">
        <w:rPr>
          <w:rFonts w:ascii="Arial" w:hAnsi="Arial" w:cs="Arial"/>
          <w:i/>
        </w:rPr>
        <w:t xml:space="preserve">Pseudomonas fluorescens, Bacillus subtilis, Escherichia coli, </w:t>
      </w:r>
      <w:r w:rsidRPr="00982D55">
        <w:rPr>
          <w:rFonts w:ascii="Arial" w:hAnsi="Arial" w:cs="Arial"/>
        </w:rPr>
        <w:t xml:space="preserve">and </w:t>
      </w:r>
      <w:r w:rsidRPr="00982D55">
        <w:rPr>
          <w:rFonts w:ascii="Arial" w:hAnsi="Arial" w:cs="Arial"/>
          <w:i/>
        </w:rPr>
        <w:t xml:space="preserve">Staphylococcus aureus </w:t>
      </w:r>
      <w:r w:rsidRPr="00982D55">
        <w:rPr>
          <w:rFonts w:ascii="Arial" w:hAnsi="Arial" w:cs="Arial"/>
        </w:rPr>
        <w:t>(</w:t>
      </w:r>
      <w:r w:rsidRPr="00982D55">
        <w:rPr>
          <w:rFonts w:ascii="Arial" w:hAnsi="Arial" w:cs="Arial"/>
          <w:b/>
        </w:rPr>
        <w:t>Soares et al., 2016</w:t>
      </w:r>
      <w:r w:rsidRPr="00982D55">
        <w:rPr>
          <w:rFonts w:ascii="Arial" w:hAnsi="Arial" w:cs="Arial"/>
        </w:rPr>
        <w:t xml:space="preserve">). </w:t>
      </w:r>
      <w:proofErr w:type="spellStart"/>
      <w:r w:rsidRPr="00982D55">
        <w:rPr>
          <w:rFonts w:ascii="Arial" w:hAnsi="Arial" w:cs="Arial"/>
          <w:b/>
        </w:rPr>
        <w:t>Saloko</w:t>
      </w:r>
      <w:proofErr w:type="spellEnd"/>
      <w:r w:rsidRPr="00982D55">
        <w:rPr>
          <w:rFonts w:ascii="Arial" w:hAnsi="Arial" w:cs="Arial"/>
          <w:b/>
        </w:rPr>
        <w:t xml:space="preserve"> et al., (2014) </w:t>
      </w:r>
      <w:r w:rsidRPr="00982D55">
        <w:rPr>
          <w:rFonts w:ascii="Arial" w:hAnsi="Arial" w:cs="Arial"/>
        </w:rPr>
        <w:t>demonstrated that using liquid smoke is easier and safer than traditional smoking techniques because residual polycyclic aromatic hydrocarbons can be removed through purification using re-distillation, and liquid smoke can be applied at a certain level.</w:t>
      </w:r>
    </w:p>
    <w:p w14:paraId="73DB6057" w14:textId="32AF01CD" w:rsidR="00982D55" w:rsidRPr="00982D55" w:rsidRDefault="00982D55" w:rsidP="00897830">
      <w:pPr>
        <w:pStyle w:val="Body"/>
        <w:rPr>
          <w:rFonts w:ascii="Arial" w:hAnsi="Arial" w:cs="Arial"/>
        </w:rPr>
      </w:pPr>
      <w:r w:rsidRPr="00982D55">
        <w:rPr>
          <w:rFonts w:ascii="Arial" w:hAnsi="Arial" w:cs="Arial"/>
        </w:rPr>
        <w:t>The study's goal is to maximize the benefit of spent hen meat, which is an excellent and low-cost source of animal protein low in cholesterol and high in omega-3 fatty acids, by</w:t>
      </w:r>
      <w:r w:rsidR="00897830">
        <w:rPr>
          <w:rFonts w:ascii="Arial" w:hAnsi="Arial" w:cs="Arial"/>
        </w:rPr>
        <w:t xml:space="preserve"> </w:t>
      </w:r>
      <w:r w:rsidRPr="00982D55">
        <w:rPr>
          <w:rFonts w:ascii="Arial" w:hAnsi="Arial" w:cs="Arial"/>
        </w:rPr>
        <w:t>developing new products with high consumer acceptance and preserved using one or more preservation methods such as canning and smoking, which ensure the product's safety and consider consumer safety aspects.</w:t>
      </w:r>
    </w:p>
    <w:p w14:paraId="1FB870A7" w14:textId="77777777" w:rsidR="00790ADA" w:rsidRPr="00FB3A86" w:rsidRDefault="00790ADA" w:rsidP="00441B6F">
      <w:pPr>
        <w:pStyle w:val="Body"/>
        <w:spacing w:after="0"/>
        <w:rPr>
          <w:rFonts w:ascii="Arial" w:hAnsi="Arial" w:cs="Arial"/>
        </w:rPr>
      </w:pPr>
    </w:p>
    <w:p w14:paraId="38BF871E" w14:textId="3DD59F32" w:rsidR="00790ADA" w:rsidRDefault="00902823" w:rsidP="003F4AB7">
      <w:pPr>
        <w:pStyle w:val="AbstHead"/>
        <w:spacing w:after="0"/>
        <w:jc w:val="both"/>
        <w:rPr>
          <w:rFonts w:ascii="Arial" w:hAnsi="Arial" w:cs="Arial"/>
          <w:rtl/>
        </w:rPr>
      </w:pPr>
      <w:r>
        <w:rPr>
          <w:rFonts w:ascii="Arial" w:hAnsi="Arial" w:cs="Arial"/>
        </w:rPr>
        <w:t>2. material and method</w:t>
      </w:r>
      <w:r w:rsidR="00000F8F">
        <w:rPr>
          <w:rFonts w:ascii="Arial" w:hAnsi="Arial" w:cs="Arial"/>
        </w:rPr>
        <w:t xml:space="preserve">s </w:t>
      </w:r>
    </w:p>
    <w:p w14:paraId="47490918" w14:textId="77777777" w:rsidR="003F4AB7" w:rsidRPr="00FB3A86" w:rsidRDefault="003F4AB7" w:rsidP="003F4AB7">
      <w:pPr>
        <w:pStyle w:val="AbstHead"/>
        <w:spacing w:after="0"/>
        <w:jc w:val="both"/>
        <w:rPr>
          <w:rFonts w:ascii="Arial" w:hAnsi="Arial" w:cs="Arial"/>
        </w:rPr>
      </w:pPr>
    </w:p>
    <w:p w14:paraId="1369BDE4" w14:textId="52B5923D" w:rsidR="006834EA" w:rsidRPr="006834EA" w:rsidRDefault="00676CF7" w:rsidP="006834EA">
      <w:pPr>
        <w:pStyle w:val="Body"/>
        <w:rPr>
          <w:rFonts w:ascii="Arial" w:hAnsi="Arial" w:cs="Arial"/>
          <w:b/>
        </w:rPr>
      </w:pPr>
      <w:r>
        <w:rPr>
          <w:rFonts w:ascii="Arial" w:hAnsi="Arial" w:cs="Arial"/>
          <w:b/>
        </w:rPr>
        <w:t xml:space="preserve">2.1 </w:t>
      </w:r>
      <w:r w:rsidR="006834EA" w:rsidRPr="006834EA">
        <w:rPr>
          <w:rFonts w:ascii="Arial" w:hAnsi="Arial" w:cs="Arial"/>
          <w:b/>
        </w:rPr>
        <w:t>Materials</w:t>
      </w:r>
    </w:p>
    <w:p w14:paraId="5AA67DC9" w14:textId="1E05207A" w:rsidR="006834EA" w:rsidRDefault="006834EA" w:rsidP="006834EA">
      <w:pPr>
        <w:pStyle w:val="Body"/>
        <w:rPr>
          <w:rFonts w:ascii="Arial" w:hAnsi="Arial" w:cs="Arial"/>
        </w:rPr>
      </w:pPr>
      <w:r w:rsidRPr="006834EA">
        <w:rPr>
          <w:rFonts w:ascii="Arial" w:hAnsi="Arial" w:cs="Arial"/>
        </w:rPr>
        <w:t xml:space="preserve">Spent hens weighing between 4.5-5 kg were purchased from the local market in Cairo, Egypt. The chicken had been slaughtered, left to bleed for five minutes, boiled for 2 minutes at 60˚C, the feathers have been manually removed, eviscerated, followed by washing with tap water. The chicken was transported immediately to laboratory of meat and fish department, Agriculture research center. Carcasses were skinned, deboned and trimmed of fat, cutting as required for the processing. Liquid smoke was produced from meat and fish department laboratory according to </w:t>
      </w:r>
      <w:r w:rsidRPr="006834EA">
        <w:rPr>
          <w:rFonts w:ascii="Arial" w:hAnsi="Arial" w:cs="Arial"/>
          <w:b/>
        </w:rPr>
        <w:t xml:space="preserve">(Sorour </w:t>
      </w:r>
      <w:r w:rsidRPr="006834EA">
        <w:rPr>
          <w:rFonts w:ascii="Arial" w:hAnsi="Arial" w:cs="Arial"/>
          <w:b/>
          <w:i/>
        </w:rPr>
        <w:t>et al</w:t>
      </w:r>
      <w:r w:rsidRPr="006834EA">
        <w:rPr>
          <w:rFonts w:ascii="Arial" w:hAnsi="Arial" w:cs="Arial"/>
          <w:b/>
        </w:rPr>
        <w:t>., 2021)</w:t>
      </w:r>
      <w:r w:rsidRPr="006834EA">
        <w:rPr>
          <w:rFonts w:ascii="Arial" w:hAnsi="Arial" w:cs="Arial"/>
        </w:rPr>
        <w:t>. Salt, 2% spices mixture (30% laurel, 30% cardamom, 20% white paper, 10% clove and 10% dried ginger) and new glass canning jars (300 ml) were purchased from the local market.</w:t>
      </w:r>
    </w:p>
    <w:p w14:paraId="48AD117C" w14:textId="77777777" w:rsidR="00676CF7" w:rsidRPr="00676CF7" w:rsidRDefault="00676CF7" w:rsidP="00676CF7">
      <w:pPr>
        <w:pStyle w:val="Body"/>
        <w:rPr>
          <w:rFonts w:ascii="Arial" w:hAnsi="Arial" w:cs="Arial"/>
          <w:b/>
          <w:bCs/>
        </w:rPr>
      </w:pPr>
      <w:r w:rsidRPr="00676CF7">
        <w:rPr>
          <w:rFonts w:ascii="Arial" w:hAnsi="Arial" w:cs="Arial"/>
          <w:b/>
          <w:bCs/>
        </w:rPr>
        <w:t>Chemicals</w:t>
      </w:r>
    </w:p>
    <w:p w14:paraId="3284A255" w14:textId="77777777" w:rsidR="00676CF7" w:rsidRPr="00676CF7" w:rsidRDefault="00676CF7" w:rsidP="00676CF7">
      <w:pPr>
        <w:pStyle w:val="Body"/>
        <w:rPr>
          <w:rFonts w:ascii="Arial" w:hAnsi="Arial" w:cs="Arial"/>
        </w:rPr>
      </w:pPr>
      <w:r w:rsidRPr="00676CF7">
        <w:rPr>
          <w:rFonts w:ascii="Arial" w:hAnsi="Arial" w:cs="Arial"/>
        </w:rPr>
        <w:t>All analytical grade chemicals were obtained from El-</w:t>
      </w:r>
      <w:proofErr w:type="spellStart"/>
      <w:r w:rsidRPr="00676CF7">
        <w:rPr>
          <w:rFonts w:ascii="Arial" w:hAnsi="Arial" w:cs="Arial"/>
        </w:rPr>
        <w:t>Gomhoria</w:t>
      </w:r>
      <w:proofErr w:type="spellEnd"/>
      <w:r w:rsidRPr="00676CF7">
        <w:rPr>
          <w:rFonts w:ascii="Arial" w:hAnsi="Arial" w:cs="Arial"/>
        </w:rPr>
        <w:t xml:space="preserve"> Company for Trading Chemicals and Drugs as TBA (Techno. </w:t>
      </w:r>
      <w:proofErr w:type="spellStart"/>
      <w:r w:rsidRPr="00676CF7">
        <w:rPr>
          <w:rFonts w:ascii="Arial" w:hAnsi="Arial" w:cs="Arial"/>
        </w:rPr>
        <w:t>Pharmchem</w:t>
      </w:r>
      <w:proofErr w:type="spellEnd"/>
      <w:r w:rsidRPr="00676CF7">
        <w:rPr>
          <w:rFonts w:ascii="Arial" w:hAnsi="Arial" w:cs="Arial"/>
        </w:rPr>
        <w:t>., India), Glacial acetic acid (</w:t>
      </w:r>
      <w:proofErr w:type="spellStart"/>
      <w:r w:rsidRPr="00676CF7">
        <w:rPr>
          <w:rFonts w:ascii="Arial" w:hAnsi="Arial" w:cs="Arial"/>
        </w:rPr>
        <w:t>Euromedox</w:t>
      </w:r>
      <w:proofErr w:type="spellEnd"/>
      <w:r w:rsidRPr="00676CF7">
        <w:rPr>
          <w:rFonts w:ascii="Arial" w:hAnsi="Arial" w:cs="Arial"/>
        </w:rPr>
        <w:t>, France) and NaOH, Boric acid, methyl red and Bromo cresol green (Loba-Chem., India).</w:t>
      </w:r>
    </w:p>
    <w:p w14:paraId="40347D6F" w14:textId="77777777" w:rsidR="006834EA" w:rsidRPr="006834EA" w:rsidRDefault="006834EA" w:rsidP="006834EA">
      <w:pPr>
        <w:pStyle w:val="Body"/>
        <w:rPr>
          <w:rFonts w:ascii="Arial" w:hAnsi="Arial" w:cs="Arial"/>
          <w:b/>
          <w:bCs/>
        </w:rPr>
      </w:pPr>
      <w:r w:rsidRPr="006834EA">
        <w:rPr>
          <w:rFonts w:ascii="Arial" w:hAnsi="Arial" w:cs="Arial"/>
          <w:b/>
          <w:bCs/>
        </w:rPr>
        <w:t>Preparing Jars</w:t>
      </w:r>
    </w:p>
    <w:p w14:paraId="38BCD701" w14:textId="77777777" w:rsidR="006834EA" w:rsidRPr="006834EA" w:rsidRDefault="006834EA" w:rsidP="006834EA">
      <w:pPr>
        <w:pStyle w:val="Body"/>
        <w:rPr>
          <w:rFonts w:ascii="Arial" w:hAnsi="Arial" w:cs="Arial"/>
        </w:rPr>
      </w:pPr>
      <w:r w:rsidRPr="006834EA">
        <w:rPr>
          <w:rFonts w:ascii="Arial" w:hAnsi="Arial" w:cs="Arial"/>
        </w:rPr>
        <w:t>Every jar was carefully cleaned and examined for rim fractures or nicks. Jars were disinfected by immersing them in boiling water for ten minutes, after which they were drained and turned over to remove all of the water. After ten minutes of preheating in hot water, the lids were allowed to air dry.</w:t>
      </w:r>
    </w:p>
    <w:p w14:paraId="3F91065F" w14:textId="77777777" w:rsidR="006834EA" w:rsidRPr="006834EA" w:rsidRDefault="006834EA" w:rsidP="006834EA">
      <w:pPr>
        <w:pStyle w:val="Body"/>
        <w:rPr>
          <w:rFonts w:ascii="Arial" w:hAnsi="Arial" w:cs="Arial"/>
          <w:b/>
          <w:bCs/>
        </w:rPr>
      </w:pPr>
      <w:r w:rsidRPr="006834EA">
        <w:rPr>
          <w:rFonts w:ascii="Arial" w:hAnsi="Arial" w:cs="Arial"/>
          <w:b/>
          <w:bCs/>
        </w:rPr>
        <w:t>Canning processing</w:t>
      </w:r>
    </w:p>
    <w:p w14:paraId="15938FB9" w14:textId="10551EDA" w:rsidR="006834EA" w:rsidRPr="006834EA" w:rsidRDefault="006834EA" w:rsidP="003E5042">
      <w:pPr>
        <w:pStyle w:val="Body"/>
        <w:rPr>
          <w:rFonts w:ascii="Arial" w:hAnsi="Arial" w:cs="Arial"/>
        </w:rPr>
      </w:pPr>
      <w:r w:rsidRPr="006834EA">
        <w:rPr>
          <w:rFonts w:ascii="Arial" w:hAnsi="Arial" w:cs="Arial"/>
        </w:rPr>
        <w:lastRenderedPageBreak/>
        <w:t>For solid chicken cutting the breast into slices. For chunk Slice the chicken breasts and thighs and cut each slice into smaller, cubed pieces. The cutting residue for both the breasts and thighs is cut into small pieces and used to make shredded chicken. After cutting the chicken, the precooking stage was done for 90 minutes at 100°C. The jars were fill with 200g chicken meat and brin 1% salt until the head space jar become 2.5 cm. Liquid smoke addition by 1% according total weight. Exhausting was done by placing cans without lids in a hot water bath. The time and temperature used for exhausting was 100°C for 10 minutes. This procedure eliminated oxygen</w:t>
      </w:r>
      <w:r w:rsidR="003E5042">
        <w:rPr>
          <w:rFonts w:ascii="Arial" w:hAnsi="Arial" w:cs="Arial"/>
        </w:rPr>
        <w:t xml:space="preserve"> </w:t>
      </w:r>
      <w:r w:rsidRPr="006834EA">
        <w:rPr>
          <w:rFonts w:ascii="Arial" w:hAnsi="Arial" w:cs="Arial"/>
        </w:rPr>
        <w:t>from the cans while creating a vacuum inside them. Then, the lids were fastened. The jars were</w:t>
      </w:r>
      <w:r w:rsidR="003E5042">
        <w:rPr>
          <w:rFonts w:ascii="Arial" w:hAnsi="Arial" w:cs="Arial"/>
        </w:rPr>
        <w:t xml:space="preserve"> </w:t>
      </w:r>
      <w:r w:rsidRPr="006834EA">
        <w:rPr>
          <w:rFonts w:ascii="Arial" w:hAnsi="Arial" w:cs="Arial"/>
        </w:rPr>
        <w:t>then immediately autoclaved for 15 minutes at 121°C for high pressure thermal sterilization. After processing, the cans were immediately cooled by tap water.</w:t>
      </w:r>
    </w:p>
    <w:p w14:paraId="5336E5C3" w14:textId="6DAF5FDF" w:rsidR="00676CF7" w:rsidRDefault="00676CF7" w:rsidP="006834EA">
      <w:pPr>
        <w:pStyle w:val="Body"/>
        <w:rPr>
          <w:rFonts w:ascii="Arial" w:hAnsi="Arial" w:cs="Arial"/>
          <w:b/>
          <w:bCs/>
        </w:rPr>
      </w:pPr>
      <w:r>
        <w:rPr>
          <w:rFonts w:ascii="Arial" w:hAnsi="Arial" w:cs="Arial"/>
          <w:b/>
          <w:bCs/>
        </w:rPr>
        <w:t>2.2 Methods</w:t>
      </w:r>
    </w:p>
    <w:p w14:paraId="49CF4C74" w14:textId="75E45251" w:rsidR="006834EA" w:rsidRPr="006834EA" w:rsidRDefault="006834EA" w:rsidP="006834EA">
      <w:pPr>
        <w:pStyle w:val="Body"/>
        <w:rPr>
          <w:rFonts w:ascii="Arial" w:hAnsi="Arial" w:cs="Arial"/>
          <w:b/>
          <w:bCs/>
        </w:rPr>
      </w:pPr>
      <w:r w:rsidRPr="006834EA">
        <w:rPr>
          <w:rFonts w:ascii="Arial" w:hAnsi="Arial" w:cs="Arial"/>
          <w:b/>
          <w:bCs/>
        </w:rPr>
        <w:t>Chemical Composition</w:t>
      </w:r>
    </w:p>
    <w:p w14:paraId="2677F6B8" w14:textId="4819D3EC" w:rsidR="006834EA" w:rsidRPr="006834EA" w:rsidRDefault="006834EA" w:rsidP="003E5042">
      <w:pPr>
        <w:pStyle w:val="Body"/>
        <w:rPr>
          <w:rFonts w:ascii="Arial" w:hAnsi="Arial" w:cs="Arial"/>
        </w:rPr>
      </w:pPr>
      <w:r w:rsidRPr="006834EA">
        <w:rPr>
          <w:rFonts w:ascii="Arial" w:hAnsi="Arial" w:cs="Arial"/>
        </w:rPr>
        <w:t xml:space="preserve">Proximate composition analysis was carried out for drained samples of canned chicken to determine moisture, protein, lipid and ash following the methodologies of Association of Official Analytical Chemists, </w:t>
      </w:r>
      <w:r w:rsidRPr="006834EA">
        <w:rPr>
          <w:rFonts w:ascii="Arial" w:hAnsi="Arial" w:cs="Arial"/>
          <w:b/>
        </w:rPr>
        <w:t>AOAC (2016)</w:t>
      </w:r>
      <w:r w:rsidRPr="006834EA">
        <w:rPr>
          <w:rFonts w:ascii="Arial" w:hAnsi="Arial" w:cs="Arial"/>
        </w:rPr>
        <w:t>. Moisture content was determined by drying samples in an oven at 65°C for 24 hrs. then at 105°C for 6 hrs. until constant weight. Determination of protein was done by using Kjeldahl method and calculated by multiplying the amount of nitrogen by</w:t>
      </w:r>
      <w:r w:rsidR="003E5042">
        <w:rPr>
          <w:rFonts w:ascii="Arial" w:hAnsi="Arial" w:cs="Arial"/>
        </w:rPr>
        <w:t xml:space="preserve"> </w:t>
      </w:r>
      <w:r w:rsidRPr="006834EA">
        <w:rPr>
          <w:rFonts w:ascii="Arial" w:hAnsi="Arial" w:cs="Arial"/>
        </w:rPr>
        <w:t>6.25. Crude lipid was determined by Soxhlet extraction unit using hexane solvent. Determination of ash was done at 550-600°C for 6 hrs. in a muffle furnace.</w:t>
      </w:r>
    </w:p>
    <w:p w14:paraId="6340A7C4" w14:textId="77777777" w:rsidR="006834EA" w:rsidRPr="006834EA" w:rsidRDefault="006834EA" w:rsidP="006834EA">
      <w:pPr>
        <w:pStyle w:val="Body"/>
        <w:rPr>
          <w:rFonts w:ascii="Arial" w:hAnsi="Arial" w:cs="Arial"/>
          <w:b/>
          <w:bCs/>
        </w:rPr>
      </w:pPr>
      <w:r w:rsidRPr="006834EA">
        <w:rPr>
          <w:rFonts w:ascii="Arial" w:hAnsi="Arial" w:cs="Arial"/>
          <w:b/>
          <w:bCs/>
        </w:rPr>
        <w:t>pH Value</w:t>
      </w:r>
    </w:p>
    <w:p w14:paraId="4270E983" w14:textId="77777777" w:rsidR="006834EA" w:rsidRPr="006834EA" w:rsidRDefault="006834EA" w:rsidP="006834EA">
      <w:pPr>
        <w:pStyle w:val="Body"/>
        <w:rPr>
          <w:rFonts w:ascii="Arial" w:hAnsi="Arial" w:cs="Arial"/>
          <w:b/>
        </w:rPr>
      </w:pPr>
      <w:r w:rsidRPr="006834EA">
        <w:rPr>
          <w:rFonts w:ascii="Arial" w:hAnsi="Arial" w:cs="Arial"/>
        </w:rPr>
        <w:t>The pH value was estimated by using a calibrated pH meter (</w:t>
      </w:r>
      <w:proofErr w:type="spellStart"/>
      <w:r w:rsidRPr="006834EA">
        <w:rPr>
          <w:rFonts w:ascii="Arial" w:hAnsi="Arial" w:cs="Arial"/>
        </w:rPr>
        <w:t>Jenway</w:t>
      </w:r>
      <w:proofErr w:type="spellEnd"/>
      <w:r w:rsidRPr="006834EA">
        <w:rPr>
          <w:rFonts w:ascii="Arial" w:hAnsi="Arial" w:cs="Arial"/>
        </w:rPr>
        <w:t xml:space="preserve">, 3510, UK) according to the method described by </w:t>
      </w:r>
      <w:proofErr w:type="spellStart"/>
      <w:r w:rsidRPr="006834EA">
        <w:rPr>
          <w:rFonts w:ascii="Arial" w:hAnsi="Arial" w:cs="Arial"/>
          <w:b/>
        </w:rPr>
        <w:t>Goulas</w:t>
      </w:r>
      <w:proofErr w:type="spellEnd"/>
      <w:r w:rsidRPr="006834EA">
        <w:rPr>
          <w:rFonts w:ascii="Arial" w:hAnsi="Arial" w:cs="Arial"/>
          <w:b/>
        </w:rPr>
        <w:t xml:space="preserve"> and </w:t>
      </w:r>
      <w:proofErr w:type="spellStart"/>
      <w:r w:rsidRPr="006834EA">
        <w:rPr>
          <w:rFonts w:ascii="Arial" w:hAnsi="Arial" w:cs="Arial"/>
          <w:b/>
        </w:rPr>
        <w:t>Kontominas</w:t>
      </w:r>
      <w:proofErr w:type="spellEnd"/>
      <w:r w:rsidRPr="006834EA">
        <w:rPr>
          <w:rFonts w:ascii="Arial" w:hAnsi="Arial" w:cs="Arial"/>
          <w:b/>
        </w:rPr>
        <w:t xml:space="preserve"> (2005).</w:t>
      </w:r>
    </w:p>
    <w:p w14:paraId="00BB223B" w14:textId="77777777" w:rsidR="006834EA" w:rsidRPr="006834EA" w:rsidRDefault="006834EA" w:rsidP="006834EA">
      <w:pPr>
        <w:pStyle w:val="Body"/>
        <w:rPr>
          <w:rFonts w:ascii="Arial" w:hAnsi="Arial" w:cs="Arial"/>
          <w:b/>
          <w:bCs/>
        </w:rPr>
      </w:pPr>
      <w:r w:rsidRPr="006834EA">
        <w:rPr>
          <w:rFonts w:ascii="Arial" w:hAnsi="Arial" w:cs="Arial"/>
          <w:b/>
          <w:bCs/>
        </w:rPr>
        <w:t>Chemical properties</w:t>
      </w:r>
    </w:p>
    <w:p w14:paraId="261CEA88" w14:textId="77777777" w:rsidR="006834EA" w:rsidRPr="006834EA" w:rsidRDefault="006834EA" w:rsidP="006834EA">
      <w:pPr>
        <w:pStyle w:val="Body"/>
        <w:rPr>
          <w:rFonts w:ascii="Arial" w:hAnsi="Arial" w:cs="Arial"/>
        </w:rPr>
      </w:pPr>
      <w:r w:rsidRPr="006834EA">
        <w:rPr>
          <w:rFonts w:ascii="Arial" w:hAnsi="Arial" w:cs="Arial"/>
        </w:rPr>
        <w:t xml:space="preserve">Total volatile nitrogen (TVN) was determined by </w:t>
      </w:r>
      <w:proofErr w:type="spellStart"/>
      <w:r w:rsidRPr="006834EA">
        <w:rPr>
          <w:rFonts w:ascii="Arial" w:hAnsi="Arial" w:cs="Arial"/>
        </w:rPr>
        <w:t>macrodistillation</w:t>
      </w:r>
      <w:proofErr w:type="spellEnd"/>
      <w:r w:rsidRPr="006834EA">
        <w:rPr>
          <w:rFonts w:ascii="Arial" w:hAnsi="Arial" w:cs="Arial"/>
        </w:rPr>
        <w:t xml:space="preserve"> method as described by </w:t>
      </w:r>
      <w:r w:rsidRPr="006834EA">
        <w:rPr>
          <w:rFonts w:ascii="Arial" w:hAnsi="Arial" w:cs="Arial"/>
          <w:b/>
        </w:rPr>
        <w:t>Pearson (1991)</w:t>
      </w:r>
      <w:r w:rsidRPr="006834EA">
        <w:rPr>
          <w:rFonts w:ascii="Arial" w:hAnsi="Arial" w:cs="Arial"/>
        </w:rPr>
        <w:t xml:space="preserve">. </w:t>
      </w:r>
      <w:proofErr w:type="spellStart"/>
      <w:r w:rsidRPr="006834EA">
        <w:rPr>
          <w:rFonts w:ascii="Arial" w:hAnsi="Arial" w:cs="Arial"/>
        </w:rPr>
        <w:t>Thiobarbituric</w:t>
      </w:r>
      <w:proofErr w:type="spellEnd"/>
      <w:r w:rsidRPr="006834EA">
        <w:rPr>
          <w:rFonts w:ascii="Arial" w:hAnsi="Arial" w:cs="Arial"/>
        </w:rPr>
        <w:t xml:space="preserve"> acid (TBA) values were estimated by colorimetric method at 538 nm using BECKMAN DU 7400 spectrophotometer (as mg malonaldehyde/kg sample); according to the method described by </w:t>
      </w:r>
      <w:r w:rsidRPr="006834EA">
        <w:rPr>
          <w:rFonts w:ascii="Arial" w:hAnsi="Arial" w:cs="Arial"/>
          <w:b/>
        </w:rPr>
        <w:t>Pearson (1991)</w:t>
      </w:r>
      <w:r w:rsidRPr="006834EA">
        <w:rPr>
          <w:rFonts w:ascii="Arial" w:hAnsi="Arial" w:cs="Arial"/>
        </w:rPr>
        <w:t>.</w:t>
      </w:r>
    </w:p>
    <w:p w14:paraId="3E5E269E" w14:textId="77777777" w:rsidR="006834EA" w:rsidRPr="006834EA" w:rsidRDefault="006834EA" w:rsidP="006834EA">
      <w:pPr>
        <w:pStyle w:val="Body"/>
        <w:rPr>
          <w:rFonts w:ascii="Arial" w:hAnsi="Arial" w:cs="Arial"/>
          <w:b/>
          <w:bCs/>
        </w:rPr>
      </w:pPr>
      <w:r w:rsidRPr="006834EA">
        <w:rPr>
          <w:rFonts w:ascii="Arial" w:hAnsi="Arial" w:cs="Arial"/>
          <w:b/>
          <w:bCs/>
        </w:rPr>
        <w:t>Water holding capacity and plasticity</w:t>
      </w:r>
    </w:p>
    <w:p w14:paraId="3CFC5E1E" w14:textId="77777777" w:rsidR="006834EA" w:rsidRPr="006834EA" w:rsidRDefault="006834EA" w:rsidP="006834EA">
      <w:pPr>
        <w:pStyle w:val="Body"/>
        <w:rPr>
          <w:rFonts w:ascii="Arial" w:hAnsi="Arial" w:cs="Arial"/>
        </w:rPr>
      </w:pPr>
      <w:r w:rsidRPr="006834EA">
        <w:rPr>
          <w:rFonts w:ascii="Arial" w:hAnsi="Arial" w:cs="Arial"/>
        </w:rPr>
        <w:t xml:space="preserve">Water holding capacity and plasticity were measured using the method of </w:t>
      </w:r>
      <w:proofErr w:type="spellStart"/>
      <w:r w:rsidRPr="006834EA">
        <w:rPr>
          <w:rFonts w:ascii="Arial" w:hAnsi="Arial" w:cs="Arial"/>
          <w:b/>
        </w:rPr>
        <w:t>Wierbicki</w:t>
      </w:r>
      <w:proofErr w:type="spellEnd"/>
      <w:r w:rsidRPr="006834EA">
        <w:rPr>
          <w:rFonts w:ascii="Arial" w:hAnsi="Arial" w:cs="Arial"/>
          <w:b/>
        </w:rPr>
        <w:t xml:space="preserve"> and </w:t>
      </w:r>
      <w:proofErr w:type="spellStart"/>
      <w:r w:rsidRPr="006834EA">
        <w:rPr>
          <w:rFonts w:ascii="Arial" w:hAnsi="Arial" w:cs="Arial"/>
          <w:b/>
        </w:rPr>
        <w:t>Deatherage</w:t>
      </w:r>
      <w:proofErr w:type="spellEnd"/>
      <w:r w:rsidRPr="006834EA">
        <w:rPr>
          <w:rFonts w:ascii="Arial" w:hAnsi="Arial" w:cs="Arial"/>
          <w:b/>
        </w:rPr>
        <w:t xml:space="preserve"> (1958)</w:t>
      </w:r>
      <w:r w:rsidRPr="006834EA">
        <w:rPr>
          <w:rFonts w:ascii="Arial" w:hAnsi="Arial" w:cs="Arial"/>
        </w:rPr>
        <w:t>. Minced meat sample (0.3 g) was placed on filter paper Whatman No. 41, between two glass plates and pressed for 10 minutes using one Kg weight. Two zones were formed on the filter paper and their surface areas were measured by a planimeter.</w:t>
      </w:r>
    </w:p>
    <w:p w14:paraId="38B37778" w14:textId="77777777" w:rsidR="006834EA" w:rsidRPr="006834EA" w:rsidRDefault="006834EA" w:rsidP="006834EA">
      <w:pPr>
        <w:pStyle w:val="Body"/>
        <w:rPr>
          <w:rFonts w:ascii="Arial" w:hAnsi="Arial" w:cs="Arial"/>
          <w:b/>
          <w:bCs/>
        </w:rPr>
      </w:pPr>
      <w:r w:rsidRPr="006834EA">
        <w:rPr>
          <w:rFonts w:ascii="Arial" w:hAnsi="Arial" w:cs="Arial"/>
          <w:b/>
          <w:bCs/>
        </w:rPr>
        <w:t>Microbiological analysis Samples preparation</w:t>
      </w:r>
    </w:p>
    <w:p w14:paraId="56A978DF" w14:textId="77777777" w:rsidR="006834EA" w:rsidRPr="006834EA" w:rsidRDefault="006834EA" w:rsidP="006834EA">
      <w:pPr>
        <w:pStyle w:val="Body"/>
        <w:rPr>
          <w:rFonts w:ascii="Arial" w:hAnsi="Arial" w:cs="Arial"/>
        </w:rPr>
      </w:pPr>
      <w:r w:rsidRPr="006834EA">
        <w:rPr>
          <w:rFonts w:ascii="Arial" w:hAnsi="Arial" w:cs="Arial"/>
        </w:rPr>
        <w:t>Ten grams of chicken samples were transferred to 90 ml of sterile peptone solution. The suspension was shaken by hand for 5 min to prepare a 1:10 dilution.</w:t>
      </w:r>
    </w:p>
    <w:p w14:paraId="0E0B3736" w14:textId="298CD3B6" w:rsidR="006834EA" w:rsidRPr="006834EA" w:rsidRDefault="006834EA" w:rsidP="00676CF7">
      <w:pPr>
        <w:pStyle w:val="Body"/>
        <w:rPr>
          <w:rFonts w:ascii="Arial" w:hAnsi="Arial" w:cs="Arial"/>
          <w:b/>
        </w:rPr>
      </w:pPr>
      <w:r w:rsidRPr="006834EA">
        <w:rPr>
          <w:rFonts w:ascii="Arial" w:hAnsi="Arial" w:cs="Arial"/>
          <w:b/>
          <w:bCs/>
        </w:rPr>
        <w:t>Spore forming bacteria</w:t>
      </w:r>
    </w:p>
    <w:p w14:paraId="5F51BC0D" w14:textId="77777777" w:rsidR="006834EA" w:rsidRPr="006834EA" w:rsidRDefault="006834EA" w:rsidP="006834EA">
      <w:pPr>
        <w:pStyle w:val="Body"/>
        <w:rPr>
          <w:rFonts w:ascii="Arial" w:hAnsi="Arial" w:cs="Arial"/>
        </w:rPr>
      </w:pPr>
      <w:r w:rsidRPr="006834EA">
        <w:rPr>
          <w:rFonts w:ascii="Arial" w:hAnsi="Arial" w:cs="Arial"/>
        </w:rPr>
        <w:t xml:space="preserve">Spore forming bacteria was determined according to the method described by </w:t>
      </w:r>
      <w:proofErr w:type="spellStart"/>
      <w:r w:rsidRPr="006834EA">
        <w:rPr>
          <w:rFonts w:ascii="Arial" w:hAnsi="Arial" w:cs="Arial"/>
          <w:b/>
        </w:rPr>
        <w:t>Kilinc</w:t>
      </w:r>
      <w:proofErr w:type="spellEnd"/>
      <w:r w:rsidRPr="006834EA">
        <w:rPr>
          <w:rFonts w:ascii="Arial" w:hAnsi="Arial" w:cs="Arial"/>
          <w:b/>
        </w:rPr>
        <w:t xml:space="preserve"> and </w:t>
      </w:r>
      <w:proofErr w:type="spellStart"/>
      <w:r w:rsidRPr="006834EA">
        <w:rPr>
          <w:rFonts w:ascii="Arial" w:hAnsi="Arial" w:cs="Arial"/>
          <w:b/>
        </w:rPr>
        <w:t>Cakli</w:t>
      </w:r>
      <w:proofErr w:type="spellEnd"/>
      <w:r w:rsidRPr="006834EA">
        <w:rPr>
          <w:rFonts w:ascii="Arial" w:hAnsi="Arial" w:cs="Arial"/>
          <w:b/>
        </w:rPr>
        <w:t xml:space="preserve"> (2004)</w:t>
      </w:r>
      <w:r w:rsidRPr="006834EA">
        <w:rPr>
          <w:rFonts w:ascii="Arial" w:hAnsi="Arial" w:cs="Arial"/>
        </w:rPr>
        <w:t>. Dilution tubes were heated to 80°C for 10 minutes before being plated on nutrient agar medium. The plates were incubation at 30°C for 3 days.</w:t>
      </w:r>
    </w:p>
    <w:p w14:paraId="5DA829B8" w14:textId="77777777" w:rsidR="006834EA" w:rsidRPr="006834EA" w:rsidRDefault="006834EA" w:rsidP="006834EA">
      <w:pPr>
        <w:pStyle w:val="Body"/>
        <w:rPr>
          <w:rFonts w:ascii="Arial" w:hAnsi="Arial" w:cs="Arial"/>
          <w:b/>
          <w:bCs/>
          <w:i/>
          <w:iCs/>
        </w:rPr>
      </w:pPr>
      <w:r w:rsidRPr="006834EA">
        <w:rPr>
          <w:rFonts w:ascii="Arial" w:hAnsi="Arial" w:cs="Arial"/>
          <w:b/>
          <w:bCs/>
          <w:i/>
          <w:iCs/>
        </w:rPr>
        <w:lastRenderedPageBreak/>
        <w:t xml:space="preserve">Salmonella </w:t>
      </w:r>
      <w:proofErr w:type="spellStart"/>
      <w:r w:rsidRPr="006834EA">
        <w:rPr>
          <w:rFonts w:ascii="Arial" w:hAnsi="Arial" w:cs="Arial"/>
          <w:b/>
          <w:bCs/>
          <w:i/>
          <w:iCs/>
        </w:rPr>
        <w:t>spp</w:t>
      </w:r>
      <w:proofErr w:type="spellEnd"/>
    </w:p>
    <w:p w14:paraId="1755605F" w14:textId="77777777" w:rsidR="006834EA" w:rsidRPr="006834EA" w:rsidRDefault="006834EA" w:rsidP="006834EA">
      <w:pPr>
        <w:pStyle w:val="Body"/>
        <w:rPr>
          <w:rFonts w:ascii="Arial" w:hAnsi="Arial" w:cs="Arial"/>
        </w:rPr>
      </w:pPr>
      <w:r w:rsidRPr="006834EA">
        <w:rPr>
          <w:rFonts w:ascii="Arial" w:hAnsi="Arial" w:cs="Arial"/>
        </w:rPr>
        <w:t xml:space="preserve">The existence or not of </w:t>
      </w:r>
      <w:r w:rsidRPr="006834EA">
        <w:rPr>
          <w:rFonts w:ascii="Arial" w:hAnsi="Arial" w:cs="Arial"/>
          <w:i/>
        </w:rPr>
        <w:t xml:space="preserve">Salmonella </w:t>
      </w:r>
      <w:r w:rsidRPr="006834EA">
        <w:rPr>
          <w:rFonts w:ascii="Arial" w:hAnsi="Arial" w:cs="Arial"/>
        </w:rPr>
        <w:t xml:space="preserve">was determined by the procedure provided by </w:t>
      </w:r>
      <w:r w:rsidRPr="006834EA">
        <w:rPr>
          <w:rFonts w:ascii="Arial" w:hAnsi="Arial" w:cs="Arial"/>
          <w:b/>
        </w:rPr>
        <w:t>FAO (1979)</w:t>
      </w:r>
      <w:r w:rsidRPr="006834EA">
        <w:rPr>
          <w:rFonts w:ascii="Arial" w:hAnsi="Arial" w:cs="Arial"/>
        </w:rPr>
        <w:t>.</w:t>
      </w:r>
    </w:p>
    <w:p w14:paraId="415EDEE6" w14:textId="77777777" w:rsidR="006834EA" w:rsidRPr="006834EA" w:rsidRDefault="006834EA" w:rsidP="006834EA">
      <w:pPr>
        <w:pStyle w:val="Body"/>
        <w:rPr>
          <w:rFonts w:ascii="Arial" w:hAnsi="Arial" w:cs="Arial"/>
          <w:b/>
          <w:bCs/>
          <w:i/>
          <w:iCs/>
        </w:rPr>
      </w:pPr>
      <w:r w:rsidRPr="006834EA">
        <w:rPr>
          <w:rFonts w:ascii="Arial" w:hAnsi="Arial" w:cs="Arial"/>
          <w:b/>
          <w:bCs/>
          <w:i/>
          <w:iCs/>
        </w:rPr>
        <w:t>Cl. Botulinum</w:t>
      </w:r>
    </w:p>
    <w:p w14:paraId="6F99F4D8" w14:textId="77777777" w:rsidR="006834EA" w:rsidRPr="006834EA" w:rsidRDefault="006834EA" w:rsidP="006834EA">
      <w:pPr>
        <w:pStyle w:val="Body"/>
        <w:rPr>
          <w:rFonts w:ascii="Arial" w:hAnsi="Arial" w:cs="Arial"/>
        </w:rPr>
      </w:pPr>
      <w:r w:rsidRPr="006834EA">
        <w:rPr>
          <w:rFonts w:ascii="Arial" w:hAnsi="Arial" w:cs="Arial"/>
        </w:rPr>
        <w:t xml:space="preserve">This method is based on the detection of typical gram-positive </w:t>
      </w:r>
      <w:r w:rsidRPr="006834EA">
        <w:rPr>
          <w:rFonts w:ascii="Arial" w:hAnsi="Arial" w:cs="Arial"/>
          <w:i/>
        </w:rPr>
        <w:t xml:space="preserve">Bacilli </w:t>
      </w:r>
      <w:r w:rsidRPr="006834EA">
        <w:rPr>
          <w:rFonts w:ascii="Arial" w:hAnsi="Arial" w:cs="Arial"/>
        </w:rPr>
        <w:t xml:space="preserve">with sub terminal oval spores grow on cooked meat medium and producing turbidity, gas production and digestion of the meat particles </w:t>
      </w:r>
      <w:r w:rsidRPr="006834EA">
        <w:rPr>
          <w:rFonts w:ascii="Arial" w:hAnsi="Arial" w:cs="Arial"/>
          <w:b/>
        </w:rPr>
        <w:t>FAO (1979)</w:t>
      </w:r>
      <w:r w:rsidRPr="006834EA">
        <w:rPr>
          <w:rFonts w:ascii="Arial" w:hAnsi="Arial" w:cs="Arial"/>
        </w:rPr>
        <w:t>.</w:t>
      </w:r>
    </w:p>
    <w:p w14:paraId="0052F3C4" w14:textId="77777777" w:rsidR="006834EA" w:rsidRPr="006834EA" w:rsidRDefault="006834EA" w:rsidP="006834EA">
      <w:pPr>
        <w:pStyle w:val="Body"/>
        <w:rPr>
          <w:rFonts w:ascii="Arial" w:hAnsi="Arial" w:cs="Arial"/>
          <w:b/>
          <w:bCs/>
        </w:rPr>
      </w:pPr>
      <w:r w:rsidRPr="006834EA">
        <w:rPr>
          <w:rFonts w:ascii="Arial" w:hAnsi="Arial" w:cs="Arial"/>
          <w:b/>
          <w:bCs/>
        </w:rPr>
        <w:t>Sensory evaluation</w:t>
      </w:r>
    </w:p>
    <w:p w14:paraId="095E4BE5" w14:textId="77777777" w:rsidR="006834EA" w:rsidRPr="006834EA" w:rsidRDefault="006834EA" w:rsidP="006834EA">
      <w:pPr>
        <w:pStyle w:val="Body"/>
        <w:rPr>
          <w:rFonts w:ascii="Arial" w:hAnsi="Arial" w:cs="Arial"/>
        </w:rPr>
      </w:pPr>
      <w:r w:rsidRPr="006834EA">
        <w:rPr>
          <w:rFonts w:ascii="Arial" w:hAnsi="Arial" w:cs="Arial"/>
        </w:rPr>
        <w:t xml:space="preserve">Sensory evaluation of canned chicken samples was carried out according to </w:t>
      </w:r>
      <w:r w:rsidRPr="006834EA">
        <w:rPr>
          <w:rFonts w:ascii="Arial" w:hAnsi="Arial" w:cs="Arial"/>
          <w:b/>
        </w:rPr>
        <w:t xml:space="preserve">Mansour &amp; Khalil (1999) </w:t>
      </w:r>
      <w:r w:rsidRPr="006834EA">
        <w:rPr>
          <w:rFonts w:ascii="Arial" w:hAnsi="Arial" w:cs="Arial"/>
        </w:rPr>
        <w:t>by aid of ten members of the Meat and Fish Res. Dep., Food Technology Research Institute. The samples were evaluated for color, taste, odor, texture and overall acceptability. Judging scale for each factor was as follows: Excellent (8-9), Very good (7-&lt;8), Good (6-&lt;7), Fair (5-&lt; 6), Poor (4-&lt;5) and Rejected (&lt;4).</w:t>
      </w:r>
    </w:p>
    <w:p w14:paraId="019251AF" w14:textId="77777777" w:rsidR="006834EA" w:rsidRPr="006834EA" w:rsidRDefault="006834EA" w:rsidP="006834EA">
      <w:pPr>
        <w:pStyle w:val="Body"/>
        <w:rPr>
          <w:rFonts w:ascii="Arial" w:hAnsi="Arial" w:cs="Arial"/>
          <w:b/>
          <w:bCs/>
        </w:rPr>
      </w:pPr>
      <w:r w:rsidRPr="006834EA">
        <w:rPr>
          <w:rFonts w:ascii="Arial" w:hAnsi="Arial" w:cs="Arial"/>
          <w:b/>
          <w:bCs/>
        </w:rPr>
        <w:t>Statistical analysis</w:t>
      </w:r>
    </w:p>
    <w:p w14:paraId="65545EFC" w14:textId="77777777" w:rsidR="006834EA" w:rsidRPr="006834EA" w:rsidRDefault="006834EA" w:rsidP="006834EA">
      <w:pPr>
        <w:pStyle w:val="Body"/>
        <w:rPr>
          <w:rFonts w:ascii="Arial" w:hAnsi="Arial" w:cs="Arial"/>
        </w:rPr>
      </w:pPr>
      <w:r w:rsidRPr="006834EA">
        <w:rPr>
          <w:rFonts w:ascii="Arial" w:hAnsi="Arial" w:cs="Arial"/>
        </w:rPr>
        <w:t xml:space="preserve">The data were analyzed using One-way analysis of variance (ANOVA). Means comparison was performed using Duncan’s test at a level of </w:t>
      </w:r>
      <w:r w:rsidRPr="006834EA">
        <w:rPr>
          <w:rFonts w:ascii="Arial" w:hAnsi="Arial" w:cs="Arial"/>
          <w:i/>
        </w:rPr>
        <w:t xml:space="preserve">P </w:t>
      </w:r>
      <w:r w:rsidRPr="006834EA">
        <w:rPr>
          <w:rFonts w:ascii="Arial" w:hAnsi="Arial" w:cs="Arial"/>
        </w:rPr>
        <w:t xml:space="preserve">&lt; 0.05 as reported by </w:t>
      </w:r>
      <w:r w:rsidRPr="006834EA">
        <w:rPr>
          <w:rFonts w:ascii="Arial" w:hAnsi="Arial" w:cs="Arial"/>
          <w:b/>
        </w:rPr>
        <w:t>Snedecor &amp; Cochran (1994)</w:t>
      </w:r>
      <w:r w:rsidRPr="006834EA">
        <w:rPr>
          <w:rFonts w:ascii="Arial" w:hAnsi="Arial" w:cs="Arial"/>
        </w:rPr>
        <w:t>.</w:t>
      </w:r>
    </w:p>
    <w:p w14:paraId="4130B1BB" w14:textId="77777777" w:rsidR="00790ADA" w:rsidRPr="00FB3A86" w:rsidRDefault="00790ADA" w:rsidP="00441B6F">
      <w:pPr>
        <w:pStyle w:val="Body"/>
        <w:spacing w:after="0"/>
        <w:rPr>
          <w:rFonts w:ascii="Arial" w:hAnsi="Arial" w:cs="Arial"/>
        </w:rPr>
      </w:pPr>
    </w:p>
    <w:p w14:paraId="041F244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9C0A837" w14:textId="77777777" w:rsidR="00790ADA" w:rsidRPr="00FB3A86" w:rsidRDefault="00790ADA" w:rsidP="00441B6F">
      <w:pPr>
        <w:pStyle w:val="Head1"/>
        <w:spacing w:after="0"/>
        <w:jc w:val="both"/>
        <w:rPr>
          <w:rFonts w:ascii="Arial" w:hAnsi="Arial" w:cs="Arial"/>
        </w:rPr>
      </w:pPr>
    </w:p>
    <w:p w14:paraId="3877542D" w14:textId="77777777" w:rsidR="00E02310" w:rsidRPr="00E02310" w:rsidRDefault="00E02310" w:rsidP="00E02310">
      <w:pPr>
        <w:tabs>
          <w:tab w:val="left" w:pos="1080"/>
        </w:tabs>
        <w:jc w:val="both"/>
        <w:rPr>
          <w:rFonts w:ascii="Arial" w:hAnsi="Arial" w:cs="Arial"/>
          <w:b/>
        </w:rPr>
      </w:pPr>
      <w:r w:rsidRPr="00E02310">
        <w:rPr>
          <w:rFonts w:ascii="Arial" w:hAnsi="Arial" w:cs="Arial"/>
          <w:b/>
        </w:rPr>
        <w:t xml:space="preserve">3.1. Pre slaughter, carcass, breast and thigh weight </w:t>
      </w:r>
    </w:p>
    <w:p w14:paraId="54E522A1"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Table 1 shows the weight of the spent hen before and after slaughter and the weights of the different parts such as the breasts and thighs in addition to the percentages attributed to the pre slaughter weight. The pre-slaughter weight was 4820 g, whereas the post-slaughter weight was 3970 g, with an 82.36% carcass weight ratio.   The weight (g) and percentage (%) of breast and thigh muscles were 1356g (28.13%) and 928g (19.25%), respectively. These results were in agreement with the results reported by </w:t>
      </w:r>
      <w:r w:rsidRPr="00E02310">
        <w:rPr>
          <w:rFonts w:ascii="Arial" w:hAnsi="Arial" w:cs="Arial"/>
          <w:b/>
          <w:lang w:val="en"/>
        </w:rPr>
        <w:t xml:space="preserve">Indumathi </w:t>
      </w:r>
      <w:r w:rsidRPr="00E02310">
        <w:rPr>
          <w:rFonts w:ascii="Arial" w:hAnsi="Arial" w:cs="Arial"/>
          <w:b/>
          <w:i/>
          <w:lang w:val="en"/>
        </w:rPr>
        <w:t>et al.</w:t>
      </w:r>
      <w:r w:rsidRPr="00E02310">
        <w:rPr>
          <w:rFonts w:ascii="Arial" w:hAnsi="Arial" w:cs="Arial"/>
          <w:b/>
          <w:lang w:val="en"/>
        </w:rPr>
        <w:t xml:space="preserve"> (2019) </w:t>
      </w:r>
      <w:r w:rsidRPr="00E02310">
        <w:rPr>
          <w:rFonts w:ascii="Arial" w:hAnsi="Arial" w:cs="Arial"/>
          <w:lang w:val="en"/>
        </w:rPr>
        <w:t>in</w:t>
      </w:r>
      <w:r w:rsidRPr="00E02310">
        <w:rPr>
          <w:rFonts w:ascii="Arial" w:hAnsi="Arial" w:cs="Arial"/>
          <w:b/>
          <w:lang w:val="en"/>
        </w:rPr>
        <w:t xml:space="preserve"> </w:t>
      </w:r>
      <w:r w:rsidRPr="00E02310">
        <w:rPr>
          <w:rFonts w:ascii="Arial" w:hAnsi="Arial" w:cs="Arial"/>
          <w:lang w:val="en"/>
        </w:rPr>
        <w:t xml:space="preserve">spent broiler breeder hens have very good amount of meat in the breast and thigh and comparatively less abdominal and subcutaneous fat. The mean breast and thigh percentage (%) of spent broiler breeder hen was 30.35±0.02 and 17.79±0.004 respectively. </w:t>
      </w:r>
    </w:p>
    <w:p w14:paraId="756E63FC" w14:textId="77777777" w:rsidR="00E02310" w:rsidRPr="00E02310" w:rsidRDefault="00E02310" w:rsidP="00E02310">
      <w:pPr>
        <w:tabs>
          <w:tab w:val="left" w:pos="1080"/>
        </w:tabs>
        <w:jc w:val="both"/>
        <w:rPr>
          <w:rFonts w:ascii="Arial" w:hAnsi="Arial" w:cs="Arial"/>
          <w:lang w:val="en"/>
        </w:rPr>
      </w:pPr>
      <w:r w:rsidRPr="00676CF7">
        <w:rPr>
          <w:rFonts w:ascii="Arial" w:hAnsi="Arial" w:cs="Arial"/>
          <w:b/>
          <w:lang w:val="en"/>
        </w:rPr>
        <w:t>Table 1: Pre slaughter, carcass, breast and thigh weight</w:t>
      </w:r>
      <w:r w:rsidRPr="00E02310">
        <w:rPr>
          <w:rFonts w:ascii="Arial" w:hAnsi="Arial" w:cs="Arial"/>
          <w:lang w:val="en"/>
        </w:rPr>
        <w:t>.</w:t>
      </w:r>
      <w:r w:rsidRPr="00E02310">
        <w:rPr>
          <w:rFonts w:ascii="Arial" w:hAnsi="Arial" w:cs="Arial"/>
          <w:b/>
          <w:lang w:val="en"/>
        </w:rPr>
        <w:t xml:space="preserve"> </w:t>
      </w:r>
    </w:p>
    <w:tbl>
      <w:tblPr>
        <w:tblW w:w="8280" w:type="dxa"/>
        <w:tblInd w:w="-8" w:type="dxa"/>
        <w:tblBorders>
          <w:top w:val="single" w:sz="4" w:space="0" w:color="auto"/>
          <w:bottom w:val="single" w:sz="4" w:space="0" w:color="auto"/>
          <w:insideH w:val="single" w:sz="4" w:space="0" w:color="auto"/>
        </w:tblBorders>
        <w:tblCellMar>
          <w:top w:w="61" w:type="dxa"/>
          <w:left w:w="113" w:type="dxa"/>
          <w:right w:w="115" w:type="dxa"/>
        </w:tblCellMar>
        <w:tblLook w:val="04A0" w:firstRow="1" w:lastRow="0" w:firstColumn="1" w:lastColumn="0" w:noHBand="0" w:noVBand="1"/>
      </w:tblPr>
      <w:tblGrid>
        <w:gridCol w:w="3780"/>
        <w:gridCol w:w="2260"/>
        <w:gridCol w:w="2240"/>
      </w:tblGrid>
      <w:tr w:rsidR="00E02310" w:rsidRPr="00E02310" w14:paraId="4F6B3149" w14:textId="77777777" w:rsidTr="00676CF7">
        <w:trPr>
          <w:trHeight w:val="360"/>
        </w:trPr>
        <w:tc>
          <w:tcPr>
            <w:tcW w:w="3780" w:type="dxa"/>
          </w:tcPr>
          <w:p w14:paraId="26FEB129"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Parameter </w:t>
            </w:r>
          </w:p>
        </w:tc>
        <w:tc>
          <w:tcPr>
            <w:tcW w:w="2260" w:type="dxa"/>
          </w:tcPr>
          <w:p w14:paraId="13DF3A0E"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Weight(g) </w:t>
            </w:r>
          </w:p>
        </w:tc>
        <w:tc>
          <w:tcPr>
            <w:tcW w:w="2240" w:type="dxa"/>
          </w:tcPr>
          <w:p w14:paraId="75C2DB7D"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Percentage% </w:t>
            </w:r>
          </w:p>
        </w:tc>
      </w:tr>
      <w:tr w:rsidR="00E02310" w:rsidRPr="00E02310" w14:paraId="3F01595B" w14:textId="77777777" w:rsidTr="00676CF7">
        <w:trPr>
          <w:trHeight w:val="340"/>
        </w:trPr>
        <w:tc>
          <w:tcPr>
            <w:tcW w:w="3780" w:type="dxa"/>
          </w:tcPr>
          <w:p w14:paraId="5E4EA67E" w14:textId="77777777" w:rsidR="00E02310" w:rsidRPr="00676CF7" w:rsidRDefault="00E02310" w:rsidP="00E02310">
            <w:pPr>
              <w:tabs>
                <w:tab w:val="left" w:pos="1080"/>
              </w:tabs>
              <w:jc w:val="both"/>
              <w:rPr>
                <w:rFonts w:ascii="Arial" w:hAnsi="Arial" w:cs="Arial"/>
                <w:b/>
                <w:bCs/>
                <w:lang w:val="en"/>
              </w:rPr>
            </w:pPr>
            <w:r w:rsidRPr="00676CF7">
              <w:rPr>
                <w:rFonts w:ascii="Arial" w:hAnsi="Arial" w:cs="Arial"/>
                <w:b/>
                <w:bCs/>
                <w:lang w:val="en"/>
              </w:rPr>
              <w:t xml:space="preserve">Pre slaughter weight </w:t>
            </w:r>
          </w:p>
        </w:tc>
        <w:tc>
          <w:tcPr>
            <w:tcW w:w="2260" w:type="dxa"/>
          </w:tcPr>
          <w:p w14:paraId="0A561BF9"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4820 </w:t>
            </w:r>
          </w:p>
        </w:tc>
        <w:tc>
          <w:tcPr>
            <w:tcW w:w="2240" w:type="dxa"/>
          </w:tcPr>
          <w:p w14:paraId="247BDE06"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 </w:t>
            </w:r>
          </w:p>
        </w:tc>
      </w:tr>
      <w:tr w:rsidR="00E02310" w:rsidRPr="00E02310" w14:paraId="7B766E6B" w14:textId="77777777" w:rsidTr="00676CF7">
        <w:trPr>
          <w:trHeight w:val="360"/>
        </w:trPr>
        <w:tc>
          <w:tcPr>
            <w:tcW w:w="3780" w:type="dxa"/>
          </w:tcPr>
          <w:p w14:paraId="31CDD558" w14:textId="77777777" w:rsidR="00E02310" w:rsidRPr="00676CF7" w:rsidRDefault="00E02310" w:rsidP="00E02310">
            <w:pPr>
              <w:tabs>
                <w:tab w:val="left" w:pos="1080"/>
              </w:tabs>
              <w:jc w:val="both"/>
              <w:rPr>
                <w:rFonts w:ascii="Arial" w:hAnsi="Arial" w:cs="Arial"/>
                <w:b/>
                <w:bCs/>
                <w:lang w:val="en"/>
              </w:rPr>
            </w:pPr>
            <w:r w:rsidRPr="00676CF7">
              <w:rPr>
                <w:rFonts w:ascii="Arial" w:hAnsi="Arial" w:cs="Arial"/>
                <w:b/>
                <w:bCs/>
                <w:lang w:val="en"/>
              </w:rPr>
              <w:t xml:space="preserve">Carcass weight </w:t>
            </w:r>
          </w:p>
        </w:tc>
        <w:tc>
          <w:tcPr>
            <w:tcW w:w="2260" w:type="dxa"/>
          </w:tcPr>
          <w:p w14:paraId="407E7047"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3970 </w:t>
            </w:r>
          </w:p>
        </w:tc>
        <w:tc>
          <w:tcPr>
            <w:tcW w:w="2240" w:type="dxa"/>
          </w:tcPr>
          <w:p w14:paraId="4DA62F6E"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82.36 </w:t>
            </w:r>
          </w:p>
        </w:tc>
      </w:tr>
      <w:tr w:rsidR="00E02310" w:rsidRPr="00E02310" w14:paraId="27AFDBA1" w14:textId="77777777" w:rsidTr="00676CF7">
        <w:trPr>
          <w:trHeight w:val="360"/>
        </w:trPr>
        <w:tc>
          <w:tcPr>
            <w:tcW w:w="3780" w:type="dxa"/>
          </w:tcPr>
          <w:p w14:paraId="0976E873" w14:textId="77777777" w:rsidR="00E02310" w:rsidRPr="00676CF7" w:rsidRDefault="00E02310" w:rsidP="00E02310">
            <w:pPr>
              <w:tabs>
                <w:tab w:val="left" w:pos="1080"/>
              </w:tabs>
              <w:jc w:val="both"/>
              <w:rPr>
                <w:rFonts w:ascii="Arial" w:hAnsi="Arial" w:cs="Arial"/>
                <w:b/>
                <w:bCs/>
                <w:lang w:val="en"/>
              </w:rPr>
            </w:pPr>
            <w:r w:rsidRPr="00676CF7">
              <w:rPr>
                <w:rFonts w:ascii="Arial" w:hAnsi="Arial" w:cs="Arial"/>
                <w:b/>
                <w:bCs/>
                <w:lang w:val="en"/>
              </w:rPr>
              <w:t xml:space="preserve">Breast muscle weight  </w:t>
            </w:r>
          </w:p>
        </w:tc>
        <w:tc>
          <w:tcPr>
            <w:tcW w:w="2260" w:type="dxa"/>
          </w:tcPr>
          <w:p w14:paraId="31C034B5"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1356 </w:t>
            </w:r>
          </w:p>
        </w:tc>
        <w:tc>
          <w:tcPr>
            <w:tcW w:w="2240" w:type="dxa"/>
          </w:tcPr>
          <w:p w14:paraId="35B2CEAF"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28.13 </w:t>
            </w:r>
          </w:p>
        </w:tc>
      </w:tr>
      <w:tr w:rsidR="00E02310" w:rsidRPr="00E02310" w14:paraId="5C80B857" w14:textId="77777777" w:rsidTr="00676CF7">
        <w:trPr>
          <w:trHeight w:val="340"/>
        </w:trPr>
        <w:tc>
          <w:tcPr>
            <w:tcW w:w="3780" w:type="dxa"/>
          </w:tcPr>
          <w:p w14:paraId="208970FA" w14:textId="77777777" w:rsidR="00E02310" w:rsidRPr="00676CF7" w:rsidRDefault="00E02310" w:rsidP="00E02310">
            <w:pPr>
              <w:tabs>
                <w:tab w:val="left" w:pos="1080"/>
              </w:tabs>
              <w:jc w:val="both"/>
              <w:rPr>
                <w:rFonts w:ascii="Arial" w:hAnsi="Arial" w:cs="Arial"/>
                <w:b/>
                <w:bCs/>
                <w:lang w:val="en"/>
              </w:rPr>
            </w:pPr>
            <w:r w:rsidRPr="00676CF7">
              <w:rPr>
                <w:rFonts w:ascii="Arial" w:hAnsi="Arial" w:cs="Arial"/>
                <w:b/>
                <w:bCs/>
                <w:lang w:val="en"/>
              </w:rPr>
              <w:t xml:space="preserve">thigh muscle weight  </w:t>
            </w:r>
          </w:p>
        </w:tc>
        <w:tc>
          <w:tcPr>
            <w:tcW w:w="2260" w:type="dxa"/>
          </w:tcPr>
          <w:p w14:paraId="53BFF738"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928 </w:t>
            </w:r>
          </w:p>
        </w:tc>
        <w:tc>
          <w:tcPr>
            <w:tcW w:w="2240" w:type="dxa"/>
          </w:tcPr>
          <w:p w14:paraId="067BF55E"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19.25 </w:t>
            </w:r>
          </w:p>
        </w:tc>
      </w:tr>
    </w:tbl>
    <w:p w14:paraId="22AF54ED" w14:textId="77777777" w:rsidR="00676CF7" w:rsidRDefault="00676CF7" w:rsidP="00E02310">
      <w:pPr>
        <w:tabs>
          <w:tab w:val="left" w:pos="1080"/>
        </w:tabs>
        <w:jc w:val="both"/>
        <w:rPr>
          <w:rFonts w:ascii="Arial" w:hAnsi="Arial" w:cs="Arial"/>
          <w:b/>
        </w:rPr>
      </w:pPr>
    </w:p>
    <w:p w14:paraId="512CCD5A" w14:textId="4E07F784" w:rsidR="00E02310" w:rsidRPr="00E02310" w:rsidRDefault="00E02310" w:rsidP="00E02310">
      <w:pPr>
        <w:tabs>
          <w:tab w:val="left" w:pos="1080"/>
        </w:tabs>
        <w:jc w:val="both"/>
        <w:rPr>
          <w:rFonts w:ascii="Arial" w:hAnsi="Arial" w:cs="Arial"/>
          <w:b/>
        </w:rPr>
      </w:pPr>
      <w:r w:rsidRPr="00E02310">
        <w:rPr>
          <w:rFonts w:ascii="Arial" w:hAnsi="Arial" w:cs="Arial"/>
          <w:b/>
        </w:rPr>
        <w:t xml:space="preserve">3.2. Proximate composition of spent hen chicken </w:t>
      </w:r>
    </w:p>
    <w:p w14:paraId="3ECED72D"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Table 2 shows the approximate compositions of the chicken meat from the spent hen's breast and thighs.  Moisture, protein, fat, ash, and pH values for the meat of the breast chicken were 72.65%, 22.88%, 2.14%, 1.20%, and 5.87, in that order.  Moisture, protein, fat, </w:t>
      </w:r>
      <w:r w:rsidRPr="00E02310">
        <w:rPr>
          <w:rFonts w:ascii="Arial" w:hAnsi="Arial" w:cs="Arial"/>
          <w:lang w:val="en"/>
        </w:rPr>
        <w:lastRenderedPageBreak/>
        <w:t>ash, and pH values for chicken thigh meat were 73.78%, 20.14%, 3.71%, 1.63%, and 6.24, in that order.  Table 2 showed that whereas thigh chicken meat had significantly greater levels of moisture, fat, ash, and pH (p&lt;0.05), breast chicken meat had significantly higher levels of protein (p&lt;0.05).</w:t>
      </w:r>
      <w:r w:rsidRPr="00E02310">
        <w:rPr>
          <w:rFonts w:ascii="Arial" w:hAnsi="Arial" w:cs="Arial"/>
          <w:b/>
          <w:lang w:val="en"/>
        </w:rPr>
        <w:t xml:space="preserve"> Chen et al. (2016) </w:t>
      </w:r>
      <w:r w:rsidRPr="00E02310">
        <w:rPr>
          <w:rFonts w:ascii="Arial" w:hAnsi="Arial" w:cs="Arial"/>
          <w:lang w:val="en"/>
        </w:rPr>
        <w:t xml:space="preserve">reported similar results. The proximate analysis shows that breast chicken meat has less fat and is higher in protein. </w:t>
      </w:r>
      <w:proofErr w:type="spellStart"/>
      <w:r w:rsidRPr="00E02310">
        <w:rPr>
          <w:rFonts w:ascii="Arial" w:hAnsi="Arial" w:cs="Arial"/>
          <w:b/>
          <w:lang w:val="en"/>
        </w:rPr>
        <w:t>Večerek</w:t>
      </w:r>
      <w:proofErr w:type="spellEnd"/>
      <w:r w:rsidRPr="00E02310">
        <w:rPr>
          <w:rFonts w:ascii="Arial" w:hAnsi="Arial" w:cs="Arial"/>
          <w:b/>
          <w:lang w:val="en"/>
        </w:rPr>
        <w:t xml:space="preserve"> et al. (2005)</w:t>
      </w:r>
      <w:r w:rsidRPr="00E02310">
        <w:rPr>
          <w:rFonts w:ascii="Arial" w:hAnsi="Arial" w:cs="Arial"/>
          <w:lang w:val="en"/>
        </w:rPr>
        <w:t xml:space="preserve"> compared leg muscles to breast muscles and discovered that breast muscles contained more protein and less fat.          </w:t>
      </w:r>
    </w:p>
    <w:p w14:paraId="2021BF41" w14:textId="3D253B06" w:rsidR="00E02310" w:rsidRPr="00676CF7" w:rsidRDefault="00E02310" w:rsidP="00E02310">
      <w:pPr>
        <w:tabs>
          <w:tab w:val="left" w:pos="1080"/>
        </w:tabs>
        <w:jc w:val="both"/>
        <w:rPr>
          <w:rFonts w:ascii="Arial" w:hAnsi="Arial" w:cs="Arial"/>
          <w:b/>
          <w:lang w:val="en"/>
        </w:rPr>
      </w:pPr>
      <w:r w:rsidRPr="00676CF7">
        <w:rPr>
          <w:rFonts w:ascii="Arial" w:hAnsi="Arial" w:cs="Arial"/>
          <w:b/>
          <w:lang w:val="en"/>
        </w:rPr>
        <w:t xml:space="preserve">Table 2: proximate composition </w:t>
      </w:r>
      <w:r w:rsidR="006B3CFE">
        <w:rPr>
          <w:rFonts w:ascii="Arial" w:hAnsi="Arial" w:cs="Arial"/>
          <w:b/>
          <w:lang w:val="en"/>
        </w:rPr>
        <w:t>a</w:t>
      </w:r>
      <w:r w:rsidRPr="00676CF7">
        <w:rPr>
          <w:rFonts w:ascii="Arial" w:hAnsi="Arial" w:cs="Arial"/>
          <w:b/>
          <w:lang w:val="en"/>
        </w:rPr>
        <w:t xml:space="preserve">nd pH </w:t>
      </w:r>
      <w:r w:rsidR="006B3CFE">
        <w:rPr>
          <w:rFonts w:ascii="Arial" w:hAnsi="Arial" w:cs="Arial"/>
          <w:b/>
          <w:lang w:val="en"/>
        </w:rPr>
        <w:t xml:space="preserve">of </w:t>
      </w:r>
      <w:r w:rsidRPr="00676CF7">
        <w:rPr>
          <w:rFonts w:ascii="Arial" w:hAnsi="Arial" w:cs="Arial"/>
          <w:b/>
          <w:lang w:val="en"/>
        </w:rPr>
        <w:t xml:space="preserve">breast and thigh chicken meat from spent hen. </w:t>
      </w:r>
    </w:p>
    <w:tbl>
      <w:tblPr>
        <w:tblW w:w="8311" w:type="dxa"/>
        <w:tblInd w:w="-8" w:type="dxa"/>
        <w:tblBorders>
          <w:top w:val="single" w:sz="8" w:space="0" w:color="000000"/>
          <w:bottom w:val="single" w:sz="8" w:space="0" w:color="000000"/>
          <w:insideH w:val="single" w:sz="8" w:space="0" w:color="000000"/>
        </w:tblBorders>
        <w:tblCellMar>
          <w:top w:w="59" w:type="dxa"/>
          <w:left w:w="113" w:type="dxa"/>
          <w:right w:w="115" w:type="dxa"/>
        </w:tblCellMar>
        <w:tblLook w:val="04A0" w:firstRow="1" w:lastRow="0" w:firstColumn="1" w:lastColumn="0" w:noHBand="0" w:noVBand="1"/>
      </w:tblPr>
      <w:tblGrid>
        <w:gridCol w:w="2080"/>
        <w:gridCol w:w="3500"/>
        <w:gridCol w:w="2731"/>
      </w:tblGrid>
      <w:tr w:rsidR="00E02310" w:rsidRPr="00E02310" w14:paraId="14175B5F" w14:textId="77777777" w:rsidTr="006B3CFE">
        <w:trPr>
          <w:trHeight w:val="300"/>
        </w:trPr>
        <w:tc>
          <w:tcPr>
            <w:tcW w:w="2080" w:type="dxa"/>
          </w:tcPr>
          <w:p w14:paraId="49B2D54A"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 </w:t>
            </w:r>
          </w:p>
        </w:tc>
        <w:tc>
          <w:tcPr>
            <w:tcW w:w="3500" w:type="dxa"/>
          </w:tcPr>
          <w:p w14:paraId="6CAD45F5"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Breast </w:t>
            </w:r>
          </w:p>
        </w:tc>
        <w:tc>
          <w:tcPr>
            <w:tcW w:w="2731" w:type="dxa"/>
          </w:tcPr>
          <w:p w14:paraId="4E61AC2F"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Thigh </w:t>
            </w:r>
          </w:p>
        </w:tc>
      </w:tr>
      <w:tr w:rsidR="00E02310" w:rsidRPr="00E02310" w14:paraId="072A526F" w14:textId="77777777" w:rsidTr="006B3CFE">
        <w:trPr>
          <w:trHeight w:val="300"/>
        </w:trPr>
        <w:tc>
          <w:tcPr>
            <w:tcW w:w="2080" w:type="dxa"/>
          </w:tcPr>
          <w:p w14:paraId="5F190C40"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Moisture% </w:t>
            </w:r>
          </w:p>
        </w:tc>
        <w:tc>
          <w:tcPr>
            <w:tcW w:w="3500" w:type="dxa"/>
          </w:tcPr>
          <w:p w14:paraId="5EF7CAB1"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72.65</w:t>
            </w:r>
            <w:r w:rsidRPr="00E02310">
              <w:rPr>
                <w:rFonts w:ascii="Arial" w:hAnsi="Arial" w:cs="Arial"/>
                <w:vertAlign w:val="superscript"/>
                <w:lang w:val="en"/>
              </w:rPr>
              <w:t xml:space="preserve">b </w:t>
            </w:r>
            <w:r w:rsidRPr="00E02310">
              <w:rPr>
                <w:rFonts w:ascii="Arial" w:hAnsi="Arial" w:cs="Arial"/>
                <w:b/>
                <w:lang w:val="en"/>
              </w:rPr>
              <w:t xml:space="preserve">± </w:t>
            </w:r>
            <w:r w:rsidRPr="00E02310">
              <w:rPr>
                <w:rFonts w:ascii="Arial" w:hAnsi="Arial" w:cs="Arial"/>
                <w:lang w:val="en"/>
              </w:rPr>
              <w:t xml:space="preserve">0.24 </w:t>
            </w:r>
          </w:p>
        </w:tc>
        <w:tc>
          <w:tcPr>
            <w:tcW w:w="2731" w:type="dxa"/>
          </w:tcPr>
          <w:p w14:paraId="6327C12A"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73.78</w:t>
            </w:r>
            <w:r w:rsidRPr="00E02310">
              <w:rPr>
                <w:rFonts w:ascii="Arial" w:hAnsi="Arial" w:cs="Arial"/>
                <w:vertAlign w:val="superscript"/>
                <w:lang w:val="en"/>
              </w:rPr>
              <w:t xml:space="preserve">a </w:t>
            </w:r>
            <w:r w:rsidRPr="00E02310">
              <w:rPr>
                <w:rFonts w:ascii="Arial" w:hAnsi="Arial" w:cs="Arial"/>
                <w:b/>
                <w:lang w:val="en"/>
              </w:rPr>
              <w:t xml:space="preserve">± </w:t>
            </w:r>
            <w:r w:rsidRPr="00E02310">
              <w:rPr>
                <w:rFonts w:ascii="Arial" w:hAnsi="Arial" w:cs="Arial"/>
                <w:lang w:val="en"/>
              </w:rPr>
              <w:t xml:space="preserve">0.19 </w:t>
            </w:r>
          </w:p>
        </w:tc>
      </w:tr>
      <w:tr w:rsidR="00E02310" w:rsidRPr="00E02310" w14:paraId="47069A6B" w14:textId="77777777" w:rsidTr="006B3CFE">
        <w:trPr>
          <w:trHeight w:val="320"/>
        </w:trPr>
        <w:tc>
          <w:tcPr>
            <w:tcW w:w="2080" w:type="dxa"/>
          </w:tcPr>
          <w:p w14:paraId="7DA92E8F"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Protein% </w:t>
            </w:r>
          </w:p>
        </w:tc>
        <w:tc>
          <w:tcPr>
            <w:tcW w:w="3500" w:type="dxa"/>
          </w:tcPr>
          <w:p w14:paraId="5E6C13AA"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22.88</w:t>
            </w:r>
            <w:r w:rsidRPr="00E02310">
              <w:rPr>
                <w:rFonts w:ascii="Arial" w:hAnsi="Arial" w:cs="Arial"/>
                <w:vertAlign w:val="superscript"/>
                <w:lang w:val="en"/>
              </w:rPr>
              <w:t xml:space="preserve">a </w:t>
            </w:r>
            <w:r w:rsidRPr="00E02310">
              <w:rPr>
                <w:rFonts w:ascii="Arial" w:hAnsi="Arial" w:cs="Arial"/>
                <w:b/>
                <w:lang w:val="en"/>
              </w:rPr>
              <w:t xml:space="preserve">± </w:t>
            </w:r>
            <w:r w:rsidRPr="00E02310">
              <w:rPr>
                <w:rFonts w:ascii="Arial" w:hAnsi="Arial" w:cs="Arial"/>
                <w:lang w:val="en"/>
              </w:rPr>
              <w:t xml:space="preserve">0.38 </w:t>
            </w:r>
          </w:p>
        </w:tc>
        <w:tc>
          <w:tcPr>
            <w:tcW w:w="2731" w:type="dxa"/>
          </w:tcPr>
          <w:p w14:paraId="733B5A5D"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20.14</w:t>
            </w:r>
            <w:r w:rsidRPr="00E02310">
              <w:rPr>
                <w:rFonts w:ascii="Arial" w:hAnsi="Arial" w:cs="Arial"/>
                <w:vertAlign w:val="superscript"/>
                <w:lang w:val="en"/>
              </w:rPr>
              <w:t xml:space="preserve">b </w:t>
            </w:r>
            <w:r w:rsidRPr="00E02310">
              <w:rPr>
                <w:rFonts w:ascii="Arial" w:hAnsi="Arial" w:cs="Arial"/>
                <w:b/>
                <w:lang w:val="en"/>
              </w:rPr>
              <w:t xml:space="preserve">± </w:t>
            </w:r>
            <w:r w:rsidRPr="00E02310">
              <w:rPr>
                <w:rFonts w:ascii="Arial" w:hAnsi="Arial" w:cs="Arial"/>
                <w:lang w:val="en"/>
              </w:rPr>
              <w:t xml:space="preserve">0.42 </w:t>
            </w:r>
          </w:p>
        </w:tc>
      </w:tr>
      <w:tr w:rsidR="00E02310" w:rsidRPr="00E02310" w14:paraId="272F0163" w14:textId="77777777" w:rsidTr="006B3CFE">
        <w:trPr>
          <w:trHeight w:val="300"/>
        </w:trPr>
        <w:tc>
          <w:tcPr>
            <w:tcW w:w="2080" w:type="dxa"/>
          </w:tcPr>
          <w:p w14:paraId="635EE5CB"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Fat% </w:t>
            </w:r>
          </w:p>
        </w:tc>
        <w:tc>
          <w:tcPr>
            <w:tcW w:w="3500" w:type="dxa"/>
          </w:tcPr>
          <w:p w14:paraId="4AA27E4D"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2.14</w:t>
            </w:r>
            <w:r w:rsidRPr="00E02310">
              <w:rPr>
                <w:rFonts w:ascii="Arial" w:hAnsi="Arial" w:cs="Arial"/>
                <w:vertAlign w:val="superscript"/>
                <w:lang w:val="en"/>
              </w:rPr>
              <w:t xml:space="preserve">b </w:t>
            </w:r>
            <w:r w:rsidRPr="00E02310">
              <w:rPr>
                <w:rFonts w:ascii="Arial" w:hAnsi="Arial" w:cs="Arial"/>
                <w:b/>
                <w:lang w:val="en"/>
              </w:rPr>
              <w:t xml:space="preserve">± </w:t>
            </w:r>
            <w:r w:rsidRPr="00E02310">
              <w:rPr>
                <w:rFonts w:ascii="Arial" w:hAnsi="Arial" w:cs="Arial"/>
                <w:lang w:val="en"/>
              </w:rPr>
              <w:t xml:space="preserve">0.17 </w:t>
            </w:r>
          </w:p>
        </w:tc>
        <w:tc>
          <w:tcPr>
            <w:tcW w:w="2731" w:type="dxa"/>
          </w:tcPr>
          <w:p w14:paraId="56D43CD8"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3.71</w:t>
            </w:r>
            <w:r w:rsidRPr="00E02310">
              <w:rPr>
                <w:rFonts w:ascii="Arial" w:hAnsi="Arial" w:cs="Arial"/>
                <w:vertAlign w:val="superscript"/>
                <w:lang w:val="en"/>
              </w:rPr>
              <w:t>a</w:t>
            </w:r>
            <w:r w:rsidRPr="00E02310">
              <w:rPr>
                <w:rFonts w:ascii="Arial" w:hAnsi="Arial" w:cs="Arial"/>
                <w:lang w:val="en"/>
              </w:rPr>
              <w:t xml:space="preserve"> </w:t>
            </w:r>
            <w:r w:rsidRPr="00E02310">
              <w:rPr>
                <w:rFonts w:ascii="Arial" w:hAnsi="Arial" w:cs="Arial"/>
                <w:b/>
                <w:lang w:val="en"/>
              </w:rPr>
              <w:t xml:space="preserve">± </w:t>
            </w:r>
            <w:r w:rsidRPr="00E02310">
              <w:rPr>
                <w:rFonts w:ascii="Arial" w:hAnsi="Arial" w:cs="Arial"/>
                <w:lang w:val="en"/>
              </w:rPr>
              <w:t xml:space="preserve">0.21 </w:t>
            </w:r>
          </w:p>
        </w:tc>
      </w:tr>
      <w:tr w:rsidR="00E02310" w:rsidRPr="00E02310" w14:paraId="1F51CCCE" w14:textId="77777777" w:rsidTr="006B3CFE">
        <w:trPr>
          <w:trHeight w:val="320"/>
        </w:trPr>
        <w:tc>
          <w:tcPr>
            <w:tcW w:w="2080" w:type="dxa"/>
          </w:tcPr>
          <w:p w14:paraId="5155016A"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Ash% </w:t>
            </w:r>
          </w:p>
        </w:tc>
        <w:tc>
          <w:tcPr>
            <w:tcW w:w="3500" w:type="dxa"/>
          </w:tcPr>
          <w:p w14:paraId="4524202A"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1.20</w:t>
            </w:r>
            <w:r w:rsidRPr="00E02310">
              <w:rPr>
                <w:rFonts w:ascii="Arial" w:hAnsi="Arial" w:cs="Arial"/>
                <w:vertAlign w:val="superscript"/>
                <w:lang w:val="en"/>
              </w:rPr>
              <w:t>b</w:t>
            </w:r>
            <w:r w:rsidRPr="00E02310">
              <w:rPr>
                <w:rFonts w:ascii="Arial" w:hAnsi="Arial" w:cs="Arial"/>
                <w:lang w:val="en"/>
              </w:rPr>
              <w:t xml:space="preserve"> </w:t>
            </w:r>
            <w:r w:rsidRPr="00E02310">
              <w:rPr>
                <w:rFonts w:ascii="Arial" w:hAnsi="Arial" w:cs="Arial"/>
                <w:b/>
                <w:lang w:val="en"/>
              </w:rPr>
              <w:t xml:space="preserve">± </w:t>
            </w:r>
            <w:r w:rsidRPr="00E02310">
              <w:rPr>
                <w:rFonts w:ascii="Arial" w:hAnsi="Arial" w:cs="Arial"/>
                <w:lang w:val="en"/>
              </w:rPr>
              <w:t xml:space="preserve">0.11 </w:t>
            </w:r>
          </w:p>
        </w:tc>
        <w:tc>
          <w:tcPr>
            <w:tcW w:w="2731" w:type="dxa"/>
          </w:tcPr>
          <w:p w14:paraId="15F2D13D"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1.63</w:t>
            </w:r>
            <w:r w:rsidRPr="00E02310">
              <w:rPr>
                <w:rFonts w:ascii="Arial" w:hAnsi="Arial" w:cs="Arial"/>
                <w:vertAlign w:val="superscript"/>
                <w:lang w:val="en"/>
              </w:rPr>
              <w:t>a</w:t>
            </w:r>
            <w:r w:rsidRPr="00E02310">
              <w:rPr>
                <w:rFonts w:ascii="Arial" w:hAnsi="Arial" w:cs="Arial"/>
                <w:lang w:val="en"/>
              </w:rPr>
              <w:t xml:space="preserve"> </w:t>
            </w:r>
            <w:r w:rsidRPr="00E02310">
              <w:rPr>
                <w:rFonts w:ascii="Arial" w:hAnsi="Arial" w:cs="Arial"/>
                <w:b/>
                <w:lang w:val="en"/>
              </w:rPr>
              <w:t xml:space="preserve">± </w:t>
            </w:r>
            <w:r w:rsidRPr="00E02310">
              <w:rPr>
                <w:rFonts w:ascii="Arial" w:hAnsi="Arial" w:cs="Arial"/>
                <w:lang w:val="en"/>
              </w:rPr>
              <w:t xml:space="preserve">0.14 </w:t>
            </w:r>
          </w:p>
        </w:tc>
      </w:tr>
      <w:tr w:rsidR="00E02310" w:rsidRPr="00E02310" w14:paraId="188F1FFF" w14:textId="77777777" w:rsidTr="006B3CFE">
        <w:trPr>
          <w:trHeight w:val="300"/>
        </w:trPr>
        <w:tc>
          <w:tcPr>
            <w:tcW w:w="2080" w:type="dxa"/>
          </w:tcPr>
          <w:p w14:paraId="202AC4CB"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pH </w:t>
            </w:r>
          </w:p>
        </w:tc>
        <w:tc>
          <w:tcPr>
            <w:tcW w:w="3500" w:type="dxa"/>
          </w:tcPr>
          <w:p w14:paraId="23CC5DF0"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5.87</w:t>
            </w:r>
            <w:r w:rsidRPr="00E02310">
              <w:rPr>
                <w:rFonts w:ascii="Arial" w:hAnsi="Arial" w:cs="Arial"/>
                <w:vertAlign w:val="superscript"/>
                <w:lang w:val="en"/>
              </w:rPr>
              <w:t>b</w:t>
            </w:r>
            <w:r w:rsidRPr="00E02310">
              <w:rPr>
                <w:rFonts w:ascii="Arial" w:hAnsi="Arial" w:cs="Arial"/>
                <w:lang w:val="en"/>
              </w:rPr>
              <w:t xml:space="preserve"> </w:t>
            </w:r>
            <w:r w:rsidRPr="00E02310">
              <w:rPr>
                <w:rFonts w:ascii="Arial" w:hAnsi="Arial" w:cs="Arial"/>
                <w:b/>
                <w:lang w:val="en"/>
              </w:rPr>
              <w:t xml:space="preserve">± </w:t>
            </w:r>
            <w:r w:rsidRPr="00E02310">
              <w:rPr>
                <w:rFonts w:ascii="Arial" w:hAnsi="Arial" w:cs="Arial"/>
                <w:lang w:val="en"/>
              </w:rPr>
              <w:t xml:space="preserve">0.04 </w:t>
            </w:r>
          </w:p>
        </w:tc>
        <w:tc>
          <w:tcPr>
            <w:tcW w:w="2731" w:type="dxa"/>
          </w:tcPr>
          <w:p w14:paraId="723C90E2"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6.24</w:t>
            </w:r>
            <w:r w:rsidRPr="00E02310">
              <w:rPr>
                <w:rFonts w:ascii="Arial" w:hAnsi="Arial" w:cs="Arial"/>
                <w:vertAlign w:val="superscript"/>
                <w:lang w:val="en"/>
              </w:rPr>
              <w:t>a</w:t>
            </w:r>
            <w:r w:rsidRPr="00E02310">
              <w:rPr>
                <w:rFonts w:ascii="Arial" w:hAnsi="Arial" w:cs="Arial"/>
                <w:lang w:val="en"/>
              </w:rPr>
              <w:t xml:space="preserve"> </w:t>
            </w:r>
            <w:r w:rsidRPr="00E02310">
              <w:rPr>
                <w:rFonts w:ascii="Arial" w:hAnsi="Arial" w:cs="Arial"/>
                <w:b/>
                <w:lang w:val="en"/>
              </w:rPr>
              <w:t xml:space="preserve">± </w:t>
            </w:r>
            <w:r w:rsidRPr="00E02310">
              <w:rPr>
                <w:rFonts w:ascii="Arial" w:hAnsi="Arial" w:cs="Arial"/>
                <w:lang w:val="en"/>
              </w:rPr>
              <w:t xml:space="preserve">0.07 </w:t>
            </w:r>
          </w:p>
        </w:tc>
      </w:tr>
    </w:tbl>
    <w:p w14:paraId="45CB30B6"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Values with different superscripts letters within the same row are significantly difference (p &lt;0.05).</w:t>
      </w:r>
      <w:r w:rsidRPr="00E02310">
        <w:rPr>
          <w:rFonts w:ascii="Arial" w:hAnsi="Arial" w:cs="Arial"/>
          <w:b/>
          <w:lang w:val="en"/>
        </w:rPr>
        <w:t xml:space="preserve"> </w:t>
      </w:r>
    </w:p>
    <w:p w14:paraId="0E049656" w14:textId="77777777" w:rsidR="006B3CFE" w:rsidRDefault="006B3CFE" w:rsidP="00E02310">
      <w:pPr>
        <w:tabs>
          <w:tab w:val="left" w:pos="1080"/>
        </w:tabs>
        <w:jc w:val="both"/>
        <w:rPr>
          <w:rFonts w:ascii="Arial" w:hAnsi="Arial" w:cs="Arial"/>
          <w:b/>
        </w:rPr>
      </w:pPr>
    </w:p>
    <w:p w14:paraId="1F187D00" w14:textId="27053665" w:rsidR="00E02310" w:rsidRPr="00E02310" w:rsidRDefault="00E02310" w:rsidP="00E02310">
      <w:pPr>
        <w:tabs>
          <w:tab w:val="left" w:pos="1080"/>
        </w:tabs>
        <w:jc w:val="both"/>
        <w:rPr>
          <w:rFonts w:ascii="Arial" w:hAnsi="Arial" w:cs="Arial"/>
          <w:b/>
        </w:rPr>
      </w:pPr>
      <w:r w:rsidRPr="00E02310">
        <w:rPr>
          <w:rFonts w:ascii="Arial" w:hAnsi="Arial" w:cs="Arial"/>
          <w:b/>
        </w:rPr>
        <w:t xml:space="preserve">3.3. Proximate composition of canned chicken </w:t>
      </w:r>
    </w:p>
    <w:p w14:paraId="09803C66"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The results presented in Table (3) demonstrate the proximate composition of the canned chicken samples. A comparative analysis of the proximate composition of canned chicken and raw chicken revealed that the canning process significantly impacts the nutrient content of the final product. This finding aligns with the observations reported by </w:t>
      </w:r>
      <w:proofErr w:type="spellStart"/>
      <w:r w:rsidRPr="00E02310">
        <w:rPr>
          <w:rFonts w:ascii="Arial" w:hAnsi="Arial" w:cs="Arial"/>
          <w:b/>
          <w:lang w:val="en"/>
        </w:rPr>
        <w:t>Bahurmiz</w:t>
      </w:r>
      <w:proofErr w:type="spellEnd"/>
      <w:r w:rsidRPr="00E02310">
        <w:rPr>
          <w:rFonts w:ascii="Arial" w:hAnsi="Arial" w:cs="Arial"/>
          <w:b/>
          <w:lang w:val="en"/>
        </w:rPr>
        <w:t xml:space="preserve"> et al. (2018)</w:t>
      </w:r>
      <w:r w:rsidRPr="00E02310">
        <w:rPr>
          <w:rFonts w:ascii="Arial" w:hAnsi="Arial" w:cs="Arial"/>
          <w:lang w:val="en"/>
        </w:rPr>
        <w:t xml:space="preserve">, who noted that numerous operations during the tuna canning process contribute to reducing moisture content in the final canned product. The thermal treatment, which encompasses pre-cooking and heat sterilization, has been demonstrated to denature muscle proteins, thereby diminishing their capacity to retain water. This process leads to the release of a substantial quantity of water into the surrounding environment. Furthermore, the process of cooling pre-cooked meat and the subsequent pressing step just before filling the meat in cans can lead to the release of additional moisture from the muscles through the process of evaporation. A statistically significant discrepancy (p &lt; 0.05) was identified in the proximate composition (moisture, protein, fat, and ash) among the samples of canned chicken meat examined. The smoked chunk thigh sample exhibited a high moisture content of 68.63%, while the shredded breast sample demonstrated a comparatively low moisture content of 66.15%. However, a statistical analysis revealed that there was no significant difference between the solid chunk breast and shredded breast samples. The findings indicated that the smoked solid, smoked chunk breast, and smoked shredded samples exhibited high protein contents with no statistically significant differences. Conversely, the shredded thigh samples demonstrated low protein contents, with an average of 22.90%. </w:t>
      </w:r>
    </w:p>
    <w:p w14:paraId="1799CEE7"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A non-significant discrepancy (p &gt; 0.05) in fat content was observed among the breast canned chicken samples. In contrast, the smoked chunk thigh samples exhibited a higher fat content (5.91%) compared to the other samples. This variation can be attributed to the higher fat percentage inherent in the raw chicken thigh. The present findings are consistent with those reported by </w:t>
      </w:r>
      <w:r w:rsidRPr="00E02310">
        <w:rPr>
          <w:rFonts w:ascii="Arial" w:hAnsi="Arial" w:cs="Arial"/>
          <w:b/>
          <w:lang w:val="en"/>
        </w:rPr>
        <w:t>Anwar et al. (2020)</w:t>
      </w:r>
      <w:r w:rsidRPr="00E02310">
        <w:rPr>
          <w:rFonts w:ascii="Arial" w:hAnsi="Arial" w:cs="Arial"/>
          <w:lang w:val="en"/>
        </w:rPr>
        <w:t xml:space="preserve">. In their study, the researchers compared the proximate analysis of fresh tuna with that of pre-cooked tuna. They observed that the protein and fat content increased after pre-cooking. This increase may be attributed to a reduction in the moisture content of the water during the preliminary cooking process, resulting from the evaporation of water due to heating. </w:t>
      </w:r>
    </w:p>
    <w:p w14:paraId="02A33017"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lastRenderedPageBreak/>
        <w:t xml:space="preserve">The results demonstrated that the average ash content of canned chicken meat increased from the ash content of fresh chicken. This result aligns with the findings of </w:t>
      </w:r>
      <w:r w:rsidRPr="00E02310">
        <w:rPr>
          <w:rFonts w:ascii="Arial" w:hAnsi="Arial" w:cs="Arial"/>
          <w:b/>
          <w:lang w:val="en"/>
        </w:rPr>
        <w:t>Mohan et al. (2015)</w:t>
      </w:r>
      <w:r w:rsidRPr="00E02310">
        <w:rPr>
          <w:rFonts w:ascii="Arial" w:hAnsi="Arial" w:cs="Arial"/>
          <w:lang w:val="en"/>
        </w:rPr>
        <w:t xml:space="preserve">, who attributed this increase to salt addition during the canning process. A statistically significant difference was observed in the ash content of the smoked solid samples (p &lt; 0.05). </w:t>
      </w:r>
    </w:p>
    <w:p w14:paraId="4978905C"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The ash content of the smoked solid samples was found to be low (1.61%), while the ash content of the chunk thigh samples was found to be high (2.66%).</w:t>
      </w:r>
      <w:r w:rsidRPr="00E02310">
        <w:rPr>
          <w:rFonts w:ascii="Arial" w:hAnsi="Arial" w:cs="Arial"/>
          <w:b/>
          <w:lang w:val="en"/>
        </w:rPr>
        <w:t xml:space="preserve"> </w:t>
      </w:r>
    </w:p>
    <w:p w14:paraId="3147077F" w14:textId="77777777" w:rsidR="00E02310" w:rsidRPr="00E02310" w:rsidRDefault="00E02310" w:rsidP="00E02310">
      <w:pPr>
        <w:tabs>
          <w:tab w:val="left" w:pos="1080"/>
        </w:tabs>
        <w:jc w:val="both"/>
        <w:rPr>
          <w:rFonts w:ascii="Arial" w:hAnsi="Arial" w:cs="Arial"/>
          <w:lang w:val="en"/>
        </w:rPr>
      </w:pPr>
      <w:r w:rsidRPr="00DA03FE">
        <w:rPr>
          <w:rFonts w:ascii="Arial" w:hAnsi="Arial" w:cs="Arial"/>
          <w:b/>
          <w:lang w:val="en"/>
        </w:rPr>
        <w:t>Table 3: proximate composition of canned chicken samples</w:t>
      </w:r>
      <w:r w:rsidRPr="00E02310">
        <w:rPr>
          <w:rFonts w:ascii="Arial" w:hAnsi="Arial" w:cs="Arial"/>
          <w:lang w:val="en"/>
        </w:rPr>
        <w:t>.</w:t>
      </w:r>
      <w:r w:rsidRPr="00E02310">
        <w:rPr>
          <w:rFonts w:ascii="Arial" w:hAnsi="Arial" w:cs="Arial"/>
          <w:b/>
          <w:lang w:val="en"/>
        </w:rPr>
        <w:t xml:space="preserve"> </w:t>
      </w:r>
    </w:p>
    <w:tbl>
      <w:tblPr>
        <w:tblW w:w="8120" w:type="dxa"/>
        <w:tblBorders>
          <w:top w:val="single" w:sz="8" w:space="0" w:color="000000"/>
          <w:bottom w:val="single" w:sz="8" w:space="0" w:color="000000"/>
          <w:insideH w:val="single" w:sz="8" w:space="0" w:color="000000"/>
        </w:tblBorders>
        <w:tblCellMar>
          <w:top w:w="58" w:type="dxa"/>
          <w:left w:w="98" w:type="dxa"/>
          <w:right w:w="63" w:type="dxa"/>
        </w:tblCellMar>
        <w:tblLook w:val="04A0" w:firstRow="1" w:lastRow="0" w:firstColumn="1" w:lastColumn="0" w:noHBand="0" w:noVBand="1"/>
      </w:tblPr>
      <w:tblGrid>
        <w:gridCol w:w="2760"/>
        <w:gridCol w:w="1380"/>
        <w:gridCol w:w="1400"/>
        <w:gridCol w:w="1300"/>
        <w:gridCol w:w="1280"/>
      </w:tblGrid>
      <w:tr w:rsidR="00E02310" w:rsidRPr="00E02310" w14:paraId="09BB1FC6" w14:textId="77777777" w:rsidTr="00DA03FE">
        <w:trPr>
          <w:trHeight w:val="320"/>
        </w:trPr>
        <w:tc>
          <w:tcPr>
            <w:tcW w:w="2760" w:type="dxa"/>
          </w:tcPr>
          <w:p w14:paraId="0CF7571A"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Samples </w:t>
            </w:r>
          </w:p>
        </w:tc>
        <w:tc>
          <w:tcPr>
            <w:tcW w:w="1380" w:type="dxa"/>
          </w:tcPr>
          <w:p w14:paraId="07D52A42"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Moisture% </w:t>
            </w:r>
          </w:p>
        </w:tc>
        <w:tc>
          <w:tcPr>
            <w:tcW w:w="1400" w:type="dxa"/>
          </w:tcPr>
          <w:p w14:paraId="17C2E718"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Protein% </w:t>
            </w:r>
          </w:p>
        </w:tc>
        <w:tc>
          <w:tcPr>
            <w:tcW w:w="1300" w:type="dxa"/>
          </w:tcPr>
          <w:p w14:paraId="2B283147"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Fat% </w:t>
            </w:r>
          </w:p>
        </w:tc>
        <w:tc>
          <w:tcPr>
            <w:tcW w:w="1280" w:type="dxa"/>
          </w:tcPr>
          <w:p w14:paraId="3FF7350E"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Ash% </w:t>
            </w:r>
          </w:p>
        </w:tc>
      </w:tr>
      <w:tr w:rsidR="00E02310" w:rsidRPr="00E02310" w14:paraId="3A9EC0D7" w14:textId="77777777" w:rsidTr="00DA03FE">
        <w:trPr>
          <w:trHeight w:val="300"/>
        </w:trPr>
        <w:tc>
          <w:tcPr>
            <w:tcW w:w="2760" w:type="dxa"/>
          </w:tcPr>
          <w:p w14:paraId="6ABE9F8E"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Solid </w:t>
            </w:r>
          </w:p>
        </w:tc>
        <w:tc>
          <w:tcPr>
            <w:tcW w:w="1380" w:type="dxa"/>
          </w:tcPr>
          <w:p w14:paraId="2DFC065E"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66.39</w:t>
            </w:r>
            <w:r w:rsidRPr="00E02310">
              <w:rPr>
                <w:rFonts w:ascii="Arial" w:hAnsi="Arial" w:cs="Arial"/>
                <w:vertAlign w:val="superscript"/>
                <w:lang w:val="en"/>
              </w:rPr>
              <w:t>d</w:t>
            </w:r>
            <w:r w:rsidRPr="00E02310">
              <w:rPr>
                <w:rFonts w:ascii="Arial" w:hAnsi="Arial" w:cs="Arial"/>
                <w:lang w:val="en"/>
              </w:rPr>
              <w:t xml:space="preserve"> ± 0.33 </w:t>
            </w:r>
          </w:p>
        </w:tc>
        <w:tc>
          <w:tcPr>
            <w:tcW w:w="1400" w:type="dxa"/>
          </w:tcPr>
          <w:p w14:paraId="388D20B0"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26.00</w:t>
            </w:r>
            <w:r w:rsidRPr="00E02310">
              <w:rPr>
                <w:rFonts w:ascii="Arial" w:hAnsi="Arial" w:cs="Arial"/>
                <w:vertAlign w:val="superscript"/>
                <w:lang w:val="en"/>
              </w:rPr>
              <w:t>b</w:t>
            </w:r>
            <w:r w:rsidRPr="00E02310">
              <w:rPr>
                <w:rFonts w:ascii="Arial" w:hAnsi="Arial" w:cs="Arial"/>
                <w:lang w:val="en"/>
              </w:rPr>
              <w:t xml:space="preserve"> ± 0.08 </w:t>
            </w:r>
          </w:p>
        </w:tc>
        <w:tc>
          <w:tcPr>
            <w:tcW w:w="1300" w:type="dxa"/>
          </w:tcPr>
          <w:p w14:paraId="192BBFEE"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4.37</w:t>
            </w:r>
            <w:r w:rsidRPr="00E02310">
              <w:rPr>
                <w:rFonts w:ascii="Arial" w:hAnsi="Arial" w:cs="Arial"/>
                <w:vertAlign w:val="superscript"/>
                <w:lang w:val="en"/>
              </w:rPr>
              <w:t>d</w:t>
            </w:r>
            <w:r w:rsidRPr="00E02310">
              <w:rPr>
                <w:rFonts w:ascii="Arial" w:hAnsi="Arial" w:cs="Arial"/>
                <w:lang w:val="en"/>
              </w:rPr>
              <w:t xml:space="preserve">± 0.14 </w:t>
            </w:r>
          </w:p>
        </w:tc>
        <w:tc>
          <w:tcPr>
            <w:tcW w:w="1280" w:type="dxa"/>
          </w:tcPr>
          <w:p w14:paraId="3E6EC595"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2.43</w:t>
            </w:r>
            <w:r w:rsidRPr="00E02310">
              <w:rPr>
                <w:rFonts w:ascii="Arial" w:hAnsi="Arial" w:cs="Arial"/>
                <w:vertAlign w:val="superscript"/>
                <w:lang w:val="en"/>
              </w:rPr>
              <w:t>b</w:t>
            </w:r>
            <w:r w:rsidRPr="00E02310">
              <w:rPr>
                <w:rFonts w:ascii="Arial" w:hAnsi="Arial" w:cs="Arial"/>
                <w:lang w:val="en"/>
              </w:rPr>
              <w:t xml:space="preserve">± 0.10 </w:t>
            </w:r>
          </w:p>
        </w:tc>
      </w:tr>
      <w:tr w:rsidR="00E02310" w:rsidRPr="00E02310" w14:paraId="42F492BB" w14:textId="77777777" w:rsidTr="00DA03FE">
        <w:trPr>
          <w:trHeight w:val="320"/>
        </w:trPr>
        <w:tc>
          <w:tcPr>
            <w:tcW w:w="2760" w:type="dxa"/>
          </w:tcPr>
          <w:p w14:paraId="7758DE88"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Chunk breast </w:t>
            </w:r>
          </w:p>
        </w:tc>
        <w:tc>
          <w:tcPr>
            <w:tcW w:w="1380" w:type="dxa"/>
          </w:tcPr>
          <w:p w14:paraId="275DECDC"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66.28</w:t>
            </w:r>
            <w:r w:rsidRPr="00E02310">
              <w:rPr>
                <w:rFonts w:ascii="Arial" w:hAnsi="Arial" w:cs="Arial"/>
                <w:vertAlign w:val="superscript"/>
                <w:lang w:val="en"/>
              </w:rPr>
              <w:t xml:space="preserve">d </w:t>
            </w:r>
            <w:r w:rsidRPr="00E02310">
              <w:rPr>
                <w:rFonts w:ascii="Arial" w:hAnsi="Arial" w:cs="Arial"/>
                <w:lang w:val="en"/>
              </w:rPr>
              <w:t xml:space="preserve">± 0.25 </w:t>
            </w:r>
          </w:p>
        </w:tc>
        <w:tc>
          <w:tcPr>
            <w:tcW w:w="1400" w:type="dxa"/>
          </w:tcPr>
          <w:p w14:paraId="59548BA9"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25.96</w:t>
            </w:r>
            <w:r w:rsidRPr="00E02310">
              <w:rPr>
                <w:rFonts w:ascii="Arial" w:hAnsi="Arial" w:cs="Arial"/>
                <w:vertAlign w:val="superscript"/>
                <w:lang w:val="en"/>
              </w:rPr>
              <w:t>b</w:t>
            </w:r>
            <w:r w:rsidRPr="00E02310">
              <w:rPr>
                <w:rFonts w:ascii="Arial" w:hAnsi="Arial" w:cs="Arial"/>
                <w:lang w:val="en"/>
              </w:rPr>
              <w:t xml:space="preserve"> ± 0.11 </w:t>
            </w:r>
          </w:p>
        </w:tc>
        <w:tc>
          <w:tcPr>
            <w:tcW w:w="1300" w:type="dxa"/>
          </w:tcPr>
          <w:p w14:paraId="1B7EC723"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4.32</w:t>
            </w:r>
            <w:r w:rsidRPr="00E02310">
              <w:rPr>
                <w:rFonts w:ascii="Arial" w:hAnsi="Arial" w:cs="Arial"/>
                <w:vertAlign w:val="superscript"/>
                <w:lang w:val="en"/>
              </w:rPr>
              <w:t>d</w:t>
            </w:r>
            <w:r w:rsidRPr="00E02310">
              <w:rPr>
                <w:rFonts w:ascii="Arial" w:hAnsi="Arial" w:cs="Arial"/>
                <w:lang w:val="en"/>
              </w:rPr>
              <w:t xml:space="preserve"> ± 0.13 </w:t>
            </w:r>
          </w:p>
        </w:tc>
        <w:tc>
          <w:tcPr>
            <w:tcW w:w="1280" w:type="dxa"/>
          </w:tcPr>
          <w:p w14:paraId="69AA3D0A"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2.48</w:t>
            </w:r>
            <w:r w:rsidRPr="00E02310">
              <w:rPr>
                <w:rFonts w:ascii="Arial" w:hAnsi="Arial" w:cs="Arial"/>
                <w:vertAlign w:val="superscript"/>
                <w:lang w:val="en"/>
              </w:rPr>
              <w:t>b</w:t>
            </w:r>
            <w:r w:rsidRPr="00E02310">
              <w:rPr>
                <w:rFonts w:ascii="Arial" w:hAnsi="Arial" w:cs="Arial"/>
                <w:lang w:val="en"/>
              </w:rPr>
              <w:t xml:space="preserve"> ± 0.03 </w:t>
            </w:r>
          </w:p>
        </w:tc>
      </w:tr>
      <w:tr w:rsidR="00E02310" w:rsidRPr="00E02310" w14:paraId="6929F794" w14:textId="77777777" w:rsidTr="00DA03FE">
        <w:trPr>
          <w:trHeight w:val="300"/>
        </w:trPr>
        <w:tc>
          <w:tcPr>
            <w:tcW w:w="2760" w:type="dxa"/>
          </w:tcPr>
          <w:p w14:paraId="3BADF191"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Chunk thigh </w:t>
            </w:r>
          </w:p>
        </w:tc>
        <w:tc>
          <w:tcPr>
            <w:tcW w:w="1380" w:type="dxa"/>
          </w:tcPr>
          <w:p w14:paraId="1B191527"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68.13</w:t>
            </w:r>
            <w:r w:rsidRPr="00E02310">
              <w:rPr>
                <w:rFonts w:ascii="Arial" w:hAnsi="Arial" w:cs="Arial"/>
                <w:vertAlign w:val="superscript"/>
                <w:lang w:val="en"/>
              </w:rPr>
              <w:t>b</w:t>
            </w:r>
            <w:r w:rsidRPr="00E02310">
              <w:rPr>
                <w:rFonts w:ascii="Arial" w:hAnsi="Arial" w:cs="Arial"/>
                <w:lang w:val="en"/>
              </w:rPr>
              <w:t xml:space="preserve"> ± 0.30 </w:t>
            </w:r>
          </w:p>
        </w:tc>
        <w:tc>
          <w:tcPr>
            <w:tcW w:w="1400" w:type="dxa"/>
          </w:tcPr>
          <w:p w14:paraId="2C4D4BF7"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23.06</w:t>
            </w:r>
            <w:r w:rsidRPr="00E02310">
              <w:rPr>
                <w:rFonts w:ascii="Arial" w:hAnsi="Arial" w:cs="Arial"/>
                <w:vertAlign w:val="superscript"/>
                <w:lang w:val="en"/>
              </w:rPr>
              <w:t>d</w:t>
            </w:r>
            <w:r w:rsidRPr="00E02310">
              <w:rPr>
                <w:rFonts w:ascii="Arial" w:hAnsi="Arial" w:cs="Arial"/>
                <w:lang w:val="en"/>
              </w:rPr>
              <w:t xml:space="preserve"> ± 0.20 </w:t>
            </w:r>
          </w:p>
        </w:tc>
        <w:tc>
          <w:tcPr>
            <w:tcW w:w="1300" w:type="dxa"/>
          </w:tcPr>
          <w:p w14:paraId="2C68118E"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5.62</w:t>
            </w:r>
            <w:r w:rsidRPr="00E02310">
              <w:rPr>
                <w:rFonts w:ascii="Arial" w:hAnsi="Arial" w:cs="Arial"/>
                <w:vertAlign w:val="superscript"/>
                <w:lang w:val="en"/>
              </w:rPr>
              <w:t>b</w:t>
            </w:r>
            <w:r w:rsidRPr="00E02310">
              <w:rPr>
                <w:rFonts w:ascii="Arial" w:hAnsi="Arial" w:cs="Arial"/>
                <w:lang w:val="en"/>
              </w:rPr>
              <w:t xml:space="preserve"> ± 0.09 </w:t>
            </w:r>
          </w:p>
        </w:tc>
        <w:tc>
          <w:tcPr>
            <w:tcW w:w="1280" w:type="dxa"/>
          </w:tcPr>
          <w:p w14:paraId="2F7651B9"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2.66</w:t>
            </w:r>
            <w:r w:rsidRPr="00E02310">
              <w:rPr>
                <w:rFonts w:ascii="Arial" w:hAnsi="Arial" w:cs="Arial"/>
                <w:vertAlign w:val="superscript"/>
                <w:lang w:val="en"/>
              </w:rPr>
              <w:t>a</w:t>
            </w:r>
            <w:r w:rsidRPr="00E02310">
              <w:rPr>
                <w:rFonts w:ascii="Arial" w:hAnsi="Arial" w:cs="Arial"/>
                <w:lang w:val="en"/>
              </w:rPr>
              <w:t xml:space="preserve"> ± 0.08 </w:t>
            </w:r>
          </w:p>
        </w:tc>
      </w:tr>
      <w:tr w:rsidR="00E02310" w:rsidRPr="00E02310" w14:paraId="567C7042" w14:textId="77777777" w:rsidTr="00DA03FE">
        <w:trPr>
          <w:trHeight w:val="300"/>
        </w:trPr>
        <w:tc>
          <w:tcPr>
            <w:tcW w:w="2760" w:type="dxa"/>
          </w:tcPr>
          <w:p w14:paraId="0A0BCCA6"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Shredded breast </w:t>
            </w:r>
          </w:p>
        </w:tc>
        <w:tc>
          <w:tcPr>
            <w:tcW w:w="1380" w:type="dxa"/>
          </w:tcPr>
          <w:p w14:paraId="01B6B4A8"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66.15</w:t>
            </w:r>
            <w:r w:rsidRPr="00E02310">
              <w:rPr>
                <w:rFonts w:ascii="Arial" w:hAnsi="Arial" w:cs="Arial"/>
                <w:vertAlign w:val="superscript"/>
                <w:lang w:val="en"/>
              </w:rPr>
              <w:t>d</w:t>
            </w:r>
            <w:r w:rsidRPr="00E02310">
              <w:rPr>
                <w:rFonts w:ascii="Arial" w:hAnsi="Arial" w:cs="Arial"/>
                <w:lang w:val="en"/>
              </w:rPr>
              <w:t xml:space="preserve"> ± 0.21 </w:t>
            </w:r>
          </w:p>
        </w:tc>
        <w:tc>
          <w:tcPr>
            <w:tcW w:w="1400" w:type="dxa"/>
          </w:tcPr>
          <w:p w14:paraId="593D34EC"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25.74</w:t>
            </w:r>
            <w:r w:rsidRPr="00E02310">
              <w:rPr>
                <w:rFonts w:ascii="Arial" w:hAnsi="Arial" w:cs="Arial"/>
                <w:vertAlign w:val="superscript"/>
                <w:lang w:val="en"/>
              </w:rPr>
              <w:t>b</w:t>
            </w:r>
            <w:r w:rsidRPr="00E02310">
              <w:rPr>
                <w:rFonts w:ascii="Arial" w:hAnsi="Arial" w:cs="Arial"/>
                <w:lang w:val="en"/>
              </w:rPr>
              <w:t xml:space="preserve"> ± 0.16 </w:t>
            </w:r>
          </w:p>
        </w:tc>
        <w:tc>
          <w:tcPr>
            <w:tcW w:w="1300" w:type="dxa"/>
          </w:tcPr>
          <w:p w14:paraId="1C241BCE"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4.28</w:t>
            </w:r>
            <w:r w:rsidRPr="00E02310">
              <w:rPr>
                <w:rFonts w:ascii="Arial" w:hAnsi="Arial" w:cs="Arial"/>
                <w:vertAlign w:val="superscript"/>
                <w:lang w:val="en"/>
              </w:rPr>
              <w:t>d</w:t>
            </w:r>
            <w:r w:rsidRPr="00E02310">
              <w:rPr>
                <w:rFonts w:ascii="Arial" w:hAnsi="Arial" w:cs="Arial"/>
                <w:lang w:val="en"/>
              </w:rPr>
              <w:t xml:space="preserve"> ± 0.12 </w:t>
            </w:r>
          </w:p>
        </w:tc>
        <w:tc>
          <w:tcPr>
            <w:tcW w:w="1280" w:type="dxa"/>
          </w:tcPr>
          <w:p w14:paraId="304B5EB1"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2.50</w:t>
            </w:r>
            <w:r w:rsidRPr="00E02310">
              <w:rPr>
                <w:rFonts w:ascii="Arial" w:hAnsi="Arial" w:cs="Arial"/>
                <w:vertAlign w:val="superscript"/>
                <w:lang w:val="en"/>
              </w:rPr>
              <w:t>b</w:t>
            </w:r>
            <w:r w:rsidRPr="00E02310">
              <w:rPr>
                <w:rFonts w:ascii="Arial" w:hAnsi="Arial" w:cs="Arial"/>
                <w:lang w:val="en"/>
              </w:rPr>
              <w:t xml:space="preserve"> ± 0.01 </w:t>
            </w:r>
          </w:p>
        </w:tc>
      </w:tr>
      <w:tr w:rsidR="00E02310" w:rsidRPr="00E02310" w14:paraId="4B4E84F0" w14:textId="77777777" w:rsidTr="00DA03FE">
        <w:trPr>
          <w:trHeight w:val="320"/>
        </w:trPr>
        <w:tc>
          <w:tcPr>
            <w:tcW w:w="2760" w:type="dxa"/>
          </w:tcPr>
          <w:p w14:paraId="7EEB8A82"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Shredded thigh </w:t>
            </w:r>
          </w:p>
        </w:tc>
        <w:tc>
          <w:tcPr>
            <w:tcW w:w="1380" w:type="dxa"/>
          </w:tcPr>
          <w:p w14:paraId="2D2DAB11"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67.95</w:t>
            </w:r>
            <w:r w:rsidRPr="00E02310">
              <w:rPr>
                <w:rFonts w:ascii="Arial" w:hAnsi="Arial" w:cs="Arial"/>
                <w:vertAlign w:val="superscript"/>
                <w:lang w:val="en"/>
              </w:rPr>
              <w:t>b</w:t>
            </w:r>
            <w:r w:rsidRPr="00E02310">
              <w:rPr>
                <w:rFonts w:ascii="Arial" w:hAnsi="Arial" w:cs="Arial"/>
                <w:lang w:val="en"/>
              </w:rPr>
              <w:t xml:space="preserve"> ±0.27 </w:t>
            </w:r>
          </w:p>
        </w:tc>
        <w:tc>
          <w:tcPr>
            <w:tcW w:w="1400" w:type="dxa"/>
          </w:tcPr>
          <w:p w14:paraId="4C087F2C"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22.90</w:t>
            </w:r>
            <w:r w:rsidRPr="00E02310">
              <w:rPr>
                <w:rFonts w:ascii="Arial" w:hAnsi="Arial" w:cs="Arial"/>
                <w:vertAlign w:val="superscript"/>
                <w:lang w:val="en"/>
              </w:rPr>
              <w:t>d</w:t>
            </w:r>
            <w:r w:rsidRPr="00E02310">
              <w:rPr>
                <w:rFonts w:ascii="Arial" w:hAnsi="Arial" w:cs="Arial"/>
                <w:lang w:val="en"/>
              </w:rPr>
              <w:t xml:space="preserve">±0.22 </w:t>
            </w:r>
          </w:p>
        </w:tc>
        <w:tc>
          <w:tcPr>
            <w:tcW w:w="1300" w:type="dxa"/>
          </w:tcPr>
          <w:p w14:paraId="7D038635"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5.58</w:t>
            </w:r>
            <w:r w:rsidRPr="00E02310">
              <w:rPr>
                <w:rFonts w:ascii="Arial" w:hAnsi="Arial" w:cs="Arial"/>
                <w:vertAlign w:val="superscript"/>
                <w:lang w:val="en"/>
              </w:rPr>
              <w:t>b</w:t>
            </w:r>
            <w:r w:rsidRPr="00E02310">
              <w:rPr>
                <w:rFonts w:ascii="Arial" w:hAnsi="Arial" w:cs="Arial"/>
                <w:lang w:val="en"/>
              </w:rPr>
              <w:t xml:space="preserve">±0.11 </w:t>
            </w:r>
          </w:p>
        </w:tc>
        <w:tc>
          <w:tcPr>
            <w:tcW w:w="1280" w:type="dxa"/>
          </w:tcPr>
          <w:p w14:paraId="0B40AD8C"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2.64</w:t>
            </w:r>
            <w:r w:rsidRPr="00E02310">
              <w:rPr>
                <w:rFonts w:ascii="Arial" w:hAnsi="Arial" w:cs="Arial"/>
                <w:vertAlign w:val="superscript"/>
                <w:lang w:val="en"/>
              </w:rPr>
              <w:t>a</w:t>
            </w:r>
            <w:r w:rsidRPr="00E02310">
              <w:rPr>
                <w:rFonts w:ascii="Arial" w:hAnsi="Arial" w:cs="Arial"/>
                <w:lang w:val="en"/>
              </w:rPr>
              <w:t xml:space="preserve">±0.04 </w:t>
            </w:r>
          </w:p>
        </w:tc>
      </w:tr>
      <w:tr w:rsidR="00E02310" w:rsidRPr="00E02310" w14:paraId="498A1AB3" w14:textId="77777777" w:rsidTr="00DA03FE">
        <w:trPr>
          <w:trHeight w:val="300"/>
        </w:trPr>
        <w:tc>
          <w:tcPr>
            <w:tcW w:w="2760" w:type="dxa"/>
          </w:tcPr>
          <w:p w14:paraId="1E4EC40E"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solid </w:t>
            </w:r>
          </w:p>
        </w:tc>
        <w:tc>
          <w:tcPr>
            <w:tcW w:w="1380" w:type="dxa"/>
          </w:tcPr>
          <w:p w14:paraId="4EC410E5"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67.18</w:t>
            </w:r>
            <w:r w:rsidRPr="00E02310">
              <w:rPr>
                <w:rFonts w:ascii="Arial" w:hAnsi="Arial" w:cs="Arial"/>
                <w:vertAlign w:val="superscript"/>
                <w:lang w:val="en"/>
              </w:rPr>
              <w:t>c</w:t>
            </w:r>
            <w:r w:rsidRPr="00E02310">
              <w:rPr>
                <w:rFonts w:ascii="Arial" w:hAnsi="Arial" w:cs="Arial"/>
                <w:lang w:val="en"/>
              </w:rPr>
              <w:t xml:space="preserve"> ± 0.24 </w:t>
            </w:r>
          </w:p>
        </w:tc>
        <w:tc>
          <w:tcPr>
            <w:tcW w:w="1400" w:type="dxa"/>
          </w:tcPr>
          <w:p w14:paraId="52C909CA"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26.33</w:t>
            </w:r>
            <w:r w:rsidRPr="00E02310">
              <w:rPr>
                <w:rFonts w:ascii="Arial" w:hAnsi="Arial" w:cs="Arial"/>
                <w:vertAlign w:val="superscript"/>
                <w:lang w:val="en"/>
              </w:rPr>
              <w:t>a</w:t>
            </w:r>
            <w:r w:rsidRPr="00E02310">
              <w:rPr>
                <w:rFonts w:ascii="Arial" w:hAnsi="Arial" w:cs="Arial"/>
                <w:lang w:val="en"/>
              </w:rPr>
              <w:t xml:space="preserve"> ± 0.14 </w:t>
            </w:r>
          </w:p>
        </w:tc>
        <w:tc>
          <w:tcPr>
            <w:tcW w:w="1300" w:type="dxa"/>
          </w:tcPr>
          <w:p w14:paraId="05897A1B"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4.66</w:t>
            </w:r>
            <w:r w:rsidRPr="00E02310">
              <w:rPr>
                <w:rFonts w:ascii="Arial" w:hAnsi="Arial" w:cs="Arial"/>
                <w:vertAlign w:val="superscript"/>
                <w:lang w:val="en"/>
              </w:rPr>
              <w:t>c</w:t>
            </w:r>
            <w:r w:rsidRPr="00E02310">
              <w:rPr>
                <w:rFonts w:ascii="Arial" w:hAnsi="Arial" w:cs="Arial"/>
                <w:lang w:val="en"/>
              </w:rPr>
              <w:t xml:space="preserve">± 0.16 </w:t>
            </w:r>
          </w:p>
        </w:tc>
        <w:tc>
          <w:tcPr>
            <w:tcW w:w="1280" w:type="dxa"/>
          </w:tcPr>
          <w:p w14:paraId="061E0A9F"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1.61</w:t>
            </w:r>
            <w:r w:rsidRPr="00E02310">
              <w:rPr>
                <w:rFonts w:ascii="Arial" w:hAnsi="Arial" w:cs="Arial"/>
                <w:vertAlign w:val="superscript"/>
                <w:lang w:val="en"/>
              </w:rPr>
              <w:t>d</w:t>
            </w:r>
            <w:r w:rsidRPr="00E02310">
              <w:rPr>
                <w:rFonts w:ascii="Arial" w:hAnsi="Arial" w:cs="Arial"/>
                <w:lang w:val="en"/>
              </w:rPr>
              <w:t xml:space="preserve"> ± 0.12 </w:t>
            </w:r>
          </w:p>
        </w:tc>
      </w:tr>
      <w:tr w:rsidR="00E02310" w:rsidRPr="00E02310" w14:paraId="3B56D505" w14:textId="77777777" w:rsidTr="00DA03FE">
        <w:trPr>
          <w:trHeight w:val="320"/>
        </w:trPr>
        <w:tc>
          <w:tcPr>
            <w:tcW w:w="2760" w:type="dxa"/>
          </w:tcPr>
          <w:p w14:paraId="522F33EC"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chunk breast </w:t>
            </w:r>
          </w:p>
        </w:tc>
        <w:tc>
          <w:tcPr>
            <w:tcW w:w="1380" w:type="dxa"/>
          </w:tcPr>
          <w:p w14:paraId="77E7B7FA"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67.03</w:t>
            </w:r>
            <w:r w:rsidRPr="00E02310">
              <w:rPr>
                <w:rFonts w:ascii="Arial" w:hAnsi="Arial" w:cs="Arial"/>
                <w:vertAlign w:val="superscript"/>
                <w:lang w:val="en"/>
              </w:rPr>
              <w:t>c</w:t>
            </w:r>
            <w:r w:rsidRPr="00E02310">
              <w:rPr>
                <w:rFonts w:ascii="Arial" w:hAnsi="Arial" w:cs="Arial"/>
                <w:lang w:val="en"/>
              </w:rPr>
              <w:t xml:space="preserve">±0.17 </w:t>
            </w:r>
          </w:p>
        </w:tc>
        <w:tc>
          <w:tcPr>
            <w:tcW w:w="1400" w:type="dxa"/>
          </w:tcPr>
          <w:p w14:paraId="0F89EA75"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26.29</w:t>
            </w:r>
            <w:r w:rsidRPr="00E02310">
              <w:rPr>
                <w:rFonts w:ascii="Arial" w:hAnsi="Arial" w:cs="Arial"/>
                <w:vertAlign w:val="superscript"/>
                <w:lang w:val="en"/>
              </w:rPr>
              <w:t>a</w:t>
            </w:r>
            <w:r w:rsidRPr="00E02310">
              <w:rPr>
                <w:rFonts w:ascii="Arial" w:hAnsi="Arial" w:cs="Arial"/>
                <w:lang w:val="en"/>
              </w:rPr>
              <w:t xml:space="preserve">±0.09 </w:t>
            </w:r>
          </w:p>
        </w:tc>
        <w:tc>
          <w:tcPr>
            <w:tcW w:w="1300" w:type="dxa"/>
          </w:tcPr>
          <w:p w14:paraId="38F44F10"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4.59</w:t>
            </w:r>
            <w:r w:rsidRPr="00E02310">
              <w:rPr>
                <w:rFonts w:ascii="Arial" w:hAnsi="Arial" w:cs="Arial"/>
                <w:vertAlign w:val="superscript"/>
                <w:lang w:val="en"/>
              </w:rPr>
              <w:t>c</w:t>
            </w:r>
            <w:r w:rsidRPr="00E02310">
              <w:rPr>
                <w:rFonts w:ascii="Arial" w:hAnsi="Arial" w:cs="Arial"/>
                <w:lang w:val="en"/>
              </w:rPr>
              <w:t xml:space="preserve">±0.08 </w:t>
            </w:r>
          </w:p>
        </w:tc>
        <w:tc>
          <w:tcPr>
            <w:tcW w:w="1280" w:type="dxa"/>
          </w:tcPr>
          <w:p w14:paraId="0F89FA5F"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1.66</w:t>
            </w:r>
            <w:r w:rsidRPr="00E02310">
              <w:rPr>
                <w:rFonts w:ascii="Arial" w:hAnsi="Arial" w:cs="Arial"/>
                <w:vertAlign w:val="superscript"/>
                <w:lang w:val="en"/>
              </w:rPr>
              <w:t>d</w:t>
            </w:r>
            <w:r w:rsidRPr="00E02310">
              <w:rPr>
                <w:rFonts w:ascii="Arial" w:hAnsi="Arial" w:cs="Arial"/>
                <w:lang w:val="en"/>
              </w:rPr>
              <w:t xml:space="preserve">±0.06 </w:t>
            </w:r>
          </w:p>
        </w:tc>
      </w:tr>
      <w:tr w:rsidR="00E02310" w:rsidRPr="00E02310" w14:paraId="77F1312E" w14:textId="77777777" w:rsidTr="00DA03FE">
        <w:trPr>
          <w:trHeight w:val="300"/>
        </w:trPr>
        <w:tc>
          <w:tcPr>
            <w:tcW w:w="2760" w:type="dxa"/>
          </w:tcPr>
          <w:p w14:paraId="0D36F7BD"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chunk thigh </w:t>
            </w:r>
          </w:p>
        </w:tc>
        <w:tc>
          <w:tcPr>
            <w:tcW w:w="1380" w:type="dxa"/>
          </w:tcPr>
          <w:p w14:paraId="10CAB5C0"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68.63</w:t>
            </w:r>
            <w:r w:rsidRPr="00E02310">
              <w:rPr>
                <w:rFonts w:ascii="Arial" w:hAnsi="Arial" w:cs="Arial"/>
                <w:vertAlign w:val="superscript"/>
                <w:lang w:val="en"/>
              </w:rPr>
              <w:t>a</w:t>
            </w:r>
            <w:r w:rsidRPr="00E02310">
              <w:rPr>
                <w:rFonts w:ascii="Arial" w:hAnsi="Arial" w:cs="Arial"/>
                <w:lang w:val="en"/>
              </w:rPr>
              <w:t xml:space="preserve"> ±0. 25 </w:t>
            </w:r>
          </w:p>
        </w:tc>
        <w:tc>
          <w:tcPr>
            <w:tcW w:w="1400" w:type="dxa"/>
          </w:tcPr>
          <w:p w14:paraId="4BAB410B"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23.46</w:t>
            </w:r>
            <w:r w:rsidRPr="00E02310">
              <w:rPr>
                <w:rFonts w:ascii="Arial" w:hAnsi="Arial" w:cs="Arial"/>
                <w:vertAlign w:val="superscript"/>
                <w:lang w:val="en"/>
              </w:rPr>
              <w:t>c</w:t>
            </w:r>
            <w:r w:rsidRPr="00E02310">
              <w:rPr>
                <w:rFonts w:ascii="Arial" w:hAnsi="Arial" w:cs="Arial"/>
                <w:lang w:val="en"/>
              </w:rPr>
              <w:t xml:space="preserve">±0.16 </w:t>
            </w:r>
          </w:p>
        </w:tc>
        <w:tc>
          <w:tcPr>
            <w:tcW w:w="1300" w:type="dxa"/>
          </w:tcPr>
          <w:p w14:paraId="03EB28FA"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5.91</w:t>
            </w:r>
            <w:r w:rsidRPr="00E02310">
              <w:rPr>
                <w:rFonts w:ascii="Arial" w:hAnsi="Arial" w:cs="Arial"/>
                <w:vertAlign w:val="superscript"/>
                <w:lang w:val="en"/>
              </w:rPr>
              <w:t>a</w:t>
            </w:r>
            <w:r w:rsidRPr="00E02310">
              <w:rPr>
                <w:rFonts w:ascii="Arial" w:hAnsi="Arial" w:cs="Arial"/>
                <w:lang w:val="en"/>
              </w:rPr>
              <w:t xml:space="preserve">±0.12 </w:t>
            </w:r>
          </w:p>
        </w:tc>
        <w:tc>
          <w:tcPr>
            <w:tcW w:w="1280" w:type="dxa"/>
          </w:tcPr>
          <w:p w14:paraId="6F8FBA76"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1.86</w:t>
            </w:r>
            <w:r w:rsidRPr="00E02310">
              <w:rPr>
                <w:rFonts w:ascii="Arial" w:hAnsi="Arial" w:cs="Arial"/>
                <w:vertAlign w:val="superscript"/>
                <w:lang w:val="en"/>
              </w:rPr>
              <w:t>c</w:t>
            </w:r>
            <w:r w:rsidRPr="00E02310">
              <w:rPr>
                <w:rFonts w:ascii="Arial" w:hAnsi="Arial" w:cs="Arial"/>
                <w:lang w:val="en"/>
              </w:rPr>
              <w:t xml:space="preserve">±0.09 </w:t>
            </w:r>
          </w:p>
        </w:tc>
      </w:tr>
      <w:tr w:rsidR="00E02310" w:rsidRPr="00E02310" w14:paraId="72BF4CCF" w14:textId="77777777" w:rsidTr="00DA03FE">
        <w:trPr>
          <w:trHeight w:val="300"/>
        </w:trPr>
        <w:tc>
          <w:tcPr>
            <w:tcW w:w="2760" w:type="dxa"/>
          </w:tcPr>
          <w:p w14:paraId="7AF8BCB3"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shredded breast </w:t>
            </w:r>
          </w:p>
        </w:tc>
        <w:tc>
          <w:tcPr>
            <w:tcW w:w="1380" w:type="dxa"/>
          </w:tcPr>
          <w:p w14:paraId="336C1D22"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66.90</w:t>
            </w:r>
            <w:r w:rsidRPr="00E02310">
              <w:rPr>
                <w:rFonts w:ascii="Arial" w:hAnsi="Arial" w:cs="Arial"/>
                <w:vertAlign w:val="superscript"/>
                <w:lang w:val="en"/>
              </w:rPr>
              <w:t>c</w:t>
            </w:r>
            <w:r w:rsidRPr="00E02310">
              <w:rPr>
                <w:rFonts w:ascii="Arial" w:hAnsi="Arial" w:cs="Arial"/>
                <w:lang w:val="en"/>
              </w:rPr>
              <w:t xml:space="preserve">±0. 26 </w:t>
            </w:r>
          </w:p>
        </w:tc>
        <w:tc>
          <w:tcPr>
            <w:tcW w:w="1400" w:type="dxa"/>
          </w:tcPr>
          <w:p w14:paraId="55A66FCD"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26.21</w:t>
            </w:r>
            <w:r w:rsidRPr="00E02310">
              <w:rPr>
                <w:rFonts w:ascii="Arial" w:hAnsi="Arial" w:cs="Arial"/>
                <w:vertAlign w:val="superscript"/>
                <w:lang w:val="en"/>
              </w:rPr>
              <w:t>a</w:t>
            </w:r>
            <w:r w:rsidRPr="00E02310">
              <w:rPr>
                <w:rFonts w:ascii="Arial" w:hAnsi="Arial" w:cs="Arial"/>
                <w:lang w:val="en"/>
              </w:rPr>
              <w:t xml:space="preserve">±0.17 </w:t>
            </w:r>
          </w:p>
        </w:tc>
        <w:tc>
          <w:tcPr>
            <w:tcW w:w="1300" w:type="dxa"/>
          </w:tcPr>
          <w:p w14:paraId="6D1BEC21"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4.57</w:t>
            </w:r>
            <w:r w:rsidRPr="00E02310">
              <w:rPr>
                <w:rFonts w:ascii="Arial" w:hAnsi="Arial" w:cs="Arial"/>
                <w:vertAlign w:val="superscript"/>
                <w:lang w:val="en"/>
              </w:rPr>
              <w:t>c</w:t>
            </w:r>
            <w:r w:rsidRPr="00E02310">
              <w:rPr>
                <w:rFonts w:ascii="Arial" w:hAnsi="Arial" w:cs="Arial"/>
                <w:lang w:val="en"/>
              </w:rPr>
              <w:t xml:space="preserve">±0.07 </w:t>
            </w:r>
          </w:p>
        </w:tc>
        <w:tc>
          <w:tcPr>
            <w:tcW w:w="1280" w:type="dxa"/>
          </w:tcPr>
          <w:p w14:paraId="633E93F7"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1.70</w:t>
            </w:r>
            <w:r w:rsidRPr="00E02310">
              <w:rPr>
                <w:rFonts w:ascii="Arial" w:hAnsi="Arial" w:cs="Arial"/>
                <w:vertAlign w:val="superscript"/>
                <w:lang w:val="en"/>
              </w:rPr>
              <w:t>d</w:t>
            </w:r>
            <w:r w:rsidRPr="00E02310">
              <w:rPr>
                <w:rFonts w:ascii="Arial" w:hAnsi="Arial" w:cs="Arial"/>
                <w:lang w:val="en"/>
              </w:rPr>
              <w:t xml:space="preserve">±0.13 </w:t>
            </w:r>
          </w:p>
        </w:tc>
      </w:tr>
      <w:tr w:rsidR="00E02310" w:rsidRPr="00E02310" w14:paraId="22FBEB7F" w14:textId="77777777" w:rsidTr="00DA03FE">
        <w:trPr>
          <w:trHeight w:val="320"/>
        </w:trPr>
        <w:tc>
          <w:tcPr>
            <w:tcW w:w="2760" w:type="dxa"/>
          </w:tcPr>
          <w:p w14:paraId="2FF2987D"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shredded thigh </w:t>
            </w:r>
          </w:p>
        </w:tc>
        <w:tc>
          <w:tcPr>
            <w:tcW w:w="1380" w:type="dxa"/>
          </w:tcPr>
          <w:p w14:paraId="08D0AD7C"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68.58</w:t>
            </w:r>
            <w:r w:rsidRPr="00E02310">
              <w:rPr>
                <w:rFonts w:ascii="Arial" w:hAnsi="Arial" w:cs="Arial"/>
                <w:vertAlign w:val="superscript"/>
                <w:lang w:val="en"/>
              </w:rPr>
              <w:t>a</w:t>
            </w:r>
            <w:r w:rsidRPr="00E02310">
              <w:rPr>
                <w:rFonts w:ascii="Arial" w:hAnsi="Arial" w:cs="Arial"/>
                <w:lang w:val="en"/>
              </w:rPr>
              <w:t xml:space="preserve"> ±0.29 </w:t>
            </w:r>
          </w:p>
        </w:tc>
        <w:tc>
          <w:tcPr>
            <w:tcW w:w="1400" w:type="dxa"/>
          </w:tcPr>
          <w:p w14:paraId="489C18C1"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23.40</w:t>
            </w:r>
            <w:r w:rsidRPr="00E02310">
              <w:rPr>
                <w:rFonts w:ascii="Arial" w:hAnsi="Arial" w:cs="Arial"/>
                <w:vertAlign w:val="superscript"/>
                <w:lang w:val="en"/>
              </w:rPr>
              <w:t>c</w:t>
            </w:r>
            <w:r w:rsidRPr="00E02310">
              <w:rPr>
                <w:rFonts w:ascii="Arial" w:hAnsi="Arial" w:cs="Arial"/>
                <w:lang w:val="en"/>
              </w:rPr>
              <w:t xml:space="preserve">±0.19 </w:t>
            </w:r>
          </w:p>
        </w:tc>
        <w:tc>
          <w:tcPr>
            <w:tcW w:w="1300" w:type="dxa"/>
          </w:tcPr>
          <w:p w14:paraId="276E927C"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5.85</w:t>
            </w:r>
            <w:r w:rsidRPr="00E02310">
              <w:rPr>
                <w:rFonts w:ascii="Arial" w:hAnsi="Arial" w:cs="Arial"/>
                <w:vertAlign w:val="superscript"/>
                <w:lang w:val="en"/>
              </w:rPr>
              <w:t>a</w:t>
            </w:r>
            <w:r w:rsidRPr="00E02310">
              <w:rPr>
                <w:rFonts w:ascii="Arial" w:hAnsi="Arial" w:cs="Arial"/>
                <w:lang w:val="en"/>
              </w:rPr>
              <w:t xml:space="preserve">±0.10 </w:t>
            </w:r>
          </w:p>
        </w:tc>
        <w:tc>
          <w:tcPr>
            <w:tcW w:w="1280" w:type="dxa"/>
          </w:tcPr>
          <w:p w14:paraId="57F667E0"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1.90</w:t>
            </w:r>
            <w:r w:rsidRPr="00E02310">
              <w:rPr>
                <w:rFonts w:ascii="Arial" w:hAnsi="Arial" w:cs="Arial"/>
                <w:vertAlign w:val="superscript"/>
                <w:lang w:val="en"/>
              </w:rPr>
              <w:t>c</w:t>
            </w:r>
            <w:r w:rsidRPr="00E02310">
              <w:rPr>
                <w:rFonts w:ascii="Arial" w:hAnsi="Arial" w:cs="Arial"/>
                <w:lang w:val="en"/>
              </w:rPr>
              <w:t xml:space="preserve">±0.05 </w:t>
            </w:r>
          </w:p>
        </w:tc>
      </w:tr>
    </w:tbl>
    <w:p w14:paraId="358628ED"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Values with different superscripts letters within the same column are significantly difference (p &lt;0.05).</w:t>
      </w:r>
      <w:r w:rsidRPr="00E02310">
        <w:rPr>
          <w:rFonts w:ascii="Arial" w:hAnsi="Arial" w:cs="Arial"/>
          <w:b/>
          <w:lang w:val="en"/>
        </w:rPr>
        <w:t xml:space="preserve"> </w:t>
      </w:r>
    </w:p>
    <w:p w14:paraId="54A96593" w14:textId="77777777" w:rsidR="00DA03FE" w:rsidRDefault="00DA03FE" w:rsidP="00E02310">
      <w:pPr>
        <w:tabs>
          <w:tab w:val="left" w:pos="1080"/>
        </w:tabs>
        <w:jc w:val="both"/>
        <w:rPr>
          <w:rFonts w:ascii="Arial" w:hAnsi="Arial" w:cs="Arial"/>
          <w:b/>
        </w:rPr>
      </w:pPr>
    </w:p>
    <w:p w14:paraId="76DCD201" w14:textId="77FA33FD" w:rsidR="00E02310" w:rsidRPr="00E02310" w:rsidRDefault="00E02310" w:rsidP="00E02310">
      <w:pPr>
        <w:tabs>
          <w:tab w:val="left" w:pos="1080"/>
        </w:tabs>
        <w:jc w:val="both"/>
        <w:rPr>
          <w:rFonts w:ascii="Arial" w:hAnsi="Arial" w:cs="Arial"/>
          <w:b/>
        </w:rPr>
      </w:pPr>
      <w:r w:rsidRPr="00E02310">
        <w:rPr>
          <w:rFonts w:ascii="Arial" w:hAnsi="Arial" w:cs="Arial"/>
          <w:b/>
        </w:rPr>
        <w:t>3.4. Chemical quality</w:t>
      </w:r>
      <w:r w:rsidRPr="00E02310">
        <w:rPr>
          <w:rFonts w:ascii="Arial" w:hAnsi="Arial" w:cs="Arial"/>
        </w:rPr>
        <w:t xml:space="preserve"> </w:t>
      </w:r>
      <w:r w:rsidRPr="00E02310">
        <w:rPr>
          <w:rFonts w:ascii="Arial" w:hAnsi="Arial" w:cs="Arial"/>
          <w:b/>
        </w:rPr>
        <w:t xml:space="preserve">of canned chicken </w:t>
      </w:r>
    </w:p>
    <w:p w14:paraId="10715C43"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The chemical quality of the canned chicken samples is presented in Table 4. The total volatile nitrogen value (TVN) is a chemical parameter that is frequently utilized as a freshness index for chicken products. No statistically significant differences were observed in the TVN values of solid, chunk, and shredded breast samples at a level of significance (p &gt; 0.05). The TVN values were found to be 13.42, 13.54, and 13.73 mg N/100 g meat, respectively. The findings of this study demonstrate that the observed results exceed those previously reported by </w:t>
      </w:r>
      <w:r w:rsidRPr="00E02310">
        <w:rPr>
          <w:rFonts w:ascii="Arial" w:hAnsi="Arial" w:cs="Arial"/>
          <w:b/>
          <w:lang w:val="en"/>
        </w:rPr>
        <w:t>Mohammed (2013)</w:t>
      </w:r>
      <w:r w:rsidRPr="00E02310">
        <w:rPr>
          <w:rFonts w:ascii="Arial" w:hAnsi="Arial" w:cs="Arial"/>
          <w:lang w:val="en"/>
        </w:rPr>
        <w:t xml:space="preserve">. In their study, Mohammed et al. documented the TVN values for canned chicken meat samples, which ranged from 12.1 to 12.7 mg N/100 g meat. The lower (TVN) were observed in the thigh samples. A comparative analysis revealed that all smoked chicken samples exhibited lower TVN levels compared to other chicken samples. This finding aligns with the conclusions of the study by </w:t>
      </w:r>
      <w:proofErr w:type="spellStart"/>
      <w:r w:rsidRPr="00E02310">
        <w:rPr>
          <w:rFonts w:ascii="Arial" w:hAnsi="Arial" w:cs="Arial"/>
          <w:b/>
          <w:lang w:val="en"/>
        </w:rPr>
        <w:t>Saloko</w:t>
      </w:r>
      <w:proofErr w:type="spellEnd"/>
      <w:r w:rsidRPr="00E02310">
        <w:rPr>
          <w:rFonts w:ascii="Arial" w:hAnsi="Arial" w:cs="Arial"/>
          <w:b/>
          <w:lang w:val="en"/>
        </w:rPr>
        <w:t xml:space="preserve"> et al. (2014)</w:t>
      </w:r>
      <w:r w:rsidRPr="00E02310">
        <w:rPr>
          <w:rFonts w:ascii="Arial" w:hAnsi="Arial" w:cs="Arial"/>
          <w:lang w:val="en"/>
        </w:rPr>
        <w:t xml:space="preserve">, which reported that the incorporation of liquid smoke into tuna fish led to a reduction in TVN value. </w:t>
      </w:r>
    </w:p>
    <w:p w14:paraId="67ED3F65"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A statistically significant difference (p &lt; 0.05) in </w:t>
      </w:r>
      <w:proofErr w:type="spellStart"/>
      <w:r w:rsidRPr="00E02310">
        <w:rPr>
          <w:rFonts w:ascii="Arial" w:hAnsi="Arial" w:cs="Arial"/>
          <w:lang w:val="en"/>
        </w:rPr>
        <w:t>thiobarbituric</w:t>
      </w:r>
      <w:proofErr w:type="spellEnd"/>
      <w:r w:rsidRPr="00E02310">
        <w:rPr>
          <w:rFonts w:ascii="Arial" w:hAnsi="Arial" w:cs="Arial"/>
          <w:lang w:val="en"/>
        </w:rPr>
        <w:t xml:space="preserve"> acid values (TBA) was observed between breast and thigh canned chicken. A statistically significant difference was observed in the </w:t>
      </w:r>
      <w:proofErr w:type="spellStart"/>
      <w:r w:rsidRPr="00E02310">
        <w:rPr>
          <w:rFonts w:ascii="Arial" w:hAnsi="Arial" w:cs="Arial"/>
          <w:lang w:val="en"/>
        </w:rPr>
        <w:t>thiobarbituric</w:t>
      </w:r>
      <w:proofErr w:type="spellEnd"/>
      <w:r w:rsidRPr="00E02310">
        <w:rPr>
          <w:rFonts w:ascii="Arial" w:hAnsi="Arial" w:cs="Arial"/>
          <w:lang w:val="en"/>
        </w:rPr>
        <w:t xml:space="preserve"> acid (TBA) values of the solid, chunk breast and shredded breast samples compared to the chunk thigh and shredded thigh samples (p &lt; 0.05). This discrepancy can be attributed to the higher fat content present in the raw chicken thigh. As indicated by the findings of </w:t>
      </w:r>
      <w:r w:rsidRPr="00E02310">
        <w:rPr>
          <w:rFonts w:ascii="Arial" w:hAnsi="Arial" w:cs="Arial"/>
          <w:b/>
          <w:lang w:val="en"/>
        </w:rPr>
        <w:t>Nagy et al. (2023)</w:t>
      </w:r>
      <w:r w:rsidRPr="00E02310">
        <w:rPr>
          <w:rFonts w:ascii="Arial" w:hAnsi="Arial" w:cs="Arial"/>
          <w:lang w:val="en"/>
        </w:rPr>
        <w:t xml:space="preserve">, thigh samples that had undergone shredding exhibited elevated levels of TBA. This outcome is consistent with the results obtained by the same researchers, who previously reported that shredded tuna samples exhibited significantly higher levels of TBA compared to solid or chunked tuna. The potential causes of this phenomenon may include lipid degeneration. </w:t>
      </w:r>
    </w:p>
    <w:p w14:paraId="13A5E35B"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lastRenderedPageBreak/>
        <w:t xml:space="preserve">The lower TBA values observed in the smoked chicken samples may be attributable to the antioxidant effects of the phenolic substances present in liquid smoke. As reported by </w:t>
      </w:r>
      <w:r w:rsidRPr="00E02310">
        <w:rPr>
          <w:rFonts w:ascii="Arial" w:hAnsi="Arial" w:cs="Arial"/>
          <w:b/>
          <w:lang w:val="en"/>
        </w:rPr>
        <w:t>Modi et al. (2004)</w:t>
      </w:r>
      <w:r w:rsidRPr="00E02310">
        <w:rPr>
          <w:rFonts w:ascii="Arial" w:hAnsi="Arial" w:cs="Arial"/>
          <w:lang w:val="en"/>
        </w:rPr>
        <w:t xml:space="preserve">, smoked meat nuggets exhibited significantly lower </w:t>
      </w:r>
      <w:proofErr w:type="spellStart"/>
      <w:r w:rsidRPr="00E02310">
        <w:rPr>
          <w:rFonts w:ascii="Arial" w:hAnsi="Arial" w:cs="Arial"/>
          <w:lang w:val="en"/>
        </w:rPr>
        <w:t>thiobarbituric</w:t>
      </w:r>
      <w:proofErr w:type="spellEnd"/>
      <w:r w:rsidRPr="00E02310">
        <w:rPr>
          <w:rFonts w:ascii="Arial" w:hAnsi="Arial" w:cs="Arial"/>
          <w:lang w:val="en"/>
        </w:rPr>
        <w:t xml:space="preserve"> acid (TBA) values in comparison to fresh meat nuggets (P &lt; 0.05). The obtained results were within the acceptable range (20 mg N/100g and 0.9 mg malonaldehyde/kg) reported by </w:t>
      </w:r>
      <w:r w:rsidRPr="00E02310">
        <w:rPr>
          <w:rFonts w:ascii="Arial" w:hAnsi="Arial" w:cs="Arial"/>
          <w:b/>
          <w:lang w:val="en"/>
        </w:rPr>
        <w:t>Egyptian standard specifications (2009)</w:t>
      </w:r>
      <w:r w:rsidRPr="00E02310">
        <w:rPr>
          <w:rFonts w:ascii="Arial" w:hAnsi="Arial" w:cs="Arial"/>
          <w:lang w:val="en"/>
        </w:rPr>
        <w:t>.</w:t>
      </w:r>
      <w:r w:rsidRPr="00E02310">
        <w:rPr>
          <w:rFonts w:ascii="Arial" w:hAnsi="Arial" w:cs="Arial"/>
          <w:b/>
          <w:lang w:val="en"/>
        </w:rPr>
        <w:t xml:space="preserve"> </w:t>
      </w:r>
    </w:p>
    <w:p w14:paraId="1F978F15" w14:textId="12619674" w:rsidR="00E02310" w:rsidRPr="00E02310" w:rsidRDefault="00E02310" w:rsidP="00DA03FE">
      <w:pPr>
        <w:tabs>
          <w:tab w:val="left" w:pos="1080"/>
        </w:tabs>
        <w:jc w:val="both"/>
        <w:rPr>
          <w:rFonts w:ascii="Arial" w:hAnsi="Arial" w:cs="Arial"/>
          <w:lang w:val="en"/>
        </w:rPr>
      </w:pPr>
      <w:r w:rsidRPr="00E02310">
        <w:rPr>
          <w:rFonts w:ascii="Arial" w:hAnsi="Arial" w:cs="Arial"/>
          <w:b/>
        </w:rPr>
        <w:t xml:space="preserve">Table 4: Total volatile nitrogen value (mg N/100g) and </w:t>
      </w:r>
      <w:proofErr w:type="spellStart"/>
      <w:r w:rsidRPr="00E02310">
        <w:rPr>
          <w:rFonts w:ascii="Arial" w:hAnsi="Arial" w:cs="Arial"/>
          <w:b/>
        </w:rPr>
        <w:t>thiobarbituric</w:t>
      </w:r>
      <w:proofErr w:type="spellEnd"/>
      <w:r w:rsidRPr="00E02310">
        <w:rPr>
          <w:rFonts w:ascii="Arial" w:hAnsi="Arial" w:cs="Arial"/>
          <w:b/>
        </w:rPr>
        <w:t xml:space="preserve"> acid (mg </w:t>
      </w:r>
      <w:proofErr w:type="spellStart"/>
      <w:r w:rsidRPr="00E02310">
        <w:rPr>
          <w:rFonts w:ascii="Arial" w:hAnsi="Arial" w:cs="Arial"/>
          <w:b/>
        </w:rPr>
        <w:t>malonal</w:t>
      </w:r>
      <w:proofErr w:type="spellEnd"/>
      <w:r w:rsidRPr="00E02310">
        <w:rPr>
          <w:rFonts w:ascii="Arial" w:hAnsi="Arial" w:cs="Arial"/>
          <w:b/>
        </w:rPr>
        <w:t>. /kg)</w:t>
      </w:r>
      <w:r w:rsidR="00DA03FE">
        <w:rPr>
          <w:rFonts w:ascii="Arial" w:hAnsi="Arial" w:cs="Arial"/>
          <w:b/>
        </w:rPr>
        <w:t xml:space="preserve"> </w:t>
      </w:r>
      <w:r w:rsidRPr="00E02310">
        <w:rPr>
          <w:rFonts w:ascii="Arial" w:hAnsi="Arial" w:cs="Arial"/>
          <w:b/>
          <w:lang w:val="en"/>
        </w:rPr>
        <w:t xml:space="preserve">of canned chicken samples. </w:t>
      </w:r>
    </w:p>
    <w:tbl>
      <w:tblPr>
        <w:tblW w:w="8221" w:type="dxa"/>
        <w:tblInd w:w="-8" w:type="dxa"/>
        <w:tblBorders>
          <w:top w:val="single" w:sz="8" w:space="0" w:color="000000"/>
          <w:bottom w:val="single" w:sz="8" w:space="0" w:color="000000"/>
          <w:insideH w:val="single" w:sz="8" w:space="0" w:color="000000"/>
        </w:tblBorders>
        <w:tblCellMar>
          <w:top w:w="59" w:type="dxa"/>
          <w:left w:w="113" w:type="dxa"/>
          <w:right w:w="115" w:type="dxa"/>
        </w:tblCellMar>
        <w:tblLook w:val="04A0" w:firstRow="1" w:lastRow="0" w:firstColumn="1" w:lastColumn="0" w:noHBand="0" w:noVBand="1"/>
      </w:tblPr>
      <w:tblGrid>
        <w:gridCol w:w="3260"/>
        <w:gridCol w:w="2680"/>
        <w:gridCol w:w="2281"/>
      </w:tblGrid>
      <w:tr w:rsidR="00E02310" w:rsidRPr="00E02310" w14:paraId="636EA467" w14:textId="77777777" w:rsidTr="00DA03FE">
        <w:trPr>
          <w:trHeight w:val="300"/>
        </w:trPr>
        <w:tc>
          <w:tcPr>
            <w:tcW w:w="3260" w:type="dxa"/>
          </w:tcPr>
          <w:p w14:paraId="1458D39A"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Samples </w:t>
            </w:r>
          </w:p>
        </w:tc>
        <w:tc>
          <w:tcPr>
            <w:tcW w:w="2680" w:type="dxa"/>
          </w:tcPr>
          <w:p w14:paraId="2EBA6C8D"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TVN </w:t>
            </w:r>
          </w:p>
        </w:tc>
        <w:tc>
          <w:tcPr>
            <w:tcW w:w="2281" w:type="dxa"/>
          </w:tcPr>
          <w:p w14:paraId="40E31A24"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TBA </w:t>
            </w:r>
          </w:p>
        </w:tc>
      </w:tr>
      <w:tr w:rsidR="00E02310" w:rsidRPr="00E02310" w14:paraId="1ED4CCEF" w14:textId="77777777" w:rsidTr="00DA03FE">
        <w:trPr>
          <w:trHeight w:val="320"/>
        </w:trPr>
        <w:tc>
          <w:tcPr>
            <w:tcW w:w="3260" w:type="dxa"/>
          </w:tcPr>
          <w:p w14:paraId="26A5EEA4"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Solid </w:t>
            </w:r>
          </w:p>
        </w:tc>
        <w:tc>
          <w:tcPr>
            <w:tcW w:w="2680" w:type="dxa"/>
          </w:tcPr>
          <w:p w14:paraId="46C0E0A5"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13.42</w:t>
            </w:r>
            <w:r w:rsidRPr="00E02310">
              <w:rPr>
                <w:rFonts w:ascii="Arial" w:hAnsi="Arial" w:cs="Arial"/>
                <w:vertAlign w:val="superscript"/>
                <w:lang w:val="en"/>
              </w:rPr>
              <w:t>a</w:t>
            </w:r>
            <w:r w:rsidRPr="00E02310">
              <w:rPr>
                <w:rFonts w:ascii="Arial" w:hAnsi="Arial" w:cs="Arial"/>
                <w:lang w:val="en"/>
              </w:rPr>
              <w:t xml:space="preserve"> ± 0.19 </w:t>
            </w:r>
          </w:p>
        </w:tc>
        <w:tc>
          <w:tcPr>
            <w:tcW w:w="2281" w:type="dxa"/>
          </w:tcPr>
          <w:p w14:paraId="7076F653"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0.52</w:t>
            </w:r>
            <w:r w:rsidRPr="00E02310">
              <w:rPr>
                <w:rFonts w:ascii="Arial" w:hAnsi="Arial" w:cs="Arial"/>
                <w:vertAlign w:val="superscript"/>
                <w:lang w:val="en"/>
              </w:rPr>
              <w:t>b</w:t>
            </w:r>
            <w:r w:rsidRPr="00E02310">
              <w:rPr>
                <w:rFonts w:ascii="Arial" w:hAnsi="Arial" w:cs="Arial"/>
                <w:lang w:val="en"/>
              </w:rPr>
              <w:t xml:space="preserve"> ± 0.04 </w:t>
            </w:r>
          </w:p>
        </w:tc>
      </w:tr>
      <w:tr w:rsidR="00E02310" w:rsidRPr="00E02310" w14:paraId="6E0767FA" w14:textId="77777777" w:rsidTr="00DA03FE">
        <w:trPr>
          <w:trHeight w:val="300"/>
        </w:trPr>
        <w:tc>
          <w:tcPr>
            <w:tcW w:w="3260" w:type="dxa"/>
          </w:tcPr>
          <w:p w14:paraId="64C6AD30"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Chunk breast </w:t>
            </w:r>
          </w:p>
        </w:tc>
        <w:tc>
          <w:tcPr>
            <w:tcW w:w="2680" w:type="dxa"/>
          </w:tcPr>
          <w:p w14:paraId="34EEE567"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13.54</w:t>
            </w:r>
            <w:r w:rsidRPr="00E02310">
              <w:rPr>
                <w:rFonts w:ascii="Arial" w:hAnsi="Arial" w:cs="Arial"/>
                <w:vertAlign w:val="superscript"/>
                <w:lang w:val="en"/>
              </w:rPr>
              <w:t>a</w:t>
            </w:r>
            <w:r w:rsidRPr="00E02310">
              <w:rPr>
                <w:rFonts w:ascii="Arial" w:hAnsi="Arial" w:cs="Arial"/>
                <w:lang w:val="en"/>
              </w:rPr>
              <w:t xml:space="preserve"> ± 0.21 </w:t>
            </w:r>
          </w:p>
        </w:tc>
        <w:tc>
          <w:tcPr>
            <w:tcW w:w="2281" w:type="dxa"/>
          </w:tcPr>
          <w:p w14:paraId="4BE36786"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0.53</w:t>
            </w:r>
            <w:r w:rsidRPr="00E02310">
              <w:rPr>
                <w:rFonts w:ascii="Arial" w:hAnsi="Arial" w:cs="Arial"/>
                <w:vertAlign w:val="superscript"/>
                <w:lang w:val="en"/>
              </w:rPr>
              <w:t>b</w:t>
            </w:r>
            <w:r w:rsidRPr="00E02310">
              <w:rPr>
                <w:rFonts w:ascii="Arial" w:hAnsi="Arial" w:cs="Arial"/>
                <w:lang w:val="en"/>
              </w:rPr>
              <w:t xml:space="preserve"> ± 0.02 </w:t>
            </w:r>
          </w:p>
        </w:tc>
      </w:tr>
      <w:tr w:rsidR="00E02310" w:rsidRPr="00E02310" w14:paraId="4201AF63" w14:textId="77777777" w:rsidTr="00DA03FE">
        <w:trPr>
          <w:trHeight w:val="320"/>
        </w:trPr>
        <w:tc>
          <w:tcPr>
            <w:tcW w:w="3260" w:type="dxa"/>
          </w:tcPr>
          <w:p w14:paraId="2D2CDC08"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Chunk thigh </w:t>
            </w:r>
          </w:p>
        </w:tc>
        <w:tc>
          <w:tcPr>
            <w:tcW w:w="2680" w:type="dxa"/>
          </w:tcPr>
          <w:p w14:paraId="2D01DC46"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12.82</w:t>
            </w:r>
            <w:r w:rsidRPr="00E02310">
              <w:rPr>
                <w:rFonts w:ascii="Arial" w:hAnsi="Arial" w:cs="Arial"/>
                <w:vertAlign w:val="superscript"/>
                <w:lang w:val="en"/>
              </w:rPr>
              <w:t>b</w:t>
            </w:r>
            <w:r w:rsidRPr="00E02310">
              <w:rPr>
                <w:rFonts w:ascii="Arial" w:hAnsi="Arial" w:cs="Arial"/>
                <w:lang w:val="en"/>
              </w:rPr>
              <w:t xml:space="preserve"> ± 0.32 </w:t>
            </w:r>
          </w:p>
        </w:tc>
        <w:tc>
          <w:tcPr>
            <w:tcW w:w="2281" w:type="dxa"/>
          </w:tcPr>
          <w:p w14:paraId="3B6C3A34"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0.66</w:t>
            </w:r>
            <w:r w:rsidRPr="00E02310">
              <w:rPr>
                <w:rFonts w:ascii="Arial" w:hAnsi="Arial" w:cs="Arial"/>
                <w:vertAlign w:val="superscript"/>
                <w:lang w:val="en"/>
              </w:rPr>
              <w:t>a</w:t>
            </w:r>
            <w:r w:rsidRPr="00E02310">
              <w:rPr>
                <w:rFonts w:ascii="Arial" w:hAnsi="Arial" w:cs="Arial"/>
                <w:lang w:val="en"/>
              </w:rPr>
              <w:t xml:space="preserve"> ± 0.06 </w:t>
            </w:r>
          </w:p>
        </w:tc>
      </w:tr>
      <w:tr w:rsidR="00E02310" w:rsidRPr="00E02310" w14:paraId="678D4834" w14:textId="77777777" w:rsidTr="00DA03FE">
        <w:trPr>
          <w:trHeight w:val="300"/>
        </w:trPr>
        <w:tc>
          <w:tcPr>
            <w:tcW w:w="3260" w:type="dxa"/>
          </w:tcPr>
          <w:p w14:paraId="55B24247"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Shredded breast </w:t>
            </w:r>
          </w:p>
        </w:tc>
        <w:tc>
          <w:tcPr>
            <w:tcW w:w="2680" w:type="dxa"/>
          </w:tcPr>
          <w:p w14:paraId="32A58B6A"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13.73</w:t>
            </w:r>
            <w:r w:rsidRPr="00E02310">
              <w:rPr>
                <w:rFonts w:ascii="Arial" w:hAnsi="Arial" w:cs="Arial"/>
                <w:vertAlign w:val="superscript"/>
                <w:lang w:val="en"/>
              </w:rPr>
              <w:t>a</w:t>
            </w:r>
            <w:r w:rsidRPr="00E02310">
              <w:rPr>
                <w:rFonts w:ascii="Arial" w:hAnsi="Arial" w:cs="Arial"/>
                <w:lang w:val="en"/>
              </w:rPr>
              <w:t xml:space="preserve"> ± 0.24 </w:t>
            </w:r>
          </w:p>
        </w:tc>
        <w:tc>
          <w:tcPr>
            <w:tcW w:w="2281" w:type="dxa"/>
          </w:tcPr>
          <w:p w14:paraId="13E23162"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0.56</w:t>
            </w:r>
            <w:r w:rsidRPr="00E02310">
              <w:rPr>
                <w:rFonts w:ascii="Arial" w:hAnsi="Arial" w:cs="Arial"/>
                <w:vertAlign w:val="superscript"/>
                <w:lang w:val="en"/>
              </w:rPr>
              <w:t>b</w:t>
            </w:r>
            <w:r w:rsidRPr="00E02310">
              <w:rPr>
                <w:rFonts w:ascii="Arial" w:hAnsi="Arial" w:cs="Arial"/>
                <w:lang w:val="en"/>
              </w:rPr>
              <w:t xml:space="preserve">± 0.03 </w:t>
            </w:r>
          </w:p>
        </w:tc>
      </w:tr>
      <w:tr w:rsidR="00E02310" w:rsidRPr="00E02310" w14:paraId="3BBF7FD8" w14:textId="77777777" w:rsidTr="00DA03FE">
        <w:trPr>
          <w:trHeight w:val="300"/>
        </w:trPr>
        <w:tc>
          <w:tcPr>
            <w:tcW w:w="3260" w:type="dxa"/>
          </w:tcPr>
          <w:p w14:paraId="3217D74C"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Shredded thigh </w:t>
            </w:r>
          </w:p>
        </w:tc>
        <w:tc>
          <w:tcPr>
            <w:tcW w:w="2680" w:type="dxa"/>
          </w:tcPr>
          <w:p w14:paraId="57AB415F"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12.98</w:t>
            </w:r>
            <w:r w:rsidRPr="00E02310">
              <w:rPr>
                <w:rFonts w:ascii="Arial" w:hAnsi="Arial" w:cs="Arial"/>
                <w:vertAlign w:val="superscript"/>
                <w:lang w:val="en"/>
              </w:rPr>
              <w:t>b</w:t>
            </w:r>
            <w:r w:rsidRPr="00E02310">
              <w:rPr>
                <w:rFonts w:ascii="Arial" w:hAnsi="Arial" w:cs="Arial"/>
                <w:lang w:val="en"/>
              </w:rPr>
              <w:t xml:space="preserve"> ± 0.26 </w:t>
            </w:r>
          </w:p>
        </w:tc>
        <w:tc>
          <w:tcPr>
            <w:tcW w:w="2281" w:type="dxa"/>
          </w:tcPr>
          <w:p w14:paraId="5FF7AD48"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0.68</w:t>
            </w:r>
            <w:r w:rsidRPr="00E02310">
              <w:rPr>
                <w:rFonts w:ascii="Arial" w:hAnsi="Arial" w:cs="Arial"/>
                <w:vertAlign w:val="superscript"/>
                <w:lang w:val="en"/>
              </w:rPr>
              <w:t>a</w:t>
            </w:r>
            <w:r w:rsidRPr="00E02310">
              <w:rPr>
                <w:rFonts w:ascii="Arial" w:hAnsi="Arial" w:cs="Arial"/>
                <w:lang w:val="en"/>
              </w:rPr>
              <w:t xml:space="preserve">± 0.05 </w:t>
            </w:r>
          </w:p>
        </w:tc>
      </w:tr>
      <w:tr w:rsidR="00E02310" w:rsidRPr="00E02310" w14:paraId="7633EBE6" w14:textId="77777777" w:rsidTr="00DA03FE">
        <w:trPr>
          <w:trHeight w:val="320"/>
        </w:trPr>
        <w:tc>
          <w:tcPr>
            <w:tcW w:w="3260" w:type="dxa"/>
          </w:tcPr>
          <w:p w14:paraId="3C984F65"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solid </w:t>
            </w:r>
          </w:p>
        </w:tc>
        <w:tc>
          <w:tcPr>
            <w:tcW w:w="2680" w:type="dxa"/>
          </w:tcPr>
          <w:p w14:paraId="3A2AABEF"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12.13</w:t>
            </w:r>
            <w:r w:rsidRPr="00E02310">
              <w:rPr>
                <w:rFonts w:ascii="Arial" w:hAnsi="Arial" w:cs="Arial"/>
                <w:vertAlign w:val="superscript"/>
                <w:lang w:val="en"/>
              </w:rPr>
              <w:t>c</w:t>
            </w:r>
            <w:r w:rsidRPr="00E02310">
              <w:rPr>
                <w:rFonts w:ascii="Arial" w:hAnsi="Arial" w:cs="Arial"/>
                <w:lang w:val="en"/>
              </w:rPr>
              <w:t xml:space="preserve"> ± 0.34 </w:t>
            </w:r>
          </w:p>
        </w:tc>
        <w:tc>
          <w:tcPr>
            <w:tcW w:w="2281" w:type="dxa"/>
          </w:tcPr>
          <w:p w14:paraId="1212CC4A"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0.30</w:t>
            </w:r>
            <w:r w:rsidRPr="00E02310">
              <w:rPr>
                <w:rFonts w:ascii="Arial" w:hAnsi="Arial" w:cs="Arial"/>
                <w:vertAlign w:val="superscript"/>
                <w:lang w:val="en"/>
              </w:rPr>
              <w:t>d</w:t>
            </w:r>
            <w:r w:rsidRPr="00E02310">
              <w:rPr>
                <w:rFonts w:ascii="Arial" w:hAnsi="Arial" w:cs="Arial"/>
                <w:lang w:val="en"/>
              </w:rPr>
              <w:t xml:space="preserve"> ± 0.03 </w:t>
            </w:r>
          </w:p>
        </w:tc>
      </w:tr>
      <w:tr w:rsidR="00E02310" w:rsidRPr="00E02310" w14:paraId="0660A51E" w14:textId="77777777" w:rsidTr="00DA03FE">
        <w:trPr>
          <w:trHeight w:val="300"/>
        </w:trPr>
        <w:tc>
          <w:tcPr>
            <w:tcW w:w="3260" w:type="dxa"/>
          </w:tcPr>
          <w:p w14:paraId="40EDDF86"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chunk breast  </w:t>
            </w:r>
          </w:p>
        </w:tc>
        <w:tc>
          <w:tcPr>
            <w:tcW w:w="2680" w:type="dxa"/>
          </w:tcPr>
          <w:p w14:paraId="00A4F305"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12.27</w:t>
            </w:r>
            <w:r w:rsidRPr="00E02310">
              <w:rPr>
                <w:rFonts w:ascii="Arial" w:hAnsi="Arial" w:cs="Arial"/>
                <w:vertAlign w:val="superscript"/>
                <w:lang w:val="en"/>
              </w:rPr>
              <w:t>c</w:t>
            </w:r>
            <w:r w:rsidRPr="00E02310">
              <w:rPr>
                <w:rFonts w:ascii="Arial" w:hAnsi="Arial" w:cs="Arial"/>
                <w:lang w:val="en"/>
              </w:rPr>
              <w:t xml:space="preserve"> ± 0.20 </w:t>
            </w:r>
          </w:p>
        </w:tc>
        <w:tc>
          <w:tcPr>
            <w:tcW w:w="2281" w:type="dxa"/>
          </w:tcPr>
          <w:p w14:paraId="530BCA67"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0.33</w:t>
            </w:r>
            <w:r w:rsidRPr="00E02310">
              <w:rPr>
                <w:rFonts w:ascii="Arial" w:hAnsi="Arial" w:cs="Arial"/>
                <w:vertAlign w:val="superscript"/>
                <w:lang w:val="en"/>
              </w:rPr>
              <w:t>d</w:t>
            </w:r>
            <w:r w:rsidRPr="00E02310">
              <w:rPr>
                <w:rFonts w:ascii="Arial" w:hAnsi="Arial" w:cs="Arial"/>
                <w:lang w:val="en"/>
              </w:rPr>
              <w:t xml:space="preserve"> ± 0.01 </w:t>
            </w:r>
          </w:p>
        </w:tc>
      </w:tr>
      <w:tr w:rsidR="00E02310" w:rsidRPr="00E02310" w14:paraId="4C7EA06C" w14:textId="77777777" w:rsidTr="00DA03FE">
        <w:trPr>
          <w:trHeight w:val="320"/>
        </w:trPr>
        <w:tc>
          <w:tcPr>
            <w:tcW w:w="3260" w:type="dxa"/>
          </w:tcPr>
          <w:p w14:paraId="44AB2AB8"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chunk thigh </w:t>
            </w:r>
          </w:p>
        </w:tc>
        <w:tc>
          <w:tcPr>
            <w:tcW w:w="2680" w:type="dxa"/>
          </w:tcPr>
          <w:p w14:paraId="75929EDF"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11.49</w:t>
            </w:r>
            <w:r w:rsidRPr="00E02310">
              <w:rPr>
                <w:rFonts w:ascii="Arial" w:hAnsi="Arial" w:cs="Arial"/>
                <w:vertAlign w:val="superscript"/>
                <w:lang w:val="en"/>
              </w:rPr>
              <w:t>d</w:t>
            </w:r>
            <w:r w:rsidRPr="00E02310">
              <w:rPr>
                <w:rFonts w:ascii="Arial" w:hAnsi="Arial" w:cs="Arial"/>
                <w:lang w:val="en"/>
              </w:rPr>
              <w:t xml:space="preserve"> ± 0.18 </w:t>
            </w:r>
          </w:p>
        </w:tc>
        <w:tc>
          <w:tcPr>
            <w:tcW w:w="2281" w:type="dxa"/>
          </w:tcPr>
          <w:p w14:paraId="14E5BC89"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0.42</w:t>
            </w:r>
            <w:r w:rsidRPr="00E02310">
              <w:rPr>
                <w:rFonts w:ascii="Arial" w:hAnsi="Arial" w:cs="Arial"/>
                <w:vertAlign w:val="superscript"/>
                <w:lang w:val="en"/>
              </w:rPr>
              <w:t>c</w:t>
            </w:r>
            <w:r w:rsidRPr="00E02310">
              <w:rPr>
                <w:rFonts w:ascii="Arial" w:hAnsi="Arial" w:cs="Arial"/>
                <w:lang w:val="en"/>
              </w:rPr>
              <w:t xml:space="preserve"> ± 0.02 </w:t>
            </w:r>
          </w:p>
        </w:tc>
      </w:tr>
      <w:tr w:rsidR="00E02310" w:rsidRPr="00E02310" w14:paraId="1E85BE1E" w14:textId="77777777" w:rsidTr="00DA03FE">
        <w:trPr>
          <w:trHeight w:val="300"/>
        </w:trPr>
        <w:tc>
          <w:tcPr>
            <w:tcW w:w="3260" w:type="dxa"/>
          </w:tcPr>
          <w:p w14:paraId="30DD221B"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shredded breast </w:t>
            </w:r>
          </w:p>
        </w:tc>
        <w:tc>
          <w:tcPr>
            <w:tcW w:w="2680" w:type="dxa"/>
          </w:tcPr>
          <w:p w14:paraId="2E723B9A"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12.36</w:t>
            </w:r>
            <w:r w:rsidRPr="00E02310">
              <w:rPr>
                <w:rFonts w:ascii="Arial" w:hAnsi="Arial" w:cs="Arial"/>
                <w:vertAlign w:val="superscript"/>
                <w:lang w:val="en"/>
              </w:rPr>
              <w:t>c</w:t>
            </w:r>
            <w:r w:rsidRPr="00E02310">
              <w:rPr>
                <w:rFonts w:ascii="Arial" w:hAnsi="Arial" w:cs="Arial"/>
                <w:lang w:val="en"/>
              </w:rPr>
              <w:t xml:space="preserve"> ± 0.31 </w:t>
            </w:r>
          </w:p>
        </w:tc>
        <w:tc>
          <w:tcPr>
            <w:tcW w:w="2281" w:type="dxa"/>
          </w:tcPr>
          <w:p w14:paraId="6F655BF5"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0.34</w:t>
            </w:r>
            <w:r w:rsidRPr="00E02310">
              <w:rPr>
                <w:rFonts w:ascii="Arial" w:hAnsi="Arial" w:cs="Arial"/>
                <w:vertAlign w:val="superscript"/>
                <w:lang w:val="en"/>
              </w:rPr>
              <w:t>d</w:t>
            </w:r>
            <w:r w:rsidRPr="00E02310">
              <w:rPr>
                <w:rFonts w:ascii="Arial" w:hAnsi="Arial" w:cs="Arial"/>
                <w:lang w:val="en"/>
              </w:rPr>
              <w:t xml:space="preserve"> ± 0.04 </w:t>
            </w:r>
          </w:p>
        </w:tc>
      </w:tr>
      <w:tr w:rsidR="00E02310" w:rsidRPr="00E02310" w14:paraId="6EDBE764" w14:textId="77777777" w:rsidTr="00DA03FE">
        <w:trPr>
          <w:trHeight w:val="300"/>
        </w:trPr>
        <w:tc>
          <w:tcPr>
            <w:tcW w:w="3260" w:type="dxa"/>
          </w:tcPr>
          <w:p w14:paraId="0BDB3EF9"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shredded thigh </w:t>
            </w:r>
          </w:p>
        </w:tc>
        <w:tc>
          <w:tcPr>
            <w:tcW w:w="2680" w:type="dxa"/>
          </w:tcPr>
          <w:p w14:paraId="750B812A"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11.60</w:t>
            </w:r>
            <w:r w:rsidRPr="00E02310">
              <w:rPr>
                <w:rFonts w:ascii="Arial" w:hAnsi="Arial" w:cs="Arial"/>
                <w:vertAlign w:val="superscript"/>
                <w:lang w:val="en"/>
              </w:rPr>
              <w:t>d</w:t>
            </w:r>
            <w:r w:rsidRPr="00E02310">
              <w:rPr>
                <w:rFonts w:ascii="Arial" w:hAnsi="Arial" w:cs="Arial"/>
                <w:lang w:val="en"/>
              </w:rPr>
              <w:t xml:space="preserve"> ± 0.27 </w:t>
            </w:r>
          </w:p>
        </w:tc>
        <w:tc>
          <w:tcPr>
            <w:tcW w:w="2281" w:type="dxa"/>
          </w:tcPr>
          <w:p w14:paraId="556716A0"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0.45</w:t>
            </w:r>
            <w:r w:rsidRPr="00E02310">
              <w:rPr>
                <w:rFonts w:ascii="Arial" w:hAnsi="Arial" w:cs="Arial"/>
                <w:vertAlign w:val="superscript"/>
                <w:lang w:val="en"/>
              </w:rPr>
              <w:t>c</w:t>
            </w:r>
            <w:r w:rsidRPr="00E02310">
              <w:rPr>
                <w:rFonts w:ascii="Arial" w:hAnsi="Arial" w:cs="Arial"/>
                <w:lang w:val="en"/>
              </w:rPr>
              <w:t xml:space="preserve"> ± 0.05 </w:t>
            </w:r>
          </w:p>
        </w:tc>
      </w:tr>
    </w:tbl>
    <w:p w14:paraId="0548DD6B"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Values with different superscripts letters within the same column are significantly difference (p &lt;0.05). </w:t>
      </w:r>
    </w:p>
    <w:p w14:paraId="023DA8D7" w14:textId="77777777" w:rsidR="00DA03FE" w:rsidRDefault="00DA03FE" w:rsidP="00E02310">
      <w:pPr>
        <w:tabs>
          <w:tab w:val="left" w:pos="1080"/>
        </w:tabs>
        <w:jc w:val="both"/>
        <w:rPr>
          <w:rFonts w:ascii="Arial" w:hAnsi="Arial" w:cs="Arial"/>
          <w:b/>
        </w:rPr>
      </w:pPr>
    </w:p>
    <w:p w14:paraId="57630F89" w14:textId="6E710E47" w:rsidR="00E02310" w:rsidRPr="00E02310" w:rsidRDefault="00E02310" w:rsidP="00E02310">
      <w:pPr>
        <w:tabs>
          <w:tab w:val="left" w:pos="1080"/>
        </w:tabs>
        <w:jc w:val="both"/>
        <w:rPr>
          <w:rFonts w:ascii="Arial" w:hAnsi="Arial" w:cs="Arial"/>
          <w:b/>
        </w:rPr>
      </w:pPr>
      <w:r w:rsidRPr="00E02310">
        <w:rPr>
          <w:rFonts w:ascii="Arial" w:hAnsi="Arial" w:cs="Arial"/>
          <w:b/>
        </w:rPr>
        <w:t xml:space="preserve">3.5. Physical Indicator </w:t>
      </w:r>
    </w:p>
    <w:p w14:paraId="0E57E76B"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The pH, water holding capacity (WHC), and plasticity of the studied canned chicken samples are demonstrated in Table (5). The pH values of canned chicken meat were significantly (p&lt;0.05) decreased after canning for all samples. </w:t>
      </w:r>
      <w:proofErr w:type="spellStart"/>
      <w:r w:rsidRPr="00E02310">
        <w:rPr>
          <w:rFonts w:ascii="Arial" w:hAnsi="Arial" w:cs="Arial"/>
          <w:b/>
          <w:lang w:val="en"/>
        </w:rPr>
        <w:t>Galhoum</w:t>
      </w:r>
      <w:proofErr w:type="spellEnd"/>
      <w:r w:rsidRPr="00E02310">
        <w:rPr>
          <w:rFonts w:ascii="Arial" w:hAnsi="Arial" w:cs="Arial"/>
          <w:b/>
          <w:lang w:val="en"/>
        </w:rPr>
        <w:t xml:space="preserve"> (2000)</w:t>
      </w:r>
      <w:r w:rsidRPr="00E02310">
        <w:rPr>
          <w:rFonts w:ascii="Arial" w:hAnsi="Arial" w:cs="Arial"/>
          <w:lang w:val="en"/>
        </w:rPr>
        <w:t xml:space="preserve"> ascribed this decline to the degradation of lipids and the laxity of certain fatty acids during the thermal treatment of canned tuna. </w:t>
      </w:r>
    </w:p>
    <w:p w14:paraId="5D55B5E2"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The thigh samples were found to have significantly higher pH values (P &lt; 0.05) compared to the lower values observed in the smoked shredded breast samples (5.14). The pH values of the former were found to be 5.96. A lower pH value was observed in all samples that underwent smoking in comparison to other chicken samples. This phenomenon can be attributed to the presence of phenolic acids in the smoke liquid, as previously reported by </w:t>
      </w:r>
      <w:r w:rsidRPr="00E02310">
        <w:rPr>
          <w:rFonts w:ascii="Arial" w:hAnsi="Arial" w:cs="Arial"/>
          <w:b/>
          <w:lang w:val="en"/>
        </w:rPr>
        <w:t>Berhimpon et al. (2018)</w:t>
      </w:r>
      <w:r w:rsidRPr="00E02310">
        <w:rPr>
          <w:rFonts w:ascii="Arial" w:hAnsi="Arial" w:cs="Arial"/>
          <w:lang w:val="en"/>
        </w:rPr>
        <w:t xml:space="preserve">. </w:t>
      </w:r>
    </w:p>
    <w:p w14:paraId="3C2F79EA"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Water holding capacity is defined as the ability of meat protein to bind water in meat, thereby facilitating the assessment of protein damage in meat </w:t>
      </w:r>
      <w:r w:rsidRPr="00E02310">
        <w:rPr>
          <w:rFonts w:ascii="Arial" w:hAnsi="Arial" w:cs="Arial"/>
          <w:b/>
          <w:lang w:val="en"/>
        </w:rPr>
        <w:t>(</w:t>
      </w:r>
      <w:proofErr w:type="spellStart"/>
      <w:r w:rsidRPr="00E02310">
        <w:rPr>
          <w:rFonts w:ascii="Arial" w:hAnsi="Arial" w:cs="Arial"/>
          <w:b/>
          <w:lang w:val="en"/>
        </w:rPr>
        <w:t>Suryaningsih</w:t>
      </w:r>
      <w:proofErr w:type="spellEnd"/>
      <w:r w:rsidRPr="00E02310">
        <w:rPr>
          <w:rFonts w:ascii="Arial" w:hAnsi="Arial" w:cs="Arial"/>
          <w:b/>
          <w:lang w:val="en"/>
        </w:rPr>
        <w:t xml:space="preserve"> et al., 2024)</w:t>
      </w:r>
      <w:r w:rsidRPr="00E02310">
        <w:rPr>
          <w:rFonts w:ascii="Arial" w:hAnsi="Arial" w:cs="Arial"/>
          <w:lang w:val="en"/>
        </w:rPr>
        <w:t>. The lowest WHC (highest value, 3.88 cm²/0.3 g) was documented in shredded breast samples, exhibiting non-significant differences (p &gt; 0.05) compared to chunk breast and solid canned chicken (3.79 and 3.74 cm²/0.3 g), respectively. Conversely, the highest WHC (lowest value, 3.02 cm</w:t>
      </w:r>
      <w:r w:rsidRPr="00E02310">
        <w:rPr>
          <w:rFonts w:ascii="Arial" w:hAnsi="Arial" w:cs="Arial"/>
          <w:vertAlign w:val="superscript"/>
          <w:lang w:val="en"/>
        </w:rPr>
        <w:t>2</w:t>
      </w:r>
      <w:r w:rsidRPr="00E02310">
        <w:rPr>
          <w:rFonts w:ascii="Arial" w:hAnsi="Arial" w:cs="Arial"/>
          <w:lang w:val="en"/>
        </w:rPr>
        <w:t xml:space="preserve">/0.3g) recorded in samples of smoked chunk thigh, with a non-significant difference (p &gt; 0.05) when compared to the mean value of 3.09 cm²/0.3 g recorded in samples of smoked shredded thigh. This discrepancy can be attributed to the high percentage of fat content present in the raw chicken thigh. This finding aligns with the conclusions of the study by </w:t>
      </w:r>
      <w:proofErr w:type="spellStart"/>
      <w:r w:rsidRPr="00E02310">
        <w:rPr>
          <w:rFonts w:ascii="Arial" w:hAnsi="Arial" w:cs="Arial"/>
          <w:b/>
          <w:lang w:val="en"/>
        </w:rPr>
        <w:t>Prayitno</w:t>
      </w:r>
      <w:proofErr w:type="spellEnd"/>
      <w:r w:rsidRPr="00E02310">
        <w:rPr>
          <w:rFonts w:ascii="Arial" w:hAnsi="Arial" w:cs="Arial"/>
          <w:b/>
          <w:lang w:val="en"/>
        </w:rPr>
        <w:t xml:space="preserve"> et al. (2010)</w:t>
      </w:r>
      <w:r w:rsidRPr="00E02310">
        <w:rPr>
          <w:rFonts w:ascii="Arial" w:hAnsi="Arial" w:cs="Arial"/>
          <w:lang w:val="en"/>
        </w:rPr>
        <w:t xml:space="preserve">, which demonstrated that meat with a high fat content exhibited a higher water-holding capacity value compared to meat with a low-fat content. </w:t>
      </w:r>
    </w:p>
    <w:p w14:paraId="0464E58C"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lastRenderedPageBreak/>
        <w:t>The plasticity exhibited by meat samples is indicative of their tenderness. The range of plasticity values observed varied from 2.02 (cm</w:t>
      </w:r>
      <w:r w:rsidRPr="00E02310">
        <w:rPr>
          <w:rFonts w:ascii="Arial" w:hAnsi="Arial" w:cs="Arial"/>
          <w:vertAlign w:val="superscript"/>
          <w:lang w:val="en"/>
        </w:rPr>
        <w:t>2</w:t>
      </w:r>
      <w:r w:rsidRPr="00E02310">
        <w:rPr>
          <w:rFonts w:ascii="Arial" w:hAnsi="Arial" w:cs="Arial"/>
          <w:lang w:val="en"/>
        </w:rPr>
        <w:t>/0.3g), as recorded in shredded breast samples, to 2.63 (cm</w:t>
      </w:r>
      <w:r w:rsidRPr="00E02310">
        <w:rPr>
          <w:rFonts w:ascii="Arial" w:hAnsi="Arial" w:cs="Arial"/>
          <w:vertAlign w:val="superscript"/>
          <w:lang w:val="en"/>
        </w:rPr>
        <w:t>2</w:t>
      </w:r>
      <w:r w:rsidRPr="00E02310">
        <w:rPr>
          <w:rFonts w:ascii="Arial" w:hAnsi="Arial" w:cs="Arial"/>
          <w:lang w:val="en"/>
        </w:rPr>
        <w:t>/0.3g), as recorded in smoked chunk thigh samples.</w:t>
      </w:r>
      <w:r w:rsidRPr="00E02310">
        <w:rPr>
          <w:rFonts w:ascii="Arial" w:hAnsi="Arial" w:cs="Arial"/>
          <w:b/>
          <w:lang w:val="en"/>
        </w:rPr>
        <w:t xml:space="preserve"> </w:t>
      </w:r>
    </w:p>
    <w:p w14:paraId="2DC6CFAD"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Table 5: pH, water holding capacity (cm</w:t>
      </w:r>
      <w:r w:rsidRPr="00E02310">
        <w:rPr>
          <w:rFonts w:ascii="Arial" w:hAnsi="Arial" w:cs="Arial"/>
          <w:b/>
          <w:vertAlign w:val="superscript"/>
          <w:lang w:val="en"/>
        </w:rPr>
        <w:t>2</w:t>
      </w:r>
      <w:r w:rsidRPr="00E02310">
        <w:rPr>
          <w:rFonts w:ascii="Arial" w:hAnsi="Arial" w:cs="Arial"/>
          <w:b/>
          <w:lang w:val="en"/>
        </w:rPr>
        <w:t>/0.3g) and plasticity (cm</w:t>
      </w:r>
      <w:r w:rsidRPr="00E02310">
        <w:rPr>
          <w:rFonts w:ascii="Arial" w:hAnsi="Arial" w:cs="Arial"/>
          <w:b/>
          <w:vertAlign w:val="superscript"/>
          <w:lang w:val="en"/>
        </w:rPr>
        <w:t>2</w:t>
      </w:r>
      <w:r w:rsidRPr="00E02310">
        <w:rPr>
          <w:rFonts w:ascii="Arial" w:hAnsi="Arial" w:cs="Arial"/>
          <w:b/>
          <w:lang w:val="en"/>
        </w:rPr>
        <w:t xml:space="preserve">/0.3g) of canned chicken samples. </w:t>
      </w:r>
    </w:p>
    <w:tbl>
      <w:tblPr>
        <w:tblW w:w="8311" w:type="dxa"/>
        <w:tblInd w:w="-8" w:type="dxa"/>
        <w:tblBorders>
          <w:top w:val="single" w:sz="8" w:space="0" w:color="000000"/>
          <w:bottom w:val="single" w:sz="8" w:space="0" w:color="000000"/>
          <w:insideH w:val="single" w:sz="8" w:space="0" w:color="000000"/>
        </w:tblBorders>
        <w:tblCellMar>
          <w:top w:w="58" w:type="dxa"/>
          <w:left w:w="113" w:type="dxa"/>
          <w:right w:w="115" w:type="dxa"/>
        </w:tblCellMar>
        <w:tblLook w:val="04A0" w:firstRow="1" w:lastRow="0" w:firstColumn="1" w:lastColumn="0" w:noHBand="0" w:noVBand="1"/>
      </w:tblPr>
      <w:tblGrid>
        <w:gridCol w:w="2840"/>
        <w:gridCol w:w="1871"/>
        <w:gridCol w:w="2070"/>
        <w:gridCol w:w="1530"/>
      </w:tblGrid>
      <w:tr w:rsidR="00E02310" w:rsidRPr="00E02310" w14:paraId="5173402D" w14:textId="77777777" w:rsidTr="00DA03FE">
        <w:trPr>
          <w:trHeight w:val="300"/>
        </w:trPr>
        <w:tc>
          <w:tcPr>
            <w:tcW w:w="2840" w:type="dxa"/>
          </w:tcPr>
          <w:p w14:paraId="3F19F2F2"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Samples </w:t>
            </w:r>
          </w:p>
        </w:tc>
        <w:tc>
          <w:tcPr>
            <w:tcW w:w="1871" w:type="dxa"/>
          </w:tcPr>
          <w:p w14:paraId="6189F23F"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pH </w:t>
            </w:r>
          </w:p>
        </w:tc>
        <w:tc>
          <w:tcPr>
            <w:tcW w:w="2070" w:type="dxa"/>
          </w:tcPr>
          <w:p w14:paraId="041F4DE8"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WHC </w:t>
            </w:r>
          </w:p>
        </w:tc>
        <w:tc>
          <w:tcPr>
            <w:tcW w:w="1530" w:type="dxa"/>
          </w:tcPr>
          <w:p w14:paraId="3FFC69CA"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Plasticity </w:t>
            </w:r>
          </w:p>
        </w:tc>
      </w:tr>
      <w:tr w:rsidR="00E02310" w:rsidRPr="00E02310" w14:paraId="7D57DCD3" w14:textId="77777777" w:rsidTr="00DA03FE">
        <w:trPr>
          <w:trHeight w:val="320"/>
        </w:trPr>
        <w:tc>
          <w:tcPr>
            <w:tcW w:w="2840" w:type="dxa"/>
          </w:tcPr>
          <w:p w14:paraId="4D71D75D"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Solid </w:t>
            </w:r>
          </w:p>
        </w:tc>
        <w:tc>
          <w:tcPr>
            <w:tcW w:w="1871" w:type="dxa"/>
          </w:tcPr>
          <w:p w14:paraId="235FDC89"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5.58</w:t>
            </w:r>
            <w:r w:rsidRPr="00E02310">
              <w:rPr>
                <w:rFonts w:ascii="Arial" w:hAnsi="Arial" w:cs="Arial"/>
                <w:vertAlign w:val="superscript"/>
                <w:lang w:val="en"/>
              </w:rPr>
              <w:t>c</w:t>
            </w:r>
            <w:r w:rsidRPr="00E02310">
              <w:rPr>
                <w:rFonts w:ascii="Arial" w:hAnsi="Arial" w:cs="Arial"/>
                <w:lang w:val="en"/>
              </w:rPr>
              <w:t xml:space="preserve"> ± 0.09 </w:t>
            </w:r>
          </w:p>
        </w:tc>
        <w:tc>
          <w:tcPr>
            <w:tcW w:w="2070" w:type="dxa"/>
          </w:tcPr>
          <w:p w14:paraId="2F9C2DC4"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3.74</w:t>
            </w:r>
            <w:r w:rsidRPr="00E02310">
              <w:rPr>
                <w:rFonts w:ascii="Arial" w:hAnsi="Arial" w:cs="Arial"/>
                <w:vertAlign w:val="superscript"/>
                <w:lang w:val="en"/>
              </w:rPr>
              <w:t>a</w:t>
            </w:r>
            <w:r w:rsidRPr="00E02310">
              <w:rPr>
                <w:rFonts w:ascii="Arial" w:hAnsi="Arial" w:cs="Arial"/>
                <w:lang w:val="en"/>
              </w:rPr>
              <w:t xml:space="preserve"> ± 0.01 </w:t>
            </w:r>
          </w:p>
        </w:tc>
        <w:tc>
          <w:tcPr>
            <w:tcW w:w="1530" w:type="dxa"/>
          </w:tcPr>
          <w:p w14:paraId="1594824F"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2.11</w:t>
            </w:r>
            <w:r w:rsidRPr="00E02310">
              <w:rPr>
                <w:rFonts w:ascii="Arial" w:hAnsi="Arial" w:cs="Arial"/>
                <w:vertAlign w:val="superscript"/>
                <w:lang w:val="en"/>
              </w:rPr>
              <w:t>d</w:t>
            </w:r>
            <w:r w:rsidRPr="00E02310">
              <w:rPr>
                <w:rFonts w:ascii="Arial" w:hAnsi="Arial" w:cs="Arial"/>
                <w:lang w:val="en"/>
              </w:rPr>
              <w:t xml:space="preserve"> ± 0.02 </w:t>
            </w:r>
          </w:p>
        </w:tc>
      </w:tr>
      <w:tr w:rsidR="00E02310" w:rsidRPr="00E02310" w14:paraId="2DFC0217" w14:textId="77777777" w:rsidTr="00DA03FE">
        <w:trPr>
          <w:trHeight w:val="300"/>
        </w:trPr>
        <w:tc>
          <w:tcPr>
            <w:tcW w:w="2840" w:type="dxa"/>
          </w:tcPr>
          <w:p w14:paraId="2EBF7979"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Chunk breast </w:t>
            </w:r>
          </w:p>
        </w:tc>
        <w:tc>
          <w:tcPr>
            <w:tcW w:w="1871" w:type="dxa"/>
          </w:tcPr>
          <w:p w14:paraId="02A3E350"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5.54</w:t>
            </w:r>
            <w:r w:rsidRPr="00E02310">
              <w:rPr>
                <w:rFonts w:ascii="Arial" w:hAnsi="Arial" w:cs="Arial"/>
                <w:vertAlign w:val="superscript"/>
                <w:lang w:val="en"/>
              </w:rPr>
              <w:t>c</w:t>
            </w:r>
            <w:r w:rsidRPr="00E02310">
              <w:rPr>
                <w:rFonts w:ascii="Arial" w:hAnsi="Arial" w:cs="Arial"/>
                <w:lang w:val="en"/>
              </w:rPr>
              <w:t xml:space="preserve">± 0.04 </w:t>
            </w:r>
          </w:p>
        </w:tc>
        <w:tc>
          <w:tcPr>
            <w:tcW w:w="2070" w:type="dxa"/>
          </w:tcPr>
          <w:p w14:paraId="64542B0F"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3.79</w:t>
            </w:r>
            <w:r w:rsidRPr="00E02310">
              <w:rPr>
                <w:rFonts w:ascii="Arial" w:hAnsi="Arial" w:cs="Arial"/>
                <w:vertAlign w:val="superscript"/>
                <w:lang w:val="en"/>
              </w:rPr>
              <w:t>a</w:t>
            </w:r>
            <w:r w:rsidRPr="00E02310">
              <w:rPr>
                <w:rFonts w:ascii="Arial" w:hAnsi="Arial" w:cs="Arial"/>
                <w:lang w:val="en"/>
              </w:rPr>
              <w:t xml:space="preserve"> ± 0.04 </w:t>
            </w:r>
          </w:p>
        </w:tc>
        <w:tc>
          <w:tcPr>
            <w:tcW w:w="1530" w:type="dxa"/>
          </w:tcPr>
          <w:p w14:paraId="0C04C4BB"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2.05</w:t>
            </w:r>
            <w:r w:rsidRPr="00E02310">
              <w:rPr>
                <w:rFonts w:ascii="Arial" w:hAnsi="Arial" w:cs="Arial"/>
                <w:vertAlign w:val="superscript"/>
                <w:lang w:val="en"/>
              </w:rPr>
              <w:t>d</w:t>
            </w:r>
            <w:r w:rsidRPr="00E02310">
              <w:rPr>
                <w:rFonts w:ascii="Arial" w:hAnsi="Arial" w:cs="Arial"/>
                <w:lang w:val="en"/>
              </w:rPr>
              <w:t xml:space="preserve">± 0.04 </w:t>
            </w:r>
          </w:p>
        </w:tc>
      </w:tr>
      <w:tr w:rsidR="00E02310" w:rsidRPr="00E02310" w14:paraId="068E08DB" w14:textId="77777777" w:rsidTr="00DA03FE">
        <w:trPr>
          <w:trHeight w:val="300"/>
        </w:trPr>
        <w:tc>
          <w:tcPr>
            <w:tcW w:w="2840" w:type="dxa"/>
          </w:tcPr>
          <w:p w14:paraId="37E90320"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Chunk thigh </w:t>
            </w:r>
          </w:p>
        </w:tc>
        <w:tc>
          <w:tcPr>
            <w:tcW w:w="1871" w:type="dxa"/>
          </w:tcPr>
          <w:p w14:paraId="0129A324"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5.96</w:t>
            </w:r>
            <w:r w:rsidRPr="00E02310">
              <w:rPr>
                <w:rFonts w:ascii="Arial" w:hAnsi="Arial" w:cs="Arial"/>
                <w:vertAlign w:val="superscript"/>
                <w:lang w:val="en"/>
              </w:rPr>
              <w:t>a</w:t>
            </w:r>
            <w:r w:rsidRPr="00E02310">
              <w:rPr>
                <w:rFonts w:ascii="Arial" w:hAnsi="Arial" w:cs="Arial"/>
                <w:lang w:val="en"/>
              </w:rPr>
              <w:t xml:space="preserve"> ± 0.07 </w:t>
            </w:r>
          </w:p>
        </w:tc>
        <w:tc>
          <w:tcPr>
            <w:tcW w:w="2070" w:type="dxa"/>
          </w:tcPr>
          <w:p w14:paraId="35645E9E"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3.25</w:t>
            </w:r>
            <w:r w:rsidRPr="00E02310">
              <w:rPr>
                <w:rFonts w:ascii="Arial" w:hAnsi="Arial" w:cs="Arial"/>
                <w:vertAlign w:val="superscript"/>
                <w:lang w:val="en"/>
              </w:rPr>
              <w:t>c</w:t>
            </w:r>
            <w:r w:rsidRPr="00E02310">
              <w:rPr>
                <w:rFonts w:ascii="Arial" w:hAnsi="Arial" w:cs="Arial"/>
                <w:lang w:val="en"/>
              </w:rPr>
              <w:t xml:space="preserve"> ± 0.04 </w:t>
            </w:r>
          </w:p>
        </w:tc>
        <w:tc>
          <w:tcPr>
            <w:tcW w:w="1530" w:type="dxa"/>
          </w:tcPr>
          <w:p w14:paraId="668E9243"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2.44</w:t>
            </w:r>
            <w:r w:rsidRPr="00E02310">
              <w:rPr>
                <w:rFonts w:ascii="Arial" w:hAnsi="Arial" w:cs="Arial"/>
                <w:vertAlign w:val="superscript"/>
                <w:lang w:val="en"/>
              </w:rPr>
              <w:t>b</w:t>
            </w:r>
            <w:r w:rsidRPr="00E02310">
              <w:rPr>
                <w:rFonts w:ascii="Arial" w:hAnsi="Arial" w:cs="Arial"/>
                <w:lang w:val="en"/>
              </w:rPr>
              <w:t xml:space="preserve"> ± 0.07 </w:t>
            </w:r>
          </w:p>
        </w:tc>
      </w:tr>
      <w:tr w:rsidR="00E02310" w:rsidRPr="00E02310" w14:paraId="69244848" w14:textId="77777777" w:rsidTr="00DA03FE">
        <w:trPr>
          <w:trHeight w:val="320"/>
        </w:trPr>
        <w:tc>
          <w:tcPr>
            <w:tcW w:w="2840" w:type="dxa"/>
          </w:tcPr>
          <w:p w14:paraId="11F67E59"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Shredded breast </w:t>
            </w:r>
          </w:p>
        </w:tc>
        <w:tc>
          <w:tcPr>
            <w:tcW w:w="1871" w:type="dxa"/>
          </w:tcPr>
          <w:p w14:paraId="3859C611"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5.49</w:t>
            </w:r>
            <w:r w:rsidRPr="00E02310">
              <w:rPr>
                <w:rFonts w:ascii="Arial" w:hAnsi="Arial" w:cs="Arial"/>
                <w:vertAlign w:val="superscript"/>
                <w:lang w:val="en"/>
              </w:rPr>
              <w:t>c</w:t>
            </w:r>
            <w:r w:rsidRPr="00E02310">
              <w:rPr>
                <w:rFonts w:ascii="Arial" w:hAnsi="Arial" w:cs="Arial"/>
                <w:lang w:val="en"/>
              </w:rPr>
              <w:t xml:space="preserve"> ± 0.06 </w:t>
            </w:r>
          </w:p>
        </w:tc>
        <w:tc>
          <w:tcPr>
            <w:tcW w:w="2070" w:type="dxa"/>
          </w:tcPr>
          <w:p w14:paraId="67105AAE"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3.88</w:t>
            </w:r>
            <w:r w:rsidRPr="00E02310">
              <w:rPr>
                <w:rFonts w:ascii="Arial" w:hAnsi="Arial" w:cs="Arial"/>
                <w:vertAlign w:val="superscript"/>
                <w:lang w:val="en"/>
              </w:rPr>
              <w:t>a</w:t>
            </w:r>
            <w:r w:rsidRPr="00E02310">
              <w:rPr>
                <w:rFonts w:ascii="Arial" w:hAnsi="Arial" w:cs="Arial"/>
                <w:lang w:val="en"/>
              </w:rPr>
              <w:t xml:space="preserve"> ± 0.09 </w:t>
            </w:r>
          </w:p>
        </w:tc>
        <w:tc>
          <w:tcPr>
            <w:tcW w:w="1530" w:type="dxa"/>
          </w:tcPr>
          <w:p w14:paraId="7973C39D"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2.02</w:t>
            </w:r>
            <w:r w:rsidRPr="00E02310">
              <w:rPr>
                <w:rFonts w:ascii="Arial" w:hAnsi="Arial" w:cs="Arial"/>
                <w:vertAlign w:val="superscript"/>
                <w:lang w:val="en"/>
              </w:rPr>
              <w:t>d</w:t>
            </w:r>
            <w:r w:rsidRPr="00E02310">
              <w:rPr>
                <w:rFonts w:ascii="Arial" w:hAnsi="Arial" w:cs="Arial"/>
                <w:lang w:val="en"/>
              </w:rPr>
              <w:t xml:space="preserve"> ± 0.03 </w:t>
            </w:r>
          </w:p>
        </w:tc>
      </w:tr>
      <w:tr w:rsidR="00E02310" w:rsidRPr="00E02310" w14:paraId="23E91AA1" w14:textId="77777777" w:rsidTr="00DA03FE">
        <w:trPr>
          <w:trHeight w:val="300"/>
        </w:trPr>
        <w:tc>
          <w:tcPr>
            <w:tcW w:w="2840" w:type="dxa"/>
          </w:tcPr>
          <w:p w14:paraId="2FF5E1E0"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Shredded thigh </w:t>
            </w:r>
          </w:p>
        </w:tc>
        <w:tc>
          <w:tcPr>
            <w:tcW w:w="1871" w:type="dxa"/>
          </w:tcPr>
          <w:p w14:paraId="06E7218D"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5.87</w:t>
            </w:r>
            <w:r w:rsidRPr="00E02310">
              <w:rPr>
                <w:rFonts w:ascii="Arial" w:hAnsi="Arial" w:cs="Arial"/>
                <w:vertAlign w:val="superscript"/>
                <w:lang w:val="en"/>
              </w:rPr>
              <w:t>a</w:t>
            </w:r>
            <w:r w:rsidRPr="00E02310">
              <w:rPr>
                <w:rFonts w:ascii="Arial" w:hAnsi="Arial" w:cs="Arial"/>
                <w:lang w:val="en"/>
              </w:rPr>
              <w:t xml:space="preserve"> ± 0.01 </w:t>
            </w:r>
          </w:p>
        </w:tc>
        <w:tc>
          <w:tcPr>
            <w:tcW w:w="2070" w:type="dxa"/>
          </w:tcPr>
          <w:p w14:paraId="6BFEC329"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3.31</w:t>
            </w:r>
            <w:r w:rsidRPr="00E02310">
              <w:rPr>
                <w:rFonts w:ascii="Arial" w:hAnsi="Arial" w:cs="Arial"/>
                <w:vertAlign w:val="superscript"/>
                <w:lang w:val="en"/>
              </w:rPr>
              <w:t>c</w:t>
            </w:r>
            <w:r w:rsidRPr="00E02310">
              <w:rPr>
                <w:rFonts w:ascii="Arial" w:hAnsi="Arial" w:cs="Arial"/>
                <w:lang w:val="en"/>
              </w:rPr>
              <w:t xml:space="preserve"> ± 0.02 </w:t>
            </w:r>
          </w:p>
        </w:tc>
        <w:tc>
          <w:tcPr>
            <w:tcW w:w="1530" w:type="dxa"/>
          </w:tcPr>
          <w:p w14:paraId="2791EACA"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2.40</w:t>
            </w:r>
            <w:r w:rsidRPr="00E02310">
              <w:rPr>
                <w:rFonts w:ascii="Arial" w:hAnsi="Arial" w:cs="Arial"/>
                <w:vertAlign w:val="superscript"/>
                <w:lang w:val="en"/>
              </w:rPr>
              <w:t>b</w:t>
            </w:r>
            <w:r w:rsidRPr="00E02310">
              <w:rPr>
                <w:rFonts w:ascii="Arial" w:hAnsi="Arial" w:cs="Arial"/>
                <w:lang w:val="en"/>
              </w:rPr>
              <w:t xml:space="preserve"> ± 0.05 </w:t>
            </w:r>
          </w:p>
        </w:tc>
      </w:tr>
      <w:tr w:rsidR="00E02310" w:rsidRPr="00E02310" w14:paraId="7B2C9301" w14:textId="77777777" w:rsidTr="00DA03FE">
        <w:trPr>
          <w:trHeight w:val="320"/>
        </w:trPr>
        <w:tc>
          <w:tcPr>
            <w:tcW w:w="2840" w:type="dxa"/>
          </w:tcPr>
          <w:p w14:paraId="40AF64C3"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solid </w:t>
            </w:r>
          </w:p>
        </w:tc>
        <w:tc>
          <w:tcPr>
            <w:tcW w:w="1871" w:type="dxa"/>
          </w:tcPr>
          <w:p w14:paraId="23B95140"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5.23</w:t>
            </w:r>
            <w:r w:rsidRPr="00E02310">
              <w:rPr>
                <w:rFonts w:ascii="Arial" w:hAnsi="Arial" w:cs="Arial"/>
                <w:vertAlign w:val="superscript"/>
                <w:lang w:val="en"/>
              </w:rPr>
              <w:t>d</w:t>
            </w:r>
            <w:r w:rsidRPr="00E02310">
              <w:rPr>
                <w:rFonts w:ascii="Arial" w:hAnsi="Arial" w:cs="Arial"/>
                <w:lang w:val="en"/>
              </w:rPr>
              <w:t xml:space="preserve"> ± 0.03 </w:t>
            </w:r>
          </w:p>
        </w:tc>
        <w:tc>
          <w:tcPr>
            <w:tcW w:w="2070" w:type="dxa"/>
          </w:tcPr>
          <w:p w14:paraId="176ED7DF"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3.40</w:t>
            </w:r>
            <w:r w:rsidRPr="00E02310">
              <w:rPr>
                <w:rFonts w:ascii="Arial" w:hAnsi="Arial" w:cs="Arial"/>
                <w:vertAlign w:val="superscript"/>
                <w:lang w:val="en"/>
              </w:rPr>
              <w:t>b</w:t>
            </w:r>
            <w:r w:rsidRPr="00E02310">
              <w:rPr>
                <w:rFonts w:ascii="Arial" w:hAnsi="Arial" w:cs="Arial"/>
                <w:lang w:val="en"/>
              </w:rPr>
              <w:t xml:space="preserve"> ± 0.06 </w:t>
            </w:r>
          </w:p>
        </w:tc>
        <w:tc>
          <w:tcPr>
            <w:tcW w:w="1530" w:type="dxa"/>
          </w:tcPr>
          <w:p w14:paraId="125C54C4"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2.29</w:t>
            </w:r>
            <w:r w:rsidRPr="00E02310">
              <w:rPr>
                <w:rFonts w:ascii="Arial" w:hAnsi="Arial" w:cs="Arial"/>
                <w:vertAlign w:val="superscript"/>
                <w:lang w:val="en"/>
              </w:rPr>
              <w:t>c</w:t>
            </w:r>
            <w:r w:rsidRPr="00E02310">
              <w:rPr>
                <w:rFonts w:ascii="Arial" w:hAnsi="Arial" w:cs="Arial"/>
                <w:lang w:val="en"/>
              </w:rPr>
              <w:t xml:space="preserve"> ± 0.05 </w:t>
            </w:r>
          </w:p>
        </w:tc>
      </w:tr>
      <w:tr w:rsidR="00E02310" w:rsidRPr="00E02310" w14:paraId="528F27C5" w14:textId="77777777" w:rsidTr="00DA03FE">
        <w:trPr>
          <w:trHeight w:val="300"/>
        </w:trPr>
        <w:tc>
          <w:tcPr>
            <w:tcW w:w="2840" w:type="dxa"/>
          </w:tcPr>
          <w:p w14:paraId="78108937"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chunk breast </w:t>
            </w:r>
          </w:p>
        </w:tc>
        <w:tc>
          <w:tcPr>
            <w:tcW w:w="1871" w:type="dxa"/>
          </w:tcPr>
          <w:p w14:paraId="2D6D0CED"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5.19</w:t>
            </w:r>
            <w:r w:rsidRPr="00E02310">
              <w:rPr>
                <w:rFonts w:ascii="Arial" w:hAnsi="Arial" w:cs="Arial"/>
                <w:vertAlign w:val="superscript"/>
                <w:lang w:val="en"/>
              </w:rPr>
              <w:t>d</w:t>
            </w:r>
            <w:r w:rsidRPr="00E02310">
              <w:rPr>
                <w:rFonts w:ascii="Arial" w:hAnsi="Arial" w:cs="Arial"/>
                <w:lang w:val="en"/>
              </w:rPr>
              <w:t xml:space="preserve"> ± 0.08 </w:t>
            </w:r>
          </w:p>
        </w:tc>
        <w:tc>
          <w:tcPr>
            <w:tcW w:w="2070" w:type="dxa"/>
          </w:tcPr>
          <w:p w14:paraId="4B95A302"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3.47</w:t>
            </w:r>
            <w:r w:rsidRPr="00E02310">
              <w:rPr>
                <w:rFonts w:ascii="Arial" w:hAnsi="Arial" w:cs="Arial"/>
                <w:vertAlign w:val="superscript"/>
                <w:lang w:val="en"/>
              </w:rPr>
              <w:t>b</w:t>
            </w:r>
            <w:r w:rsidRPr="00E02310">
              <w:rPr>
                <w:rFonts w:ascii="Arial" w:hAnsi="Arial" w:cs="Arial"/>
                <w:lang w:val="en"/>
              </w:rPr>
              <w:t xml:space="preserve"> ± 0.07 </w:t>
            </w:r>
          </w:p>
        </w:tc>
        <w:tc>
          <w:tcPr>
            <w:tcW w:w="1530" w:type="dxa"/>
          </w:tcPr>
          <w:p w14:paraId="469B656F"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2.26</w:t>
            </w:r>
            <w:r w:rsidRPr="00E02310">
              <w:rPr>
                <w:rFonts w:ascii="Arial" w:hAnsi="Arial" w:cs="Arial"/>
                <w:vertAlign w:val="superscript"/>
                <w:lang w:val="en"/>
              </w:rPr>
              <w:t>c</w:t>
            </w:r>
            <w:r w:rsidRPr="00E02310">
              <w:rPr>
                <w:rFonts w:ascii="Arial" w:hAnsi="Arial" w:cs="Arial"/>
                <w:lang w:val="en"/>
              </w:rPr>
              <w:t xml:space="preserve"> ± 0.06 </w:t>
            </w:r>
          </w:p>
        </w:tc>
      </w:tr>
      <w:tr w:rsidR="00E02310" w:rsidRPr="00E02310" w14:paraId="70DCCB9F" w14:textId="77777777" w:rsidTr="00DA03FE">
        <w:trPr>
          <w:trHeight w:val="300"/>
        </w:trPr>
        <w:tc>
          <w:tcPr>
            <w:tcW w:w="2840" w:type="dxa"/>
          </w:tcPr>
          <w:p w14:paraId="58F57F3D"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chunk thigh </w:t>
            </w:r>
          </w:p>
        </w:tc>
        <w:tc>
          <w:tcPr>
            <w:tcW w:w="1871" w:type="dxa"/>
          </w:tcPr>
          <w:p w14:paraId="5D1F3CB9"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5.75</w:t>
            </w:r>
            <w:r w:rsidRPr="00E02310">
              <w:rPr>
                <w:rFonts w:ascii="Arial" w:hAnsi="Arial" w:cs="Arial"/>
                <w:vertAlign w:val="superscript"/>
                <w:lang w:val="en"/>
              </w:rPr>
              <w:t>b</w:t>
            </w:r>
            <w:r w:rsidRPr="00E02310">
              <w:rPr>
                <w:rFonts w:ascii="Arial" w:hAnsi="Arial" w:cs="Arial"/>
                <w:lang w:val="en"/>
              </w:rPr>
              <w:t xml:space="preserve"> ± 0.05 </w:t>
            </w:r>
          </w:p>
        </w:tc>
        <w:tc>
          <w:tcPr>
            <w:tcW w:w="2070" w:type="dxa"/>
          </w:tcPr>
          <w:p w14:paraId="12695ED3"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3.02</w:t>
            </w:r>
            <w:r w:rsidRPr="00E02310">
              <w:rPr>
                <w:rFonts w:ascii="Arial" w:hAnsi="Arial" w:cs="Arial"/>
                <w:vertAlign w:val="superscript"/>
                <w:lang w:val="en"/>
              </w:rPr>
              <w:t>d</w:t>
            </w:r>
            <w:r w:rsidRPr="00E02310">
              <w:rPr>
                <w:rFonts w:ascii="Arial" w:hAnsi="Arial" w:cs="Arial"/>
                <w:lang w:val="en"/>
              </w:rPr>
              <w:t xml:space="preserve"> ± 0.08 </w:t>
            </w:r>
          </w:p>
        </w:tc>
        <w:tc>
          <w:tcPr>
            <w:tcW w:w="1530" w:type="dxa"/>
          </w:tcPr>
          <w:p w14:paraId="6F67816B"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2.63</w:t>
            </w:r>
            <w:r w:rsidRPr="00E02310">
              <w:rPr>
                <w:rFonts w:ascii="Arial" w:hAnsi="Arial" w:cs="Arial"/>
                <w:vertAlign w:val="superscript"/>
                <w:lang w:val="en"/>
              </w:rPr>
              <w:t>a</w:t>
            </w:r>
            <w:r w:rsidRPr="00E02310">
              <w:rPr>
                <w:rFonts w:ascii="Arial" w:hAnsi="Arial" w:cs="Arial"/>
                <w:lang w:val="en"/>
              </w:rPr>
              <w:t xml:space="preserve"> ± 0.04 </w:t>
            </w:r>
          </w:p>
        </w:tc>
      </w:tr>
      <w:tr w:rsidR="00E02310" w:rsidRPr="00E02310" w14:paraId="0248B12E" w14:textId="77777777" w:rsidTr="00DA03FE">
        <w:trPr>
          <w:trHeight w:val="320"/>
        </w:trPr>
        <w:tc>
          <w:tcPr>
            <w:tcW w:w="2840" w:type="dxa"/>
          </w:tcPr>
          <w:p w14:paraId="617C8660"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shredded breast </w:t>
            </w:r>
          </w:p>
        </w:tc>
        <w:tc>
          <w:tcPr>
            <w:tcW w:w="1871" w:type="dxa"/>
          </w:tcPr>
          <w:p w14:paraId="013BF535"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5.14</w:t>
            </w:r>
            <w:r w:rsidRPr="00E02310">
              <w:rPr>
                <w:rFonts w:ascii="Arial" w:hAnsi="Arial" w:cs="Arial"/>
                <w:vertAlign w:val="superscript"/>
                <w:lang w:val="en"/>
              </w:rPr>
              <w:t>d</w:t>
            </w:r>
            <w:r w:rsidRPr="00E02310">
              <w:rPr>
                <w:rFonts w:ascii="Arial" w:hAnsi="Arial" w:cs="Arial"/>
                <w:lang w:val="en"/>
              </w:rPr>
              <w:t xml:space="preserve"> ± 0.07 </w:t>
            </w:r>
          </w:p>
        </w:tc>
        <w:tc>
          <w:tcPr>
            <w:tcW w:w="2070" w:type="dxa"/>
          </w:tcPr>
          <w:p w14:paraId="743AAE0B"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3.53</w:t>
            </w:r>
            <w:r w:rsidRPr="00E02310">
              <w:rPr>
                <w:rFonts w:ascii="Arial" w:hAnsi="Arial" w:cs="Arial"/>
                <w:vertAlign w:val="superscript"/>
                <w:lang w:val="en"/>
              </w:rPr>
              <w:t>b</w:t>
            </w:r>
            <w:r w:rsidRPr="00E02310">
              <w:rPr>
                <w:rFonts w:ascii="Arial" w:hAnsi="Arial" w:cs="Arial"/>
                <w:lang w:val="en"/>
              </w:rPr>
              <w:t xml:space="preserve"> ± 0.12 </w:t>
            </w:r>
          </w:p>
        </w:tc>
        <w:tc>
          <w:tcPr>
            <w:tcW w:w="1530" w:type="dxa"/>
          </w:tcPr>
          <w:p w14:paraId="0A33DA41"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2.21</w:t>
            </w:r>
            <w:r w:rsidRPr="00E02310">
              <w:rPr>
                <w:rFonts w:ascii="Arial" w:hAnsi="Arial" w:cs="Arial"/>
                <w:vertAlign w:val="superscript"/>
                <w:lang w:val="en"/>
              </w:rPr>
              <w:t>c</w:t>
            </w:r>
            <w:r w:rsidRPr="00E02310">
              <w:rPr>
                <w:rFonts w:ascii="Arial" w:hAnsi="Arial" w:cs="Arial"/>
                <w:lang w:val="en"/>
              </w:rPr>
              <w:t xml:space="preserve">± 0.03 </w:t>
            </w:r>
          </w:p>
        </w:tc>
      </w:tr>
      <w:tr w:rsidR="00E02310" w:rsidRPr="00E02310" w14:paraId="6C8BF424" w14:textId="77777777" w:rsidTr="00DA03FE">
        <w:trPr>
          <w:trHeight w:val="320"/>
        </w:trPr>
        <w:tc>
          <w:tcPr>
            <w:tcW w:w="2840" w:type="dxa"/>
          </w:tcPr>
          <w:p w14:paraId="39C1E2B7"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shredded thigh </w:t>
            </w:r>
          </w:p>
        </w:tc>
        <w:tc>
          <w:tcPr>
            <w:tcW w:w="1871" w:type="dxa"/>
          </w:tcPr>
          <w:p w14:paraId="5E235861"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5.69</w:t>
            </w:r>
            <w:r w:rsidRPr="00E02310">
              <w:rPr>
                <w:rFonts w:ascii="Arial" w:hAnsi="Arial" w:cs="Arial"/>
                <w:vertAlign w:val="superscript"/>
                <w:lang w:val="en"/>
              </w:rPr>
              <w:t>b</w:t>
            </w:r>
            <w:r w:rsidRPr="00E02310">
              <w:rPr>
                <w:rFonts w:ascii="Arial" w:hAnsi="Arial" w:cs="Arial"/>
                <w:lang w:val="en"/>
              </w:rPr>
              <w:t xml:space="preserve"> ± 0.06 </w:t>
            </w:r>
          </w:p>
        </w:tc>
        <w:tc>
          <w:tcPr>
            <w:tcW w:w="2070" w:type="dxa"/>
          </w:tcPr>
          <w:p w14:paraId="0D02602D"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3.09</w:t>
            </w:r>
            <w:r w:rsidRPr="00E02310">
              <w:rPr>
                <w:rFonts w:ascii="Arial" w:hAnsi="Arial" w:cs="Arial"/>
                <w:vertAlign w:val="superscript"/>
                <w:lang w:val="en"/>
              </w:rPr>
              <w:t>d</w:t>
            </w:r>
            <w:r w:rsidRPr="00E02310">
              <w:rPr>
                <w:rFonts w:ascii="Arial" w:hAnsi="Arial" w:cs="Arial"/>
                <w:lang w:val="en"/>
              </w:rPr>
              <w:t xml:space="preserve">± 0.03 </w:t>
            </w:r>
          </w:p>
        </w:tc>
        <w:tc>
          <w:tcPr>
            <w:tcW w:w="1530" w:type="dxa"/>
          </w:tcPr>
          <w:p w14:paraId="2F305725"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2.58</w:t>
            </w:r>
            <w:r w:rsidRPr="00E02310">
              <w:rPr>
                <w:rFonts w:ascii="Arial" w:hAnsi="Arial" w:cs="Arial"/>
                <w:vertAlign w:val="superscript"/>
                <w:lang w:val="en"/>
              </w:rPr>
              <w:t>a</w:t>
            </w:r>
            <w:r w:rsidRPr="00E02310">
              <w:rPr>
                <w:rFonts w:ascii="Arial" w:hAnsi="Arial" w:cs="Arial"/>
                <w:lang w:val="en"/>
              </w:rPr>
              <w:t xml:space="preserve"> ± 0.011 </w:t>
            </w:r>
          </w:p>
        </w:tc>
      </w:tr>
    </w:tbl>
    <w:p w14:paraId="5021F0C7"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Values with different superscripts letters within the same column are significantly difference (p &lt;0.05).</w:t>
      </w:r>
      <w:r w:rsidRPr="00E02310">
        <w:rPr>
          <w:rFonts w:ascii="Arial" w:hAnsi="Arial" w:cs="Arial"/>
          <w:b/>
          <w:lang w:val="en"/>
        </w:rPr>
        <w:t xml:space="preserve"> </w:t>
      </w:r>
    </w:p>
    <w:p w14:paraId="522BAF1E" w14:textId="77777777" w:rsidR="00DA03FE" w:rsidRDefault="00DA03FE" w:rsidP="00E02310">
      <w:pPr>
        <w:tabs>
          <w:tab w:val="left" w:pos="1080"/>
        </w:tabs>
        <w:jc w:val="both"/>
        <w:rPr>
          <w:rFonts w:ascii="Arial" w:hAnsi="Arial" w:cs="Arial"/>
          <w:b/>
        </w:rPr>
      </w:pPr>
    </w:p>
    <w:p w14:paraId="411EEB1E" w14:textId="040BC25A" w:rsidR="00E02310" w:rsidRPr="00E02310" w:rsidRDefault="00E02310" w:rsidP="00E02310">
      <w:pPr>
        <w:tabs>
          <w:tab w:val="left" w:pos="1080"/>
        </w:tabs>
        <w:jc w:val="both"/>
        <w:rPr>
          <w:rFonts w:ascii="Arial" w:hAnsi="Arial" w:cs="Arial"/>
          <w:b/>
        </w:rPr>
      </w:pPr>
      <w:r w:rsidRPr="00E02310">
        <w:rPr>
          <w:rFonts w:ascii="Arial" w:hAnsi="Arial" w:cs="Arial"/>
          <w:b/>
        </w:rPr>
        <w:t>3.6. Sensory Evaluation</w:t>
      </w:r>
      <w:r w:rsidRPr="00E02310">
        <w:rPr>
          <w:rFonts w:ascii="Arial" w:hAnsi="Arial" w:cs="Arial"/>
        </w:rPr>
        <w:t xml:space="preserve"> </w:t>
      </w:r>
    </w:p>
    <w:p w14:paraId="5A2EBC28"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As posited by </w:t>
      </w:r>
      <w:proofErr w:type="spellStart"/>
      <w:r w:rsidRPr="00E02310">
        <w:rPr>
          <w:rFonts w:ascii="Arial" w:hAnsi="Arial" w:cs="Arial"/>
          <w:b/>
          <w:lang w:val="en"/>
        </w:rPr>
        <w:t>Abiala</w:t>
      </w:r>
      <w:proofErr w:type="spellEnd"/>
      <w:r w:rsidRPr="00E02310">
        <w:rPr>
          <w:rFonts w:ascii="Arial" w:hAnsi="Arial" w:cs="Arial"/>
          <w:b/>
          <w:lang w:val="en"/>
        </w:rPr>
        <w:t xml:space="preserve"> </w:t>
      </w:r>
      <w:r w:rsidRPr="00E02310">
        <w:rPr>
          <w:rFonts w:ascii="Arial" w:hAnsi="Arial" w:cs="Arial"/>
          <w:b/>
          <w:i/>
          <w:lang w:val="en"/>
        </w:rPr>
        <w:t>et al</w:t>
      </w:r>
      <w:r w:rsidRPr="00E02310">
        <w:rPr>
          <w:rFonts w:ascii="Arial" w:hAnsi="Arial" w:cs="Arial"/>
          <w:b/>
          <w:lang w:val="en"/>
        </w:rPr>
        <w:t>. (2023)</w:t>
      </w:r>
      <w:r w:rsidRPr="00E02310">
        <w:rPr>
          <w:rFonts w:ascii="Arial" w:hAnsi="Arial" w:cs="Arial"/>
          <w:lang w:val="en"/>
        </w:rPr>
        <w:t xml:space="preserve">, the organoleptic quality of meat is influenced by several factors, including its juiciness, aroma, texture, and flavor. The sensory evaluation of canned chicken samples is presented in Table (6). A statistically significant discrepancy was identified in the obtained data, with a p-value greater than 0.05, between the canned breast and canned thigh samples. The results of the study demonstrated that canned breast exhibited higher levels of color, odor, and overall acceptability in comparison to canned thigh. In the context of the experimental study, samples that had undergone a process of shredding obtained lower scores in terms of taste and overall acceptability when compared to the other samples that were subjected to the same evaluation process. These results were consistent with those reported by </w:t>
      </w:r>
      <w:r w:rsidRPr="00E02310">
        <w:rPr>
          <w:rFonts w:ascii="Arial" w:hAnsi="Arial" w:cs="Arial"/>
          <w:b/>
          <w:lang w:val="en"/>
        </w:rPr>
        <w:t xml:space="preserve">Hassan </w:t>
      </w:r>
      <w:r w:rsidRPr="00E02310">
        <w:rPr>
          <w:rFonts w:ascii="Arial" w:hAnsi="Arial" w:cs="Arial"/>
          <w:b/>
          <w:i/>
          <w:lang w:val="en"/>
        </w:rPr>
        <w:t>et al</w:t>
      </w:r>
      <w:r w:rsidRPr="00E02310">
        <w:rPr>
          <w:rFonts w:ascii="Arial" w:hAnsi="Arial" w:cs="Arial"/>
          <w:b/>
          <w:lang w:val="en"/>
        </w:rPr>
        <w:t>. (2022)</w:t>
      </w:r>
      <w:r w:rsidRPr="00E02310">
        <w:rPr>
          <w:rFonts w:ascii="Arial" w:hAnsi="Arial" w:cs="Arial"/>
          <w:lang w:val="en"/>
        </w:rPr>
        <w:t xml:space="preserve">, who found that crumbled tuna had the lowest score for all sensory characteristics when compared with solid and chunk tuna. </w:t>
      </w:r>
    </w:p>
    <w:p w14:paraId="4DF537B4"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The smoked canned product received the highest scores for its color, taste, odor, texture, and overall acceptability. </w:t>
      </w:r>
      <w:r w:rsidRPr="00E02310">
        <w:rPr>
          <w:rFonts w:ascii="Arial" w:hAnsi="Arial" w:cs="Arial"/>
          <w:b/>
          <w:lang w:val="en"/>
        </w:rPr>
        <w:t>Farag et al. (2024)</w:t>
      </w:r>
      <w:r w:rsidRPr="00E02310">
        <w:rPr>
          <w:rFonts w:ascii="Arial" w:hAnsi="Arial" w:cs="Arial"/>
          <w:lang w:val="en"/>
        </w:rPr>
        <w:t xml:space="preserve"> found that chicken luncheon treated with 1% and 2% liquid smoke exhibited higher scores than the control group, which did not receive liquid smoke treatment. The smoked solid, smoked chunk breast, and smoked chunk thigh exhibited significantly higher levels of texture and overall acceptability compared to other canned chicken samples (p &lt; 0.05). The result obtained in this study was consistent with those reported by </w:t>
      </w:r>
      <w:r w:rsidRPr="00E02310">
        <w:rPr>
          <w:rFonts w:ascii="Arial" w:hAnsi="Arial" w:cs="Arial"/>
          <w:b/>
          <w:lang w:val="en"/>
        </w:rPr>
        <w:t>Martinez et al. (2007)</w:t>
      </w:r>
      <w:r w:rsidRPr="00E02310">
        <w:rPr>
          <w:rFonts w:ascii="Arial" w:hAnsi="Arial" w:cs="Arial"/>
          <w:lang w:val="en"/>
        </w:rPr>
        <w:t xml:space="preserve">. The researchers found that liquid smoke contains carbonyls, which have the capacity to interact with muscle foods, modify their textural properties, and ultimately influence consumer acceptance. </w:t>
      </w:r>
    </w:p>
    <w:p w14:paraId="5366C0D1"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Table 6: Sensory evaluation of canned chicken samples.   </w:t>
      </w:r>
      <w:r w:rsidRPr="00E02310">
        <w:rPr>
          <w:rFonts w:ascii="Arial" w:hAnsi="Arial" w:cs="Arial"/>
          <w:lang w:val="en"/>
        </w:rPr>
        <w:t xml:space="preserve"> </w:t>
      </w:r>
    </w:p>
    <w:tbl>
      <w:tblPr>
        <w:tblW w:w="8746" w:type="dxa"/>
        <w:tblInd w:w="-8" w:type="dxa"/>
        <w:tblBorders>
          <w:top w:val="single" w:sz="8" w:space="0" w:color="000000"/>
          <w:bottom w:val="single" w:sz="8" w:space="0" w:color="000000"/>
          <w:insideH w:val="single" w:sz="8" w:space="0" w:color="000000"/>
        </w:tblBorders>
        <w:tblCellMar>
          <w:top w:w="48" w:type="dxa"/>
          <w:left w:w="98" w:type="dxa"/>
          <w:right w:w="25" w:type="dxa"/>
        </w:tblCellMar>
        <w:tblLook w:val="04A0" w:firstRow="1" w:lastRow="0" w:firstColumn="1" w:lastColumn="0" w:noHBand="0" w:noVBand="1"/>
      </w:tblPr>
      <w:tblGrid>
        <w:gridCol w:w="2340"/>
        <w:gridCol w:w="1276"/>
        <w:gridCol w:w="1260"/>
        <w:gridCol w:w="1260"/>
        <w:gridCol w:w="1260"/>
        <w:gridCol w:w="1350"/>
      </w:tblGrid>
      <w:tr w:rsidR="00E02310" w:rsidRPr="00E02310" w14:paraId="7F8D6402" w14:textId="77777777" w:rsidTr="00A03637">
        <w:trPr>
          <w:trHeight w:val="260"/>
        </w:trPr>
        <w:tc>
          <w:tcPr>
            <w:tcW w:w="2340" w:type="dxa"/>
          </w:tcPr>
          <w:p w14:paraId="27FFF642"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Samples </w:t>
            </w:r>
          </w:p>
        </w:tc>
        <w:tc>
          <w:tcPr>
            <w:tcW w:w="1276" w:type="dxa"/>
          </w:tcPr>
          <w:p w14:paraId="2196FDC6"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Color </w:t>
            </w:r>
          </w:p>
        </w:tc>
        <w:tc>
          <w:tcPr>
            <w:tcW w:w="1260" w:type="dxa"/>
          </w:tcPr>
          <w:p w14:paraId="38924675"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Taste </w:t>
            </w:r>
          </w:p>
        </w:tc>
        <w:tc>
          <w:tcPr>
            <w:tcW w:w="1260" w:type="dxa"/>
          </w:tcPr>
          <w:p w14:paraId="5EA5D2D0"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Odor </w:t>
            </w:r>
          </w:p>
        </w:tc>
        <w:tc>
          <w:tcPr>
            <w:tcW w:w="1260" w:type="dxa"/>
          </w:tcPr>
          <w:p w14:paraId="1A956D60"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Texture </w:t>
            </w:r>
          </w:p>
        </w:tc>
        <w:tc>
          <w:tcPr>
            <w:tcW w:w="1350" w:type="dxa"/>
          </w:tcPr>
          <w:p w14:paraId="7191C05B"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Overall acceptability </w:t>
            </w:r>
          </w:p>
        </w:tc>
      </w:tr>
      <w:tr w:rsidR="00E02310" w:rsidRPr="00E02310" w14:paraId="07639A91" w14:textId="77777777" w:rsidTr="00A03637">
        <w:trPr>
          <w:trHeight w:val="260"/>
        </w:trPr>
        <w:tc>
          <w:tcPr>
            <w:tcW w:w="2340" w:type="dxa"/>
          </w:tcPr>
          <w:p w14:paraId="6E4291CA"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Solid </w:t>
            </w:r>
          </w:p>
        </w:tc>
        <w:tc>
          <w:tcPr>
            <w:tcW w:w="1276" w:type="dxa"/>
          </w:tcPr>
          <w:p w14:paraId="0ADFF656"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8.30</w:t>
            </w:r>
            <w:r w:rsidRPr="00E02310">
              <w:rPr>
                <w:rFonts w:ascii="Arial" w:hAnsi="Arial" w:cs="Arial"/>
                <w:vertAlign w:val="superscript"/>
                <w:lang w:val="en"/>
              </w:rPr>
              <w:t>a</w:t>
            </w:r>
            <w:r w:rsidRPr="00E02310">
              <w:rPr>
                <w:rFonts w:ascii="Arial" w:hAnsi="Arial" w:cs="Arial"/>
                <w:lang w:val="en"/>
              </w:rPr>
              <w:t xml:space="preserve"> ± 0.60 </w:t>
            </w:r>
          </w:p>
        </w:tc>
        <w:tc>
          <w:tcPr>
            <w:tcW w:w="1260" w:type="dxa"/>
          </w:tcPr>
          <w:p w14:paraId="4CF9EFC6"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7.90</w:t>
            </w:r>
            <w:r w:rsidRPr="00E02310">
              <w:rPr>
                <w:rFonts w:ascii="Arial" w:hAnsi="Arial" w:cs="Arial"/>
                <w:vertAlign w:val="superscript"/>
                <w:lang w:val="en"/>
              </w:rPr>
              <w:t>b</w:t>
            </w:r>
            <w:r w:rsidRPr="00E02310">
              <w:rPr>
                <w:rFonts w:ascii="Arial" w:hAnsi="Arial" w:cs="Arial"/>
                <w:lang w:val="en"/>
              </w:rPr>
              <w:t xml:space="preserve"> ± 0.35 </w:t>
            </w:r>
          </w:p>
        </w:tc>
        <w:tc>
          <w:tcPr>
            <w:tcW w:w="1260" w:type="dxa"/>
          </w:tcPr>
          <w:p w14:paraId="2B70510D"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7.50</w:t>
            </w:r>
            <w:r w:rsidRPr="00E02310">
              <w:rPr>
                <w:rFonts w:ascii="Arial" w:hAnsi="Arial" w:cs="Arial"/>
                <w:vertAlign w:val="superscript"/>
                <w:lang w:val="en"/>
              </w:rPr>
              <w:t>b</w:t>
            </w:r>
            <w:r w:rsidRPr="00E02310">
              <w:rPr>
                <w:rFonts w:ascii="Arial" w:hAnsi="Arial" w:cs="Arial"/>
                <w:lang w:val="en"/>
              </w:rPr>
              <w:t xml:space="preserve"> ± 0.46 </w:t>
            </w:r>
          </w:p>
        </w:tc>
        <w:tc>
          <w:tcPr>
            <w:tcW w:w="1260" w:type="dxa"/>
          </w:tcPr>
          <w:p w14:paraId="0EE23C90"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7.30</w:t>
            </w:r>
            <w:r w:rsidRPr="00E02310">
              <w:rPr>
                <w:rFonts w:ascii="Arial" w:hAnsi="Arial" w:cs="Arial"/>
                <w:vertAlign w:val="superscript"/>
                <w:lang w:val="en"/>
              </w:rPr>
              <w:t>b</w:t>
            </w:r>
            <w:r w:rsidRPr="00E02310">
              <w:rPr>
                <w:rFonts w:ascii="Arial" w:hAnsi="Arial" w:cs="Arial"/>
                <w:lang w:val="en"/>
              </w:rPr>
              <w:t xml:space="preserve"> ± 0.13 </w:t>
            </w:r>
          </w:p>
        </w:tc>
        <w:tc>
          <w:tcPr>
            <w:tcW w:w="1350" w:type="dxa"/>
          </w:tcPr>
          <w:p w14:paraId="183A15D0"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7.70</w:t>
            </w:r>
            <w:r w:rsidRPr="00E02310">
              <w:rPr>
                <w:rFonts w:ascii="Arial" w:hAnsi="Arial" w:cs="Arial"/>
                <w:vertAlign w:val="superscript"/>
                <w:lang w:val="en"/>
              </w:rPr>
              <w:t>b</w:t>
            </w:r>
            <w:r w:rsidRPr="00E02310">
              <w:rPr>
                <w:rFonts w:ascii="Arial" w:hAnsi="Arial" w:cs="Arial"/>
                <w:lang w:val="en"/>
              </w:rPr>
              <w:t xml:space="preserve"> ± 0.12 </w:t>
            </w:r>
          </w:p>
        </w:tc>
      </w:tr>
      <w:tr w:rsidR="00E02310" w:rsidRPr="00E02310" w14:paraId="1449E315" w14:textId="77777777" w:rsidTr="00A03637">
        <w:trPr>
          <w:trHeight w:val="240"/>
        </w:trPr>
        <w:tc>
          <w:tcPr>
            <w:tcW w:w="2340" w:type="dxa"/>
          </w:tcPr>
          <w:p w14:paraId="132D6387"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lastRenderedPageBreak/>
              <w:t xml:space="preserve">Chunk breast </w:t>
            </w:r>
          </w:p>
        </w:tc>
        <w:tc>
          <w:tcPr>
            <w:tcW w:w="1276" w:type="dxa"/>
          </w:tcPr>
          <w:p w14:paraId="4F4FE405"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8.20</w:t>
            </w:r>
            <w:r w:rsidRPr="00E02310">
              <w:rPr>
                <w:rFonts w:ascii="Arial" w:hAnsi="Arial" w:cs="Arial"/>
                <w:vertAlign w:val="superscript"/>
                <w:lang w:val="en"/>
              </w:rPr>
              <w:t>a</w:t>
            </w:r>
            <w:r w:rsidRPr="00E02310">
              <w:rPr>
                <w:rFonts w:ascii="Arial" w:hAnsi="Arial" w:cs="Arial"/>
                <w:lang w:val="en"/>
              </w:rPr>
              <w:t xml:space="preserve">± 0.25 </w:t>
            </w:r>
          </w:p>
        </w:tc>
        <w:tc>
          <w:tcPr>
            <w:tcW w:w="1260" w:type="dxa"/>
          </w:tcPr>
          <w:p w14:paraId="46EB7393"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7.80</w:t>
            </w:r>
            <w:r w:rsidRPr="00E02310">
              <w:rPr>
                <w:rFonts w:ascii="Arial" w:hAnsi="Arial" w:cs="Arial"/>
                <w:vertAlign w:val="superscript"/>
                <w:lang w:val="en"/>
              </w:rPr>
              <w:t>b</w:t>
            </w:r>
            <w:r w:rsidRPr="00E02310">
              <w:rPr>
                <w:rFonts w:ascii="Arial" w:hAnsi="Arial" w:cs="Arial"/>
                <w:lang w:val="en"/>
              </w:rPr>
              <w:t xml:space="preserve"> ± 0.42 </w:t>
            </w:r>
          </w:p>
        </w:tc>
        <w:tc>
          <w:tcPr>
            <w:tcW w:w="1260" w:type="dxa"/>
          </w:tcPr>
          <w:p w14:paraId="51BDAD7C"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7.40</w:t>
            </w:r>
            <w:r w:rsidRPr="00E02310">
              <w:rPr>
                <w:rFonts w:ascii="Arial" w:hAnsi="Arial" w:cs="Arial"/>
                <w:vertAlign w:val="superscript"/>
                <w:lang w:val="en"/>
              </w:rPr>
              <w:t>b</w:t>
            </w:r>
            <w:r w:rsidRPr="00E02310">
              <w:rPr>
                <w:rFonts w:ascii="Arial" w:hAnsi="Arial" w:cs="Arial"/>
                <w:lang w:val="en"/>
              </w:rPr>
              <w:t xml:space="preserve"> ± 0.54 </w:t>
            </w:r>
          </w:p>
        </w:tc>
        <w:tc>
          <w:tcPr>
            <w:tcW w:w="1260" w:type="dxa"/>
          </w:tcPr>
          <w:p w14:paraId="74B55B24"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7.60</w:t>
            </w:r>
            <w:r w:rsidRPr="00E02310">
              <w:rPr>
                <w:rFonts w:ascii="Arial" w:hAnsi="Arial" w:cs="Arial"/>
                <w:vertAlign w:val="superscript"/>
                <w:lang w:val="en"/>
              </w:rPr>
              <w:t>b</w:t>
            </w:r>
            <w:r w:rsidRPr="00E02310">
              <w:rPr>
                <w:rFonts w:ascii="Arial" w:hAnsi="Arial" w:cs="Arial"/>
                <w:lang w:val="en"/>
              </w:rPr>
              <w:t xml:space="preserve"> ± 0.44 </w:t>
            </w:r>
          </w:p>
        </w:tc>
        <w:tc>
          <w:tcPr>
            <w:tcW w:w="1350" w:type="dxa"/>
          </w:tcPr>
          <w:p w14:paraId="6C765FE6"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8.00</w:t>
            </w:r>
            <w:r w:rsidRPr="00E02310">
              <w:rPr>
                <w:rFonts w:ascii="Arial" w:hAnsi="Arial" w:cs="Arial"/>
                <w:vertAlign w:val="superscript"/>
                <w:lang w:val="en"/>
              </w:rPr>
              <w:t>b</w:t>
            </w:r>
            <w:r w:rsidRPr="00E02310">
              <w:rPr>
                <w:rFonts w:ascii="Arial" w:hAnsi="Arial" w:cs="Arial"/>
                <w:lang w:val="en"/>
              </w:rPr>
              <w:t xml:space="preserve"> ± 0.43 </w:t>
            </w:r>
          </w:p>
        </w:tc>
      </w:tr>
      <w:tr w:rsidR="00E02310" w:rsidRPr="00E02310" w14:paraId="2C609883" w14:textId="77777777" w:rsidTr="00A03637">
        <w:trPr>
          <w:trHeight w:val="260"/>
        </w:trPr>
        <w:tc>
          <w:tcPr>
            <w:tcW w:w="2340" w:type="dxa"/>
          </w:tcPr>
          <w:p w14:paraId="71995F16"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Chunk thigh </w:t>
            </w:r>
          </w:p>
        </w:tc>
        <w:tc>
          <w:tcPr>
            <w:tcW w:w="1276" w:type="dxa"/>
          </w:tcPr>
          <w:p w14:paraId="23E1D39E"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7.00</w:t>
            </w:r>
            <w:r w:rsidRPr="00E02310">
              <w:rPr>
                <w:rFonts w:ascii="Arial" w:hAnsi="Arial" w:cs="Arial"/>
                <w:vertAlign w:val="superscript"/>
                <w:lang w:val="en"/>
              </w:rPr>
              <w:t>b</w:t>
            </w:r>
            <w:r w:rsidRPr="00E02310">
              <w:rPr>
                <w:rFonts w:ascii="Arial" w:hAnsi="Arial" w:cs="Arial"/>
                <w:lang w:val="en"/>
              </w:rPr>
              <w:t xml:space="preserve"> ± 0.31 </w:t>
            </w:r>
          </w:p>
        </w:tc>
        <w:tc>
          <w:tcPr>
            <w:tcW w:w="1260" w:type="dxa"/>
          </w:tcPr>
          <w:p w14:paraId="29801B5B"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7.60</w:t>
            </w:r>
            <w:r w:rsidRPr="00E02310">
              <w:rPr>
                <w:rFonts w:ascii="Arial" w:hAnsi="Arial" w:cs="Arial"/>
                <w:vertAlign w:val="superscript"/>
                <w:lang w:val="en"/>
              </w:rPr>
              <w:t>b</w:t>
            </w:r>
            <w:r w:rsidRPr="00E02310">
              <w:rPr>
                <w:rFonts w:ascii="Arial" w:hAnsi="Arial" w:cs="Arial"/>
                <w:lang w:val="en"/>
              </w:rPr>
              <w:t xml:space="preserve"> ± 0.16 </w:t>
            </w:r>
          </w:p>
        </w:tc>
        <w:tc>
          <w:tcPr>
            <w:tcW w:w="1260" w:type="dxa"/>
          </w:tcPr>
          <w:p w14:paraId="32A64C6C"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6.70</w:t>
            </w:r>
            <w:r w:rsidRPr="00E02310">
              <w:rPr>
                <w:rFonts w:ascii="Arial" w:hAnsi="Arial" w:cs="Arial"/>
                <w:vertAlign w:val="superscript"/>
                <w:lang w:val="en"/>
              </w:rPr>
              <w:t>c</w:t>
            </w:r>
            <w:r w:rsidRPr="00E02310">
              <w:rPr>
                <w:rFonts w:ascii="Arial" w:hAnsi="Arial" w:cs="Arial"/>
                <w:lang w:val="en"/>
              </w:rPr>
              <w:t xml:space="preserve">± 0.17 </w:t>
            </w:r>
          </w:p>
        </w:tc>
        <w:tc>
          <w:tcPr>
            <w:tcW w:w="1260" w:type="dxa"/>
          </w:tcPr>
          <w:p w14:paraId="30CEA753"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7.30</w:t>
            </w:r>
            <w:r w:rsidRPr="00E02310">
              <w:rPr>
                <w:rFonts w:ascii="Arial" w:hAnsi="Arial" w:cs="Arial"/>
                <w:vertAlign w:val="superscript"/>
                <w:lang w:val="en"/>
              </w:rPr>
              <w:t>b</w:t>
            </w:r>
            <w:r w:rsidRPr="00E02310">
              <w:rPr>
                <w:rFonts w:ascii="Arial" w:hAnsi="Arial" w:cs="Arial"/>
                <w:lang w:val="en"/>
              </w:rPr>
              <w:t xml:space="preserve"> ± 0.24 </w:t>
            </w:r>
          </w:p>
        </w:tc>
        <w:tc>
          <w:tcPr>
            <w:tcW w:w="1350" w:type="dxa"/>
          </w:tcPr>
          <w:p w14:paraId="02F5D7B3"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7.40</w:t>
            </w:r>
            <w:r w:rsidRPr="00E02310">
              <w:rPr>
                <w:rFonts w:ascii="Arial" w:hAnsi="Arial" w:cs="Arial"/>
                <w:vertAlign w:val="superscript"/>
                <w:lang w:val="en"/>
              </w:rPr>
              <w:t>c</w:t>
            </w:r>
            <w:r w:rsidRPr="00E02310">
              <w:rPr>
                <w:rFonts w:ascii="Arial" w:hAnsi="Arial" w:cs="Arial"/>
                <w:lang w:val="en"/>
              </w:rPr>
              <w:t xml:space="preserve"> ± 0.17 </w:t>
            </w:r>
          </w:p>
        </w:tc>
      </w:tr>
      <w:tr w:rsidR="00E02310" w:rsidRPr="00E02310" w14:paraId="5C7D697E" w14:textId="77777777" w:rsidTr="00A03637">
        <w:trPr>
          <w:trHeight w:val="260"/>
        </w:trPr>
        <w:tc>
          <w:tcPr>
            <w:tcW w:w="2340" w:type="dxa"/>
          </w:tcPr>
          <w:p w14:paraId="10C7B30F"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Shredded breast </w:t>
            </w:r>
          </w:p>
        </w:tc>
        <w:tc>
          <w:tcPr>
            <w:tcW w:w="1276" w:type="dxa"/>
          </w:tcPr>
          <w:p w14:paraId="582D0C48"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8.00</w:t>
            </w:r>
            <w:r w:rsidRPr="00E02310">
              <w:rPr>
                <w:rFonts w:ascii="Arial" w:hAnsi="Arial" w:cs="Arial"/>
                <w:vertAlign w:val="superscript"/>
                <w:lang w:val="en"/>
              </w:rPr>
              <w:t>a</w:t>
            </w:r>
            <w:r w:rsidRPr="00E02310">
              <w:rPr>
                <w:rFonts w:ascii="Arial" w:hAnsi="Arial" w:cs="Arial"/>
                <w:lang w:val="en"/>
              </w:rPr>
              <w:t xml:space="preserve"> ± 0.20 </w:t>
            </w:r>
          </w:p>
        </w:tc>
        <w:tc>
          <w:tcPr>
            <w:tcW w:w="1260" w:type="dxa"/>
          </w:tcPr>
          <w:p w14:paraId="533D0B15"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6.40</w:t>
            </w:r>
            <w:r w:rsidRPr="00E02310">
              <w:rPr>
                <w:rFonts w:ascii="Arial" w:hAnsi="Arial" w:cs="Arial"/>
                <w:vertAlign w:val="superscript"/>
                <w:lang w:val="en"/>
              </w:rPr>
              <w:t>d</w:t>
            </w:r>
            <w:r w:rsidRPr="00E02310">
              <w:rPr>
                <w:rFonts w:ascii="Arial" w:hAnsi="Arial" w:cs="Arial"/>
                <w:lang w:val="en"/>
              </w:rPr>
              <w:t xml:space="preserve"> ± 0.24 </w:t>
            </w:r>
          </w:p>
        </w:tc>
        <w:tc>
          <w:tcPr>
            <w:tcW w:w="1260" w:type="dxa"/>
          </w:tcPr>
          <w:p w14:paraId="67DF182B"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7.30</w:t>
            </w:r>
            <w:r w:rsidRPr="00E02310">
              <w:rPr>
                <w:rFonts w:ascii="Arial" w:hAnsi="Arial" w:cs="Arial"/>
                <w:vertAlign w:val="superscript"/>
                <w:lang w:val="en"/>
              </w:rPr>
              <w:t>b</w:t>
            </w:r>
            <w:r w:rsidRPr="00E02310">
              <w:rPr>
                <w:rFonts w:ascii="Arial" w:hAnsi="Arial" w:cs="Arial"/>
                <w:lang w:val="en"/>
              </w:rPr>
              <w:t xml:space="preserve"> ± 0.33 </w:t>
            </w:r>
          </w:p>
        </w:tc>
        <w:tc>
          <w:tcPr>
            <w:tcW w:w="1260" w:type="dxa"/>
          </w:tcPr>
          <w:p w14:paraId="74AF06E7"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6.10</w:t>
            </w:r>
            <w:r w:rsidRPr="00E02310">
              <w:rPr>
                <w:rFonts w:ascii="Arial" w:hAnsi="Arial" w:cs="Arial"/>
                <w:vertAlign w:val="superscript"/>
                <w:lang w:val="en"/>
              </w:rPr>
              <w:t>d</w:t>
            </w:r>
            <w:r w:rsidRPr="00E02310">
              <w:rPr>
                <w:rFonts w:ascii="Arial" w:hAnsi="Arial" w:cs="Arial"/>
                <w:lang w:val="en"/>
              </w:rPr>
              <w:t xml:space="preserve"> ± 0.19 </w:t>
            </w:r>
          </w:p>
        </w:tc>
        <w:tc>
          <w:tcPr>
            <w:tcW w:w="1350" w:type="dxa"/>
          </w:tcPr>
          <w:p w14:paraId="79A8D196"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7.10</w:t>
            </w:r>
            <w:r w:rsidRPr="00E02310">
              <w:rPr>
                <w:rFonts w:ascii="Arial" w:hAnsi="Arial" w:cs="Arial"/>
                <w:vertAlign w:val="superscript"/>
                <w:lang w:val="en"/>
              </w:rPr>
              <w:t>d</w:t>
            </w:r>
            <w:r w:rsidRPr="00E02310">
              <w:rPr>
                <w:rFonts w:ascii="Arial" w:hAnsi="Arial" w:cs="Arial"/>
                <w:lang w:val="en"/>
              </w:rPr>
              <w:t xml:space="preserve"> ± 0.18 </w:t>
            </w:r>
          </w:p>
        </w:tc>
      </w:tr>
      <w:tr w:rsidR="00E02310" w:rsidRPr="00E02310" w14:paraId="02C69352" w14:textId="77777777" w:rsidTr="00A03637">
        <w:trPr>
          <w:trHeight w:val="260"/>
        </w:trPr>
        <w:tc>
          <w:tcPr>
            <w:tcW w:w="2340" w:type="dxa"/>
          </w:tcPr>
          <w:p w14:paraId="5244E64E"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Shredded thigh </w:t>
            </w:r>
          </w:p>
        </w:tc>
        <w:tc>
          <w:tcPr>
            <w:tcW w:w="1276" w:type="dxa"/>
          </w:tcPr>
          <w:p w14:paraId="38442EE1"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6.80</w:t>
            </w:r>
            <w:r w:rsidRPr="00E02310">
              <w:rPr>
                <w:rFonts w:ascii="Arial" w:hAnsi="Arial" w:cs="Arial"/>
                <w:vertAlign w:val="superscript"/>
                <w:lang w:val="en"/>
              </w:rPr>
              <w:t>b</w:t>
            </w:r>
            <w:r w:rsidRPr="00E02310">
              <w:rPr>
                <w:rFonts w:ascii="Arial" w:hAnsi="Arial" w:cs="Arial"/>
                <w:lang w:val="en"/>
              </w:rPr>
              <w:t xml:space="preserve"> ± 0.33 </w:t>
            </w:r>
          </w:p>
        </w:tc>
        <w:tc>
          <w:tcPr>
            <w:tcW w:w="1260" w:type="dxa"/>
          </w:tcPr>
          <w:p w14:paraId="2AC740D6"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6.00</w:t>
            </w:r>
            <w:r w:rsidRPr="00E02310">
              <w:rPr>
                <w:rFonts w:ascii="Arial" w:hAnsi="Arial" w:cs="Arial"/>
                <w:vertAlign w:val="superscript"/>
                <w:lang w:val="en"/>
              </w:rPr>
              <w:t>d</w:t>
            </w:r>
            <w:r w:rsidRPr="00E02310">
              <w:rPr>
                <w:rFonts w:ascii="Arial" w:hAnsi="Arial" w:cs="Arial"/>
                <w:lang w:val="en"/>
              </w:rPr>
              <w:t xml:space="preserve"> ± 0.17 </w:t>
            </w:r>
          </w:p>
        </w:tc>
        <w:tc>
          <w:tcPr>
            <w:tcW w:w="1260" w:type="dxa"/>
          </w:tcPr>
          <w:p w14:paraId="390F1614"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6.50</w:t>
            </w:r>
            <w:r w:rsidRPr="00E02310">
              <w:rPr>
                <w:rFonts w:ascii="Arial" w:hAnsi="Arial" w:cs="Arial"/>
                <w:vertAlign w:val="superscript"/>
                <w:lang w:val="en"/>
              </w:rPr>
              <w:t>c</w:t>
            </w:r>
            <w:r w:rsidRPr="00E02310">
              <w:rPr>
                <w:rFonts w:ascii="Arial" w:hAnsi="Arial" w:cs="Arial"/>
                <w:lang w:val="en"/>
              </w:rPr>
              <w:t xml:space="preserve"> ± 0.21 </w:t>
            </w:r>
          </w:p>
        </w:tc>
        <w:tc>
          <w:tcPr>
            <w:tcW w:w="1260" w:type="dxa"/>
          </w:tcPr>
          <w:p w14:paraId="12CEC9EC"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6.30</w:t>
            </w:r>
            <w:r w:rsidRPr="00E02310">
              <w:rPr>
                <w:rFonts w:ascii="Arial" w:hAnsi="Arial" w:cs="Arial"/>
                <w:vertAlign w:val="superscript"/>
                <w:lang w:val="en"/>
              </w:rPr>
              <w:t>d</w:t>
            </w:r>
            <w:r w:rsidRPr="00E02310">
              <w:rPr>
                <w:rFonts w:ascii="Arial" w:hAnsi="Arial" w:cs="Arial"/>
                <w:lang w:val="en"/>
              </w:rPr>
              <w:t xml:space="preserve"> ± 0.18 </w:t>
            </w:r>
          </w:p>
        </w:tc>
        <w:tc>
          <w:tcPr>
            <w:tcW w:w="1350" w:type="dxa"/>
          </w:tcPr>
          <w:p w14:paraId="22250F3E"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6.50</w:t>
            </w:r>
            <w:r w:rsidRPr="00E02310">
              <w:rPr>
                <w:rFonts w:ascii="Arial" w:hAnsi="Arial" w:cs="Arial"/>
                <w:vertAlign w:val="superscript"/>
                <w:lang w:val="en"/>
              </w:rPr>
              <w:t>e</w:t>
            </w:r>
            <w:r w:rsidRPr="00E02310">
              <w:rPr>
                <w:rFonts w:ascii="Arial" w:hAnsi="Arial" w:cs="Arial"/>
                <w:lang w:val="en"/>
              </w:rPr>
              <w:t xml:space="preserve"> ± 0.23 </w:t>
            </w:r>
          </w:p>
        </w:tc>
      </w:tr>
      <w:tr w:rsidR="00E02310" w:rsidRPr="00E02310" w14:paraId="0E041779" w14:textId="77777777" w:rsidTr="00A03637">
        <w:trPr>
          <w:trHeight w:val="260"/>
        </w:trPr>
        <w:tc>
          <w:tcPr>
            <w:tcW w:w="2340" w:type="dxa"/>
          </w:tcPr>
          <w:p w14:paraId="170E6372"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solid </w:t>
            </w:r>
          </w:p>
        </w:tc>
        <w:tc>
          <w:tcPr>
            <w:tcW w:w="1276" w:type="dxa"/>
          </w:tcPr>
          <w:p w14:paraId="1E09B7CD"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8.00</w:t>
            </w:r>
            <w:r w:rsidRPr="00E02310">
              <w:rPr>
                <w:rFonts w:ascii="Arial" w:hAnsi="Arial" w:cs="Arial"/>
                <w:vertAlign w:val="superscript"/>
                <w:lang w:val="en"/>
              </w:rPr>
              <w:t>a</w:t>
            </w:r>
            <w:r w:rsidRPr="00E02310">
              <w:rPr>
                <w:rFonts w:ascii="Arial" w:hAnsi="Arial" w:cs="Arial"/>
                <w:lang w:val="en"/>
              </w:rPr>
              <w:t xml:space="preserve"> ± 0.20 </w:t>
            </w:r>
          </w:p>
        </w:tc>
        <w:tc>
          <w:tcPr>
            <w:tcW w:w="1260" w:type="dxa"/>
          </w:tcPr>
          <w:p w14:paraId="75DD0478"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8.85</w:t>
            </w:r>
            <w:r w:rsidRPr="00E02310">
              <w:rPr>
                <w:rFonts w:ascii="Arial" w:hAnsi="Arial" w:cs="Arial"/>
                <w:vertAlign w:val="superscript"/>
                <w:lang w:val="en"/>
              </w:rPr>
              <w:t>a</w:t>
            </w:r>
            <w:r w:rsidRPr="00E02310">
              <w:rPr>
                <w:rFonts w:ascii="Arial" w:hAnsi="Arial" w:cs="Arial"/>
                <w:lang w:val="en"/>
              </w:rPr>
              <w:t xml:space="preserve"> ± 0.12 </w:t>
            </w:r>
          </w:p>
        </w:tc>
        <w:tc>
          <w:tcPr>
            <w:tcW w:w="1260" w:type="dxa"/>
          </w:tcPr>
          <w:p w14:paraId="3B0156FF"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8.50</w:t>
            </w:r>
            <w:r w:rsidRPr="00E02310">
              <w:rPr>
                <w:rFonts w:ascii="Arial" w:hAnsi="Arial" w:cs="Arial"/>
                <w:vertAlign w:val="superscript"/>
                <w:lang w:val="en"/>
              </w:rPr>
              <w:t>a</w:t>
            </w:r>
            <w:r w:rsidRPr="00E02310">
              <w:rPr>
                <w:rFonts w:ascii="Arial" w:hAnsi="Arial" w:cs="Arial"/>
                <w:lang w:val="en"/>
              </w:rPr>
              <w:t xml:space="preserve"> ± 0.47 </w:t>
            </w:r>
          </w:p>
        </w:tc>
        <w:tc>
          <w:tcPr>
            <w:tcW w:w="1260" w:type="dxa"/>
          </w:tcPr>
          <w:p w14:paraId="3D734197"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8.60</w:t>
            </w:r>
            <w:r w:rsidRPr="00E02310">
              <w:rPr>
                <w:rFonts w:ascii="Arial" w:hAnsi="Arial" w:cs="Arial"/>
                <w:vertAlign w:val="superscript"/>
                <w:lang w:val="en"/>
              </w:rPr>
              <w:t>a</w:t>
            </w:r>
            <w:r w:rsidRPr="00E02310">
              <w:rPr>
                <w:rFonts w:ascii="Arial" w:hAnsi="Arial" w:cs="Arial"/>
                <w:lang w:val="en"/>
              </w:rPr>
              <w:t xml:space="preserve"> ± 0.35 </w:t>
            </w:r>
          </w:p>
        </w:tc>
        <w:tc>
          <w:tcPr>
            <w:tcW w:w="1350" w:type="dxa"/>
          </w:tcPr>
          <w:p w14:paraId="09A8063D"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8.40</w:t>
            </w:r>
            <w:r w:rsidRPr="00E02310">
              <w:rPr>
                <w:rFonts w:ascii="Arial" w:hAnsi="Arial" w:cs="Arial"/>
                <w:vertAlign w:val="superscript"/>
                <w:lang w:val="en"/>
              </w:rPr>
              <w:t>a</w:t>
            </w:r>
            <w:r w:rsidRPr="00E02310">
              <w:rPr>
                <w:rFonts w:ascii="Arial" w:hAnsi="Arial" w:cs="Arial"/>
                <w:lang w:val="en"/>
              </w:rPr>
              <w:t xml:space="preserve"> ± 0.15 </w:t>
            </w:r>
          </w:p>
        </w:tc>
      </w:tr>
      <w:tr w:rsidR="00E02310" w:rsidRPr="00E02310" w14:paraId="7314B479" w14:textId="77777777" w:rsidTr="00A03637">
        <w:trPr>
          <w:trHeight w:val="260"/>
        </w:trPr>
        <w:tc>
          <w:tcPr>
            <w:tcW w:w="2340" w:type="dxa"/>
          </w:tcPr>
          <w:p w14:paraId="4E05311B"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chunk breast </w:t>
            </w:r>
          </w:p>
        </w:tc>
        <w:tc>
          <w:tcPr>
            <w:tcW w:w="1276" w:type="dxa"/>
          </w:tcPr>
          <w:p w14:paraId="3839C2D5"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7.80</w:t>
            </w:r>
            <w:r w:rsidRPr="00E02310">
              <w:rPr>
                <w:rFonts w:ascii="Arial" w:hAnsi="Arial" w:cs="Arial"/>
                <w:vertAlign w:val="superscript"/>
                <w:lang w:val="en"/>
              </w:rPr>
              <w:t>a</w:t>
            </w:r>
            <w:r w:rsidRPr="00E02310">
              <w:rPr>
                <w:rFonts w:ascii="Arial" w:hAnsi="Arial" w:cs="Arial"/>
                <w:lang w:val="en"/>
              </w:rPr>
              <w:t xml:space="preserve"> ± 0.65 </w:t>
            </w:r>
          </w:p>
        </w:tc>
        <w:tc>
          <w:tcPr>
            <w:tcW w:w="1260" w:type="dxa"/>
          </w:tcPr>
          <w:p w14:paraId="1AF4400B"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8.70</w:t>
            </w:r>
            <w:r w:rsidRPr="00E02310">
              <w:rPr>
                <w:rFonts w:ascii="Arial" w:hAnsi="Arial" w:cs="Arial"/>
                <w:vertAlign w:val="superscript"/>
                <w:lang w:val="en"/>
              </w:rPr>
              <w:t>a</w:t>
            </w:r>
            <w:r w:rsidRPr="00E02310">
              <w:rPr>
                <w:rFonts w:ascii="Arial" w:hAnsi="Arial" w:cs="Arial"/>
                <w:lang w:val="en"/>
              </w:rPr>
              <w:t xml:space="preserve"> ± 0.23 </w:t>
            </w:r>
          </w:p>
        </w:tc>
        <w:tc>
          <w:tcPr>
            <w:tcW w:w="1260" w:type="dxa"/>
          </w:tcPr>
          <w:p w14:paraId="2749B798"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8.30</w:t>
            </w:r>
            <w:r w:rsidRPr="00E02310">
              <w:rPr>
                <w:rFonts w:ascii="Arial" w:hAnsi="Arial" w:cs="Arial"/>
                <w:vertAlign w:val="superscript"/>
                <w:lang w:val="en"/>
              </w:rPr>
              <w:t>a</w:t>
            </w:r>
            <w:r w:rsidRPr="00E02310">
              <w:rPr>
                <w:rFonts w:ascii="Arial" w:hAnsi="Arial" w:cs="Arial"/>
                <w:lang w:val="en"/>
              </w:rPr>
              <w:t xml:space="preserve"> ± 0.31  </w:t>
            </w:r>
          </w:p>
        </w:tc>
        <w:tc>
          <w:tcPr>
            <w:tcW w:w="1260" w:type="dxa"/>
          </w:tcPr>
          <w:p w14:paraId="521514A4"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8.80</w:t>
            </w:r>
            <w:r w:rsidRPr="00E02310">
              <w:rPr>
                <w:rFonts w:ascii="Arial" w:hAnsi="Arial" w:cs="Arial"/>
                <w:vertAlign w:val="superscript"/>
                <w:lang w:val="en"/>
              </w:rPr>
              <w:t>a</w:t>
            </w:r>
            <w:r w:rsidRPr="00E02310">
              <w:rPr>
                <w:rFonts w:ascii="Arial" w:hAnsi="Arial" w:cs="Arial"/>
                <w:lang w:val="en"/>
              </w:rPr>
              <w:t xml:space="preserve"> ± 0.20 </w:t>
            </w:r>
          </w:p>
        </w:tc>
        <w:tc>
          <w:tcPr>
            <w:tcW w:w="1350" w:type="dxa"/>
          </w:tcPr>
          <w:p w14:paraId="0DC5A9ED"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8.60</w:t>
            </w:r>
            <w:r w:rsidRPr="00E02310">
              <w:rPr>
                <w:rFonts w:ascii="Arial" w:hAnsi="Arial" w:cs="Arial"/>
                <w:vertAlign w:val="superscript"/>
                <w:lang w:val="en"/>
              </w:rPr>
              <w:t>a</w:t>
            </w:r>
            <w:r w:rsidRPr="00E02310">
              <w:rPr>
                <w:rFonts w:ascii="Arial" w:hAnsi="Arial" w:cs="Arial"/>
                <w:lang w:val="en"/>
              </w:rPr>
              <w:t xml:space="preserve"> ± 0.14  </w:t>
            </w:r>
          </w:p>
        </w:tc>
      </w:tr>
      <w:tr w:rsidR="00E02310" w:rsidRPr="00E02310" w14:paraId="1172F3B9" w14:textId="77777777" w:rsidTr="00A03637">
        <w:trPr>
          <w:trHeight w:val="260"/>
        </w:trPr>
        <w:tc>
          <w:tcPr>
            <w:tcW w:w="2340" w:type="dxa"/>
          </w:tcPr>
          <w:p w14:paraId="7C5C7BD1"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chunk thigh </w:t>
            </w:r>
          </w:p>
        </w:tc>
        <w:tc>
          <w:tcPr>
            <w:tcW w:w="1276" w:type="dxa"/>
          </w:tcPr>
          <w:p w14:paraId="0306F67E"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6.70</w:t>
            </w:r>
            <w:r w:rsidRPr="00E02310">
              <w:rPr>
                <w:rFonts w:ascii="Arial" w:hAnsi="Arial" w:cs="Arial"/>
                <w:vertAlign w:val="superscript"/>
                <w:lang w:val="en"/>
              </w:rPr>
              <w:t>b</w:t>
            </w:r>
            <w:r w:rsidRPr="00E02310">
              <w:rPr>
                <w:rFonts w:ascii="Arial" w:hAnsi="Arial" w:cs="Arial"/>
                <w:lang w:val="en"/>
              </w:rPr>
              <w:t xml:space="preserve"> ± 0.27 </w:t>
            </w:r>
          </w:p>
        </w:tc>
        <w:tc>
          <w:tcPr>
            <w:tcW w:w="1260" w:type="dxa"/>
          </w:tcPr>
          <w:p w14:paraId="3D2AF31A"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8.50</w:t>
            </w:r>
            <w:r w:rsidRPr="00E02310">
              <w:rPr>
                <w:rFonts w:ascii="Arial" w:hAnsi="Arial" w:cs="Arial"/>
                <w:vertAlign w:val="superscript"/>
                <w:lang w:val="en"/>
              </w:rPr>
              <w:t>a</w:t>
            </w:r>
            <w:r w:rsidRPr="00E02310">
              <w:rPr>
                <w:rFonts w:ascii="Arial" w:hAnsi="Arial" w:cs="Arial"/>
                <w:lang w:val="en"/>
              </w:rPr>
              <w:t xml:space="preserve"> ± 0.14 </w:t>
            </w:r>
          </w:p>
        </w:tc>
        <w:tc>
          <w:tcPr>
            <w:tcW w:w="1260" w:type="dxa"/>
          </w:tcPr>
          <w:p w14:paraId="33BCF02F"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8.20</w:t>
            </w:r>
            <w:r w:rsidRPr="00E02310">
              <w:rPr>
                <w:rFonts w:ascii="Arial" w:hAnsi="Arial" w:cs="Arial"/>
                <w:vertAlign w:val="superscript"/>
                <w:lang w:val="en"/>
              </w:rPr>
              <w:t>a</w:t>
            </w:r>
            <w:r w:rsidRPr="00E02310">
              <w:rPr>
                <w:rFonts w:ascii="Arial" w:hAnsi="Arial" w:cs="Arial"/>
                <w:lang w:val="en"/>
              </w:rPr>
              <w:t xml:space="preserve"> ± 0.26 </w:t>
            </w:r>
          </w:p>
        </w:tc>
        <w:tc>
          <w:tcPr>
            <w:tcW w:w="1260" w:type="dxa"/>
          </w:tcPr>
          <w:p w14:paraId="72570D58"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8.50</w:t>
            </w:r>
            <w:r w:rsidRPr="00E02310">
              <w:rPr>
                <w:rFonts w:ascii="Arial" w:hAnsi="Arial" w:cs="Arial"/>
                <w:vertAlign w:val="superscript"/>
                <w:lang w:val="en"/>
              </w:rPr>
              <w:t>a</w:t>
            </w:r>
            <w:r w:rsidRPr="00E02310">
              <w:rPr>
                <w:rFonts w:ascii="Arial" w:hAnsi="Arial" w:cs="Arial"/>
                <w:lang w:val="en"/>
              </w:rPr>
              <w:t xml:space="preserve"> ± 0.48 </w:t>
            </w:r>
          </w:p>
        </w:tc>
        <w:tc>
          <w:tcPr>
            <w:tcW w:w="1350" w:type="dxa"/>
          </w:tcPr>
          <w:p w14:paraId="10A7D3BF"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8.30</w:t>
            </w:r>
            <w:r w:rsidRPr="00E02310">
              <w:rPr>
                <w:rFonts w:ascii="Arial" w:hAnsi="Arial" w:cs="Arial"/>
                <w:vertAlign w:val="superscript"/>
                <w:lang w:val="en"/>
              </w:rPr>
              <w:t>a</w:t>
            </w:r>
            <w:r w:rsidRPr="00E02310">
              <w:rPr>
                <w:rFonts w:ascii="Arial" w:hAnsi="Arial" w:cs="Arial"/>
                <w:lang w:val="en"/>
              </w:rPr>
              <w:t xml:space="preserve"> ± 0.11 </w:t>
            </w:r>
          </w:p>
        </w:tc>
      </w:tr>
      <w:tr w:rsidR="00E02310" w:rsidRPr="00E02310" w14:paraId="0078AA18" w14:textId="77777777" w:rsidTr="00A03637">
        <w:trPr>
          <w:trHeight w:val="260"/>
        </w:trPr>
        <w:tc>
          <w:tcPr>
            <w:tcW w:w="2340" w:type="dxa"/>
          </w:tcPr>
          <w:p w14:paraId="01FCAF91" w14:textId="5291CD0B" w:rsidR="00E02310" w:rsidRPr="00E02310" w:rsidRDefault="00E02310" w:rsidP="00DA03FE">
            <w:pPr>
              <w:tabs>
                <w:tab w:val="left" w:pos="1080"/>
              </w:tabs>
              <w:rPr>
                <w:rFonts w:ascii="Arial" w:hAnsi="Arial" w:cs="Arial"/>
                <w:lang w:val="en"/>
              </w:rPr>
            </w:pPr>
            <w:r w:rsidRPr="00E02310">
              <w:rPr>
                <w:rFonts w:ascii="Arial" w:hAnsi="Arial" w:cs="Arial"/>
                <w:b/>
                <w:lang w:val="en"/>
              </w:rPr>
              <w:t>Smoked</w:t>
            </w:r>
            <w:r w:rsidR="00DA03FE">
              <w:rPr>
                <w:rFonts w:ascii="Arial" w:hAnsi="Arial" w:cs="Arial"/>
                <w:b/>
                <w:lang w:val="en"/>
              </w:rPr>
              <w:t xml:space="preserve"> </w:t>
            </w:r>
            <w:r w:rsidRPr="00E02310">
              <w:rPr>
                <w:rFonts w:ascii="Arial" w:hAnsi="Arial" w:cs="Arial"/>
                <w:b/>
                <w:lang w:val="en"/>
              </w:rPr>
              <w:t>shredded breast</w:t>
            </w:r>
          </w:p>
        </w:tc>
        <w:tc>
          <w:tcPr>
            <w:tcW w:w="1276" w:type="dxa"/>
          </w:tcPr>
          <w:p w14:paraId="55E7F95C"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7.70</w:t>
            </w:r>
            <w:r w:rsidRPr="00E02310">
              <w:rPr>
                <w:rFonts w:ascii="Arial" w:hAnsi="Arial" w:cs="Arial"/>
                <w:vertAlign w:val="superscript"/>
                <w:lang w:val="en"/>
              </w:rPr>
              <w:t>a</w:t>
            </w:r>
            <w:r w:rsidRPr="00E02310">
              <w:rPr>
                <w:rFonts w:ascii="Arial" w:hAnsi="Arial" w:cs="Arial"/>
                <w:lang w:val="en"/>
              </w:rPr>
              <w:t xml:space="preserve"> ± 0.15 </w:t>
            </w:r>
          </w:p>
        </w:tc>
        <w:tc>
          <w:tcPr>
            <w:tcW w:w="1260" w:type="dxa"/>
          </w:tcPr>
          <w:p w14:paraId="3F56144B"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7.20</w:t>
            </w:r>
            <w:r w:rsidRPr="00E02310">
              <w:rPr>
                <w:rFonts w:ascii="Arial" w:hAnsi="Arial" w:cs="Arial"/>
                <w:vertAlign w:val="superscript"/>
                <w:lang w:val="en"/>
              </w:rPr>
              <w:t>c</w:t>
            </w:r>
            <w:r w:rsidRPr="00E02310">
              <w:rPr>
                <w:rFonts w:ascii="Arial" w:hAnsi="Arial" w:cs="Arial"/>
                <w:lang w:val="en"/>
              </w:rPr>
              <w:t xml:space="preserve"> ± 0.33 </w:t>
            </w:r>
          </w:p>
        </w:tc>
        <w:tc>
          <w:tcPr>
            <w:tcW w:w="1260" w:type="dxa"/>
          </w:tcPr>
          <w:p w14:paraId="645551DE"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8.25</w:t>
            </w:r>
            <w:r w:rsidRPr="00E02310">
              <w:rPr>
                <w:rFonts w:ascii="Arial" w:hAnsi="Arial" w:cs="Arial"/>
                <w:vertAlign w:val="superscript"/>
                <w:lang w:val="en"/>
              </w:rPr>
              <w:t>a</w:t>
            </w:r>
            <w:r w:rsidRPr="00E02310">
              <w:rPr>
                <w:rFonts w:ascii="Arial" w:hAnsi="Arial" w:cs="Arial"/>
                <w:lang w:val="en"/>
              </w:rPr>
              <w:t xml:space="preserve"> ± 0.15 </w:t>
            </w:r>
          </w:p>
        </w:tc>
        <w:tc>
          <w:tcPr>
            <w:tcW w:w="1260" w:type="dxa"/>
          </w:tcPr>
          <w:p w14:paraId="38329C92"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6.80</w:t>
            </w:r>
            <w:r w:rsidRPr="00E02310">
              <w:rPr>
                <w:rFonts w:ascii="Arial" w:hAnsi="Arial" w:cs="Arial"/>
                <w:vertAlign w:val="superscript"/>
                <w:lang w:val="en"/>
              </w:rPr>
              <w:t>c</w:t>
            </w:r>
            <w:r w:rsidRPr="00E02310">
              <w:rPr>
                <w:rFonts w:ascii="Arial" w:hAnsi="Arial" w:cs="Arial"/>
                <w:lang w:val="en"/>
              </w:rPr>
              <w:t xml:space="preserve"> ± 0.26 </w:t>
            </w:r>
          </w:p>
        </w:tc>
        <w:tc>
          <w:tcPr>
            <w:tcW w:w="1350" w:type="dxa"/>
          </w:tcPr>
          <w:p w14:paraId="08AD6E99"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7.20</w:t>
            </w:r>
            <w:r w:rsidRPr="00E02310">
              <w:rPr>
                <w:rFonts w:ascii="Arial" w:hAnsi="Arial" w:cs="Arial"/>
                <w:vertAlign w:val="superscript"/>
                <w:lang w:val="en"/>
              </w:rPr>
              <w:t>d</w:t>
            </w:r>
            <w:r w:rsidRPr="00E02310">
              <w:rPr>
                <w:rFonts w:ascii="Arial" w:hAnsi="Arial" w:cs="Arial"/>
                <w:lang w:val="en"/>
              </w:rPr>
              <w:t xml:space="preserve"> ± 0.16 </w:t>
            </w:r>
          </w:p>
        </w:tc>
      </w:tr>
      <w:tr w:rsidR="00E02310" w:rsidRPr="00E02310" w14:paraId="7BF2582D" w14:textId="77777777" w:rsidTr="00A03637">
        <w:trPr>
          <w:trHeight w:val="260"/>
        </w:trPr>
        <w:tc>
          <w:tcPr>
            <w:tcW w:w="2340" w:type="dxa"/>
          </w:tcPr>
          <w:p w14:paraId="30220B46" w14:textId="3E73FDEE" w:rsidR="00E02310" w:rsidRPr="00E02310" w:rsidRDefault="00E02310" w:rsidP="00DA03FE">
            <w:pPr>
              <w:tabs>
                <w:tab w:val="left" w:pos="1080"/>
              </w:tabs>
              <w:rPr>
                <w:rFonts w:ascii="Arial" w:hAnsi="Arial" w:cs="Arial"/>
                <w:lang w:val="en"/>
              </w:rPr>
            </w:pPr>
            <w:r w:rsidRPr="00E02310">
              <w:rPr>
                <w:rFonts w:ascii="Arial" w:hAnsi="Arial" w:cs="Arial"/>
                <w:b/>
                <w:lang w:val="en"/>
              </w:rPr>
              <w:t>Smoked shredded thigh</w:t>
            </w:r>
          </w:p>
        </w:tc>
        <w:tc>
          <w:tcPr>
            <w:tcW w:w="1276" w:type="dxa"/>
          </w:tcPr>
          <w:p w14:paraId="25174AE2"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6.40</w:t>
            </w:r>
            <w:r w:rsidRPr="00E02310">
              <w:rPr>
                <w:rFonts w:ascii="Arial" w:hAnsi="Arial" w:cs="Arial"/>
                <w:vertAlign w:val="superscript"/>
                <w:lang w:val="en"/>
              </w:rPr>
              <w:t>b</w:t>
            </w:r>
            <w:r w:rsidRPr="00E02310">
              <w:rPr>
                <w:rFonts w:ascii="Arial" w:hAnsi="Arial" w:cs="Arial"/>
                <w:lang w:val="en"/>
              </w:rPr>
              <w:t xml:space="preserve"> ± 0.21 </w:t>
            </w:r>
          </w:p>
        </w:tc>
        <w:tc>
          <w:tcPr>
            <w:tcW w:w="1260" w:type="dxa"/>
          </w:tcPr>
          <w:p w14:paraId="09A085E7"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7.00</w:t>
            </w:r>
            <w:r w:rsidRPr="00E02310">
              <w:rPr>
                <w:rFonts w:ascii="Arial" w:hAnsi="Arial" w:cs="Arial"/>
                <w:vertAlign w:val="superscript"/>
                <w:lang w:val="en"/>
              </w:rPr>
              <w:t>c</w:t>
            </w:r>
            <w:r w:rsidRPr="00E02310">
              <w:rPr>
                <w:rFonts w:ascii="Arial" w:hAnsi="Arial" w:cs="Arial"/>
                <w:lang w:val="en"/>
              </w:rPr>
              <w:t xml:space="preserve"> ± 0.19 </w:t>
            </w:r>
          </w:p>
        </w:tc>
        <w:tc>
          <w:tcPr>
            <w:tcW w:w="1260" w:type="dxa"/>
          </w:tcPr>
          <w:p w14:paraId="6E3D96D1"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8.10</w:t>
            </w:r>
            <w:r w:rsidRPr="00E02310">
              <w:rPr>
                <w:rFonts w:ascii="Arial" w:hAnsi="Arial" w:cs="Arial"/>
                <w:vertAlign w:val="superscript"/>
                <w:lang w:val="en"/>
              </w:rPr>
              <w:t>a</w:t>
            </w:r>
            <w:r w:rsidRPr="00E02310">
              <w:rPr>
                <w:rFonts w:ascii="Arial" w:hAnsi="Arial" w:cs="Arial"/>
                <w:lang w:val="en"/>
              </w:rPr>
              <w:t xml:space="preserve"> ± 0.32 </w:t>
            </w:r>
          </w:p>
        </w:tc>
        <w:tc>
          <w:tcPr>
            <w:tcW w:w="1260" w:type="dxa"/>
          </w:tcPr>
          <w:p w14:paraId="4BCFB258"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7.00</w:t>
            </w:r>
            <w:r w:rsidRPr="00E02310">
              <w:rPr>
                <w:rFonts w:ascii="Arial" w:hAnsi="Arial" w:cs="Arial"/>
                <w:vertAlign w:val="superscript"/>
                <w:lang w:val="en"/>
              </w:rPr>
              <w:t>c</w:t>
            </w:r>
            <w:r w:rsidRPr="00E02310">
              <w:rPr>
                <w:rFonts w:ascii="Arial" w:hAnsi="Arial" w:cs="Arial"/>
                <w:lang w:val="en"/>
              </w:rPr>
              <w:t xml:space="preserve"> ± 0.31 </w:t>
            </w:r>
          </w:p>
        </w:tc>
        <w:tc>
          <w:tcPr>
            <w:tcW w:w="1350" w:type="dxa"/>
          </w:tcPr>
          <w:p w14:paraId="79F9B71A"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6.90</w:t>
            </w:r>
            <w:r w:rsidRPr="00E02310">
              <w:rPr>
                <w:rFonts w:ascii="Arial" w:hAnsi="Arial" w:cs="Arial"/>
                <w:vertAlign w:val="superscript"/>
                <w:lang w:val="en"/>
              </w:rPr>
              <w:t>e</w:t>
            </w:r>
            <w:r w:rsidRPr="00E02310">
              <w:rPr>
                <w:rFonts w:ascii="Arial" w:hAnsi="Arial" w:cs="Arial"/>
                <w:lang w:val="en"/>
              </w:rPr>
              <w:t xml:space="preserve"> ± 0.24 </w:t>
            </w:r>
          </w:p>
        </w:tc>
      </w:tr>
    </w:tbl>
    <w:p w14:paraId="1B2DC0BE"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Values with different superscripts letters within the same column are significantly difference (p &lt;0.05).</w:t>
      </w:r>
      <w:r w:rsidRPr="00E02310">
        <w:rPr>
          <w:rFonts w:ascii="Arial" w:hAnsi="Arial" w:cs="Arial"/>
          <w:b/>
          <w:lang w:val="en"/>
        </w:rPr>
        <w:t xml:space="preserve"> </w:t>
      </w:r>
    </w:p>
    <w:p w14:paraId="07EB1424" w14:textId="77777777" w:rsidR="00A03637" w:rsidRDefault="00A03637" w:rsidP="00E02310">
      <w:pPr>
        <w:tabs>
          <w:tab w:val="left" w:pos="1080"/>
        </w:tabs>
        <w:jc w:val="both"/>
        <w:rPr>
          <w:rFonts w:ascii="Arial" w:hAnsi="Arial" w:cs="Arial"/>
          <w:b/>
          <w:lang w:val="en"/>
        </w:rPr>
      </w:pPr>
    </w:p>
    <w:p w14:paraId="4547FF62" w14:textId="28E5834E"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3.7. Microbiological characteristics </w:t>
      </w:r>
    </w:p>
    <w:p w14:paraId="761D1B94"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The ingestion of food contaminated with botulinum toxin leads to a condition known as foodborne botulism. Clostridium botulinum, a Gram-positive bacterium, produces a neurotoxin that can lead to food poisoning when improperly handled or canned. This bacterium is commonly found in improperly handled or canned foods, such as meat, chicken, fish, and vegetables. However, the presence of Clostridium sp., spore-forming bacteria, and Salmonella sp. could not be detected in all samples of canned chicken (data not shown). The findings were consistent with the Egyptian specifications for canned meat, thereby indicating that all canned chicken samples were deemed safe for consumption due to their absence of Clostridium sp., spore-forming bacteria, and Salmonella sp. This outcome may be attributed to the initial heat treatment and sterilization processes, in addition to the smoking process, which resulted in a decrease in pH values. This decrease has been shown to have an effective effect on microbes and to extend the storage period. A number of studies have reported analogous results in the context of canned tuna. This observation has been documented by </w:t>
      </w:r>
      <w:proofErr w:type="spellStart"/>
      <w:r w:rsidRPr="00E02310">
        <w:rPr>
          <w:rFonts w:ascii="Arial" w:hAnsi="Arial" w:cs="Arial"/>
          <w:b/>
          <w:lang w:val="en"/>
        </w:rPr>
        <w:t>ElShehawy</w:t>
      </w:r>
      <w:proofErr w:type="spellEnd"/>
      <w:r w:rsidRPr="00E02310">
        <w:rPr>
          <w:rFonts w:ascii="Arial" w:hAnsi="Arial" w:cs="Arial"/>
          <w:b/>
          <w:lang w:val="en"/>
        </w:rPr>
        <w:t xml:space="preserve"> </w:t>
      </w:r>
      <w:r w:rsidRPr="00E02310">
        <w:rPr>
          <w:rFonts w:ascii="Arial" w:hAnsi="Arial" w:cs="Arial"/>
          <w:b/>
          <w:i/>
          <w:lang w:val="en"/>
        </w:rPr>
        <w:t>et al</w:t>
      </w:r>
      <w:r w:rsidRPr="00E02310">
        <w:rPr>
          <w:rFonts w:ascii="Arial" w:hAnsi="Arial" w:cs="Arial"/>
          <w:b/>
          <w:lang w:val="en"/>
        </w:rPr>
        <w:t xml:space="preserve">., (2019) Rashid </w:t>
      </w:r>
      <w:r w:rsidRPr="00E02310">
        <w:rPr>
          <w:rFonts w:ascii="Arial" w:hAnsi="Arial" w:cs="Arial"/>
          <w:b/>
          <w:i/>
          <w:lang w:val="en"/>
        </w:rPr>
        <w:t>et al</w:t>
      </w:r>
      <w:r w:rsidRPr="00E02310">
        <w:rPr>
          <w:rFonts w:ascii="Arial" w:hAnsi="Arial" w:cs="Arial"/>
          <w:b/>
          <w:lang w:val="en"/>
        </w:rPr>
        <w:t xml:space="preserve">. (2021) and </w:t>
      </w:r>
      <w:proofErr w:type="spellStart"/>
      <w:r w:rsidRPr="00E02310">
        <w:rPr>
          <w:rFonts w:ascii="Arial" w:hAnsi="Arial" w:cs="Arial"/>
          <w:b/>
          <w:lang w:val="en"/>
        </w:rPr>
        <w:t>Bushanati</w:t>
      </w:r>
      <w:proofErr w:type="spellEnd"/>
      <w:r w:rsidRPr="00E02310">
        <w:rPr>
          <w:rFonts w:ascii="Arial" w:hAnsi="Arial" w:cs="Arial"/>
          <w:b/>
          <w:lang w:val="en"/>
        </w:rPr>
        <w:t xml:space="preserve"> (2023)</w:t>
      </w:r>
      <w:r w:rsidRPr="00E02310">
        <w:rPr>
          <w:rFonts w:ascii="Arial" w:hAnsi="Arial" w:cs="Arial"/>
          <w:lang w:val="en"/>
        </w:rPr>
        <w:t xml:space="preserve">. </w:t>
      </w:r>
    </w:p>
    <w:p w14:paraId="36C6D8AB" w14:textId="77777777" w:rsidR="00790ADA" w:rsidRPr="00FB3A86" w:rsidRDefault="00790ADA" w:rsidP="00441B6F">
      <w:pPr>
        <w:pStyle w:val="Body"/>
        <w:spacing w:after="0"/>
        <w:rPr>
          <w:rFonts w:ascii="Arial" w:hAnsi="Arial" w:cs="Arial"/>
        </w:rPr>
      </w:pPr>
    </w:p>
    <w:p w14:paraId="0572FBE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7378AD7" w14:textId="77777777" w:rsidR="00790ADA" w:rsidRPr="00FB3A86" w:rsidRDefault="00790ADA" w:rsidP="00441B6F">
      <w:pPr>
        <w:pStyle w:val="ConcHead"/>
        <w:spacing w:after="0"/>
        <w:jc w:val="both"/>
        <w:rPr>
          <w:rFonts w:ascii="Arial" w:hAnsi="Arial" w:cs="Arial"/>
        </w:rPr>
      </w:pPr>
    </w:p>
    <w:p w14:paraId="6ADBD05F" w14:textId="684F79B2" w:rsidR="00790ADA" w:rsidRPr="00FB3A86" w:rsidRDefault="00E02310" w:rsidP="00E02310">
      <w:pPr>
        <w:pStyle w:val="Body"/>
        <w:spacing w:after="0"/>
        <w:rPr>
          <w:rFonts w:ascii="Arial" w:hAnsi="Arial" w:cs="Arial"/>
        </w:rPr>
      </w:pPr>
      <w:r w:rsidRPr="00E02310">
        <w:rPr>
          <w:rFonts w:ascii="Arial" w:hAnsi="Arial" w:cs="Arial"/>
          <w:lang w:val="en"/>
        </w:rPr>
        <w:t>In this study, a solid form of canned chicken was created from chicken breasts, and both chunk and shredded treatments were prepared from chicken breasts and thighs. The smoked treatments were developed by combining previous treatments with 1% smoked liquid. A proximate composition study was performed on raw materials and canned goods. The analysis revealed that raw chicken thighs exhibited elevated moisture, fat, ash, and pH levels, while canned chicken thighs demonstrated reduced levels of TVN and TBA. The process of canning resulted in a reduction of moisture and an increase in protein, fat, and ash content. Concurrently, there was a decrease in muscle water-holding ability, with the exception of thighs, which have a higher fat content than breast meat. A comparison of water-holding capacity between smoked and non-smoked meat revealed that the former exhibited a higher capacity. The study's findings indicate that the quantities of TVN and TBA in all samples were within the acceptable limits for Egyptian standards. The results indicated that canned chicken breasts were more widely accepted than canned chicken thighs. In addition, shredded samples scored lower than solid and chunk samples. Nevertheless, smoked canned meat has been demonstrated to exhibit optimal sensory characteristics. All samples of canned chicken were found to be negative for Clostridium botulinum, Salmonella spp., and spore-forming bacteria. The findings indicate that all canned chicken samples are highly acceptable and safe for human consumption</w:t>
      </w:r>
    </w:p>
    <w:p w14:paraId="1632488E" w14:textId="77777777" w:rsidR="00315186" w:rsidRPr="00315186" w:rsidRDefault="00315186" w:rsidP="00441B6F"/>
    <w:p w14:paraId="5A7F03D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5C2FFBC" w14:textId="77777777" w:rsidR="00790ADA" w:rsidRPr="00FB3A86" w:rsidRDefault="00790ADA" w:rsidP="00441B6F">
      <w:pPr>
        <w:pStyle w:val="ReferHead"/>
        <w:spacing w:after="0"/>
        <w:jc w:val="both"/>
        <w:rPr>
          <w:rFonts w:ascii="Arial" w:hAnsi="Arial" w:cs="Arial"/>
        </w:rPr>
      </w:pPr>
    </w:p>
    <w:p w14:paraId="45565CB2" w14:textId="77777777" w:rsidR="00E80C00" w:rsidRDefault="00E80C00" w:rsidP="00D57016">
      <w:pPr>
        <w:pStyle w:val="Body"/>
        <w:numPr>
          <w:ilvl w:val="0"/>
          <w:numId w:val="31"/>
        </w:numPr>
        <w:spacing w:after="0"/>
        <w:rPr>
          <w:lang w:val="en"/>
        </w:rPr>
      </w:pPr>
      <w:proofErr w:type="spellStart"/>
      <w:r w:rsidRPr="00E80C00">
        <w:rPr>
          <w:lang w:val="en"/>
        </w:rPr>
        <w:t>Abiala</w:t>
      </w:r>
      <w:proofErr w:type="spellEnd"/>
      <w:r w:rsidRPr="00E80C00">
        <w:rPr>
          <w:lang w:val="en"/>
        </w:rPr>
        <w:t xml:space="preserve">, O., </w:t>
      </w:r>
      <w:proofErr w:type="spellStart"/>
      <w:r w:rsidRPr="00E80C00">
        <w:rPr>
          <w:lang w:val="en"/>
        </w:rPr>
        <w:t>Omojola</w:t>
      </w:r>
      <w:proofErr w:type="spellEnd"/>
      <w:r w:rsidRPr="00E80C00">
        <w:rPr>
          <w:lang w:val="en"/>
        </w:rPr>
        <w:t xml:space="preserve">, B., &amp; </w:t>
      </w:r>
      <w:proofErr w:type="spellStart"/>
      <w:r w:rsidRPr="00E80C00">
        <w:rPr>
          <w:lang w:val="en"/>
        </w:rPr>
        <w:t>Abiala</w:t>
      </w:r>
      <w:proofErr w:type="spellEnd"/>
      <w:r w:rsidRPr="00E80C00">
        <w:rPr>
          <w:lang w:val="en"/>
        </w:rPr>
        <w:t xml:space="preserve">, M. (2023). Quality, acceptability and shelf life of chicken nuggets prepared from different chicken meat types. Carpathian Journal of Food Science and Technology, 15(1), 151-161. </w:t>
      </w:r>
      <w:hyperlink r:id="rId14" w:history="1">
        <w:r w:rsidRPr="00040E9D">
          <w:rPr>
            <w:rStyle w:val="Hyperlink"/>
            <w:lang w:val="en"/>
          </w:rPr>
          <w:t>https://doi.org/10.34302/crpjfst/2023.15.1.12</w:t>
        </w:r>
      </w:hyperlink>
      <w:r>
        <w:rPr>
          <w:lang w:val="en"/>
        </w:rPr>
        <w:t xml:space="preserve"> </w:t>
      </w:r>
    </w:p>
    <w:p w14:paraId="22F7A8F6" w14:textId="77777777" w:rsidR="00E80C00" w:rsidRDefault="00E80C00" w:rsidP="00D57016">
      <w:pPr>
        <w:pStyle w:val="Body"/>
        <w:numPr>
          <w:ilvl w:val="0"/>
          <w:numId w:val="31"/>
        </w:numPr>
        <w:spacing w:after="0"/>
        <w:rPr>
          <w:lang w:val="en"/>
        </w:rPr>
      </w:pPr>
      <w:proofErr w:type="spellStart"/>
      <w:r w:rsidRPr="00E80C00">
        <w:rPr>
          <w:lang w:val="en"/>
        </w:rPr>
        <w:t>Alugwu</w:t>
      </w:r>
      <w:proofErr w:type="spellEnd"/>
      <w:r w:rsidRPr="00E80C00">
        <w:rPr>
          <w:lang w:val="en"/>
        </w:rPr>
        <w:t xml:space="preserve">, S. U., &amp; </w:t>
      </w:r>
      <w:proofErr w:type="spellStart"/>
      <w:r w:rsidRPr="00E80C00">
        <w:rPr>
          <w:lang w:val="en"/>
        </w:rPr>
        <w:t>Alugwu</w:t>
      </w:r>
      <w:proofErr w:type="spellEnd"/>
      <w:r w:rsidRPr="00E80C00">
        <w:rPr>
          <w:lang w:val="en"/>
        </w:rPr>
        <w:t xml:space="preserve">, U. B. (2022). Effect of roasting, steaming and internal temperatures on proximate composition, vitamins and sensory properties of spent hen muscle. *Asian Journal of Advanced Research and Reports*, *16*(10), 81-89. </w:t>
      </w:r>
      <w:hyperlink r:id="rId15" w:history="1">
        <w:r w:rsidRPr="00040E9D">
          <w:rPr>
            <w:rStyle w:val="Hyperlink"/>
            <w:lang w:val="en"/>
          </w:rPr>
          <w:t>https://doi.org/10.9734/ajarr/2022/v16i10431</w:t>
        </w:r>
      </w:hyperlink>
      <w:r>
        <w:rPr>
          <w:lang w:val="en"/>
        </w:rPr>
        <w:t xml:space="preserve"> </w:t>
      </w:r>
    </w:p>
    <w:p w14:paraId="1AE25119" w14:textId="77777777" w:rsidR="00E80C00" w:rsidRDefault="00E80C00" w:rsidP="00D57016">
      <w:pPr>
        <w:pStyle w:val="Body"/>
        <w:numPr>
          <w:ilvl w:val="0"/>
          <w:numId w:val="31"/>
        </w:numPr>
        <w:spacing w:after="0"/>
        <w:rPr>
          <w:lang w:val="en"/>
        </w:rPr>
      </w:pPr>
      <w:r w:rsidRPr="00E80C00">
        <w:rPr>
          <w:lang w:val="en"/>
        </w:rPr>
        <w:t xml:space="preserve">André, S., Zuber, F., &amp; </w:t>
      </w:r>
      <w:proofErr w:type="spellStart"/>
      <w:r w:rsidRPr="00E80C00">
        <w:rPr>
          <w:lang w:val="en"/>
        </w:rPr>
        <w:t>Remize</w:t>
      </w:r>
      <w:proofErr w:type="spellEnd"/>
      <w:r w:rsidRPr="00E80C00">
        <w:rPr>
          <w:lang w:val="en"/>
        </w:rPr>
        <w:t xml:space="preserve">, F. (2013). Thermophilic spore-forming bacteria isolated from spoiled canned food and their heat resistance. Results of a French ten-year survey. International Journal of Food Microbiology, 165(2), 134-143. </w:t>
      </w:r>
      <w:hyperlink r:id="rId16" w:history="1">
        <w:r w:rsidRPr="00040E9D">
          <w:rPr>
            <w:rStyle w:val="Hyperlink"/>
            <w:lang w:val="en"/>
          </w:rPr>
          <w:t>https://doi.org/10.1016/j.ijfoodmicro.2013.04.019</w:t>
        </w:r>
      </w:hyperlink>
      <w:r>
        <w:rPr>
          <w:lang w:val="en"/>
        </w:rPr>
        <w:t xml:space="preserve"> </w:t>
      </w:r>
    </w:p>
    <w:p w14:paraId="101177F7" w14:textId="77777777" w:rsidR="00E80C00" w:rsidRDefault="00E80C00" w:rsidP="00D57016">
      <w:pPr>
        <w:pStyle w:val="Body"/>
        <w:numPr>
          <w:ilvl w:val="0"/>
          <w:numId w:val="31"/>
        </w:numPr>
        <w:spacing w:after="0"/>
        <w:rPr>
          <w:lang w:val="en"/>
        </w:rPr>
      </w:pPr>
      <w:r w:rsidRPr="00E80C00">
        <w:rPr>
          <w:lang w:val="en"/>
        </w:rPr>
        <w:t xml:space="preserve">Anwar, S. H., </w:t>
      </w:r>
      <w:proofErr w:type="spellStart"/>
      <w:r w:rsidRPr="00E80C00">
        <w:rPr>
          <w:lang w:val="en"/>
        </w:rPr>
        <w:t>Hifdha</w:t>
      </w:r>
      <w:proofErr w:type="spellEnd"/>
      <w:r w:rsidRPr="00E80C00">
        <w:rPr>
          <w:lang w:val="en"/>
        </w:rPr>
        <w:t xml:space="preserve">, R. W., Hasan, H., &amp; </w:t>
      </w:r>
      <w:proofErr w:type="spellStart"/>
      <w:r w:rsidRPr="00E80C00">
        <w:rPr>
          <w:lang w:val="en"/>
        </w:rPr>
        <w:t>Rohaya</w:t>
      </w:r>
      <w:proofErr w:type="spellEnd"/>
      <w:r w:rsidRPr="00E80C00">
        <w:rPr>
          <w:lang w:val="en"/>
        </w:rPr>
        <w:t xml:space="preserve">, S. (2020). Optimizing the sterilization process of canned yellowfin tuna through time and temperature combination. IOP Conference Series: Earth and Environmental Science, 425(1), 012031. </w:t>
      </w:r>
      <w:hyperlink r:id="rId17" w:history="1">
        <w:r w:rsidRPr="00040E9D">
          <w:rPr>
            <w:rStyle w:val="Hyperlink"/>
            <w:lang w:val="en"/>
          </w:rPr>
          <w:t>https://doi.org/10.1088/1755-1315/425/1/012031</w:t>
        </w:r>
      </w:hyperlink>
      <w:r>
        <w:rPr>
          <w:lang w:val="en"/>
        </w:rPr>
        <w:t xml:space="preserve"> </w:t>
      </w:r>
    </w:p>
    <w:p w14:paraId="70DA189B" w14:textId="77777777" w:rsidR="00E80C00" w:rsidRDefault="00E80C00" w:rsidP="00D57016">
      <w:pPr>
        <w:pStyle w:val="Body"/>
        <w:numPr>
          <w:ilvl w:val="0"/>
          <w:numId w:val="31"/>
        </w:numPr>
        <w:spacing w:after="0"/>
        <w:rPr>
          <w:lang w:val="en"/>
        </w:rPr>
      </w:pPr>
      <w:r w:rsidRPr="00E80C00">
        <w:rPr>
          <w:lang w:val="en"/>
        </w:rPr>
        <w:t xml:space="preserve">AOAC International. (2016). *Official methods of analysis of AOAC International* (20th ed.). AOAC International. </w:t>
      </w:r>
      <w:hyperlink r:id="rId18" w:history="1">
        <w:r w:rsidRPr="00040E9D">
          <w:rPr>
            <w:rStyle w:val="Hyperlink"/>
            <w:lang w:val="en"/>
          </w:rPr>
          <w:t>https://www.aoac.org/official-methods-of-analysis/</w:t>
        </w:r>
      </w:hyperlink>
      <w:r>
        <w:rPr>
          <w:lang w:val="en"/>
        </w:rPr>
        <w:t xml:space="preserve"> </w:t>
      </w:r>
    </w:p>
    <w:p w14:paraId="1D999430" w14:textId="77777777" w:rsidR="00E80C00" w:rsidRDefault="00E80C00" w:rsidP="00D57016">
      <w:pPr>
        <w:pStyle w:val="Body"/>
        <w:numPr>
          <w:ilvl w:val="0"/>
          <w:numId w:val="31"/>
        </w:numPr>
        <w:spacing w:after="0"/>
        <w:rPr>
          <w:lang w:val="en"/>
        </w:rPr>
      </w:pPr>
      <w:proofErr w:type="spellStart"/>
      <w:r w:rsidRPr="00E80C00">
        <w:rPr>
          <w:lang w:val="en"/>
        </w:rPr>
        <w:t>Ariyamuthu</w:t>
      </w:r>
      <w:proofErr w:type="spellEnd"/>
      <w:r w:rsidRPr="00E80C00">
        <w:rPr>
          <w:lang w:val="en"/>
        </w:rPr>
        <w:t xml:space="preserve">, R., Albert, V. R., &amp; Je, S. (2022). An overview of food preservation using conventional and modern methods. Journal of Food and Nutrition Sciences, 10(3), 70–79. </w:t>
      </w:r>
      <w:hyperlink r:id="rId19" w:history="1">
        <w:r w:rsidRPr="00040E9D">
          <w:rPr>
            <w:rStyle w:val="Hyperlink"/>
            <w:lang w:val="en"/>
          </w:rPr>
          <w:t>https://doi.org/10.11648/j.jfns.20221003.13</w:t>
        </w:r>
      </w:hyperlink>
      <w:r>
        <w:rPr>
          <w:lang w:val="en"/>
        </w:rPr>
        <w:t xml:space="preserve"> </w:t>
      </w:r>
    </w:p>
    <w:p w14:paraId="3A09AAB9" w14:textId="77777777" w:rsidR="00E80C00" w:rsidRDefault="00E80C00" w:rsidP="00D57016">
      <w:pPr>
        <w:pStyle w:val="Body"/>
        <w:numPr>
          <w:ilvl w:val="0"/>
          <w:numId w:val="31"/>
        </w:numPr>
        <w:spacing w:after="0"/>
        <w:rPr>
          <w:lang w:val="en"/>
        </w:rPr>
      </w:pPr>
      <w:proofErr w:type="spellStart"/>
      <w:r w:rsidRPr="00E80C00">
        <w:rPr>
          <w:lang w:val="en"/>
        </w:rPr>
        <w:t>Bahurmiz</w:t>
      </w:r>
      <w:proofErr w:type="spellEnd"/>
      <w:r w:rsidRPr="00E80C00">
        <w:rPr>
          <w:lang w:val="en"/>
        </w:rPr>
        <w:t>, O. M., Al-</w:t>
      </w:r>
      <w:proofErr w:type="spellStart"/>
      <w:r w:rsidRPr="00E80C00">
        <w:rPr>
          <w:lang w:val="en"/>
        </w:rPr>
        <w:t>Sa'ady</w:t>
      </w:r>
      <w:proofErr w:type="spellEnd"/>
      <w:r w:rsidRPr="00E80C00">
        <w:rPr>
          <w:lang w:val="en"/>
        </w:rPr>
        <w:t xml:space="preserve">, M., &amp; </w:t>
      </w:r>
      <w:proofErr w:type="spellStart"/>
      <w:r w:rsidRPr="00E80C00">
        <w:rPr>
          <w:lang w:val="en"/>
        </w:rPr>
        <w:t>Adzitey</w:t>
      </w:r>
      <w:proofErr w:type="spellEnd"/>
      <w:r w:rsidRPr="00E80C00">
        <w:rPr>
          <w:lang w:val="en"/>
        </w:rPr>
        <w:t xml:space="preserve">, F. (2018). Nutritional and sensory characteristics of locally produced canned tuna from </w:t>
      </w:r>
      <w:proofErr w:type="spellStart"/>
      <w:r w:rsidRPr="00E80C00">
        <w:rPr>
          <w:lang w:val="en"/>
        </w:rPr>
        <w:t>Hadhramout</w:t>
      </w:r>
      <w:proofErr w:type="spellEnd"/>
      <w:r w:rsidRPr="00E80C00">
        <w:rPr>
          <w:lang w:val="en"/>
        </w:rPr>
        <w:t xml:space="preserve">, Yemen. International Journal of Food Science and Nutrition, 3(5), 13-18. </w:t>
      </w:r>
      <w:hyperlink r:id="rId20" w:history="1">
        <w:r w:rsidRPr="00040E9D">
          <w:rPr>
            <w:rStyle w:val="Hyperlink"/>
            <w:lang w:val="en"/>
          </w:rPr>
          <w:t>http://hdl.handle.net/123456789/3790</w:t>
        </w:r>
      </w:hyperlink>
      <w:r>
        <w:rPr>
          <w:lang w:val="en"/>
        </w:rPr>
        <w:t xml:space="preserve"> </w:t>
      </w:r>
    </w:p>
    <w:p w14:paraId="4A431003" w14:textId="77777777" w:rsidR="00E80C00" w:rsidRDefault="00E80C00" w:rsidP="00D57016">
      <w:pPr>
        <w:pStyle w:val="Body"/>
        <w:numPr>
          <w:ilvl w:val="0"/>
          <w:numId w:val="31"/>
        </w:numPr>
        <w:spacing w:after="0"/>
        <w:rPr>
          <w:lang w:val="en"/>
        </w:rPr>
      </w:pPr>
      <w:proofErr w:type="spellStart"/>
      <w:r w:rsidRPr="00E80C00">
        <w:rPr>
          <w:lang w:val="en"/>
        </w:rPr>
        <w:t>Barido</w:t>
      </w:r>
      <w:proofErr w:type="spellEnd"/>
      <w:r w:rsidRPr="00E80C00">
        <w:rPr>
          <w:lang w:val="en"/>
        </w:rPr>
        <w:t xml:space="preserve">, F. H., &amp; Lee, S. K. (2021). Tenderness-related index and proteolytic enzyme response to the </w:t>
      </w:r>
      <w:proofErr w:type="spellStart"/>
      <w:r w:rsidRPr="00E80C00">
        <w:rPr>
          <w:lang w:val="en"/>
        </w:rPr>
        <w:t>marination</w:t>
      </w:r>
      <w:proofErr w:type="spellEnd"/>
      <w:r w:rsidRPr="00E80C00">
        <w:rPr>
          <w:lang w:val="en"/>
        </w:rPr>
        <w:t xml:space="preserve"> of spent hen breast by a protease extracted from Cordyceps </w:t>
      </w:r>
      <w:proofErr w:type="spellStart"/>
      <w:r w:rsidRPr="00E80C00">
        <w:rPr>
          <w:lang w:val="en"/>
        </w:rPr>
        <w:t>militaris</w:t>
      </w:r>
      <w:proofErr w:type="spellEnd"/>
      <w:r w:rsidRPr="00E80C00">
        <w:rPr>
          <w:lang w:val="en"/>
        </w:rPr>
        <w:t xml:space="preserve"> mushroom. Animal Bioscience, 34, 1859–1869. </w:t>
      </w:r>
      <w:hyperlink r:id="rId21" w:history="1">
        <w:r w:rsidRPr="00040E9D">
          <w:rPr>
            <w:rStyle w:val="Hyperlink"/>
            <w:lang w:val="en"/>
          </w:rPr>
          <w:t>https://doi.org/10.5713/ab.20.0831</w:t>
        </w:r>
      </w:hyperlink>
      <w:r>
        <w:rPr>
          <w:lang w:val="en"/>
        </w:rPr>
        <w:t xml:space="preserve"> </w:t>
      </w:r>
    </w:p>
    <w:p w14:paraId="39728E30" w14:textId="77777777" w:rsidR="00E80C00" w:rsidRDefault="00E80C00" w:rsidP="00D57016">
      <w:pPr>
        <w:pStyle w:val="Body"/>
        <w:numPr>
          <w:ilvl w:val="0"/>
          <w:numId w:val="31"/>
        </w:numPr>
        <w:spacing w:after="0"/>
        <w:rPr>
          <w:lang w:val="en"/>
        </w:rPr>
      </w:pPr>
      <w:proofErr w:type="spellStart"/>
      <w:r w:rsidRPr="00E80C00">
        <w:rPr>
          <w:lang w:val="en"/>
        </w:rPr>
        <w:t>Alugwu</w:t>
      </w:r>
      <w:proofErr w:type="spellEnd"/>
      <w:r w:rsidRPr="00E80C00">
        <w:rPr>
          <w:lang w:val="en"/>
        </w:rPr>
        <w:t xml:space="preserve">, S. U., Okonkwo, T. M., &amp; </w:t>
      </w:r>
      <w:proofErr w:type="spellStart"/>
      <w:r w:rsidRPr="00E80C00">
        <w:rPr>
          <w:lang w:val="en"/>
        </w:rPr>
        <w:t>Ngadi</w:t>
      </w:r>
      <w:proofErr w:type="spellEnd"/>
      <w:r w:rsidRPr="00E80C00">
        <w:rPr>
          <w:lang w:val="en"/>
        </w:rPr>
        <w:t xml:space="preserve">, M. O. (2022). Effect of different frying methods on cooking yield, tenderness and sensory properties of chicken breast meat. Asian Food Science Journal, 21(10), 1-14. </w:t>
      </w:r>
      <w:hyperlink r:id="rId22" w:history="1">
        <w:r w:rsidRPr="00040E9D">
          <w:rPr>
            <w:rStyle w:val="Hyperlink"/>
            <w:lang w:val="en"/>
          </w:rPr>
          <w:t>https://doi.org/10.9734/AFSJ/2022/v21i1030469</w:t>
        </w:r>
      </w:hyperlink>
      <w:r>
        <w:rPr>
          <w:lang w:val="en"/>
        </w:rPr>
        <w:t xml:space="preserve"> </w:t>
      </w:r>
    </w:p>
    <w:p w14:paraId="5D06B664" w14:textId="77777777" w:rsidR="00E80C00" w:rsidRDefault="00E80C00" w:rsidP="00D57016">
      <w:pPr>
        <w:pStyle w:val="Body"/>
        <w:numPr>
          <w:ilvl w:val="0"/>
          <w:numId w:val="31"/>
        </w:numPr>
        <w:spacing w:after="0"/>
        <w:rPr>
          <w:lang w:val="en"/>
        </w:rPr>
      </w:pPr>
      <w:proofErr w:type="spellStart"/>
      <w:r w:rsidRPr="00E80C00">
        <w:rPr>
          <w:lang w:val="en"/>
        </w:rPr>
        <w:t>Berhimpon</w:t>
      </w:r>
      <w:proofErr w:type="spellEnd"/>
      <w:r w:rsidRPr="00E80C00">
        <w:rPr>
          <w:lang w:val="en"/>
        </w:rPr>
        <w:t xml:space="preserve">, S., </w:t>
      </w:r>
      <w:proofErr w:type="spellStart"/>
      <w:r w:rsidRPr="00E80C00">
        <w:rPr>
          <w:lang w:val="en"/>
        </w:rPr>
        <w:t>Montolalu</w:t>
      </w:r>
      <w:proofErr w:type="spellEnd"/>
      <w:r w:rsidRPr="00E80C00">
        <w:rPr>
          <w:lang w:val="en"/>
        </w:rPr>
        <w:t xml:space="preserve">, R. I., </w:t>
      </w:r>
      <w:proofErr w:type="spellStart"/>
      <w:r w:rsidRPr="00E80C00">
        <w:rPr>
          <w:lang w:val="en"/>
        </w:rPr>
        <w:t>Dien</w:t>
      </w:r>
      <w:proofErr w:type="spellEnd"/>
      <w:r w:rsidRPr="00E80C00">
        <w:rPr>
          <w:lang w:val="en"/>
        </w:rPr>
        <w:t xml:space="preserve">, H. A., </w:t>
      </w:r>
      <w:proofErr w:type="spellStart"/>
      <w:r w:rsidRPr="00E80C00">
        <w:rPr>
          <w:lang w:val="en"/>
        </w:rPr>
        <w:t>Mentang</w:t>
      </w:r>
      <w:proofErr w:type="spellEnd"/>
      <w:r w:rsidRPr="00E80C00">
        <w:rPr>
          <w:lang w:val="en"/>
        </w:rPr>
        <w:t xml:space="preserve">, F., &amp; </w:t>
      </w:r>
      <w:proofErr w:type="spellStart"/>
      <w:r w:rsidRPr="00E80C00">
        <w:rPr>
          <w:lang w:val="en"/>
        </w:rPr>
        <w:t>Meko</w:t>
      </w:r>
      <w:proofErr w:type="spellEnd"/>
      <w:r w:rsidRPr="00E80C00">
        <w:rPr>
          <w:lang w:val="en"/>
        </w:rPr>
        <w:t>, A. U. I. (2018). Concentration and application methods of liquid smoke for exotic smoked Skipjack (</w:t>
      </w:r>
      <w:proofErr w:type="spellStart"/>
      <w:r w:rsidRPr="00E80C00">
        <w:rPr>
          <w:lang w:val="en"/>
        </w:rPr>
        <w:t>Katsuwonus</w:t>
      </w:r>
      <w:proofErr w:type="spellEnd"/>
      <w:r w:rsidRPr="00E80C00">
        <w:rPr>
          <w:lang w:val="en"/>
        </w:rPr>
        <w:t xml:space="preserve"> </w:t>
      </w:r>
      <w:proofErr w:type="spellStart"/>
      <w:r w:rsidRPr="00E80C00">
        <w:rPr>
          <w:lang w:val="en"/>
        </w:rPr>
        <w:t>pelamis</w:t>
      </w:r>
      <w:proofErr w:type="spellEnd"/>
      <w:r w:rsidRPr="00E80C00">
        <w:rPr>
          <w:lang w:val="en"/>
        </w:rPr>
        <w:t xml:space="preserve"> L.). International Food Research Journal, 25(5), 1864-1869. </w:t>
      </w:r>
      <w:hyperlink r:id="rId23" w:history="1">
        <w:r w:rsidRPr="00040E9D">
          <w:rPr>
            <w:rStyle w:val="Hyperlink"/>
            <w:lang w:val="en"/>
          </w:rPr>
          <w:t>http://www.ifrj.upm.edu.my/25%20(05)%202018/(33)%20IFRJ%2025%20(05)%202018%20Berhimpon.pdf</w:t>
        </w:r>
      </w:hyperlink>
      <w:r>
        <w:rPr>
          <w:lang w:val="en"/>
        </w:rPr>
        <w:t xml:space="preserve"> </w:t>
      </w:r>
    </w:p>
    <w:p w14:paraId="24AF9635" w14:textId="77777777" w:rsidR="00B231EB" w:rsidRDefault="00B231EB" w:rsidP="00D57016">
      <w:pPr>
        <w:pStyle w:val="Body"/>
        <w:numPr>
          <w:ilvl w:val="0"/>
          <w:numId w:val="31"/>
        </w:numPr>
        <w:spacing w:after="0"/>
        <w:rPr>
          <w:lang w:val="en"/>
        </w:rPr>
      </w:pPr>
      <w:proofErr w:type="spellStart"/>
      <w:r w:rsidRPr="00B231EB">
        <w:rPr>
          <w:lang w:val="en"/>
        </w:rPr>
        <w:t>Abduali</w:t>
      </w:r>
      <w:proofErr w:type="spellEnd"/>
      <w:r w:rsidRPr="00B231EB">
        <w:rPr>
          <w:lang w:val="en"/>
        </w:rPr>
        <w:t xml:space="preserve">, N. M. (2024). Estimation of Heavy Metals Content, Microbiological and </w:t>
      </w:r>
      <w:proofErr w:type="spellStart"/>
      <w:r w:rsidRPr="00B231EB">
        <w:rPr>
          <w:lang w:val="en"/>
        </w:rPr>
        <w:t>Physico</w:t>
      </w:r>
      <w:proofErr w:type="spellEnd"/>
      <w:r w:rsidRPr="00B231EB">
        <w:rPr>
          <w:lang w:val="en"/>
        </w:rPr>
        <w:t xml:space="preserve">-Chemical Characteristics of Canned Tuna Fish from some Local Markets in </w:t>
      </w:r>
      <w:proofErr w:type="spellStart"/>
      <w:r w:rsidRPr="00B231EB">
        <w:rPr>
          <w:lang w:val="en"/>
        </w:rPr>
        <w:t>Derna</w:t>
      </w:r>
      <w:proofErr w:type="spellEnd"/>
      <w:r w:rsidRPr="00B231EB">
        <w:rPr>
          <w:lang w:val="en"/>
        </w:rPr>
        <w:t xml:space="preserve"> City. </w:t>
      </w:r>
      <w:proofErr w:type="spellStart"/>
      <w:r w:rsidRPr="00B231EB">
        <w:rPr>
          <w:lang w:val="en"/>
        </w:rPr>
        <w:t>Derna</w:t>
      </w:r>
      <w:proofErr w:type="spellEnd"/>
      <w:r w:rsidRPr="00B231EB">
        <w:rPr>
          <w:lang w:val="en"/>
        </w:rPr>
        <w:t xml:space="preserve"> Academy Journal for Applied Sciences. </w:t>
      </w:r>
      <w:hyperlink r:id="rId24" w:history="1">
        <w:r w:rsidRPr="00040E9D">
          <w:rPr>
            <w:rStyle w:val="Hyperlink"/>
            <w:lang w:val="en"/>
          </w:rPr>
          <w:t>https://doi.org/10.71147/4xk8wy44</w:t>
        </w:r>
      </w:hyperlink>
      <w:r>
        <w:rPr>
          <w:lang w:val="en"/>
        </w:rPr>
        <w:t xml:space="preserve"> </w:t>
      </w:r>
    </w:p>
    <w:p w14:paraId="5E97A477" w14:textId="77777777" w:rsidR="00B231EB" w:rsidRDefault="00B231EB" w:rsidP="00D57016">
      <w:pPr>
        <w:pStyle w:val="Body"/>
        <w:numPr>
          <w:ilvl w:val="0"/>
          <w:numId w:val="31"/>
        </w:numPr>
        <w:spacing w:after="0"/>
        <w:rPr>
          <w:lang w:val="en"/>
        </w:rPr>
      </w:pPr>
      <w:r w:rsidRPr="00B231EB">
        <w:rPr>
          <w:lang w:val="en"/>
        </w:rPr>
        <w:t xml:space="preserve">Chen, Y., </w:t>
      </w:r>
      <w:proofErr w:type="spellStart"/>
      <w:r w:rsidRPr="00B231EB">
        <w:rPr>
          <w:lang w:val="en"/>
        </w:rPr>
        <w:t>Qiao</w:t>
      </w:r>
      <w:proofErr w:type="spellEnd"/>
      <w:r w:rsidRPr="00B231EB">
        <w:rPr>
          <w:lang w:val="en"/>
        </w:rPr>
        <w:t xml:space="preserve">, Y., Xiao, Y., Chen, H., Zhao, L., Huang, M., &amp; Zhou, G. (2015). Differences in physicochemical and nutritional properties of breast and thigh meat from crossbred chickens, commercial broilers, and spent hens. Asian-Australasian Journal of Animal Sciences, 29(6), 855-864. </w:t>
      </w:r>
      <w:hyperlink r:id="rId25" w:history="1">
        <w:r w:rsidRPr="00040E9D">
          <w:rPr>
            <w:rStyle w:val="Hyperlink"/>
            <w:lang w:val="en"/>
          </w:rPr>
          <w:t>https://doi.org/10.5713/ajas.15.0840</w:t>
        </w:r>
      </w:hyperlink>
      <w:r>
        <w:rPr>
          <w:lang w:val="en"/>
        </w:rPr>
        <w:t xml:space="preserve"> </w:t>
      </w:r>
    </w:p>
    <w:p w14:paraId="7FCC087A" w14:textId="77777777" w:rsidR="00B231EB" w:rsidRDefault="00B231EB" w:rsidP="00D57016">
      <w:pPr>
        <w:pStyle w:val="Body"/>
        <w:numPr>
          <w:ilvl w:val="0"/>
          <w:numId w:val="31"/>
        </w:numPr>
        <w:spacing w:after="0"/>
        <w:rPr>
          <w:lang w:val="en"/>
        </w:rPr>
      </w:pPr>
      <w:r w:rsidRPr="00B231EB">
        <w:rPr>
          <w:lang w:val="en"/>
        </w:rPr>
        <w:t xml:space="preserve">Edris, A. A., </w:t>
      </w:r>
      <w:proofErr w:type="spellStart"/>
      <w:r w:rsidRPr="00B231EB">
        <w:rPr>
          <w:lang w:val="en"/>
        </w:rPr>
        <w:t>Hassanien</w:t>
      </w:r>
      <w:proofErr w:type="spellEnd"/>
      <w:r w:rsidRPr="00B231EB">
        <w:rPr>
          <w:lang w:val="en"/>
        </w:rPr>
        <w:t xml:space="preserve">, F. S., </w:t>
      </w:r>
      <w:proofErr w:type="spellStart"/>
      <w:r w:rsidRPr="00B231EB">
        <w:rPr>
          <w:lang w:val="en"/>
        </w:rPr>
        <w:t>Shaltout</w:t>
      </w:r>
      <w:proofErr w:type="spellEnd"/>
      <w:r w:rsidRPr="00B231EB">
        <w:rPr>
          <w:lang w:val="en"/>
        </w:rPr>
        <w:t xml:space="preserve">, F. A. E., </w:t>
      </w:r>
      <w:proofErr w:type="spellStart"/>
      <w:r w:rsidRPr="00B231EB">
        <w:rPr>
          <w:lang w:val="en"/>
        </w:rPr>
        <w:t>Elbaba</w:t>
      </w:r>
      <w:proofErr w:type="spellEnd"/>
      <w:r w:rsidRPr="00B231EB">
        <w:rPr>
          <w:lang w:val="en"/>
        </w:rPr>
        <w:t xml:space="preserve">, A. H., &amp; Adel, N. M. (2017). Microbiological evaluation of some </w:t>
      </w:r>
      <w:proofErr w:type="gramStart"/>
      <w:r w:rsidRPr="00B231EB">
        <w:rPr>
          <w:lang w:val="en"/>
        </w:rPr>
        <w:t>heat treated</w:t>
      </w:r>
      <w:proofErr w:type="gramEnd"/>
      <w:r w:rsidRPr="00B231EB">
        <w:rPr>
          <w:lang w:val="en"/>
        </w:rPr>
        <w:t xml:space="preserve"> fish products in Egyptian markets. *EC Nutrition*, *12*(3), 124-132. </w:t>
      </w:r>
      <w:hyperlink r:id="rId26" w:history="1">
        <w:r w:rsidRPr="00040E9D">
          <w:rPr>
            <w:rStyle w:val="Hyperlink"/>
            <w:lang w:val="en"/>
          </w:rPr>
          <w:t>https://www.ecronicon.com/ECNU/ECNU-12-00040.pdf</w:t>
        </w:r>
      </w:hyperlink>
      <w:r>
        <w:rPr>
          <w:lang w:val="en"/>
        </w:rPr>
        <w:t xml:space="preserve"> </w:t>
      </w:r>
    </w:p>
    <w:p w14:paraId="7528173B" w14:textId="77777777" w:rsidR="00B231EB" w:rsidRDefault="00B231EB" w:rsidP="00D57016">
      <w:pPr>
        <w:pStyle w:val="Body"/>
        <w:numPr>
          <w:ilvl w:val="0"/>
          <w:numId w:val="31"/>
        </w:numPr>
        <w:spacing w:after="0"/>
        <w:rPr>
          <w:lang w:val="en"/>
        </w:rPr>
      </w:pPr>
      <w:r w:rsidRPr="00B231EB">
        <w:rPr>
          <w:lang w:val="en"/>
        </w:rPr>
        <w:lastRenderedPageBreak/>
        <w:t xml:space="preserve">Egg, W. W. (2022). Where do the world's more than 5 billion layers go every year? </w:t>
      </w:r>
      <w:hyperlink r:id="rId27" w:history="1">
        <w:r w:rsidRPr="00040E9D">
          <w:rPr>
            <w:rStyle w:val="Hyperlink"/>
            <w:lang w:val="en"/>
          </w:rPr>
          <w:t>https://www.sohu.com/a/540011298_121123923</w:t>
        </w:r>
      </w:hyperlink>
      <w:r>
        <w:rPr>
          <w:lang w:val="en"/>
        </w:rPr>
        <w:t xml:space="preserve"> </w:t>
      </w:r>
    </w:p>
    <w:p w14:paraId="1BC7303B" w14:textId="77777777" w:rsidR="00B231EB" w:rsidRDefault="00B231EB" w:rsidP="00D57016">
      <w:pPr>
        <w:pStyle w:val="Body"/>
        <w:numPr>
          <w:ilvl w:val="0"/>
          <w:numId w:val="31"/>
        </w:numPr>
        <w:spacing w:after="0"/>
        <w:rPr>
          <w:lang w:val="en"/>
        </w:rPr>
      </w:pPr>
      <w:proofErr w:type="spellStart"/>
      <w:r w:rsidRPr="00B231EB">
        <w:rPr>
          <w:lang w:val="en"/>
        </w:rPr>
        <w:t>Elshehawy</w:t>
      </w:r>
      <w:proofErr w:type="spellEnd"/>
      <w:r w:rsidRPr="00B231EB">
        <w:rPr>
          <w:lang w:val="en"/>
        </w:rPr>
        <w:t xml:space="preserve">, S. M., &amp; Farag, Z. S. (2019). Safety assessment of some imported canned fish using chemical, microbiological and sensory methods. The Egyptian Journal of Aquatic Research, 45(4), 389-394. </w:t>
      </w:r>
      <w:hyperlink r:id="rId28" w:history="1">
        <w:r w:rsidRPr="00040E9D">
          <w:rPr>
            <w:rStyle w:val="Hyperlink"/>
            <w:lang w:val="en"/>
          </w:rPr>
          <w:t>https://doi.org/10.1016/j.ejar.2019.08.005</w:t>
        </w:r>
      </w:hyperlink>
      <w:r>
        <w:rPr>
          <w:lang w:val="en"/>
        </w:rPr>
        <w:t xml:space="preserve"> </w:t>
      </w:r>
    </w:p>
    <w:p w14:paraId="5F1C9D60" w14:textId="77777777" w:rsidR="00B231EB" w:rsidRDefault="00B231EB" w:rsidP="00D57016">
      <w:pPr>
        <w:pStyle w:val="Body"/>
        <w:numPr>
          <w:ilvl w:val="0"/>
          <w:numId w:val="31"/>
        </w:numPr>
        <w:spacing w:after="0"/>
        <w:rPr>
          <w:lang w:val="en"/>
        </w:rPr>
      </w:pPr>
      <w:proofErr w:type="spellStart"/>
      <w:r w:rsidRPr="00B231EB">
        <w:rPr>
          <w:lang w:val="en"/>
        </w:rPr>
        <w:t>Erdaw</w:t>
      </w:r>
      <w:proofErr w:type="spellEnd"/>
      <w:r w:rsidRPr="00B231EB">
        <w:rPr>
          <w:lang w:val="en"/>
        </w:rPr>
        <w:t xml:space="preserve">, M. M., &amp; </w:t>
      </w:r>
      <w:proofErr w:type="spellStart"/>
      <w:r w:rsidRPr="00B231EB">
        <w:rPr>
          <w:lang w:val="en"/>
        </w:rPr>
        <w:t>Beyene</w:t>
      </w:r>
      <w:proofErr w:type="spellEnd"/>
      <w:r w:rsidRPr="00B231EB">
        <w:rPr>
          <w:lang w:val="en"/>
        </w:rPr>
        <w:t xml:space="preserve">, W. T. (2022). Trends, prospects and the socio-economic contribution of poultry production in sub-Saharan Africa: a review. World's Poultry Science Journal, 78(3), 835-852. </w:t>
      </w:r>
      <w:hyperlink r:id="rId29" w:history="1">
        <w:r w:rsidRPr="00040E9D">
          <w:rPr>
            <w:rStyle w:val="Hyperlink"/>
            <w:lang w:val="en"/>
          </w:rPr>
          <w:t>https://doi.org/10.1080/00439339.2022.2092437</w:t>
        </w:r>
      </w:hyperlink>
      <w:r>
        <w:rPr>
          <w:lang w:val="en"/>
        </w:rPr>
        <w:t xml:space="preserve"> </w:t>
      </w:r>
    </w:p>
    <w:p w14:paraId="0C102960" w14:textId="30C70BCE" w:rsidR="001518A9" w:rsidRPr="001518A9" w:rsidRDefault="001518A9" w:rsidP="00D57016">
      <w:pPr>
        <w:pStyle w:val="Body"/>
        <w:numPr>
          <w:ilvl w:val="0"/>
          <w:numId w:val="31"/>
        </w:numPr>
        <w:spacing w:after="0"/>
        <w:rPr>
          <w:lang w:val="en"/>
        </w:rPr>
      </w:pPr>
      <w:r w:rsidRPr="001518A9">
        <w:rPr>
          <w:lang w:val="en"/>
        </w:rPr>
        <w:t xml:space="preserve">FAO (Food and Agricultural Organization) (1979) Manuals of Food-Quality Control, 4, Microbiological analysis. Food and Agricultural Organization of the United Nations. Roma., 134p. </w:t>
      </w:r>
    </w:p>
    <w:p w14:paraId="7A43F61D" w14:textId="77777777" w:rsidR="00B231EB" w:rsidRDefault="00B231EB" w:rsidP="00D57016">
      <w:pPr>
        <w:pStyle w:val="Body"/>
        <w:numPr>
          <w:ilvl w:val="0"/>
          <w:numId w:val="31"/>
        </w:numPr>
        <w:spacing w:after="0"/>
        <w:rPr>
          <w:lang w:val="en"/>
        </w:rPr>
      </w:pPr>
      <w:r w:rsidRPr="00B231EB">
        <w:rPr>
          <w:lang w:val="en"/>
        </w:rPr>
        <w:t xml:space="preserve">Farag, Z. S., &amp; </w:t>
      </w:r>
      <w:proofErr w:type="spellStart"/>
      <w:r w:rsidRPr="00B231EB">
        <w:rPr>
          <w:lang w:val="en"/>
        </w:rPr>
        <w:t>Elshehawy</w:t>
      </w:r>
      <w:proofErr w:type="spellEnd"/>
      <w:r w:rsidRPr="00B231EB">
        <w:rPr>
          <w:lang w:val="en"/>
        </w:rPr>
        <w:t xml:space="preserve">, S. M. (2024). Biochemical Characteristics of Refrigerated Smoked Chicken Luncheon as Affected by Liquid Smoke. Egyptian Journal of Food Science, 52(1), 17-29. </w:t>
      </w:r>
      <w:hyperlink r:id="rId30" w:history="1">
        <w:r w:rsidRPr="00040E9D">
          <w:rPr>
            <w:rStyle w:val="Hyperlink"/>
            <w:lang w:val="en"/>
          </w:rPr>
          <w:t>https://doi.org/10.21608/EJFS.2024.264618.1175</w:t>
        </w:r>
      </w:hyperlink>
      <w:r>
        <w:rPr>
          <w:lang w:val="en"/>
        </w:rPr>
        <w:t xml:space="preserve"> </w:t>
      </w:r>
    </w:p>
    <w:p w14:paraId="761689C8" w14:textId="4544C4F0" w:rsidR="001518A9" w:rsidRPr="001518A9" w:rsidRDefault="001518A9" w:rsidP="00D57016">
      <w:pPr>
        <w:pStyle w:val="Body"/>
        <w:numPr>
          <w:ilvl w:val="0"/>
          <w:numId w:val="31"/>
        </w:numPr>
        <w:spacing w:after="0"/>
        <w:rPr>
          <w:lang w:val="en"/>
        </w:rPr>
      </w:pPr>
      <w:proofErr w:type="spellStart"/>
      <w:r w:rsidRPr="001518A9">
        <w:rPr>
          <w:lang w:val="en"/>
        </w:rPr>
        <w:t>Galhoum</w:t>
      </w:r>
      <w:proofErr w:type="spellEnd"/>
      <w:r w:rsidRPr="001518A9">
        <w:rPr>
          <w:lang w:val="en"/>
        </w:rPr>
        <w:t xml:space="preserve">, G.F. (2020) Production of canned Tuna using local Tuna species. Food Science and Nutrition Technology, 5(2), 000213.   </w:t>
      </w:r>
    </w:p>
    <w:p w14:paraId="1C113784" w14:textId="77777777" w:rsidR="00B231EB" w:rsidRDefault="00B231EB" w:rsidP="00D57016">
      <w:pPr>
        <w:pStyle w:val="Body"/>
        <w:numPr>
          <w:ilvl w:val="0"/>
          <w:numId w:val="31"/>
        </w:numPr>
        <w:spacing w:after="0"/>
        <w:rPr>
          <w:lang w:val="en"/>
        </w:rPr>
      </w:pPr>
      <w:proofErr w:type="spellStart"/>
      <w:r w:rsidRPr="00B231EB">
        <w:rPr>
          <w:lang w:val="en"/>
        </w:rPr>
        <w:t>Goulas</w:t>
      </w:r>
      <w:proofErr w:type="spellEnd"/>
      <w:r w:rsidRPr="00B231EB">
        <w:rPr>
          <w:lang w:val="en"/>
        </w:rPr>
        <w:t xml:space="preserve">, A. E., &amp; </w:t>
      </w:r>
      <w:proofErr w:type="spellStart"/>
      <w:r w:rsidRPr="00B231EB">
        <w:rPr>
          <w:lang w:val="en"/>
        </w:rPr>
        <w:t>Kontominas</w:t>
      </w:r>
      <w:proofErr w:type="spellEnd"/>
      <w:r w:rsidRPr="00B231EB">
        <w:rPr>
          <w:lang w:val="en"/>
        </w:rPr>
        <w:t>, M. G. (2005). Effect of salting and smoking-method on the keeping quality of chub mackerel (</w:t>
      </w:r>
      <w:proofErr w:type="spellStart"/>
      <w:r w:rsidRPr="00B231EB">
        <w:rPr>
          <w:lang w:val="en"/>
        </w:rPr>
        <w:t>Scomber</w:t>
      </w:r>
      <w:proofErr w:type="spellEnd"/>
      <w:r w:rsidRPr="00B231EB">
        <w:rPr>
          <w:lang w:val="en"/>
        </w:rPr>
        <w:t xml:space="preserve"> japonicus): biochemical and sensory attributes. Food Chemistry, 93(3), 511-520. </w:t>
      </w:r>
      <w:hyperlink r:id="rId31" w:history="1">
        <w:r w:rsidRPr="00040E9D">
          <w:rPr>
            <w:rStyle w:val="Hyperlink"/>
            <w:lang w:val="en"/>
          </w:rPr>
          <w:t>https://doi.org/10.1016/j.foodchem.2004.09.040</w:t>
        </w:r>
      </w:hyperlink>
      <w:r>
        <w:rPr>
          <w:lang w:val="en"/>
        </w:rPr>
        <w:t xml:space="preserve"> </w:t>
      </w:r>
    </w:p>
    <w:p w14:paraId="576CF201" w14:textId="77777777" w:rsidR="00392378" w:rsidRDefault="00392378" w:rsidP="00D57016">
      <w:pPr>
        <w:pStyle w:val="Body"/>
        <w:numPr>
          <w:ilvl w:val="0"/>
          <w:numId w:val="31"/>
        </w:numPr>
        <w:spacing w:after="0"/>
        <w:rPr>
          <w:lang w:val="en"/>
        </w:rPr>
      </w:pPr>
      <w:r w:rsidRPr="00392378">
        <w:rPr>
          <w:lang w:val="en"/>
        </w:rPr>
        <w:t xml:space="preserve">Hassan, A. M., Mustafa, F. E. A., Ahmed, H. Y., &amp; Abd EL-Malek, A. M. (2022). Nutritional value and </w:t>
      </w:r>
      <w:proofErr w:type="spellStart"/>
      <w:r w:rsidRPr="00392378">
        <w:rPr>
          <w:lang w:val="en"/>
        </w:rPr>
        <w:t>ORganoleptic</w:t>
      </w:r>
      <w:proofErr w:type="spellEnd"/>
      <w:r w:rsidRPr="00392378">
        <w:rPr>
          <w:lang w:val="en"/>
        </w:rPr>
        <w:t xml:space="preserve"> Characteristics of some imported Canned Tuna Sold in Assiut Governorate. Assiut Veterinary Medical Journal, 68(172), 68-77. </w:t>
      </w:r>
      <w:hyperlink r:id="rId32" w:history="1">
        <w:r w:rsidRPr="00040E9D">
          <w:rPr>
            <w:rStyle w:val="Hyperlink"/>
            <w:lang w:val="en"/>
          </w:rPr>
          <w:t>https://doi.org/10.21608/avmj.2022.113633.1047</w:t>
        </w:r>
      </w:hyperlink>
      <w:r>
        <w:rPr>
          <w:lang w:val="en"/>
        </w:rPr>
        <w:t xml:space="preserve"> </w:t>
      </w:r>
    </w:p>
    <w:p w14:paraId="7249332E" w14:textId="77777777" w:rsidR="00392378" w:rsidRDefault="00392378" w:rsidP="00D57016">
      <w:pPr>
        <w:pStyle w:val="Body"/>
        <w:numPr>
          <w:ilvl w:val="0"/>
          <w:numId w:val="31"/>
        </w:numPr>
        <w:spacing w:after="0"/>
        <w:rPr>
          <w:lang w:val="en"/>
        </w:rPr>
      </w:pPr>
      <w:proofErr w:type="spellStart"/>
      <w:r w:rsidRPr="00392378">
        <w:rPr>
          <w:lang w:val="en"/>
        </w:rPr>
        <w:t>Indiarto</w:t>
      </w:r>
      <w:proofErr w:type="spellEnd"/>
      <w:r w:rsidRPr="00392378">
        <w:rPr>
          <w:lang w:val="en"/>
        </w:rPr>
        <w:t xml:space="preserve">, R., </w:t>
      </w:r>
      <w:proofErr w:type="spellStart"/>
      <w:r w:rsidRPr="00392378">
        <w:rPr>
          <w:lang w:val="en"/>
        </w:rPr>
        <w:t>Nurhadi</w:t>
      </w:r>
      <w:proofErr w:type="spellEnd"/>
      <w:r w:rsidRPr="00392378">
        <w:rPr>
          <w:lang w:val="en"/>
        </w:rPr>
        <w:t xml:space="preserve">, B., </w:t>
      </w:r>
      <w:proofErr w:type="spellStart"/>
      <w:r w:rsidRPr="00392378">
        <w:rPr>
          <w:lang w:val="en"/>
        </w:rPr>
        <w:t>Tensiska</w:t>
      </w:r>
      <w:proofErr w:type="spellEnd"/>
      <w:r w:rsidRPr="00392378">
        <w:rPr>
          <w:lang w:val="en"/>
        </w:rPr>
        <w:t xml:space="preserve">, Subroto, E., &amp; </w:t>
      </w:r>
      <w:proofErr w:type="spellStart"/>
      <w:r w:rsidRPr="00392378">
        <w:rPr>
          <w:lang w:val="en"/>
        </w:rPr>
        <w:t>Istiqamah</w:t>
      </w:r>
      <w:proofErr w:type="spellEnd"/>
      <w:r w:rsidRPr="00392378">
        <w:rPr>
          <w:lang w:val="en"/>
        </w:rPr>
        <w:t xml:space="preserve">, Y.J. (2020). Effect of liquid smoke on microbiological and </w:t>
      </w:r>
      <w:proofErr w:type="spellStart"/>
      <w:r w:rsidRPr="00392378">
        <w:rPr>
          <w:lang w:val="en"/>
        </w:rPr>
        <w:t>physico</w:t>
      </w:r>
      <w:proofErr w:type="spellEnd"/>
      <w:r w:rsidRPr="00392378">
        <w:rPr>
          <w:lang w:val="en"/>
        </w:rPr>
        <w:t xml:space="preserve">-chemical properties of beef meatballs during storage. Food Research, 4(2), 522–531. </w:t>
      </w:r>
      <w:hyperlink r:id="rId33" w:history="1">
        <w:r w:rsidRPr="00040E9D">
          <w:rPr>
            <w:rStyle w:val="Hyperlink"/>
            <w:lang w:val="en"/>
          </w:rPr>
          <w:t>https://doi.org/10.26656/fr.2017.4(2).341</w:t>
        </w:r>
      </w:hyperlink>
      <w:r>
        <w:rPr>
          <w:lang w:val="en"/>
        </w:rPr>
        <w:t xml:space="preserve"> </w:t>
      </w:r>
    </w:p>
    <w:p w14:paraId="44DE06AC" w14:textId="77777777" w:rsidR="00392378" w:rsidRDefault="00392378" w:rsidP="00D57016">
      <w:pPr>
        <w:pStyle w:val="Body"/>
        <w:numPr>
          <w:ilvl w:val="0"/>
          <w:numId w:val="31"/>
        </w:numPr>
        <w:spacing w:after="0"/>
        <w:rPr>
          <w:lang w:val="en"/>
        </w:rPr>
      </w:pPr>
      <w:proofErr w:type="spellStart"/>
      <w:r w:rsidRPr="00392378">
        <w:rPr>
          <w:lang w:val="en"/>
        </w:rPr>
        <w:t>Indumathi</w:t>
      </w:r>
      <w:proofErr w:type="spellEnd"/>
      <w:r w:rsidRPr="00392378">
        <w:rPr>
          <w:lang w:val="en"/>
        </w:rPr>
        <w:t xml:space="preserve">, J., Kumar, M. S., </w:t>
      </w:r>
      <w:proofErr w:type="spellStart"/>
      <w:r w:rsidRPr="00392378">
        <w:rPr>
          <w:lang w:val="en"/>
        </w:rPr>
        <w:t>Gnanprakash</w:t>
      </w:r>
      <w:proofErr w:type="spellEnd"/>
      <w:r w:rsidRPr="00392378">
        <w:rPr>
          <w:lang w:val="en"/>
        </w:rPr>
        <w:t xml:space="preserve">, M., </w:t>
      </w:r>
      <w:proofErr w:type="spellStart"/>
      <w:r w:rsidRPr="00392378">
        <w:rPr>
          <w:lang w:val="en"/>
        </w:rPr>
        <w:t>Babu</w:t>
      </w:r>
      <w:proofErr w:type="spellEnd"/>
      <w:r w:rsidRPr="00392378">
        <w:rPr>
          <w:lang w:val="en"/>
        </w:rPr>
        <w:t xml:space="preserve">, A. J., &amp; Reddy, G. B. (2019). Comparative study on slaughter characteristics between spent broiler breeder hens and broilers. The Pharma Innovation Journal, 8(7), 153-158. </w:t>
      </w:r>
      <w:hyperlink r:id="rId34" w:history="1">
        <w:r w:rsidRPr="00040E9D">
          <w:rPr>
            <w:rStyle w:val="Hyperlink"/>
            <w:lang w:val="en"/>
          </w:rPr>
          <w:t>https://www.thepharmajournal.com/archives/2019/vol8issue7/PartC/8-7-10-700.html</w:t>
        </w:r>
      </w:hyperlink>
      <w:r>
        <w:rPr>
          <w:lang w:val="en"/>
        </w:rPr>
        <w:t xml:space="preserve"> </w:t>
      </w:r>
    </w:p>
    <w:p w14:paraId="7DE1F57B" w14:textId="163D3319" w:rsidR="001518A9" w:rsidRPr="001518A9" w:rsidRDefault="001518A9" w:rsidP="00392378">
      <w:pPr>
        <w:pStyle w:val="Body"/>
        <w:spacing w:after="0"/>
        <w:ind w:left="720"/>
        <w:rPr>
          <w:lang w:val="en"/>
        </w:rPr>
      </w:pPr>
      <w:r w:rsidRPr="001518A9">
        <w:rPr>
          <w:lang w:val="en"/>
        </w:rPr>
        <w:t xml:space="preserve"> </w:t>
      </w:r>
    </w:p>
    <w:p w14:paraId="60937069" w14:textId="2AE7C70D" w:rsidR="001518A9" w:rsidRPr="001518A9" w:rsidRDefault="00392378" w:rsidP="00D57016">
      <w:pPr>
        <w:pStyle w:val="Body"/>
        <w:numPr>
          <w:ilvl w:val="0"/>
          <w:numId w:val="31"/>
        </w:numPr>
        <w:spacing w:after="0"/>
        <w:rPr>
          <w:lang w:val="en"/>
        </w:rPr>
      </w:pPr>
      <w:proofErr w:type="spellStart"/>
      <w:r w:rsidRPr="00392378">
        <w:rPr>
          <w:lang w:val="en"/>
        </w:rPr>
        <w:t>Khalafallah</w:t>
      </w:r>
      <w:proofErr w:type="spellEnd"/>
      <w:r w:rsidRPr="00392378">
        <w:rPr>
          <w:lang w:val="en"/>
        </w:rPr>
        <w:t>, B. M., Abd El-</w:t>
      </w:r>
      <w:proofErr w:type="spellStart"/>
      <w:r w:rsidRPr="00392378">
        <w:rPr>
          <w:lang w:val="en"/>
        </w:rPr>
        <w:t>Tawab</w:t>
      </w:r>
      <w:proofErr w:type="spellEnd"/>
      <w:r w:rsidRPr="00392378">
        <w:rPr>
          <w:lang w:val="en"/>
        </w:rPr>
        <w:t xml:space="preserve">, A. A., Nada, S., &amp; </w:t>
      </w:r>
      <w:proofErr w:type="spellStart"/>
      <w:r w:rsidRPr="00392378">
        <w:rPr>
          <w:lang w:val="en"/>
        </w:rPr>
        <w:t>Elkhayat</w:t>
      </w:r>
      <w:proofErr w:type="spellEnd"/>
      <w:r w:rsidRPr="00392378">
        <w:rPr>
          <w:lang w:val="en"/>
        </w:rPr>
        <w:t xml:space="preserve">, M. E. (2020). Phenotypic and genotypic characterization of pseudomonas species isolated from frozen meat. </w:t>
      </w:r>
      <w:proofErr w:type="spellStart"/>
      <w:r w:rsidRPr="00392378">
        <w:rPr>
          <w:lang w:val="en"/>
        </w:rPr>
        <w:t>Benha</w:t>
      </w:r>
      <w:proofErr w:type="spellEnd"/>
      <w:r w:rsidRPr="00392378">
        <w:rPr>
          <w:lang w:val="en"/>
        </w:rPr>
        <w:t xml:space="preserve"> Veterinary Medical Journal, 39(2), 47-51. </w:t>
      </w:r>
      <w:hyperlink r:id="rId35" w:history="1">
        <w:r w:rsidRPr="00040E9D">
          <w:rPr>
            <w:rStyle w:val="Hyperlink"/>
            <w:lang w:val="en"/>
          </w:rPr>
          <w:t>https://doi.org/10.21608/bvmj.2020.46777.1285</w:t>
        </w:r>
      </w:hyperlink>
      <w:r>
        <w:rPr>
          <w:lang w:val="en"/>
        </w:rPr>
        <w:t xml:space="preserve"> </w:t>
      </w:r>
      <w:r w:rsidR="001518A9" w:rsidRPr="001518A9">
        <w:rPr>
          <w:lang w:val="en"/>
        </w:rPr>
        <w:t xml:space="preserve">.  </w:t>
      </w:r>
    </w:p>
    <w:p w14:paraId="134C4862" w14:textId="3000BE77" w:rsidR="001518A9" w:rsidRPr="001518A9" w:rsidRDefault="00392378" w:rsidP="00D57016">
      <w:pPr>
        <w:pStyle w:val="Body"/>
        <w:numPr>
          <w:ilvl w:val="0"/>
          <w:numId w:val="31"/>
        </w:numPr>
        <w:spacing w:after="0"/>
        <w:rPr>
          <w:lang w:val="en"/>
        </w:rPr>
      </w:pPr>
      <w:proofErr w:type="spellStart"/>
      <w:r w:rsidRPr="00392378">
        <w:rPr>
          <w:lang w:val="en"/>
        </w:rPr>
        <w:t>Kilinc</w:t>
      </w:r>
      <w:proofErr w:type="spellEnd"/>
      <w:r w:rsidRPr="00392378">
        <w:rPr>
          <w:lang w:val="en"/>
        </w:rPr>
        <w:t xml:space="preserve">, B., &amp; </w:t>
      </w:r>
      <w:proofErr w:type="spellStart"/>
      <w:r w:rsidRPr="00392378">
        <w:rPr>
          <w:lang w:val="en"/>
        </w:rPr>
        <w:t>Cakli</w:t>
      </w:r>
      <w:proofErr w:type="spellEnd"/>
      <w:r w:rsidRPr="00392378">
        <w:rPr>
          <w:lang w:val="en"/>
        </w:rPr>
        <w:t>, S. (2004). Chemical, microbiological and sensory changes in thawed frozen fillets of sardine (</w:t>
      </w:r>
      <w:proofErr w:type="spellStart"/>
      <w:r w:rsidRPr="00392378">
        <w:rPr>
          <w:lang w:val="en"/>
        </w:rPr>
        <w:t>Sardina</w:t>
      </w:r>
      <w:proofErr w:type="spellEnd"/>
      <w:r w:rsidRPr="00392378">
        <w:rPr>
          <w:lang w:val="en"/>
        </w:rPr>
        <w:t xml:space="preserve"> </w:t>
      </w:r>
      <w:proofErr w:type="spellStart"/>
      <w:r w:rsidRPr="00392378">
        <w:rPr>
          <w:lang w:val="en"/>
        </w:rPr>
        <w:t>pilchardus</w:t>
      </w:r>
      <w:proofErr w:type="spellEnd"/>
      <w:r w:rsidRPr="00392378">
        <w:rPr>
          <w:lang w:val="en"/>
        </w:rPr>
        <w:t xml:space="preserve">) during </w:t>
      </w:r>
      <w:proofErr w:type="spellStart"/>
      <w:r w:rsidRPr="00392378">
        <w:rPr>
          <w:lang w:val="en"/>
        </w:rPr>
        <w:t>marination</w:t>
      </w:r>
      <w:proofErr w:type="spellEnd"/>
      <w:r w:rsidRPr="00392378">
        <w:rPr>
          <w:lang w:val="en"/>
        </w:rPr>
        <w:t xml:space="preserve">. Food Chemistry, 88(2), 275-280. </w:t>
      </w:r>
      <w:hyperlink r:id="rId36" w:history="1">
        <w:r w:rsidRPr="00040E9D">
          <w:rPr>
            <w:rStyle w:val="Hyperlink"/>
            <w:lang w:val="en"/>
          </w:rPr>
          <w:t>https://doi.org/10.1016/j.foodchem.2004.01.044</w:t>
        </w:r>
      </w:hyperlink>
      <w:r>
        <w:rPr>
          <w:lang w:val="en"/>
        </w:rPr>
        <w:t xml:space="preserve"> </w:t>
      </w:r>
      <w:r w:rsidR="001518A9" w:rsidRPr="001518A9">
        <w:rPr>
          <w:lang w:val="en"/>
        </w:rPr>
        <w:t xml:space="preserve">.  </w:t>
      </w:r>
    </w:p>
    <w:p w14:paraId="7081A214" w14:textId="4DBC446F" w:rsidR="001518A9" w:rsidRPr="001518A9" w:rsidRDefault="00392378" w:rsidP="00D57016">
      <w:pPr>
        <w:pStyle w:val="Body"/>
        <w:numPr>
          <w:ilvl w:val="0"/>
          <w:numId w:val="31"/>
        </w:numPr>
        <w:spacing w:after="0"/>
        <w:rPr>
          <w:lang w:val="en"/>
        </w:rPr>
      </w:pPr>
      <w:r w:rsidRPr="00392378">
        <w:rPr>
          <w:lang w:val="en"/>
        </w:rPr>
        <w:t xml:space="preserve">Mansour, E. H., &amp; Khalil, A. H. (1999). Characteristics of low-fat </w:t>
      </w:r>
      <w:proofErr w:type="spellStart"/>
      <w:r w:rsidRPr="00392378">
        <w:rPr>
          <w:lang w:val="en"/>
        </w:rPr>
        <w:t>beefburgers</w:t>
      </w:r>
      <w:proofErr w:type="spellEnd"/>
      <w:r w:rsidRPr="00392378">
        <w:rPr>
          <w:lang w:val="en"/>
        </w:rPr>
        <w:t xml:space="preserve"> as influenced by various types of wheat </w:t>
      </w:r>
      <w:proofErr w:type="spellStart"/>
      <w:r w:rsidRPr="00392378">
        <w:rPr>
          <w:lang w:val="en"/>
        </w:rPr>
        <w:t>fibres</w:t>
      </w:r>
      <w:proofErr w:type="spellEnd"/>
      <w:r w:rsidRPr="00392378">
        <w:rPr>
          <w:lang w:val="en"/>
        </w:rPr>
        <w:t xml:space="preserve">. Journal of the Science of Food and Agriculture, 79(4), 493-498. </w:t>
      </w:r>
      <w:hyperlink r:id="rId37" w:history="1">
        <w:r w:rsidRPr="00040E9D">
          <w:rPr>
            <w:rStyle w:val="Hyperlink"/>
            <w:lang w:val="en"/>
          </w:rPr>
          <w:t>https://doi.org/10.1002/(SICI)1097-0010(19990315)79:4&lt;493::AID-JSFA276&gt;3.0.CO;2-J</w:t>
        </w:r>
      </w:hyperlink>
      <w:r>
        <w:rPr>
          <w:lang w:val="en"/>
        </w:rPr>
        <w:t xml:space="preserve"> </w:t>
      </w:r>
      <w:r w:rsidR="001518A9" w:rsidRPr="001518A9">
        <w:rPr>
          <w:lang w:val="en"/>
        </w:rPr>
        <w:t xml:space="preserve">.  </w:t>
      </w:r>
    </w:p>
    <w:p w14:paraId="3833C83C" w14:textId="750090A7" w:rsidR="001518A9" w:rsidRPr="001518A9" w:rsidRDefault="00392378" w:rsidP="00D57016">
      <w:pPr>
        <w:pStyle w:val="Body"/>
        <w:numPr>
          <w:ilvl w:val="0"/>
          <w:numId w:val="31"/>
        </w:numPr>
        <w:spacing w:after="0"/>
        <w:rPr>
          <w:lang w:val="en"/>
        </w:rPr>
      </w:pPr>
      <w:r w:rsidRPr="00392378">
        <w:rPr>
          <w:lang w:val="en"/>
        </w:rPr>
        <w:t xml:space="preserve">Martinez, O., </w:t>
      </w:r>
      <w:proofErr w:type="spellStart"/>
      <w:r w:rsidRPr="00392378">
        <w:rPr>
          <w:lang w:val="en"/>
        </w:rPr>
        <w:t>Salmerón</w:t>
      </w:r>
      <w:proofErr w:type="spellEnd"/>
      <w:r w:rsidRPr="00392378">
        <w:rPr>
          <w:lang w:val="en"/>
        </w:rPr>
        <w:t xml:space="preserve">, J., </w:t>
      </w:r>
      <w:proofErr w:type="spellStart"/>
      <w:r w:rsidRPr="00392378">
        <w:rPr>
          <w:lang w:val="en"/>
        </w:rPr>
        <w:t>Guillén</w:t>
      </w:r>
      <w:proofErr w:type="spellEnd"/>
      <w:r w:rsidRPr="00392378">
        <w:rPr>
          <w:lang w:val="en"/>
        </w:rPr>
        <w:t xml:space="preserve">, M. D., &amp; Casas, C. (2007). Textural and physicochemical changes in salmon (Salmo </w:t>
      </w:r>
      <w:proofErr w:type="spellStart"/>
      <w:r w:rsidRPr="00392378">
        <w:rPr>
          <w:lang w:val="en"/>
        </w:rPr>
        <w:t>salar</w:t>
      </w:r>
      <w:proofErr w:type="spellEnd"/>
      <w:r w:rsidRPr="00392378">
        <w:rPr>
          <w:lang w:val="en"/>
        </w:rPr>
        <w:t xml:space="preserve">) treated with commercial liquid smoke </w:t>
      </w:r>
      <w:proofErr w:type="spellStart"/>
      <w:r w:rsidRPr="00392378">
        <w:rPr>
          <w:lang w:val="en"/>
        </w:rPr>
        <w:t>flavourings</w:t>
      </w:r>
      <w:proofErr w:type="spellEnd"/>
      <w:r w:rsidRPr="00392378">
        <w:rPr>
          <w:lang w:val="en"/>
        </w:rPr>
        <w:t xml:space="preserve">. Food Chemistry, 100(2), 498-503. </w:t>
      </w:r>
      <w:hyperlink r:id="rId38" w:history="1">
        <w:r w:rsidRPr="00040E9D">
          <w:rPr>
            <w:rStyle w:val="Hyperlink"/>
            <w:lang w:val="en"/>
          </w:rPr>
          <w:t>https://doi.org/10.1016/j.foodchem.2005.09.071</w:t>
        </w:r>
      </w:hyperlink>
      <w:r>
        <w:rPr>
          <w:lang w:val="en"/>
        </w:rPr>
        <w:t xml:space="preserve"> </w:t>
      </w:r>
      <w:r w:rsidR="001518A9" w:rsidRPr="001518A9">
        <w:rPr>
          <w:lang w:val="en"/>
        </w:rPr>
        <w:t xml:space="preserve">.  </w:t>
      </w:r>
    </w:p>
    <w:p w14:paraId="435FA11C" w14:textId="679BEFCD" w:rsidR="001518A9" w:rsidRPr="00D57016" w:rsidRDefault="00392378" w:rsidP="00D57016">
      <w:pPr>
        <w:pStyle w:val="Body"/>
        <w:numPr>
          <w:ilvl w:val="0"/>
          <w:numId w:val="31"/>
        </w:numPr>
        <w:spacing w:after="0"/>
        <w:rPr>
          <w:lang w:val="en"/>
        </w:rPr>
      </w:pPr>
      <w:r w:rsidRPr="00392378">
        <w:rPr>
          <w:lang w:val="en"/>
        </w:rPr>
        <w:t xml:space="preserve">Modi, V. K., </w:t>
      </w:r>
      <w:proofErr w:type="spellStart"/>
      <w:r w:rsidRPr="00392378">
        <w:rPr>
          <w:lang w:val="en"/>
        </w:rPr>
        <w:t>Mahendrakar</w:t>
      </w:r>
      <w:proofErr w:type="spellEnd"/>
      <w:r w:rsidRPr="00392378">
        <w:rPr>
          <w:lang w:val="en"/>
        </w:rPr>
        <w:t xml:space="preserve">, N. S., </w:t>
      </w:r>
      <w:proofErr w:type="spellStart"/>
      <w:r w:rsidRPr="00392378">
        <w:rPr>
          <w:lang w:val="en"/>
        </w:rPr>
        <w:t>Sachindra</w:t>
      </w:r>
      <w:proofErr w:type="spellEnd"/>
      <w:r w:rsidRPr="00392378">
        <w:rPr>
          <w:lang w:val="en"/>
        </w:rPr>
        <w:t xml:space="preserve">, N. M., &amp; Rao, D. N. (2004). Quality of nuggets prepared from fresh and smoked spent layer chicken meat. Journal of Muscle Foods, 15(3), 195-204. </w:t>
      </w:r>
      <w:hyperlink r:id="rId39" w:history="1">
        <w:r w:rsidRPr="00040E9D">
          <w:rPr>
            <w:rStyle w:val="Hyperlink"/>
            <w:lang w:val="en"/>
          </w:rPr>
          <w:t>https://doi.org/10.1111/j.1745-4573.2004.tb00684.x</w:t>
        </w:r>
      </w:hyperlink>
      <w:r>
        <w:rPr>
          <w:lang w:val="en"/>
        </w:rPr>
        <w:t xml:space="preserve"> </w:t>
      </w:r>
      <w:r w:rsidR="001518A9" w:rsidRPr="00D57016">
        <w:rPr>
          <w:lang w:val="en"/>
        </w:rPr>
        <w:t xml:space="preserve">.  </w:t>
      </w:r>
    </w:p>
    <w:p w14:paraId="18F2F301" w14:textId="1F8966DA" w:rsidR="001518A9" w:rsidRPr="00D57016" w:rsidRDefault="00392378" w:rsidP="00D57016">
      <w:pPr>
        <w:pStyle w:val="Body"/>
        <w:numPr>
          <w:ilvl w:val="0"/>
          <w:numId w:val="31"/>
        </w:numPr>
        <w:spacing w:after="0"/>
        <w:rPr>
          <w:lang w:val="en"/>
        </w:rPr>
      </w:pPr>
      <w:r w:rsidRPr="00392378">
        <w:rPr>
          <w:lang w:val="en"/>
        </w:rPr>
        <w:lastRenderedPageBreak/>
        <w:t xml:space="preserve">Mohammed, H. N. (2013). Study of some chemical, physical, sensory and bacteriology characteristics of canned chicken meat imported to Sulaymaniyah markets, Iraq. International Journal of Nutrition and Metabolism, 5(7), 128-133. </w:t>
      </w:r>
      <w:hyperlink r:id="rId40" w:history="1">
        <w:r w:rsidRPr="00040E9D">
          <w:rPr>
            <w:rStyle w:val="Hyperlink"/>
            <w:lang w:val="en"/>
          </w:rPr>
          <w:t>https://doi.org/10.5897/IJNAM2013.0151</w:t>
        </w:r>
      </w:hyperlink>
      <w:r>
        <w:rPr>
          <w:lang w:val="en"/>
        </w:rPr>
        <w:t xml:space="preserve"> </w:t>
      </w:r>
      <w:r w:rsidR="001518A9" w:rsidRPr="00D57016">
        <w:rPr>
          <w:lang w:val="en"/>
        </w:rPr>
        <w:t xml:space="preserve">.  </w:t>
      </w:r>
    </w:p>
    <w:p w14:paraId="3B6123FD" w14:textId="3A6384C3" w:rsidR="001518A9" w:rsidRPr="001518A9" w:rsidRDefault="00392378" w:rsidP="00D57016">
      <w:pPr>
        <w:pStyle w:val="Body"/>
        <w:numPr>
          <w:ilvl w:val="0"/>
          <w:numId w:val="31"/>
        </w:numPr>
        <w:spacing w:after="0"/>
        <w:rPr>
          <w:lang w:val="en"/>
        </w:rPr>
      </w:pPr>
      <w:r w:rsidRPr="00392378">
        <w:rPr>
          <w:lang w:val="en"/>
        </w:rPr>
        <w:t xml:space="preserve">Mohan, C. O., </w:t>
      </w:r>
      <w:proofErr w:type="spellStart"/>
      <w:r w:rsidRPr="00392378">
        <w:rPr>
          <w:lang w:val="en"/>
        </w:rPr>
        <w:t>Remya</w:t>
      </w:r>
      <w:proofErr w:type="spellEnd"/>
      <w:r w:rsidRPr="00392378">
        <w:rPr>
          <w:lang w:val="en"/>
        </w:rPr>
        <w:t>, S., Murthy, L. N., Ravishankar, C. N., &amp; Kumar, K. A. (2015). Effect of filling medium on cooking time and quality of canned yellowfin tuna (</w:t>
      </w:r>
      <w:proofErr w:type="spellStart"/>
      <w:r w:rsidRPr="00392378">
        <w:rPr>
          <w:lang w:val="en"/>
        </w:rPr>
        <w:t>Thunnus</w:t>
      </w:r>
      <w:proofErr w:type="spellEnd"/>
      <w:r w:rsidRPr="00392378">
        <w:rPr>
          <w:lang w:val="en"/>
        </w:rPr>
        <w:t xml:space="preserve"> </w:t>
      </w:r>
      <w:proofErr w:type="spellStart"/>
      <w:r w:rsidRPr="00392378">
        <w:rPr>
          <w:lang w:val="en"/>
        </w:rPr>
        <w:t>albacares</w:t>
      </w:r>
      <w:proofErr w:type="spellEnd"/>
      <w:r w:rsidRPr="00392378">
        <w:rPr>
          <w:lang w:val="en"/>
        </w:rPr>
        <w:t xml:space="preserve">). Food Control, 50, 320-327. </w:t>
      </w:r>
      <w:hyperlink r:id="rId41" w:history="1">
        <w:r w:rsidRPr="00040E9D">
          <w:rPr>
            <w:rStyle w:val="Hyperlink"/>
            <w:lang w:val="en"/>
          </w:rPr>
          <w:t>https://doi.org/10.1016/j.foodcont.2014.08.030</w:t>
        </w:r>
      </w:hyperlink>
      <w:r>
        <w:rPr>
          <w:lang w:val="en"/>
        </w:rPr>
        <w:t xml:space="preserve"> </w:t>
      </w:r>
      <w:r w:rsidR="001518A9" w:rsidRPr="001518A9">
        <w:rPr>
          <w:lang w:val="en"/>
        </w:rPr>
        <w:t xml:space="preserve">.  </w:t>
      </w:r>
    </w:p>
    <w:p w14:paraId="18AE6459" w14:textId="19769A7F" w:rsidR="001518A9" w:rsidRPr="001518A9" w:rsidRDefault="00392378" w:rsidP="00D57016">
      <w:pPr>
        <w:pStyle w:val="Body"/>
        <w:numPr>
          <w:ilvl w:val="0"/>
          <w:numId w:val="31"/>
        </w:numPr>
        <w:spacing w:after="0"/>
        <w:rPr>
          <w:lang w:val="en"/>
        </w:rPr>
      </w:pPr>
      <w:r w:rsidRPr="00392378">
        <w:rPr>
          <w:lang w:val="en"/>
        </w:rPr>
        <w:t xml:space="preserve">Nagy, N., </w:t>
      </w:r>
      <w:proofErr w:type="spellStart"/>
      <w:r w:rsidRPr="00392378">
        <w:rPr>
          <w:lang w:val="en"/>
        </w:rPr>
        <w:t>Kirrella</w:t>
      </w:r>
      <w:proofErr w:type="spellEnd"/>
      <w:r w:rsidRPr="00392378">
        <w:rPr>
          <w:lang w:val="en"/>
        </w:rPr>
        <w:t xml:space="preserve">, G. A., </w:t>
      </w:r>
      <w:proofErr w:type="spellStart"/>
      <w:r w:rsidRPr="00392378">
        <w:rPr>
          <w:lang w:val="en"/>
        </w:rPr>
        <w:t>Moustafa</w:t>
      </w:r>
      <w:proofErr w:type="spellEnd"/>
      <w:r w:rsidRPr="00392378">
        <w:rPr>
          <w:lang w:val="en"/>
        </w:rPr>
        <w:t xml:space="preserve">, N. Y., &amp; Abdallah, R. (2023). Quality Assessment of Some Imported and Local Canned Tuna Sold in </w:t>
      </w:r>
      <w:proofErr w:type="spellStart"/>
      <w:r w:rsidRPr="00392378">
        <w:rPr>
          <w:lang w:val="en"/>
        </w:rPr>
        <w:t>Kafrelsheikh</w:t>
      </w:r>
      <w:proofErr w:type="spellEnd"/>
      <w:r w:rsidRPr="00392378">
        <w:rPr>
          <w:lang w:val="en"/>
        </w:rPr>
        <w:t xml:space="preserve">, Egypt. Journal of Advanced Veterinary Research, 13(3), 377-383. </w:t>
      </w:r>
      <w:hyperlink r:id="rId42" w:history="1">
        <w:r w:rsidRPr="00040E9D">
          <w:rPr>
            <w:rStyle w:val="Hyperlink"/>
            <w:lang w:val="en"/>
          </w:rPr>
          <w:t>https://advetresearch.com/index.php/AVR/article/view/1239</w:t>
        </w:r>
      </w:hyperlink>
      <w:r>
        <w:rPr>
          <w:lang w:val="en"/>
        </w:rPr>
        <w:t xml:space="preserve"> </w:t>
      </w:r>
      <w:r w:rsidR="001518A9" w:rsidRPr="001518A9">
        <w:rPr>
          <w:lang w:val="en"/>
        </w:rPr>
        <w:t xml:space="preserve">.  </w:t>
      </w:r>
    </w:p>
    <w:p w14:paraId="754C7016" w14:textId="77777777" w:rsidR="001518A9" w:rsidRPr="001518A9" w:rsidRDefault="001518A9" w:rsidP="00D57016">
      <w:pPr>
        <w:pStyle w:val="Body"/>
        <w:numPr>
          <w:ilvl w:val="0"/>
          <w:numId w:val="31"/>
        </w:numPr>
        <w:spacing w:after="0"/>
        <w:rPr>
          <w:lang w:val="en"/>
        </w:rPr>
      </w:pPr>
      <w:proofErr w:type="spellStart"/>
      <w:r w:rsidRPr="001518A9">
        <w:rPr>
          <w:lang w:val="en"/>
        </w:rPr>
        <w:t>Ogwu</w:t>
      </w:r>
      <w:proofErr w:type="spellEnd"/>
      <w:r w:rsidRPr="001518A9">
        <w:rPr>
          <w:lang w:val="en"/>
        </w:rPr>
        <w:t xml:space="preserve"> MC. (2023a) Local food crops in Africa: sustainable utilization, threats, and traditional storage strategies. In: </w:t>
      </w:r>
      <w:proofErr w:type="spellStart"/>
      <w:r w:rsidRPr="001518A9">
        <w:rPr>
          <w:lang w:val="en"/>
        </w:rPr>
        <w:t>Izah</w:t>
      </w:r>
      <w:proofErr w:type="spellEnd"/>
      <w:r w:rsidRPr="001518A9">
        <w:rPr>
          <w:lang w:val="en"/>
        </w:rPr>
        <w:t xml:space="preserve"> SC, </w:t>
      </w:r>
      <w:proofErr w:type="spellStart"/>
      <w:r w:rsidRPr="001518A9">
        <w:rPr>
          <w:lang w:val="en"/>
        </w:rPr>
        <w:t>Ogwu</w:t>
      </w:r>
      <w:proofErr w:type="spellEnd"/>
      <w:r w:rsidRPr="001518A9">
        <w:rPr>
          <w:lang w:val="en"/>
        </w:rPr>
        <w:t xml:space="preserve"> MC (eds) Sustainable utilization and conservation of Africa’s biological resources and environment, Sustainable development and biodiversity, vol 888. Springer, Singapore, pp 353–376. </w:t>
      </w:r>
      <w:hyperlink r:id="rId43">
        <w:r w:rsidRPr="001518A9">
          <w:rPr>
            <w:rStyle w:val="Hyperlink"/>
            <w:lang w:val="en"/>
          </w:rPr>
          <w:t>https://doi.org/10.1007/978-981-19-6974-4_13</w:t>
        </w:r>
      </w:hyperlink>
      <w:r w:rsidRPr="001518A9">
        <w:rPr>
          <w:lang w:val="en"/>
        </w:rPr>
        <w:t xml:space="preserve"> </w:t>
      </w:r>
    </w:p>
    <w:p w14:paraId="7399F4DF" w14:textId="69616346" w:rsidR="001518A9" w:rsidRPr="00D57016" w:rsidRDefault="001518A9" w:rsidP="00D57016">
      <w:pPr>
        <w:pStyle w:val="Body"/>
        <w:numPr>
          <w:ilvl w:val="0"/>
          <w:numId w:val="31"/>
        </w:numPr>
        <w:spacing w:after="0"/>
        <w:rPr>
          <w:lang w:val="en"/>
        </w:rPr>
      </w:pPr>
      <w:proofErr w:type="spellStart"/>
      <w:r w:rsidRPr="001518A9">
        <w:rPr>
          <w:lang w:val="en"/>
        </w:rPr>
        <w:t>Ogwu</w:t>
      </w:r>
      <w:proofErr w:type="spellEnd"/>
      <w:r w:rsidRPr="001518A9">
        <w:rPr>
          <w:lang w:val="en"/>
        </w:rPr>
        <w:t xml:space="preserve"> MC. (2023b) Plants as monitors and managers of pollution. In: Srivastav AL, Grewal AS, Tiwari M, Pham TD (eds) Role of green chemistry in ecosystem restoration to achieve environmental sustainability. Elsevier, Amsterdam, pp 51–60. ISBN: 978-0-443-15291-7. </w:t>
      </w:r>
      <w:hyperlink r:id="rId44" w:history="1">
        <w:r w:rsidR="00392378" w:rsidRPr="00040E9D">
          <w:rPr>
            <w:rStyle w:val="Hyperlink"/>
            <w:lang w:val="en"/>
          </w:rPr>
          <w:t>https://doi.org/10.1016/B978-0-443-15291-7.00022-5</w:t>
        </w:r>
      </w:hyperlink>
      <w:r w:rsidR="00392378">
        <w:rPr>
          <w:lang w:val="en"/>
        </w:rPr>
        <w:t xml:space="preserve"> </w:t>
      </w:r>
    </w:p>
    <w:p w14:paraId="7453F9DB" w14:textId="77777777" w:rsidR="001518A9" w:rsidRPr="001518A9" w:rsidRDefault="001518A9" w:rsidP="00D57016">
      <w:pPr>
        <w:pStyle w:val="Body"/>
        <w:numPr>
          <w:ilvl w:val="0"/>
          <w:numId w:val="31"/>
        </w:numPr>
        <w:spacing w:after="0"/>
        <w:rPr>
          <w:lang w:val="en"/>
        </w:rPr>
      </w:pPr>
      <w:r w:rsidRPr="001518A9">
        <w:rPr>
          <w:lang w:val="en"/>
        </w:rPr>
        <w:t xml:space="preserve">Pearson D. (1991) The Chemical Analysis of </w:t>
      </w:r>
      <w:proofErr w:type="spellStart"/>
      <w:r w:rsidRPr="001518A9">
        <w:rPr>
          <w:lang w:val="en"/>
        </w:rPr>
        <w:t>Food.Churchill</w:t>
      </w:r>
      <w:proofErr w:type="spellEnd"/>
      <w:r w:rsidRPr="001518A9">
        <w:rPr>
          <w:lang w:val="en"/>
        </w:rPr>
        <w:t xml:space="preserve">: New York, London, pp: 374-410. </w:t>
      </w:r>
    </w:p>
    <w:p w14:paraId="54A547A9" w14:textId="229D52EC" w:rsidR="001518A9" w:rsidRPr="001518A9" w:rsidRDefault="00392378" w:rsidP="00D57016">
      <w:pPr>
        <w:pStyle w:val="Body"/>
        <w:numPr>
          <w:ilvl w:val="0"/>
          <w:numId w:val="31"/>
        </w:numPr>
        <w:spacing w:after="0"/>
        <w:rPr>
          <w:lang w:val="en"/>
        </w:rPr>
      </w:pPr>
      <w:proofErr w:type="spellStart"/>
      <w:r w:rsidRPr="00392378">
        <w:rPr>
          <w:lang w:val="en"/>
        </w:rPr>
        <w:t>Prayitno</w:t>
      </w:r>
      <w:proofErr w:type="spellEnd"/>
      <w:r w:rsidRPr="00392378">
        <w:rPr>
          <w:lang w:val="en"/>
        </w:rPr>
        <w:t xml:space="preserve">, A. H., </w:t>
      </w:r>
      <w:proofErr w:type="spellStart"/>
      <w:r w:rsidRPr="00392378">
        <w:rPr>
          <w:lang w:val="en"/>
        </w:rPr>
        <w:t>Suryanto</w:t>
      </w:r>
      <w:proofErr w:type="spellEnd"/>
      <w:r w:rsidRPr="00392378">
        <w:rPr>
          <w:lang w:val="en"/>
        </w:rPr>
        <w:t xml:space="preserve">, E., &amp; </w:t>
      </w:r>
      <w:proofErr w:type="spellStart"/>
      <w:r w:rsidRPr="00392378">
        <w:rPr>
          <w:lang w:val="en"/>
        </w:rPr>
        <w:t>Zuprizal</w:t>
      </w:r>
      <w:proofErr w:type="spellEnd"/>
      <w:r w:rsidRPr="00392378">
        <w:rPr>
          <w:lang w:val="en"/>
        </w:rPr>
        <w:t xml:space="preserve">. (2010). </w:t>
      </w:r>
      <w:proofErr w:type="spellStart"/>
      <w:r w:rsidRPr="00392378">
        <w:rPr>
          <w:lang w:val="en"/>
        </w:rPr>
        <w:t>Kualitas</w:t>
      </w:r>
      <w:proofErr w:type="spellEnd"/>
      <w:r w:rsidRPr="00392378">
        <w:rPr>
          <w:lang w:val="en"/>
        </w:rPr>
        <w:t xml:space="preserve"> </w:t>
      </w:r>
      <w:proofErr w:type="spellStart"/>
      <w:r w:rsidRPr="00392378">
        <w:rPr>
          <w:lang w:val="en"/>
        </w:rPr>
        <w:t>Fisik</w:t>
      </w:r>
      <w:proofErr w:type="spellEnd"/>
      <w:r w:rsidRPr="00392378">
        <w:rPr>
          <w:lang w:val="en"/>
        </w:rPr>
        <w:t xml:space="preserve"> dan </w:t>
      </w:r>
      <w:proofErr w:type="spellStart"/>
      <w:r w:rsidRPr="00392378">
        <w:rPr>
          <w:lang w:val="en"/>
        </w:rPr>
        <w:t>Sensoris</w:t>
      </w:r>
      <w:proofErr w:type="spellEnd"/>
      <w:r w:rsidRPr="00392378">
        <w:rPr>
          <w:lang w:val="en"/>
        </w:rPr>
        <w:t xml:space="preserve"> </w:t>
      </w:r>
      <w:proofErr w:type="spellStart"/>
      <w:r w:rsidRPr="00392378">
        <w:rPr>
          <w:lang w:val="en"/>
        </w:rPr>
        <w:t>Daging</w:t>
      </w:r>
      <w:proofErr w:type="spellEnd"/>
      <w:r w:rsidRPr="00392378">
        <w:rPr>
          <w:lang w:val="en"/>
        </w:rPr>
        <w:t xml:space="preserve"> </w:t>
      </w:r>
      <w:proofErr w:type="spellStart"/>
      <w:r w:rsidRPr="00392378">
        <w:rPr>
          <w:lang w:val="en"/>
        </w:rPr>
        <w:t>Ayam</w:t>
      </w:r>
      <w:proofErr w:type="spellEnd"/>
      <w:r w:rsidRPr="00392378">
        <w:rPr>
          <w:lang w:val="en"/>
        </w:rPr>
        <w:t xml:space="preserve"> Broiler yang </w:t>
      </w:r>
      <w:proofErr w:type="spellStart"/>
      <w:r w:rsidRPr="00392378">
        <w:rPr>
          <w:lang w:val="en"/>
        </w:rPr>
        <w:t>Diberi</w:t>
      </w:r>
      <w:proofErr w:type="spellEnd"/>
      <w:r w:rsidRPr="00392378">
        <w:rPr>
          <w:lang w:val="en"/>
        </w:rPr>
        <w:t xml:space="preserve"> </w:t>
      </w:r>
      <w:proofErr w:type="spellStart"/>
      <w:r w:rsidRPr="00392378">
        <w:rPr>
          <w:lang w:val="en"/>
        </w:rPr>
        <w:t>Pakan</w:t>
      </w:r>
      <w:proofErr w:type="spellEnd"/>
      <w:r w:rsidRPr="00392378">
        <w:rPr>
          <w:lang w:val="en"/>
        </w:rPr>
        <w:t xml:space="preserve"> </w:t>
      </w:r>
      <w:proofErr w:type="spellStart"/>
      <w:r w:rsidRPr="00392378">
        <w:rPr>
          <w:lang w:val="en"/>
        </w:rPr>
        <w:t>dengan</w:t>
      </w:r>
      <w:proofErr w:type="spellEnd"/>
      <w:r w:rsidRPr="00392378">
        <w:rPr>
          <w:lang w:val="en"/>
        </w:rPr>
        <w:t xml:space="preserve"> </w:t>
      </w:r>
      <w:proofErr w:type="spellStart"/>
      <w:r w:rsidRPr="00392378">
        <w:rPr>
          <w:lang w:val="en"/>
        </w:rPr>
        <w:t>Penambahan</w:t>
      </w:r>
      <w:proofErr w:type="spellEnd"/>
      <w:r w:rsidRPr="00392378">
        <w:rPr>
          <w:lang w:val="en"/>
        </w:rPr>
        <w:t xml:space="preserve"> </w:t>
      </w:r>
      <w:proofErr w:type="spellStart"/>
      <w:r w:rsidRPr="00392378">
        <w:rPr>
          <w:lang w:val="en"/>
        </w:rPr>
        <w:t>Ampas</w:t>
      </w:r>
      <w:proofErr w:type="spellEnd"/>
      <w:r w:rsidRPr="00392378">
        <w:rPr>
          <w:lang w:val="en"/>
        </w:rPr>
        <w:t xml:space="preserve"> Virgin Coconut Oil (VCO) (Physical and Sensory Quality of Meat of Broiler Chicken Fed with The Addition of Virgin Coconut Oil Waste). </w:t>
      </w:r>
      <w:proofErr w:type="spellStart"/>
      <w:r w:rsidRPr="00392378">
        <w:rPr>
          <w:lang w:val="en"/>
        </w:rPr>
        <w:t>Buletin</w:t>
      </w:r>
      <w:proofErr w:type="spellEnd"/>
      <w:r w:rsidRPr="00392378">
        <w:rPr>
          <w:lang w:val="en"/>
        </w:rPr>
        <w:t xml:space="preserve"> </w:t>
      </w:r>
      <w:proofErr w:type="spellStart"/>
      <w:r w:rsidRPr="00392378">
        <w:rPr>
          <w:lang w:val="en"/>
        </w:rPr>
        <w:t>Peternakan</w:t>
      </w:r>
      <w:proofErr w:type="spellEnd"/>
      <w:r w:rsidRPr="00392378">
        <w:rPr>
          <w:lang w:val="en"/>
        </w:rPr>
        <w:t xml:space="preserve">, 34(1), 55-63. </w:t>
      </w:r>
      <w:hyperlink r:id="rId45" w:history="1">
        <w:r w:rsidRPr="00040E9D">
          <w:rPr>
            <w:rStyle w:val="Hyperlink"/>
            <w:lang w:val="en"/>
          </w:rPr>
          <w:t>https://doi.org/10.21059/buletinpeternak.v34i1.107</w:t>
        </w:r>
      </w:hyperlink>
      <w:r>
        <w:rPr>
          <w:lang w:val="en"/>
        </w:rPr>
        <w:t xml:space="preserve"> </w:t>
      </w:r>
      <w:r w:rsidR="001518A9" w:rsidRPr="001518A9">
        <w:rPr>
          <w:lang w:val="en"/>
        </w:rPr>
        <w:t xml:space="preserve">. </w:t>
      </w:r>
    </w:p>
    <w:p w14:paraId="63BAF708" w14:textId="77777777" w:rsidR="001518A9" w:rsidRPr="001518A9" w:rsidRDefault="001518A9" w:rsidP="00D57016">
      <w:pPr>
        <w:pStyle w:val="Body"/>
        <w:numPr>
          <w:ilvl w:val="0"/>
          <w:numId w:val="31"/>
        </w:numPr>
        <w:spacing w:after="0"/>
        <w:rPr>
          <w:lang w:val="en"/>
        </w:rPr>
      </w:pPr>
      <w:r w:rsidRPr="001518A9">
        <w:rPr>
          <w:lang w:val="en"/>
        </w:rPr>
        <w:t xml:space="preserve">Rahman, M.M., Shibata, M., Nakazawa, N., Rithu, M.N.A., Okazaki, E. and Nakauchi, S. (2023) </w:t>
      </w:r>
    </w:p>
    <w:p w14:paraId="02969756" w14:textId="313DCA8D" w:rsidR="00A03637" w:rsidRDefault="00392378" w:rsidP="00D57016">
      <w:pPr>
        <w:pStyle w:val="Body"/>
        <w:numPr>
          <w:ilvl w:val="0"/>
          <w:numId w:val="31"/>
        </w:numPr>
        <w:rPr>
          <w:lang w:val="en"/>
        </w:rPr>
      </w:pPr>
      <w:r w:rsidRPr="00392378">
        <w:rPr>
          <w:lang w:val="en"/>
        </w:rPr>
        <w:t xml:space="preserve">Rahman, M. M., Shibata, M., Nakazawa, N., </w:t>
      </w:r>
      <w:proofErr w:type="spellStart"/>
      <w:r w:rsidRPr="00392378">
        <w:rPr>
          <w:lang w:val="en"/>
        </w:rPr>
        <w:t>Rithu</w:t>
      </w:r>
      <w:proofErr w:type="spellEnd"/>
      <w:r w:rsidRPr="00392378">
        <w:rPr>
          <w:lang w:val="en"/>
        </w:rPr>
        <w:t xml:space="preserve">, M. N. A., Okazaki, E., &amp; </w:t>
      </w:r>
      <w:proofErr w:type="spellStart"/>
      <w:r w:rsidRPr="00392378">
        <w:rPr>
          <w:lang w:val="en"/>
        </w:rPr>
        <w:t>Nakauchi</w:t>
      </w:r>
      <w:proofErr w:type="spellEnd"/>
      <w:r w:rsidRPr="00392378">
        <w:rPr>
          <w:lang w:val="en"/>
        </w:rPr>
        <w:t xml:space="preserve">, S. (2023). Potential of fluorescence fingerprints for fish meat authentication: Differences in freshness evaluation in white and dark meat at frozen state. Journal of Food Science, 88(12), 5339-5354. </w:t>
      </w:r>
      <w:hyperlink r:id="rId46" w:history="1">
        <w:r w:rsidRPr="00040E9D">
          <w:rPr>
            <w:rStyle w:val="Hyperlink"/>
            <w:lang w:val="en"/>
          </w:rPr>
          <w:t>https://doi.org/10.1111/1750-3841.16825</w:t>
        </w:r>
      </w:hyperlink>
      <w:r>
        <w:rPr>
          <w:lang w:val="en"/>
        </w:rPr>
        <w:t xml:space="preserve"> </w:t>
      </w:r>
      <w:r w:rsidR="001518A9" w:rsidRPr="001518A9">
        <w:rPr>
          <w:lang w:val="en"/>
        </w:rPr>
        <w:t>.</w:t>
      </w:r>
    </w:p>
    <w:p w14:paraId="294321BC" w14:textId="39941FD9" w:rsidR="001518A9" w:rsidRPr="001518A9" w:rsidRDefault="001518A9" w:rsidP="00D57016">
      <w:pPr>
        <w:pStyle w:val="Body"/>
        <w:numPr>
          <w:ilvl w:val="0"/>
          <w:numId w:val="31"/>
        </w:numPr>
        <w:rPr>
          <w:lang w:val="en"/>
        </w:rPr>
      </w:pPr>
      <w:r w:rsidRPr="001518A9">
        <w:rPr>
          <w:lang w:val="en"/>
        </w:rPr>
        <w:t xml:space="preserve">Rashid, N.J., and </w:t>
      </w:r>
      <w:proofErr w:type="spellStart"/>
      <w:r w:rsidRPr="001518A9">
        <w:rPr>
          <w:lang w:val="en"/>
        </w:rPr>
        <w:t>Khidhir</w:t>
      </w:r>
      <w:proofErr w:type="spellEnd"/>
      <w:r w:rsidRPr="001518A9">
        <w:rPr>
          <w:lang w:val="en"/>
        </w:rPr>
        <w:t xml:space="preserve">, Z.K. (2021) Impact of different storage temperatures on canned meat Characteristics. Euphrates Journal of Agriculture Science, 13(3), 28-37.  </w:t>
      </w:r>
    </w:p>
    <w:p w14:paraId="0F71F188" w14:textId="26BCC3B3" w:rsidR="001518A9" w:rsidRPr="001518A9" w:rsidRDefault="00392378" w:rsidP="00D57016">
      <w:pPr>
        <w:pStyle w:val="Body"/>
        <w:numPr>
          <w:ilvl w:val="0"/>
          <w:numId w:val="31"/>
        </w:numPr>
        <w:spacing w:after="0"/>
        <w:rPr>
          <w:lang w:val="en"/>
        </w:rPr>
      </w:pPr>
      <w:proofErr w:type="spellStart"/>
      <w:r w:rsidRPr="00392378">
        <w:rPr>
          <w:lang w:val="en"/>
        </w:rPr>
        <w:t>Sabikun</w:t>
      </w:r>
      <w:proofErr w:type="spellEnd"/>
      <w:r w:rsidRPr="00392378">
        <w:rPr>
          <w:lang w:val="en"/>
        </w:rPr>
        <w:t xml:space="preserve">, N., Bakhsh, A., Rahman, M. S., Hwang, Y. H., &amp; </w:t>
      </w:r>
      <w:proofErr w:type="spellStart"/>
      <w:r w:rsidRPr="00392378">
        <w:rPr>
          <w:lang w:val="en"/>
        </w:rPr>
        <w:t>Joo</w:t>
      </w:r>
      <w:proofErr w:type="spellEnd"/>
      <w:r w:rsidRPr="00392378">
        <w:rPr>
          <w:lang w:val="en"/>
        </w:rPr>
        <w:t xml:space="preserve">, S. T. (2021). Evaluation of chicken nugget properties using spent hen meat added with milk fat and potato mash at different levels. Journal of Food Science and Technology, 58(7), 2783–2791. </w:t>
      </w:r>
      <w:hyperlink r:id="rId47" w:history="1">
        <w:r w:rsidRPr="00040E9D">
          <w:rPr>
            <w:rStyle w:val="Hyperlink"/>
            <w:lang w:val="en"/>
          </w:rPr>
          <w:t>https://doi.org/10.1007/s13197-020-04787-7</w:t>
        </w:r>
      </w:hyperlink>
      <w:r>
        <w:rPr>
          <w:lang w:val="en"/>
        </w:rPr>
        <w:t xml:space="preserve"> </w:t>
      </w:r>
      <w:r w:rsidR="001518A9" w:rsidRPr="001518A9">
        <w:rPr>
          <w:lang w:val="en"/>
        </w:rPr>
        <w:t xml:space="preserve">. </w:t>
      </w:r>
    </w:p>
    <w:p w14:paraId="7EA81363" w14:textId="77777777" w:rsidR="000C7945" w:rsidRDefault="000C7945" w:rsidP="00D57016">
      <w:pPr>
        <w:pStyle w:val="Body"/>
        <w:numPr>
          <w:ilvl w:val="0"/>
          <w:numId w:val="31"/>
        </w:numPr>
        <w:spacing w:after="0"/>
        <w:rPr>
          <w:lang w:val="en"/>
        </w:rPr>
      </w:pPr>
      <w:proofErr w:type="spellStart"/>
      <w:r w:rsidRPr="000C7945">
        <w:rPr>
          <w:lang w:val="en"/>
        </w:rPr>
        <w:t>Saloko</w:t>
      </w:r>
      <w:proofErr w:type="spellEnd"/>
      <w:r w:rsidRPr="000C7945">
        <w:rPr>
          <w:lang w:val="en"/>
        </w:rPr>
        <w:t xml:space="preserve">, S., </w:t>
      </w:r>
      <w:proofErr w:type="spellStart"/>
      <w:r w:rsidRPr="000C7945">
        <w:rPr>
          <w:lang w:val="en"/>
        </w:rPr>
        <w:t>Darmadji</w:t>
      </w:r>
      <w:proofErr w:type="spellEnd"/>
      <w:r w:rsidRPr="000C7945">
        <w:rPr>
          <w:lang w:val="en"/>
        </w:rPr>
        <w:t xml:space="preserve">, P., </w:t>
      </w:r>
      <w:proofErr w:type="spellStart"/>
      <w:r w:rsidRPr="000C7945">
        <w:rPr>
          <w:lang w:val="en"/>
        </w:rPr>
        <w:t>Setiaji</w:t>
      </w:r>
      <w:proofErr w:type="spellEnd"/>
      <w:r w:rsidRPr="000C7945">
        <w:rPr>
          <w:lang w:val="en"/>
        </w:rPr>
        <w:t xml:space="preserve">, B., &amp; </w:t>
      </w:r>
      <w:proofErr w:type="spellStart"/>
      <w:r w:rsidRPr="000C7945">
        <w:rPr>
          <w:lang w:val="en"/>
        </w:rPr>
        <w:t>Pranoto</w:t>
      </w:r>
      <w:proofErr w:type="spellEnd"/>
      <w:r w:rsidRPr="000C7945">
        <w:rPr>
          <w:lang w:val="en"/>
        </w:rPr>
        <w:t xml:space="preserve">, Y. (2014). Antioxidative and antimicrobial activities of liquid smoke </w:t>
      </w:r>
      <w:proofErr w:type="spellStart"/>
      <w:r w:rsidRPr="000C7945">
        <w:rPr>
          <w:lang w:val="en"/>
        </w:rPr>
        <w:t>nanocapsules</w:t>
      </w:r>
      <w:proofErr w:type="spellEnd"/>
      <w:r w:rsidRPr="000C7945">
        <w:rPr>
          <w:lang w:val="en"/>
        </w:rPr>
        <w:t xml:space="preserve"> using chitosan and maltodextrin and its application on tuna fish preservation. Food Bioscience, 7, 71-79. </w:t>
      </w:r>
      <w:hyperlink r:id="rId48" w:history="1">
        <w:r w:rsidRPr="00040E9D">
          <w:rPr>
            <w:rStyle w:val="Hyperlink"/>
            <w:lang w:val="en"/>
          </w:rPr>
          <w:t>https://doi.org/10.1016/j.fbio.2014.05.008</w:t>
        </w:r>
      </w:hyperlink>
      <w:r>
        <w:rPr>
          <w:lang w:val="en"/>
        </w:rPr>
        <w:t xml:space="preserve"> </w:t>
      </w:r>
    </w:p>
    <w:p w14:paraId="0201542A" w14:textId="77777777" w:rsidR="000C7945" w:rsidRDefault="000C7945" w:rsidP="00D57016">
      <w:pPr>
        <w:pStyle w:val="Body"/>
        <w:numPr>
          <w:ilvl w:val="0"/>
          <w:numId w:val="31"/>
        </w:numPr>
        <w:spacing w:after="0"/>
        <w:rPr>
          <w:lang w:val="en"/>
        </w:rPr>
      </w:pPr>
      <w:r w:rsidRPr="000C7945">
        <w:rPr>
          <w:lang w:val="en"/>
        </w:rPr>
        <w:t xml:space="preserve">Sarkar, B. K., Upadhyay, S., </w:t>
      </w:r>
      <w:proofErr w:type="spellStart"/>
      <w:r w:rsidRPr="000C7945">
        <w:rPr>
          <w:lang w:val="en"/>
        </w:rPr>
        <w:t>Gogoi</w:t>
      </w:r>
      <w:proofErr w:type="spellEnd"/>
      <w:r w:rsidRPr="000C7945">
        <w:rPr>
          <w:lang w:val="en"/>
        </w:rPr>
        <w:t xml:space="preserve">, P., Choudhury, S., &amp; </w:t>
      </w:r>
      <w:proofErr w:type="spellStart"/>
      <w:r w:rsidRPr="000C7945">
        <w:rPr>
          <w:lang w:val="en"/>
        </w:rPr>
        <w:t>Deuri</w:t>
      </w:r>
      <w:proofErr w:type="spellEnd"/>
      <w:r w:rsidRPr="000C7945">
        <w:rPr>
          <w:lang w:val="en"/>
        </w:rPr>
        <w:t xml:space="preserve">, D. (2020). Utilization of Spent Hen in Food Industry- A Review. International Journal of Current Microbiology and Applied Sciences, 9(7), 1442-1451. </w:t>
      </w:r>
      <w:hyperlink r:id="rId49" w:history="1">
        <w:r w:rsidRPr="00040E9D">
          <w:rPr>
            <w:rStyle w:val="Hyperlink"/>
            <w:lang w:val="en"/>
          </w:rPr>
          <w:t>https://doi.org/10.20546/ijcmas.2020.907.165</w:t>
        </w:r>
      </w:hyperlink>
      <w:r>
        <w:rPr>
          <w:lang w:val="en"/>
        </w:rPr>
        <w:t xml:space="preserve"> </w:t>
      </w:r>
    </w:p>
    <w:p w14:paraId="6045EC5A" w14:textId="77777777" w:rsidR="000C7945" w:rsidRDefault="000C7945" w:rsidP="00D57016">
      <w:pPr>
        <w:pStyle w:val="Body"/>
        <w:numPr>
          <w:ilvl w:val="0"/>
          <w:numId w:val="31"/>
        </w:numPr>
        <w:spacing w:after="0"/>
        <w:rPr>
          <w:lang w:val="en"/>
        </w:rPr>
      </w:pPr>
      <w:r w:rsidRPr="000C7945">
        <w:rPr>
          <w:lang w:val="en"/>
        </w:rPr>
        <w:lastRenderedPageBreak/>
        <w:t xml:space="preserve">Shephard, S. (2006). Pickled, potted, and canned: How the art and science of food preserving changed the world. </w:t>
      </w:r>
      <w:hyperlink r:id="rId50" w:history="1">
        <w:r w:rsidRPr="00040E9D">
          <w:rPr>
            <w:rStyle w:val="Hyperlink"/>
            <w:lang w:val="en"/>
          </w:rPr>
          <w:t>https://www.simonandschuster.com/books/Pickled-Potted-and-Canned/Sue-Shephard/9780743255530</w:t>
        </w:r>
      </w:hyperlink>
      <w:r>
        <w:rPr>
          <w:lang w:val="en"/>
        </w:rPr>
        <w:t xml:space="preserve"> </w:t>
      </w:r>
    </w:p>
    <w:p w14:paraId="051C621C" w14:textId="77777777" w:rsidR="000C7945" w:rsidRDefault="000C7945" w:rsidP="00D57016">
      <w:pPr>
        <w:pStyle w:val="Body"/>
        <w:numPr>
          <w:ilvl w:val="0"/>
          <w:numId w:val="31"/>
        </w:numPr>
        <w:spacing w:after="0"/>
        <w:rPr>
          <w:lang w:val="en"/>
        </w:rPr>
      </w:pPr>
      <w:proofErr w:type="spellStart"/>
      <w:r w:rsidRPr="000C7945">
        <w:rPr>
          <w:lang w:val="en"/>
        </w:rPr>
        <w:t>Snedecor</w:t>
      </w:r>
      <w:proofErr w:type="spellEnd"/>
      <w:r w:rsidRPr="000C7945">
        <w:rPr>
          <w:lang w:val="en"/>
        </w:rPr>
        <w:t xml:space="preserve">, G. W., &amp; Cochran, W. G. (1989). *Statistical Methods*. Iowa State University Press. </w:t>
      </w:r>
      <w:hyperlink r:id="rId51" w:history="1">
        <w:r w:rsidRPr="00040E9D">
          <w:rPr>
            <w:rStyle w:val="Hyperlink"/>
            <w:lang w:val="en"/>
          </w:rPr>
          <w:t>https://www.wiley.com/en-us/Statistical+Methods,+8th+Edition-p-9780813815619</w:t>
        </w:r>
      </w:hyperlink>
      <w:r>
        <w:rPr>
          <w:lang w:val="en"/>
        </w:rPr>
        <w:t xml:space="preserve"> </w:t>
      </w:r>
    </w:p>
    <w:p w14:paraId="08A6EF34" w14:textId="77777777" w:rsidR="000C7945" w:rsidRDefault="000C7945" w:rsidP="00D57016">
      <w:pPr>
        <w:pStyle w:val="Body"/>
        <w:numPr>
          <w:ilvl w:val="0"/>
          <w:numId w:val="31"/>
        </w:numPr>
        <w:spacing w:after="0"/>
        <w:rPr>
          <w:lang w:val="en"/>
        </w:rPr>
      </w:pPr>
      <w:r w:rsidRPr="000C7945">
        <w:rPr>
          <w:lang w:val="en"/>
        </w:rPr>
        <w:t xml:space="preserve">Soares, J. M., da Silva, P. F., </w:t>
      </w:r>
      <w:proofErr w:type="spellStart"/>
      <w:r w:rsidRPr="000C7945">
        <w:rPr>
          <w:lang w:val="en"/>
        </w:rPr>
        <w:t>Puton</w:t>
      </w:r>
      <w:proofErr w:type="spellEnd"/>
      <w:r w:rsidRPr="000C7945">
        <w:rPr>
          <w:lang w:val="en"/>
        </w:rPr>
        <w:t xml:space="preserve">, B. M. S., </w:t>
      </w:r>
      <w:proofErr w:type="spellStart"/>
      <w:r w:rsidRPr="000C7945">
        <w:rPr>
          <w:lang w:val="en"/>
        </w:rPr>
        <w:t>Brustolin</w:t>
      </w:r>
      <w:proofErr w:type="spellEnd"/>
      <w:r w:rsidRPr="000C7945">
        <w:rPr>
          <w:lang w:val="en"/>
        </w:rPr>
        <w:t xml:space="preserve">, A. P., </w:t>
      </w:r>
      <w:proofErr w:type="spellStart"/>
      <w:r w:rsidRPr="000C7945">
        <w:rPr>
          <w:lang w:val="en"/>
        </w:rPr>
        <w:t>Cansian</w:t>
      </w:r>
      <w:proofErr w:type="spellEnd"/>
      <w:r w:rsidRPr="000C7945">
        <w:rPr>
          <w:lang w:val="en"/>
        </w:rPr>
        <w:t xml:space="preserve">, R. L., </w:t>
      </w:r>
      <w:proofErr w:type="spellStart"/>
      <w:r w:rsidRPr="000C7945">
        <w:rPr>
          <w:lang w:val="en"/>
        </w:rPr>
        <w:t>Dallago</w:t>
      </w:r>
      <w:proofErr w:type="spellEnd"/>
      <w:r w:rsidRPr="000C7945">
        <w:rPr>
          <w:lang w:val="en"/>
        </w:rPr>
        <w:t xml:space="preserve">, R. M., &amp; </w:t>
      </w:r>
      <w:proofErr w:type="spellStart"/>
      <w:r w:rsidRPr="000C7945">
        <w:rPr>
          <w:lang w:val="en"/>
        </w:rPr>
        <w:t>Valduga</w:t>
      </w:r>
      <w:proofErr w:type="spellEnd"/>
      <w:r w:rsidRPr="000C7945">
        <w:rPr>
          <w:lang w:val="en"/>
        </w:rPr>
        <w:t xml:space="preserve">, E. (2016). Antimicrobial and antioxidant activity of liquid smoke and its potential application to bacon. Innovative Food Science and Emerging Technologies, 38(Part A), 189–197. </w:t>
      </w:r>
      <w:hyperlink r:id="rId52" w:history="1">
        <w:r w:rsidRPr="00040E9D">
          <w:rPr>
            <w:rStyle w:val="Hyperlink"/>
            <w:lang w:val="en"/>
          </w:rPr>
          <w:t>https://doi.org/10.1016/j.ifset.2016.10.007</w:t>
        </w:r>
      </w:hyperlink>
      <w:r>
        <w:rPr>
          <w:lang w:val="en"/>
        </w:rPr>
        <w:t xml:space="preserve"> </w:t>
      </w:r>
    </w:p>
    <w:p w14:paraId="283FCEAA" w14:textId="77777777" w:rsidR="000C7945" w:rsidRDefault="000C7945" w:rsidP="00D57016">
      <w:pPr>
        <w:pStyle w:val="Body"/>
        <w:numPr>
          <w:ilvl w:val="0"/>
          <w:numId w:val="31"/>
        </w:numPr>
        <w:spacing w:after="0"/>
        <w:rPr>
          <w:lang w:val="en"/>
        </w:rPr>
      </w:pPr>
      <w:proofErr w:type="spellStart"/>
      <w:r w:rsidRPr="000C7945">
        <w:rPr>
          <w:lang w:val="en"/>
        </w:rPr>
        <w:t>Sorour</w:t>
      </w:r>
      <w:proofErr w:type="spellEnd"/>
      <w:r w:rsidRPr="000C7945">
        <w:rPr>
          <w:lang w:val="en"/>
        </w:rPr>
        <w:t>, M. A. E., El-</w:t>
      </w:r>
      <w:proofErr w:type="spellStart"/>
      <w:r w:rsidRPr="000C7945">
        <w:rPr>
          <w:lang w:val="en"/>
        </w:rPr>
        <w:t>Hamied</w:t>
      </w:r>
      <w:proofErr w:type="spellEnd"/>
      <w:r w:rsidRPr="000C7945">
        <w:rPr>
          <w:lang w:val="en"/>
        </w:rPr>
        <w:t xml:space="preserve">, A., Adel, A., Mahmoud, A. R., &amp; Mahmoud, E. A. (2021). Impact of liquid smoke and thyme oil on quality of chicken and turkey chilled meatballs. Journal of </w:t>
      </w:r>
      <w:proofErr w:type="spellStart"/>
      <w:r w:rsidRPr="000C7945">
        <w:rPr>
          <w:lang w:val="en"/>
        </w:rPr>
        <w:t>Sohag</w:t>
      </w:r>
      <w:proofErr w:type="spellEnd"/>
      <w:r w:rsidRPr="000C7945">
        <w:rPr>
          <w:lang w:val="en"/>
        </w:rPr>
        <w:t xml:space="preserve"> </w:t>
      </w:r>
      <w:proofErr w:type="spellStart"/>
      <w:r w:rsidRPr="000C7945">
        <w:rPr>
          <w:lang w:val="en"/>
        </w:rPr>
        <w:t>Agriscience</w:t>
      </w:r>
      <w:proofErr w:type="spellEnd"/>
      <w:r w:rsidRPr="000C7945">
        <w:rPr>
          <w:lang w:val="en"/>
        </w:rPr>
        <w:t xml:space="preserve"> (JSAS), 6(2), 137-150. </w:t>
      </w:r>
      <w:hyperlink r:id="rId53" w:history="1">
        <w:r w:rsidRPr="00040E9D">
          <w:rPr>
            <w:rStyle w:val="Hyperlink"/>
            <w:lang w:val="en"/>
          </w:rPr>
          <w:t>https://doi.org/10.21608/jsasj.2021.222585</w:t>
        </w:r>
      </w:hyperlink>
      <w:r>
        <w:rPr>
          <w:lang w:val="en"/>
        </w:rPr>
        <w:t xml:space="preserve"> </w:t>
      </w:r>
    </w:p>
    <w:p w14:paraId="5CD47C4E" w14:textId="77777777" w:rsidR="000C7945" w:rsidRDefault="000C7945" w:rsidP="000C7945">
      <w:pPr>
        <w:pStyle w:val="Body"/>
        <w:numPr>
          <w:ilvl w:val="0"/>
          <w:numId w:val="31"/>
        </w:numPr>
        <w:spacing w:after="0"/>
        <w:rPr>
          <w:lang w:val="en"/>
        </w:rPr>
      </w:pPr>
      <w:r w:rsidRPr="000C7945">
        <w:rPr>
          <w:lang w:val="en"/>
        </w:rPr>
        <w:t xml:space="preserve">Egyptian Organization for Standardization and Quality Control, Ministry of Industry and Trade. (2009). Poultry meat products treated with heat (Egyptian Standard No. 3493). </w:t>
      </w:r>
      <w:hyperlink r:id="rId54" w:history="1">
        <w:r w:rsidRPr="00040E9D">
          <w:rPr>
            <w:rStyle w:val="Hyperlink"/>
            <w:lang w:val="en"/>
          </w:rPr>
          <w:t>https://www.eos.org.eg/en/purchase-and-search-egyptian-standards/3493</w:t>
        </w:r>
      </w:hyperlink>
      <w:r>
        <w:rPr>
          <w:lang w:val="en"/>
        </w:rPr>
        <w:t xml:space="preserve"> </w:t>
      </w:r>
    </w:p>
    <w:p w14:paraId="0A845E50" w14:textId="77777777" w:rsidR="000C7945" w:rsidRDefault="000C7945" w:rsidP="00D57016">
      <w:pPr>
        <w:pStyle w:val="Body"/>
        <w:numPr>
          <w:ilvl w:val="0"/>
          <w:numId w:val="31"/>
        </w:numPr>
        <w:spacing w:after="0"/>
        <w:rPr>
          <w:lang w:val="en"/>
        </w:rPr>
      </w:pPr>
      <w:proofErr w:type="spellStart"/>
      <w:r w:rsidRPr="000C7945">
        <w:rPr>
          <w:lang w:val="en"/>
        </w:rPr>
        <w:t>Suryaningsih</w:t>
      </w:r>
      <w:proofErr w:type="spellEnd"/>
      <w:r w:rsidRPr="000C7945">
        <w:rPr>
          <w:lang w:val="en"/>
        </w:rPr>
        <w:t xml:space="preserve">, L., </w:t>
      </w:r>
      <w:proofErr w:type="spellStart"/>
      <w:r w:rsidRPr="000C7945">
        <w:rPr>
          <w:lang w:val="en"/>
        </w:rPr>
        <w:t>Gumilar</w:t>
      </w:r>
      <w:proofErr w:type="spellEnd"/>
      <w:r w:rsidRPr="000C7945">
        <w:rPr>
          <w:lang w:val="en"/>
        </w:rPr>
        <w:t xml:space="preserve">, J., </w:t>
      </w:r>
      <w:proofErr w:type="spellStart"/>
      <w:r w:rsidRPr="000C7945">
        <w:rPr>
          <w:lang w:val="en"/>
        </w:rPr>
        <w:t>Faturrahman</w:t>
      </w:r>
      <w:proofErr w:type="spellEnd"/>
      <w:r w:rsidRPr="000C7945">
        <w:rPr>
          <w:lang w:val="en"/>
        </w:rPr>
        <w:t xml:space="preserve">, A., </w:t>
      </w:r>
      <w:proofErr w:type="spellStart"/>
      <w:r w:rsidRPr="000C7945">
        <w:rPr>
          <w:lang w:val="en"/>
        </w:rPr>
        <w:t>Putranto</w:t>
      </w:r>
      <w:proofErr w:type="spellEnd"/>
      <w:r w:rsidRPr="000C7945">
        <w:rPr>
          <w:lang w:val="en"/>
        </w:rPr>
        <w:t xml:space="preserve">, W. S., </w:t>
      </w:r>
      <w:proofErr w:type="spellStart"/>
      <w:r w:rsidRPr="000C7945">
        <w:rPr>
          <w:lang w:val="en"/>
        </w:rPr>
        <w:t>Pratama</w:t>
      </w:r>
      <w:proofErr w:type="spellEnd"/>
      <w:r w:rsidRPr="000C7945">
        <w:rPr>
          <w:lang w:val="en"/>
        </w:rPr>
        <w:t xml:space="preserve">, A., </w:t>
      </w:r>
      <w:proofErr w:type="spellStart"/>
      <w:r w:rsidRPr="000C7945">
        <w:rPr>
          <w:lang w:val="en"/>
        </w:rPr>
        <w:t>Wulandari</w:t>
      </w:r>
      <w:proofErr w:type="spellEnd"/>
      <w:r w:rsidRPr="000C7945">
        <w:rPr>
          <w:lang w:val="en"/>
        </w:rPr>
        <w:t xml:space="preserve">, E., &amp; Utama, D. T. (2024). Study of Honey Addition on Water Holding Capacity, Ph, Cooking Loss, Tenderness, and Sensory Tests in Smoked Broiler Chicken Meat. International Journal of Research and Innovation in Applied Science, 9(11), 221-228. </w:t>
      </w:r>
      <w:hyperlink r:id="rId55" w:history="1">
        <w:r w:rsidRPr="00040E9D">
          <w:rPr>
            <w:rStyle w:val="Hyperlink"/>
            <w:lang w:val="en"/>
          </w:rPr>
          <w:t>https://doi.org/10.51584/IJRIAS.2024.911019</w:t>
        </w:r>
      </w:hyperlink>
      <w:r>
        <w:rPr>
          <w:lang w:val="en"/>
        </w:rPr>
        <w:t xml:space="preserve"> </w:t>
      </w:r>
    </w:p>
    <w:p w14:paraId="043B562A" w14:textId="5B289F68" w:rsidR="000C7945" w:rsidRDefault="000C7945" w:rsidP="00D57016">
      <w:pPr>
        <w:pStyle w:val="Body"/>
        <w:numPr>
          <w:ilvl w:val="0"/>
          <w:numId w:val="31"/>
        </w:numPr>
        <w:spacing w:after="0"/>
        <w:rPr>
          <w:lang w:val="en"/>
        </w:rPr>
      </w:pPr>
      <w:proofErr w:type="spellStart"/>
      <w:r w:rsidRPr="000C7945">
        <w:rPr>
          <w:lang w:val="en"/>
        </w:rPr>
        <w:t>Večerek</w:t>
      </w:r>
      <w:proofErr w:type="spellEnd"/>
      <w:r w:rsidRPr="000C7945">
        <w:rPr>
          <w:lang w:val="en"/>
        </w:rPr>
        <w:t xml:space="preserve">, V., </w:t>
      </w:r>
      <w:proofErr w:type="spellStart"/>
      <w:r w:rsidRPr="000C7945">
        <w:rPr>
          <w:lang w:val="en"/>
        </w:rPr>
        <w:t>Suchý</w:t>
      </w:r>
      <w:proofErr w:type="spellEnd"/>
      <w:r w:rsidRPr="000C7945">
        <w:rPr>
          <w:lang w:val="en"/>
        </w:rPr>
        <w:t xml:space="preserve">, P., &amp; </w:t>
      </w:r>
      <w:proofErr w:type="spellStart"/>
      <w:r w:rsidRPr="000C7945">
        <w:rPr>
          <w:lang w:val="en"/>
        </w:rPr>
        <w:t>Straková</w:t>
      </w:r>
      <w:proofErr w:type="spellEnd"/>
      <w:r w:rsidRPr="000C7945">
        <w:rPr>
          <w:lang w:val="en"/>
        </w:rPr>
        <w:t xml:space="preserve">, E. (2005). Chemical composition of breast and thigh muscles in fattened pheasant </w:t>
      </w:r>
      <w:proofErr w:type="spellStart"/>
      <w:r w:rsidRPr="000C7945">
        <w:rPr>
          <w:lang w:val="en"/>
        </w:rPr>
        <w:t>poults</w:t>
      </w:r>
      <w:proofErr w:type="spellEnd"/>
      <w:r w:rsidRPr="000C7945">
        <w:rPr>
          <w:lang w:val="en"/>
        </w:rPr>
        <w:t xml:space="preserve">. </w:t>
      </w:r>
      <w:proofErr w:type="spellStart"/>
      <w:r w:rsidRPr="000C7945">
        <w:rPr>
          <w:lang w:val="en"/>
        </w:rPr>
        <w:t>Krmiva</w:t>
      </w:r>
      <w:proofErr w:type="spellEnd"/>
      <w:r w:rsidRPr="000C7945">
        <w:rPr>
          <w:lang w:val="en"/>
        </w:rPr>
        <w:t xml:space="preserve">: Journal of animal nutrition, feed production and technology, 47(3), 119-125. </w:t>
      </w:r>
      <w:hyperlink r:id="rId56" w:history="1">
        <w:r w:rsidRPr="00040E9D">
          <w:rPr>
            <w:rStyle w:val="Hyperlink"/>
            <w:lang w:val="en"/>
          </w:rPr>
          <w:t>https://hrcak.srce.hr/2169</w:t>
        </w:r>
      </w:hyperlink>
    </w:p>
    <w:p w14:paraId="6D0B08A6" w14:textId="2F8F135E" w:rsidR="001518A9" w:rsidRDefault="000C7945" w:rsidP="000C7945">
      <w:pPr>
        <w:pStyle w:val="Body"/>
        <w:numPr>
          <w:ilvl w:val="0"/>
          <w:numId w:val="31"/>
        </w:numPr>
        <w:spacing w:after="0"/>
        <w:rPr>
          <w:lang w:val="en"/>
        </w:rPr>
      </w:pPr>
      <w:proofErr w:type="spellStart"/>
      <w:r w:rsidRPr="000C7945">
        <w:rPr>
          <w:lang w:val="en"/>
        </w:rPr>
        <w:t>Wierbicki</w:t>
      </w:r>
      <w:proofErr w:type="spellEnd"/>
      <w:r w:rsidRPr="000C7945">
        <w:rPr>
          <w:lang w:val="en"/>
        </w:rPr>
        <w:t xml:space="preserve">, E., &amp; </w:t>
      </w:r>
      <w:proofErr w:type="spellStart"/>
      <w:r w:rsidRPr="000C7945">
        <w:rPr>
          <w:lang w:val="en"/>
        </w:rPr>
        <w:t>Deatherage</w:t>
      </w:r>
      <w:proofErr w:type="spellEnd"/>
      <w:r w:rsidRPr="000C7945">
        <w:rPr>
          <w:lang w:val="en"/>
        </w:rPr>
        <w:t xml:space="preserve">, F. E. (1958). Water content of meats, determination of water-holding capacity of fresh meats. Journal of Agricultural and Food Chemistry, 6(5), 387-392. </w:t>
      </w:r>
      <w:hyperlink r:id="rId57" w:history="1">
        <w:r w:rsidRPr="00040E9D">
          <w:rPr>
            <w:rStyle w:val="Hyperlink"/>
            <w:lang w:val="en"/>
          </w:rPr>
          <w:t>https://doi.org/10.1021/jf60087a011</w:t>
        </w:r>
      </w:hyperlink>
      <w:r>
        <w:rPr>
          <w:lang w:val="en"/>
        </w:rPr>
        <w:t xml:space="preserve"> </w:t>
      </w:r>
    </w:p>
    <w:p w14:paraId="1EE6B9C5" w14:textId="77777777" w:rsidR="000C7945" w:rsidRPr="001518A9" w:rsidRDefault="000C7945" w:rsidP="000C7945">
      <w:pPr>
        <w:pStyle w:val="Body"/>
        <w:spacing w:after="0"/>
        <w:ind w:left="720"/>
        <w:rPr>
          <w:lang w:val="en"/>
        </w:rPr>
      </w:pPr>
    </w:p>
    <w:sectPr w:rsidR="000C7945" w:rsidRPr="001518A9" w:rsidSect="008E2A4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8262B" w14:textId="77777777" w:rsidR="00726AB2" w:rsidRDefault="00726AB2" w:rsidP="00C37E61">
      <w:r>
        <w:separator/>
      </w:r>
    </w:p>
  </w:endnote>
  <w:endnote w:type="continuationSeparator" w:id="0">
    <w:p w14:paraId="594D798C" w14:textId="77777777" w:rsidR="00726AB2" w:rsidRDefault="00726AB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5673D" w14:textId="77777777" w:rsidR="00E80C00" w:rsidRDefault="00E80C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C93B6" w14:textId="10D9A831" w:rsidR="00E80C00" w:rsidRPr="006E3859" w:rsidRDefault="00E80C00" w:rsidP="006E38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30012" w14:textId="77777777" w:rsidR="00E80C00" w:rsidRDefault="00E80C00">
    <w:pPr>
      <w:pStyle w:val="Footer"/>
      <w:rPr>
        <w:rFonts w:ascii="Arial" w:hAnsi="Arial" w:cs="Arial"/>
        <w:sz w:val="16"/>
      </w:rPr>
    </w:pPr>
  </w:p>
  <w:p w14:paraId="10C667F7" w14:textId="77777777" w:rsidR="00E80C00" w:rsidRDefault="00E80C00"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68F35C4" w14:textId="77777777" w:rsidR="00E80C00" w:rsidRDefault="00E80C00">
    <w:pPr>
      <w:pStyle w:val="Footer"/>
      <w:rPr>
        <w:rFonts w:ascii="Arial" w:hAnsi="Arial" w:cs="Arial"/>
        <w:sz w:val="16"/>
      </w:rPr>
    </w:pPr>
  </w:p>
  <w:p w14:paraId="5F0E5B2C" w14:textId="77777777" w:rsidR="00E80C00" w:rsidRPr="009E048A" w:rsidRDefault="00E80C00">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F3563" w14:textId="77777777" w:rsidR="00726AB2" w:rsidRDefault="00726AB2" w:rsidP="00C37E61">
      <w:r>
        <w:separator/>
      </w:r>
    </w:p>
  </w:footnote>
  <w:footnote w:type="continuationSeparator" w:id="0">
    <w:p w14:paraId="167B1DB9" w14:textId="77777777" w:rsidR="00726AB2" w:rsidRDefault="00726AB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BAADF" w14:textId="7CA2DE25" w:rsidR="00E80C00" w:rsidRDefault="008E2A48">
    <w:pPr>
      <w:pStyle w:val="Header"/>
    </w:pPr>
    <w:r>
      <w:rPr>
        <w:noProof/>
      </w:rPr>
      <w:pict w14:anchorId="067CC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02065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D1685" w14:textId="478178A1" w:rsidR="00E80C00" w:rsidRDefault="008E2A48">
    <w:pPr>
      <w:pStyle w:val="Header"/>
    </w:pPr>
    <w:r>
      <w:rPr>
        <w:noProof/>
      </w:rPr>
      <w:pict w14:anchorId="10B695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02065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F553" w14:textId="0A663855" w:rsidR="00E80C00" w:rsidRPr="00296529" w:rsidRDefault="008E2A48" w:rsidP="00296529">
    <w:pPr>
      <w:ind w:left="2160"/>
      <w:jc w:val="center"/>
      <w:rPr>
        <w:rFonts w:ascii="Times New Roman" w:eastAsia="Calibri" w:hAnsi="Times New Roman"/>
        <w:i/>
        <w:sz w:val="18"/>
        <w:szCs w:val="22"/>
      </w:rPr>
    </w:pPr>
    <w:r>
      <w:rPr>
        <w:noProof/>
      </w:rPr>
      <w:pict w14:anchorId="401BED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02065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76F5C26" w14:textId="77777777" w:rsidR="00E80C00" w:rsidRPr="00296529" w:rsidRDefault="00E80C0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62F11DF" w14:textId="77777777" w:rsidR="00E80C00" w:rsidRPr="00296529" w:rsidRDefault="00E80C0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6CD596C" w14:textId="77777777" w:rsidR="00E80C00" w:rsidRPr="00296529" w:rsidRDefault="00E80C0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EEC7408" w14:textId="77777777" w:rsidR="00E80C00" w:rsidRDefault="00E80C0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02C0AAE" w14:textId="77777777" w:rsidR="00E80C00" w:rsidRDefault="00E80C0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4A2A2C1" w14:textId="77777777" w:rsidR="00E80C00" w:rsidRDefault="00E80C00">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36D2257"/>
    <w:multiLevelType w:val="hybridMultilevel"/>
    <w:tmpl w:val="225A29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C7945"/>
    <w:rsid w:val="000D689F"/>
    <w:rsid w:val="000E0F8F"/>
    <w:rsid w:val="000E7B7B"/>
    <w:rsid w:val="000E7D62"/>
    <w:rsid w:val="00103357"/>
    <w:rsid w:val="00123C9F"/>
    <w:rsid w:val="00126190"/>
    <w:rsid w:val="00130F17"/>
    <w:rsid w:val="001320BF"/>
    <w:rsid w:val="001518A9"/>
    <w:rsid w:val="0015240E"/>
    <w:rsid w:val="00163BC4"/>
    <w:rsid w:val="00191062"/>
    <w:rsid w:val="00192B72"/>
    <w:rsid w:val="001A29D8"/>
    <w:rsid w:val="001A5CAA"/>
    <w:rsid w:val="001B0427"/>
    <w:rsid w:val="001B7F4D"/>
    <w:rsid w:val="001D3A51"/>
    <w:rsid w:val="001E10D2"/>
    <w:rsid w:val="001E25B4"/>
    <w:rsid w:val="001E44FE"/>
    <w:rsid w:val="00200595"/>
    <w:rsid w:val="00204835"/>
    <w:rsid w:val="002128F9"/>
    <w:rsid w:val="00231920"/>
    <w:rsid w:val="0023195C"/>
    <w:rsid w:val="0024282C"/>
    <w:rsid w:val="002460DC"/>
    <w:rsid w:val="00250985"/>
    <w:rsid w:val="002556F6"/>
    <w:rsid w:val="00283105"/>
    <w:rsid w:val="00284C4C"/>
    <w:rsid w:val="00287E68"/>
    <w:rsid w:val="00296529"/>
    <w:rsid w:val="002B27FB"/>
    <w:rsid w:val="002B685A"/>
    <w:rsid w:val="002C57D2"/>
    <w:rsid w:val="002D2904"/>
    <w:rsid w:val="002E0D56"/>
    <w:rsid w:val="00302E66"/>
    <w:rsid w:val="00315186"/>
    <w:rsid w:val="003157DB"/>
    <w:rsid w:val="0033343E"/>
    <w:rsid w:val="003351AC"/>
    <w:rsid w:val="003512C2"/>
    <w:rsid w:val="00361590"/>
    <w:rsid w:val="00371FB6"/>
    <w:rsid w:val="003763C1"/>
    <w:rsid w:val="00376BBE"/>
    <w:rsid w:val="003871D0"/>
    <w:rsid w:val="0039224F"/>
    <w:rsid w:val="00392378"/>
    <w:rsid w:val="003A43A4"/>
    <w:rsid w:val="003A7E18"/>
    <w:rsid w:val="003C4C86"/>
    <w:rsid w:val="003C6258"/>
    <w:rsid w:val="003E2904"/>
    <w:rsid w:val="003E5042"/>
    <w:rsid w:val="003F4AB7"/>
    <w:rsid w:val="00401927"/>
    <w:rsid w:val="0041027F"/>
    <w:rsid w:val="00412475"/>
    <w:rsid w:val="00412BAB"/>
    <w:rsid w:val="00423789"/>
    <w:rsid w:val="00440F43"/>
    <w:rsid w:val="00441B6F"/>
    <w:rsid w:val="00446221"/>
    <w:rsid w:val="00450E62"/>
    <w:rsid w:val="004539DB"/>
    <w:rsid w:val="00471A80"/>
    <w:rsid w:val="004D305E"/>
    <w:rsid w:val="004D4277"/>
    <w:rsid w:val="004F0E02"/>
    <w:rsid w:val="00502516"/>
    <w:rsid w:val="00505F06"/>
    <w:rsid w:val="00506828"/>
    <w:rsid w:val="0053056E"/>
    <w:rsid w:val="00554FDA"/>
    <w:rsid w:val="005A2A23"/>
    <w:rsid w:val="005C784C"/>
    <w:rsid w:val="005D17F6"/>
    <w:rsid w:val="005E5539"/>
    <w:rsid w:val="00602BF5"/>
    <w:rsid w:val="00617FDD"/>
    <w:rsid w:val="00633614"/>
    <w:rsid w:val="00633F68"/>
    <w:rsid w:val="00636EB2"/>
    <w:rsid w:val="006375B8"/>
    <w:rsid w:val="0066510A"/>
    <w:rsid w:val="00673F9F"/>
    <w:rsid w:val="00676CF7"/>
    <w:rsid w:val="006834EA"/>
    <w:rsid w:val="00686953"/>
    <w:rsid w:val="00687DEA"/>
    <w:rsid w:val="00687E67"/>
    <w:rsid w:val="006967F7"/>
    <w:rsid w:val="006A250C"/>
    <w:rsid w:val="006B21D3"/>
    <w:rsid w:val="006B3CFE"/>
    <w:rsid w:val="006B57D0"/>
    <w:rsid w:val="006D30FF"/>
    <w:rsid w:val="006D6940"/>
    <w:rsid w:val="006E3859"/>
    <w:rsid w:val="006F11EC"/>
    <w:rsid w:val="0070082C"/>
    <w:rsid w:val="00726AB2"/>
    <w:rsid w:val="007369E6"/>
    <w:rsid w:val="00746E59"/>
    <w:rsid w:val="00754C9A"/>
    <w:rsid w:val="0075599A"/>
    <w:rsid w:val="00761D52"/>
    <w:rsid w:val="0077749E"/>
    <w:rsid w:val="00790ADA"/>
    <w:rsid w:val="007D2288"/>
    <w:rsid w:val="007E088F"/>
    <w:rsid w:val="007F197B"/>
    <w:rsid w:val="007F7B32"/>
    <w:rsid w:val="00801057"/>
    <w:rsid w:val="00804BC2"/>
    <w:rsid w:val="0081431A"/>
    <w:rsid w:val="0083216F"/>
    <w:rsid w:val="00860000"/>
    <w:rsid w:val="00863BD3"/>
    <w:rsid w:val="008641ED"/>
    <w:rsid w:val="00866D66"/>
    <w:rsid w:val="008671C6"/>
    <w:rsid w:val="00875803"/>
    <w:rsid w:val="00897830"/>
    <w:rsid w:val="008B459E"/>
    <w:rsid w:val="008C1D2E"/>
    <w:rsid w:val="008E13AE"/>
    <w:rsid w:val="008E1506"/>
    <w:rsid w:val="008E2A48"/>
    <w:rsid w:val="008E710C"/>
    <w:rsid w:val="008F69D6"/>
    <w:rsid w:val="00902823"/>
    <w:rsid w:val="0091325C"/>
    <w:rsid w:val="00915CA6"/>
    <w:rsid w:val="00927834"/>
    <w:rsid w:val="009500A6"/>
    <w:rsid w:val="00957C18"/>
    <w:rsid w:val="009659BA"/>
    <w:rsid w:val="00982D55"/>
    <w:rsid w:val="00983040"/>
    <w:rsid w:val="009B3FB9"/>
    <w:rsid w:val="009B4A98"/>
    <w:rsid w:val="009C2465"/>
    <w:rsid w:val="009D35A0"/>
    <w:rsid w:val="009D7EB7"/>
    <w:rsid w:val="009E048A"/>
    <w:rsid w:val="009E08E9"/>
    <w:rsid w:val="009E3DB9"/>
    <w:rsid w:val="009E6E35"/>
    <w:rsid w:val="009F0EDA"/>
    <w:rsid w:val="00A03637"/>
    <w:rsid w:val="00A03B96"/>
    <w:rsid w:val="00A05B19"/>
    <w:rsid w:val="00A1134E"/>
    <w:rsid w:val="00A24E7E"/>
    <w:rsid w:val="00A258C3"/>
    <w:rsid w:val="00A347C0"/>
    <w:rsid w:val="00A51431"/>
    <w:rsid w:val="00A539AD"/>
    <w:rsid w:val="00A94063"/>
    <w:rsid w:val="00AA6219"/>
    <w:rsid w:val="00AA74E0"/>
    <w:rsid w:val="00AB2F0A"/>
    <w:rsid w:val="00AB703F"/>
    <w:rsid w:val="00AC6BB8"/>
    <w:rsid w:val="00AE008F"/>
    <w:rsid w:val="00B01FCD"/>
    <w:rsid w:val="00B1776C"/>
    <w:rsid w:val="00B231EB"/>
    <w:rsid w:val="00B52583"/>
    <w:rsid w:val="00B52896"/>
    <w:rsid w:val="00B95236"/>
    <w:rsid w:val="00B96BD9"/>
    <w:rsid w:val="00BA1B01"/>
    <w:rsid w:val="00BA2641"/>
    <w:rsid w:val="00BA6270"/>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A08CB"/>
    <w:rsid w:val="00CC51A1"/>
    <w:rsid w:val="00CD6755"/>
    <w:rsid w:val="00CD6856"/>
    <w:rsid w:val="00CE0089"/>
    <w:rsid w:val="00CE793C"/>
    <w:rsid w:val="00CF193C"/>
    <w:rsid w:val="00D173F1"/>
    <w:rsid w:val="00D350BD"/>
    <w:rsid w:val="00D57016"/>
    <w:rsid w:val="00D74CB0"/>
    <w:rsid w:val="00D8295D"/>
    <w:rsid w:val="00DA03FE"/>
    <w:rsid w:val="00DC2A65"/>
    <w:rsid w:val="00DE15F0"/>
    <w:rsid w:val="00DE5663"/>
    <w:rsid w:val="00DE78AA"/>
    <w:rsid w:val="00E02310"/>
    <w:rsid w:val="00E053D0"/>
    <w:rsid w:val="00E142D4"/>
    <w:rsid w:val="00E15994"/>
    <w:rsid w:val="00E3114E"/>
    <w:rsid w:val="00E31A70"/>
    <w:rsid w:val="00E35B02"/>
    <w:rsid w:val="00E66496"/>
    <w:rsid w:val="00E66B35"/>
    <w:rsid w:val="00E66E10"/>
    <w:rsid w:val="00E769F6"/>
    <w:rsid w:val="00E80C00"/>
    <w:rsid w:val="00E8407C"/>
    <w:rsid w:val="00E84F3C"/>
    <w:rsid w:val="00E94E4F"/>
    <w:rsid w:val="00EA012C"/>
    <w:rsid w:val="00EC6A55"/>
    <w:rsid w:val="00ED0288"/>
    <w:rsid w:val="00EE52CB"/>
    <w:rsid w:val="00EF581D"/>
    <w:rsid w:val="00EF7FD8"/>
    <w:rsid w:val="00F06F59"/>
    <w:rsid w:val="00F17988"/>
    <w:rsid w:val="00F469F0"/>
    <w:rsid w:val="00F53273"/>
    <w:rsid w:val="00F755E4"/>
    <w:rsid w:val="00F77D02"/>
    <w:rsid w:val="00FB3A86"/>
    <w:rsid w:val="00FB5A6C"/>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4DB7A3A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6834E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E0231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E0231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982D55"/>
    <w:pPr>
      <w:spacing w:after="120"/>
    </w:pPr>
  </w:style>
  <w:style w:type="character" w:customStyle="1" w:styleId="BodyTextChar">
    <w:name w:val="Body Text Char"/>
    <w:basedOn w:val="DefaultParagraphFont"/>
    <w:link w:val="BodyText"/>
    <w:semiHidden/>
    <w:rsid w:val="00982D55"/>
    <w:rPr>
      <w:rFonts w:ascii="Helvetica" w:hAnsi="Helvetica"/>
    </w:rPr>
  </w:style>
  <w:style w:type="character" w:customStyle="1" w:styleId="Heading2Char">
    <w:name w:val="Heading 2 Char"/>
    <w:basedOn w:val="DefaultParagraphFont"/>
    <w:link w:val="Heading2"/>
    <w:semiHidden/>
    <w:rsid w:val="006834E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E0231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E02310"/>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5941331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5795804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9726172">
      <w:bodyDiv w:val="1"/>
      <w:marLeft w:val="0"/>
      <w:marRight w:val="0"/>
      <w:marTop w:val="0"/>
      <w:marBottom w:val="0"/>
      <w:divBdr>
        <w:top w:val="none" w:sz="0" w:space="0" w:color="auto"/>
        <w:left w:val="none" w:sz="0" w:space="0" w:color="auto"/>
        <w:bottom w:val="none" w:sz="0" w:space="0" w:color="auto"/>
        <w:right w:val="none" w:sz="0" w:space="0" w:color="auto"/>
      </w:divBdr>
    </w:div>
    <w:div w:id="20418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aoac.org/official-methods-of-analysis/" TargetMode="External"/><Relationship Id="rId26" Type="http://schemas.openxmlformats.org/officeDocument/2006/relationships/hyperlink" Target="https://www.ecronicon.com/ECNU/ECNU-12-00040.pdf" TargetMode="External"/><Relationship Id="rId39" Type="http://schemas.openxmlformats.org/officeDocument/2006/relationships/hyperlink" Target="https://doi.org/10.1111/j.1745-4573.2004.tb00684.x" TargetMode="External"/><Relationship Id="rId21" Type="http://schemas.openxmlformats.org/officeDocument/2006/relationships/hyperlink" Target="https://doi.org/10.5713/ab.20.0831" TargetMode="External"/><Relationship Id="rId34" Type="http://schemas.openxmlformats.org/officeDocument/2006/relationships/hyperlink" Target="https://www.thepharmajournal.com/archives/2019/vol8issue7/PartC/8-7-10-700.html" TargetMode="External"/><Relationship Id="rId42" Type="http://schemas.openxmlformats.org/officeDocument/2006/relationships/hyperlink" Target="https://advetresearch.com/index.php/AVR/article/view/1239" TargetMode="External"/><Relationship Id="rId47" Type="http://schemas.openxmlformats.org/officeDocument/2006/relationships/hyperlink" Target="https://doi.org/10.1007/s13197-020-04787-7" TargetMode="External"/><Relationship Id="rId50" Type="http://schemas.openxmlformats.org/officeDocument/2006/relationships/hyperlink" Target="https://www.simonandschuster.com/books/Pickled-Potted-and-Canned/Sue-Shephard/9780743255530" TargetMode="External"/><Relationship Id="rId55" Type="http://schemas.openxmlformats.org/officeDocument/2006/relationships/hyperlink" Target="https://doi.org/10.51584/IJRIAS.2024.91101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ijfoodmicro.2013.04.019" TargetMode="External"/><Relationship Id="rId29" Type="http://schemas.openxmlformats.org/officeDocument/2006/relationships/hyperlink" Target="https://doi.org/10.1080/00439339.2022.2092437" TargetMode="External"/><Relationship Id="rId11" Type="http://schemas.openxmlformats.org/officeDocument/2006/relationships/footer" Target="footer2.xml"/><Relationship Id="rId24" Type="http://schemas.openxmlformats.org/officeDocument/2006/relationships/hyperlink" Target="https://doi.org/10.71147/4xk8wy44" TargetMode="External"/><Relationship Id="rId32" Type="http://schemas.openxmlformats.org/officeDocument/2006/relationships/hyperlink" Target="https://doi.org/10.21608/avmj.2022.113633.1047" TargetMode="External"/><Relationship Id="rId37" Type="http://schemas.openxmlformats.org/officeDocument/2006/relationships/hyperlink" Target="https://doi.org/10.1002/(SICI)1097-0010(19990315)79:4%3c493::AID-JSFA276%3e3.0.CO;2-J" TargetMode="External"/><Relationship Id="rId40" Type="http://schemas.openxmlformats.org/officeDocument/2006/relationships/hyperlink" Target="https://doi.org/10.5897/IJNAM2013.0151" TargetMode="External"/><Relationship Id="rId45" Type="http://schemas.openxmlformats.org/officeDocument/2006/relationships/hyperlink" Target="https://doi.org/10.21059/buletinpeternak.v34i1.107" TargetMode="External"/><Relationship Id="rId53" Type="http://schemas.openxmlformats.org/officeDocument/2006/relationships/hyperlink" Target="https://doi.org/10.21608/jsasj.2021.222585"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doi.org/10.11648/j.jfns.20221003.1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4302/crpjfst/2023.15.1.12" TargetMode="External"/><Relationship Id="rId22" Type="http://schemas.openxmlformats.org/officeDocument/2006/relationships/hyperlink" Target="https://doi.org/10.9734/AFSJ/2022/v21i1030469" TargetMode="External"/><Relationship Id="rId27" Type="http://schemas.openxmlformats.org/officeDocument/2006/relationships/hyperlink" Target="https://www.sohu.com/a/540011298_121123923" TargetMode="External"/><Relationship Id="rId30" Type="http://schemas.openxmlformats.org/officeDocument/2006/relationships/hyperlink" Target="https://doi.org/10.21608/EJFS.2024.264618.1175" TargetMode="External"/><Relationship Id="rId35" Type="http://schemas.openxmlformats.org/officeDocument/2006/relationships/hyperlink" Target="https://doi.org/10.21608/bvmj.2020.46777.1285" TargetMode="External"/><Relationship Id="rId43" Type="http://schemas.openxmlformats.org/officeDocument/2006/relationships/hyperlink" Target="https://doi.org/10.1007/978-981-19-6974-4_13" TargetMode="External"/><Relationship Id="rId48" Type="http://schemas.openxmlformats.org/officeDocument/2006/relationships/hyperlink" Target="https://doi.org/10.1016/j.fbio.2014.05.008" TargetMode="External"/><Relationship Id="rId56" Type="http://schemas.openxmlformats.org/officeDocument/2006/relationships/hyperlink" Target="https://hrcak.srce.hr/2169" TargetMode="External"/><Relationship Id="rId8" Type="http://schemas.openxmlformats.org/officeDocument/2006/relationships/header" Target="header1.xml"/><Relationship Id="rId51" Type="http://schemas.openxmlformats.org/officeDocument/2006/relationships/hyperlink" Target="https://www.wiley.com/en-us/Statistical+Methods,+8th+Edition-p-9780813815619"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88/1755-1315/425/1/012031" TargetMode="External"/><Relationship Id="rId25" Type="http://schemas.openxmlformats.org/officeDocument/2006/relationships/hyperlink" Target="https://doi.org/10.5713/ajas.15.0840" TargetMode="External"/><Relationship Id="rId33" Type="http://schemas.openxmlformats.org/officeDocument/2006/relationships/hyperlink" Target="https://doi.org/10.26656/fr.2017.4(2).341" TargetMode="External"/><Relationship Id="rId38" Type="http://schemas.openxmlformats.org/officeDocument/2006/relationships/hyperlink" Target="https://doi.org/10.1016/j.foodchem.2005.09.071" TargetMode="External"/><Relationship Id="rId46" Type="http://schemas.openxmlformats.org/officeDocument/2006/relationships/hyperlink" Target="https://doi.org/10.1111/1750-3841.16825" TargetMode="External"/><Relationship Id="rId59" Type="http://schemas.openxmlformats.org/officeDocument/2006/relationships/theme" Target="theme/theme1.xml"/><Relationship Id="rId20" Type="http://schemas.openxmlformats.org/officeDocument/2006/relationships/hyperlink" Target="http://hdl.handle.net/123456789/3790" TargetMode="External"/><Relationship Id="rId41" Type="http://schemas.openxmlformats.org/officeDocument/2006/relationships/hyperlink" Target="https://doi.org/10.1016/j.foodcont.2014.08.030" TargetMode="External"/><Relationship Id="rId54" Type="http://schemas.openxmlformats.org/officeDocument/2006/relationships/hyperlink" Target="https://www.eos.org.eg/en/purchase-and-search-egyptian-standards/349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9734/ajarr/2022/v16i10431" TargetMode="External"/><Relationship Id="rId23" Type="http://schemas.openxmlformats.org/officeDocument/2006/relationships/hyperlink" Target="http://www.ifrj.upm.edu.my/25%20(05)%202018/(33)%20IFRJ%2025%20(05)%202018%20Berhimpon.pdf" TargetMode="External"/><Relationship Id="rId28" Type="http://schemas.openxmlformats.org/officeDocument/2006/relationships/hyperlink" Target="https://doi.org/10.1016/j.ejar.2019.08.005" TargetMode="External"/><Relationship Id="rId36" Type="http://schemas.openxmlformats.org/officeDocument/2006/relationships/hyperlink" Target="https://doi.org/10.1016/j.foodchem.2004.01.044" TargetMode="External"/><Relationship Id="rId49" Type="http://schemas.openxmlformats.org/officeDocument/2006/relationships/hyperlink" Target="https://doi.org/10.20546/ijcmas.2020.907.165" TargetMode="External"/><Relationship Id="rId57" Type="http://schemas.openxmlformats.org/officeDocument/2006/relationships/hyperlink" Target="https://doi.org/10.1021/jf60087a011" TargetMode="External"/><Relationship Id="rId10" Type="http://schemas.openxmlformats.org/officeDocument/2006/relationships/footer" Target="footer1.xml"/><Relationship Id="rId31" Type="http://schemas.openxmlformats.org/officeDocument/2006/relationships/hyperlink" Target="https://doi.org/10.1016/j.foodchem.2004.09.040" TargetMode="External"/><Relationship Id="rId44" Type="http://schemas.openxmlformats.org/officeDocument/2006/relationships/hyperlink" Target="https://doi.org/10.1016/B978-0-443-15291-7.00022-5" TargetMode="External"/><Relationship Id="rId52" Type="http://schemas.openxmlformats.org/officeDocument/2006/relationships/hyperlink" Target="https://doi.org/10.1016/j.ifset.2016.10.0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9FE9E-76AA-4134-A945-41CE32F9A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106</TotalTime>
  <Pages>14</Pages>
  <Words>7032</Words>
  <Characters>40085</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47023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37</cp:revision>
  <cp:lastPrinted>1999-07-06T11:00:00Z</cp:lastPrinted>
  <dcterms:created xsi:type="dcterms:W3CDTF">2014-10-25T14:34:00Z</dcterms:created>
  <dcterms:modified xsi:type="dcterms:W3CDTF">2025-12-22T10:16:00Z</dcterms:modified>
</cp:coreProperties>
</file>