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7DC7D" w14:textId="77777777" w:rsidR="00030885" w:rsidRDefault="00030885" w:rsidP="00441B6F">
      <w:pPr>
        <w:pStyle w:val="Author"/>
        <w:spacing w:line="240" w:lineRule="auto"/>
        <w:rPr>
          <w:rFonts w:ascii="Arial" w:hAnsi="Arial" w:cs="Arial"/>
          <w:bCs/>
          <w:iCs/>
          <w:kern w:val="28"/>
          <w:sz w:val="36"/>
        </w:rPr>
      </w:pPr>
      <w:r w:rsidRPr="00030885">
        <w:rPr>
          <w:rFonts w:ascii="Arial" w:hAnsi="Arial" w:cs="Arial"/>
          <w:bCs/>
          <w:iCs/>
          <w:kern w:val="28"/>
          <w:sz w:val="36"/>
        </w:rPr>
        <w:t>Original Research Article</w:t>
      </w:r>
    </w:p>
    <w:p w14:paraId="11BBA797" w14:textId="77777777" w:rsidR="00030885" w:rsidRDefault="00030885" w:rsidP="00441B6F">
      <w:pPr>
        <w:pStyle w:val="Author"/>
        <w:spacing w:line="240" w:lineRule="auto"/>
        <w:rPr>
          <w:rFonts w:ascii="Arial" w:hAnsi="Arial" w:cs="Arial"/>
          <w:bCs/>
          <w:iCs/>
          <w:kern w:val="28"/>
          <w:sz w:val="36"/>
        </w:rPr>
      </w:pPr>
    </w:p>
    <w:p w14:paraId="339C3C16" w14:textId="2405E8AB" w:rsidR="00163BC4" w:rsidRPr="00163BC4" w:rsidRDefault="00B721C2" w:rsidP="00441B6F">
      <w:pPr>
        <w:pStyle w:val="Author"/>
        <w:spacing w:line="240" w:lineRule="auto"/>
        <w:rPr>
          <w:rFonts w:ascii="Arial" w:hAnsi="Arial" w:cs="Arial"/>
          <w:bCs/>
          <w:iCs/>
          <w:kern w:val="28"/>
          <w:sz w:val="36"/>
        </w:rPr>
      </w:pPr>
      <w:r w:rsidRPr="00B721C2">
        <w:rPr>
          <w:rFonts w:ascii="Arial" w:hAnsi="Arial" w:cs="Arial"/>
          <w:bCs/>
          <w:iCs/>
          <w:kern w:val="28"/>
          <w:sz w:val="36"/>
        </w:rPr>
        <w:t>Efficacy Assessment of Enzyme-</w:t>
      </w:r>
      <w:r>
        <w:rPr>
          <w:rFonts w:ascii="Arial" w:hAnsi="Arial" w:cs="Arial"/>
          <w:bCs/>
          <w:iCs/>
          <w:kern w:val="28"/>
          <w:sz w:val="36"/>
        </w:rPr>
        <w:t>enrich</w:t>
      </w:r>
      <w:r w:rsidRPr="00B721C2">
        <w:rPr>
          <w:rFonts w:ascii="Arial" w:hAnsi="Arial" w:cs="Arial"/>
          <w:bCs/>
          <w:iCs/>
          <w:kern w:val="28"/>
          <w:sz w:val="36"/>
        </w:rPr>
        <w:t xml:space="preserve">ed Diets for </w:t>
      </w:r>
      <w:r>
        <w:rPr>
          <w:rFonts w:ascii="Arial" w:hAnsi="Arial" w:cs="Arial"/>
          <w:bCs/>
          <w:iCs/>
          <w:kern w:val="28"/>
          <w:sz w:val="36"/>
        </w:rPr>
        <w:t>Production</w:t>
      </w:r>
      <w:r w:rsidRPr="00B721C2">
        <w:rPr>
          <w:rFonts w:ascii="Arial" w:hAnsi="Arial" w:cs="Arial"/>
          <w:bCs/>
          <w:iCs/>
          <w:kern w:val="28"/>
          <w:sz w:val="36"/>
        </w:rPr>
        <w:t xml:space="preserve"> Performance and Flesh Quality </w:t>
      </w:r>
      <w:r w:rsidR="00D14E85">
        <w:rPr>
          <w:rFonts w:ascii="Arial" w:hAnsi="Arial" w:cs="Arial"/>
          <w:bCs/>
          <w:iCs/>
          <w:kern w:val="28"/>
          <w:sz w:val="36"/>
        </w:rPr>
        <w:t xml:space="preserve">of </w:t>
      </w:r>
      <w:proofErr w:type="spellStart"/>
      <w:r w:rsidRPr="00B721C2">
        <w:rPr>
          <w:rFonts w:ascii="Arial" w:hAnsi="Arial" w:cs="Arial"/>
          <w:bCs/>
          <w:i/>
          <w:kern w:val="28"/>
          <w:sz w:val="36"/>
        </w:rPr>
        <w:t>Catla</w:t>
      </w:r>
      <w:proofErr w:type="spellEnd"/>
      <w:r w:rsidRPr="00B721C2">
        <w:rPr>
          <w:rFonts w:ascii="Arial" w:hAnsi="Arial" w:cs="Arial"/>
          <w:bCs/>
          <w:i/>
          <w:kern w:val="28"/>
          <w:sz w:val="36"/>
        </w:rPr>
        <w:t xml:space="preserve"> </w:t>
      </w:r>
      <w:proofErr w:type="spellStart"/>
      <w:r w:rsidRPr="00B721C2">
        <w:rPr>
          <w:rFonts w:ascii="Arial" w:hAnsi="Arial" w:cs="Arial"/>
          <w:bCs/>
          <w:i/>
          <w:kern w:val="28"/>
          <w:sz w:val="36"/>
        </w:rPr>
        <w:t>catla</w:t>
      </w:r>
      <w:proofErr w:type="spellEnd"/>
    </w:p>
    <w:p w14:paraId="0BB9F967" w14:textId="77777777" w:rsidR="00A258C3" w:rsidRPr="00790ADA" w:rsidRDefault="00A258C3" w:rsidP="00441B6F">
      <w:pPr>
        <w:pStyle w:val="Author"/>
        <w:spacing w:line="240" w:lineRule="auto"/>
        <w:jc w:val="both"/>
        <w:rPr>
          <w:rFonts w:ascii="Arial" w:hAnsi="Arial" w:cs="Arial"/>
          <w:sz w:val="36"/>
        </w:rPr>
      </w:pPr>
    </w:p>
    <w:p w14:paraId="3EE69E8B" w14:textId="77777777" w:rsidR="00F6592F" w:rsidRDefault="00F6592F" w:rsidP="00441B6F">
      <w:pPr>
        <w:pStyle w:val="Affiliation"/>
        <w:spacing w:after="0" w:line="240" w:lineRule="auto"/>
        <w:rPr>
          <w:rFonts w:ascii="Arial" w:hAnsi="Arial" w:cs="Arial"/>
          <w:i/>
        </w:rPr>
      </w:pPr>
    </w:p>
    <w:p w14:paraId="555560F1" w14:textId="77777777" w:rsidR="002C57D2" w:rsidRPr="00FB3A86" w:rsidRDefault="002C57D2" w:rsidP="00441B6F">
      <w:pPr>
        <w:pStyle w:val="Affiliation"/>
        <w:spacing w:after="0" w:line="240" w:lineRule="auto"/>
        <w:jc w:val="both"/>
        <w:rPr>
          <w:rFonts w:ascii="Arial" w:hAnsi="Arial" w:cs="Arial"/>
        </w:rPr>
      </w:pPr>
    </w:p>
    <w:p w14:paraId="092A5F17" w14:textId="77777777" w:rsidR="00B01FCD" w:rsidRDefault="00015B6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C593942" wp14:editId="6FEA721B">
                <wp:extent cx="5303520" cy="635"/>
                <wp:effectExtent l="15240" t="11430" r="15240" b="17145"/>
                <wp:docPr id="14018159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9DF8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pWighyUCAABFBAAADgAAAAAAAAAAAAAAAAAuAgAAZHJzL2Uyb0RvYy54bWxQSwEC&#10;LQAUAAYACAAAACEAScjSt9YAAAACAQAADwAAAAAAAAAAAAAAAAB/BAAAZHJzL2Rvd25yZXYueG1s&#10;UEsFBgAAAAAEAAQA8wAAAIIFAAAAAA==&#10;" strokeweight="1.5pt">
                <w10:anchorlock/>
              </v:shape>
            </w:pict>
          </mc:Fallback>
        </mc:AlternateContent>
      </w:r>
    </w:p>
    <w:p w14:paraId="4774EA59" w14:textId="0D9FE670" w:rsidR="0078381A" w:rsidRPr="00FB3A86" w:rsidRDefault="0078381A" w:rsidP="00441B6F">
      <w:pPr>
        <w:pStyle w:val="Copyright"/>
        <w:spacing w:after="0" w:line="240" w:lineRule="auto"/>
        <w:jc w:val="both"/>
        <w:rPr>
          <w:rFonts w:ascii="Arial" w:hAnsi="Arial" w:cs="Arial"/>
        </w:rPr>
        <w:sectPr w:rsidR="0078381A" w:rsidRPr="00FB3A86" w:rsidSect="009837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36DDCEE" w14:textId="77777777" w:rsidR="0078381A" w:rsidRDefault="0078381A" w:rsidP="00441B6F">
      <w:pPr>
        <w:pStyle w:val="AbstHead"/>
        <w:spacing w:after="0"/>
        <w:jc w:val="both"/>
        <w:rPr>
          <w:rFonts w:ascii="Arial" w:hAnsi="Arial" w:cs="Arial"/>
        </w:rPr>
      </w:pPr>
    </w:p>
    <w:p w14:paraId="6B4F2847" w14:textId="239D45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C924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5E1017F" w14:textId="77777777" w:rsidTr="001E44FE">
        <w:tc>
          <w:tcPr>
            <w:tcW w:w="9576" w:type="dxa"/>
            <w:shd w:val="clear" w:color="auto" w:fill="F2F2F2"/>
          </w:tcPr>
          <w:p w14:paraId="1D3ADB63" w14:textId="3BEA7E9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0078C">
              <w:rPr>
                <w:rFonts w:ascii="Arial" w:eastAsia="Calibri" w:hAnsi="Arial" w:cs="Arial"/>
                <w:szCs w:val="22"/>
              </w:rPr>
              <w:t>With</w:t>
            </w:r>
            <w:r w:rsidR="00A0078C" w:rsidRPr="00A0078C">
              <w:rPr>
                <w:rFonts w:ascii="Arial" w:eastAsia="Calibri" w:hAnsi="Arial" w:cs="Arial"/>
                <w:szCs w:val="22"/>
              </w:rPr>
              <w:t xml:space="preserve"> the rising application of additives in feed-based aquaculture systems in Bangladesh, a feeding trial was conducted to assess the effe</w:t>
            </w:r>
            <w:r w:rsidR="0010530B">
              <w:rPr>
                <w:rFonts w:ascii="Arial" w:eastAsia="Calibri" w:hAnsi="Arial" w:cs="Arial"/>
                <w:szCs w:val="22"/>
              </w:rPr>
              <w:t>cts of exogenous enzyme-enriched</w:t>
            </w:r>
            <w:r w:rsidR="00A0078C" w:rsidRPr="00A0078C">
              <w:rPr>
                <w:rFonts w:ascii="Arial" w:eastAsia="Calibri" w:hAnsi="Arial" w:cs="Arial"/>
                <w:szCs w:val="22"/>
              </w:rPr>
              <w:t xml:space="preserve"> feeds on the growth, flesh composition, and palatability of an Indian major carp, </w:t>
            </w:r>
            <w:proofErr w:type="spellStart"/>
            <w:r w:rsidR="00A0078C" w:rsidRPr="00A0078C">
              <w:rPr>
                <w:rFonts w:ascii="Arial" w:eastAsia="Calibri" w:hAnsi="Arial" w:cs="Arial"/>
                <w:i/>
                <w:iCs/>
                <w:szCs w:val="22"/>
              </w:rPr>
              <w:t>Catla</w:t>
            </w:r>
            <w:proofErr w:type="spellEnd"/>
            <w:r w:rsidR="00A0078C" w:rsidRPr="00A0078C">
              <w:rPr>
                <w:rFonts w:ascii="Arial" w:eastAsia="Calibri" w:hAnsi="Arial" w:cs="Arial"/>
                <w:szCs w:val="22"/>
              </w:rPr>
              <w:t xml:space="preserve"> </w:t>
            </w:r>
            <w:proofErr w:type="spellStart"/>
            <w:r w:rsidR="00A0078C" w:rsidRPr="00A0078C">
              <w:rPr>
                <w:rFonts w:ascii="Arial" w:eastAsia="Calibri" w:hAnsi="Arial" w:cs="Arial"/>
                <w:i/>
                <w:iCs/>
                <w:szCs w:val="22"/>
              </w:rPr>
              <w:t>catla</w:t>
            </w:r>
            <w:proofErr w:type="spellEnd"/>
            <w:r w:rsidRPr="00BA1B01">
              <w:rPr>
                <w:rFonts w:ascii="Arial" w:eastAsia="Calibri" w:hAnsi="Arial" w:cs="Arial"/>
                <w:szCs w:val="22"/>
              </w:rPr>
              <w:t>.</w:t>
            </w:r>
          </w:p>
          <w:p w14:paraId="4A0AE1D5" w14:textId="0FB3017C" w:rsidR="00406E5C"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06E5C" w:rsidRPr="00406E5C">
              <w:rPr>
                <w:rFonts w:ascii="Arial" w:eastAsia="Calibri" w:hAnsi="Arial" w:cs="Arial"/>
                <w:szCs w:val="22"/>
              </w:rPr>
              <w:t>A commercial feed additive (Aquazyme Plus) served as an enzyme source at doses of 0.0, 2.0, 4.0, and 6.0 g</w:t>
            </w:r>
            <w:r w:rsidR="00406E5C">
              <w:rPr>
                <w:rFonts w:ascii="Arial" w:eastAsia="Calibri" w:hAnsi="Arial" w:cs="Arial"/>
                <w:szCs w:val="22"/>
              </w:rPr>
              <w:t>.</w:t>
            </w:r>
            <w:r w:rsidR="00406E5C" w:rsidRPr="00406E5C">
              <w:rPr>
                <w:rFonts w:ascii="Arial" w:eastAsia="Calibri" w:hAnsi="Arial" w:cs="Arial"/>
                <w:szCs w:val="22"/>
              </w:rPr>
              <w:t>kg</w:t>
            </w:r>
            <w:r w:rsidR="00406E5C" w:rsidRPr="00406E5C">
              <w:rPr>
                <w:rFonts w:ascii="Arial" w:eastAsia="Calibri" w:hAnsi="Arial" w:cs="Arial"/>
                <w:szCs w:val="22"/>
                <w:vertAlign w:val="superscript"/>
              </w:rPr>
              <w:t>-1</w:t>
            </w:r>
            <w:r w:rsidR="00406E5C" w:rsidRPr="00406E5C">
              <w:rPr>
                <w:rFonts w:ascii="Arial" w:eastAsia="Calibri" w:hAnsi="Arial" w:cs="Arial"/>
                <w:szCs w:val="22"/>
              </w:rPr>
              <w:t xml:space="preserve"> feed to prepare four test feeds designated as four treatments, namely T1 (control), T2, T3, and T4, respectively. The four treatments were organized in a fully randomized design</w:t>
            </w:r>
            <w:r w:rsidR="00680B4B">
              <w:rPr>
                <w:rFonts w:ascii="Arial" w:eastAsia="Calibri" w:hAnsi="Arial" w:cs="Arial"/>
                <w:szCs w:val="22"/>
              </w:rPr>
              <w:t xml:space="preserve"> </w:t>
            </w:r>
            <w:r w:rsidR="00406E5C" w:rsidRPr="00406E5C">
              <w:rPr>
                <w:rFonts w:ascii="Arial" w:eastAsia="Calibri" w:hAnsi="Arial" w:cs="Arial"/>
                <w:szCs w:val="22"/>
              </w:rPr>
              <w:t>throughout the fixed cages, with three replications for each.</w:t>
            </w:r>
          </w:p>
          <w:p w14:paraId="580E6510" w14:textId="270917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0078C">
              <w:rPr>
                <w:rFonts w:ascii="Arial" w:eastAsia="Calibri" w:hAnsi="Arial" w:cs="Arial"/>
                <w:szCs w:val="22"/>
              </w:rPr>
              <w:t xml:space="preserve">The experiment was carried out </w:t>
            </w:r>
            <w:r w:rsidR="00A0078C" w:rsidRPr="00A0078C">
              <w:rPr>
                <w:rFonts w:ascii="Arial" w:eastAsia="Calibri" w:hAnsi="Arial" w:cs="Arial"/>
                <w:szCs w:val="22"/>
              </w:rPr>
              <w:t>over three months</w:t>
            </w:r>
            <w:r w:rsidR="00A0078C">
              <w:rPr>
                <w:rFonts w:ascii="Arial" w:eastAsia="Calibri" w:hAnsi="Arial" w:cs="Arial"/>
                <w:szCs w:val="22"/>
              </w:rPr>
              <w:t xml:space="preserve"> </w:t>
            </w:r>
            <w:r w:rsidR="00A0078C" w:rsidRPr="00A0078C">
              <w:rPr>
                <w:rFonts w:ascii="Arial" w:eastAsia="Calibri" w:hAnsi="Arial" w:cs="Arial"/>
                <w:szCs w:val="22"/>
              </w:rPr>
              <w:t>(from April to June 202</w:t>
            </w:r>
            <w:r w:rsidR="0010530B">
              <w:rPr>
                <w:rFonts w:ascii="Arial" w:eastAsia="Calibri" w:hAnsi="Arial" w:cs="Arial"/>
                <w:szCs w:val="22"/>
              </w:rPr>
              <w:t>1</w:t>
            </w:r>
            <w:r w:rsidR="00A0078C" w:rsidRPr="00A0078C">
              <w:rPr>
                <w:rFonts w:ascii="Arial" w:eastAsia="Calibri" w:hAnsi="Arial" w:cs="Arial"/>
                <w:szCs w:val="22"/>
              </w:rPr>
              <w:t>) in 12 cages located in a fish pond at the Department of Fisheries, University of Rajshahi, Bangladesh</w:t>
            </w:r>
            <w:r w:rsidR="00A0078C">
              <w:rPr>
                <w:rFonts w:ascii="Arial" w:eastAsia="Calibri" w:hAnsi="Arial" w:cs="Arial"/>
                <w:szCs w:val="22"/>
              </w:rPr>
              <w:t>.</w:t>
            </w:r>
          </w:p>
          <w:p w14:paraId="3B480A21" w14:textId="7688A39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06E5C" w:rsidRPr="00406E5C">
              <w:rPr>
                <w:rFonts w:ascii="Arial" w:eastAsia="Calibri" w:hAnsi="Arial" w:cs="Arial"/>
                <w:szCs w:val="22"/>
              </w:rPr>
              <w:t>Parameters of growth and feed utilization, including weight gain, specific growth rate (SGR), feed conversion ratio (FCR), and survival rate, along with the proximate composition of fish flesh (e.g., crude protein, lipid, carbohydrate, ash, and moisture content) and palatability properties (e.g., flavor, taste, and texture) of cooked flesh, were assessed using standardized methods and formulas</w:t>
            </w:r>
            <w:r w:rsidRPr="00BA1B01">
              <w:rPr>
                <w:rFonts w:ascii="Arial" w:eastAsia="Calibri" w:hAnsi="Arial" w:cs="Arial"/>
                <w:szCs w:val="22"/>
              </w:rPr>
              <w:t>.</w:t>
            </w:r>
          </w:p>
          <w:p w14:paraId="080FD3BA" w14:textId="0F2CED38" w:rsidR="00406E5C" w:rsidRDefault="00BA1B01" w:rsidP="00406E5C">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06E5C" w:rsidRPr="00406E5C">
              <w:rPr>
                <w:rFonts w:ascii="Arial" w:eastAsia="Calibri" w:hAnsi="Arial" w:cs="Arial"/>
                <w:szCs w:val="22"/>
              </w:rPr>
              <w:t>The findings showed notably greater weight gain and SGR in the fish from T4, followed by those from T3, T2, and T1. The fish in T4 showed the best FCR value, in addition to greater flesh protein and lipid content than the other treatments. The sensory evaluation of organoleptic qualities revealed that the fish flesh from T4 received the highest palatability scores, while the control fish had the lowest scores</w:t>
            </w:r>
            <w:r w:rsidR="00406E5C">
              <w:rPr>
                <w:rFonts w:ascii="Arial" w:eastAsia="Calibri" w:hAnsi="Arial" w:cs="Arial"/>
                <w:szCs w:val="22"/>
              </w:rPr>
              <w:t>.</w:t>
            </w:r>
          </w:p>
          <w:p w14:paraId="4196EBCD" w14:textId="4D35C93A" w:rsidR="00505F06" w:rsidRPr="00BA1B01" w:rsidRDefault="00BA1B01" w:rsidP="00406E5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06E5C">
              <w:rPr>
                <w:rFonts w:ascii="Arial" w:eastAsia="Calibri" w:hAnsi="Arial" w:cs="Arial"/>
                <w:szCs w:val="22"/>
              </w:rPr>
              <w:t>The</w:t>
            </w:r>
            <w:r w:rsidR="00406E5C" w:rsidRPr="00406E5C">
              <w:rPr>
                <w:rFonts w:ascii="Arial" w:eastAsia="Calibri" w:hAnsi="Arial" w:cs="Arial"/>
                <w:szCs w:val="22"/>
              </w:rPr>
              <w:t xml:space="preserve"> addition of exogenous enzymes to the diets enhances the growth, flesh quality, and palatability of </w:t>
            </w:r>
            <w:r w:rsidR="00406E5C" w:rsidRPr="00406E5C">
              <w:rPr>
                <w:rFonts w:ascii="Arial" w:eastAsia="Calibri" w:hAnsi="Arial" w:cs="Arial"/>
                <w:i/>
                <w:iCs/>
                <w:szCs w:val="22"/>
              </w:rPr>
              <w:t>C</w:t>
            </w:r>
            <w:r w:rsidR="00406E5C" w:rsidRPr="00406E5C">
              <w:rPr>
                <w:rFonts w:ascii="Arial" w:eastAsia="Calibri" w:hAnsi="Arial" w:cs="Arial"/>
                <w:szCs w:val="22"/>
              </w:rPr>
              <w:t xml:space="preserve">. </w:t>
            </w:r>
            <w:r w:rsidR="00406E5C" w:rsidRPr="00406E5C">
              <w:rPr>
                <w:rFonts w:ascii="Arial" w:eastAsia="Calibri" w:hAnsi="Arial" w:cs="Arial"/>
                <w:i/>
                <w:iCs/>
                <w:szCs w:val="22"/>
              </w:rPr>
              <w:t>catla</w:t>
            </w:r>
            <w:r w:rsidR="00406E5C" w:rsidRPr="00406E5C">
              <w:rPr>
                <w:rFonts w:ascii="Arial" w:eastAsia="Calibri" w:hAnsi="Arial" w:cs="Arial"/>
                <w:szCs w:val="22"/>
              </w:rPr>
              <w:t>, with the supplement at 6.0 g</w:t>
            </w:r>
            <w:r w:rsidR="00406E5C">
              <w:rPr>
                <w:rFonts w:ascii="Arial" w:eastAsia="Calibri" w:hAnsi="Arial" w:cs="Arial"/>
                <w:szCs w:val="22"/>
              </w:rPr>
              <w:t>.</w:t>
            </w:r>
            <w:r w:rsidR="00406E5C" w:rsidRPr="00406E5C">
              <w:rPr>
                <w:rFonts w:ascii="Arial" w:eastAsia="Calibri" w:hAnsi="Arial" w:cs="Arial"/>
                <w:szCs w:val="22"/>
              </w:rPr>
              <w:t>kg</w:t>
            </w:r>
            <w:r w:rsidR="00406E5C" w:rsidRPr="00406E5C">
              <w:rPr>
                <w:rFonts w:ascii="Arial" w:eastAsia="Calibri" w:hAnsi="Arial" w:cs="Arial"/>
                <w:szCs w:val="22"/>
                <w:vertAlign w:val="superscript"/>
              </w:rPr>
              <w:t>-1</w:t>
            </w:r>
            <w:r w:rsidR="00406E5C" w:rsidRPr="00406E5C">
              <w:rPr>
                <w:rFonts w:ascii="Arial" w:eastAsia="Calibri" w:hAnsi="Arial" w:cs="Arial"/>
                <w:szCs w:val="22"/>
              </w:rPr>
              <w:t xml:space="preserve"> feed showing superior outcomes for this fish species. </w:t>
            </w:r>
          </w:p>
        </w:tc>
      </w:tr>
    </w:tbl>
    <w:p w14:paraId="34033FCD" w14:textId="77777777" w:rsidR="00636EB2" w:rsidRDefault="00636EB2" w:rsidP="00441B6F">
      <w:pPr>
        <w:pStyle w:val="Body"/>
        <w:spacing w:after="0"/>
        <w:rPr>
          <w:rFonts w:ascii="Arial" w:hAnsi="Arial" w:cs="Arial"/>
          <w:i/>
        </w:rPr>
      </w:pPr>
    </w:p>
    <w:p w14:paraId="7BB36D11" w14:textId="25E02851" w:rsidR="00A24E7E" w:rsidRDefault="00A24E7E" w:rsidP="00441B6F">
      <w:pPr>
        <w:pStyle w:val="Body"/>
        <w:spacing w:after="0"/>
        <w:rPr>
          <w:rFonts w:ascii="Arial" w:hAnsi="Arial" w:cs="Arial"/>
          <w:i/>
        </w:rPr>
      </w:pPr>
      <w:r w:rsidRPr="00A073AC">
        <w:rPr>
          <w:rFonts w:ascii="Arial" w:hAnsi="Arial" w:cs="Arial"/>
          <w:b/>
          <w:i/>
        </w:rPr>
        <w:t>Keywords:</w:t>
      </w:r>
      <w:r>
        <w:rPr>
          <w:rFonts w:ascii="Arial" w:hAnsi="Arial" w:cs="Arial"/>
          <w:i/>
        </w:rPr>
        <w:t xml:space="preserve"> </w:t>
      </w:r>
      <w:r w:rsidR="00D14E85">
        <w:rPr>
          <w:rFonts w:ascii="Arial" w:hAnsi="Arial" w:cs="Arial"/>
          <w:i/>
        </w:rPr>
        <w:t>Enz</w:t>
      </w:r>
      <w:r w:rsidR="00F459CF" w:rsidRPr="00F459CF">
        <w:rPr>
          <w:rFonts w:ascii="Arial" w:hAnsi="Arial" w:cs="Arial"/>
          <w:i/>
        </w:rPr>
        <w:t>yme</w:t>
      </w:r>
      <w:r w:rsidR="009A4812">
        <w:rPr>
          <w:rFonts w:ascii="Arial" w:hAnsi="Arial" w:cs="Arial"/>
          <w:i/>
        </w:rPr>
        <w:t>;</w:t>
      </w:r>
      <w:r w:rsidR="00F459CF" w:rsidRPr="00F459CF">
        <w:rPr>
          <w:rFonts w:ascii="Arial" w:hAnsi="Arial" w:cs="Arial"/>
          <w:i/>
        </w:rPr>
        <w:t xml:space="preserve"> feed</w:t>
      </w:r>
      <w:r w:rsidR="009A4812">
        <w:rPr>
          <w:rFonts w:ascii="Arial" w:hAnsi="Arial" w:cs="Arial"/>
          <w:i/>
        </w:rPr>
        <w:t>;</w:t>
      </w:r>
      <w:r w:rsidR="00B721C2">
        <w:rPr>
          <w:rFonts w:ascii="Arial" w:hAnsi="Arial" w:cs="Arial"/>
          <w:i/>
        </w:rPr>
        <w:t xml:space="preserve"> growth;</w:t>
      </w:r>
      <w:r w:rsidR="00F459CF" w:rsidRPr="00F459CF">
        <w:rPr>
          <w:rFonts w:ascii="Arial" w:hAnsi="Arial" w:cs="Arial"/>
          <w:i/>
        </w:rPr>
        <w:t xml:space="preserve"> </w:t>
      </w:r>
      <w:r w:rsidR="00B721C2">
        <w:rPr>
          <w:rFonts w:ascii="Arial" w:hAnsi="Arial" w:cs="Arial"/>
          <w:i/>
        </w:rPr>
        <w:t>proximate</w:t>
      </w:r>
      <w:r w:rsidR="00F459CF" w:rsidRPr="00F459CF">
        <w:rPr>
          <w:rFonts w:ascii="Arial" w:hAnsi="Arial" w:cs="Arial"/>
          <w:i/>
        </w:rPr>
        <w:t xml:space="preserve"> composition</w:t>
      </w:r>
      <w:r w:rsidR="009A4812">
        <w:rPr>
          <w:rFonts w:ascii="Arial" w:hAnsi="Arial" w:cs="Arial"/>
          <w:i/>
        </w:rPr>
        <w:t>;</w:t>
      </w:r>
      <w:r w:rsidR="00F459CF" w:rsidRPr="00F459CF">
        <w:rPr>
          <w:rFonts w:ascii="Arial" w:hAnsi="Arial" w:cs="Arial"/>
          <w:i/>
        </w:rPr>
        <w:t xml:space="preserve"> palatability</w:t>
      </w:r>
    </w:p>
    <w:p w14:paraId="1D159070" w14:textId="77777777" w:rsidR="0024282C" w:rsidRDefault="0024282C" w:rsidP="00441B6F">
      <w:pPr>
        <w:pStyle w:val="Body"/>
        <w:spacing w:after="0"/>
        <w:rPr>
          <w:rFonts w:ascii="Arial" w:hAnsi="Arial" w:cs="Arial"/>
          <w:i/>
          <w:sz w:val="18"/>
        </w:rPr>
      </w:pPr>
    </w:p>
    <w:p w14:paraId="5F52CBF0" w14:textId="77777777" w:rsidR="00505F06" w:rsidRPr="00A24E7E" w:rsidRDefault="00505F06" w:rsidP="00441B6F">
      <w:pPr>
        <w:pStyle w:val="Body"/>
        <w:spacing w:after="0"/>
        <w:rPr>
          <w:rFonts w:ascii="Arial" w:hAnsi="Arial" w:cs="Arial"/>
          <w:i/>
        </w:rPr>
      </w:pPr>
    </w:p>
    <w:p w14:paraId="06669952" w14:textId="412770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149E2E" w14:textId="77777777" w:rsidR="00790ADA" w:rsidRPr="00FB3A86" w:rsidRDefault="00790ADA" w:rsidP="00441B6F">
      <w:pPr>
        <w:pStyle w:val="AbstHead"/>
        <w:spacing w:after="0"/>
        <w:jc w:val="both"/>
        <w:rPr>
          <w:rFonts w:ascii="Arial" w:hAnsi="Arial" w:cs="Arial"/>
        </w:rPr>
      </w:pPr>
    </w:p>
    <w:p w14:paraId="2039CEED" w14:textId="5B96CF59" w:rsidR="000271DB" w:rsidRDefault="000271DB" w:rsidP="000271DB">
      <w:pPr>
        <w:pStyle w:val="Body"/>
        <w:rPr>
          <w:rFonts w:ascii="Arial" w:hAnsi="Arial" w:cs="Arial"/>
        </w:rPr>
      </w:pPr>
      <w:r w:rsidRPr="000271DB">
        <w:rPr>
          <w:rFonts w:ascii="Arial" w:hAnsi="Arial" w:cs="Arial"/>
        </w:rPr>
        <w:t xml:space="preserve">Aquaculture is recognized as the most rapidly expanding sector of agribusiness, making it an important part of the worldwide food supply (FAO, 2014). In recent decades, Bangladesh's aquaculture sector has experienced significant growth, ranking it as the fifth-largest producer globally (FAO, 2023). Aquaculture in Bangladesh is progressing towards intensification </w:t>
      </w:r>
      <w:r w:rsidR="00D14E85">
        <w:rPr>
          <w:rFonts w:ascii="Arial" w:hAnsi="Arial" w:cs="Arial"/>
        </w:rPr>
        <w:t>due to the increasing demand for food fish and the declining</w:t>
      </w:r>
      <w:r w:rsidRPr="000271DB">
        <w:rPr>
          <w:rFonts w:ascii="Arial" w:hAnsi="Arial" w:cs="Arial"/>
        </w:rPr>
        <w:t xml:space="preserve"> production from capture fisheries. </w:t>
      </w:r>
      <w:r w:rsidRPr="000271DB">
        <w:rPr>
          <w:rFonts w:ascii="Arial" w:hAnsi="Arial" w:cs="Arial"/>
        </w:rPr>
        <w:lastRenderedPageBreak/>
        <w:t>Nonetheless, aquaculture production must depend on artificial feeds in intensive cultivation systems. Successful fish farming from a scientific perspective requires the use of feeds that are environmentally sustainable, financially feasible, and nutritionally adequate. The growing trend of feed-oriented aquaculture practices in Bangladesh has, in turn, resulted in an unparalleled demand for feed. To satisfy this growing need for feed, numerous feed companies have increased their operations in the country. Many manufacturing companies struggle to deliver quality feed as a result of insufficient quality feed components, the incorporation of contaminated materials, and various other reasons (Khatun et al., 2017).</w:t>
      </w:r>
    </w:p>
    <w:p w14:paraId="3E1F0B63" w14:textId="6B7FC873" w:rsidR="000271DB" w:rsidRPr="000271DB" w:rsidRDefault="000271DB" w:rsidP="000271DB">
      <w:pPr>
        <w:pStyle w:val="Body"/>
        <w:rPr>
          <w:rFonts w:ascii="Arial" w:hAnsi="Arial" w:cs="Arial"/>
        </w:rPr>
      </w:pPr>
      <w:r w:rsidRPr="000271DB">
        <w:rPr>
          <w:rFonts w:ascii="Arial" w:hAnsi="Arial" w:cs="Arial"/>
        </w:rPr>
        <w:t>Owing to elevated expenses and the deceptive nutritional claims of commercial feed, there is a growing emphasis on locally obtained plant-based feed components combined with different feed additives to formulate aqua feed for producing larger-sized fish in northwestern Bangladesh. Exogenous enzymes are commonly used as additives in animal feed (Menezes-Blackburn and Greiner, 2015). Different enzymes, including cellulase (β-</w:t>
      </w:r>
      <w:proofErr w:type="spellStart"/>
      <w:r w:rsidRPr="000271DB">
        <w:rPr>
          <w:rFonts w:ascii="Arial" w:hAnsi="Arial" w:cs="Arial"/>
        </w:rPr>
        <w:t>glucanases</w:t>
      </w:r>
      <w:proofErr w:type="spellEnd"/>
      <w:r w:rsidRPr="000271DB">
        <w:rPr>
          <w:rFonts w:ascii="Arial" w:hAnsi="Arial" w:cs="Arial"/>
        </w:rPr>
        <w:t>), xylanases, and similar enzymes such as phytase, proteases, lipases, and galactosidases, have been utilized in aquaculture practices (</w:t>
      </w:r>
      <w:proofErr w:type="spellStart"/>
      <w:r w:rsidRPr="000271DB">
        <w:rPr>
          <w:rFonts w:ascii="Arial" w:hAnsi="Arial" w:cs="Arial"/>
        </w:rPr>
        <w:t>Ghomi</w:t>
      </w:r>
      <w:proofErr w:type="spellEnd"/>
      <w:r w:rsidRPr="000271DB">
        <w:rPr>
          <w:rFonts w:ascii="Arial" w:hAnsi="Arial" w:cs="Arial"/>
        </w:rPr>
        <w:t xml:space="preserve"> et al., 2012; </w:t>
      </w:r>
      <w:proofErr w:type="spellStart"/>
      <w:r w:rsidRPr="000271DB">
        <w:rPr>
          <w:rFonts w:ascii="Arial" w:hAnsi="Arial" w:cs="Arial"/>
        </w:rPr>
        <w:t>Hlophe</w:t>
      </w:r>
      <w:r w:rsidRPr="000271DB">
        <w:rPr>
          <w:rFonts w:ascii="Cambria Math" w:hAnsi="Cambria Math" w:cs="Cambria Math"/>
        </w:rPr>
        <w:t>‐</w:t>
      </w:r>
      <w:r w:rsidRPr="000271DB">
        <w:rPr>
          <w:rFonts w:ascii="Arial" w:hAnsi="Arial" w:cs="Arial"/>
        </w:rPr>
        <w:t>Ginindza</w:t>
      </w:r>
      <w:proofErr w:type="spellEnd"/>
      <w:r w:rsidRPr="000271DB">
        <w:rPr>
          <w:rFonts w:ascii="Arial" w:hAnsi="Arial" w:cs="Arial"/>
        </w:rPr>
        <w:t xml:space="preserve"> et al., 2016; Maas et al., 2018). The inclusion of exogenous enzymes in feed boosts protein and carbohydrate digestibility, leading to better feed conversion and increased fish growth (Ali </w:t>
      </w:r>
      <w:proofErr w:type="spellStart"/>
      <w:r w:rsidRPr="000271DB">
        <w:rPr>
          <w:rFonts w:ascii="Arial" w:hAnsi="Arial" w:cs="Arial"/>
        </w:rPr>
        <w:t>Zamini</w:t>
      </w:r>
      <w:proofErr w:type="spellEnd"/>
      <w:r w:rsidRPr="000271DB">
        <w:rPr>
          <w:rFonts w:ascii="Arial" w:hAnsi="Arial" w:cs="Arial"/>
        </w:rPr>
        <w:t xml:space="preserve"> et al., 2014). The addition of exogenous enzymes can aid in counteracting the impact of anti-nutritional elements and enhance the efficiency of energy utilization from the diet (Soltan, 2009). Research shows that incorporating enzymes into fish feed enhances the fish's capacity to absorb minerals and other nutrients (Liang et al., 2022). The development of a fish feed incorporating exogenous enzymes offers numerous advantages, such as enhanced digestibility and growth performance, as demonstrated in </w:t>
      </w:r>
      <w:r w:rsidRPr="00E83348">
        <w:rPr>
          <w:rFonts w:ascii="Arial" w:hAnsi="Arial" w:cs="Arial"/>
          <w:i/>
          <w:iCs/>
        </w:rPr>
        <w:t>Clarias</w:t>
      </w:r>
      <w:r w:rsidRPr="000271DB">
        <w:rPr>
          <w:rFonts w:ascii="Arial" w:hAnsi="Arial" w:cs="Arial"/>
        </w:rPr>
        <w:t xml:space="preserve"> </w:t>
      </w:r>
      <w:r w:rsidRPr="00E83348">
        <w:rPr>
          <w:rFonts w:ascii="Arial" w:hAnsi="Arial" w:cs="Arial"/>
          <w:i/>
          <w:iCs/>
        </w:rPr>
        <w:t>batrachus</w:t>
      </w:r>
      <w:r w:rsidRPr="000271DB">
        <w:rPr>
          <w:rFonts w:ascii="Arial" w:hAnsi="Arial" w:cs="Arial"/>
        </w:rPr>
        <w:t xml:space="preserve"> (Giri et al., 2003), </w:t>
      </w:r>
      <w:r w:rsidRPr="00E83348">
        <w:rPr>
          <w:rFonts w:ascii="Arial" w:hAnsi="Arial" w:cs="Arial"/>
          <w:i/>
          <w:iCs/>
        </w:rPr>
        <w:t>Pangasius</w:t>
      </w:r>
      <w:r w:rsidRPr="000271DB">
        <w:rPr>
          <w:rFonts w:ascii="Arial" w:hAnsi="Arial" w:cs="Arial"/>
        </w:rPr>
        <w:t xml:space="preserve"> </w:t>
      </w:r>
      <w:proofErr w:type="spellStart"/>
      <w:r w:rsidRPr="00E83348">
        <w:rPr>
          <w:rFonts w:ascii="Arial" w:hAnsi="Arial" w:cs="Arial"/>
          <w:i/>
          <w:iCs/>
        </w:rPr>
        <w:t>pangasius</w:t>
      </w:r>
      <w:proofErr w:type="spellEnd"/>
      <w:r w:rsidRPr="000271DB">
        <w:rPr>
          <w:rFonts w:ascii="Arial" w:hAnsi="Arial" w:cs="Arial"/>
        </w:rPr>
        <w:t xml:space="preserve"> (Debnath et al., 2005), </w:t>
      </w:r>
      <w:r w:rsidRPr="00E83348">
        <w:rPr>
          <w:rFonts w:ascii="Arial" w:hAnsi="Arial" w:cs="Arial"/>
          <w:i/>
          <w:iCs/>
        </w:rPr>
        <w:t>Oreochromis</w:t>
      </w:r>
      <w:r w:rsidRPr="000271DB">
        <w:rPr>
          <w:rFonts w:ascii="Arial" w:hAnsi="Arial" w:cs="Arial"/>
        </w:rPr>
        <w:t xml:space="preserve"> </w:t>
      </w:r>
      <w:r w:rsidRPr="00E83348">
        <w:rPr>
          <w:rFonts w:ascii="Arial" w:hAnsi="Arial" w:cs="Arial"/>
          <w:i/>
          <w:iCs/>
        </w:rPr>
        <w:t>niloticus</w:t>
      </w:r>
      <w:r w:rsidRPr="000271DB">
        <w:rPr>
          <w:rFonts w:ascii="Arial" w:hAnsi="Arial" w:cs="Arial"/>
        </w:rPr>
        <w:t xml:space="preserve"> (Maas et al., 2018), and </w:t>
      </w:r>
      <w:r w:rsidRPr="00E83348">
        <w:rPr>
          <w:rFonts w:ascii="Arial" w:hAnsi="Arial" w:cs="Arial"/>
          <w:i/>
          <w:iCs/>
        </w:rPr>
        <w:t>Labeo</w:t>
      </w:r>
      <w:r w:rsidRPr="000271DB">
        <w:rPr>
          <w:rFonts w:ascii="Arial" w:hAnsi="Arial" w:cs="Arial"/>
        </w:rPr>
        <w:t xml:space="preserve"> </w:t>
      </w:r>
      <w:r w:rsidRPr="00E83348">
        <w:rPr>
          <w:rFonts w:ascii="Arial" w:hAnsi="Arial" w:cs="Arial"/>
          <w:i/>
          <w:iCs/>
        </w:rPr>
        <w:t>rohita</w:t>
      </w:r>
      <w:r w:rsidRPr="000271DB">
        <w:rPr>
          <w:rFonts w:ascii="Arial" w:hAnsi="Arial" w:cs="Arial"/>
        </w:rPr>
        <w:t xml:space="preserve"> (Rahman and Sarker, 2019).</w:t>
      </w:r>
    </w:p>
    <w:p w14:paraId="404D68F8" w14:textId="77777777" w:rsidR="000271DB" w:rsidRDefault="000271DB" w:rsidP="000271DB">
      <w:pPr>
        <w:pStyle w:val="Body"/>
        <w:spacing w:after="0"/>
        <w:rPr>
          <w:rFonts w:ascii="Arial" w:hAnsi="Arial" w:cs="Arial"/>
        </w:rPr>
      </w:pPr>
      <w:r w:rsidRPr="000271DB">
        <w:rPr>
          <w:rFonts w:ascii="Arial" w:hAnsi="Arial" w:cs="Arial"/>
        </w:rPr>
        <w:t xml:space="preserve">However, the primary contributor to global aquaculture supply is the production of carps (Wang and Lu, 2016). </w:t>
      </w:r>
      <w:proofErr w:type="spellStart"/>
      <w:r w:rsidRPr="000271DB">
        <w:rPr>
          <w:rFonts w:ascii="Arial" w:hAnsi="Arial" w:cs="Arial"/>
        </w:rPr>
        <w:t>Catla</w:t>
      </w:r>
      <w:proofErr w:type="spellEnd"/>
      <w:r w:rsidRPr="000271DB">
        <w:rPr>
          <w:rFonts w:ascii="Arial" w:hAnsi="Arial" w:cs="Arial"/>
        </w:rPr>
        <w:t xml:space="preserve"> </w:t>
      </w:r>
      <w:proofErr w:type="spellStart"/>
      <w:r w:rsidRPr="000271DB">
        <w:rPr>
          <w:rFonts w:ascii="Arial" w:hAnsi="Arial" w:cs="Arial"/>
        </w:rPr>
        <w:t>catla</w:t>
      </w:r>
      <w:proofErr w:type="spellEnd"/>
      <w:r w:rsidRPr="000271DB">
        <w:rPr>
          <w:rFonts w:ascii="Arial" w:hAnsi="Arial" w:cs="Arial"/>
        </w:rPr>
        <w:t xml:space="preserve"> is one of the most commonly cultured species in carp polyculture systems in Bangladesh. This species is in great demand in the market due to its nutritional value. Incorporating a proper quantity of exogenous enzymes into the feed can boost the growth of this fish species. Regrettably, certain farmers apply these enzymes haphazardly without comprehending their impacts or the correct dosage. Therefore, it is essential to explore the impacts of exogenous enzyme-enriched feed at different dosages on the growth, flesh composition, and palatability of carp fish. Numerous studies have been conducted on the impacts of dietary exogenous enzyme supplementation on fish growth in various countries globally (</w:t>
      </w:r>
      <w:proofErr w:type="spellStart"/>
      <w:r w:rsidRPr="000271DB">
        <w:rPr>
          <w:rFonts w:ascii="Arial" w:hAnsi="Arial" w:cs="Arial"/>
        </w:rPr>
        <w:t>Ghomi</w:t>
      </w:r>
      <w:proofErr w:type="spellEnd"/>
      <w:r w:rsidRPr="000271DB">
        <w:rPr>
          <w:rFonts w:ascii="Arial" w:hAnsi="Arial" w:cs="Arial"/>
        </w:rPr>
        <w:t xml:space="preserve"> et al., 2012; Ali </w:t>
      </w:r>
      <w:proofErr w:type="spellStart"/>
      <w:r w:rsidRPr="000271DB">
        <w:rPr>
          <w:rFonts w:ascii="Arial" w:hAnsi="Arial" w:cs="Arial"/>
        </w:rPr>
        <w:t>Zamini</w:t>
      </w:r>
      <w:proofErr w:type="spellEnd"/>
      <w:r w:rsidRPr="000271DB">
        <w:rPr>
          <w:rFonts w:ascii="Arial" w:hAnsi="Arial" w:cs="Arial"/>
        </w:rPr>
        <w:t xml:space="preserve"> et al., 2014; Maas et al., 2018; Rahman and Sarker, 2019), yet there is limited research regarding the effects of dietary exogenous enzyme enrichment on carp fish in Bangladesh. The present research aimed to assess the impact of enzyme-enriched feed on the growth, flesh composition, and palatability of </w:t>
      </w:r>
      <w:r w:rsidRPr="00C761F0">
        <w:rPr>
          <w:rFonts w:ascii="Arial" w:hAnsi="Arial" w:cs="Arial"/>
          <w:i/>
          <w:iCs/>
        </w:rPr>
        <w:t>C</w:t>
      </w:r>
      <w:r w:rsidRPr="000271DB">
        <w:rPr>
          <w:rFonts w:ascii="Arial" w:hAnsi="Arial" w:cs="Arial"/>
        </w:rPr>
        <w:t xml:space="preserve">. </w:t>
      </w:r>
      <w:r w:rsidRPr="00C761F0">
        <w:rPr>
          <w:rFonts w:ascii="Arial" w:hAnsi="Arial" w:cs="Arial"/>
          <w:i/>
          <w:iCs/>
        </w:rPr>
        <w:t>catla</w:t>
      </w:r>
      <w:r w:rsidRPr="000271DB">
        <w:rPr>
          <w:rFonts w:ascii="Arial" w:hAnsi="Arial" w:cs="Arial"/>
        </w:rPr>
        <w:t>, a potential Indian major carp species cultured in Bangladesh's feed-based aquaculture system.</w:t>
      </w:r>
    </w:p>
    <w:p w14:paraId="595ED7E2" w14:textId="77777777" w:rsidR="00790ADA" w:rsidRPr="00FB3A86" w:rsidRDefault="00790ADA" w:rsidP="00441B6F">
      <w:pPr>
        <w:pStyle w:val="Body"/>
        <w:spacing w:after="0"/>
        <w:rPr>
          <w:rFonts w:ascii="Arial" w:hAnsi="Arial" w:cs="Arial"/>
        </w:rPr>
      </w:pPr>
    </w:p>
    <w:p w14:paraId="04E3F7D6" w14:textId="3B676547" w:rsidR="00790ADA" w:rsidRDefault="00902823" w:rsidP="00441B6F">
      <w:pPr>
        <w:pStyle w:val="AbstHead"/>
        <w:spacing w:after="0"/>
        <w:jc w:val="both"/>
        <w:rPr>
          <w:rFonts w:ascii="Arial" w:hAnsi="Arial" w:cs="Arial"/>
        </w:rPr>
      </w:pPr>
      <w:r>
        <w:rPr>
          <w:rFonts w:ascii="Arial" w:hAnsi="Arial" w:cs="Arial"/>
        </w:rPr>
        <w:t xml:space="preserve">2. </w:t>
      </w:r>
      <w:r w:rsidR="00E0040F">
        <w:rPr>
          <w:rFonts w:ascii="Arial" w:hAnsi="Arial" w:cs="Arial"/>
        </w:rPr>
        <w:t>Materials</w:t>
      </w:r>
      <w:r>
        <w:rPr>
          <w:rFonts w:ascii="Arial" w:hAnsi="Arial" w:cs="Arial"/>
        </w:rPr>
        <w:t xml:space="preserve"> and </w:t>
      </w:r>
      <w:r w:rsidR="00E0040F">
        <w:rPr>
          <w:rFonts w:ascii="Arial" w:hAnsi="Arial" w:cs="Arial"/>
        </w:rPr>
        <w:t>Methods</w:t>
      </w:r>
      <w:r w:rsidR="00000F8F">
        <w:rPr>
          <w:rFonts w:ascii="Arial" w:hAnsi="Arial" w:cs="Arial"/>
        </w:rPr>
        <w:t xml:space="preserve"> </w:t>
      </w:r>
    </w:p>
    <w:p w14:paraId="77213901" w14:textId="77777777" w:rsidR="00C761F0" w:rsidRPr="00FB3A86" w:rsidRDefault="00C761F0" w:rsidP="00441B6F">
      <w:pPr>
        <w:pStyle w:val="AbstHead"/>
        <w:spacing w:after="0"/>
        <w:jc w:val="both"/>
        <w:rPr>
          <w:rFonts w:ascii="Arial" w:hAnsi="Arial" w:cs="Arial"/>
        </w:rPr>
      </w:pPr>
    </w:p>
    <w:p w14:paraId="7969C446" w14:textId="77777777" w:rsidR="0086499E" w:rsidRDefault="000271DB" w:rsidP="00441B6F">
      <w:pPr>
        <w:pStyle w:val="Body"/>
        <w:spacing w:after="0"/>
        <w:rPr>
          <w:rFonts w:ascii="Arial" w:hAnsi="Arial" w:cs="Arial"/>
          <w:b/>
          <w:bCs/>
          <w:sz w:val="22"/>
          <w:szCs w:val="22"/>
        </w:rPr>
      </w:pPr>
      <w:r w:rsidRPr="000271DB">
        <w:rPr>
          <w:rFonts w:ascii="Arial" w:hAnsi="Arial" w:cs="Arial"/>
          <w:b/>
          <w:bCs/>
          <w:sz w:val="22"/>
          <w:szCs w:val="22"/>
        </w:rPr>
        <w:t xml:space="preserve">2.1 Experiment </w:t>
      </w:r>
      <w:r>
        <w:rPr>
          <w:rFonts w:ascii="Arial" w:hAnsi="Arial" w:cs="Arial"/>
          <w:b/>
          <w:bCs/>
          <w:sz w:val="22"/>
          <w:szCs w:val="22"/>
        </w:rPr>
        <w:t>S</w:t>
      </w:r>
      <w:r w:rsidRPr="000271DB">
        <w:rPr>
          <w:rFonts w:ascii="Arial" w:hAnsi="Arial" w:cs="Arial"/>
          <w:b/>
          <w:bCs/>
          <w:sz w:val="22"/>
          <w:szCs w:val="22"/>
        </w:rPr>
        <w:t>ite</w:t>
      </w:r>
    </w:p>
    <w:p w14:paraId="5DC9EA04" w14:textId="37880D0F" w:rsidR="000271DB" w:rsidRPr="000271DB" w:rsidRDefault="000271DB" w:rsidP="00441B6F">
      <w:pPr>
        <w:pStyle w:val="Body"/>
        <w:spacing w:after="0"/>
        <w:rPr>
          <w:rFonts w:ascii="Arial" w:hAnsi="Arial" w:cs="Arial"/>
          <w:b/>
          <w:bCs/>
          <w:sz w:val="22"/>
          <w:szCs w:val="22"/>
        </w:rPr>
      </w:pPr>
      <w:r w:rsidRPr="000271DB">
        <w:rPr>
          <w:rFonts w:ascii="Arial" w:hAnsi="Arial" w:cs="Arial"/>
          <w:b/>
          <w:bCs/>
          <w:sz w:val="22"/>
          <w:szCs w:val="22"/>
        </w:rPr>
        <w:t xml:space="preserve"> </w:t>
      </w:r>
    </w:p>
    <w:p w14:paraId="5C7A0FF0" w14:textId="77777777" w:rsidR="000271DB" w:rsidRDefault="000271DB" w:rsidP="00441B6F">
      <w:pPr>
        <w:pStyle w:val="Body"/>
        <w:spacing w:after="0"/>
        <w:rPr>
          <w:rFonts w:ascii="Arial" w:hAnsi="Arial" w:cs="Arial"/>
        </w:rPr>
      </w:pPr>
      <w:r w:rsidRPr="000271DB">
        <w:rPr>
          <w:rFonts w:ascii="Arial" w:hAnsi="Arial" w:cs="Arial"/>
        </w:rPr>
        <w:t>The experiment was conducted in twelve cages placed in a fish pond at the Department of Fisheries, University of Rajshahi, Rajshahi, Bangladesh, over ninety days (from April to June 2021). Twelve iron-frame cages, each with dimensions of 2.72 m3, were covered with a synthetic nylon knotless net (5-millimeter mesh size) featuring an opening at the top for feeding and sampling, along with a feeding tray suspended from the upper part. The cages were installed on a bamboo platform 10cm above the surface of the pond bottom.</w:t>
      </w:r>
    </w:p>
    <w:p w14:paraId="3E9650B3" w14:textId="77777777" w:rsidR="00481F76" w:rsidRDefault="00481F76" w:rsidP="00441B6F">
      <w:pPr>
        <w:pStyle w:val="Body"/>
        <w:spacing w:after="0"/>
        <w:rPr>
          <w:rFonts w:ascii="Arial" w:hAnsi="Arial" w:cs="Arial"/>
        </w:rPr>
      </w:pPr>
    </w:p>
    <w:p w14:paraId="71BFC9AC" w14:textId="634C9E45" w:rsidR="000271DB" w:rsidRDefault="00A13457" w:rsidP="00441B6F">
      <w:pPr>
        <w:pStyle w:val="Body"/>
        <w:spacing w:after="0"/>
        <w:rPr>
          <w:rFonts w:ascii="Arial" w:hAnsi="Arial" w:cs="Arial"/>
        </w:rPr>
      </w:pPr>
      <w:r w:rsidRPr="003D2CCD">
        <w:rPr>
          <w:rFonts w:ascii="Times New Roman" w:hAnsi="Times New Roman"/>
          <w:noProof/>
          <w:color w:val="000000" w:themeColor="text1"/>
          <w:sz w:val="24"/>
          <w:szCs w:val="24"/>
        </w:rPr>
        <w:lastRenderedPageBreak/>
        <w:drawing>
          <wp:anchor distT="0" distB="0" distL="114300" distR="114300" simplePos="0" relativeHeight="251658240" behindDoc="0" locked="0" layoutInCell="1" allowOverlap="1" wp14:anchorId="607535BF" wp14:editId="76E1F159">
            <wp:simplePos x="0" y="0"/>
            <wp:positionH relativeFrom="column">
              <wp:posOffset>701357</wp:posOffset>
            </wp:positionH>
            <wp:positionV relativeFrom="paragraph">
              <wp:posOffset>54610</wp:posOffset>
            </wp:positionV>
            <wp:extent cx="3738245" cy="2201545"/>
            <wp:effectExtent l="0" t="0" r="0" b="8255"/>
            <wp:wrapNone/>
            <wp:docPr id="893411479" name="Picture 1" descr="C:\Users\User\Downloads\Messenger_creation_E56D282F-DF3C-408A-8ED4-733D08AD73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essenger_creation_E56D282F-DF3C-408A-8ED4-733D08AD73CD.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8245" cy="2201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8A460E" w14:textId="0F04439A" w:rsidR="00790ADA" w:rsidRDefault="00790ADA" w:rsidP="00441B6F">
      <w:pPr>
        <w:pStyle w:val="Body"/>
        <w:spacing w:after="0"/>
        <w:rPr>
          <w:rFonts w:ascii="Arial" w:hAnsi="Arial" w:cs="Arial"/>
        </w:rPr>
      </w:pPr>
    </w:p>
    <w:p w14:paraId="5E5D98D0" w14:textId="77777777" w:rsidR="007539E0" w:rsidRDefault="007539E0" w:rsidP="00441B6F">
      <w:pPr>
        <w:pStyle w:val="Body"/>
        <w:spacing w:after="0"/>
        <w:rPr>
          <w:rFonts w:ascii="Arial" w:hAnsi="Arial" w:cs="Arial"/>
        </w:rPr>
      </w:pPr>
    </w:p>
    <w:p w14:paraId="67209048" w14:textId="77777777" w:rsidR="007539E0" w:rsidRDefault="007539E0" w:rsidP="00441B6F">
      <w:pPr>
        <w:pStyle w:val="Body"/>
        <w:spacing w:after="0"/>
        <w:rPr>
          <w:rFonts w:ascii="Arial" w:hAnsi="Arial" w:cs="Arial"/>
        </w:rPr>
      </w:pPr>
    </w:p>
    <w:p w14:paraId="02D081DE" w14:textId="5173D203" w:rsidR="007539E0" w:rsidRDefault="007539E0" w:rsidP="00441B6F">
      <w:pPr>
        <w:pStyle w:val="Body"/>
        <w:spacing w:after="0"/>
        <w:rPr>
          <w:rFonts w:ascii="Arial" w:hAnsi="Arial" w:cs="Arial"/>
        </w:rPr>
      </w:pPr>
    </w:p>
    <w:p w14:paraId="636B4653" w14:textId="77777777" w:rsidR="007539E0" w:rsidRDefault="007539E0" w:rsidP="00441B6F">
      <w:pPr>
        <w:pStyle w:val="Body"/>
        <w:spacing w:after="0"/>
        <w:rPr>
          <w:rFonts w:ascii="Arial" w:hAnsi="Arial" w:cs="Arial"/>
        </w:rPr>
      </w:pPr>
    </w:p>
    <w:p w14:paraId="76D18170" w14:textId="77777777" w:rsidR="007539E0" w:rsidRDefault="007539E0" w:rsidP="00441B6F">
      <w:pPr>
        <w:pStyle w:val="Body"/>
        <w:spacing w:after="0"/>
        <w:rPr>
          <w:rFonts w:ascii="Arial" w:hAnsi="Arial" w:cs="Arial"/>
        </w:rPr>
      </w:pPr>
    </w:p>
    <w:p w14:paraId="3CBAECAD" w14:textId="77777777" w:rsidR="007539E0" w:rsidRDefault="007539E0" w:rsidP="00441B6F">
      <w:pPr>
        <w:pStyle w:val="Body"/>
        <w:spacing w:after="0"/>
        <w:rPr>
          <w:rFonts w:ascii="Arial" w:hAnsi="Arial" w:cs="Arial"/>
        </w:rPr>
      </w:pPr>
    </w:p>
    <w:p w14:paraId="46B51CE3" w14:textId="77777777" w:rsidR="007539E0" w:rsidRDefault="007539E0" w:rsidP="00441B6F">
      <w:pPr>
        <w:pStyle w:val="Body"/>
        <w:spacing w:after="0"/>
        <w:rPr>
          <w:rFonts w:ascii="Arial" w:hAnsi="Arial" w:cs="Arial"/>
        </w:rPr>
      </w:pPr>
    </w:p>
    <w:p w14:paraId="1FAB5BA2" w14:textId="77777777" w:rsidR="007539E0" w:rsidRDefault="007539E0" w:rsidP="00441B6F">
      <w:pPr>
        <w:pStyle w:val="Body"/>
        <w:spacing w:after="0"/>
        <w:rPr>
          <w:rFonts w:ascii="Arial" w:hAnsi="Arial" w:cs="Arial"/>
        </w:rPr>
      </w:pPr>
    </w:p>
    <w:p w14:paraId="171FBAE6" w14:textId="77777777" w:rsidR="007539E0" w:rsidRDefault="007539E0" w:rsidP="00441B6F">
      <w:pPr>
        <w:pStyle w:val="Body"/>
        <w:spacing w:after="0"/>
        <w:rPr>
          <w:rFonts w:ascii="Arial" w:hAnsi="Arial" w:cs="Arial"/>
        </w:rPr>
      </w:pPr>
    </w:p>
    <w:p w14:paraId="5648507D" w14:textId="77777777" w:rsidR="007539E0" w:rsidRDefault="007539E0" w:rsidP="00441B6F">
      <w:pPr>
        <w:pStyle w:val="Body"/>
        <w:spacing w:after="0"/>
        <w:rPr>
          <w:rFonts w:ascii="Arial" w:hAnsi="Arial" w:cs="Arial"/>
        </w:rPr>
      </w:pPr>
    </w:p>
    <w:p w14:paraId="44725ACD" w14:textId="77777777" w:rsidR="007539E0" w:rsidRDefault="007539E0" w:rsidP="00441B6F">
      <w:pPr>
        <w:pStyle w:val="Body"/>
        <w:spacing w:after="0"/>
        <w:rPr>
          <w:rFonts w:ascii="Arial" w:hAnsi="Arial" w:cs="Arial"/>
        </w:rPr>
      </w:pPr>
    </w:p>
    <w:p w14:paraId="2ADD5D4B" w14:textId="77777777" w:rsidR="007539E0" w:rsidRDefault="007539E0" w:rsidP="00441B6F">
      <w:pPr>
        <w:pStyle w:val="Body"/>
        <w:spacing w:after="0"/>
        <w:rPr>
          <w:rFonts w:ascii="Arial" w:hAnsi="Arial" w:cs="Arial"/>
        </w:rPr>
      </w:pPr>
    </w:p>
    <w:p w14:paraId="723A47A9" w14:textId="77777777" w:rsidR="007539E0" w:rsidRDefault="007539E0" w:rsidP="00441B6F">
      <w:pPr>
        <w:pStyle w:val="Body"/>
        <w:spacing w:after="0"/>
        <w:rPr>
          <w:rFonts w:ascii="Arial" w:hAnsi="Arial" w:cs="Arial"/>
        </w:rPr>
      </w:pPr>
    </w:p>
    <w:p w14:paraId="68A59DF6" w14:textId="77777777" w:rsidR="007539E0" w:rsidRDefault="007539E0" w:rsidP="00441B6F">
      <w:pPr>
        <w:pStyle w:val="Body"/>
        <w:spacing w:after="0"/>
        <w:rPr>
          <w:rFonts w:ascii="Arial" w:hAnsi="Arial" w:cs="Arial"/>
        </w:rPr>
      </w:pPr>
    </w:p>
    <w:p w14:paraId="5114915B" w14:textId="30E30F00" w:rsidR="007539E0" w:rsidRPr="00E0040F" w:rsidRDefault="00E0040F" w:rsidP="00E0040F">
      <w:pPr>
        <w:pStyle w:val="Body"/>
        <w:spacing w:after="0"/>
        <w:jc w:val="center"/>
        <w:rPr>
          <w:rFonts w:ascii="Arial" w:hAnsi="Arial" w:cs="Arial"/>
          <w:b/>
          <w:bCs/>
        </w:rPr>
      </w:pPr>
      <w:r w:rsidRPr="00E0040F">
        <w:rPr>
          <w:rFonts w:ascii="Arial" w:hAnsi="Arial" w:cs="Arial"/>
          <w:b/>
          <w:bCs/>
        </w:rPr>
        <w:t>Fig. 1. Location of the experimental pond</w:t>
      </w:r>
    </w:p>
    <w:p w14:paraId="67437FA6" w14:textId="77777777" w:rsidR="007539E0" w:rsidRDefault="007539E0" w:rsidP="00441B6F">
      <w:pPr>
        <w:pStyle w:val="Body"/>
        <w:spacing w:after="0"/>
        <w:rPr>
          <w:rFonts w:ascii="Arial" w:hAnsi="Arial" w:cs="Arial"/>
        </w:rPr>
      </w:pPr>
    </w:p>
    <w:p w14:paraId="32CAE1D5" w14:textId="087CE690" w:rsidR="00A13457"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2</w:t>
      </w:r>
      <w:r w:rsidRPr="000271DB">
        <w:rPr>
          <w:rFonts w:ascii="Arial" w:hAnsi="Arial" w:cs="Arial"/>
          <w:b/>
          <w:bCs/>
          <w:sz w:val="22"/>
          <w:szCs w:val="22"/>
        </w:rPr>
        <w:t xml:space="preserve"> </w:t>
      </w:r>
      <w:r w:rsidRPr="00A13457">
        <w:rPr>
          <w:rFonts w:ascii="Arial" w:hAnsi="Arial" w:cs="Arial"/>
          <w:b/>
          <w:bCs/>
          <w:sz w:val="22"/>
          <w:szCs w:val="22"/>
        </w:rPr>
        <w:t xml:space="preserve">Exogenous </w:t>
      </w:r>
      <w:r w:rsidR="00C761F0">
        <w:rPr>
          <w:rFonts w:ascii="Arial" w:hAnsi="Arial" w:cs="Arial"/>
          <w:b/>
          <w:bCs/>
          <w:sz w:val="22"/>
          <w:szCs w:val="22"/>
        </w:rPr>
        <w:t>M</w:t>
      </w:r>
      <w:r w:rsidRPr="00A13457">
        <w:rPr>
          <w:rFonts w:ascii="Arial" w:hAnsi="Arial" w:cs="Arial"/>
          <w:b/>
          <w:bCs/>
          <w:sz w:val="22"/>
          <w:szCs w:val="22"/>
        </w:rPr>
        <w:t xml:space="preserve">ulti-enzyme </w:t>
      </w:r>
      <w:r w:rsidR="00C761F0">
        <w:rPr>
          <w:rFonts w:ascii="Arial" w:hAnsi="Arial" w:cs="Arial"/>
          <w:b/>
          <w:bCs/>
          <w:sz w:val="22"/>
          <w:szCs w:val="22"/>
        </w:rPr>
        <w:t>U</w:t>
      </w:r>
      <w:r w:rsidRPr="00A13457">
        <w:rPr>
          <w:rFonts w:ascii="Arial" w:hAnsi="Arial" w:cs="Arial"/>
          <w:b/>
          <w:bCs/>
          <w:sz w:val="22"/>
          <w:szCs w:val="22"/>
        </w:rPr>
        <w:t xml:space="preserve">sed in the </w:t>
      </w:r>
      <w:r w:rsidR="00C761F0">
        <w:rPr>
          <w:rFonts w:ascii="Arial" w:hAnsi="Arial" w:cs="Arial"/>
          <w:b/>
          <w:bCs/>
          <w:sz w:val="22"/>
          <w:szCs w:val="22"/>
        </w:rPr>
        <w:t>E</w:t>
      </w:r>
      <w:r w:rsidRPr="00A13457">
        <w:rPr>
          <w:rFonts w:ascii="Arial" w:hAnsi="Arial" w:cs="Arial"/>
          <w:b/>
          <w:bCs/>
          <w:sz w:val="22"/>
          <w:szCs w:val="22"/>
        </w:rPr>
        <w:t>xperiment</w:t>
      </w:r>
      <w:r>
        <w:rPr>
          <w:rFonts w:ascii="Arial" w:hAnsi="Arial" w:cs="Arial"/>
          <w:b/>
          <w:bCs/>
          <w:sz w:val="22"/>
          <w:szCs w:val="22"/>
        </w:rPr>
        <w:t xml:space="preserve"> </w:t>
      </w:r>
    </w:p>
    <w:p w14:paraId="581BCFFD" w14:textId="77777777" w:rsidR="0086499E" w:rsidRDefault="0086499E" w:rsidP="00441B6F">
      <w:pPr>
        <w:pStyle w:val="Body"/>
        <w:spacing w:after="0"/>
        <w:rPr>
          <w:rFonts w:ascii="Arial" w:hAnsi="Arial" w:cs="Arial"/>
          <w:b/>
          <w:bCs/>
          <w:sz w:val="22"/>
          <w:szCs w:val="22"/>
        </w:rPr>
      </w:pPr>
    </w:p>
    <w:p w14:paraId="171ECE41" w14:textId="77777777" w:rsidR="00A13457" w:rsidRPr="00A13457" w:rsidRDefault="00A13457" w:rsidP="00A13457">
      <w:pPr>
        <w:jc w:val="both"/>
        <w:rPr>
          <w:rFonts w:ascii="Arial" w:hAnsi="Arial" w:cs="Arial"/>
        </w:rPr>
      </w:pPr>
      <w:r w:rsidRPr="00A13457">
        <w:rPr>
          <w:rFonts w:ascii="Arial" w:hAnsi="Arial" w:cs="Arial"/>
        </w:rPr>
        <w:t>A commercially available exogenous multi-enzyme, Aquazyme Plus (EON Group, Bangladesh), was used in this experiment. Every 100 g of Aquazyme Plus contains Amylase (100,000 IU/kg), Xylanase (1,000,000 IU/kg), Protease (2,000,000 IU/kg), Phytase (300 IU/kg), Protein (0.75%), Phosphorus (0.12%), and Calcium (0.10%).</w:t>
      </w:r>
    </w:p>
    <w:p w14:paraId="4B88AE08" w14:textId="77777777" w:rsidR="00A13457" w:rsidRDefault="00A13457" w:rsidP="00A13457">
      <w:pPr>
        <w:pStyle w:val="Body"/>
        <w:spacing w:after="0"/>
        <w:rPr>
          <w:rFonts w:ascii="Arial" w:hAnsi="Arial" w:cs="Arial"/>
        </w:rPr>
      </w:pPr>
    </w:p>
    <w:p w14:paraId="1BF35002" w14:textId="6DA8E0EB" w:rsidR="00A13457" w:rsidRDefault="00A13457" w:rsidP="00A13457">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3</w:t>
      </w:r>
      <w:r w:rsidRPr="000271DB">
        <w:rPr>
          <w:rFonts w:ascii="Arial" w:hAnsi="Arial" w:cs="Arial"/>
          <w:b/>
          <w:bCs/>
          <w:sz w:val="22"/>
          <w:szCs w:val="22"/>
        </w:rPr>
        <w:t xml:space="preserve"> </w:t>
      </w:r>
      <w:r w:rsidRPr="00A13457">
        <w:rPr>
          <w:rFonts w:ascii="Arial" w:hAnsi="Arial" w:cs="Arial"/>
          <w:b/>
          <w:bCs/>
          <w:sz w:val="22"/>
          <w:szCs w:val="22"/>
        </w:rPr>
        <w:t>Ex</w:t>
      </w:r>
      <w:r>
        <w:rPr>
          <w:rFonts w:ascii="Arial" w:hAnsi="Arial" w:cs="Arial"/>
          <w:b/>
          <w:bCs/>
          <w:sz w:val="22"/>
          <w:szCs w:val="22"/>
        </w:rPr>
        <w:t xml:space="preserve">perimental </w:t>
      </w:r>
      <w:r w:rsidR="00C761F0">
        <w:rPr>
          <w:rFonts w:ascii="Arial" w:hAnsi="Arial" w:cs="Arial"/>
          <w:b/>
          <w:bCs/>
          <w:sz w:val="22"/>
          <w:szCs w:val="22"/>
        </w:rPr>
        <w:t>D</w:t>
      </w:r>
      <w:r>
        <w:rPr>
          <w:rFonts w:ascii="Arial" w:hAnsi="Arial" w:cs="Arial"/>
          <w:b/>
          <w:bCs/>
          <w:sz w:val="22"/>
          <w:szCs w:val="22"/>
        </w:rPr>
        <w:t>esign</w:t>
      </w:r>
    </w:p>
    <w:p w14:paraId="288684F5" w14:textId="77777777" w:rsidR="0086499E" w:rsidRDefault="0086499E" w:rsidP="00A13457">
      <w:pPr>
        <w:pStyle w:val="Body"/>
        <w:spacing w:after="0"/>
        <w:rPr>
          <w:rFonts w:ascii="Arial" w:hAnsi="Arial" w:cs="Arial"/>
        </w:rPr>
      </w:pPr>
    </w:p>
    <w:p w14:paraId="6DB3E17A" w14:textId="19737A40" w:rsidR="00A13457" w:rsidRDefault="00A13457" w:rsidP="00441B6F">
      <w:pPr>
        <w:pStyle w:val="Body"/>
        <w:spacing w:after="0"/>
        <w:rPr>
          <w:rFonts w:ascii="Arial" w:hAnsi="Arial" w:cs="Arial"/>
        </w:rPr>
      </w:pPr>
      <w:r w:rsidRPr="00A13457">
        <w:rPr>
          <w:rFonts w:ascii="Arial" w:hAnsi="Arial" w:cs="Arial"/>
        </w:rPr>
        <w:t>The experiment was carried out with four treatments (i.e., T1, T2, T3, and T4) applying four different test feeds. A control feed was utilized from the ACI group (Godrej) for commercial carp cultivation, treated as T1. In addition to the control feed, three test feeds were prepared by incorporating Aquazyme into the chosen commercial feed at levels of 2.0, 4.0, and 6.0 g.kg-1, treated as T2, T3, and T4, respectively. The four treatments were organized in a fully randomized design (CRD) throughout the fixed cages, with three replications for each</w:t>
      </w:r>
      <w:r w:rsidR="00E0040F">
        <w:rPr>
          <w:rFonts w:ascii="Arial" w:hAnsi="Arial" w:cs="Arial"/>
        </w:rPr>
        <w:t>.</w:t>
      </w:r>
    </w:p>
    <w:p w14:paraId="2F80BEBB" w14:textId="77777777" w:rsidR="00A13457" w:rsidRDefault="00A13457" w:rsidP="00441B6F">
      <w:pPr>
        <w:pStyle w:val="Body"/>
        <w:spacing w:after="0"/>
        <w:rPr>
          <w:rFonts w:ascii="Arial" w:hAnsi="Arial" w:cs="Arial"/>
        </w:rPr>
      </w:pPr>
    </w:p>
    <w:p w14:paraId="15419A0C" w14:textId="77777777" w:rsidR="0086499E"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4</w:t>
      </w:r>
      <w:r w:rsidRPr="000271DB">
        <w:rPr>
          <w:rFonts w:ascii="Arial" w:hAnsi="Arial" w:cs="Arial"/>
          <w:b/>
          <w:bCs/>
          <w:sz w:val="22"/>
          <w:szCs w:val="22"/>
        </w:rPr>
        <w:t xml:space="preserve"> </w:t>
      </w:r>
      <w:r w:rsidRPr="00A13457">
        <w:rPr>
          <w:rFonts w:ascii="Arial" w:hAnsi="Arial" w:cs="Arial"/>
          <w:b/>
          <w:bCs/>
          <w:sz w:val="22"/>
          <w:szCs w:val="22"/>
        </w:rPr>
        <w:t xml:space="preserve">Preparation of </w:t>
      </w:r>
      <w:r w:rsidR="00C761F0">
        <w:rPr>
          <w:rFonts w:ascii="Arial" w:hAnsi="Arial" w:cs="Arial"/>
          <w:b/>
          <w:bCs/>
          <w:sz w:val="22"/>
          <w:szCs w:val="22"/>
        </w:rPr>
        <w:t>T</w:t>
      </w:r>
      <w:r w:rsidRPr="00A13457">
        <w:rPr>
          <w:rFonts w:ascii="Arial" w:hAnsi="Arial" w:cs="Arial"/>
          <w:b/>
          <w:bCs/>
          <w:sz w:val="22"/>
          <w:szCs w:val="22"/>
        </w:rPr>
        <w:t xml:space="preserve">est </w:t>
      </w:r>
      <w:r w:rsidR="00C761F0">
        <w:rPr>
          <w:rFonts w:ascii="Arial" w:hAnsi="Arial" w:cs="Arial"/>
          <w:b/>
          <w:bCs/>
          <w:sz w:val="22"/>
          <w:szCs w:val="22"/>
        </w:rPr>
        <w:t>F</w:t>
      </w:r>
      <w:r w:rsidRPr="00A13457">
        <w:rPr>
          <w:rFonts w:ascii="Arial" w:hAnsi="Arial" w:cs="Arial"/>
          <w:b/>
          <w:bCs/>
          <w:sz w:val="22"/>
          <w:szCs w:val="22"/>
        </w:rPr>
        <w:t xml:space="preserve">eeds </w:t>
      </w:r>
    </w:p>
    <w:p w14:paraId="236D80A8" w14:textId="7D1477B7" w:rsidR="00A13457" w:rsidRDefault="00A13457" w:rsidP="00441B6F">
      <w:pPr>
        <w:pStyle w:val="Body"/>
        <w:spacing w:after="0"/>
        <w:rPr>
          <w:rFonts w:ascii="Arial" w:hAnsi="Arial" w:cs="Arial"/>
        </w:rPr>
      </w:pPr>
      <w:r w:rsidRPr="00A13457">
        <w:rPr>
          <w:rFonts w:ascii="Arial" w:hAnsi="Arial" w:cs="Arial"/>
          <w:b/>
          <w:bCs/>
          <w:sz w:val="22"/>
          <w:szCs w:val="22"/>
        </w:rPr>
        <w:t xml:space="preserve"> </w:t>
      </w:r>
    </w:p>
    <w:p w14:paraId="59BD0E73" w14:textId="12CA785B" w:rsidR="00E0040F" w:rsidRPr="00481F76" w:rsidRDefault="00A13457" w:rsidP="006742D3">
      <w:pPr>
        <w:pStyle w:val="Body"/>
        <w:spacing w:after="120"/>
        <w:rPr>
          <w:rFonts w:ascii="Arial" w:hAnsi="Arial" w:cs="Arial"/>
        </w:rPr>
      </w:pPr>
      <w:r w:rsidRPr="00A13457">
        <w:rPr>
          <w:rFonts w:ascii="Arial" w:hAnsi="Arial" w:cs="Arial"/>
        </w:rPr>
        <w:t>To prepare the test feeds, the selected commercial feed was made softer and more pliable by incorporating a small quantity of water. Aquazyme Plus was added at specified rates and mixed thoroughly to prepare the dough. Subsequently, a pelleting machine was used to form the dough into pellets. Later, the pellets were dried, and following drying, the feeds were sealed, stored in marked polythene bags, and preserved under refrigerated conditions. The proximate composition of the feeds was assessed following the methods of the Association of Official Analytical Chemists (AOAC) (2005). The analysis data revealed no significant differences in the proximate compositions of the test feeds (Table 1)</w:t>
      </w:r>
      <w:r w:rsidR="00481F76">
        <w:rPr>
          <w:rFonts w:ascii="Arial" w:hAnsi="Arial" w:cs="Arial"/>
        </w:rPr>
        <w:t>.</w:t>
      </w:r>
    </w:p>
    <w:p w14:paraId="792472D0" w14:textId="67198981" w:rsidR="00A13457" w:rsidRPr="00A13457" w:rsidRDefault="00A13457" w:rsidP="006742D3">
      <w:pPr>
        <w:pStyle w:val="Body"/>
        <w:spacing w:after="120"/>
        <w:rPr>
          <w:rFonts w:ascii="Arial" w:hAnsi="Arial" w:cs="Arial"/>
          <w:b/>
        </w:rPr>
      </w:pPr>
      <w:r w:rsidRPr="00A13457">
        <w:rPr>
          <w:rFonts w:ascii="Arial" w:hAnsi="Arial" w:cs="Arial"/>
          <w:b/>
          <w:bCs/>
        </w:rPr>
        <w:t xml:space="preserve">Table 1. </w:t>
      </w:r>
      <w:r w:rsidRPr="00A13457">
        <w:rPr>
          <w:rFonts w:ascii="Arial" w:hAnsi="Arial" w:cs="Arial"/>
          <w:b/>
        </w:rPr>
        <w:t>The proximate composition of the experimental feeds (dry basis)</w:t>
      </w:r>
    </w:p>
    <w:tbl>
      <w:tblPr>
        <w:tblStyle w:val="TableGrid"/>
        <w:tblW w:w="8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789"/>
        <w:gridCol w:w="1729"/>
        <w:gridCol w:w="1770"/>
        <w:gridCol w:w="1288"/>
      </w:tblGrid>
      <w:tr w:rsidR="00A13457" w:rsidRPr="00A13457" w14:paraId="344055AE" w14:textId="77777777" w:rsidTr="00A13457">
        <w:trPr>
          <w:trHeight w:val="237"/>
          <w:jc w:val="center"/>
        </w:trPr>
        <w:tc>
          <w:tcPr>
            <w:tcW w:w="1995" w:type="dxa"/>
            <w:vMerge w:val="restart"/>
            <w:tcBorders>
              <w:top w:val="single" w:sz="4" w:space="0" w:color="auto"/>
            </w:tcBorders>
            <w:vAlign w:val="center"/>
          </w:tcPr>
          <w:p w14:paraId="3A7C5364" w14:textId="77777777" w:rsidR="00A13457" w:rsidRPr="00A13457" w:rsidRDefault="00A13457" w:rsidP="00A13457">
            <w:pPr>
              <w:pStyle w:val="Body"/>
              <w:spacing w:after="0"/>
              <w:rPr>
                <w:rFonts w:ascii="Arial" w:hAnsi="Arial" w:cs="Arial"/>
                <w:b/>
                <w:bCs/>
                <w:sz w:val="20"/>
              </w:rPr>
            </w:pPr>
            <w:r w:rsidRPr="00A13457">
              <w:rPr>
                <w:rFonts w:ascii="Arial" w:hAnsi="Arial" w:cs="Arial"/>
                <w:b/>
                <w:bCs/>
                <w:sz w:val="20"/>
              </w:rPr>
              <w:t>Components (%)</w:t>
            </w:r>
          </w:p>
        </w:tc>
        <w:tc>
          <w:tcPr>
            <w:tcW w:w="6536" w:type="dxa"/>
            <w:gridSpan w:val="4"/>
            <w:tcBorders>
              <w:top w:val="single" w:sz="4" w:space="0" w:color="auto"/>
              <w:bottom w:val="single" w:sz="4" w:space="0" w:color="auto"/>
            </w:tcBorders>
            <w:vAlign w:val="center"/>
          </w:tcPr>
          <w:p w14:paraId="4E97E531" w14:textId="64D9209A"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Treatments </w:t>
            </w:r>
            <w:r w:rsidR="00481F76">
              <w:rPr>
                <w:rFonts w:ascii="Arial" w:hAnsi="Arial" w:cs="Arial"/>
                <w:b/>
                <w:sz w:val="20"/>
              </w:rPr>
              <w:t>(</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A13457" w:rsidRPr="00A13457" w14:paraId="5875CF48" w14:textId="77777777" w:rsidTr="00A13457">
        <w:trPr>
          <w:trHeight w:val="116"/>
          <w:jc w:val="center"/>
        </w:trPr>
        <w:tc>
          <w:tcPr>
            <w:tcW w:w="1995" w:type="dxa"/>
            <w:vMerge/>
            <w:tcBorders>
              <w:bottom w:val="single" w:sz="4" w:space="0" w:color="auto"/>
            </w:tcBorders>
            <w:vAlign w:val="center"/>
          </w:tcPr>
          <w:p w14:paraId="2323B5A0" w14:textId="77777777" w:rsidR="00A13457" w:rsidRPr="00A13457" w:rsidRDefault="00A13457" w:rsidP="00A13457">
            <w:pPr>
              <w:pStyle w:val="Body"/>
              <w:spacing w:after="0"/>
              <w:rPr>
                <w:rFonts w:ascii="Arial" w:hAnsi="Arial" w:cs="Arial"/>
                <w:b/>
                <w:bCs/>
                <w:sz w:val="20"/>
              </w:rPr>
            </w:pPr>
          </w:p>
        </w:tc>
        <w:tc>
          <w:tcPr>
            <w:tcW w:w="1828" w:type="dxa"/>
            <w:tcBorders>
              <w:top w:val="single" w:sz="4" w:space="0" w:color="auto"/>
              <w:bottom w:val="single" w:sz="4" w:space="0" w:color="auto"/>
            </w:tcBorders>
            <w:vAlign w:val="center"/>
          </w:tcPr>
          <w:p w14:paraId="2BFB848E" w14:textId="77777777" w:rsidR="00A13457" w:rsidRPr="00A13457" w:rsidRDefault="00A13457" w:rsidP="00A13457">
            <w:pPr>
              <w:pStyle w:val="Body"/>
              <w:spacing w:after="0"/>
              <w:rPr>
                <w:rFonts w:ascii="Arial" w:hAnsi="Arial" w:cs="Arial"/>
                <w:b/>
                <w:bCs/>
                <w:sz w:val="20"/>
              </w:rPr>
            </w:pPr>
            <w:r w:rsidRPr="00A13457">
              <w:rPr>
                <w:rFonts w:ascii="Arial" w:hAnsi="Arial" w:cs="Arial"/>
                <w:b/>
                <w:bCs/>
                <w:sz w:val="20"/>
              </w:rPr>
              <w:t>T1</w:t>
            </w:r>
          </w:p>
        </w:tc>
        <w:tc>
          <w:tcPr>
            <w:tcW w:w="1764" w:type="dxa"/>
            <w:tcBorders>
              <w:top w:val="single" w:sz="4" w:space="0" w:color="auto"/>
              <w:bottom w:val="single" w:sz="4" w:space="0" w:color="auto"/>
            </w:tcBorders>
            <w:vAlign w:val="center"/>
          </w:tcPr>
          <w:p w14:paraId="6B1915B9" w14:textId="77777777"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T2 </w:t>
            </w:r>
          </w:p>
        </w:tc>
        <w:tc>
          <w:tcPr>
            <w:tcW w:w="1808" w:type="dxa"/>
            <w:tcBorders>
              <w:top w:val="single" w:sz="4" w:space="0" w:color="auto"/>
              <w:bottom w:val="single" w:sz="4" w:space="0" w:color="auto"/>
            </w:tcBorders>
            <w:vAlign w:val="center"/>
          </w:tcPr>
          <w:p w14:paraId="3C6347C1" w14:textId="77777777" w:rsidR="00A13457" w:rsidRPr="00A13457" w:rsidRDefault="00A13457" w:rsidP="00A13457">
            <w:pPr>
              <w:pStyle w:val="Body"/>
              <w:spacing w:after="0"/>
              <w:rPr>
                <w:rFonts w:ascii="Arial" w:hAnsi="Arial" w:cs="Arial"/>
                <w:b/>
                <w:bCs/>
                <w:sz w:val="20"/>
              </w:rPr>
            </w:pPr>
            <w:r w:rsidRPr="00A13457">
              <w:rPr>
                <w:rFonts w:ascii="Arial" w:hAnsi="Arial" w:cs="Arial"/>
                <w:b/>
                <w:bCs/>
                <w:sz w:val="20"/>
              </w:rPr>
              <w:t>T3</w:t>
            </w:r>
          </w:p>
        </w:tc>
        <w:tc>
          <w:tcPr>
            <w:tcW w:w="1136" w:type="dxa"/>
            <w:tcBorders>
              <w:top w:val="single" w:sz="4" w:space="0" w:color="auto"/>
              <w:bottom w:val="single" w:sz="4" w:space="0" w:color="auto"/>
            </w:tcBorders>
            <w:vAlign w:val="center"/>
          </w:tcPr>
          <w:p w14:paraId="47C4802B" w14:textId="77777777"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T4 </w:t>
            </w:r>
          </w:p>
        </w:tc>
      </w:tr>
      <w:tr w:rsidR="00A13457" w:rsidRPr="00A13457" w14:paraId="4619CE63" w14:textId="77777777" w:rsidTr="00A13457">
        <w:trPr>
          <w:trHeight w:val="178"/>
          <w:jc w:val="center"/>
        </w:trPr>
        <w:tc>
          <w:tcPr>
            <w:tcW w:w="1995" w:type="dxa"/>
            <w:tcBorders>
              <w:top w:val="single" w:sz="4" w:space="0" w:color="auto"/>
            </w:tcBorders>
            <w:vAlign w:val="center"/>
          </w:tcPr>
          <w:p w14:paraId="3A9DD8F2"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Protein</w:t>
            </w:r>
          </w:p>
        </w:tc>
        <w:tc>
          <w:tcPr>
            <w:tcW w:w="1828" w:type="dxa"/>
            <w:tcBorders>
              <w:top w:val="single" w:sz="4" w:space="0" w:color="auto"/>
            </w:tcBorders>
            <w:vAlign w:val="center"/>
          </w:tcPr>
          <w:p w14:paraId="549882F2"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21.21±0.82</w:t>
            </w:r>
            <w:r w:rsidRPr="00A13457">
              <w:rPr>
                <w:rFonts w:ascii="Arial" w:hAnsi="Arial" w:cs="Arial"/>
                <w:bCs/>
                <w:sz w:val="20"/>
                <w:vertAlign w:val="superscript"/>
              </w:rPr>
              <w:t>a</w:t>
            </w:r>
          </w:p>
        </w:tc>
        <w:tc>
          <w:tcPr>
            <w:tcW w:w="1764" w:type="dxa"/>
            <w:tcBorders>
              <w:top w:val="single" w:sz="4" w:space="0" w:color="auto"/>
            </w:tcBorders>
            <w:vAlign w:val="center"/>
          </w:tcPr>
          <w:p w14:paraId="79E45F3E"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21.27±0.55</w:t>
            </w:r>
            <w:r w:rsidRPr="00A13457">
              <w:rPr>
                <w:rFonts w:ascii="Arial" w:hAnsi="Arial" w:cs="Arial"/>
                <w:bCs/>
                <w:sz w:val="20"/>
                <w:vertAlign w:val="superscript"/>
              </w:rPr>
              <w:t>a</w:t>
            </w:r>
          </w:p>
        </w:tc>
        <w:tc>
          <w:tcPr>
            <w:tcW w:w="1808" w:type="dxa"/>
            <w:tcBorders>
              <w:top w:val="single" w:sz="4" w:space="0" w:color="auto"/>
            </w:tcBorders>
            <w:vAlign w:val="center"/>
          </w:tcPr>
          <w:p w14:paraId="4926CBDA" w14:textId="77777777" w:rsidR="00A13457" w:rsidRPr="00A13457" w:rsidRDefault="00A13457" w:rsidP="00A13457">
            <w:pPr>
              <w:pStyle w:val="Body"/>
              <w:spacing w:after="0"/>
              <w:rPr>
                <w:rFonts w:ascii="Arial" w:hAnsi="Arial" w:cs="Arial"/>
                <w:b/>
                <w:bCs/>
                <w:sz w:val="20"/>
              </w:rPr>
            </w:pPr>
            <w:r w:rsidRPr="00A13457">
              <w:rPr>
                <w:rFonts w:ascii="Arial" w:hAnsi="Arial" w:cs="Arial"/>
                <w:bCs/>
                <w:sz w:val="20"/>
              </w:rPr>
              <w:t>21.38±0.77</w:t>
            </w:r>
            <w:r w:rsidRPr="00A13457">
              <w:rPr>
                <w:rFonts w:ascii="Arial" w:hAnsi="Arial" w:cs="Arial"/>
                <w:bCs/>
                <w:sz w:val="20"/>
                <w:vertAlign w:val="superscript"/>
              </w:rPr>
              <w:t>a</w:t>
            </w:r>
          </w:p>
        </w:tc>
        <w:tc>
          <w:tcPr>
            <w:tcW w:w="1136" w:type="dxa"/>
            <w:tcBorders>
              <w:top w:val="single" w:sz="4" w:space="0" w:color="auto"/>
            </w:tcBorders>
            <w:vAlign w:val="center"/>
          </w:tcPr>
          <w:p w14:paraId="70674D9F"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21.47±0.75</w:t>
            </w:r>
            <w:r w:rsidRPr="00A13457">
              <w:rPr>
                <w:rFonts w:ascii="Arial" w:hAnsi="Arial" w:cs="Arial"/>
                <w:bCs/>
                <w:sz w:val="20"/>
                <w:vertAlign w:val="superscript"/>
              </w:rPr>
              <w:t>a</w:t>
            </w:r>
          </w:p>
        </w:tc>
      </w:tr>
      <w:tr w:rsidR="00A13457" w:rsidRPr="00A13457" w14:paraId="7E8A851C" w14:textId="77777777" w:rsidTr="00A13457">
        <w:trPr>
          <w:trHeight w:val="178"/>
          <w:jc w:val="center"/>
        </w:trPr>
        <w:tc>
          <w:tcPr>
            <w:tcW w:w="1995" w:type="dxa"/>
            <w:vAlign w:val="center"/>
          </w:tcPr>
          <w:p w14:paraId="670F8F18"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Lipid</w:t>
            </w:r>
          </w:p>
        </w:tc>
        <w:tc>
          <w:tcPr>
            <w:tcW w:w="1828" w:type="dxa"/>
            <w:vAlign w:val="center"/>
          </w:tcPr>
          <w:p w14:paraId="5AF17178"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6.05±0.85</w:t>
            </w:r>
            <w:r w:rsidRPr="00A13457">
              <w:rPr>
                <w:rFonts w:ascii="Arial" w:hAnsi="Arial" w:cs="Arial"/>
                <w:bCs/>
                <w:sz w:val="20"/>
                <w:vertAlign w:val="superscript"/>
              </w:rPr>
              <w:t>a</w:t>
            </w:r>
          </w:p>
        </w:tc>
        <w:tc>
          <w:tcPr>
            <w:tcW w:w="1764" w:type="dxa"/>
            <w:vAlign w:val="center"/>
          </w:tcPr>
          <w:p w14:paraId="7B9AFC0E"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6.08±0.82</w:t>
            </w:r>
            <w:r w:rsidRPr="00A13457">
              <w:rPr>
                <w:rFonts w:ascii="Arial" w:hAnsi="Arial" w:cs="Arial"/>
                <w:bCs/>
                <w:sz w:val="20"/>
                <w:vertAlign w:val="superscript"/>
              </w:rPr>
              <w:t>a</w:t>
            </w:r>
          </w:p>
        </w:tc>
        <w:tc>
          <w:tcPr>
            <w:tcW w:w="1808" w:type="dxa"/>
            <w:vAlign w:val="center"/>
          </w:tcPr>
          <w:p w14:paraId="03C4A1C5"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6.14±8.7</w:t>
            </w:r>
            <w:r w:rsidRPr="00A13457">
              <w:rPr>
                <w:rFonts w:ascii="Arial" w:hAnsi="Arial" w:cs="Arial"/>
                <w:bCs/>
                <w:sz w:val="20"/>
                <w:vertAlign w:val="superscript"/>
              </w:rPr>
              <w:t>a</w:t>
            </w:r>
          </w:p>
        </w:tc>
        <w:tc>
          <w:tcPr>
            <w:tcW w:w="1136" w:type="dxa"/>
            <w:vAlign w:val="center"/>
          </w:tcPr>
          <w:p w14:paraId="297EBFA2"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6.21±0.90</w:t>
            </w:r>
            <w:r w:rsidRPr="00A13457">
              <w:rPr>
                <w:rFonts w:ascii="Arial" w:hAnsi="Arial" w:cs="Arial"/>
                <w:bCs/>
                <w:sz w:val="20"/>
                <w:vertAlign w:val="superscript"/>
              </w:rPr>
              <w:t>a</w:t>
            </w:r>
          </w:p>
        </w:tc>
      </w:tr>
      <w:tr w:rsidR="00A13457" w:rsidRPr="00A13457" w14:paraId="3279CEFC" w14:textId="77777777" w:rsidTr="00A13457">
        <w:trPr>
          <w:trHeight w:val="107"/>
          <w:jc w:val="center"/>
        </w:trPr>
        <w:tc>
          <w:tcPr>
            <w:tcW w:w="1995" w:type="dxa"/>
            <w:vAlign w:val="center"/>
          </w:tcPr>
          <w:p w14:paraId="23218C84"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Carbohydrate</w:t>
            </w:r>
          </w:p>
        </w:tc>
        <w:tc>
          <w:tcPr>
            <w:tcW w:w="1828" w:type="dxa"/>
            <w:vAlign w:val="center"/>
          </w:tcPr>
          <w:p w14:paraId="59187BD8"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38.66±0.76</w:t>
            </w:r>
            <w:r w:rsidRPr="00A13457">
              <w:rPr>
                <w:rFonts w:ascii="Arial" w:hAnsi="Arial" w:cs="Arial"/>
                <w:bCs/>
                <w:sz w:val="20"/>
                <w:vertAlign w:val="superscript"/>
              </w:rPr>
              <w:t>a</w:t>
            </w:r>
          </w:p>
        </w:tc>
        <w:tc>
          <w:tcPr>
            <w:tcW w:w="1764" w:type="dxa"/>
            <w:vAlign w:val="center"/>
          </w:tcPr>
          <w:p w14:paraId="1B53E9C8"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38.91±0.71</w:t>
            </w:r>
            <w:r w:rsidRPr="00A13457">
              <w:rPr>
                <w:rFonts w:ascii="Arial" w:hAnsi="Arial" w:cs="Arial"/>
                <w:bCs/>
                <w:sz w:val="20"/>
                <w:vertAlign w:val="superscript"/>
              </w:rPr>
              <w:t>a</w:t>
            </w:r>
          </w:p>
        </w:tc>
        <w:tc>
          <w:tcPr>
            <w:tcW w:w="1808" w:type="dxa"/>
            <w:vAlign w:val="center"/>
          </w:tcPr>
          <w:p w14:paraId="7D3C6F1A"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39.48±0.78</w:t>
            </w:r>
            <w:r w:rsidRPr="00A13457">
              <w:rPr>
                <w:rFonts w:ascii="Arial" w:hAnsi="Arial" w:cs="Arial"/>
                <w:bCs/>
                <w:sz w:val="20"/>
                <w:vertAlign w:val="superscript"/>
              </w:rPr>
              <w:t>a</w:t>
            </w:r>
          </w:p>
        </w:tc>
        <w:tc>
          <w:tcPr>
            <w:tcW w:w="1136" w:type="dxa"/>
            <w:vAlign w:val="center"/>
          </w:tcPr>
          <w:p w14:paraId="127F234C"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39.09±0.78</w:t>
            </w:r>
            <w:r w:rsidRPr="00A13457">
              <w:rPr>
                <w:rFonts w:ascii="Arial" w:hAnsi="Arial" w:cs="Arial"/>
                <w:bCs/>
                <w:sz w:val="20"/>
                <w:vertAlign w:val="superscript"/>
              </w:rPr>
              <w:t>a</w:t>
            </w:r>
          </w:p>
        </w:tc>
      </w:tr>
      <w:tr w:rsidR="00A13457" w:rsidRPr="00A13457" w14:paraId="6F910A3F" w14:textId="77777777" w:rsidTr="00A13457">
        <w:trPr>
          <w:trHeight w:val="107"/>
          <w:jc w:val="center"/>
        </w:trPr>
        <w:tc>
          <w:tcPr>
            <w:tcW w:w="1995" w:type="dxa"/>
            <w:vAlign w:val="center"/>
          </w:tcPr>
          <w:p w14:paraId="0606721E"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Ash</w:t>
            </w:r>
          </w:p>
        </w:tc>
        <w:tc>
          <w:tcPr>
            <w:tcW w:w="1828" w:type="dxa"/>
            <w:vAlign w:val="center"/>
          </w:tcPr>
          <w:p w14:paraId="405490D6"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10.92±0.80</w:t>
            </w:r>
            <w:r w:rsidRPr="00A13457">
              <w:rPr>
                <w:rFonts w:ascii="Arial" w:hAnsi="Arial" w:cs="Arial"/>
                <w:bCs/>
                <w:sz w:val="20"/>
                <w:vertAlign w:val="superscript"/>
              </w:rPr>
              <w:t>a</w:t>
            </w:r>
          </w:p>
        </w:tc>
        <w:tc>
          <w:tcPr>
            <w:tcW w:w="1764" w:type="dxa"/>
            <w:vAlign w:val="center"/>
          </w:tcPr>
          <w:p w14:paraId="07453478"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11.01±0.85</w:t>
            </w:r>
            <w:r w:rsidRPr="00A13457">
              <w:rPr>
                <w:rFonts w:ascii="Arial" w:hAnsi="Arial" w:cs="Arial"/>
                <w:bCs/>
                <w:sz w:val="20"/>
                <w:vertAlign w:val="superscript"/>
              </w:rPr>
              <w:t>a</w:t>
            </w:r>
          </w:p>
        </w:tc>
        <w:tc>
          <w:tcPr>
            <w:tcW w:w="1808" w:type="dxa"/>
            <w:vAlign w:val="center"/>
          </w:tcPr>
          <w:p w14:paraId="04FA8117"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10.95±0.75</w:t>
            </w:r>
            <w:r w:rsidRPr="00A13457">
              <w:rPr>
                <w:rFonts w:ascii="Arial" w:hAnsi="Arial" w:cs="Arial"/>
                <w:bCs/>
                <w:sz w:val="20"/>
                <w:vertAlign w:val="superscript"/>
              </w:rPr>
              <w:t>a</w:t>
            </w:r>
          </w:p>
        </w:tc>
        <w:tc>
          <w:tcPr>
            <w:tcW w:w="1136" w:type="dxa"/>
            <w:vAlign w:val="center"/>
          </w:tcPr>
          <w:p w14:paraId="19370A40"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11.08±0.71</w:t>
            </w:r>
            <w:r w:rsidRPr="00A13457">
              <w:rPr>
                <w:rFonts w:ascii="Arial" w:hAnsi="Arial" w:cs="Arial"/>
                <w:bCs/>
                <w:sz w:val="20"/>
                <w:vertAlign w:val="superscript"/>
              </w:rPr>
              <w:t>a</w:t>
            </w:r>
          </w:p>
        </w:tc>
      </w:tr>
      <w:tr w:rsidR="00A13457" w:rsidRPr="00A13457" w14:paraId="73E30343" w14:textId="77777777" w:rsidTr="00A13457">
        <w:trPr>
          <w:trHeight w:val="107"/>
          <w:jc w:val="center"/>
        </w:trPr>
        <w:tc>
          <w:tcPr>
            <w:tcW w:w="1995" w:type="dxa"/>
            <w:tcBorders>
              <w:bottom w:val="single" w:sz="4" w:space="0" w:color="auto"/>
            </w:tcBorders>
            <w:vAlign w:val="center"/>
          </w:tcPr>
          <w:p w14:paraId="2A42FA4A"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Moisture</w:t>
            </w:r>
          </w:p>
        </w:tc>
        <w:tc>
          <w:tcPr>
            <w:tcW w:w="1828" w:type="dxa"/>
            <w:tcBorders>
              <w:bottom w:val="single" w:sz="4" w:space="0" w:color="auto"/>
            </w:tcBorders>
            <w:vAlign w:val="center"/>
          </w:tcPr>
          <w:p w14:paraId="6688B5D5"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14.90±0.70</w:t>
            </w:r>
            <w:r w:rsidRPr="00A13457">
              <w:rPr>
                <w:rFonts w:ascii="Arial" w:hAnsi="Arial" w:cs="Arial"/>
                <w:bCs/>
                <w:sz w:val="20"/>
                <w:vertAlign w:val="superscript"/>
              </w:rPr>
              <w:t>a</w:t>
            </w:r>
          </w:p>
        </w:tc>
        <w:tc>
          <w:tcPr>
            <w:tcW w:w="1764" w:type="dxa"/>
            <w:tcBorders>
              <w:bottom w:val="single" w:sz="4" w:space="0" w:color="auto"/>
            </w:tcBorders>
            <w:vAlign w:val="center"/>
          </w:tcPr>
          <w:p w14:paraId="25B49B20"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14.48±0.77</w:t>
            </w:r>
            <w:r w:rsidRPr="00A13457">
              <w:rPr>
                <w:rFonts w:ascii="Arial" w:hAnsi="Arial" w:cs="Arial"/>
                <w:bCs/>
                <w:sz w:val="20"/>
                <w:vertAlign w:val="superscript"/>
              </w:rPr>
              <w:t>a</w:t>
            </w:r>
          </w:p>
        </w:tc>
        <w:tc>
          <w:tcPr>
            <w:tcW w:w="1808" w:type="dxa"/>
            <w:tcBorders>
              <w:bottom w:val="single" w:sz="4" w:space="0" w:color="auto"/>
            </w:tcBorders>
            <w:vAlign w:val="center"/>
          </w:tcPr>
          <w:p w14:paraId="1CAFDFF0"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14.02±0.72</w:t>
            </w:r>
            <w:r w:rsidRPr="00A13457">
              <w:rPr>
                <w:rFonts w:ascii="Arial" w:hAnsi="Arial" w:cs="Arial"/>
                <w:bCs/>
                <w:sz w:val="20"/>
                <w:vertAlign w:val="superscript"/>
              </w:rPr>
              <w:t>a</w:t>
            </w:r>
          </w:p>
        </w:tc>
        <w:tc>
          <w:tcPr>
            <w:tcW w:w="1136" w:type="dxa"/>
            <w:tcBorders>
              <w:bottom w:val="single" w:sz="4" w:space="0" w:color="auto"/>
            </w:tcBorders>
            <w:vAlign w:val="center"/>
          </w:tcPr>
          <w:p w14:paraId="222EAE57" w14:textId="77777777" w:rsidR="00A13457" w:rsidRPr="00A13457" w:rsidRDefault="00A13457" w:rsidP="00A13457">
            <w:pPr>
              <w:pStyle w:val="Body"/>
              <w:spacing w:after="0"/>
              <w:rPr>
                <w:rFonts w:ascii="Arial" w:hAnsi="Arial" w:cs="Arial"/>
                <w:bCs/>
                <w:sz w:val="20"/>
              </w:rPr>
            </w:pPr>
            <w:r w:rsidRPr="00A13457">
              <w:rPr>
                <w:rFonts w:ascii="Arial" w:hAnsi="Arial" w:cs="Arial"/>
                <w:bCs/>
                <w:sz w:val="20"/>
              </w:rPr>
              <w:t>14.01±0.71</w:t>
            </w:r>
            <w:r w:rsidRPr="00A13457">
              <w:rPr>
                <w:rFonts w:ascii="Arial" w:hAnsi="Arial" w:cs="Arial"/>
                <w:bCs/>
                <w:sz w:val="20"/>
                <w:vertAlign w:val="superscript"/>
              </w:rPr>
              <w:t>a</w:t>
            </w:r>
          </w:p>
        </w:tc>
      </w:tr>
    </w:tbl>
    <w:p w14:paraId="257389A0" w14:textId="6701225D" w:rsidR="00A13457" w:rsidRDefault="00A13457" w:rsidP="00441B6F">
      <w:pPr>
        <w:pStyle w:val="Body"/>
        <w:spacing w:after="0"/>
        <w:rPr>
          <w:rFonts w:ascii="Arial" w:hAnsi="Arial" w:cs="Arial"/>
          <w:bCs/>
          <w:i/>
          <w:iCs/>
          <w:sz w:val="18"/>
          <w:szCs w:val="18"/>
        </w:rPr>
      </w:pPr>
      <w:r w:rsidRPr="00BA1CA6">
        <w:rPr>
          <w:rFonts w:ascii="Arial" w:hAnsi="Arial" w:cs="Arial"/>
          <w:bCs/>
          <w:i/>
          <w:iCs/>
          <w:sz w:val="18"/>
          <w:szCs w:val="18"/>
        </w:rPr>
        <w:lastRenderedPageBreak/>
        <w:t>*T1 designated the fish fed feed without enzyme, whereas T2, T3, and T4 designated the fish fed feed with Aquazyme at 2.0, 4.0, and 6.0g.kg</w:t>
      </w:r>
      <w:r w:rsidRPr="00BA1CA6">
        <w:rPr>
          <w:rFonts w:ascii="Arial" w:hAnsi="Arial" w:cs="Arial"/>
          <w:bCs/>
          <w:i/>
          <w:iCs/>
          <w:sz w:val="18"/>
          <w:szCs w:val="18"/>
          <w:vertAlign w:val="superscript"/>
        </w:rPr>
        <w:t>-1</w:t>
      </w:r>
      <w:r w:rsidRPr="00BA1CA6">
        <w:rPr>
          <w:rFonts w:ascii="Arial" w:hAnsi="Arial" w:cs="Arial"/>
          <w:bCs/>
          <w:i/>
          <w:iCs/>
          <w:sz w:val="18"/>
          <w:szCs w:val="18"/>
        </w:rPr>
        <w:t xml:space="preserve">, respectively. Values with the same superscripts in the same row are not significantly different (P&gt;0.05). </w:t>
      </w:r>
    </w:p>
    <w:p w14:paraId="4981C0FA" w14:textId="77777777" w:rsidR="0086499E" w:rsidRPr="00BA1CA6" w:rsidRDefault="0086499E" w:rsidP="00441B6F">
      <w:pPr>
        <w:pStyle w:val="Body"/>
        <w:spacing w:after="0"/>
        <w:rPr>
          <w:rFonts w:ascii="Arial" w:hAnsi="Arial" w:cs="Arial"/>
          <w:sz w:val="18"/>
          <w:szCs w:val="18"/>
        </w:rPr>
      </w:pPr>
    </w:p>
    <w:p w14:paraId="12F7D51C" w14:textId="6E3372D4" w:rsidR="00A13457"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5</w:t>
      </w:r>
      <w:r w:rsidRPr="000271DB">
        <w:rPr>
          <w:rFonts w:ascii="Arial" w:hAnsi="Arial" w:cs="Arial"/>
          <w:b/>
          <w:bCs/>
          <w:sz w:val="22"/>
          <w:szCs w:val="22"/>
        </w:rPr>
        <w:t xml:space="preserve"> </w:t>
      </w:r>
      <w:r w:rsidR="00707639">
        <w:rPr>
          <w:rFonts w:ascii="Arial" w:hAnsi="Arial" w:cs="Arial"/>
          <w:b/>
          <w:bCs/>
          <w:sz w:val="22"/>
          <w:szCs w:val="22"/>
        </w:rPr>
        <w:t>Fish Collection and Feeding</w:t>
      </w:r>
    </w:p>
    <w:p w14:paraId="35342E3F" w14:textId="77777777" w:rsidR="0086499E" w:rsidRDefault="0086499E" w:rsidP="00441B6F">
      <w:pPr>
        <w:pStyle w:val="Body"/>
        <w:spacing w:after="0"/>
        <w:rPr>
          <w:rFonts w:ascii="Arial" w:hAnsi="Arial" w:cs="Arial"/>
        </w:rPr>
      </w:pPr>
    </w:p>
    <w:p w14:paraId="77E7DE8B" w14:textId="77777777" w:rsidR="00707639" w:rsidRDefault="00707639" w:rsidP="00441B6F">
      <w:pPr>
        <w:pStyle w:val="Body"/>
        <w:spacing w:after="0"/>
        <w:rPr>
          <w:rFonts w:ascii="Arial" w:hAnsi="Arial" w:cs="Arial"/>
        </w:rPr>
      </w:pPr>
      <w:r w:rsidRPr="00707639">
        <w:rPr>
          <w:rFonts w:ascii="Arial" w:hAnsi="Arial" w:cs="Arial"/>
        </w:rPr>
        <w:t xml:space="preserve">A total of one hundred twenty juveniles of </w:t>
      </w:r>
      <w:r w:rsidRPr="00E0040F">
        <w:rPr>
          <w:rFonts w:ascii="Arial" w:hAnsi="Arial" w:cs="Arial"/>
          <w:i/>
          <w:iCs/>
        </w:rPr>
        <w:t>C</w:t>
      </w:r>
      <w:r w:rsidRPr="00707639">
        <w:rPr>
          <w:rFonts w:ascii="Arial" w:hAnsi="Arial" w:cs="Arial"/>
        </w:rPr>
        <w:t xml:space="preserve">. </w:t>
      </w:r>
      <w:r w:rsidRPr="00E0040F">
        <w:rPr>
          <w:rFonts w:ascii="Arial" w:hAnsi="Arial" w:cs="Arial"/>
          <w:i/>
          <w:iCs/>
        </w:rPr>
        <w:t>catla</w:t>
      </w:r>
      <w:r w:rsidRPr="00707639">
        <w:rPr>
          <w:rFonts w:ascii="Arial" w:hAnsi="Arial" w:cs="Arial"/>
        </w:rPr>
        <w:t xml:space="preserve">, roughly equal in size and weight, were collected from a nearby fish hatchery. The juveniles were transported to the experimental site with an aeration system and acclimatized within the cage for 15 days. Following the acclimation phase, ten fish were allocated at random to each cage across four different treatments. Throughout the entire trial, the fish received daily feed amounting to 5% of their body weight. The entire ration was split into two parts, with one portion given in the morning (9:00 AM) and the other half in the evening (5:00 PM). The fish were taken from the cage and weighed biweekly for adjustment of the ration size.  </w:t>
      </w:r>
    </w:p>
    <w:p w14:paraId="043950AA" w14:textId="77777777" w:rsidR="00707639" w:rsidRDefault="00707639" w:rsidP="00441B6F">
      <w:pPr>
        <w:pStyle w:val="Body"/>
        <w:spacing w:after="0"/>
        <w:rPr>
          <w:rFonts w:ascii="Arial" w:hAnsi="Arial" w:cs="Arial"/>
          <w:b/>
          <w:bCs/>
          <w:sz w:val="22"/>
          <w:szCs w:val="22"/>
        </w:rPr>
      </w:pPr>
    </w:p>
    <w:p w14:paraId="2D053514" w14:textId="6321013C" w:rsidR="00707639" w:rsidRDefault="00707639"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.6 Water Quality Monitoring</w:t>
      </w:r>
    </w:p>
    <w:p w14:paraId="11E4B989" w14:textId="77777777" w:rsidR="0086499E" w:rsidRDefault="0086499E" w:rsidP="00441B6F">
      <w:pPr>
        <w:pStyle w:val="Body"/>
        <w:spacing w:after="0"/>
        <w:rPr>
          <w:rFonts w:ascii="Arial" w:hAnsi="Arial" w:cs="Arial"/>
        </w:rPr>
      </w:pPr>
    </w:p>
    <w:p w14:paraId="4621BD6D" w14:textId="77777777" w:rsidR="00707639" w:rsidRPr="00707639" w:rsidRDefault="00707639" w:rsidP="006742D3">
      <w:pPr>
        <w:pStyle w:val="Body"/>
        <w:spacing w:after="120"/>
        <w:rPr>
          <w:rFonts w:ascii="Arial" w:hAnsi="Arial" w:cs="Arial"/>
        </w:rPr>
      </w:pPr>
      <w:r w:rsidRPr="00707639">
        <w:rPr>
          <w:rFonts w:ascii="Arial" w:hAnsi="Arial" w:cs="Arial"/>
        </w:rPr>
        <w:t>During the experimental period, water temperature, pH, dissolved oxygen (DO), total alkalinity, and NH</w:t>
      </w:r>
      <w:r w:rsidRPr="00707639">
        <w:rPr>
          <w:rFonts w:ascii="Arial" w:hAnsi="Arial" w:cs="Arial"/>
          <w:vertAlign w:val="subscript"/>
        </w:rPr>
        <w:t>3</w:t>
      </w:r>
      <w:r w:rsidRPr="00707639">
        <w:rPr>
          <w:rFonts w:ascii="Arial" w:hAnsi="Arial" w:cs="Arial"/>
        </w:rPr>
        <w:t>-N were measured biweekly. A Celsius thermometer was used to measure the temperature, and a digital pH meter was used to assess the pH level of the water. DO levels, total alkalinity, and NH</w:t>
      </w:r>
      <w:r w:rsidRPr="00707639">
        <w:rPr>
          <w:rFonts w:ascii="Arial" w:hAnsi="Arial" w:cs="Arial"/>
          <w:vertAlign w:val="subscript"/>
        </w:rPr>
        <w:t>3</w:t>
      </w:r>
      <w:r w:rsidRPr="00707639">
        <w:rPr>
          <w:rFonts w:ascii="Arial" w:hAnsi="Arial" w:cs="Arial"/>
        </w:rPr>
        <w:t>-N were measured with a HACH Kit (Model: DR/2010). There were no significant variations in water quality parameters among the treatments, with all values remaining within a productive range (Table 2).</w:t>
      </w:r>
    </w:p>
    <w:p w14:paraId="176CCF86" w14:textId="77777777" w:rsidR="00707639" w:rsidRDefault="00707639" w:rsidP="006742D3">
      <w:pPr>
        <w:pStyle w:val="Body"/>
        <w:spacing w:after="120"/>
        <w:rPr>
          <w:rFonts w:ascii="Arial" w:hAnsi="Arial" w:cs="Arial"/>
          <w:b/>
          <w:bCs/>
        </w:rPr>
      </w:pPr>
      <w:r w:rsidRPr="00707639">
        <w:rPr>
          <w:rFonts w:ascii="Arial" w:hAnsi="Arial" w:cs="Arial"/>
          <w:b/>
        </w:rPr>
        <w:t>Table 2.</w:t>
      </w:r>
      <w:r w:rsidRPr="00707639">
        <w:rPr>
          <w:rFonts w:ascii="Arial" w:hAnsi="Arial" w:cs="Arial"/>
        </w:rPr>
        <w:t xml:space="preserve"> </w:t>
      </w:r>
      <w:r w:rsidRPr="00707639">
        <w:rPr>
          <w:rFonts w:ascii="Arial" w:hAnsi="Arial" w:cs="Arial"/>
          <w:b/>
          <w:bCs/>
        </w:rPr>
        <w:t>The mean values of water quality parameters in different treatments</w:t>
      </w:r>
    </w:p>
    <w:tbl>
      <w:tblPr>
        <w:tblStyle w:val="TableGrid"/>
        <w:tblW w:w="8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715"/>
        <w:gridCol w:w="1684"/>
        <w:gridCol w:w="1684"/>
        <w:gridCol w:w="1400"/>
      </w:tblGrid>
      <w:tr w:rsidR="00707639" w:rsidRPr="00707639" w14:paraId="0D3863C5" w14:textId="77777777" w:rsidTr="00C761F0">
        <w:trPr>
          <w:trHeight w:val="162"/>
          <w:jc w:val="center"/>
        </w:trPr>
        <w:tc>
          <w:tcPr>
            <w:tcW w:w="1950" w:type="dxa"/>
            <w:vMerge w:val="restart"/>
            <w:tcBorders>
              <w:top w:val="single" w:sz="4" w:space="0" w:color="000000" w:themeColor="text1"/>
            </w:tcBorders>
            <w:vAlign w:val="center"/>
          </w:tcPr>
          <w:p w14:paraId="49C7378D" w14:textId="29E4A4FA" w:rsidR="00707639" w:rsidRPr="00707639" w:rsidRDefault="00707639" w:rsidP="00481F76">
            <w:pPr>
              <w:pStyle w:val="Body"/>
              <w:spacing w:after="0"/>
              <w:jc w:val="left"/>
              <w:rPr>
                <w:rFonts w:ascii="Arial" w:hAnsi="Arial" w:cs="Arial"/>
                <w:bCs/>
                <w:sz w:val="20"/>
              </w:rPr>
            </w:pPr>
            <w:r w:rsidRPr="00707639">
              <w:rPr>
                <w:rFonts w:ascii="Arial" w:hAnsi="Arial" w:cs="Arial"/>
                <w:b/>
                <w:bCs/>
                <w:sz w:val="20"/>
              </w:rPr>
              <w:t>Parameters</w:t>
            </w:r>
          </w:p>
        </w:tc>
        <w:tc>
          <w:tcPr>
            <w:tcW w:w="6312" w:type="dxa"/>
            <w:gridSpan w:val="4"/>
            <w:tcBorders>
              <w:top w:val="single" w:sz="4" w:space="0" w:color="000000" w:themeColor="text1"/>
              <w:bottom w:val="single" w:sz="4" w:space="0" w:color="000000" w:themeColor="text1"/>
            </w:tcBorders>
            <w:vAlign w:val="center"/>
          </w:tcPr>
          <w:p w14:paraId="7AAB0053" w14:textId="50AEA102" w:rsidR="00707639" w:rsidRPr="00707639" w:rsidRDefault="00707639" w:rsidP="00481F76">
            <w:pPr>
              <w:pStyle w:val="Body"/>
              <w:spacing w:after="0"/>
              <w:rPr>
                <w:rFonts w:ascii="Arial" w:hAnsi="Arial" w:cs="Arial"/>
                <w:bCs/>
                <w:sz w:val="20"/>
              </w:rPr>
            </w:pPr>
            <w:r w:rsidRPr="00707639">
              <w:rPr>
                <w:rFonts w:ascii="Arial" w:hAnsi="Arial" w:cs="Arial"/>
                <w:b/>
                <w:bCs/>
                <w:sz w:val="20"/>
              </w:rPr>
              <w:t>Treatments</w:t>
            </w:r>
            <w:r w:rsidR="00481F76">
              <w:rPr>
                <w:rFonts w:ascii="Arial" w:hAnsi="Arial" w:cs="Arial"/>
                <w:b/>
                <w:bCs/>
                <w:sz w:val="20"/>
              </w:rPr>
              <w:t xml:space="preserve"> </w:t>
            </w:r>
            <w:r w:rsidR="00481F76">
              <w:rPr>
                <w:rFonts w:ascii="Arial" w:hAnsi="Arial" w:cs="Arial"/>
                <w:b/>
                <w:sz w:val="20"/>
              </w:rPr>
              <w:t>(</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707639" w:rsidRPr="00707639" w14:paraId="37AF1A17" w14:textId="77777777" w:rsidTr="00C761F0">
        <w:trPr>
          <w:trHeight w:val="137"/>
          <w:jc w:val="center"/>
        </w:trPr>
        <w:tc>
          <w:tcPr>
            <w:tcW w:w="1950" w:type="dxa"/>
            <w:vMerge/>
            <w:vAlign w:val="center"/>
          </w:tcPr>
          <w:p w14:paraId="47583A88" w14:textId="77777777" w:rsidR="00707639" w:rsidRPr="00707639" w:rsidRDefault="00707639" w:rsidP="00481F76">
            <w:pPr>
              <w:pStyle w:val="Body"/>
              <w:spacing w:after="0"/>
              <w:jc w:val="left"/>
              <w:rPr>
                <w:rFonts w:ascii="Arial" w:hAnsi="Arial" w:cs="Arial"/>
                <w:bCs/>
                <w:sz w:val="20"/>
              </w:rPr>
            </w:pPr>
          </w:p>
        </w:tc>
        <w:tc>
          <w:tcPr>
            <w:tcW w:w="1844" w:type="dxa"/>
            <w:tcBorders>
              <w:top w:val="single" w:sz="4" w:space="0" w:color="000000" w:themeColor="text1"/>
            </w:tcBorders>
            <w:vAlign w:val="center"/>
          </w:tcPr>
          <w:p w14:paraId="1ECA5591" w14:textId="77777777"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T1</w:t>
            </w:r>
          </w:p>
        </w:tc>
        <w:tc>
          <w:tcPr>
            <w:tcW w:w="1800" w:type="dxa"/>
            <w:tcBorders>
              <w:top w:val="single" w:sz="4" w:space="0" w:color="000000" w:themeColor="text1"/>
            </w:tcBorders>
            <w:vAlign w:val="center"/>
          </w:tcPr>
          <w:p w14:paraId="53414D34" w14:textId="4399C7AA"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T2</w:t>
            </w:r>
          </w:p>
        </w:tc>
        <w:tc>
          <w:tcPr>
            <w:tcW w:w="1800" w:type="dxa"/>
            <w:tcBorders>
              <w:top w:val="single" w:sz="4" w:space="0" w:color="000000" w:themeColor="text1"/>
            </w:tcBorders>
            <w:vAlign w:val="center"/>
          </w:tcPr>
          <w:p w14:paraId="0B3BA035" w14:textId="77777777"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T3</w:t>
            </w:r>
          </w:p>
        </w:tc>
        <w:tc>
          <w:tcPr>
            <w:tcW w:w="868" w:type="dxa"/>
            <w:tcBorders>
              <w:top w:val="single" w:sz="4" w:space="0" w:color="000000" w:themeColor="text1"/>
            </w:tcBorders>
            <w:vAlign w:val="center"/>
          </w:tcPr>
          <w:p w14:paraId="097DBC57" w14:textId="7D8D8B1D"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T4</w:t>
            </w:r>
          </w:p>
        </w:tc>
      </w:tr>
      <w:tr w:rsidR="00707639" w:rsidRPr="00707639" w14:paraId="6A9B5E5B" w14:textId="77777777" w:rsidTr="00C761F0">
        <w:trPr>
          <w:trHeight w:val="325"/>
          <w:jc w:val="center"/>
        </w:trPr>
        <w:tc>
          <w:tcPr>
            <w:tcW w:w="1950" w:type="dxa"/>
            <w:tcBorders>
              <w:top w:val="single" w:sz="4" w:space="0" w:color="000000" w:themeColor="text1"/>
            </w:tcBorders>
            <w:vAlign w:val="center"/>
          </w:tcPr>
          <w:p w14:paraId="5388BEF1" w14:textId="3A1EC6E1"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Temperature (°C)</w:t>
            </w:r>
          </w:p>
        </w:tc>
        <w:tc>
          <w:tcPr>
            <w:tcW w:w="1844" w:type="dxa"/>
            <w:tcBorders>
              <w:top w:val="single" w:sz="4" w:space="0" w:color="000000" w:themeColor="text1"/>
            </w:tcBorders>
            <w:vAlign w:val="center"/>
          </w:tcPr>
          <w:p w14:paraId="4012148B"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29.53±0.91</w:t>
            </w:r>
            <w:r w:rsidRPr="00707639">
              <w:rPr>
                <w:rFonts w:ascii="Arial" w:hAnsi="Arial" w:cs="Arial"/>
                <w:bCs/>
                <w:sz w:val="20"/>
                <w:vertAlign w:val="superscript"/>
              </w:rPr>
              <w:t>a</w:t>
            </w:r>
          </w:p>
        </w:tc>
        <w:tc>
          <w:tcPr>
            <w:tcW w:w="1800" w:type="dxa"/>
            <w:tcBorders>
              <w:top w:val="single" w:sz="4" w:space="0" w:color="000000" w:themeColor="text1"/>
            </w:tcBorders>
            <w:vAlign w:val="center"/>
          </w:tcPr>
          <w:p w14:paraId="10AAEF0B"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29.46±0.69</w:t>
            </w:r>
            <w:r w:rsidRPr="00707639">
              <w:rPr>
                <w:rFonts w:ascii="Arial" w:hAnsi="Arial" w:cs="Arial"/>
                <w:bCs/>
                <w:sz w:val="20"/>
                <w:vertAlign w:val="superscript"/>
              </w:rPr>
              <w:t>a</w:t>
            </w:r>
          </w:p>
        </w:tc>
        <w:tc>
          <w:tcPr>
            <w:tcW w:w="1800" w:type="dxa"/>
            <w:tcBorders>
              <w:top w:val="single" w:sz="4" w:space="0" w:color="000000" w:themeColor="text1"/>
            </w:tcBorders>
            <w:vAlign w:val="center"/>
          </w:tcPr>
          <w:p w14:paraId="08A1249C" w14:textId="03DA381E" w:rsidR="00707639" w:rsidRPr="00707639" w:rsidRDefault="006742D3" w:rsidP="00481F76">
            <w:pPr>
              <w:pStyle w:val="Body"/>
              <w:spacing w:after="0"/>
              <w:jc w:val="left"/>
              <w:rPr>
                <w:rFonts w:ascii="Arial" w:hAnsi="Arial" w:cs="Arial"/>
                <w:bCs/>
                <w:sz w:val="20"/>
              </w:rPr>
            </w:pPr>
            <w:r>
              <w:rPr>
                <w:rFonts w:ascii="Arial" w:hAnsi="Arial" w:cs="Arial"/>
                <w:bCs/>
                <w:sz w:val="20"/>
              </w:rPr>
              <w:t>2</w:t>
            </w:r>
            <w:r w:rsidR="00707639" w:rsidRPr="00707639">
              <w:rPr>
                <w:rFonts w:ascii="Arial" w:hAnsi="Arial" w:cs="Arial"/>
                <w:bCs/>
                <w:sz w:val="20"/>
              </w:rPr>
              <w:t>9.45±0.71</w:t>
            </w:r>
            <w:r w:rsidR="00707639" w:rsidRPr="00707639">
              <w:rPr>
                <w:rFonts w:ascii="Arial" w:hAnsi="Arial" w:cs="Arial"/>
                <w:bCs/>
                <w:sz w:val="20"/>
                <w:vertAlign w:val="superscript"/>
              </w:rPr>
              <w:t>a</w:t>
            </w:r>
          </w:p>
        </w:tc>
        <w:tc>
          <w:tcPr>
            <w:tcW w:w="868" w:type="dxa"/>
            <w:tcBorders>
              <w:top w:val="single" w:sz="4" w:space="0" w:color="000000" w:themeColor="text1"/>
            </w:tcBorders>
            <w:vAlign w:val="center"/>
          </w:tcPr>
          <w:p w14:paraId="29061D36"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28.92±0.67</w:t>
            </w:r>
            <w:r w:rsidRPr="00707639">
              <w:rPr>
                <w:rFonts w:ascii="Arial" w:hAnsi="Arial" w:cs="Arial"/>
                <w:bCs/>
                <w:sz w:val="20"/>
                <w:vertAlign w:val="superscript"/>
              </w:rPr>
              <w:t>a</w:t>
            </w:r>
          </w:p>
        </w:tc>
      </w:tr>
      <w:tr w:rsidR="00707639" w:rsidRPr="00707639" w14:paraId="662DDD83" w14:textId="77777777" w:rsidTr="00C761F0">
        <w:trPr>
          <w:trHeight w:val="260"/>
          <w:jc w:val="center"/>
        </w:trPr>
        <w:tc>
          <w:tcPr>
            <w:tcW w:w="1950" w:type="dxa"/>
            <w:vAlign w:val="center"/>
          </w:tcPr>
          <w:p w14:paraId="657FBCAC" w14:textId="49C07C94"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DO (mg/l)</w:t>
            </w:r>
          </w:p>
        </w:tc>
        <w:tc>
          <w:tcPr>
            <w:tcW w:w="1844" w:type="dxa"/>
            <w:vAlign w:val="center"/>
          </w:tcPr>
          <w:p w14:paraId="7075F6BC"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6.05±0.46</w:t>
            </w:r>
            <w:r w:rsidRPr="00707639">
              <w:rPr>
                <w:rFonts w:ascii="Arial" w:hAnsi="Arial" w:cs="Arial"/>
                <w:bCs/>
                <w:sz w:val="20"/>
                <w:vertAlign w:val="superscript"/>
              </w:rPr>
              <w:t>a</w:t>
            </w:r>
          </w:p>
        </w:tc>
        <w:tc>
          <w:tcPr>
            <w:tcW w:w="1800" w:type="dxa"/>
            <w:vAlign w:val="center"/>
          </w:tcPr>
          <w:p w14:paraId="78878BD8"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6.48±0.72</w:t>
            </w:r>
            <w:r w:rsidRPr="00707639">
              <w:rPr>
                <w:rFonts w:ascii="Arial" w:hAnsi="Arial" w:cs="Arial"/>
                <w:bCs/>
                <w:sz w:val="20"/>
                <w:vertAlign w:val="superscript"/>
              </w:rPr>
              <w:t>a</w:t>
            </w:r>
          </w:p>
        </w:tc>
        <w:tc>
          <w:tcPr>
            <w:tcW w:w="1800" w:type="dxa"/>
            <w:vAlign w:val="center"/>
          </w:tcPr>
          <w:p w14:paraId="030CDFEC"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6.04±0.43</w:t>
            </w:r>
            <w:r w:rsidRPr="00707639">
              <w:rPr>
                <w:rFonts w:ascii="Arial" w:hAnsi="Arial" w:cs="Arial"/>
                <w:bCs/>
                <w:sz w:val="20"/>
                <w:vertAlign w:val="superscript"/>
              </w:rPr>
              <w:t>a</w:t>
            </w:r>
          </w:p>
        </w:tc>
        <w:tc>
          <w:tcPr>
            <w:tcW w:w="868" w:type="dxa"/>
            <w:vAlign w:val="center"/>
          </w:tcPr>
          <w:p w14:paraId="1FF71D5B"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6.18±0.45</w:t>
            </w:r>
            <w:r w:rsidRPr="00707639">
              <w:rPr>
                <w:rFonts w:ascii="Arial" w:hAnsi="Arial" w:cs="Arial"/>
                <w:bCs/>
                <w:sz w:val="20"/>
                <w:vertAlign w:val="superscript"/>
              </w:rPr>
              <w:t>a</w:t>
            </w:r>
          </w:p>
        </w:tc>
      </w:tr>
      <w:tr w:rsidR="00707639" w:rsidRPr="00707639" w14:paraId="118C24BC" w14:textId="77777777" w:rsidTr="00C761F0">
        <w:trPr>
          <w:trHeight w:val="279"/>
          <w:jc w:val="center"/>
        </w:trPr>
        <w:tc>
          <w:tcPr>
            <w:tcW w:w="1950" w:type="dxa"/>
            <w:vAlign w:val="center"/>
          </w:tcPr>
          <w:p w14:paraId="0897D6F1" w14:textId="7878279B"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pH</w:t>
            </w:r>
          </w:p>
        </w:tc>
        <w:tc>
          <w:tcPr>
            <w:tcW w:w="1844" w:type="dxa"/>
            <w:vAlign w:val="center"/>
          </w:tcPr>
          <w:p w14:paraId="441D81B0"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7.53±0.19</w:t>
            </w:r>
            <w:r w:rsidRPr="00707639">
              <w:rPr>
                <w:rFonts w:ascii="Arial" w:hAnsi="Arial" w:cs="Arial"/>
                <w:bCs/>
                <w:sz w:val="20"/>
                <w:vertAlign w:val="superscript"/>
              </w:rPr>
              <w:t>a</w:t>
            </w:r>
          </w:p>
        </w:tc>
        <w:tc>
          <w:tcPr>
            <w:tcW w:w="1800" w:type="dxa"/>
            <w:vAlign w:val="center"/>
          </w:tcPr>
          <w:p w14:paraId="3B05283C"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7.56±0.29</w:t>
            </w:r>
            <w:r w:rsidRPr="00707639">
              <w:rPr>
                <w:rFonts w:ascii="Arial" w:hAnsi="Arial" w:cs="Arial"/>
                <w:bCs/>
                <w:sz w:val="20"/>
                <w:vertAlign w:val="superscript"/>
              </w:rPr>
              <w:t>a</w:t>
            </w:r>
          </w:p>
        </w:tc>
        <w:tc>
          <w:tcPr>
            <w:tcW w:w="1800" w:type="dxa"/>
            <w:vAlign w:val="center"/>
          </w:tcPr>
          <w:p w14:paraId="4FE563D5"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7.48±0.23</w:t>
            </w:r>
            <w:r w:rsidRPr="00707639">
              <w:rPr>
                <w:rFonts w:ascii="Arial" w:hAnsi="Arial" w:cs="Arial"/>
                <w:bCs/>
                <w:sz w:val="20"/>
                <w:vertAlign w:val="superscript"/>
              </w:rPr>
              <w:t>a</w:t>
            </w:r>
          </w:p>
        </w:tc>
        <w:tc>
          <w:tcPr>
            <w:tcW w:w="868" w:type="dxa"/>
            <w:vAlign w:val="center"/>
          </w:tcPr>
          <w:p w14:paraId="2E33BAA5"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7.41±0.27</w:t>
            </w:r>
            <w:r w:rsidRPr="00707639">
              <w:rPr>
                <w:rFonts w:ascii="Arial" w:hAnsi="Arial" w:cs="Arial"/>
                <w:bCs/>
                <w:sz w:val="20"/>
                <w:vertAlign w:val="superscript"/>
              </w:rPr>
              <w:t>a</w:t>
            </w:r>
          </w:p>
        </w:tc>
      </w:tr>
      <w:tr w:rsidR="00707639" w:rsidRPr="00707639" w14:paraId="06FAC215" w14:textId="77777777" w:rsidTr="00C761F0">
        <w:trPr>
          <w:trHeight w:val="283"/>
          <w:jc w:val="center"/>
        </w:trPr>
        <w:tc>
          <w:tcPr>
            <w:tcW w:w="1950" w:type="dxa"/>
            <w:vAlign w:val="center"/>
          </w:tcPr>
          <w:p w14:paraId="4869FD23" w14:textId="34947074"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Alkalinity (mg/l)</w:t>
            </w:r>
          </w:p>
        </w:tc>
        <w:tc>
          <w:tcPr>
            <w:tcW w:w="1844" w:type="dxa"/>
            <w:vAlign w:val="center"/>
          </w:tcPr>
          <w:p w14:paraId="25211470"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143.28±4.14</w:t>
            </w:r>
            <w:r w:rsidRPr="00707639">
              <w:rPr>
                <w:rFonts w:ascii="Arial" w:hAnsi="Arial" w:cs="Arial"/>
                <w:bCs/>
                <w:sz w:val="20"/>
                <w:vertAlign w:val="superscript"/>
              </w:rPr>
              <w:t>a</w:t>
            </w:r>
          </w:p>
        </w:tc>
        <w:tc>
          <w:tcPr>
            <w:tcW w:w="1800" w:type="dxa"/>
            <w:vAlign w:val="center"/>
          </w:tcPr>
          <w:p w14:paraId="0119D5AC"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150.31±4.07</w:t>
            </w:r>
            <w:r w:rsidRPr="00707639">
              <w:rPr>
                <w:rFonts w:ascii="Arial" w:hAnsi="Arial" w:cs="Arial"/>
                <w:bCs/>
                <w:sz w:val="20"/>
                <w:vertAlign w:val="superscript"/>
              </w:rPr>
              <w:t>a</w:t>
            </w:r>
          </w:p>
        </w:tc>
        <w:tc>
          <w:tcPr>
            <w:tcW w:w="1800" w:type="dxa"/>
            <w:vAlign w:val="center"/>
          </w:tcPr>
          <w:p w14:paraId="5726D7D0"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145.5±10.25</w:t>
            </w:r>
            <w:r w:rsidRPr="00707639">
              <w:rPr>
                <w:rFonts w:ascii="Arial" w:hAnsi="Arial" w:cs="Arial"/>
                <w:bCs/>
                <w:sz w:val="20"/>
                <w:vertAlign w:val="superscript"/>
              </w:rPr>
              <w:t>a</w:t>
            </w:r>
          </w:p>
        </w:tc>
        <w:tc>
          <w:tcPr>
            <w:tcW w:w="868" w:type="dxa"/>
            <w:vAlign w:val="center"/>
          </w:tcPr>
          <w:p w14:paraId="0832267A"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145.43±5.54</w:t>
            </w:r>
            <w:r w:rsidRPr="00707639">
              <w:rPr>
                <w:rFonts w:ascii="Arial" w:hAnsi="Arial" w:cs="Arial"/>
                <w:bCs/>
                <w:sz w:val="20"/>
                <w:vertAlign w:val="superscript"/>
              </w:rPr>
              <w:t>a</w:t>
            </w:r>
          </w:p>
        </w:tc>
      </w:tr>
      <w:tr w:rsidR="00707639" w:rsidRPr="00707639" w14:paraId="7FE92D41" w14:textId="77777777" w:rsidTr="00C761F0">
        <w:trPr>
          <w:trHeight w:val="273"/>
          <w:jc w:val="center"/>
        </w:trPr>
        <w:tc>
          <w:tcPr>
            <w:tcW w:w="1950" w:type="dxa"/>
            <w:tcBorders>
              <w:bottom w:val="single" w:sz="4" w:space="0" w:color="000000" w:themeColor="text1"/>
            </w:tcBorders>
            <w:vAlign w:val="center"/>
          </w:tcPr>
          <w:p w14:paraId="5CF4561A" w14:textId="3DAAD175"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NH</w:t>
            </w:r>
            <w:r w:rsidRPr="00707639">
              <w:rPr>
                <w:rFonts w:ascii="Arial" w:hAnsi="Arial" w:cs="Arial"/>
                <w:bCs/>
                <w:sz w:val="20"/>
                <w:vertAlign w:val="subscript"/>
              </w:rPr>
              <w:t>3</w:t>
            </w:r>
            <w:r w:rsidRPr="00707639">
              <w:rPr>
                <w:rFonts w:ascii="Arial" w:hAnsi="Arial" w:cs="Arial"/>
                <w:bCs/>
                <w:sz w:val="20"/>
              </w:rPr>
              <w:t>-N (mg/l)</w:t>
            </w:r>
          </w:p>
        </w:tc>
        <w:tc>
          <w:tcPr>
            <w:tcW w:w="1844" w:type="dxa"/>
            <w:tcBorders>
              <w:bottom w:val="single" w:sz="4" w:space="0" w:color="000000" w:themeColor="text1"/>
            </w:tcBorders>
            <w:vAlign w:val="center"/>
          </w:tcPr>
          <w:p w14:paraId="2497FF4F"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0.034±0.006</w:t>
            </w:r>
            <w:r w:rsidRPr="00707639">
              <w:rPr>
                <w:rFonts w:ascii="Arial" w:hAnsi="Arial" w:cs="Arial"/>
                <w:bCs/>
                <w:sz w:val="20"/>
                <w:vertAlign w:val="superscript"/>
              </w:rPr>
              <w:t>a</w:t>
            </w:r>
          </w:p>
        </w:tc>
        <w:tc>
          <w:tcPr>
            <w:tcW w:w="1800" w:type="dxa"/>
            <w:tcBorders>
              <w:bottom w:val="single" w:sz="4" w:space="0" w:color="000000" w:themeColor="text1"/>
            </w:tcBorders>
            <w:vAlign w:val="center"/>
          </w:tcPr>
          <w:p w14:paraId="762A47B2"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0.039±0.012</w:t>
            </w:r>
            <w:r w:rsidRPr="00707639">
              <w:rPr>
                <w:rFonts w:ascii="Arial" w:hAnsi="Arial" w:cs="Arial"/>
                <w:bCs/>
                <w:sz w:val="20"/>
                <w:vertAlign w:val="superscript"/>
              </w:rPr>
              <w:t>a</w:t>
            </w:r>
          </w:p>
        </w:tc>
        <w:tc>
          <w:tcPr>
            <w:tcW w:w="1800" w:type="dxa"/>
            <w:tcBorders>
              <w:bottom w:val="single" w:sz="4" w:space="0" w:color="000000" w:themeColor="text1"/>
            </w:tcBorders>
            <w:vAlign w:val="center"/>
          </w:tcPr>
          <w:p w14:paraId="4F0D7B3D"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0.041±0.009</w:t>
            </w:r>
            <w:r w:rsidRPr="00707639">
              <w:rPr>
                <w:rFonts w:ascii="Arial" w:hAnsi="Arial" w:cs="Arial"/>
                <w:bCs/>
                <w:sz w:val="20"/>
                <w:vertAlign w:val="superscript"/>
              </w:rPr>
              <w:t>a</w:t>
            </w:r>
          </w:p>
        </w:tc>
        <w:tc>
          <w:tcPr>
            <w:tcW w:w="868" w:type="dxa"/>
            <w:tcBorders>
              <w:bottom w:val="single" w:sz="4" w:space="0" w:color="000000" w:themeColor="text1"/>
            </w:tcBorders>
            <w:vAlign w:val="center"/>
          </w:tcPr>
          <w:p w14:paraId="533DAB80" w14:textId="77777777"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0.037±0.005</w:t>
            </w:r>
            <w:r w:rsidRPr="00707639">
              <w:rPr>
                <w:rFonts w:ascii="Arial" w:hAnsi="Arial" w:cs="Arial"/>
                <w:bCs/>
                <w:sz w:val="20"/>
                <w:vertAlign w:val="superscript"/>
              </w:rPr>
              <w:t>a</w:t>
            </w:r>
          </w:p>
        </w:tc>
      </w:tr>
    </w:tbl>
    <w:p w14:paraId="5517A716" w14:textId="71C4E580" w:rsidR="00165FE5" w:rsidRPr="00BA1CA6" w:rsidRDefault="00707639" w:rsidP="00165FE5">
      <w:pPr>
        <w:pStyle w:val="Body"/>
        <w:spacing w:after="0"/>
        <w:rPr>
          <w:rFonts w:ascii="Arial" w:hAnsi="Arial" w:cs="Arial"/>
          <w:bCs/>
          <w:i/>
          <w:iCs/>
          <w:sz w:val="18"/>
          <w:szCs w:val="18"/>
        </w:rPr>
      </w:pPr>
      <w:r w:rsidRPr="00BA1CA6">
        <w:rPr>
          <w:rFonts w:ascii="Arial" w:hAnsi="Arial" w:cs="Arial"/>
          <w:bCs/>
          <w:i/>
          <w:iCs/>
          <w:sz w:val="18"/>
          <w:szCs w:val="18"/>
        </w:rPr>
        <w:t>*T1 designated the fish fed feed without enzyme, whereas T2, T3, and T4 designated the fish fed feed with Aquazyme at 2.0, 4.0, and 6.0g.kg</w:t>
      </w:r>
      <w:r w:rsidR="003502F9">
        <w:rPr>
          <w:rFonts w:ascii="Arial" w:hAnsi="Arial" w:cs="Arial"/>
          <w:bCs/>
          <w:i/>
          <w:iCs/>
          <w:sz w:val="18"/>
          <w:szCs w:val="18"/>
          <w:vertAlign w:val="superscript"/>
        </w:rPr>
        <w:t>-</w:t>
      </w:r>
      <w:r w:rsidRPr="00F4214F">
        <w:rPr>
          <w:rFonts w:ascii="Arial" w:hAnsi="Arial" w:cs="Arial"/>
          <w:bCs/>
          <w:i/>
          <w:iCs/>
          <w:sz w:val="18"/>
          <w:szCs w:val="18"/>
          <w:vertAlign w:val="superscript"/>
        </w:rPr>
        <w:t>1</w:t>
      </w:r>
      <w:r w:rsidRPr="00BA1CA6">
        <w:rPr>
          <w:rFonts w:ascii="Arial" w:hAnsi="Arial" w:cs="Arial"/>
          <w:bCs/>
          <w:i/>
          <w:iCs/>
          <w:sz w:val="18"/>
          <w:szCs w:val="18"/>
        </w:rPr>
        <w:t xml:space="preserve">, respectively. Values with the same superscripts in the same row are not significantly different (P&gt;0.05). </w:t>
      </w:r>
    </w:p>
    <w:p w14:paraId="62D23D88" w14:textId="77777777" w:rsidR="00165FE5" w:rsidRDefault="00165FE5" w:rsidP="00165FE5">
      <w:pPr>
        <w:pStyle w:val="Body"/>
        <w:spacing w:after="0"/>
        <w:rPr>
          <w:rFonts w:ascii="Arial" w:hAnsi="Arial" w:cs="Arial"/>
          <w:bCs/>
          <w:i/>
          <w:iCs/>
        </w:rPr>
      </w:pPr>
    </w:p>
    <w:p w14:paraId="41AE0819" w14:textId="6E33BA4D" w:rsidR="00165FE5" w:rsidRDefault="00165FE5" w:rsidP="00165FE5">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.7 </w:t>
      </w:r>
      <w:r w:rsidR="006742D3" w:rsidRPr="006742D3">
        <w:rPr>
          <w:rFonts w:ascii="Arial" w:hAnsi="Arial" w:cs="Arial"/>
          <w:b/>
          <w:bCs/>
          <w:sz w:val="22"/>
          <w:szCs w:val="22"/>
        </w:rPr>
        <w:t xml:space="preserve">Sampling and </w:t>
      </w:r>
      <w:r w:rsidR="00C761F0">
        <w:rPr>
          <w:rFonts w:ascii="Arial" w:hAnsi="Arial" w:cs="Arial"/>
          <w:b/>
          <w:bCs/>
          <w:sz w:val="22"/>
          <w:szCs w:val="22"/>
        </w:rPr>
        <w:t>A</w:t>
      </w:r>
      <w:r w:rsidR="006742D3" w:rsidRPr="006742D3">
        <w:rPr>
          <w:rFonts w:ascii="Arial" w:hAnsi="Arial" w:cs="Arial"/>
          <w:b/>
          <w:bCs/>
          <w:sz w:val="22"/>
          <w:szCs w:val="22"/>
        </w:rPr>
        <w:t xml:space="preserve">nalysis of </w:t>
      </w:r>
      <w:r w:rsidR="00C761F0">
        <w:rPr>
          <w:rFonts w:ascii="Arial" w:hAnsi="Arial" w:cs="Arial"/>
          <w:b/>
          <w:bCs/>
          <w:sz w:val="22"/>
          <w:szCs w:val="22"/>
        </w:rPr>
        <w:t>G</w:t>
      </w:r>
      <w:r w:rsidR="006742D3" w:rsidRPr="006742D3">
        <w:rPr>
          <w:rFonts w:ascii="Arial" w:hAnsi="Arial" w:cs="Arial"/>
          <w:b/>
          <w:bCs/>
          <w:sz w:val="22"/>
          <w:szCs w:val="22"/>
        </w:rPr>
        <w:t xml:space="preserve">rowth </w:t>
      </w:r>
      <w:r w:rsidR="00C761F0">
        <w:rPr>
          <w:rFonts w:ascii="Arial" w:hAnsi="Arial" w:cs="Arial"/>
          <w:b/>
          <w:bCs/>
          <w:sz w:val="22"/>
          <w:szCs w:val="22"/>
        </w:rPr>
        <w:t>P</w:t>
      </w:r>
      <w:r w:rsidR="006742D3" w:rsidRPr="006742D3">
        <w:rPr>
          <w:rFonts w:ascii="Arial" w:hAnsi="Arial" w:cs="Arial"/>
          <w:b/>
          <w:bCs/>
          <w:sz w:val="22"/>
          <w:szCs w:val="22"/>
        </w:rPr>
        <w:t xml:space="preserve">erformance and </w:t>
      </w:r>
      <w:r w:rsidR="00C761F0">
        <w:rPr>
          <w:rFonts w:ascii="Arial" w:hAnsi="Arial" w:cs="Arial"/>
          <w:b/>
          <w:bCs/>
          <w:sz w:val="22"/>
          <w:szCs w:val="22"/>
        </w:rPr>
        <w:t>F</w:t>
      </w:r>
      <w:r w:rsidR="006742D3" w:rsidRPr="006742D3">
        <w:rPr>
          <w:rFonts w:ascii="Arial" w:hAnsi="Arial" w:cs="Arial"/>
          <w:b/>
          <w:bCs/>
          <w:sz w:val="22"/>
          <w:szCs w:val="22"/>
        </w:rPr>
        <w:t xml:space="preserve">eed </w:t>
      </w:r>
      <w:r w:rsidR="00C761F0">
        <w:rPr>
          <w:rFonts w:ascii="Arial" w:hAnsi="Arial" w:cs="Arial"/>
          <w:b/>
          <w:bCs/>
          <w:sz w:val="22"/>
          <w:szCs w:val="22"/>
        </w:rPr>
        <w:t>U</w:t>
      </w:r>
      <w:r w:rsidR="006742D3" w:rsidRPr="006742D3">
        <w:rPr>
          <w:rFonts w:ascii="Arial" w:hAnsi="Arial" w:cs="Arial"/>
          <w:b/>
          <w:bCs/>
          <w:sz w:val="22"/>
          <w:szCs w:val="22"/>
        </w:rPr>
        <w:t>tilization</w:t>
      </w:r>
    </w:p>
    <w:p w14:paraId="751B4E6F" w14:textId="77777777" w:rsidR="0086499E" w:rsidRDefault="0086499E" w:rsidP="00165FE5">
      <w:pPr>
        <w:pStyle w:val="Body"/>
        <w:spacing w:after="0"/>
        <w:rPr>
          <w:rFonts w:ascii="Arial" w:hAnsi="Arial" w:cs="Arial"/>
          <w:b/>
          <w:bCs/>
          <w:sz w:val="22"/>
          <w:szCs w:val="22"/>
        </w:rPr>
      </w:pPr>
    </w:p>
    <w:p w14:paraId="52F1DFE9" w14:textId="77777777" w:rsidR="006742D3" w:rsidRPr="006742D3" w:rsidRDefault="006742D3" w:rsidP="006742D3">
      <w:pPr>
        <w:pStyle w:val="Body"/>
        <w:spacing w:after="120"/>
        <w:rPr>
          <w:rFonts w:ascii="Arial" w:hAnsi="Arial" w:cs="Arial"/>
        </w:rPr>
      </w:pPr>
      <w:r w:rsidRPr="006742D3">
        <w:rPr>
          <w:rFonts w:ascii="Arial" w:hAnsi="Arial" w:cs="Arial"/>
        </w:rPr>
        <w:t xml:space="preserve">On the day the study began, the first sampling was done, and the weight of the fish in each cage was noted. After that, it was done biweekly to record the fish's weight using an electronic balance with a precision of 0.1 g. </w:t>
      </w:r>
      <w:r w:rsidRPr="006742D3">
        <w:rPr>
          <w:rFonts w:ascii="Arial" w:hAnsi="Arial" w:cs="Arial"/>
          <w:bCs/>
        </w:rPr>
        <w:t xml:space="preserve">The final weights of each test fish in four treatments were measured individually once the trial was over. </w:t>
      </w:r>
      <w:r w:rsidRPr="006742D3">
        <w:rPr>
          <w:rFonts w:ascii="Arial" w:hAnsi="Arial" w:cs="Arial"/>
        </w:rPr>
        <w:t xml:space="preserve">Growth performance and feed utilization by mean weight gain (MWG), specific growth rate (SGR), feed conversion ratio (FCR), and survival rate (SR) were calculated using the following formula: </w:t>
      </w:r>
    </w:p>
    <w:p w14:paraId="2427D366" w14:textId="5EC10FA8" w:rsidR="006742D3" w:rsidRPr="006742D3" w:rsidRDefault="006742D3" w:rsidP="006742D3">
      <w:pPr>
        <w:pStyle w:val="Body"/>
        <w:spacing w:after="120"/>
        <w:rPr>
          <w:rFonts w:ascii="Arial" w:hAnsi="Arial" w:cs="Arial"/>
          <w:iCs/>
        </w:rPr>
      </w:pPr>
      <m:oMath>
        <m:r>
          <m:rPr>
            <m:sty m:val="p"/>
          </m:rPr>
          <w:rPr>
            <w:rFonts w:ascii="Cambria Math" w:hAnsi="Cambria Math" w:cs="Arial"/>
          </w:rPr>
          <m:t xml:space="preserve">MWG=Mean Final Weight </m:t>
        </m:r>
        <m:d>
          <m:dPr>
            <m:ctrlPr>
              <w:rPr>
                <w:rFonts w:ascii="Cambria Math" w:hAnsi="Cambria Math" w:cs="Arial"/>
                <w:bCs/>
                <w:iCs/>
              </w:rPr>
            </m:ctrlPr>
          </m:dPr>
          <m:e>
            <m:r>
              <m:rPr>
                <m:sty m:val="p"/>
              </m:rPr>
              <w:rPr>
                <w:rFonts w:ascii="Cambria Math" w:hAnsi="Cambria Math" w:cs="Arial"/>
              </w:rPr>
              <m:t>MFW</m:t>
            </m:r>
          </m:e>
        </m:d>
        <m:r>
          <m:rPr>
            <m:sty m:val="p"/>
          </m:rPr>
          <w:rPr>
            <w:rFonts w:ascii="Cambria Math" w:hAnsi="Cambria Math" w:cs="Arial"/>
          </w:rPr>
          <m:t>-Mean Initial Weight (MIW</m:t>
        </m:r>
      </m:oMath>
      <w:r w:rsidRPr="006742D3">
        <w:rPr>
          <w:rFonts w:ascii="Arial" w:hAnsi="Arial" w:cs="Arial"/>
          <w:iCs/>
        </w:rPr>
        <w:t>)</w:t>
      </w:r>
    </w:p>
    <w:p w14:paraId="26E5BD28" w14:textId="1A896AA7" w:rsidR="006742D3" w:rsidRPr="006742D3" w:rsidRDefault="006742D3" w:rsidP="006742D3">
      <w:pPr>
        <w:pStyle w:val="Body"/>
        <w:spacing w:after="120"/>
        <w:rPr>
          <w:rFonts w:ascii="Arial" w:hAnsi="Arial" w:cs="Arial"/>
        </w:rPr>
      </w:pPr>
      <m:oMathPara>
        <m:oMathParaPr>
          <m:jc m:val="left"/>
        </m:oMathParaPr>
        <m:oMath>
          <m:r>
            <m:rPr>
              <m:sty m:val="p"/>
            </m:rPr>
            <w:rPr>
              <w:rFonts w:ascii="Cambria Math" w:hAnsi="Cambria Math" w:cs="Arial"/>
            </w:rPr>
            <m:t>SGR=</m:t>
          </m:r>
          <m:f>
            <m:fPr>
              <m:ctrlPr>
                <w:rPr>
                  <w:rFonts w:ascii="Cambria Math" w:hAnsi="Cambria Math" w:cs="Arial"/>
                  <w:bCs/>
                  <w:iCs/>
                </w:rPr>
              </m:ctrlPr>
            </m:fPr>
            <m:num>
              <m:r>
                <m:rPr>
                  <m:sty m:val="p"/>
                </m:rPr>
                <w:rPr>
                  <w:rFonts w:ascii="Cambria Math" w:hAnsi="Cambria Math" w:cs="Arial"/>
                </w:rPr>
                <m:t xml:space="preserve">ln </m:t>
              </m:r>
              <m:d>
                <m:dPr>
                  <m:ctrlPr>
                    <w:rPr>
                      <w:rFonts w:ascii="Cambria Math" w:hAnsi="Cambria Math" w:cs="Arial"/>
                      <w:bCs/>
                      <w:iCs/>
                    </w:rPr>
                  </m:ctrlPr>
                </m:dPr>
                <m:e>
                  <m:r>
                    <m:rPr>
                      <m:sty m:val="p"/>
                    </m:rPr>
                    <w:rPr>
                      <w:rFonts w:ascii="Cambria Math" w:hAnsi="Cambria Math" w:cs="Arial"/>
                    </w:rPr>
                    <m:t>MFW</m:t>
                  </m:r>
                </m:e>
              </m:d>
              <m:r>
                <m:rPr>
                  <m:sty m:val="p"/>
                </m:rPr>
                <w:rPr>
                  <w:rFonts w:ascii="Cambria Math" w:hAnsi="Cambria Math" w:cs="Arial"/>
                </w:rPr>
                <m:t>-ln (MIW)</m:t>
              </m:r>
            </m:num>
            <m:den>
              <m:r>
                <m:rPr>
                  <m:sty m:val="p"/>
                </m:rPr>
                <w:rPr>
                  <w:rFonts w:ascii="Cambria Math" w:hAnsi="Cambria Math" w:cs="Arial"/>
                </w:rPr>
                <m:t>Culture Duration (Days)</m:t>
              </m:r>
            </m:den>
          </m:f>
          <m:r>
            <m:rPr>
              <m:sty m:val="p"/>
            </m:rPr>
            <w:rPr>
              <w:rFonts w:ascii="Cambria Math" w:hAnsi="Cambria Math" w:cs="Arial"/>
            </w:rPr>
            <m:t>×100</m:t>
          </m:r>
        </m:oMath>
      </m:oMathPara>
    </w:p>
    <w:p w14:paraId="56967DD9" w14:textId="77777777" w:rsidR="006742D3" w:rsidRPr="006742D3" w:rsidRDefault="006742D3" w:rsidP="006742D3">
      <w:pPr>
        <w:pStyle w:val="Body"/>
        <w:spacing w:after="120"/>
        <w:rPr>
          <w:rFonts w:ascii="Arial" w:hAnsi="Arial" w:cs="Arial"/>
        </w:rPr>
      </w:pPr>
      <w:r w:rsidRPr="006742D3">
        <w:rPr>
          <w:rFonts w:ascii="Arial" w:hAnsi="Arial" w:cs="Arial"/>
        </w:rPr>
        <w:t>FI (g fish-1 day-1</w:t>
      </w:r>
      <w:r w:rsidRPr="006742D3">
        <w:rPr>
          <w:rFonts w:ascii="Arial" w:hAnsi="Arial" w:cs="Arial"/>
          <w:b/>
        </w:rPr>
        <w:t xml:space="preserve">) </w:t>
      </w:r>
      <w:r w:rsidRPr="006742D3">
        <w:rPr>
          <w:rFonts w:ascii="Arial" w:hAnsi="Arial" w:cs="Arial"/>
        </w:rPr>
        <w:t>= ¼ DI x 100/ [(w</w:t>
      </w:r>
      <w:r w:rsidRPr="006742D3">
        <w:rPr>
          <w:rFonts w:ascii="Arial" w:hAnsi="Arial" w:cs="Arial"/>
          <w:vertAlign w:val="subscript"/>
        </w:rPr>
        <w:t>1</w:t>
      </w:r>
      <w:r w:rsidRPr="006742D3">
        <w:rPr>
          <w:rFonts w:ascii="Arial" w:hAnsi="Arial" w:cs="Arial"/>
        </w:rPr>
        <w:t>+ w</w:t>
      </w:r>
      <w:r w:rsidRPr="006742D3">
        <w:rPr>
          <w:rFonts w:ascii="Arial" w:hAnsi="Arial" w:cs="Arial"/>
          <w:vertAlign w:val="subscript"/>
        </w:rPr>
        <w:t>2</w:t>
      </w:r>
      <w:r w:rsidRPr="006742D3">
        <w:rPr>
          <w:rFonts w:ascii="Arial" w:hAnsi="Arial" w:cs="Arial"/>
        </w:rPr>
        <w:t>)/2]/T</w:t>
      </w:r>
    </w:p>
    <w:p w14:paraId="6666D143" w14:textId="77777777" w:rsidR="006742D3" w:rsidRPr="006742D3" w:rsidRDefault="006742D3" w:rsidP="006742D3">
      <w:pPr>
        <w:pStyle w:val="Body"/>
        <w:spacing w:after="120"/>
        <w:rPr>
          <w:rFonts w:ascii="Arial" w:hAnsi="Arial" w:cs="Arial"/>
        </w:rPr>
      </w:pPr>
      <w:r w:rsidRPr="006742D3">
        <w:rPr>
          <w:rFonts w:ascii="Arial" w:hAnsi="Arial" w:cs="Arial"/>
        </w:rPr>
        <w:t>[DI = dry matter intake; w</w:t>
      </w:r>
      <w:r w:rsidRPr="006742D3">
        <w:rPr>
          <w:rFonts w:ascii="Arial" w:hAnsi="Arial" w:cs="Arial"/>
          <w:vertAlign w:val="subscript"/>
        </w:rPr>
        <w:t>1</w:t>
      </w:r>
      <w:r w:rsidRPr="006742D3">
        <w:rPr>
          <w:rFonts w:ascii="Arial" w:hAnsi="Arial" w:cs="Arial"/>
        </w:rPr>
        <w:t>= start weight, w</w:t>
      </w:r>
      <w:r w:rsidRPr="006742D3">
        <w:rPr>
          <w:rFonts w:ascii="Arial" w:hAnsi="Arial" w:cs="Arial"/>
          <w:vertAlign w:val="subscript"/>
        </w:rPr>
        <w:t>2</w:t>
      </w:r>
      <w:r w:rsidRPr="006742D3">
        <w:rPr>
          <w:rFonts w:ascii="Arial" w:hAnsi="Arial" w:cs="Arial"/>
        </w:rPr>
        <w:t xml:space="preserve"> = final weight and T = feeding days]</w:t>
      </w:r>
    </w:p>
    <w:p w14:paraId="1176D29B" w14:textId="61702747" w:rsidR="006742D3" w:rsidRPr="006742D3" w:rsidRDefault="006742D3" w:rsidP="006742D3">
      <w:pPr>
        <w:pStyle w:val="Body"/>
        <w:spacing w:after="120"/>
        <w:rPr>
          <w:rFonts w:ascii="Arial" w:hAnsi="Arial" w:cs="Arial"/>
          <w:iCs/>
        </w:rPr>
      </w:pPr>
      <m:oMathPara>
        <m:oMathParaPr>
          <m:jc m:val="left"/>
        </m:oMathParaPr>
        <m:oMath>
          <m:r>
            <m:rPr>
              <m:sty m:val="p"/>
            </m:rPr>
            <w:rPr>
              <w:rFonts w:ascii="Cambria Math" w:hAnsi="Cambria Math" w:cs="Arial"/>
            </w:rPr>
            <w:lastRenderedPageBreak/>
            <m:t>FCR=</m:t>
          </m:r>
          <m:f>
            <m:fPr>
              <m:ctrlPr>
                <w:rPr>
                  <w:rFonts w:ascii="Cambria Math" w:hAnsi="Cambria Math" w:cs="Arial"/>
                  <w:bCs/>
                  <w:iCs/>
                </w:rPr>
              </m:ctrlPr>
            </m:fPr>
            <m:num>
              <m:r>
                <m:rPr>
                  <m:sty m:val="p"/>
                </m:rPr>
                <w:rPr>
                  <w:rFonts w:ascii="Cambria Math" w:hAnsi="Cambria Math" w:cs="Arial"/>
                </w:rPr>
                <m:t>Feed Fed</m:t>
              </m:r>
            </m:num>
            <m:den>
              <m:r>
                <m:rPr>
                  <m:sty m:val="p"/>
                </m:rPr>
                <w:rPr>
                  <w:rFonts w:ascii="Cambria Math" w:hAnsi="Cambria Math" w:cs="Arial"/>
                </w:rPr>
                <m:t>Live Weight Gain</m:t>
              </m:r>
            </m:den>
          </m:f>
        </m:oMath>
      </m:oMathPara>
    </w:p>
    <w:p w14:paraId="167A40EE" w14:textId="4ACEDB65" w:rsidR="006742D3" w:rsidRPr="006742D3" w:rsidRDefault="006742D3" w:rsidP="006742D3">
      <w:pPr>
        <w:pStyle w:val="Body"/>
        <w:spacing w:after="120"/>
        <w:rPr>
          <w:rFonts w:ascii="Arial" w:hAnsi="Arial" w:cs="Arial"/>
          <w:iCs/>
        </w:rPr>
      </w:pPr>
      <m:oMathPara>
        <m:oMathParaPr>
          <m:jc m:val="left"/>
        </m:oMathParaPr>
        <m:oMath>
          <m:r>
            <m:rPr>
              <m:sty m:val="p"/>
            </m:rPr>
            <w:rPr>
              <w:rFonts w:ascii="Cambria Math" w:hAnsi="Cambria Math" w:cs="Arial"/>
            </w:rPr>
            <m:t>SR=</m:t>
          </m:r>
          <m:f>
            <m:fPr>
              <m:ctrlPr>
                <w:rPr>
                  <w:rFonts w:ascii="Cambria Math" w:hAnsi="Cambria Math" w:cs="Arial"/>
                  <w:bCs/>
                  <w:iCs/>
                </w:rPr>
              </m:ctrlPr>
            </m:fPr>
            <m:num>
              <m:r>
                <m:rPr>
                  <m:sty m:val="p"/>
                </m:rPr>
                <w:rPr>
                  <w:rFonts w:ascii="Cambria Math" w:hAnsi="Cambria Math" w:cs="Arial"/>
                </w:rPr>
                <m:t>No. of Fish Harvested</m:t>
              </m:r>
            </m:num>
            <m:den>
              <m:r>
                <m:rPr>
                  <m:sty m:val="p"/>
                </m:rPr>
                <w:rPr>
                  <w:rFonts w:ascii="Cambria Math" w:hAnsi="Cambria Math" w:cs="Arial"/>
                </w:rPr>
                <m:t>No. of Fish Stocked</m:t>
              </m:r>
            </m:den>
          </m:f>
          <m:r>
            <m:rPr>
              <m:sty m:val="p"/>
            </m:rPr>
            <w:rPr>
              <w:rFonts w:ascii="Cambria Math" w:hAnsi="Cambria Math" w:cs="Arial"/>
            </w:rPr>
            <m:t>×100</m:t>
          </m:r>
        </m:oMath>
      </m:oMathPara>
    </w:p>
    <w:p w14:paraId="48714408" w14:textId="77777777" w:rsidR="00D14E85" w:rsidRDefault="00D14E85" w:rsidP="00441B6F">
      <w:pPr>
        <w:pStyle w:val="Body"/>
        <w:spacing w:after="0"/>
        <w:rPr>
          <w:rFonts w:ascii="Arial" w:hAnsi="Arial" w:cs="Arial"/>
          <w:b/>
          <w:bCs/>
          <w:sz w:val="22"/>
          <w:szCs w:val="22"/>
        </w:rPr>
      </w:pPr>
    </w:p>
    <w:p w14:paraId="114E0735" w14:textId="02B081D4" w:rsidR="006742D3"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.8 </w:t>
      </w:r>
      <w:r w:rsidRPr="006742D3">
        <w:rPr>
          <w:rFonts w:ascii="Arial" w:hAnsi="Arial" w:cs="Arial"/>
          <w:b/>
          <w:bCs/>
          <w:sz w:val="22"/>
          <w:szCs w:val="22"/>
        </w:rPr>
        <w:t xml:space="preserve">Analysis of the </w:t>
      </w:r>
      <w:r w:rsidR="00C761F0">
        <w:rPr>
          <w:rFonts w:ascii="Arial" w:hAnsi="Arial" w:cs="Arial"/>
          <w:b/>
          <w:bCs/>
          <w:sz w:val="22"/>
          <w:szCs w:val="22"/>
        </w:rPr>
        <w:t>P</w:t>
      </w:r>
      <w:r w:rsidRPr="006742D3">
        <w:rPr>
          <w:rFonts w:ascii="Arial" w:hAnsi="Arial" w:cs="Arial"/>
          <w:b/>
          <w:bCs/>
          <w:sz w:val="22"/>
          <w:szCs w:val="22"/>
        </w:rPr>
        <w:t xml:space="preserve">roximate </w:t>
      </w:r>
      <w:r w:rsidR="00C761F0">
        <w:rPr>
          <w:rFonts w:ascii="Arial" w:hAnsi="Arial" w:cs="Arial"/>
          <w:b/>
          <w:bCs/>
          <w:sz w:val="22"/>
          <w:szCs w:val="22"/>
        </w:rPr>
        <w:t>C</w:t>
      </w:r>
      <w:r w:rsidRPr="006742D3">
        <w:rPr>
          <w:rFonts w:ascii="Arial" w:hAnsi="Arial" w:cs="Arial"/>
          <w:b/>
          <w:bCs/>
          <w:sz w:val="22"/>
          <w:szCs w:val="22"/>
        </w:rPr>
        <w:t xml:space="preserve">omposition of </w:t>
      </w:r>
      <w:r w:rsidR="00C761F0">
        <w:rPr>
          <w:rFonts w:ascii="Arial" w:hAnsi="Arial" w:cs="Arial"/>
          <w:b/>
          <w:bCs/>
          <w:sz w:val="22"/>
          <w:szCs w:val="22"/>
        </w:rPr>
        <w:t>F</w:t>
      </w:r>
      <w:r w:rsidRPr="006742D3">
        <w:rPr>
          <w:rFonts w:ascii="Arial" w:hAnsi="Arial" w:cs="Arial"/>
          <w:b/>
          <w:bCs/>
          <w:sz w:val="22"/>
          <w:szCs w:val="22"/>
        </w:rPr>
        <w:t xml:space="preserve">ish </w:t>
      </w:r>
      <w:r w:rsidR="00C761F0">
        <w:rPr>
          <w:rFonts w:ascii="Arial" w:hAnsi="Arial" w:cs="Arial"/>
          <w:b/>
          <w:bCs/>
          <w:sz w:val="22"/>
          <w:szCs w:val="22"/>
        </w:rPr>
        <w:t>F</w:t>
      </w:r>
      <w:r w:rsidRPr="006742D3">
        <w:rPr>
          <w:rFonts w:ascii="Arial" w:hAnsi="Arial" w:cs="Arial"/>
          <w:b/>
          <w:bCs/>
          <w:sz w:val="22"/>
          <w:szCs w:val="22"/>
        </w:rPr>
        <w:t xml:space="preserve">lesh  </w:t>
      </w:r>
    </w:p>
    <w:p w14:paraId="5390973C" w14:textId="77777777" w:rsidR="0086499E" w:rsidRDefault="0086499E" w:rsidP="00441B6F">
      <w:pPr>
        <w:pStyle w:val="Body"/>
        <w:spacing w:after="0"/>
        <w:rPr>
          <w:rFonts w:ascii="Arial" w:hAnsi="Arial" w:cs="Arial"/>
        </w:rPr>
      </w:pPr>
    </w:p>
    <w:p w14:paraId="63E31966" w14:textId="77777777" w:rsidR="006742D3" w:rsidRDefault="006742D3" w:rsidP="00441B6F">
      <w:pPr>
        <w:pStyle w:val="Body"/>
        <w:spacing w:after="0"/>
        <w:rPr>
          <w:rFonts w:ascii="Arial" w:hAnsi="Arial" w:cs="Arial"/>
        </w:rPr>
      </w:pPr>
      <w:r w:rsidRPr="006742D3">
        <w:rPr>
          <w:rFonts w:ascii="Arial" w:hAnsi="Arial" w:cs="Arial"/>
        </w:rPr>
        <w:t>At the end of the trial, three fish were collected from each cage to obtain muscle samples from different body regions. The obtained samples were kept in a refrigerator for subsequent analysis. The proximate compositions (crude protein, crude lipid, carbohydrate, moisture, and ash content) of the flesh from the test fish were analyzed following AOAC (2005) methods.</w:t>
      </w:r>
    </w:p>
    <w:p w14:paraId="212F1184" w14:textId="77777777" w:rsidR="006742D3" w:rsidRDefault="006742D3" w:rsidP="00441B6F">
      <w:pPr>
        <w:pStyle w:val="Body"/>
        <w:spacing w:after="0"/>
        <w:rPr>
          <w:rFonts w:ascii="Arial" w:hAnsi="Arial" w:cs="Arial"/>
        </w:rPr>
      </w:pPr>
    </w:p>
    <w:p w14:paraId="007A1E24" w14:textId="73325D41" w:rsidR="006742D3"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.9 </w:t>
      </w:r>
      <w:r w:rsidRPr="006742D3">
        <w:rPr>
          <w:rFonts w:ascii="Arial" w:hAnsi="Arial" w:cs="Arial"/>
          <w:b/>
          <w:bCs/>
          <w:sz w:val="22"/>
          <w:szCs w:val="22"/>
        </w:rPr>
        <w:t xml:space="preserve">Palatability </w:t>
      </w:r>
      <w:r w:rsidR="00C761F0">
        <w:rPr>
          <w:rFonts w:ascii="Arial" w:hAnsi="Arial" w:cs="Arial"/>
          <w:b/>
          <w:bCs/>
          <w:sz w:val="22"/>
          <w:szCs w:val="22"/>
        </w:rPr>
        <w:t>T</w:t>
      </w:r>
      <w:r w:rsidRPr="006742D3">
        <w:rPr>
          <w:rFonts w:ascii="Arial" w:hAnsi="Arial" w:cs="Arial"/>
          <w:b/>
          <w:bCs/>
          <w:sz w:val="22"/>
          <w:szCs w:val="22"/>
        </w:rPr>
        <w:t xml:space="preserve">est of </w:t>
      </w:r>
      <w:r w:rsidR="00C761F0">
        <w:rPr>
          <w:rFonts w:ascii="Arial" w:hAnsi="Arial" w:cs="Arial"/>
          <w:b/>
          <w:bCs/>
          <w:sz w:val="22"/>
          <w:szCs w:val="22"/>
        </w:rPr>
        <w:t>C</w:t>
      </w:r>
      <w:r w:rsidRPr="006742D3">
        <w:rPr>
          <w:rFonts w:ascii="Arial" w:hAnsi="Arial" w:cs="Arial"/>
          <w:b/>
          <w:bCs/>
          <w:sz w:val="22"/>
          <w:szCs w:val="22"/>
        </w:rPr>
        <w:t xml:space="preserve">ooked </w:t>
      </w:r>
      <w:r w:rsidR="00C761F0">
        <w:rPr>
          <w:rFonts w:ascii="Arial" w:hAnsi="Arial" w:cs="Arial"/>
          <w:b/>
          <w:bCs/>
          <w:sz w:val="22"/>
          <w:szCs w:val="22"/>
        </w:rPr>
        <w:t>F</w:t>
      </w:r>
      <w:r w:rsidRPr="006742D3">
        <w:rPr>
          <w:rFonts w:ascii="Arial" w:hAnsi="Arial" w:cs="Arial"/>
          <w:b/>
          <w:bCs/>
          <w:sz w:val="22"/>
          <w:szCs w:val="22"/>
        </w:rPr>
        <w:t xml:space="preserve">ish </w:t>
      </w:r>
      <w:r w:rsidR="00C761F0">
        <w:rPr>
          <w:rFonts w:ascii="Arial" w:hAnsi="Arial" w:cs="Arial"/>
          <w:b/>
          <w:bCs/>
          <w:sz w:val="22"/>
          <w:szCs w:val="22"/>
        </w:rPr>
        <w:t>F</w:t>
      </w:r>
      <w:r w:rsidRPr="006742D3">
        <w:rPr>
          <w:rFonts w:ascii="Arial" w:hAnsi="Arial" w:cs="Arial"/>
          <w:b/>
          <w:bCs/>
          <w:sz w:val="22"/>
          <w:szCs w:val="22"/>
        </w:rPr>
        <w:t>lesh</w:t>
      </w:r>
    </w:p>
    <w:p w14:paraId="249E0EAE" w14:textId="77777777" w:rsidR="0086499E" w:rsidRDefault="0086499E" w:rsidP="00441B6F">
      <w:pPr>
        <w:pStyle w:val="Body"/>
        <w:spacing w:after="0"/>
        <w:rPr>
          <w:rFonts w:ascii="Arial" w:hAnsi="Arial" w:cs="Arial"/>
        </w:rPr>
      </w:pPr>
    </w:p>
    <w:p w14:paraId="6F01A158" w14:textId="77777777" w:rsidR="006742D3" w:rsidRPr="006742D3" w:rsidRDefault="006742D3" w:rsidP="006742D3">
      <w:pPr>
        <w:pStyle w:val="Body"/>
        <w:spacing w:after="120"/>
        <w:rPr>
          <w:rFonts w:ascii="Arial" w:hAnsi="Arial" w:cs="Arial"/>
        </w:rPr>
      </w:pPr>
      <w:r w:rsidRPr="006742D3">
        <w:rPr>
          <w:rFonts w:ascii="Arial" w:hAnsi="Arial" w:cs="Arial"/>
        </w:rPr>
        <w:t>Initially, the collected fish were scaled, eviscerated, and sliced into loins. Following washing, 500 g of fish flesh from each group was prepared using standard cooking methods and spices. The loins of fish from every treatment were labeled and cooked simultaneously to eliminate any cooking bias. Once prepared, the fish were presented to a panel of experts for organoleptic-sensory assessment. Following the consumption of the cooked fish, the expert panelists anonymously provided their scores on the sensory characteristics, including flavor, taste, and texture of the fish flesh, adhering to the specific structured scaling system outlined by Huss (1995) in Table 3.</w:t>
      </w:r>
    </w:p>
    <w:p w14:paraId="2C97AD53" w14:textId="77777777" w:rsidR="006742D3" w:rsidRPr="006742D3" w:rsidRDefault="006742D3" w:rsidP="006742D3">
      <w:pPr>
        <w:pStyle w:val="Body"/>
        <w:spacing w:after="120"/>
        <w:rPr>
          <w:rFonts w:ascii="Arial" w:hAnsi="Arial" w:cs="Arial"/>
        </w:rPr>
      </w:pPr>
      <w:r w:rsidRPr="006742D3">
        <w:rPr>
          <w:rFonts w:ascii="Arial" w:hAnsi="Arial" w:cs="Arial"/>
          <w:b/>
        </w:rPr>
        <w:t xml:space="preserve">Table 3. </w:t>
      </w:r>
      <w:r w:rsidRPr="006742D3">
        <w:rPr>
          <w:rFonts w:ascii="Arial" w:hAnsi="Arial" w:cs="Arial"/>
          <w:b/>
          <w:bCs/>
        </w:rPr>
        <w:t xml:space="preserve">Organoleptic scoring scale for palatability test </w:t>
      </w:r>
    </w:p>
    <w:tbl>
      <w:tblPr>
        <w:tblStyle w:val="TableGrid"/>
        <w:tblW w:w="4842"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777"/>
        <w:gridCol w:w="1417"/>
        <w:gridCol w:w="1014"/>
      </w:tblGrid>
      <w:tr w:rsidR="006742D3" w:rsidRPr="006742D3" w14:paraId="749107C1" w14:textId="77777777" w:rsidTr="00AD031A">
        <w:trPr>
          <w:trHeight w:val="20"/>
          <w:jc w:val="center"/>
        </w:trPr>
        <w:tc>
          <w:tcPr>
            <w:tcW w:w="4362" w:type="pct"/>
            <w:gridSpan w:val="3"/>
            <w:tcBorders>
              <w:bottom w:val="single" w:sz="4" w:space="0" w:color="auto"/>
            </w:tcBorders>
            <w:vAlign w:val="center"/>
          </w:tcPr>
          <w:p w14:paraId="51E10279" w14:textId="77777777" w:rsidR="006742D3" w:rsidRPr="006742D3" w:rsidRDefault="006742D3" w:rsidP="006742D3">
            <w:pPr>
              <w:pStyle w:val="Body"/>
              <w:spacing w:after="0"/>
              <w:rPr>
                <w:rFonts w:ascii="Arial" w:hAnsi="Arial" w:cs="Arial"/>
                <w:b/>
                <w:bCs/>
                <w:sz w:val="20"/>
              </w:rPr>
            </w:pPr>
            <w:r w:rsidRPr="006742D3">
              <w:rPr>
                <w:rFonts w:ascii="Arial" w:hAnsi="Arial" w:cs="Arial"/>
                <w:b/>
                <w:bCs/>
                <w:sz w:val="20"/>
              </w:rPr>
              <w:t xml:space="preserve">                       Palatability attributes</w:t>
            </w:r>
          </w:p>
        </w:tc>
        <w:tc>
          <w:tcPr>
            <w:tcW w:w="638" w:type="pct"/>
            <w:vMerge w:val="restart"/>
            <w:vAlign w:val="center"/>
          </w:tcPr>
          <w:p w14:paraId="4028B413" w14:textId="77777777" w:rsidR="006742D3" w:rsidRPr="006742D3" w:rsidRDefault="006742D3" w:rsidP="006742D3">
            <w:pPr>
              <w:pStyle w:val="Body"/>
              <w:spacing w:after="0"/>
              <w:rPr>
                <w:rFonts w:ascii="Arial" w:hAnsi="Arial" w:cs="Arial"/>
                <w:b/>
                <w:bCs/>
                <w:sz w:val="20"/>
              </w:rPr>
            </w:pPr>
            <w:r w:rsidRPr="006742D3">
              <w:rPr>
                <w:rFonts w:ascii="Arial" w:hAnsi="Arial" w:cs="Arial"/>
                <w:b/>
                <w:bCs/>
                <w:sz w:val="20"/>
              </w:rPr>
              <w:t>Score</w:t>
            </w:r>
          </w:p>
        </w:tc>
      </w:tr>
      <w:tr w:rsidR="006742D3" w:rsidRPr="006742D3" w14:paraId="6C805E49" w14:textId="77777777" w:rsidTr="00AD031A">
        <w:trPr>
          <w:trHeight w:val="20"/>
          <w:jc w:val="center"/>
        </w:trPr>
        <w:tc>
          <w:tcPr>
            <w:tcW w:w="1724" w:type="pct"/>
            <w:tcBorders>
              <w:top w:val="single" w:sz="4" w:space="0" w:color="auto"/>
              <w:bottom w:val="single" w:sz="4" w:space="0" w:color="auto"/>
            </w:tcBorders>
            <w:vAlign w:val="center"/>
          </w:tcPr>
          <w:p w14:paraId="7AE3628F" w14:textId="77777777" w:rsidR="006742D3" w:rsidRPr="006742D3" w:rsidRDefault="006742D3" w:rsidP="006742D3">
            <w:pPr>
              <w:pStyle w:val="Body"/>
              <w:spacing w:after="0"/>
              <w:rPr>
                <w:rFonts w:ascii="Arial" w:hAnsi="Arial" w:cs="Arial"/>
                <w:b/>
                <w:bCs/>
                <w:sz w:val="20"/>
              </w:rPr>
            </w:pPr>
            <w:r w:rsidRPr="006742D3">
              <w:rPr>
                <w:rFonts w:ascii="Arial" w:hAnsi="Arial" w:cs="Arial"/>
                <w:b/>
                <w:bCs/>
                <w:sz w:val="20"/>
              </w:rPr>
              <w:t>Flavor</w:t>
            </w:r>
          </w:p>
        </w:tc>
        <w:tc>
          <w:tcPr>
            <w:tcW w:w="1747" w:type="pct"/>
            <w:tcBorders>
              <w:top w:val="single" w:sz="4" w:space="0" w:color="auto"/>
              <w:bottom w:val="single" w:sz="4" w:space="0" w:color="auto"/>
            </w:tcBorders>
            <w:vAlign w:val="center"/>
          </w:tcPr>
          <w:p w14:paraId="0048F413" w14:textId="77777777" w:rsidR="006742D3" w:rsidRPr="006742D3" w:rsidRDefault="006742D3" w:rsidP="006742D3">
            <w:pPr>
              <w:pStyle w:val="Body"/>
              <w:spacing w:after="0"/>
              <w:rPr>
                <w:rFonts w:ascii="Arial" w:hAnsi="Arial" w:cs="Arial"/>
                <w:bCs/>
                <w:sz w:val="20"/>
              </w:rPr>
            </w:pPr>
            <w:r w:rsidRPr="006742D3">
              <w:rPr>
                <w:rFonts w:ascii="Arial" w:hAnsi="Arial" w:cs="Arial"/>
                <w:b/>
                <w:bCs/>
                <w:sz w:val="20"/>
              </w:rPr>
              <w:t>Taste</w:t>
            </w:r>
          </w:p>
        </w:tc>
        <w:tc>
          <w:tcPr>
            <w:tcW w:w="891" w:type="pct"/>
            <w:tcBorders>
              <w:top w:val="single" w:sz="4" w:space="0" w:color="auto"/>
              <w:bottom w:val="single" w:sz="4" w:space="0" w:color="auto"/>
            </w:tcBorders>
            <w:vAlign w:val="center"/>
          </w:tcPr>
          <w:p w14:paraId="09C83494" w14:textId="77777777" w:rsidR="006742D3" w:rsidRPr="006742D3" w:rsidRDefault="006742D3" w:rsidP="006742D3">
            <w:pPr>
              <w:pStyle w:val="Body"/>
              <w:spacing w:after="0"/>
              <w:rPr>
                <w:rFonts w:ascii="Arial" w:hAnsi="Arial" w:cs="Arial"/>
                <w:bCs/>
                <w:sz w:val="20"/>
              </w:rPr>
            </w:pPr>
            <w:r w:rsidRPr="006742D3">
              <w:rPr>
                <w:rFonts w:ascii="Arial" w:hAnsi="Arial" w:cs="Arial"/>
                <w:b/>
                <w:bCs/>
                <w:sz w:val="20"/>
              </w:rPr>
              <w:t>Texture</w:t>
            </w:r>
          </w:p>
        </w:tc>
        <w:tc>
          <w:tcPr>
            <w:tcW w:w="638" w:type="pct"/>
            <w:vMerge/>
            <w:tcBorders>
              <w:bottom w:val="single" w:sz="4" w:space="0" w:color="auto"/>
            </w:tcBorders>
            <w:vAlign w:val="center"/>
          </w:tcPr>
          <w:p w14:paraId="6095C3AB" w14:textId="77777777" w:rsidR="006742D3" w:rsidRPr="006742D3" w:rsidRDefault="006742D3" w:rsidP="006742D3">
            <w:pPr>
              <w:pStyle w:val="Body"/>
              <w:spacing w:after="0"/>
              <w:rPr>
                <w:rFonts w:ascii="Arial" w:hAnsi="Arial" w:cs="Arial"/>
                <w:b/>
                <w:bCs/>
                <w:sz w:val="20"/>
              </w:rPr>
            </w:pPr>
          </w:p>
        </w:tc>
      </w:tr>
      <w:tr w:rsidR="006742D3" w:rsidRPr="006742D3" w14:paraId="1460FCF8" w14:textId="77777777" w:rsidTr="00AD031A">
        <w:trPr>
          <w:trHeight w:val="20"/>
          <w:jc w:val="center"/>
        </w:trPr>
        <w:tc>
          <w:tcPr>
            <w:tcW w:w="1724" w:type="pct"/>
            <w:tcBorders>
              <w:top w:val="single" w:sz="4" w:space="0" w:color="auto"/>
            </w:tcBorders>
            <w:vAlign w:val="center"/>
          </w:tcPr>
          <w:p w14:paraId="13AE0C03" w14:textId="77777777" w:rsidR="006742D3" w:rsidRPr="006742D3" w:rsidRDefault="006742D3" w:rsidP="006742D3">
            <w:pPr>
              <w:pStyle w:val="Body"/>
              <w:spacing w:after="0"/>
              <w:rPr>
                <w:rFonts w:ascii="Arial" w:hAnsi="Arial" w:cs="Arial"/>
                <w:sz w:val="20"/>
              </w:rPr>
            </w:pPr>
            <w:r w:rsidRPr="006742D3">
              <w:rPr>
                <w:rFonts w:ascii="Arial" w:hAnsi="Arial" w:cs="Arial"/>
                <w:sz w:val="20"/>
              </w:rPr>
              <w:t>Species-Specific</w:t>
            </w:r>
          </w:p>
        </w:tc>
        <w:tc>
          <w:tcPr>
            <w:tcW w:w="1747" w:type="pct"/>
            <w:tcBorders>
              <w:top w:val="single" w:sz="4" w:space="0" w:color="auto"/>
            </w:tcBorders>
            <w:vAlign w:val="center"/>
          </w:tcPr>
          <w:p w14:paraId="170F7B60"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Meaty flavor</w:t>
            </w:r>
          </w:p>
        </w:tc>
        <w:tc>
          <w:tcPr>
            <w:tcW w:w="891" w:type="pct"/>
            <w:tcBorders>
              <w:top w:val="single" w:sz="4" w:space="0" w:color="auto"/>
            </w:tcBorders>
            <w:vAlign w:val="center"/>
          </w:tcPr>
          <w:p w14:paraId="47FCD2C3"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Firm Elastic</w:t>
            </w:r>
          </w:p>
        </w:tc>
        <w:tc>
          <w:tcPr>
            <w:tcW w:w="638" w:type="pct"/>
            <w:vAlign w:val="center"/>
          </w:tcPr>
          <w:p w14:paraId="492E6838" w14:textId="77777777" w:rsidR="006742D3" w:rsidRPr="006742D3" w:rsidRDefault="006742D3" w:rsidP="006742D3">
            <w:pPr>
              <w:pStyle w:val="Body"/>
              <w:spacing w:after="0"/>
              <w:rPr>
                <w:rFonts w:ascii="Arial" w:hAnsi="Arial" w:cs="Arial"/>
                <w:sz w:val="20"/>
              </w:rPr>
            </w:pPr>
            <w:r w:rsidRPr="006742D3">
              <w:rPr>
                <w:rFonts w:ascii="Arial" w:hAnsi="Arial" w:cs="Arial"/>
                <w:sz w:val="20"/>
              </w:rPr>
              <w:t>10</w:t>
            </w:r>
          </w:p>
        </w:tc>
      </w:tr>
      <w:tr w:rsidR="006742D3" w:rsidRPr="006742D3" w14:paraId="55890D06" w14:textId="77777777" w:rsidTr="00AD031A">
        <w:trPr>
          <w:trHeight w:val="20"/>
          <w:jc w:val="center"/>
        </w:trPr>
        <w:tc>
          <w:tcPr>
            <w:tcW w:w="1724" w:type="pct"/>
            <w:vAlign w:val="center"/>
          </w:tcPr>
          <w:p w14:paraId="67D57AA7" w14:textId="77777777" w:rsidR="006742D3" w:rsidRPr="006742D3" w:rsidRDefault="006742D3" w:rsidP="006742D3">
            <w:pPr>
              <w:pStyle w:val="Body"/>
              <w:spacing w:after="0"/>
              <w:rPr>
                <w:rFonts w:ascii="Arial" w:hAnsi="Arial" w:cs="Arial"/>
                <w:sz w:val="20"/>
              </w:rPr>
            </w:pPr>
            <w:r w:rsidRPr="006742D3">
              <w:rPr>
                <w:rFonts w:ascii="Arial" w:hAnsi="Arial" w:cs="Arial"/>
                <w:sz w:val="20"/>
              </w:rPr>
              <w:t>Fresh fish</w:t>
            </w:r>
          </w:p>
        </w:tc>
        <w:tc>
          <w:tcPr>
            <w:tcW w:w="1747" w:type="pct"/>
            <w:vAlign w:val="center"/>
          </w:tcPr>
          <w:p w14:paraId="03CF3A3B"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Sweet</w:t>
            </w:r>
          </w:p>
        </w:tc>
        <w:tc>
          <w:tcPr>
            <w:tcW w:w="891" w:type="pct"/>
            <w:vAlign w:val="center"/>
          </w:tcPr>
          <w:p w14:paraId="3FF98994"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Firm Springy</w:t>
            </w:r>
          </w:p>
        </w:tc>
        <w:tc>
          <w:tcPr>
            <w:tcW w:w="638" w:type="pct"/>
            <w:vAlign w:val="center"/>
          </w:tcPr>
          <w:p w14:paraId="631FC9AE" w14:textId="77777777" w:rsidR="006742D3" w:rsidRPr="006742D3" w:rsidRDefault="006742D3" w:rsidP="006742D3">
            <w:pPr>
              <w:pStyle w:val="Body"/>
              <w:spacing w:after="0"/>
              <w:rPr>
                <w:rFonts w:ascii="Arial" w:hAnsi="Arial" w:cs="Arial"/>
                <w:sz w:val="20"/>
              </w:rPr>
            </w:pPr>
            <w:r w:rsidRPr="006742D3">
              <w:rPr>
                <w:rFonts w:ascii="Arial" w:hAnsi="Arial" w:cs="Arial"/>
                <w:sz w:val="20"/>
              </w:rPr>
              <w:t>8</w:t>
            </w:r>
          </w:p>
        </w:tc>
      </w:tr>
      <w:tr w:rsidR="006742D3" w:rsidRPr="006742D3" w14:paraId="4089AD5C" w14:textId="77777777" w:rsidTr="00AD031A">
        <w:trPr>
          <w:trHeight w:val="20"/>
          <w:jc w:val="center"/>
        </w:trPr>
        <w:tc>
          <w:tcPr>
            <w:tcW w:w="1724" w:type="pct"/>
            <w:vAlign w:val="center"/>
          </w:tcPr>
          <w:p w14:paraId="05C57FD7" w14:textId="77777777" w:rsidR="006742D3" w:rsidRPr="006742D3" w:rsidRDefault="006742D3" w:rsidP="006742D3">
            <w:pPr>
              <w:pStyle w:val="Body"/>
              <w:spacing w:after="0"/>
              <w:rPr>
                <w:rFonts w:ascii="Arial" w:hAnsi="Arial" w:cs="Arial"/>
                <w:sz w:val="20"/>
              </w:rPr>
            </w:pPr>
            <w:r w:rsidRPr="006742D3">
              <w:rPr>
                <w:rFonts w:ascii="Arial" w:hAnsi="Arial" w:cs="Arial"/>
                <w:sz w:val="20"/>
              </w:rPr>
              <w:t>Slightly fishy or slightly sour</w:t>
            </w:r>
          </w:p>
        </w:tc>
        <w:tc>
          <w:tcPr>
            <w:tcW w:w="1747" w:type="pct"/>
            <w:vAlign w:val="center"/>
          </w:tcPr>
          <w:p w14:paraId="04C61AB9"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Slightly fishy</w:t>
            </w:r>
          </w:p>
        </w:tc>
        <w:tc>
          <w:tcPr>
            <w:tcW w:w="891" w:type="pct"/>
            <w:vAlign w:val="center"/>
          </w:tcPr>
          <w:p w14:paraId="3EFBE6DA"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Less Firm</w:t>
            </w:r>
          </w:p>
        </w:tc>
        <w:tc>
          <w:tcPr>
            <w:tcW w:w="638" w:type="pct"/>
            <w:vAlign w:val="center"/>
          </w:tcPr>
          <w:p w14:paraId="60D40326" w14:textId="77777777" w:rsidR="006742D3" w:rsidRPr="006742D3" w:rsidRDefault="006742D3" w:rsidP="006742D3">
            <w:pPr>
              <w:pStyle w:val="Body"/>
              <w:spacing w:after="0"/>
              <w:rPr>
                <w:rFonts w:ascii="Arial" w:hAnsi="Arial" w:cs="Arial"/>
                <w:sz w:val="20"/>
              </w:rPr>
            </w:pPr>
            <w:r w:rsidRPr="006742D3">
              <w:rPr>
                <w:rFonts w:ascii="Arial" w:hAnsi="Arial" w:cs="Arial"/>
                <w:sz w:val="20"/>
              </w:rPr>
              <w:t>6</w:t>
            </w:r>
          </w:p>
        </w:tc>
      </w:tr>
      <w:tr w:rsidR="006742D3" w:rsidRPr="006742D3" w14:paraId="127E1362" w14:textId="77777777" w:rsidTr="00AD031A">
        <w:trPr>
          <w:trHeight w:val="20"/>
          <w:jc w:val="center"/>
        </w:trPr>
        <w:tc>
          <w:tcPr>
            <w:tcW w:w="1724" w:type="pct"/>
            <w:vAlign w:val="center"/>
          </w:tcPr>
          <w:p w14:paraId="7CCC731E" w14:textId="77777777" w:rsidR="006742D3" w:rsidRPr="006742D3" w:rsidRDefault="006742D3" w:rsidP="006742D3">
            <w:pPr>
              <w:pStyle w:val="Body"/>
              <w:spacing w:after="0"/>
              <w:rPr>
                <w:rFonts w:ascii="Arial" w:hAnsi="Arial" w:cs="Arial"/>
                <w:sz w:val="20"/>
              </w:rPr>
            </w:pPr>
            <w:r w:rsidRPr="006742D3">
              <w:rPr>
                <w:rFonts w:ascii="Arial" w:hAnsi="Arial" w:cs="Arial"/>
                <w:sz w:val="20"/>
              </w:rPr>
              <w:t>Sour and stale</w:t>
            </w:r>
          </w:p>
        </w:tc>
        <w:tc>
          <w:tcPr>
            <w:tcW w:w="1747" w:type="pct"/>
            <w:vAlign w:val="center"/>
          </w:tcPr>
          <w:p w14:paraId="4A6937CA"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Slightly sour/some off flavor</w:t>
            </w:r>
          </w:p>
        </w:tc>
        <w:tc>
          <w:tcPr>
            <w:tcW w:w="891" w:type="pct"/>
            <w:vAlign w:val="center"/>
          </w:tcPr>
          <w:p w14:paraId="418E1DD2"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Softer</w:t>
            </w:r>
          </w:p>
        </w:tc>
        <w:tc>
          <w:tcPr>
            <w:tcW w:w="638" w:type="pct"/>
            <w:vAlign w:val="center"/>
          </w:tcPr>
          <w:p w14:paraId="041AC82D" w14:textId="77777777" w:rsidR="006742D3" w:rsidRPr="006742D3" w:rsidRDefault="006742D3" w:rsidP="006742D3">
            <w:pPr>
              <w:pStyle w:val="Body"/>
              <w:spacing w:after="0"/>
              <w:rPr>
                <w:rFonts w:ascii="Arial" w:hAnsi="Arial" w:cs="Arial"/>
                <w:sz w:val="20"/>
              </w:rPr>
            </w:pPr>
            <w:r w:rsidRPr="006742D3">
              <w:rPr>
                <w:rFonts w:ascii="Arial" w:hAnsi="Arial" w:cs="Arial"/>
                <w:sz w:val="20"/>
              </w:rPr>
              <w:t>4</w:t>
            </w:r>
          </w:p>
        </w:tc>
      </w:tr>
      <w:tr w:rsidR="006742D3" w:rsidRPr="006742D3" w14:paraId="65205763" w14:textId="77777777" w:rsidTr="00AD031A">
        <w:trPr>
          <w:trHeight w:val="20"/>
          <w:jc w:val="center"/>
        </w:trPr>
        <w:tc>
          <w:tcPr>
            <w:tcW w:w="1724" w:type="pct"/>
            <w:vAlign w:val="center"/>
          </w:tcPr>
          <w:p w14:paraId="09BA5073" w14:textId="77777777" w:rsidR="006742D3" w:rsidRPr="006742D3" w:rsidRDefault="006742D3" w:rsidP="006742D3">
            <w:pPr>
              <w:pStyle w:val="Body"/>
              <w:spacing w:after="0"/>
              <w:rPr>
                <w:rFonts w:ascii="Arial" w:hAnsi="Arial" w:cs="Arial"/>
                <w:sz w:val="20"/>
              </w:rPr>
            </w:pPr>
            <w:r w:rsidRPr="006742D3">
              <w:rPr>
                <w:rFonts w:ascii="Arial" w:hAnsi="Arial" w:cs="Arial"/>
                <w:sz w:val="20"/>
              </w:rPr>
              <w:t>Strong Ammonia</w:t>
            </w:r>
          </w:p>
        </w:tc>
        <w:tc>
          <w:tcPr>
            <w:tcW w:w="1747" w:type="pct"/>
            <w:vAlign w:val="center"/>
          </w:tcPr>
          <w:p w14:paraId="4BAD07F2"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Slightly rotten</w:t>
            </w:r>
          </w:p>
        </w:tc>
        <w:tc>
          <w:tcPr>
            <w:tcW w:w="891" w:type="pct"/>
            <w:vAlign w:val="center"/>
          </w:tcPr>
          <w:p w14:paraId="4816A348"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Very Soft</w:t>
            </w:r>
          </w:p>
        </w:tc>
        <w:tc>
          <w:tcPr>
            <w:tcW w:w="638" w:type="pct"/>
            <w:vAlign w:val="center"/>
          </w:tcPr>
          <w:p w14:paraId="2782EF3A" w14:textId="77777777" w:rsidR="006742D3" w:rsidRPr="006742D3" w:rsidRDefault="006742D3" w:rsidP="006742D3">
            <w:pPr>
              <w:pStyle w:val="Body"/>
              <w:spacing w:after="0"/>
              <w:rPr>
                <w:rFonts w:ascii="Arial" w:hAnsi="Arial" w:cs="Arial"/>
                <w:sz w:val="20"/>
              </w:rPr>
            </w:pPr>
            <w:r w:rsidRPr="006742D3">
              <w:rPr>
                <w:rFonts w:ascii="Arial" w:hAnsi="Arial" w:cs="Arial"/>
                <w:sz w:val="20"/>
              </w:rPr>
              <w:t>2</w:t>
            </w:r>
          </w:p>
        </w:tc>
      </w:tr>
      <w:tr w:rsidR="006742D3" w:rsidRPr="006742D3" w14:paraId="23E744DA" w14:textId="77777777" w:rsidTr="00AD031A">
        <w:trPr>
          <w:trHeight w:val="20"/>
          <w:jc w:val="center"/>
        </w:trPr>
        <w:tc>
          <w:tcPr>
            <w:tcW w:w="1724" w:type="pct"/>
            <w:vAlign w:val="center"/>
          </w:tcPr>
          <w:p w14:paraId="24C57092" w14:textId="77777777" w:rsidR="006742D3" w:rsidRPr="006742D3" w:rsidRDefault="006742D3" w:rsidP="006742D3">
            <w:pPr>
              <w:pStyle w:val="Body"/>
              <w:spacing w:after="0"/>
              <w:rPr>
                <w:rFonts w:ascii="Arial" w:hAnsi="Arial" w:cs="Arial"/>
                <w:sz w:val="20"/>
              </w:rPr>
            </w:pPr>
            <w:r w:rsidRPr="006742D3">
              <w:rPr>
                <w:rFonts w:ascii="Arial" w:hAnsi="Arial" w:cs="Arial"/>
                <w:sz w:val="20"/>
              </w:rPr>
              <w:t>Rotten smell</w:t>
            </w:r>
          </w:p>
        </w:tc>
        <w:tc>
          <w:tcPr>
            <w:tcW w:w="1747" w:type="pct"/>
            <w:vAlign w:val="center"/>
          </w:tcPr>
          <w:p w14:paraId="457C5154"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Spoiled</w:t>
            </w:r>
          </w:p>
        </w:tc>
        <w:tc>
          <w:tcPr>
            <w:tcW w:w="891" w:type="pct"/>
            <w:vAlign w:val="center"/>
          </w:tcPr>
          <w:p w14:paraId="4D48D782" w14:textId="77777777" w:rsidR="006742D3" w:rsidRPr="006742D3" w:rsidRDefault="006742D3" w:rsidP="006742D3">
            <w:pPr>
              <w:pStyle w:val="Body"/>
              <w:spacing w:after="0"/>
              <w:rPr>
                <w:rFonts w:ascii="Arial" w:hAnsi="Arial" w:cs="Arial"/>
                <w:bCs/>
                <w:sz w:val="20"/>
              </w:rPr>
            </w:pPr>
            <w:r w:rsidRPr="006742D3">
              <w:rPr>
                <w:rFonts w:ascii="Arial" w:hAnsi="Arial" w:cs="Arial"/>
                <w:sz w:val="20"/>
              </w:rPr>
              <w:t>Slippery</w:t>
            </w:r>
          </w:p>
        </w:tc>
        <w:tc>
          <w:tcPr>
            <w:tcW w:w="638" w:type="pct"/>
            <w:vAlign w:val="center"/>
          </w:tcPr>
          <w:p w14:paraId="7E8087D0" w14:textId="77777777" w:rsidR="006742D3" w:rsidRPr="006742D3" w:rsidRDefault="006742D3" w:rsidP="006742D3">
            <w:pPr>
              <w:pStyle w:val="Body"/>
              <w:spacing w:after="0"/>
              <w:rPr>
                <w:rFonts w:ascii="Arial" w:hAnsi="Arial" w:cs="Arial"/>
                <w:sz w:val="20"/>
              </w:rPr>
            </w:pPr>
            <w:r w:rsidRPr="006742D3">
              <w:rPr>
                <w:rFonts w:ascii="Arial" w:hAnsi="Arial" w:cs="Arial"/>
                <w:sz w:val="20"/>
              </w:rPr>
              <w:t>0</w:t>
            </w:r>
          </w:p>
        </w:tc>
      </w:tr>
    </w:tbl>
    <w:p w14:paraId="7E980073" w14:textId="77777777" w:rsidR="006742D3" w:rsidRDefault="006742D3" w:rsidP="00441B6F">
      <w:pPr>
        <w:pStyle w:val="Body"/>
        <w:spacing w:after="0"/>
        <w:rPr>
          <w:rFonts w:ascii="Arial" w:hAnsi="Arial" w:cs="Arial"/>
        </w:rPr>
      </w:pPr>
    </w:p>
    <w:p w14:paraId="6F246C44" w14:textId="77777777" w:rsidR="0086499E"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.10 </w:t>
      </w:r>
      <w:r w:rsidRPr="006742D3">
        <w:rPr>
          <w:rFonts w:ascii="Arial" w:hAnsi="Arial" w:cs="Arial"/>
          <w:b/>
          <w:bCs/>
          <w:sz w:val="22"/>
          <w:szCs w:val="22"/>
        </w:rPr>
        <w:t xml:space="preserve">Statistical </w:t>
      </w:r>
      <w:r w:rsidR="00C761F0">
        <w:rPr>
          <w:rFonts w:ascii="Arial" w:hAnsi="Arial" w:cs="Arial"/>
          <w:b/>
          <w:bCs/>
          <w:sz w:val="22"/>
          <w:szCs w:val="22"/>
        </w:rPr>
        <w:t>A</w:t>
      </w:r>
      <w:r w:rsidRPr="006742D3">
        <w:rPr>
          <w:rFonts w:ascii="Arial" w:hAnsi="Arial" w:cs="Arial"/>
          <w:b/>
          <w:bCs/>
          <w:sz w:val="22"/>
          <w:szCs w:val="22"/>
        </w:rPr>
        <w:t xml:space="preserve">nalysis </w:t>
      </w:r>
    </w:p>
    <w:p w14:paraId="353EF285" w14:textId="52A3C0B3" w:rsidR="006742D3" w:rsidRDefault="006742D3" w:rsidP="00441B6F">
      <w:pPr>
        <w:pStyle w:val="Body"/>
        <w:spacing w:after="0"/>
        <w:rPr>
          <w:rFonts w:ascii="Arial" w:hAnsi="Arial" w:cs="Arial"/>
        </w:rPr>
      </w:pPr>
      <w:r w:rsidRPr="006742D3">
        <w:rPr>
          <w:rFonts w:ascii="Arial" w:hAnsi="Arial" w:cs="Arial"/>
          <w:b/>
          <w:bCs/>
          <w:sz w:val="22"/>
          <w:szCs w:val="22"/>
        </w:rPr>
        <w:t xml:space="preserve"> </w:t>
      </w:r>
    </w:p>
    <w:p w14:paraId="739B8F08" w14:textId="7D19304B" w:rsidR="006742D3" w:rsidRDefault="006742D3" w:rsidP="00441B6F">
      <w:pPr>
        <w:pStyle w:val="Body"/>
        <w:spacing w:after="0"/>
        <w:rPr>
          <w:rFonts w:ascii="Arial" w:hAnsi="Arial" w:cs="Arial"/>
        </w:rPr>
      </w:pPr>
      <w:r w:rsidRPr="006742D3">
        <w:rPr>
          <w:rFonts w:ascii="Arial" w:hAnsi="Arial" w:cs="Arial"/>
        </w:rPr>
        <w:t xml:space="preserve">The data were statistically analyzed via a one-way analysis of variance (ANOVA), followed by Duncan's multiple range test (DMRT) at a significance level of </w:t>
      </w:r>
      <w:r w:rsidRPr="00BA1CA6">
        <w:rPr>
          <w:rFonts w:ascii="Arial" w:hAnsi="Arial" w:cs="Arial"/>
          <w:i/>
          <w:iCs/>
        </w:rPr>
        <w:t>P</w:t>
      </w:r>
      <w:r w:rsidRPr="006742D3">
        <w:rPr>
          <w:rFonts w:ascii="Arial" w:hAnsi="Arial" w:cs="Arial"/>
        </w:rPr>
        <w:t>&lt;0.05, using SPSS-20 (Statistical Package for Social Science) software (SPSS, USA)</w:t>
      </w:r>
      <w:r>
        <w:rPr>
          <w:rFonts w:ascii="Arial" w:hAnsi="Arial" w:cs="Arial"/>
        </w:rPr>
        <w:t>.</w:t>
      </w:r>
    </w:p>
    <w:p w14:paraId="1D9DC017" w14:textId="77777777" w:rsidR="00790ADA" w:rsidRPr="00FB3A86" w:rsidRDefault="00790ADA" w:rsidP="00441B6F">
      <w:pPr>
        <w:pStyle w:val="Body"/>
        <w:spacing w:after="0"/>
        <w:rPr>
          <w:rFonts w:ascii="Arial" w:hAnsi="Arial" w:cs="Arial"/>
        </w:rPr>
      </w:pPr>
    </w:p>
    <w:p w14:paraId="47DEED53" w14:textId="7BB7F41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w:t>
      </w:r>
      <w:r w:rsidR="00C670F8">
        <w:rPr>
          <w:rFonts w:ascii="Arial" w:hAnsi="Arial" w:cs="Arial"/>
        </w:rPr>
        <w:t>s</w:t>
      </w:r>
    </w:p>
    <w:p w14:paraId="4F28A48F" w14:textId="77777777" w:rsidR="00C761F0" w:rsidRDefault="00C761F0" w:rsidP="00441B6F">
      <w:pPr>
        <w:pStyle w:val="Body"/>
        <w:spacing w:after="0"/>
        <w:rPr>
          <w:rFonts w:ascii="Arial" w:hAnsi="Arial" w:cs="Arial"/>
        </w:rPr>
      </w:pPr>
    </w:p>
    <w:p w14:paraId="4E5668B9" w14:textId="3482B268" w:rsidR="00C761F0" w:rsidRDefault="00C30A0F" w:rsidP="00BA1CA6">
      <w:pPr>
        <w:pStyle w:val="Body"/>
        <w:spacing w:after="0"/>
        <w:rPr>
          <w:rFonts w:ascii="Arial" w:hAnsi="Arial" w:cs="Arial"/>
          <w:b/>
          <w:bCs/>
          <w:sz w:val="22"/>
          <w:szCs w:val="22"/>
        </w:rPr>
      </w:pPr>
      <w:r>
        <w:rPr>
          <w:rFonts w:ascii="Arial" w:hAnsi="Arial" w:cs="Arial"/>
          <w:b/>
          <w:caps/>
          <w:sz w:val="22"/>
        </w:rPr>
        <w:t>3</w:t>
      </w:r>
      <w:r w:rsidRPr="00C30A0F">
        <w:rPr>
          <w:rFonts w:ascii="Arial" w:hAnsi="Arial" w:cs="Arial"/>
          <w:b/>
          <w:caps/>
          <w:sz w:val="22"/>
        </w:rPr>
        <w:t xml:space="preserve">.1 </w:t>
      </w:r>
      <w:r w:rsidR="00E83348" w:rsidRPr="00E83348">
        <w:rPr>
          <w:rFonts w:ascii="Arial" w:hAnsi="Arial" w:cs="Arial"/>
          <w:b/>
          <w:bCs/>
          <w:sz w:val="22"/>
          <w:szCs w:val="22"/>
        </w:rPr>
        <w:t xml:space="preserve">Growth </w:t>
      </w:r>
      <w:r w:rsidR="00375045">
        <w:rPr>
          <w:rFonts w:ascii="Arial" w:hAnsi="Arial" w:cs="Arial"/>
          <w:b/>
          <w:bCs/>
          <w:sz w:val="22"/>
          <w:szCs w:val="22"/>
        </w:rPr>
        <w:t>P</w:t>
      </w:r>
      <w:r w:rsidR="00E83348" w:rsidRPr="00E83348">
        <w:rPr>
          <w:rFonts w:ascii="Arial" w:hAnsi="Arial" w:cs="Arial"/>
          <w:b/>
          <w:bCs/>
          <w:sz w:val="22"/>
          <w:szCs w:val="22"/>
        </w:rPr>
        <w:t xml:space="preserve">erformance and </w:t>
      </w:r>
      <w:r w:rsidR="00375045">
        <w:rPr>
          <w:rFonts w:ascii="Arial" w:hAnsi="Arial" w:cs="Arial"/>
          <w:b/>
          <w:bCs/>
          <w:sz w:val="22"/>
          <w:szCs w:val="22"/>
        </w:rPr>
        <w:t>F</w:t>
      </w:r>
      <w:r w:rsidR="00E83348" w:rsidRPr="00E83348">
        <w:rPr>
          <w:rFonts w:ascii="Arial" w:hAnsi="Arial" w:cs="Arial"/>
          <w:b/>
          <w:bCs/>
          <w:sz w:val="22"/>
          <w:szCs w:val="22"/>
        </w:rPr>
        <w:t xml:space="preserve">eed </w:t>
      </w:r>
      <w:r w:rsidR="00375045">
        <w:rPr>
          <w:rFonts w:ascii="Arial" w:hAnsi="Arial" w:cs="Arial"/>
          <w:b/>
          <w:bCs/>
          <w:sz w:val="22"/>
          <w:szCs w:val="22"/>
        </w:rPr>
        <w:t>U</w:t>
      </w:r>
      <w:r w:rsidR="00E83348" w:rsidRPr="00E83348">
        <w:rPr>
          <w:rFonts w:ascii="Arial" w:hAnsi="Arial" w:cs="Arial"/>
          <w:b/>
          <w:bCs/>
          <w:sz w:val="22"/>
          <w:szCs w:val="22"/>
        </w:rPr>
        <w:t xml:space="preserve">tilization of the </w:t>
      </w:r>
      <w:r w:rsidR="00375045">
        <w:rPr>
          <w:rFonts w:ascii="Arial" w:hAnsi="Arial" w:cs="Arial"/>
          <w:b/>
          <w:bCs/>
          <w:sz w:val="22"/>
          <w:szCs w:val="22"/>
        </w:rPr>
        <w:t>T</w:t>
      </w:r>
      <w:r w:rsidR="00E83348" w:rsidRPr="00E83348">
        <w:rPr>
          <w:rFonts w:ascii="Arial" w:hAnsi="Arial" w:cs="Arial"/>
          <w:b/>
          <w:bCs/>
          <w:sz w:val="22"/>
          <w:szCs w:val="22"/>
        </w:rPr>
        <w:t xml:space="preserve">est </w:t>
      </w:r>
      <w:r w:rsidR="00375045">
        <w:rPr>
          <w:rFonts w:ascii="Arial" w:hAnsi="Arial" w:cs="Arial"/>
          <w:b/>
          <w:bCs/>
          <w:sz w:val="22"/>
          <w:szCs w:val="22"/>
        </w:rPr>
        <w:t>F</w:t>
      </w:r>
      <w:r w:rsidR="00E83348" w:rsidRPr="00E83348">
        <w:rPr>
          <w:rFonts w:ascii="Arial" w:hAnsi="Arial" w:cs="Arial"/>
          <w:b/>
          <w:bCs/>
          <w:sz w:val="22"/>
          <w:szCs w:val="22"/>
        </w:rPr>
        <w:t>ish</w:t>
      </w:r>
    </w:p>
    <w:p w14:paraId="457D21B6" w14:textId="77777777" w:rsidR="0086499E" w:rsidRPr="00E83348" w:rsidRDefault="0086499E" w:rsidP="00BA1CA6">
      <w:pPr>
        <w:pStyle w:val="Body"/>
        <w:spacing w:after="0"/>
        <w:rPr>
          <w:rFonts w:ascii="Arial" w:hAnsi="Arial" w:cs="Arial"/>
          <w:b/>
          <w:bCs/>
          <w:sz w:val="22"/>
          <w:szCs w:val="22"/>
        </w:rPr>
      </w:pPr>
    </w:p>
    <w:p w14:paraId="23786F3A" w14:textId="77777777" w:rsidR="00C761F0" w:rsidRDefault="00C761F0" w:rsidP="00BA1CA6">
      <w:pPr>
        <w:pStyle w:val="Body"/>
        <w:spacing w:after="120"/>
        <w:rPr>
          <w:rFonts w:ascii="Arial" w:hAnsi="Arial" w:cs="Arial"/>
        </w:rPr>
      </w:pPr>
      <w:r w:rsidRPr="00C761F0">
        <w:rPr>
          <w:rFonts w:ascii="Arial" w:hAnsi="Arial" w:cs="Arial"/>
        </w:rPr>
        <w:t>The calculated results of growth and feed utilization parameters of the test fish fed with four different feeds are summarized in Table 4. According to the results, the fish in T4 had significantly the highest MWG and SGR, followed by those in T2 and T3, while the lowest was among the fish in T1. The fish from T4 and T3 had better FCR values, whereas the fish from T1 had the poorest FCR value. The SR of the test fish showed no significant differences among the treatments.</w:t>
      </w:r>
    </w:p>
    <w:p w14:paraId="2FB4336D" w14:textId="77777777" w:rsidR="0086499E" w:rsidRPr="00C761F0" w:rsidRDefault="0086499E" w:rsidP="00BA1CA6">
      <w:pPr>
        <w:pStyle w:val="Body"/>
        <w:spacing w:after="120"/>
        <w:rPr>
          <w:rFonts w:ascii="Arial" w:hAnsi="Arial" w:cs="Arial"/>
        </w:rPr>
      </w:pPr>
    </w:p>
    <w:p w14:paraId="5E4FCD33" w14:textId="2F705469" w:rsidR="00C761F0" w:rsidRPr="00C761F0" w:rsidRDefault="00C761F0" w:rsidP="00E90491">
      <w:pPr>
        <w:pStyle w:val="Body"/>
        <w:spacing w:after="120"/>
        <w:rPr>
          <w:rFonts w:ascii="Arial" w:hAnsi="Arial" w:cs="Arial"/>
          <w:b/>
          <w:bCs/>
        </w:rPr>
      </w:pPr>
      <w:r w:rsidRPr="00C761F0">
        <w:rPr>
          <w:rFonts w:ascii="Arial" w:hAnsi="Arial" w:cs="Arial"/>
          <w:b/>
        </w:rPr>
        <w:lastRenderedPageBreak/>
        <w:t>Table 4</w:t>
      </w:r>
      <w:r w:rsidR="00E90491">
        <w:rPr>
          <w:rFonts w:ascii="Arial" w:hAnsi="Arial" w:cs="Arial"/>
          <w:b/>
        </w:rPr>
        <w:t>.</w:t>
      </w:r>
      <w:r w:rsidRPr="00C761F0">
        <w:rPr>
          <w:rFonts w:ascii="Arial" w:hAnsi="Arial" w:cs="Arial"/>
        </w:rPr>
        <w:t xml:space="preserve"> </w:t>
      </w:r>
      <w:r w:rsidRPr="00C761F0">
        <w:rPr>
          <w:rFonts w:ascii="Arial" w:hAnsi="Arial" w:cs="Arial"/>
          <w:b/>
          <w:bCs/>
        </w:rPr>
        <w:t>Mean values of growth and feed utilization parameters of the test fish</w:t>
      </w:r>
      <w:r w:rsidRPr="00C761F0">
        <w:rPr>
          <w:rFonts w:ascii="Arial" w:hAnsi="Arial" w:cs="Arial"/>
          <w:b/>
          <w:bCs/>
          <w:i/>
        </w:rPr>
        <w:t xml:space="preserve"> </w:t>
      </w: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1655"/>
        <w:gridCol w:w="1608"/>
        <w:gridCol w:w="1559"/>
        <w:gridCol w:w="1701"/>
      </w:tblGrid>
      <w:tr w:rsidR="00C761F0" w:rsidRPr="00C761F0" w14:paraId="06ABBBF0" w14:textId="77777777" w:rsidTr="00375045">
        <w:trPr>
          <w:trHeight w:val="115"/>
          <w:jc w:val="center"/>
        </w:trPr>
        <w:tc>
          <w:tcPr>
            <w:tcW w:w="1699" w:type="dxa"/>
            <w:vMerge w:val="restart"/>
            <w:tcBorders>
              <w:top w:val="single" w:sz="4" w:space="0" w:color="auto"/>
            </w:tcBorders>
            <w:vAlign w:val="center"/>
          </w:tcPr>
          <w:p w14:paraId="36800228" w14:textId="77777777" w:rsidR="00C761F0" w:rsidRPr="00C761F0" w:rsidRDefault="00C761F0" w:rsidP="00E90491">
            <w:pPr>
              <w:pStyle w:val="Body"/>
              <w:spacing w:after="0"/>
              <w:rPr>
                <w:rFonts w:ascii="Arial" w:hAnsi="Arial" w:cs="Arial"/>
                <w:sz w:val="20"/>
              </w:rPr>
            </w:pPr>
            <w:r w:rsidRPr="00C761F0">
              <w:rPr>
                <w:rFonts w:ascii="Arial" w:hAnsi="Arial" w:cs="Arial"/>
                <w:b/>
                <w:sz w:val="20"/>
              </w:rPr>
              <w:t>Parameters</w:t>
            </w:r>
            <w:r w:rsidRPr="00C761F0">
              <w:rPr>
                <w:rFonts w:ascii="Arial" w:hAnsi="Arial" w:cs="Arial"/>
                <w:sz w:val="20"/>
              </w:rPr>
              <w:t xml:space="preserve"> </w:t>
            </w:r>
          </w:p>
        </w:tc>
        <w:tc>
          <w:tcPr>
            <w:tcW w:w="6523" w:type="dxa"/>
            <w:gridSpan w:val="4"/>
            <w:tcBorders>
              <w:top w:val="single" w:sz="4" w:space="0" w:color="auto"/>
              <w:bottom w:val="single" w:sz="4" w:space="0" w:color="auto"/>
            </w:tcBorders>
          </w:tcPr>
          <w:p w14:paraId="67DF9032" w14:textId="286DB917" w:rsidR="00C761F0" w:rsidRPr="00C761F0" w:rsidRDefault="00C761F0" w:rsidP="00E90491">
            <w:pPr>
              <w:pStyle w:val="Body"/>
              <w:spacing w:after="0"/>
              <w:rPr>
                <w:rFonts w:ascii="Arial" w:hAnsi="Arial" w:cs="Arial"/>
                <w:sz w:val="20"/>
              </w:rPr>
            </w:pPr>
            <w:r w:rsidRPr="00C761F0">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C761F0" w:rsidRPr="00C761F0" w14:paraId="432BE96E" w14:textId="77777777" w:rsidTr="00375045">
        <w:trPr>
          <w:trHeight w:val="42"/>
          <w:jc w:val="center"/>
        </w:trPr>
        <w:tc>
          <w:tcPr>
            <w:tcW w:w="1699" w:type="dxa"/>
            <w:vMerge/>
          </w:tcPr>
          <w:p w14:paraId="05559DA3" w14:textId="77777777" w:rsidR="00C761F0" w:rsidRPr="00C761F0" w:rsidRDefault="00C761F0" w:rsidP="00E90491">
            <w:pPr>
              <w:pStyle w:val="Body"/>
              <w:spacing w:after="0"/>
              <w:rPr>
                <w:rFonts w:ascii="Arial" w:hAnsi="Arial" w:cs="Arial"/>
                <w:sz w:val="20"/>
              </w:rPr>
            </w:pPr>
          </w:p>
        </w:tc>
        <w:tc>
          <w:tcPr>
            <w:tcW w:w="1655" w:type="dxa"/>
            <w:tcBorders>
              <w:top w:val="single" w:sz="4" w:space="0" w:color="auto"/>
            </w:tcBorders>
          </w:tcPr>
          <w:p w14:paraId="408D3993" w14:textId="77777777" w:rsidR="00C761F0" w:rsidRPr="00C761F0" w:rsidRDefault="00C761F0" w:rsidP="00E90491">
            <w:pPr>
              <w:pStyle w:val="Body"/>
              <w:spacing w:after="0"/>
              <w:rPr>
                <w:rFonts w:ascii="Arial" w:hAnsi="Arial" w:cs="Arial"/>
                <w:sz w:val="20"/>
              </w:rPr>
            </w:pPr>
            <w:r w:rsidRPr="00C761F0">
              <w:rPr>
                <w:rFonts w:ascii="Arial" w:hAnsi="Arial" w:cs="Arial"/>
                <w:b/>
                <w:sz w:val="20"/>
              </w:rPr>
              <w:t>T1</w:t>
            </w:r>
          </w:p>
        </w:tc>
        <w:tc>
          <w:tcPr>
            <w:tcW w:w="1608" w:type="dxa"/>
            <w:tcBorders>
              <w:top w:val="single" w:sz="4" w:space="0" w:color="auto"/>
            </w:tcBorders>
          </w:tcPr>
          <w:p w14:paraId="04E6A18F" w14:textId="77777777" w:rsidR="00C761F0" w:rsidRPr="00C761F0" w:rsidRDefault="00C761F0" w:rsidP="00E90491">
            <w:pPr>
              <w:pStyle w:val="Body"/>
              <w:spacing w:after="0"/>
              <w:rPr>
                <w:rFonts w:ascii="Arial" w:hAnsi="Arial" w:cs="Arial"/>
                <w:sz w:val="20"/>
              </w:rPr>
            </w:pPr>
            <w:r w:rsidRPr="00C761F0">
              <w:rPr>
                <w:rFonts w:ascii="Arial" w:hAnsi="Arial" w:cs="Arial"/>
                <w:b/>
                <w:sz w:val="20"/>
              </w:rPr>
              <w:t>T2</w:t>
            </w:r>
          </w:p>
        </w:tc>
        <w:tc>
          <w:tcPr>
            <w:tcW w:w="1559" w:type="dxa"/>
            <w:tcBorders>
              <w:top w:val="single" w:sz="4" w:space="0" w:color="auto"/>
            </w:tcBorders>
          </w:tcPr>
          <w:p w14:paraId="1ED0A6AB" w14:textId="77777777" w:rsidR="00C761F0" w:rsidRPr="00C761F0" w:rsidRDefault="00C761F0" w:rsidP="00E90491">
            <w:pPr>
              <w:pStyle w:val="Body"/>
              <w:spacing w:after="0"/>
              <w:rPr>
                <w:rFonts w:ascii="Arial" w:hAnsi="Arial" w:cs="Arial"/>
                <w:sz w:val="20"/>
              </w:rPr>
            </w:pPr>
            <w:r w:rsidRPr="00C761F0">
              <w:rPr>
                <w:rFonts w:ascii="Arial" w:hAnsi="Arial" w:cs="Arial"/>
                <w:b/>
                <w:sz w:val="20"/>
              </w:rPr>
              <w:t>T3</w:t>
            </w:r>
          </w:p>
        </w:tc>
        <w:tc>
          <w:tcPr>
            <w:tcW w:w="1701" w:type="dxa"/>
            <w:tcBorders>
              <w:top w:val="single" w:sz="4" w:space="0" w:color="auto"/>
            </w:tcBorders>
          </w:tcPr>
          <w:p w14:paraId="4596BF0B" w14:textId="77777777" w:rsidR="00C761F0" w:rsidRPr="00C761F0" w:rsidRDefault="00C761F0" w:rsidP="00E90491">
            <w:pPr>
              <w:pStyle w:val="Body"/>
              <w:spacing w:after="0"/>
              <w:rPr>
                <w:rFonts w:ascii="Arial" w:hAnsi="Arial" w:cs="Arial"/>
                <w:sz w:val="20"/>
              </w:rPr>
            </w:pPr>
            <w:r w:rsidRPr="00C761F0">
              <w:rPr>
                <w:rFonts w:ascii="Arial" w:hAnsi="Arial" w:cs="Arial"/>
                <w:b/>
                <w:sz w:val="20"/>
              </w:rPr>
              <w:t>T4</w:t>
            </w:r>
          </w:p>
        </w:tc>
      </w:tr>
      <w:tr w:rsidR="00C761F0" w:rsidRPr="00C761F0" w14:paraId="13BA1CBD" w14:textId="77777777" w:rsidTr="00375045">
        <w:trPr>
          <w:trHeight w:val="69"/>
          <w:jc w:val="center"/>
        </w:trPr>
        <w:tc>
          <w:tcPr>
            <w:tcW w:w="1699" w:type="dxa"/>
            <w:tcBorders>
              <w:top w:val="single" w:sz="4" w:space="0" w:color="auto"/>
            </w:tcBorders>
          </w:tcPr>
          <w:p w14:paraId="06A6F20A"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MIW (g) </w:t>
            </w:r>
          </w:p>
        </w:tc>
        <w:tc>
          <w:tcPr>
            <w:tcW w:w="1655" w:type="dxa"/>
            <w:tcBorders>
              <w:top w:val="single" w:sz="4" w:space="0" w:color="auto"/>
            </w:tcBorders>
          </w:tcPr>
          <w:p w14:paraId="4DA00B46" w14:textId="77777777" w:rsidR="00C761F0" w:rsidRPr="00C761F0" w:rsidRDefault="00C761F0" w:rsidP="00E90491">
            <w:pPr>
              <w:pStyle w:val="Body"/>
              <w:spacing w:after="0"/>
              <w:rPr>
                <w:rFonts w:ascii="Arial" w:hAnsi="Arial" w:cs="Arial"/>
                <w:sz w:val="20"/>
              </w:rPr>
            </w:pPr>
            <w:r w:rsidRPr="00C761F0">
              <w:rPr>
                <w:rFonts w:ascii="Arial" w:hAnsi="Arial" w:cs="Arial"/>
                <w:sz w:val="20"/>
              </w:rPr>
              <w:t>206.61±10.37</w:t>
            </w:r>
            <w:r w:rsidRPr="00C761F0">
              <w:rPr>
                <w:rFonts w:ascii="Arial" w:hAnsi="Arial" w:cs="Arial"/>
                <w:sz w:val="20"/>
                <w:vertAlign w:val="superscript"/>
              </w:rPr>
              <w:t>a</w:t>
            </w:r>
          </w:p>
        </w:tc>
        <w:tc>
          <w:tcPr>
            <w:tcW w:w="1608" w:type="dxa"/>
            <w:tcBorders>
              <w:top w:val="single" w:sz="4" w:space="0" w:color="auto"/>
            </w:tcBorders>
          </w:tcPr>
          <w:p w14:paraId="0FDD6BA0" w14:textId="77777777" w:rsidR="00C761F0" w:rsidRPr="00C761F0" w:rsidRDefault="00C761F0" w:rsidP="00E90491">
            <w:pPr>
              <w:pStyle w:val="Body"/>
              <w:spacing w:after="0"/>
              <w:rPr>
                <w:rFonts w:ascii="Arial" w:hAnsi="Arial" w:cs="Arial"/>
                <w:sz w:val="20"/>
              </w:rPr>
            </w:pPr>
            <w:r w:rsidRPr="00C761F0">
              <w:rPr>
                <w:rFonts w:ascii="Arial" w:hAnsi="Arial" w:cs="Arial"/>
                <w:sz w:val="20"/>
              </w:rPr>
              <w:t>206.35±13.74</w:t>
            </w:r>
            <w:r w:rsidRPr="00C761F0">
              <w:rPr>
                <w:rFonts w:ascii="Arial" w:hAnsi="Arial" w:cs="Arial"/>
                <w:sz w:val="20"/>
                <w:vertAlign w:val="superscript"/>
              </w:rPr>
              <w:t>a</w:t>
            </w:r>
          </w:p>
        </w:tc>
        <w:tc>
          <w:tcPr>
            <w:tcW w:w="1559" w:type="dxa"/>
            <w:tcBorders>
              <w:top w:val="single" w:sz="4" w:space="0" w:color="auto"/>
            </w:tcBorders>
          </w:tcPr>
          <w:p w14:paraId="3C76A1E2" w14:textId="77777777" w:rsidR="00C761F0" w:rsidRPr="00C761F0" w:rsidRDefault="00C761F0" w:rsidP="00E90491">
            <w:pPr>
              <w:pStyle w:val="Body"/>
              <w:spacing w:after="0"/>
              <w:rPr>
                <w:rFonts w:ascii="Arial" w:hAnsi="Arial" w:cs="Arial"/>
                <w:sz w:val="20"/>
              </w:rPr>
            </w:pPr>
            <w:r w:rsidRPr="00C761F0">
              <w:rPr>
                <w:rFonts w:ascii="Arial" w:hAnsi="Arial" w:cs="Arial"/>
                <w:sz w:val="20"/>
              </w:rPr>
              <w:t>196.05±12.54</w:t>
            </w:r>
            <w:r w:rsidRPr="00C761F0">
              <w:rPr>
                <w:rFonts w:ascii="Arial" w:hAnsi="Arial" w:cs="Arial"/>
                <w:sz w:val="20"/>
                <w:vertAlign w:val="superscript"/>
              </w:rPr>
              <w:t>a</w:t>
            </w:r>
          </w:p>
        </w:tc>
        <w:tc>
          <w:tcPr>
            <w:tcW w:w="1701" w:type="dxa"/>
            <w:tcBorders>
              <w:top w:val="single" w:sz="4" w:space="0" w:color="auto"/>
            </w:tcBorders>
          </w:tcPr>
          <w:p w14:paraId="2E2D1CE4" w14:textId="77777777" w:rsidR="00C761F0" w:rsidRPr="00C761F0" w:rsidRDefault="00C761F0" w:rsidP="00E90491">
            <w:pPr>
              <w:pStyle w:val="Body"/>
              <w:spacing w:after="0"/>
              <w:rPr>
                <w:rFonts w:ascii="Arial" w:hAnsi="Arial" w:cs="Arial"/>
                <w:sz w:val="20"/>
              </w:rPr>
            </w:pPr>
            <w:r w:rsidRPr="00C761F0">
              <w:rPr>
                <w:rFonts w:ascii="Arial" w:hAnsi="Arial" w:cs="Arial"/>
                <w:sz w:val="20"/>
              </w:rPr>
              <w:t>195.66±10.73</w:t>
            </w:r>
            <w:r w:rsidRPr="00C761F0">
              <w:rPr>
                <w:rFonts w:ascii="Arial" w:hAnsi="Arial" w:cs="Arial"/>
                <w:sz w:val="20"/>
                <w:vertAlign w:val="superscript"/>
              </w:rPr>
              <w:t>a</w:t>
            </w:r>
          </w:p>
        </w:tc>
      </w:tr>
      <w:tr w:rsidR="00C761F0" w:rsidRPr="00C761F0" w14:paraId="09D40FDD" w14:textId="77777777" w:rsidTr="00375045">
        <w:trPr>
          <w:trHeight w:val="52"/>
          <w:jc w:val="center"/>
        </w:trPr>
        <w:tc>
          <w:tcPr>
            <w:tcW w:w="1699" w:type="dxa"/>
          </w:tcPr>
          <w:p w14:paraId="65ED4431"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MFW (g) </w:t>
            </w:r>
          </w:p>
        </w:tc>
        <w:tc>
          <w:tcPr>
            <w:tcW w:w="1655" w:type="dxa"/>
          </w:tcPr>
          <w:p w14:paraId="5A5DFB38" w14:textId="77777777" w:rsidR="00C761F0" w:rsidRPr="00C761F0" w:rsidRDefault="00C761F0" w:rsidP="00E90491">
            <w:pPr>
              <w:pStyle w:val="Body"/>
              <w:spacing w:after="0"/>
              <w:rPr>
                <w:rFonts w:ascii="Arial" w:hAnsi="Arial" w:cs="Arial"/>
                <w:sz w:val="20"/>
              </w:rPr>
            </w:pPr>
            <w:r w:rsidRPr="00C761F0">
              <w:rPr>
                <w:rFonts w:ascii="Arial" w:hAnsi="Arial" w:cs="Arial"/>
                <w:sz w:val="20"/>
              </w:rPr>
              <w:t>491.16±17.05</w:t>
            </w:r>
            <w:r w:rsidRPr="00C761F0">
              <w:rPr>
                <w:rFonts w:ascii="Arial" w:hAnsi="Arial" w:cs="Arial"/>
                <w:sz w:val="20"/>
                <w:vertAlign w:val="superscript"/>
              </w:rPr>
              <w:t>b</w:t>
            </w:r>
          </w:p>
        </w:tc>
        <w:tc>
          <w:tcPr>
            <w:tcW w:w="1608" w:type="dxa"/>
          </w:tcPr>
          <w:p w14:paraId="627B7101" w14:textId="77777777" w:rsidR="00C761F0" w:rsidRPr="00C761F0" w:rsidRDefault="00C761F0" w:rsidP="00E90491">
            <w:pPr>
              <w:pStyle w:val="Body"/>
              <w:spacing w:after="0"/>
              <w:rPr>
                <w:rFonts w:ascii="Arial" w:hAnsi="Arial" w:cs="Arial"/>
                <w:sz w:val="20"/>
              </w:rPr>
            </w:pPr>
            <w:r w:rsidRPr="00C761F0">
              <w:rPr>
                <w:rFonts w:ascii="Arial" w:hAnsi="Arial" w:cs="Arial"/>
                <w:sz w:val="20"/>
              </w:rPr>
              <w:t>509.66±16.96</w:t>
            </w:r>
            <w:r w:rsidRPr="00C761F0">
              <w:rPr>
                <w:rFonts w:ascii="Arial" w:hAnsi="Arial" w:cs="Arial"/>
                <w:sz w:val="20"/>
                <w:vertAlign w:val="superscript"/>
              </w:rPr>
              <w:t>a</w:t>
            </w:r>
          </w:p>
        </w:tc>
        <w:tc>
          <w:tcPr>
            <w:tcW w:w="1559" w:type="dxa"/>
          </w:tcPr>
          <w:p w14:paraId="34AB0F27" w14:textId="77777777" w:rsidR="00C761F0" w:rsidRPr="00C761F0" w:rsidRDefault="00C761F0" w:rsidP="00E90491">
            <w:pPr>
              <w:pStyle w:val="Body"/>
              <w:spacing w:after="0"/>
              <w:rPr>
                <w:rFonts w:ascii="Arial" w:hAnsi="Arial" w:cs="Arial"/>
                <w:sz w:val="20"/>
              </w:rPr>
            </w:pPr>
            <w:r w:rsidRPr="00C761F0">
              <w:rPr>
                <w:rFonts w:ascii="Arial" w:hAnsi="Arial" w:cs="Arial"/>
                <w:sz w:val="20"/>
              </w:rPr>
              <w:t>510.16±23.67</w:t>
            </w:r>
            <w:r w:rsidRPr="00C761F0">
              <w:rPr>
                <w:rFonts w:ascii="Arial" w:hAnsi="Arial" w:cs="Arial"/>
                <w:sz w:val="20"/>
                <w:vertAlign w:val="superscript"/>
              </w:rPr>
              <w:t>a</w:t>
            </w:r>
          </w:p>
        </w:tc>
        <w:tc>
          <w:tcPr>
            <w:tcW w:w="1701" w:type="dxa"/>
          </w:tcPr>
          <w:p w14:paraId="21711234" w14:textId="77777777" w:rsidR="00C761F0" w:rsidRPr="00C761F0" w:rsidRDefault="00C761F0" w:rsidP="00E90491">
            <w:pPr>
              <w:pStyle w:val="Body"/>
              <w:spacing w:after="0"/>
              <w:rPr>
                <w:rFonts w:ascii="Arial" w:hAnsi="Arial" w:cs="Arial"/>
                <w:sz w:val="20"/>
              </w:rPr>
            </w:pPr>
            <w:r w:rsidRPr="00C761F0">
              <w:rPr>
                <w:rFonts w:ascii="Arial" w:hAnsi="Arial" w:cs="Arial"/>
                <w:sz w:val="20"/>
              </w:rPr>
              <w:t>517.50±19.51</w:t>
            </w:r>
            <w:r w:rsidRPr="00C761F0">
              <w:rPr>
                <w:rFonts w:ascii="Arial" w:hAnsi="Arial" w:cs="Arial"/>
                <w:sz w:val="20"/>
                <w:vertAlign w:val="superscript"/>
              </w:rPr>
              <w:t>a</w:t>
            </w:r>
          </w:p>
        </w:tc>
      </w:tr>
      <w:tr w:rsidR="00C761F0" w:rsidRPr="00C761F0" w14:paraId="3D4548DF" w14:textId="77777777" w:rsidTr="00375045">
        <w:trPr>
          <w:trHeight w:val="52"/>
          <w:jc w:val="center"/>
        </w:trPr>
        <w:tc>
          <w:tcPr>
            <w:tcW w:w="1699" w:type="dxa"/>
          </w:tcPr>
          <w:p w14:paraId="277142E4"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MWG (g) </w:t>
            </w:r>
          </w:p>
        </w:tc>
        <w:tc>
          <w:tcPr>
            <w:tcW w:w="1655" w:type="dxa"/>
          </w:tcPr>
          <w:p w14:paraId="3F1FE1BF" w14:textId="77777777" w:rsidR="00C761F0" w:rsidRPr="00C761F0" w:rsidRDefault="00C761F0" w:rsidP="00E90491">
            <w:pPr>
              <w:pStyle w:val="Body"/>
              <w:spacing w:after="0"/>
              <w:rPr>
                <w:rFonts w:ascii="Arial" w:hAnsi="Arial" w:cs="Arial"/>
                <w:sz w:val="20"/>
              </w:rPr>
            </w:pPr>
            <w:r w:rsidRPr="00C761F0">
              <w:rPr>
                <w:rFonts w:ascii="Arial" w:hAnsi="Arial" w:cs="Arial"/>
                <w:sz w:val="20"/>
              </w:rPr>
              <w:t>277.56±10.29</w:t>
            </w:r>
            <w:r w:rsidRPr="00C761F0">
              <w:rPr>
                <w:rFonts w:ascii="Arial" w:hAnsi="Arial" w:cs="Arial"/>
                <w:sz w:val="20"/>
                <w:vertAlign w:val="superscript"/>
              </w:rPr>
              <w:t>c</w:t>
            </w:r>
          </w:p>
        </w:tc>
        <w:tc>
          <w:tcPr>
            <w:tcW w:w="1608" w:type="dxa"/>
          </w:tcPr>
          <w:p w14:paraId="452429B6" w14:textId="77777777" w:rsidR="00C761F0" w:rsidRPr="00C761F0" w:rsidRDefault="00C761F0" w:rsidP="00E90491">
            <w:pPr>
              <w:pStyle w:val="Body"/>
              <w:spacing w:after="0"/>
              <w:rPr>
                <w:rFonts w:ascii="Arial" w:hAnsi="Arial" w:cs="Arial"/>
                <w:sz w:val="20"/>
              </w:rPr>
            </w:pPr>
            <w:r w:rsidRPr="00C761F0">
              <w:rPr>
                <w:rFonts w:ascii="Arial" w:hAnsi="Arial" w:cs="Arial"/>
                <w:sz w:val="20"/>
              </w:rPr>
              <w:t>303.31±10.21</w:t>
            </w:r>
            <w:r w:rsidRPr="00C761F0">
              <w:rPr>
                <w:rFonts w:ascii="Arial" w:hAnsi="Arial" w:cs="Arial"/>
                <w:sz w:val="20"/>
                <w:vertAlign w:val="superscript"/>
              </w:rPr>
              <w:t>b</w:t>
            </w:r>
          </w:p>
        </w:tc>
        <w:tc>
          <w:tcPr>
            <w:tcW w:w="1559" w:type="dxa"/>
          </w:tcPr>
          <w:p w14:paraId="17611658" w14:textId="77777777" w:rsidR="00C761F0" w:rsidRPr="00C761F0" w:rsidRDefault="00C761F0" w:rsidP="00E90491">
            <w:pPr>
              <w:pStyle w:val="Body"/>
              <w:spacing w:after="0"/>
              <w:rPr>
                <w:rFonts w:ascii="Arial" w:hAnsi="Arial" w:cs="Arial"/>
                <w:sz w:val="20"/>
              </w:rPr>
            </w:pPr>
            <w:r w:rsidRPr="00C761F0">
              <w:rPr>
                <w:rFonts w:ascii="Arial" w:hAnsi="Arial" w:cs="Arial"/>
                <w:sz w:val="20"/>
              </w:rPr>
              <w:t>311.66±8.12</w:t>
            </w:r>
            <w:r w:rsidRPr="00C761F0">
              <w:rPr>
                <w:rFonts w:ascii="Arial" w:hAnsi="Arial" w:cs="Arial"/>
                <w:sz w:val="20"/>
                <w:vertAlign w:val="superscript"/>
              </w:rPr>
              <w:t>b</w:t>
            </w:r>
          </w:p>
        </w:tc>
        <w:tc>
          <w:tcPr>
            <w:tcW w:w="1701" w:type="dxa"/>
          </w:tcPr>
          <w:p w14:paraId="02A2DEAD" w14:textId="77777777" w:rsidR="00C761F0" w:rsidRPr="00C761F0" w:rsidRDefault="00C761F0" w:rsidP="00E90491">
            <w:pPr>
              <w:pStyle w:val="Body"/>
              <w:spacing w:after="0"/>
              <w:rPr>
                <w:rFonts w:ascii="Arial" w:hAnsi="Arial" w:cs="Arial"/>
                <w:sz w:val="20"/>
              </w:rPr>
            </w:pPr>
            <w:r w:rsidRPr="00C761F0">
              <w:rPr>
                <w:rFonts w:ascii="Arial" w:hAnsi="Arial" w:cs="Arial"/>
                <w:sz w:val="20"/>
              </w:rPr>
              <w:t>321.83±9.36</w:t>
            </w:r>
            <w:r w:rsidRPr="00C761F0">
              <w:rPr>
                <w:rFonts w:ascii="Arial" w:hAnsi="Arial" w:cs="Arial"/>
                <w:sz w:val="20"/>
                <w:vertAlign w:val="superscript"/>
              </w:rPr>
              <w:t>a</w:t>
            </w:r>
          </w:p>
        </w:tc>
      </w:tr>
      <w:tr w:rsidR="00C761F0" w:rsidRPr="00C761F0" w14:paraId="697D21E2" w14:textId="77777777" w:rsidTr="00375045">
        <w:trPr>
          <w:trHeight w:val="52"/>
          <w:jc w:val="center"/>
        </w:trPr>
        <w:tc>
          <w:tcPr>
            <w:tcW w:w="1699" w:type="dxa"/>
          </w:tcPr>
          <w:p w14:paraId="26096B6E"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SGR (% bwd</w:t>
            </w:r>
            <w:r w:rsidRPr="00C761F0">
              <w:rPr>
                <w:rFonts w:ascii="Arial" w:hAnsi="Arial" w:cs="Arial"/>
                <w:bCs/>
                <w:sz w:val="20"/>
                <w:vertAlign w:val="superscript"/>
              </w:rPr>
              <w:t>-1</w:t>
            </w:r>
            <w:r w:rsidRPr="00C761F0">
              <w:rPr>
                <w:rFonts w:ascii="Arial" w:hAnsi="Arial" w:cs="Arial"/>
                <w:bCs/>
                <w:sz w:val="20"/>
              </w:rPr>
              <w:t xml:space="preserve">) </w:t>
            </w:r>
          </w:p>
        </w:tc>
        <w:tc>
          <w:tcPr>
            <w:tcW w:w="1655" w:type="dxa"/>
          </w:tcPr>
          <w:p w14:paraId="526B3254" w14:textId="77777777" w:rsidR="00C761F0" w:rsidRPr="00C761F0" w:rsidRDefault="00C761F0" w:rsidP="00E90491">
            <w:pPr>
              <w:pStyle w:val="Body"/>
              <w:spacing w:after="0"/>
              <w:rPr>
                <w:rFonts w:ascii="Arial" w:hAnsi="Arial" w:cs="Arial"/>
                <w:sz w:val="20"/>
              </w:rPr>
            </w:pPr>
            <w:r w:rsidRPr="00C761F0">
              <w:rPr>
                <w:rFonts w:ascii="Arial" w:hAnsi="Arial" w:cs="Arial"/>
                <w:sz w:val="20"/>
              </w:rPr>
              <w:t>0.94±0.082</w:t>
            </w:r>
            <w:r w:rsidRPr="00C761F0">
              <w:rPr>
                <w:rFonts w:ascii="Arial" w:hAnsi="Arial" w:cs="Arial"/>
                <w:sz w:val="20"/>
                <w:vertAlign w:val="superscript"/>
              </w:rPr>
              <w:t>c</w:t>
            </w:r>
          </w:p>
        </w:tc>
        <w:tc>
          <w:tcPr>
            <w:tcW w:w="1608" w:type="dxa"/>
          </w:tcPr>
          <w:p w14:paraId="75769269" w14:textId="77777777" w:rsidR="00C761F0" w:rsidRPr="00C761F0" w:rsidRDefault="00C761F0" w:rsidP="00E90491">
            <w:pPr>
              <w:pStyle w:val="Body"/>
              <w:spacing w:after="0"/>
              <w:rPr>
                <w:rFonts w:ascii="Arial" w:hAnsi="Arial" w:cs="Arial"/>
                <w:sz w:val="20"/>
              </w:rPr>
            </w:pPr>
            <w:r w:rsidRPr="00C761F0">
              <w:rPr>
                <w:rFonts w:ascii="Arial" w:hAnsi="Arial" w:cs="Arial"/>
                <w:sz w:val="20"/>
              </w:rPr>
              <w:t>1.01±0.095</w:t>
            </w:r>
            <w:r w:rsidRPr="00C761F0">
              <w:rPr>
                <w:rFonts w:ascii="Arial" w:hAnsi="Arial" w:cs="Arial"/>
                <w:sz w:val="20"/>
                <w:vertAlign w:val="superscript"/>
              </w:rPr>
              <w:t>b</w:t>
            </w:r>
          </w:p>
        </w:tc>
        <w:tc>
          <w:tcPr>
            <w:tcW w:w="1559" w:type="dxa"/>
          </w:tcPr>
          <w:p w14:paraId="60DBB470" w14:textId="77777777" w:rsidR="00C761F0" w:rsidRPr="00C761F0" w:rsidRDefault="00C761F0" w:rsidP="00E90491">
            <w:pPr>
              <w:pStyle w:val="Body"/>
              <w:spacing w:after="0"/>
              <w:rPr>
                <w:rFonts w:ascii="Arial" w:hAnsi="Arial" w:cs="Arial"/>
                <w:sz w:val="20"/>
              </w:rPr>
            </w:pPr>
            <w:r w:rsidRPr="00C761F0">
              <w:rPr>
                <w:rFonts w:ascii="Arial" w:hAnsi="Arial" w:cs="Arial"/>
                <w:sz w:val="20"/>
              </w:rPr>
              <w:t>1.06±0.014</w:t>
            </w:r>
            <w:r w:rsidRPr="00C761F0">
              <w:rPr>
                <w:rFonts w:ascii="Arial" w:hAnsi="Arial" w:cs="Arial"/>
                <w:sz w:val="20"/>
                <w:vertAlign w:val="superscript"/>
              </w:rPr>
              <w:t>b</w:t>
            </w:r>
          </w:p>
        </w:tc>
        <w:tc>
          <w:tcPr>
            <w:tcW w:w="1701" w:type="dxa"/>
          </w:tcPr>
          <w:p w14:paraId="67A614E9" w14:textId="77777777" w:rsidR="00C761F0" w:rsidRPr="00C761F0" w:rsidRDefault="00C761F0" w:rsidP="00E90491">
            <w:pPr>
              <w:pStyle w:val="Body"/>
              <w:spacing w:after="0"/>
              <w:rPr>
                <w:rFonts w:ascii="Arial" w:hAnsi="Arial" w:cs="Arial"/>
                <w:sz w:val="20"/>
              </w:rPr>
            </w:pPr>
            <w:r w:rsidRPr="00C761F0">
              <w:rPr>
                <w:rFonts w:ascii="Arial" w:hAnsi="Arial" w:cs="Arial"/>
                <w:sz w:val="20"/>
              </w:rPr>
              <w:t>1.10±0.015</w:t>
            </w:r>
            <w:r w:rsidRPr="00C761F0">
              <w:rPr>
                <w:rFonts w:ascii="Arial" w:hAnsi="Arial" w:cs="Arial"/>
                <w:sz w:val="20"/>
                <w:vertAlign w:val="superscript"/>
              </w:rPr>
              <w:t>a</w:t>
            </w:r>
          </w:p>
        </w:tc>
      </w:tr>
      <w:tr w:rsidR="00C761F0" w:rsidRPr="00C761F0" w14:paraId="2CE959FD" w14:textId="77777777" w:rsidTr="00375045">
        <w:trPr>
          <w:trHeight w:val="181"/>
          <w:jc w:val="center"/>
        </w:trPr>
        <w:tc>
          <w:tcPr>
            <w:tcW w:w="1699" w:type="dxa"/>
          </w:tcPr>
          <w:p w14:paraId="0089C2E2"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FCR </w:t>
            </w:r>
          </w:p>
        </w:tc>
        <w:tc>
          <w:tcPr>
            <w:tcW w:w="1655" w:type="dxa"/>
          </w:tcPr>
          <w:p w14:paraId="4005FB2B" w14:textId="77777777" w:rsidR="00C761F0" w:rsidRPr="00C761F0" w:rsidRDefault="00C761F0" w:rsidP="00E90491">
            <w:pPr>
              <w:pStyle w:val="Body"/>
              <w:spacing w:after="0"/>
              <w:rPr>
                <w:rFonts w:ascii="Arial" w:hAnsi="Arial" w:cs="Arial"/>
                <w:sz w:val="20"/>
              </w:rPr>
            </w:pPr>
            <w:r w:rsidRPr="00C761F0">
              <w:rPr>
                <w:rFonts w:ascii="Arial" w:hAnsi="Arial" w:cs="Arial"/>
                <w:sz w:val="20"/>
              </w:rPr>
              <w:t>2.61±0.13</w:t>
            </w:r>
            <w:r w:rsidRPr="00C761F0">
              <w:rPr>
                <w:rFonts w:ascii="Arial" w:hAnsi="Arial" w:cs="Arial"/>
                <w:sz w:val="20"/>
                <w:vertAlign w:val="superscript"/>
              </w:rPr>
              <w:t>c</w:t>
            </w:r>
          </w:p>
        </w:tc>
        <w:tc>
          <w:tcPr>
            <w:tcW w:w="1608" w:type="dxa"/>
          </w:tcPr>
          <w:p w14:paraId="40817AC3" w14:textId="77777777" w:rsidR="00C761F0" w:rsidRPr="00C761F0" w:rsidRDefault="00C761F0" w:rsidP="00E90491">
            <w:pPr>
              <w:pStyle w:val="Body"/>
              <w:spacing w:after="0"/>
              <w:rPr>
                <w:rFonts w:ascii="Arial" w:hAnsi="Arial" w:cs="Arial"/>
                <w:sz w:val="20"/>
              </w:rPr>
            </w:pPr>
            <w:r w:rsidRPr="00C761F0">
              <w:rPr>
                <w:rFonts w:ascii="Arial" w:hAnsi="Arial" w:cs="Arial"/>
                <w:sz w:val="20"/>
              </w:rPr>
              <w:t>2.36±0.12</w:t>
            </w:r>
            <w:r w:rsidRPr="00C761F0">
              <w:rPr>
                <w:rFonts w:ascii="Arial" w:hAnsi="Arial" w:cs="Arial"/>
                <w:sz w:val="20"/>
                <w:vertAlign w:val="superscript"/>
              </w:rPr>
              <w:t>b</w:t>
            </w:r>
          </w:p>
        </w:tc>
        <w:tc>
          <w:tcPr>
            <w:tcW w:w="1559" w:type="dxa"/>
          </w:tcPr>
          <w:p w14:paraId="424F5D7C" w14:textId="77777777" w:rsidR="00C761F0" w:rsidRPr="00C761F0" w:rsidRDefault="00C761F0" w:rsidP="00E90491">
            <w:pPr>
              <w:pStyle w:val="Body"/>
              <w:spacing w:after="0"/>
              <w:rPr>
                <w:rFonts w:ascii="Arial" w:hAnsi="Arial" w:cs="Arial"/>
                <w:sz w:val="20"/>
              </w:rPr>
            </w:pPr>
            <w:r w:rsidRPr="00C761F0">
              <w:rPr>
                <w:rFonts w:ascii="Arial" w:hAnsi="Arial" w:cs="Arial"/>
                <w:sz w:val="20"/>
              </w:rPr>
              <w:t>2.19±0.15</w:t>
            </w:r>
            <w:r w:rsidRPr="00C761F0">
              <w:rPr>
                <w:rFonts w:ascii="Arial" w:hAnsi="Arial" w:cs="Arial"/>
                <w:sz w:val="20"/>
                <w:vertAlign w:val="superscript"/>
              </w:rPr>
              <w:t>a</w:t>
            </w:r>
          </w:p>
        </w:tc>
        <w:tc>
          <w:tcPr>
            <w:tcW w:w="1701" w:type="dxa"/>
          </w:tcPr>
          <w:p w14:paraId="79C2454B" w14:textId="77777777" w:rsidR="00C761F0" w:rsidRPr="00C761F0" w:rsidRDefault="00C761F0" w:rsidP="00E90491">
            <w:pPr>
              <w:pStyle w:val="Body"/>
              <w:spacing w:after="0"/>
              <w:rPr>
                <w:rFonts w:ascii="Arial" w:hAnsi="Arial" w:cs="Arial"/>
                <w:sz w:val="20"/>
              </w:rPr>
            </w:pPr>
            <w:r w:rsidRPr="00C761F0">
              <w:rPr>
                <w:rFonts w:ascii="Arial" w:hAnsi="Arial" w:cs="Arial"/>
                <w:sz w:val="20"/>
              </w:rPr>
              <w:t>2.11±0.13</w:t>
            </w:r>
            <w:r w:rsidRPr="00C761F0">
              <w:rPr>
                <w:rFonts w:ascii="Arial" w:hAnsi="Arial" w:cs="Arial"/>
                <w:sz w:val="20"/>
                <w:vertAlign w:val="superscript"/>
              </w:rPr>
              <w:t>a</w:t>
            </w:r>
          </w:p>
        </w:tc>
      </w:tr>
      <w:tr w:rsidR="00C761F0" w:rsidRPr="00C761F0" w14:paraId="45434601" w14:textId="77777777" w:rsidTr="00375045">
        <w:trPr>
          <w:trHeight w:val="52"/>
          <w:jc w:val="center"/>
        </w:trPr>
        <w:tc>
          <w:tcPr>
            <w:tcW w:w="1699" w:type="dxa"/>
            <w:tcBorders>
              <w:bottom w:val="single" w:sz="4" w:space="0" w:color="auto"/>
            </w:tcBorders>
          </w:tcPr>
          <w:p w14:paraId="0F2E0F9C" w14:textId="77777777"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SR (%) </w:t>
            </w:r>
          </w:p>
        </w:tc>
        <w:tc>
          <w:tcPr>
            <w:tcW w:w="1655" w:type="dxa"/>
            <w:tcBorders>
              <w:bottom w:val="single" w:sz="4" w:space="0" w:color="auto"/>
            </w:tcBorders>
          </w:tcPr>
          <w:p w14:paraId="75199F32" w14:textId="77777777" w:rsidR="00C761F0" w:rsidRPr="00C761F0" w:rsidRDefault="00C761F0" w:rsidP="00E90491">
            <w:pPr>
              <w:pStyle w:val="Body"/>
              <w:spacing w:after="0"/>
              <w:rPr>
                <w:rFonts w:ascii="Arial" w:hAnsi="Arial" w:cs="Arial"/>
                <w:sz w:val="20"/>
              </w:rPr>
            </w:pPr>
            <w:r w:rsidRPr="00C761F0">
              <w:rPr>
                <w:rFonts w:ascii="Arial" w:hAnsi="Arial" w:cs="Arial"/>
                <w:sz w:val="20"/>
              </w:rPr>
              <w:t>91.33±2.29</w:t>
            </w:r>
            <w:r w:rsidRPr="00C761F0">
              <w:rPr>
                <w:rFonts w:ascii="Arial" w:hAnsi="Arial" w:cs="Arial"/>
                <w:sz w:val="20"/>
                <w:vertAlign w:val="superscript"/>
              </w:rPr>
              <w:t>a</w:t>
            </w:r>
          </w:p>
        </w:tc>
        <w:tc>
          <w:tcPr>
            <w:tcW w:w="1608" w:type="dxa"/>
            <w:tcBorders>
              <w:bottom w:val="single" w:sz="4" w:space="0" w:color="auto"/>
            </w:tcBorders>
          </w:tcPr>
          <w:p w14:paraId="72FD44F6" w14:textId="77777777" w:rsidR="00C761F0" w:rsidRPr="00C761F0" w:rsidRDefault="00C761F0" w:rsidP="00E90491">
            <w:pPr>
              <w:pStyle w:val="Body"/>
              <w:spacing w:after="0"/>
              <w:rPr>
                <w:rFonts w:ascii="Arial" w:hAnsi="Arial" w:cs="Arial"/>
                <w:sz w:val="20"/>
              </w:rPr>
            </w:pPr>
            <w:r w:rsidRPr="00C761F0">
              <w:rPr>
                <w:rFonts w:ascii="Arial" w:hAnsi="Arial" w:cs="Arial"/>
                <w:sz w:val="20"/>
              </w:rPr>
              <w:t>93.23±3.23</w:t>
            </w:r>
            <w:r w:rsidRPr="00C761F0">
              <w:rPr>
                <w:rFonts w:ascii="Arial" w:hAnsi="Arial" w:cs="Arial"/>
                <w:sz w:val="20"/>
                <w:vertAlign w:val="superscript"/>
              </w:rPr>
              <w:t>a</w:t>
            </w:r>
          </w:p>
        </w:tc>
        <w:tc>
          <w:tcPr>
            <w:tcW w:w="1559" w:type="dxa"/>
            <w:tcBorders>
              <w:bottom w:val="single" w:sz="4" w:space="0" w:color="auto"/>
            </w:tcBorders>
          </w:tcPr>
          <w:p w14:paraId="794B7EAF" w14:textId="77777777" w:rsidR="00C761F0" w:rsidRPr="00C761F0" w:rsidRDefault="00C761F0" w:rsidP="00E90491">
            <w:pPr>
              <w:pStyle w:val="Body"/>
              <w:spacing w:after="0"/>
              <w:rPr>
                <w:rFonts w:ascii="Arial" w:hAnsi="Arial" w:cs="Arial"/>
                <w:sz w:val="20"/>
              </w:rPr>
            </w:pPr>
            <w:r w:rsidRPr="00C761F0">
              <w:rPr>
                <w:rFonts w:ascii="Arial" w:hAnsi="Arial" w:cs="Arial"/>
                <w:sz w:val="20"/>
              </w:rPr>
              <w:t>91.00±1.57</w:t>
            </w:r>
            <w:r w:rsidRPr="00C761F0">
              <w:rPr>
                <w:rFonts w:ascii="Arial" w:hAnsi="Arial" w:cs="Arial"/>
                <w:sz w:val="20"/>
                <w:vertAlign w:val="superscript"/>
              </w:rPr>
              <w:t>a</w:t>
            </w:r>
          </w:p>
        </w:tc>
        <w:tc>
          <w:tcPr>
            <w:tcW w:w="1701" w:type="dxa"/>
            <w:tcBorders>
              <w:bottom w:val="single" w:sz="4" w:space="0" w:color="auto"/>
            </w:tcBorders>
          </w:tcPr>
          <w:p w14:paraId="60480060" w14:textId="77777777" w:rsidR="00C761F0" w:rsidRPr="00C761F0" w:rsidRDefault="00C761F0" w:rsidP="00E90491">
            <w:pPr>
              <w:pStyle w:val="Body"/>
              <w:spacing w:after="0"/>
              <w:rPr>
                <w:rFonts w:ascii="Arial" w:hAnsi="Arial" w:cs="Arial"/>
                <w:sz w:val="20"/>
              </w:rPr>
            </w:pPr>
            <w:r w:rsidRPr="00C761F0">
              <w:rPr>
                <w:rFonts w:ascii="Arial" w:hAnsi="Arial" w:cs="Arial"/>
                <w:sz w:val="20"/>
              </w:rPr>
              <w:t>93.37±2.67</w:t>
            </w:r>
            <w:r w:rsidRPr="00C761F0">
              <w:rPr>
                <w:rFonts w:ascii="Arial" w:hAnsi="Arial" w:cs="Arial"/>
                <w:sz w:val="20"/>
                <w:vertAlign w:val="superscript"/>
              </w:rPr>
              <w:t>a</w:t>
            </w:r>
          </w:p>
        </w:tc>
      </w:tr>
    </w:tbl>
    <w:p w14:paraId="40E17A1E" w14:textId="77777777" w:rsidR="00C761F0" w:rsidRPr="00BA1CA6" w:rsidRDefault="00C761F0" w:rsidP="00C761F0">
      <w:pPr>
        <w:pStyle w:val="Body"/>
        <w:rPr>
          <w:rFonts w:ascii="Arial" w:hAnsi="Arial" w:cs="Arial"/>
          <w:i/>
          <w:sz w:val="18"/>
          <w:szCs w:val="18"/>
        </w:rPr>
      </w:pPr>
      <w:r w:rsidRPr="00BA1CA6">
        <w:rPr>
          <w:rFonts w:ascii="Arial" w:hAnsi="Arial" w:cs="Arial"/>
          <w:i/>
          <w:sz w:val="18"/>
          <w:szCs w:val="18"/>
        </w:rPr>
        <w:t>* T1 designated the fish fed feed without enzyme, whereas T2, T3, and T4 designated the fish fed feed with Aquazyme at 2.0, 4.0, and 6.0g.kg</w:t>
      </w:r>
      <w:r w:rsidRPr="00BA1CA6">
        <w:rPr>
          <w:rFonts w:ascii="Arial" w:hAnsi="Arial" w:cs="Arial"/>
          <w:i/>
          <w:sz w:val="18"/>
          <w:szCs w:val="18"/>
          <w:vertAlign w:val="superscript"/>
        </w:rPr>
        <w:t>-1</w:t>
      </w:r>
      <w:r w:rsidRPr="00BA1CA6">
        <w:rPr>
          <w:rFonts w:ascii="Arial" w:hAnsi="Arial" w:cs="Arial"/>
          <w:i/>
          <w:sz w:val="18"/>
          <w:szCs w:val="18"/>
        </w:rPr>
        <w:t xml:space="preserve">, respectively. Values with different superscripts in the same row are significantly different (P&lt;0.05). </w:t>
      </w:r>
    </w:p>
    <w:p w14:paraId="25DF4024" w14:textId="3B3078C1" w:rsidR="00E83348" w:rsidRDefault="00E83348" w:rsidP="00BA1CA6">
      <w:pPr>
        <w:pStyle w:val="Body"/>
        <w:spacing w:after="0"/>
        <w:rPr>
          <w:rFonts w:ascii="Arial" w:hAnsi="Arial" w:cs="Arial"/>
          <w:b/>
          <w:bCs/>
          <w:sz w:val="22"/>
          <w:szCs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sidRPr="00E83348">
        <w:rPr>
          <w:rFonts w:ascii="Arial" w:hAnsi="Arial" w:cs="Arial"/>
          <w:b/>
          <w:bCs/>
          <w:sz w:val="22"/>
          <w:szCs w:val="22"/>
        </w:rPr>
        <w:t xml:space="preserve">Proximate </w:t>
      </w:r>
      <w:r>
        <w:rPr>
          <w:rFonts w:ascii="Arial" w:hAnsi="Arial" w:cs="Arial"/>
          <w:b/>
          <w:bCs/>
          <w:sz w:val="22"/>
          <w:szCs w:val="22"/>
        </w:rPr>
        <w:t>C</w:t>
      </w:r>
      <w:r w:rsidRPr="00E83348">
        <w:rPr>
          <w:rFonts w:ascii="Arial" w:hAnsi="Arial" w:cs="Arial"/>
          <w:b/>
          <w:bCs/>
          <w:sz w:val="22"/>
          <w:szCs w:val="22"/>
        </w:rPr>
        <w:t xml:space="preserve">omposition of </w:t>
      </w:r>
      <w:r>
        <w:rPr>
          <w:rFonts w:ascii="Arial" w:hAnsi="Arial" w:cs="Arial"/>
          <w:b/>
          <w:bCs/>
          <w:sz w:val="22"/>
          <w:szCs w:val="22"/>
        </w:rPr>
        <w:t>F</w:t>
      </w:r>
      <w:r w:rsidRPr="00E83348">
        <w:rPr>
          <w:rFonts w:ascii="Arial" w:hAnsi="Arial" w:cs="Arial"/>
          <w:b/>
          <w:bCs/>
          <w:sz w:val="22"/>
          <w:szCs w:val="22"/>
        </w:rPr>
        <w:t xml:space="preserve">ish </w:t>
      </w:r>
      <w:r>
        <w:rPr>
          <w:rFonts w:ascii="Arial" w:hAnsi="Arial" w:cs="Arial"/>
          <w:b/>
          <w:bCs/>
          <w:sz w:val="22"/>
          <w:szCs w:val="22"/>
        </w:rPr>
        <w:t>F</w:t>
      </w:r>
      <w:r w:rsidRPr="00E83348">
        <w:rPr>
          <w:rFonts w:ascii="Arial" w:hAnsi="Arial" w:cs="Arial"/>
          <w:b/>
          <w:bCs/>
          <w:sz w:val="22"/>
          <w:szCs w:val="22"/>
        </w:rPr>
        <w:t>lesh</w:t>
      </w:r>
      <w:r>
        <w:rPr>
          <w:rFonts w:ascii="Arial" w:hAnsi="Arial" w:cs="Arial"/>
          <w:b/>
          <w:bCs/>
          <w:sz w:val="22"/>
          <w:szCs w:val="22"/>
        </w:rPr>
        <w:t xml:space="preserve"> </w:t>
      </w:r>
    </w:p>
    <w:p w14:paraId="5494D728" w14:textId="77777777" w:rsidR="0086499E" w:rsidRDefault="0086499E" w:rsidP="00BA1CA6">
      <w:pPr>
        <w:pStyle w:val="Body"/>
        <w:spacing w:after="0"/>
        <w:rPr>
          <w:rFonts w:ascii="Arial" w:hAnsi="Arial" w:cs="Arial"/>
          <w:b/>
          <w:bCs/>
          <w:sz w:val="22"/>
          <w:szCs w:val="22"/>
        </w:rPr>
      </w:pPr>
    </w:p>
    <w:p w14:paraId="1661411E" w14:textId="40CA244C" w:rsidR="00E83348" w:rsidRPr="00E83348" w:rsidRDefault="00E83348" w:rsidP="00E83348">
      <w:pPr>
        <w:pStyle w:val="Body"/>
        <w:spacing w:after="120"/>
        <w:rPr>
          <w:rFonts w:ascii="Arial" w:hAnsi="Arial" w:cs="Arial"/>
        </w:rPr>
      </w:pPr>
      <w:r w:rsidRPr="00E83348">
        <w:rPr>
          <w:rFonts w:ascii="Arial" w:hAnsi="Arial" w:cs="Arial"/>
        </w:rPr>
        <w:t>The analyzed data on the proximate composition of the test fish among four treatments are presented in Table 5. The crude protein content of fish from T4 was considered to have a significantly higher value than that of fish from the other treatments. Significantly higher crude lipid, carbohydrate, and ash contents were found in the fish from T3 and T4.</w:t>
      </w:r>
    </w:p>
    <w:p w14:paraId="2C0BC8EF" w14:textId="49F2C819" w:rsidR="00E83348" w:rsidRPr="00E83348" w:rsidRDefault="00E83348" w:rsidP="00E83348">
      <w:pPr>
        <w:pStyle w:val="Body"/>
        <w:spacing w:after="120"/>
        <w:rPr>
          <w:rFonts w:ascii="Arial" w:hAnsi="Arial" w:cs="Arial"/>
        </w:rPr>
      </w:pPr>
      <w:r w:rsidRPr="00E83348">
        <w:rPr>
          <w:rFonts w:ascii="Arial" w:hAnsi="Arial" w:cs="Arial"/>
          <w:b/>
        </w:rPr>
        <w:t>Table 5</w:t>
      </w:r>
      <w:r>
        <w:rPr>
          <w:rFonts w:ascii="Arial" w:hAnsi="Arial" w:cs="Arial"/>
          <w:b/>
        </w:rPr>
        <w:t>.</w:t>
      </w:r>
      <w:r w:rsidRPr="00E83348">
        <w:rPr>
          <w:rFonts w:ascii="Arial" w:hAnsi="Arial" w:cs="Arial"/>
        </w:rPr>
        <w:t xml:space="preserve"> </w:t>
      </w:r>
      <w:r w:rsidRPr="00E83348">
        <w:rPr>
          <w:rFonts w:ascii="Arial" w:hAnsi="Arial" w:cs="Arial"/>
          <w:b/>
          <w:bCs/>
        </w:rPr>
        <w:t>Mean values of the proximate compositions of the test fish (wet basis)</w:t>
      </w:r>
      <w:r w:rsidRPr="00E83348">
        <w:rPr>
          <w:rFonts w:ascii="Arial" w:hAnsi="Arial" w:cs="Arial"/>
        </w:rPr>
        <w:t xml:space="preserve"> </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3"/>
        <w:gridCol w:w="1739"/>
        <w:gridCol w:w="1740"/>
        <w:gridCol w:w="1288"/>
      </w:tblGrid>
      <w:tr w:rsidR="00E83348" w:rsidRPr="00E83348" w14:paraId="3CE8570A" w14:textId="77777777" w:rsidTr="00E83348">
        <w:trPr>
          <w:trHeight w:val="42"/>
        </w:trPr>
        <w:tc>
          <w:tcPr>
            <w:tcW w:w="1824" w:type="dxa"/>
            <w:vMerge w:val="restart"/>
            <w:tcBorders>
              <w:top w:val="single" w:sz="4" w:space="0" w:color="auto"/>
            </w:tcBorders>
          </w:tcPr>
          <w:p w14:paraId="5B2832AB" w14:textId="77777777" w:rsidR="00E83348" w:rsidRPr="00E83348" w:rsidRDefault="00E83348" w:rsidP="00E83348">
            <w:pPr>
              <w:pStyle w:val="Body"/>
              <w:spacing w:after="0"/>
              <w:rPr>
                <w:rFonts w:ascii="Arial" w:hAnsi="Arial" w:cs="Arial"/>
                <w:sz w:val="20"/>
              </w:rPr>
            </w:pPr>
            <w:r w:rsidRPr="00E83348">
              <w:rPr>
                <w:rFonts w:ascii="Arial" w:hAnsi="Arial" w:cs="Arial"/>
                <w:b/>
                <w:sz w:val="20"/>
              </w:rPr>
              <w:t>Parameters</w:t>
            </w:r>
            <w:r w:rsidRPr="00E83348">
              <w:rPr>
                <w:rFonts w:ascii="Arial" w:hAnsi="Arial" w:cs="Arial"/>
                <w:sz w:val="20"/>
              </w:rPr>
              <w:t xml:space="preserve"> (%)</w:t>
            </w:r>
          </w:p>
        </w:tc>
        <w:tc>
          <w:tcPr>
            <w:tcW w:w="6393" w:type="dxa"/>
            <w:gridSpan w:val="4"/>
            <w:tcBorders>
              <w:top w:val="single" w:sz="4" w:space="0" w:color="auto"/>
              <w:bottom w:val="single" w:sz="4" w:space="0" w:color="auto"/>
            </w:tcBorders>
          </w:tcPr>
          <w:p w14:paraId="302CACA7" w14:textId="1F58630C" w:rsidR="00E83348" w:rsidRPr="00E83348" w:rsidRDefault="00E83348" w:rsidP="00E83348">
            <w:pPr>
              <w:pStyle w:val="Body"/>
              <w:spacing w:after="0"/>
              <w:rPr>
                <w:rFonts w:ascii="Arial" w:hAnsi="Arial" w:cs="Arial"/>
                <w:sz w:val="20"/>
              </w:rPr>
            </w:pPr>
            <w:r w:rsidRPr="00E83348">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E83348" w:rsidRPr="00E83348" w14:paraId="7852A57B" w14:textId="77777777" w:rsidTr="00E83348">
        <w:trPr>
          <w:trHeight w:val="42"/>
        </w:trPr>
        <w:tc>
          <w:tcPr>
            <w:tcW w:w="1824" w:type="dxa"/>
            <w:vMerge/>
            <w:tcBorders>
              <w:bottom w:val="single" w:sz="4" w:space="0" w:color="auto"/>
            </w:tcBorders>
          </w:tcPr>
          <w:p w14:paraId="385FE257" w14:textId="77777777" w:rsidR="00E83348" w:rsidRPr="00E83348" w:rsidRDefault="00E83348" w:rsidP="00E83348">
            <w:pPr>
              <w:pStyle w:val="Body"/>
              <w:spacing w:after="0"/>
              <w:rPr>
                <w:rFonts w:ascii="Arial" w:hAnsi="Arial" w:cs="Arial"/>
                <w:sz w:val="20"/>
              </w:rPr>
            </w:pPr>
          </w:p>
        </w:tc>
        <w:tc>
          <w:tcPr>
            <w:tcW w:w="1863" w:type="dxa"/>
            <w:tcBorders>
              <w:top w:val="single" w:sz="4" w:space="0" w:color="auto"/>
              <w:bottom w:val="single" w:sz="4" w:space="0" w:color="auto"/>
            </w:tcBorders>
          </w:tcPr>
          <w:p w14:paraId="517AF6ED" w14:textId="77777777" w:rsidR="00E83348" w:rsidRPr="00E83348" w:rsidRDefault="00E83348" w:rsidP="00E83348">
            <w:pPr>
              <w:pStyle w:val="Body"/>
              <w:spacing w:after="0"/>
              <w:rPr>
                <w:rFonts w:ascii="Arial" w:hAnsi="Arial" w:cs="Arial"/>
                <w:sz w:val="20"/>
              </w:rPr>
            </w:pPr>
            <w:r w:rsidRPr="00E83348">
              <w:rPr>
                <w:rFonts w:ascii="Arial" w:hAnsi="Arial" w:cs="Arial"/>
                <w:b/>
                <w:sz w:val="20"/>
              </w:rPr>
              <w:t>T1</w:t>
            </w:r>
          </w:p>
        </w:tc>
        <w:tc>
          <w:tcPr>
            <w:tcW w:w="1863" w:type="dxa"/>
            <w:tcBorders>
              <w:top w:val="single" w:sz="4" w:space="0" w:color="auto"/>
              <w:bottom w:val="single" w:sz="4" w:space="0" w:color="auto"/>
            </w:tcBorders>
          </w:tcPr>
          <w:p w14:paraId="755FBB56" w14:textId="77777777" w:rsidR="00E83348" w:rsidRPr="00E83348" w:rsidRDefault="00E83348" w:rsidP="00E83348">
            <w:pPr>
              <w:pStyle w:val="Body"/>
              <w:spacing w:after="0"/>
              <w:rPr>
                <w:rFonts w:ascii="Arial" w:hAnsi="Arial" w:cs="Arial"/>
                <w:sz w:val="20"/>
              </w:rPr>
            </w:pPr>
            <w:r w:rsidRPr="00E83348">
              <w:rPr>
                <w:rFonts w:ascii="Arial" w:hAnsi="Arial" w:cs="Arial"/>
                <w:b/>
                <w:sz w:val="20"/>
              </w:rPr>
              <w:t>T2</w:t>
            </w:r>
          </w:p>
        </w:tc>
        <w:tc>
          <w:tcPr>
            <w:tcW w:w="1863" w:type="dxa"/>
            <w:tcBorders>
              <w:top w:val="single" w:sz="4" w:space="0" w:color="auto"/>
              <w:bottom w:val="single" w:sz="4" w:space="0" w:color="auto"/>
            </w:tcBorders>
          </w:tcPr>
          <w:p w14:paraId="74A2B8E4" w14:textId="77777777" w:rsidR="00E83348" w:rsidRPr="00E83348" w:rsidRDefault="00E83348" w:rsidP="00E83348">
            <w:pPr>
              <w:pStyle w:val="Body"/>
              <w:spacing w:after="0"/>
              <w:rPr>
                <w:rFonts w:ascii="Arial" w:hAnsi="Arial" w:cs="Arial"/>
                <w:sz w:val="20"/>
              </w:rPr>
            </w:pPr>
            <w:r w:rsidRPr="00E83348">
              <w:rPr>
                <w:rFonts w:ascii="Arial" w:hAnsi="Arial" w:cs="Arial"/>
                <w:b/>
                <w:sz w:val="20"/>
              </w:rPr>
              <w:t>T3</w:t>
            </w:r>
          </w:p>
        </w:tc>
        <w:tc>
          <w:tcPr>
            <w:tcW w:w="804" w:type="dxa"/>
            <w:tcBorders>
              <w:top w:val="single" w:sz="4" w:space="0" w:color="auto"/>
              <w:bottom w:val="single" w:sz="4" w:space="0" w:color="auto"/>
            </w:tcBorders>
          </w:tcPr>
          <w:p w14:paraId="219BFD57" w14:textId="77777777" w:rsidR="00E83348" w:rsidRPr="00E83348" w:rsidRDefault="00E83348" w:rsidP="00E83348">
            <w:pPr>
              <w:pStyle w:val="Body"/>
              <w:spacing w:after="0"/>
              <w:rPr>
                <w:rFonts w:ascii="Arial" w:hAnsi="Arial" w:cs="Arial"/>
                <w:sz w:val="20"/>
              </w:rPr>
            </w:pPr>
            <w:r w:rsidRPr="00E83348">
              <w:rPr>
                <w:rFonts w:ascii="Arial" w:hAnsi="Arial" w:cs="Arial"/>
                <w:b/>
                <w:sz w:val="20"/>
              </w:rPr>
              <w:t>T4</w:t>
            </w:r>
          </w:p>
        </w:tc>
      </w:tr>
      <w:tr w:rsidR="00E83348" w:rsidRPr="00E83348" w14:paraId="4C5AFDCC" w14:textId="77777777" w:rsidTr="00E83348">
        <w:trPr>
          <w:trHeight w:val="116"/>
        </w:trPr>
        <w:tc>
          <w:tcPr>
            <w:tcW w:w="1824" w:type="dxa"/>
            <w:tcBorders>
              <w:top w:val="single" w:sz="4" w:space="0" w:color="auto"/>
            </w:tcBorders>
          </w:tcPr>
          <w:p w14:paraId="15A34657" w14:textId="77777777"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Protein </w:t>
            </w:r>
          </w:p>
        </w:tc>
        <w:tc>
          <w:tcPr>
            <w:tcW w:w="1863" w:type="dxa"/>
            <w:tcBorders>
              <w:top w:val="single" w:sz="4" w:space="0" w:color="auto"/>
            </w:tcBorders>
          </w:tcPr>
          <w:p w14:paraId="33CE2563" w14:textId="77777777" w:rsidR="00E83348" w:rsidRPr="00E83348" w:rsidRDefault="00E83348" w:rsidP="00E83348">
            <w:pPr>
              <w:pStyle w:val="Body"/>
              <w:spacing w:after="0"/>
              <w:rPr>
                <w:rFonts w:ascii="Arial" w:hAnsi="Arial" w:cs="Arial"/>
                <w:sz w:val="20"/>
              </w:rPr>
            </w:pPr>
            <w:r w:rsidRPr="00E83348">
              <w:rPr>
                <w:rFonts w:ascii="Arial" w:hAnsi="Arial" w:cs="Arial"/>
                <w:sz w:val="20"/>
              </w:rPr>
              <w:t>15.90±0.33</w:t>
            </w:r>
            <w:r w:rsidRPr="00E83348">
              <w:rPr>
                <w:rFonts w:ascii="Arial" w:hAnsi="Arial" w:cs="Arial"/>
                <w:sz w:val="20"/>
                <w:vertAlign w:val="superscript"/>
              </w:rPr>
              <w:t>c</w:t>
            </w:r>
          </w:p>
        </w:tc>
        <w:tc>
          <w:tcPr>
            <w:tcW w:w="1863" w:type="dxa"/>
            <w:tcBorders>
              <w:top w:val="single" w:sz="4" w:space="0" w:color="auto"/>
            </w:tcBorders>
          </w:tcPr>
          <w:p w14:paraId="067D2022" w14:textId="77777777" w:rsidR="00E83348" w:rsidRPr="00E83348" w:rsidRDefault="00E83348" w:rsidP="00E83348">
            <w:pPr>
              <w:pStyle w:val="Body"/>
              <w:spacing w:after="0"/>
              <w:rPr>
                <w:rFonts w:ascii="Arial" w:hAnsi="Arial" w:cs="Arial"/>
                <w:sz w:val="20"/>
              </w:rPr>
            </w:pPr>
            <w:r w:rsidRPr="00E83348">
              <w:rPr>
                <w:rFonts w:ascii="Arial" w:hAnsi="Arial" w:cs="Arial"/>
                <w:sz w:val="20"/>
              </w:rPr>
              <w:t>16.19±0.62</w:t>
            </w:r>
            <w:r w:rsidRPr="00E83348">
              <w:rPr>
                <w:rFonts w:ascii="Arial" w:hAnsi="Arial" w:cs="Arial"/>
                <w:sz w:val="20"/>
                <w:vertAlign w:val="superscript"/>
              </w:rPr>
              <w:t>bc</w:t>
            </w:r>
          </w:p>
        </w:tc>
        <w:tc>
          <w:tcPr>
            <w:tcW w:w="1863" w:type="dxa"/>
            <w:tcBorders>
              <w:top w:val="single" w:sz="4" w:space="0" w:color="auto"/>
            </w:tcBorders>
          </w:tcPr>
          <w:p w14:paraId="094671AD" w14:textId="77777777" w:rsidR="00E83348" w:rsidRPr="00E83348" w:rsidRDefault="00E83348" w:rsidP="00E83348">
            <w:pPr>
              <w:pStyle w:val="Body"/>
              <w:spacing w:after="0"/>
              <w:rPr>
                <w:rFonts w:ascii="Arial" w:hAnsi="Arial" w:cs="Arial"/>
                <w:sz w:val="20"/>
              </w:rPr>
            </w:pPr>
            <w:r w:rsidRPr="00E83348">
              <w:rPr>
                <w:rFonts w:ascii="Arial" w:hAnsi="Arial" w:cs="Arial"/>
                <w:sz w:val="20"/>
              </w:rPr>
              <w:t>16.91±0.47</w:t>
            </w:r>
            <w:r w:rsidRPr="00E83348">
              <w:rPr>
                <w:rFonts w:ascii="Arial" w:hAnsi="Arial" w:cs="Arial"/>
                <w:sz w:val="20"/>
                <w:vertAlign w:val="superscript"/>
              </w:rPr>
              <w:t>b</w:t>
            </w:r>
          </w:p>
        </w:tc>
        <w:tc>
          <w:tcPr>
            <w:tcW w:w="804" w:type="dxa"/>
            <w:tcBorders>
              <w:top w:val="single" w:sz="4" w:space="0" w:color="auto"/>
            </w:tcBorders>
          </w:tcPr>
          <w:p w14:paraId="6E83AB99" w14:textId="77777777" w:rsidR="00E83348" w:rsidRPr="00E83348" w:rsidRDefault="00E83348" w:rsidP="00E83348">
            <w:pPr>
              <w:pStyle w:val="Body"/>
              <w:spacing w:after="0"/>
              <w:rPr>
                <w:rFonts w:ascii="Arial" w:hAnsi="Arial" w:cs="Arial"/>
                <w:sz w:val="20"/>
              </w:rPr>
            </w:pPr>
            <w:r w:rsidRPr="00E83348">
              <w:rPr>
                <w:rFonts w:ascii="Arial" w:hAnsi="Arial" w:cs="Arial"/>
                <w:sz w:val="20"/>
              </w:rPr>
              <w:t>17.88±0.34</w:t>
            </w:r>
            <w:r w:rsidRPr="00E83348">
              <w:rPr>
                <w:rFonts w:ascii="Arial" w:hAnsi="Arial" w:cs="Arial"/>
                <w:sz w:val="20"/>
                <w:vertAlign w:val="superscript"/>
              </w:rPr>
              <w:t>a</w:t>
            </w:r>
          </w:p>
        </w:tc>
      </w:tr>
      <w:tr w:rsidR="00E83348" w:rsidRPr="00E83348" w14:paraId="0BB7BBE5" w14:textId="77777777" w:rsidTr="00E83348">
        <w:trPr>
          <w:trHeight w:val="42"/>
        </w:trPr>
        <w:tc>
          <w:tcPr>
            <w:tcW w:w="1824" w:type="dxa"/>
          </w:tcPr>
          <w:p w14:paraId="59C766A1" w14:textId="77777777"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Lipid </w:t>
            </w:r>
          </w:p>
        </w:tc>
        <w:tc>
          <w:tcPr>
            <w:tcW w:w="1863" w:type="dxa"/>
          </w:tcPr>
          <w:p w14:paraId="51B9216D" w14:textId="77777777" w:rsidR="00E83348" w:rsidRPr="00E83348" w:rsidRDefault="00E83348" w:rsidP="00E83348">
            <w:pPr>
              <w:pStyle w:val="Body"/>
              <w:spacing w:after="0"/>
              <w:rPr>
                <w:rFonts w:ascii="Arial" w:hAnsi="Arial" w:cs="Arial"/>
                <w:sz w:val="20"/>
              </w:rPr>
            </w:pPr>
            <w:r w:rsidRPr="00E83348">
              <w:rPr>
                <w:rFonts w:ascii="Arial" w:hAnsi="Arial" w:cs="Arial"/>
                <w:sz w:val="20"/>
              </w:rPr>
              <w:t>2.56±0.39</w:t>
            </w:r>
            <w:r w:rsidRPr="00E83348">
              <w:rPr>
                <w:rFonts w:ascii="Arial" w:hAnsi="Arial" w:cs="Arial"/>
                <w:sz w:val="20"/>
                <w:vertAlign w:val="superscript"/>
              </w:rPr>
              <w:t>b</w:t>
            </w:r>
          </w:p>
        </w:tc>
        <w:tc>
          <w:tcPr>
            <w:tcW w:w="1863" w:type="dxa"/>
          </w:tcPr>
          <w:p w14:paraId="464444DD" w14:textId="77777777" w:rsidR="00E83348" w:rsidRPr="00E83348" w:rsidRDefault="00E83348" w:rsidP="00E83348">
            <w:pPr>
              <w:pStyle w:val="Body"/>
              <w:spacing w:after="0"/>
              <w:rPr>
                <w:rFonts w:ascii="Arial" w:hAnsi="Arial" w:cs="Arial"/>
                <w:sz w:val="20"/>
              </w:rPr>
            </w:pPr>
            <w:r w:rsidRPr="00E83348">
              <w:rPr>
                <w:rFonts w:ascii="Arial" w:hAnsi="Arial" w:cs="Arial"/>
                <w:sz w:val="20"/>
              </w:rPr>
              <w:t>2.47±0.28</w:t>
            </w:r>
            <w:r w:rsidRPr="00E83348">
              <w:rPr>
                <w:rFonts w:ascii="Arial" w:hAnsi="Arial" w:cs="Arial"/>
                <w:sz w:val="20"/>
                <w:vertAlign w:val="superscript"/>
              </w:rPr>
              <w:t>b</w:t>
            </w:r>
          </w:p>
        </w:tc>
        <w:tc>
          <w:tcPr>
            <w:tcW w:w="1863" w:type="dxa"/>
          </w:tcPr>
          <w:p w14:paraId="4412AC33" w14:textId="77777777" w:rsidR="00E83348" w:rsidRPr="00E83348" w:rsidRDefault="00E83348" w:rsidP="00E83348">
            <w:pPr>
              <w:pStyle w:val="Body"/>
              <w:spacing w:after="0"/>
              <w:rPr>
                <w:rFonts w:ascii="Arial" w:hAnsi="Arial" w:cs="Arial"/>
                <w:sz w:val="20"/>
              </w:rPr>
            </w:pPr>
            <w:r w:rsidRPr="00E83348">
              <w:rPr>
                <w:rFonts w:ascii="Arial" w:hAnsi="Arial" w:cs="Arial"/>
                <w:sz w:val="20"/>
              </w:rPr>
              <w:t>3.08±0.31</w:t>
            </w:r>
            <w:r w:rsidRPr="00E83348">
              <w:rPr>
                <w:rFonts w:ascii="Arial" w:hAnsi="Arial" w:cs="Arial"/>
                <w:sz w:val="20"/>
                <w:vertAlign w:val="superscript"/>
              </w:rPr>
              <w:t>a</w:t>
            </w:r>
          </w:p>
        </w:tc>
        <w:tc>
          <w:tcPr>
            <w:tcW w:w="804" w:type="dxa"/>
          </w:tcPr>
          <w:p w14:paraId="1B64F92C" w14:textId="77777777" w:rsidR="00E83348" w:rsidRPr="00E83348" w:rsidRDefault="00E83348" w:rsidP="00E83348">
            <w:pPr>
              <w:pStyle w:val="Body"/>
              <w:spacing w:after="0"/>
              <w:rPr>
                <w:rFonts w:ascii="Arial" w:hAnsi="Arial" w:cs="Arial"/>
                <w:sz w:val="20"/>
              </w:rPr>
            </w:pPr>
            <w:r w:rsidRPr="00E83348">
              <w:rPr>
                <w:rFonts w:ascii="Arial" w:hAnsi="Arial" w:cs="Arial"/>
                <w:sz w:val="20"/>
              </w:rPr>
              <w:t>3.21±0.23</w:t>
            </w:r>
            <w:r w:rsidRPr="00E83348">
              <w:rPr>
                <w:rFonts w:ascii="Arial" w:hAnsi="Arial" w:cs="Arial"/>
                <w:sz w:val="20"/>
                <w:vertAlign w:val="superscript"/>
              </w:rPr>
              <w:t>a</w:t>
            </w:r>
          </w:p>
        </w:tc>
      </w:tr>
      <w:tr w:rsidR="00E83348" w:rsidRPr="00E83348" w14:paraId="4E86AA17" w14:textId="77777777" w:rsidTr="00E83348">
        <w:trPr>
          <w:trHeight w:val="42"/>
        </w:trPr>
        <w:tc>
          <w:tcPr>
            <w:tcW w:w="1824" w:type="dxa"/>
          </w:tcPr>
          <w:p w14:paraId="22AFE86E" w14:textId="77777777"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Carbohydrate </w:t>
            </w:r>
          </w:p>
        </w:tc>
        <w:tc>
          <w:tcPr>
            <w:tcW w:w="1863" w:type="dxa"/>
          </w:tcPr>
          <w:p w14:paraId="51748C31" w14:textId="77777777" w:rsidR="00E83348" w:rsidRPr="00E83348" w:rsidRDefault="00E83348" w:rsidP="00E83348">
            <w:pPr>
              <w:pStyle w:val="Body"/>
              <w:spacing w:after="0"/>
              <w:rPr>
                <w:rFonts w:ascii="Arial" w:hAnsi="Arial" w:cs="Arial"/>
                <w:sz w:val="20"/>
              </w:rPr>
            </w:pPr>
            <w:r w:rsidRPr="00E83348">
              <w:rPr>
                <w:rFonts w:ascii="Arial" w:hAnsi="Arial" w:cs="Arial"/>
                <w:sz w:val="20"/>
              </w:rPr>
              <w:t>1.88±0.32</w:t>
            </w:r>
            <w:r w:rsidRPr="00E83348">
              <w:rPr>
                <w:rFonts w:ascii="Arial" w:hAnsi="Arial" w:cs="Arial"/>
                <w:sz w:val="20"/>
                <w:vertAlign w:val="superscript"/>
              </w:rPr>
              <w:t xml:space="preserve"> b</w:t>
            </w:r>
          </w:p>
        </w:tc>
        <w:tc>
          <w:tcPr>
            <w:tcW w:w="1863" w:type="dxa"/>
          </w:tcPr>
          <w:p w14:paraId="7F331188" w14:textId="77777777" w:rsidR="00E83348" w:rsidRPr="00E83348" w:rsidRDefault="00E83348" w:rsidP="00E83348">
            <w:pPr>
              <w:pStyle w:val="Body"/>
              <w:spacing w:after="0"/>
              <w:rPr>
                <w:rFonts w:ascii="Arial" w:hAnsi="Arial" w:cs="Arial"/>
                <w:sz w:val="20"/>
              </w:rPr>
            </w:pPr>
            <w:r w:rsidRPr="00E83348">
              <w:rPr>
                <w:rFonts w:ascii="Arial" w:hAnsi="Arial" w:cs="Arial"/>
                <w:sz w:val="20"/>
              </w:rPr>
              <w:t>2.11±0.24</w:t>
            </w:r>
            <w:r w:rsidRPr="00E83348">
              <w:rPr>
                <w:rFonts w:ascii="Arial" w:hAnsi="Arial" w:cs="Arial"/>
                <w:sz w:val="20"/>
                <w:vertAlign w:val="superscript"/>
              </w:rPr>
              <w:t>b</w:t>
            </w:r>
          </w:p>
        </w:tc>
        <w:tc>
          <w:tcPr>
            <w:tcW w:w="1863" w:type="dxa"/>
          </w:tcPr>
          <w:p w14:paraId="65349786" w14:textId="77777777" w:rsidR="00E83348" w:rsidRPr="00E83348" w:rsidRDefault="00E83348" w:rsidP="00E83348">
            <w:pPr>
              <w:pStyle w:val="Body"/>
              <w:spacing w:after="0"/>
              <w:rPr>
                <w:rFonts w:ascii="Arial" w:hAnsi="Arial" w:cs="Arial"/>
                <w:sz w:val="20"/>
              </w:rPr>
            </w:pPr>
            <w:r w:rsidRPr="00E83348">
              <w:rPr>
                <w:rFonts w:ascii="Arial" w:hAnsi="Arial" w:cs="Arial"/>
                <w:sz w:val="20"/>
              </w:rPr>
              <w:t>2.44±0.27</w:t>
            </w:r>
            <w:r w:rsidRPr="00E83348">
              <w:rPr>
                <w:rFonts w:ascii="Arial" w:hAnsi="Arial" w:cs="Arial"/>
                <w:sz w:val="20"/>
                <w:vertAlign w:val="superscript"/>
              </w:rPr>
              <w:t>a</w:t>
            </w:r>
          </w:p>
        </w:tc>
        <w:tc>
          <w:tcPr>
            <w:tcW w:w="804" w:type="dxa"/>
          </w:tcPr>
          <w:p w14:paraId="2DA5D91B" w14:textId="77777777" w:rsidR="00E83348" w:rsidRPr="00E83348" w:rsidRDefault="00E83348" w:rsidP="00E83348">
            <w:pPr>
              <w:pStyle w:val="Body"/>
              <w:spacing w:after="0"/>
              <w:rPr>
                <w:rFonts w:ascii="Arial" w:hAnsi="Arial" w:cs="Arial"/>
                <w:sz w:val="20"/>
              </w:rPr>
            </w:pPr>
            <w:r w:rsidRPr="00E83348">
              <w:rPr>
                <w:rFonts w:ascii="Arial" w:hAnsi="Arial" w:cs="Arial"/>
                <w:sz w:val="20"/>
              </w:rPr>
              <w:t>2.66±0.23</w:t>
            </w:r>
            <w:r w:rsidRPr="00E83348">
              <w:rPr>
                <w:rFonts w:ascii="Arial" w:hAnsi="Arial" w:cs="Arial"/>
                <w:sz w:val="20"/>
                <w:vertAlign w:val="superscript"/>
              </w:rPr>
              <w:t>a</w:t>
            </w:r>
          </w:p>
        </w:tc>
      </w:tr>
      <w:tr w:rsidR="00E83348" w:rsidRPr="00E83348" w14:paraId="4DF64065" w14:textId="77777777" w:rsidTr="00E83348">
        <w:trPr>
          <w:trHeight w:val="42"/>
        </w:trPr>
        <w:tc>
          <w:tcPr>
            <w:tcW w:w="1824" w:type="dxa"/>
          </w:tcPr>
          <w:p w14:paraId="1F38008F" w14:textId="77777777"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Moisture </w:t>
            </w:r>
          </w:p>
        </w:tc>
        <w:tc>
          <w:tcPr>
            <w:tcW w:w="1863" w:type="dxa"/>
          </w:tcPr>
          <w:p w14:paraId="427A3D60" w14:textId="77777777" w:rsidR="00E83348" w:rsidRPr="00E83348" w:rsidRDefault="00E83348" w:rsidP="00E83348">
            <w:pPr>
              <w:pStyle w:val="Body"/>
              <w:spacing w:after="0"/>
              <w:rPr>
                <w:rFonts w:ascii="Arial" w:hAnsi="Arial" w:cs="Arial"/>
                <w:sz w:val="20"/>
              </w:rPr>
            </w:pPr>
            <w:r w:rsidRPr="00E83348">
              <w:rPr>
                <w:rFonts w:ascii="Arial" w:hAnsi="Arial" w:cs="Arial"/>
                <w:sz w:val="20"/>
              </w:rPr>
              <w:t>75.48±1.54</w:t>
            </w:r>
            <w:r w:rsidRPr="00E83348">
              <w:rPr>
                <w:rFonts w:ascii="Arial" w:hAnsi="Arial" w:cs="Arial"/>
                <w:sz w:val="20"/>
                <w:vertAlign w:val="superscript"/>
              </w:rPr>
              <w:t>a</w:t>
            </w:r>
          </w:p>
        </w:tc>
        <w:tc>
          <w:tcPr>
            <w:tcW w:w="1863" w:type="dxa"/>
          </w:tcPr>
          <w:p w14:paraId="66915407" w14:textId="77777777" w:rsidR="00E83348" w:rsidRPr="00E83348" w:rsidRDefault="00E83348" w:rsidP="00E83348">
            <w:pPr>
              <w:pStyle w:val="Body"/>
              <w:spacing w:after="0"/>
              <w:rPr>
                <w:rFonts w:ascii="Arial" w:hAnsi="Arial" w:cs="Arial"/>
                <w:sz w:val="20"/>
              </w:rPr>
            </w:pPr>
            <w:r w:rsidRPr="00E83348">
              <w:rPr>
                <w:rFonts w:ascii="Arial" w:hAnsi="Arial" w:cs="Arial"/>
                <w:sz w:val="20"/>
              </w:rPr>
              <w:t>75.37±1.39</w:t>
            </w:r>
            <w:r w:rsidRPr="00E83348">
              <w:rPr>
                <w:rFonts w:ascii="Arial" w:hAnsi="Arial" w:cs="Arial"/>
                <w:sz w:val="20"/>
                <w:vertAlign w:val="superscript"/>
              </w:rPr>
              <w:t xml:space="preserve"> a</w:t>
            </w:r>
          </w:p>
        </w:tc>
        <w:tc>
          <w:tcPr>
            <w:tcW w:w="1863" w:type="dxa"/>
          </w:tcPr>
          <w:p w14:paraId="70518DAC" w14:textId="77777777" w:rsidR="00E83348" w:rsidRPr="00E83348" w:rsidRDefault="00E83348" w:rsidP="00E83348">
            <w:pPr>
              <w:pStyle w:val="Body"/>
              <w:spacing w:after="0"/>
              <w:rPr>
                <w:rFonts w:ascii="Arial" w:hAnsi="Arial" w:cs="Arial"/>
                <w:sz w:val="20"/>
              </w:rPr>
            </w:pPr>
            <w:r w:rsidRPr="00E83348">
              <w:rPr>
                <w:rFonts w:ascii="Arial" w:hAnsi="Arial" w:cs="Arial"/>
                <w:sz w:val="20"/>
              </w:rPr>
              <w:t>74.19±1.86</w:t>
            </w:r>
            <w:r w:rsidRPr="00E83348">
              <w:rPr>
                <w:rFonts w:ascii="Arial" w:hAnsi="Arial" w:cs="Arial"/>
                <w:sz w:val="20"/>
                <w:vertAlign w:val="superscript"/>
              </w:rPr>
              <w:t>ab</w:t>
            </w:r>
          </w:p>
        </w:tc>
        <w:tc>
          <w:tcPr>
            <w:tcW w:w="804" w:type="dxa"/>
          </w:tcPr>
          <w:p w14:paraId="03B4E65D" w14:textId="77777777" w:rsidR="00E83348" w:rsidRPr="00E83348" w:rsidRDefault="00E83348" w:rsidP="00E83348">
            <w:pPr>
              <w:pStyle w:val="Body"/>
              <w:spacing w:after="0"/>
              <w:rPr>
                <w:rFonts w:ascii="Arial" w:hAnsi="Arial" w:cs="Arial"/>
                <w:sz w:val="20"/>
              </w:rPr>
            </w:pPr>
            <w:r w:rsidRPr="00E83348">
              <w:rPr>
                <w:rFonts w:ascii="Arial" w:hAnsi="Arial" w:cs="Arial"/>
                <w:sz w:val="20"/>
              </w:rPr>
              <w:t>73.25±1.21</w:t>
            </w:r>
            <w:r w:rsidRPr="00E83348">
              <w:rPr>
                <w:rFonts w:ascii="Arial" w:hAnsi="Arial" w:cs="Arial"/>
                <w:sz w:val="20"/>
                <w:vertAlign w:val="superscript"/>
              </w:rPr>
              <w:t>b</w:t>
            </w:r>
          </w:p>
        </w:tc>
      </w:tr>
      <w:tr w:rsidR="00E83348" w:rsidRPr="00E83348" w14:paraId="6E5F3730" w14:textId="77777777" w:rsidTr="00E83348">
        <w:trPr>
          <w:trHeight w:val="42"/>
        </w:trPr>
        <w:tc>
          <w:tcPr>
            <w:tcW w:w="1824" w:type="dxa"/>
            <w:tcBorders>
              <w:bottom w:val="single" w:sz="4" w:space="0" w:color="auto"/>
            </w:tcBorders>
          </w:tcPr>
          <w:p w14:paraId="7B114EE2" w14:textId="77777777"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Ash </w:t>
            </w:r>
          </w:p>
        </w:tc>
        <w:tc>
          <w:tcPr>
            <w:tcW w:w="1863" w:type="dxa"/>
            <w:tcBorders>
              <w:bottom w:val="single" w:sz="4" w:space="0" w:color="auto"/>
            </w:tcBorders>
          </w:tcPr>
          <w:p w14:paraId="620C3F64" w14:textId="77777777" w:rsidR="00E83348" w:rsidRPr="00E83348" w:rsidRDefault="00E83348" w:rsidP="00E83348">
            <w:pPr>
              <w:pStyle w:val="Body"/>
              <w:spacing w:after="0"/>
              <w:rPr>
                <w:rFonts w:ascii="Arial" w:hAnsi="Arial" w:cs="Arial"/>
                <w:sz w:val="20"/>
              </w:rPr>
            </w:pPr>
            <w:r w:rsidRPr="00E83348">
              <w:rPr>
                <w:rFonts w:ascii="Arial" w:hAnsi="Arial" w:cs="Arial"/>
                <w:sz w:val="20"/>
              </w:rPr>
              <w:t>1.82±0.07</w:t>
            </w:r>
            <w:r w:rsidRPr="00E83348">
              <w:rPr>
                <w:rFonts w:ascii="Arial" w:hAnsi="Arial" w:cs="Arial"/>
                <w:sz w:val="20"/>
                <w:vertAlign w:val="superscript"/>
              </w:rPr>
              <w:t>b</w:t>
            </w:r>
          </w:p>
        </w:tc>
        <w:tc>
          <w:tcPr>
            <w:tcW w:w="1863" w:type="dxa"/>
            <w:tcBorders>
              <w:bottom w:val="single" w:sz="4" w:space="0" w:color="auto"/>
            </w:tcBorders>
          </w:tcPr>
          <w:p w14:paraId="0AE8D2F2" w14:textId="77777777" w:rsidR="00E83348" w:rsidRPr="00E83348" w:rsidRDefault="00E83348" w:rsidP="00E83348">
            <w:pPr>
              <w:pStyle w:val="Body"/>
              <w:spacing w:after="0"/>
              <w:rPr>
                <w:rFonts w:ascii="Arial" w:hAnsi="Arial" w:cs="Arial"/>
                <w:sz w:val="20"/>
              </w:rPr>
            </w:pPr>
            <w:r w:rsidRPr="00E83348">
              <w:rPr>
                <w:rFonts w:ascii="Arial" w:hAnsi="Arial" w:cs="Arial"/>
                <w:sz w:val="20"/>
              </w:rPr>
              <w:t>1.89±0.14</w:t>
            </w:r>
            <w:r w:rsidRPr="00E83348">
              <w:rPr>
                <w:rFonts w:ascii="Arial" w:hAnsi="Arial" w:cs="Arial"/>
                <w:sz w:val="20"/>
                <w:vertAlign w:val="superscript"/>
              </w:rPr>
              <w:t>b</w:t>
            </w:r>
          </w:p>
        </w:tc>
        <w:tc>
          <w:tcPr>
            <w:tcW w:w="1863" w:type="dxa"/>
            <w:tcBorders>
              <w:bottom w:val="single" w:sz="4" w:space="0" w:color="auto"/>
            </w:tcBorders>
          </w:tcPr>
          <w:p w14:paraId="20F14BCF" w14:textId="77777777" w:rsidR="00E83348" w:rsidRPr="00E83348" w:rsidRDefault="00E83348" w:rsidP="00E83348">
            <w:pPr>
              <w:pStyle w:val="Body"/>
              <w:spacing w:after="0"/>
              <w:rPr>
                <w:rFonts w:ascii="Arial" w:hAnsi="Arial" w:cs="Arial"/>
                <w:sz w:val="20"/>
              </w:rPr>
            </w:pPr>
            <w:r w:rsidRPr="00E83348">
              <w:rPr>
                <w:rFonts w:ascii="Arial" w:hAnsi="Arial" w:cs="Arial"/>
                <w:sz w:val="20"/>
              </w:rPr>
              <w:t>2.23±0.12</w:t>
            </w:r>
            <w:r w:rsidRPr="00E83348">
              <w:rPr>
                <w:rFonts w:ascii="Arial" w:hAnsi="Arial" w:cs="Arial"/>
                <w:sz w:val="20"/>
                <w:vertAlign w:val="superscript"/>
              </w:rPr>
              <w:t>a</w:t>
            </w:r>
          </w:p>
        </w:tc>
        <w:tc>
          <w:tcPr>
            <w:tcW w:w="804" w:type="dxa"/>
            <w:tcBorders>
              <w:bottom w:val="single" w:sz="4" w:space="0" w:color="auto"/>
            </w:tcBorders>
          </w:tcPr>
          <w:p w14:paraId="63F5F906" w14:textId="77777777" w:rsidR="00E83348" w:rsidRPr="00E83348" w:rsidRDefault="00E83348" w:rsidP="00E83348">
            <w:pPr>
              <w:pStyle w:val="Body"/>
              <w:spacing w:after="0"/>
              <w:rPr>
                <w:rFonts w:ascii="Arial" w:hAnsi="Arial" w:cs="Arial"/>
                <w:sz w:val="20"/>
              </w:rPr>
            </w:pPr>
            <w:r w:rsidRPr="00E83348">
              <w:rPr>
                <w:rFonts w:ascii="Arial" w:hAnsi="Arial" w:cs="Arial"/>
                <w:sz w:val="20"/>
              </w:rPr>
              <w:t>2.31±0.09</w:t>
            </w:r>
            <w:r w:rsidRPr="00E83348">
              <w:rPr>
                <w:rFonts w:ascii="Arial" w:hAnsi="Arial" w:cs="Arial"/>
                <w:sz w:val="20"/>
                <w:vertAlign w:val="superscript"/>
              </w:rPr>
              <w:t>a</w:t>
            </w:r>
          </w:p>
        </w:tc>
      </w:tr>
    </w:tbl>
    <w:p w14:paraId="0056875F" w14:textId="2DE4A2F0" w:rsidR="00455653" w:rsidRPr="00455653" w:rsidRDefault="00E83348" w:rsidP="00375045">
      <w:pPr>
        <w:pStyle w:val="Body"/>
        <w:rPr>
          <w:rFonts w:ascii="Arial" w:hAnsi="Arial" w:cs="Arial"/>
          <w:i/>
          <w:sz w:val="18"/>
          <w:szCs w:val="18"/>
        </w:rPr>
      </w:pPr>
      <w:r w:rsidRPr="00E83348">
        <w:rPr>
          <w:rFonts w:ascii="Arial" w:hAnsi="Arial" w:cs="Arial"/>
          <w:i/>
          <w:sz w:val="18"/>
          <w:szCs w:val="18"/>
        </w:rPr>
        <w:t>* T1 designated the fish fed feed without enzyme, whereas T2, T3, and T4 designated the fish fed feed with Aquazyme at 2.0, 4.0, and 6.0g.kg</w:t>
      </w:r>
      <w:r w:rsidRPr="00E83348">
        <w:rPr>
          <w:rFonts w:ascii="Arial" w:hAnsi="Arial" w:cs="Arial"/>
          <w:i/>
          <w:sz w:val="18"/>
          <w:szCs w:val="18"/>
          <w:vertAlign w:val="superscript"/>
        </w:rPr>
        <w:t>-1</w:t>
      </w:r>
      <w:r w:rsidRPr="00E83348">
        <w:rPr>
          <w:rFonts w:ascii="Arial" w:hAnsi="Arial" w:cs="Arial"/>
          <w:i/>
          <w:sz w:val="18"/>
          <w:szCs w:val="18"/>
        </w:rPr>
        <w:t xml:space="preserve">, respectively. Values with different superscripts in the same row are significantly different (P&lt;0.05). </w:t>
      </w:r>
    </w:p>
    <w:p w14:paraId="53E96633" w14:textId="77777777" w:rsidR="00375045" w:rsidRDefault="00375045" w:rsidP="00BA1CA6">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375045">
        <w:rPr>
          <w:rFonts w:ascii="Arial" w:hAnsi="Arial" w:cs="Arial"/>
          <w:b/>
          <w:bCs/>
          <w:sz w:val="22"/>
          <w:szCs w:val="22"/>
        </w:rPr>
        <w:t xml:space="preserve">Palatability of </w:t>
      </w:r>
      <w:r>
        <w:rPr>
          <w:rFonts w:ascii="Arial" w:hAnsi="Arial" w:cs="Arial"/>
          <w:b/>
          <w:bCs/>
          <w:sz w:val="22"/>
          <w:szCs w:val="22"/>
        </w:rPr>
        <w:t>C</w:t>
      </w:r>
      <w:r w:rsidRPr="00375045">
        <w:rPr>
          <w:rFonts w:ascii="Arial" w:hAnsi="Arial" w:cs="Arial"/>
          <w:b/>
          <w:bCs/>
          <w:sz w:val="22"/>
          <w:szCs w:val="22"/>
        </w:rPr>
        <w:t xml:space="preserve">ooked </w:t>
      </w:r>
      <w:r>
        <w:rPr>
          <w:rFonts w:ascii="Arial" w:hAnsi="Arial" w:cs="Arial"/>
          <w:b/>
          <w:bCs/>
          <w:sz w:val="22"/>
          <w:szCs w:val="22"/>
        </w:rPr>
        <w:t>F</w:t>
      </w:r>
      <w:r w:rsidRPr="00375045">
        <w:rPr>
          <w:rFonts w:ascii="Arial" w:hAnsi="Arial" w:cs="Arial"/>
          <w:b/>
          <w:bCs/>
          <w:sz w:val="22"/>
          <w:szCs w:val="22"/>
        </w:rPr>
        <w:t xml:space="preserve">ish </w:t>
      </w:r>
      <w:r>
        <w:rPr>
          <w:rFonts w:ascii="Arial" w:hAnsi="Arial" w:cs="Arial"/>
          <w:b/>
          <w:bCs/>
          <w:sz w:val="22"/>
          <w:szCs w:val="22"/>
        </w:rPr>
        <w:t>F</w:t>
      </w:r>
      <w:r w:rsidRPr="00375045">
        <w:rPr>
          <w:rFonts w:ascii="Arial" w:hAnsi="Arial" w:cs="Arial"/>
          <w:b/>
          <w:bCs/>
          <w:sz w:val="22"/>
          <w:szCs w:val="22"/>
        </w:rPr>
        <w:t xml:space="preserve">lesh  </w:t>
      </w:r>
      <w:r>
        <w:rPr>
          <w:rFonts w:ascii="Arial" w:hAnsi="Arial" w:cs="Arial"/>
          <w:b/>
          <w:caps/>
          <w:sz w:val="22"/>
        </w:rPr>
        <w:t xml:space="preserve"> </w:t>
      </w:r>
    </w:p>
    <w:p w14:paraId="45E37A58" w14:textId="77777777" w:rsidR="0086499E" w:rsidRDefault="0086499E" w:rsidP="00BA1CA6">
      <w:pPr>
        <w:pStyle w:val="Body"/>
        <w:spacing w:after="0"/>
        <w:rPr>
          <w:rFonts w:ascii="Arial" w:hAnsi="Arial" w:cs="Arial"/>
          <w:b/>
          <w:caps/>
          <w:sz w:val="22"/>
        </w:rPr>
      </w:pPr>
    </w:p>
    <w:p w14:paraId="6908C9AB" w14:textId="3076AD76" w:rsidR="00375045" w:rsidRPr="00375045" w:rsidRDefault="00375045" w:rsidP="00BA1CA6">
      <w:pPr>
        <w:pStyle w:val="Body"/>
        <w:spacing w:after="120"/>
        <w:rPr>
          <w:rFonts w:ascii="Arial" w:hAnsi="Arial" w:cs="Arial"/>
          <w:b/>
          <w:caps/>
          <w:sz w:val="22"/>
        </w:rPr>
      </w:pPr>
      <w:r w:rsidRPr="00375045">
        <w:rPr>
          <w:rFonts w:ascii="Arial" w:hAnsi="Arial" w:cs="Arial"/>
        </w:rPr>
        <w:t>The palatability of the cooked fish flesh was assessed by obtaining the organoleptic sensory scores from the selected panel of consumers, and the summarized scores are shown in Table 6. There was no significant difference in the three palatability attributes of the test fish flesh among the four treatments, although the fish flesh from T4 had relatively higher total scores for the three organoleptic attributes, followed by the fish flesh from T3, T2, and T1.</w:t>
      </w:r>
    </w:p>
    <w:p w14:paraId="59B7448C" w14:textId="06C66104" w:rsidR="00375045" w:rsidRPr="00375045" w:rsidRDefault="00375045" w:rsidP="00BA1CA6">
      <w:pPr>
        <w:pStyle w:val="Body"/>
        <w:spacing w:after="120"/>
        <w:rPr>
          <w:rFonts w:ascii="Arial" w:hAnsi="Arial" w:cs="Arial"/>
        </w:rPr>
      </w:pPr>
      <w:r w:rsidRPr="00375045">
        <w:rPr>
          <w:rFonts w:ascii="Arial" w:hAnsi="Arial" w:cs="Arial"/>
          <w:b/>
        </w:rPr>
        <w:t>Table 6</w:t>
      </w:r>
      <w:r>
        <w:rPr>
          <w:rFonts w:ascii="Arial" w:hAnsi="Arial" w:cs="Arial"/>
          <w:b/>
        </w:rPr>
        <w:t>.</w:t>
      </w:r>
      <w:r w:rsidRPr="00375045">
        <w:rPr>
          <w:rFonts w:ascii="Arial" w:hAnsi="Arial" w:cs="Arial"/>
          <w:b/>
        </w:rPr>
        <w:t xml:space="preserve"> </w:t>
      </w:r>
      <w:r w:rsidRPr="00375045">
        <w:rPr>
          <w:rFonts w:ascii="Arial" w:hAnsi="Arial" w:cs="Arial"/>
          <w:b/>
          <w:bCs/>
        </w:rPr>
        <w:t xml:space="preserve">Organoleptic test scores for </w:t>
      </w:r>
      <w:r w:rsidR="00E0040F">
        <w:rPr>
          <w:rFonts w:ascii="Arial" w:hAnsi="Arial" w:cs="Arial"/>
          <w:b/>
          <w:bCs/>
        </w:rPr>
        <w:t xml:space="preserve">the </w:t>
      </w:r>
      <w:r w:rsidRPr="00375045">
        <w:rPr>
          <w:rFonts w:ascii="Arial" w:hAnsi="Arial" w:cs="Arial"/>
          <w:b/>
          <w:bCs/>
        </w:rPr>
        <w:t xml:space="preserve">cooked flesh of the test fish </w:t>
      </w: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1294"/>
        <w:gridCol w:w="1418"/>
        <w:gridCol w:w="1417"/>
        <w:gridCol w:w="1418"/>
      </w:tblGrid>
      <w:tr w:rsidR="00375045" w:rsidRPr="00375045" w14:paraId="66D6F814" w14:textId="77777777" w:rsidTr="00375045">
        <w:trPr>
          <w:trHeight w:val="209"/>
          <w:jc w:val="center"/>
        </w:trPr>
        <w:tc>
          <w:tcPr>
            <w:tcW w:w="2675" w:type="dxa"/>
            <w:vMerge w:val="restart"/>
            <w:tcBorders>
              <w:top w:val="single" w:sz="4" w:space="0" w:color="auto"/>
            </w:tcBorders>
            <w:vAlign w:val="center"/>
          </w:tcPr>
          <w:p w14:paraId="66CD96A2" w14:textId="77777777" w:rsidR="00375045" w:rsidRPr="00375045" w:rsidRDefault="00375045" w:rsidP="00375045">
            <w:pPr>
              <w:pStyle w:val="Body"/>
              <w:spacing w:after="0"/>
              <w:rPr>
                <w:rFonts w:ascii="Arial" w:hAnsi="Arial" w:cs="Arial"/>
                <w:b/>
                <w:sz w:val="20"/>
              </w:rPr>
            </w:pPr>
            <w:r w:rsidRPr="00375045">
              <w:rPr>
                <w:rFonts w:ascii="Arial" w:hAnsi="Arial" w:cs="Arial"/>
                <w:b/>
                <w:sz w:val="20"/>
              </w:rPr>
              <w:t>Organoleptic attributes</w:t>
            </w:r>
          </w:p>
        </w:tc>
        <w:tc>
          <w:tcPr>
            <w:tcW w:w="5547" w:type="dxa"/>
            <w:gridSpan w:val="4"/>
            <w:tcBorders>
              <w:top w:val="single" w:sz="4" w:space="0" w:color="auto"/>
              <w:bottom w:val="single" w:sz="4" w:space="0" w:color="auto"/>
            </w:tcBorders>
          </w:tcPr>
          <w:p w14:paraId="7818B4A4" w14:textId="621B11AC" w:rsidR="00375045" w:rsidRPr="00375045" w:rsidRDefault="00375045" w:rsidP="00375045">
            <w:pPr>
              <w:pStyle w:val="Body"/>
              <w:spacing w:after="0"/>
              <w:rPr>
                <w:rFonts w:ascii="Arial" w:hAnsi="Arial" w:cs="Arial"/>
                <w:sz w:val="20"/>
              </w:rPr>
            </w:pPr>
            <w:r w:rsidRPr="00375045">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375045" w:rsidRPr="00375045" w14:paraId="2FC4FE4D" w14:textId="77777777" w:rsidTr="00375045">
        <w:trPr>
          <w:trHeight w:val="158"/>
          <w:jc w:val="center"/>
        </w:trPr>
        <w:tc>
          <w:tcPr>
            <w:tcW w:w="2675" w:type="dxa"/>
            <w:vMerge/>
            <w:tcBorders>
              <w:bottom w:val="single" w:sz="4" w:space="0" w:color="auto"/>
            </w:tcBorders>
          </w:tcPr>
          <w:p w14:paraId="5FF804E2" w14:textId="77777777" w:rsidR="00375045" w:rsidRPr="00375045" w:rsidRDefault="00375045" w:rsidP="00375045">
            <w:pPr>
              <w:pStyle w:val="Body"/>
              <w:spacing w:after="0"/>
              <w:rPr>
                <w:rFonts w:ascii="Arial" w:hAnsi="Arial" w:cs="Arial"/>
                <w:sz w:val="20"/>
              </w:rPr>
            </w:pPr>
          </w:p>
        </w:tc>
        <w:tc>
          <w:tcPr>
            <w:tcW w:w="1294" w:type="dxa"/>
            <w:tcBorders>
              <w:top w:val="single" w:sz="4" w:space="0" w:color="auto"/>
              <w:bottom w:val="single" w:sz="4" w:space="0" w:color="auto"/>
            </w:tcBorders>
          </w:tcPr>
          <w:p w14:paraId="48E04857" w14:textId="77777777" w:rsidR="00375045" w:rsidRPr="00375045" w:rsidRDefault="00375045" w:rsidP="00375045">
            <w:pPr>
              <w:pStyle w:val="Body"/>
              <w:spacing w:after="0"/>
              <w:rPr>
                <w:rFonts w:ascii="Arial" w:hAnsi="Arial" w:cs="Arial"/>
                <w:sz w:val="20"/>
              </w:rPr>
            </w:pPr>
            <w:r w:rsidRPr="00375045">
              <w:rPr>
                <w:rFonts w:ascii="Arial" w:hAnsi="Arial" w:cs="Arial"/>
                <w:b/>
                <w:sz w:val="20"/>
              </w:rPr>
              <w:t>T1</w:t>
            </w:r>
          </w:p>
        </w:tc>
        <w:tc>
          <w:tcPr>
            <w:tcW w:w="1418" w:type="dxa"/>
            <w:tcBorders>
              <w:top w:val="single" w:sz="4" w:space="0" w:color="auto"/>
              <w:bottom w:val="single" w:sz="4" w:space="0" w:color="auto"/>
            </w:tcBorders>
          </w:tcPr>
          <w:p w14:paraId="5F43FD35" w14:textId="77777777" w:rsidR="00375045" w:rsidRPr="00375045" w:rsidRDefault="00375045" w:rsidP="00375045">
            <w:pPr>
              <w:pStyle w:val="Body"/>
              <w:spacing w:after="0"/>
              <w:rPr>
                <w:rFonts w:ascii="Arial" w:hAnsi="Arial" w:cs="Arial"/>
                <w:sz w:val="20"/>
              </w:rPr>
            </w:pPr>
            <w:r w:rsidRPr="00375045">
              <w:rPr>
                <w:rFonts w:ascii="Arial" w:hAnsi="Arial" w:cs="Arial"/>
                <w:b/>
                <w:sz w:val="20"/>
              </w:rPr>
              <w:t>T2</w:t>
            </w:r>
          </w:p>
        </w:tc>
        <w:tc>
          <w:tcPr>
            <w:tcW w:w="1417" w:type="dxa"/>
            <w:tcBorders>
              <w:top w:val="single" w:sz="4" w:space="0" w:color="auto"/>
              <w:bottom w:val="single" w:sz="4" w:space="0" w:color="auto"/>
            </w:tcBorders>
          </w:tcPr>
          <w:p w14:paraId="4E55BEA8" w14:textId="77777777" w:rsidR="00375045" w:rsidRPr="00375045" w:rsidRDefault="00375045" w:rsidP="00375045">
            <w:pPr>
              <w:pStyle w:val="Body"/>
              <w:spacing w:after="0"/>
              <w:rPr>
                <w:rFonts w:ascii="Arial" w:hAnsi="Arial" w:cs="Arial"/>
                <w:sz w:val="20"/>
              </w:rPr>
            </w:pPr>
            <w:r w:rsidRPr="00375045">
              <w:rPr>
                <w:rFonts w:ascii="Arial" w:hAnsi="Arial" w:cs="Arial"/>
                <w:b/>
                <w:sz w:val="20"/>
              </w:rPr>
              <w:t>T3</w:t>
            </w:r>
          </w:p>
        </w:tc>
        <w:tc>
          <w:tcPr>
            <w:tcW w:w="1418" w:type="dxa"/>
            <w:tcBorders>
              <w:top w:val="single" w:sz="4" w:space="0" w:color="auto"/>
              <w:bottom w:val="single" w:sz="4" w:space="0" w:color="auto"/>
            </w:tcBorders>
          </w:tcPr>
          <w:p w14:paraId="4A801C28" w14:textId="77777777" w:rsidR="00375045" w:rsidRPr="00375045" w:rsidRDefault="00375045" w:rsidP="00375045">
            <w:pPr>
              <w:pStyle w:val="Body"/>
              <w:spacing w:after="0"/>
              <w:rPr>
                <w:rFonts w:ascii="Arial" w:hAnsi="Arial" w:cs="Arial"/>
                <w:sz w:val="20"/>
              </w:rPr>
            </w:pPr>
            <w:r w:rsidRPr="00375045">
              <w:rPr>
                <w:rFonts w:ascii="Arial" w:hAnsi="Arial" w:cs="Arial"/>
                <w:b/>
                <w:sz w:val="20"/>
              </w:rPr>
              <w:t>T4</w:t>
            </w:r>
          </w:p>
        </w:tc>
      </w:tr>
      <w:tr w:rsidR="00375045" w:rsidRPr="00375045" w14:paraId="7167D916" w14:textId="77777777" w:rsidTr="00375045">
        <w:trPr>
          <w:trHeight w:val="44"/>
          <w:jc w:val="center"/>
        </w:trPr>
        <w:tc>
          <w:tcPr>
            <w:tcW w:w="2675" w:type="dxa"/>
            <w:tcBorders>
              <w:top w:val="single" w:sz="4" w:space="0" w:color="auto"/>
            </w:tcBorders>
          </w:tcPr>
          <w:p w14:paraId="335CACA9" w14:textId="77777777" w:rsidR="00375045" w:rsidRPr="00375045" w:rsidRDefault="00375045" w:rsidP="00375045">
            <w:pPr>
              <w:pStyle w:val="Body"/>
              <w:spacing w:after="0"/>
              <w:rPr>
                <w:rFonts w:ascii="Arial" w:hAnsi="Arial" w:cs="Arial"/>
                <w:sz w:val="20"/>
              </w:rPr>
            </w:pPr>
            <w:r w:rsidRPr="00375045">
              <w:rPr>
                <w:rFonts w:ascii="Arial" w:hAnsi="Arial" w:cs="Arial"/>
                <w:sz w:val="20"/>
              </w:rPr>
              <w:t>Flavor</w:t>
            </w:r>
          </w:p>
        </w:tc>
        <w:tc>
          <w:tcPr>
            <w:tcW w:w="1294" w:type="dxa"/>
            <w:tcBorders>
              <w:top w:val="single" w:sz="4" w:space="0" w:color="auto"/>
            </w:tcBorders>
          </w:tcPr>
          <w:p w14:paraId="05589D53" w14:textId="77777777" w:rsidR="00375045" w:rsidRPr="00375045" w:rsidRDefault="00375045" w:rsidP="00375045">
            <w:pPr>
              <w:pStyle w:val="Body"/>
              <w:spacing w:after="0"/>
              <w:rPr>
                <w:rFonts w:ascii="Arial" w:hAnsi="Arial" w:cs="Arial"/>
                <w:sz w:val="20"/>
              </w:rPr>
            </w:pPr>
            <w:r w:rsidRPr="00375045">
              <w:rPr>
                <w:rFonts w:ascii="Arial" w:hAnsi="Arial" w:cs="Arial"/>
                <w:sz w:val="20"/>
              </w:rPr>
              <w:t>7.35±0.88</w:t>
            </w:r>
            <w:r w:rsidRPr="00375045">
              <w:rPr>
                <w:rFonts w:ascii="Arial" w:hAnsi="Arial" w:cs="Arial"/>
                <w:sz w:val="20"/>
                <w:vertAlign w:val="superscript"/>
              </w:rPr>
              <w:t>a</w:t>
            </w:r>
          </w:p>
        </w:tc>
        <w:tc>
          <w:tcPr>
            <w:tcW w:w="1418" w:type="dxa"/>
            <w:tcBorders>
              <w:top w:val="single" w:sz="4" w:space="0" w:color="auto"/>
            </w:tcBorders>
          </w:tcPr>
          <w:p w14:paraId="33982908" w14:textId="77777777" w:rsidR="00375045" w:rsidRPr="00375045" w:rsidRDefault="00375045" w:rsidP="00375045">
            <w:pPr>
              <w:pStyle w:val="Body"/>
              <w:spacing w:after="0"/>
              <w:rPr>
                <w:rFonts w:ascii="Arial" w:hAnsi="Arial" w:cs="Arial"/>
                <w:sz w:val="20"/>
              </w:rPr>
            </w:pPr>
            <w:r w:rsidRPr="00375045">
              <w:rPr>
                <w:rFonts w:ascii="Arial" w:hAnsi="Arial" w:cs="Arial"/>
                <w:sz w:val="20"/>
              </w:rPr>
              <w:t>7.43±0.77</w:t>
            </w:r>
            <w:r w:rsidRPr="00375045">
              <w:rPr>
                <w:rFonts w:ascii="Arial" w:hAnsi="Arial" w:cs="Arial"/>
                <w:sz w:val="20"/>
                <w:vertAlign w:val="superscript"/>
              </w:rPr>
              <w:t>a</w:t>
            </w:r>
          </w:p>
        </w:tc>
        <w:tc>
          <w:tcPr>
            <w:tcW w:w="1417" w:type="dxa"/>
            <w:tcBorders>
              <w:top w:val="single" w:sz="4" w:space="0" w:color="auto"/>
            </w:tcBorders>
          </w:tcPr>
          <w:p w14:paraId="6F6AF45D" w14:textId="77777777" w:rsidR="00375045" w:rsidRPr="00375045" w:rsidRDefault="00375045" w:rsidP="00375045">
            <w:pPr>
              <w:pStyle w:val="Body"/>
              <w:spacing w:after="0"/>
              <w:rPr>
                <w:rFonts w:ascii="Arial" w:hAnsi="Arial" w:cs="Arial"/>
                <w:sz w:val="20"/>
              </w:rPr>
            </w:pPr>
            <w:r w:rsidRPr="00375045">
              <w:rPr>
                <w:rFonts w:ascii="Arial" w:hAnsi="Arial" w:cs="Arial"/>
                <w:sz w:val="20"/>
              </w:rPr>
              <w:t>7.55±0.82</w:t>
            </w:r>
            <w:r w:rsidRPr="00375045">
              <w:rPr>
                <w:rFonts w:ascii="Arial" w:hAnsi="Arial" w:cs="Arial"/>
                <w:sz w:val="20"/>
                <w:vertAlign w:val="superscript"/>
              </w:rPr>
              <w:t>a</w:t>
            </w:r>
          </w:p>
        </w:tc>
        <w:tc>
          <w:tcPr>
            <w:tcW w:w="1418" w:type="dxa"/>
            <w:tcBorders>
              <w:top w:val="single" w:sz="4" w:space="0" w:color="auto"/>
            </w:tcBorders>
          </w:tcPr>
          <w:p w14:paraId="752D9987" w14:textId="77777777" w:rsidR="00375045" w:rsidRPr="00375045" w:rsidRDefault="00375045" w:rsidP="00375045">
            <w:pPr>
              <w:pStyle w:val="Body"/>
              <w:spacing w:after="0"/>
              <w:rPr>
                <w:rFonts w:ascii="Arial" w:hAnsi="Arial" w:cs="Arial"/>
                <w:sz w:val="20"/>
              </w:rPr>
            </w:pPr>
            <w:r w:rsidRPr="00375045">
              <w:rPr>
                <w:rFonts w:ascii="Arial" w:hAnsi="Arial" w:cs="Arial"/>
                <w:sz w:val="20"/>
              </w:rPr>
              <w:t>7.63±0.84</w:t>
            </w:r>
            <w:r w:rsidRPr="00375045">
              <w:rPr>
                <w:rFonts w:ascii="Arial" w:hAnsi="Arial" w:cs="Arial"/>
                <w:sz w:val="20"/>
                <w:vertAlign w:val="superscript"/>
              </w:rPr>
              <w:t>a</w:t>
            </w:r>
          </w:p>
        </w:tc>
      </w:tr>
      <w:tr w:rsidR="00375045" w:rsidRPr="00375045" w14:paraId="077C3AE7" w14:textId="77777777" w:rsidTr="00375045">
        <w:trPr>
          <w:trHeight w:val="59"/>
          <w:jc w:val="center"/>
        </w:trPr>
        <w:tc>
          <w:tcPr>
            <w:tcW w:w="2675" w:type="dxa"/>
          </w:tcPr>
          <w:p w14:paraId="38000360" w14:textId="77777777" w:rsidR="00375045" w:rsidRPr="00375045" w:rsidRDefault="00375045" w:rsidP="00375045">
            <w:pPr>
              <w:pStyle w:val="Body"/>
              <w:spacing w:after="0"/>
              <w:rPr>
                <w:rFonts w:ascii="Arial" w:hAnsi="Arial" w:cs="Arial"/>
                <w:sz w:val="20"/>
              </w:rPr>
            </w:pPr>
            <w:r w:rsidRPr="00375045">
              <w:rPr>
                <w:rFonts w:ascii="Arial" w:hAnsi="Arial" w:cs="Arial"/>
                <w:sz w:val="20"/>
              </w:rPr>
              <w:t>Taste</w:t>
            </w:r>
          </w:p>
        </w:tc>
        <w:tc>
          <w:tcPr>
            <w:tcW w:w="1294" w:type="dxa"/>
          </w:tcPr>
          <w:p w14:paraId="738E4061" w14:textId="77777777" w:rsidR="00375045" w:rsidRPr="00375045" w:rsidRDefault="00375045" w:rsidP="00375045">
            <w:pPr>
              <w:pStyle w:val="Body"/>
              <w:spacing w:after="0"/>
              <w:rPr>
                <w:rFonts w:ascii="Arial" w:hAnsi="Arial" w:cs="Arial"/>
                <w:sz w:val="20"/>
              </w:rPr>
            </w:pPr>
            <w:r w:rsidRPr="00375045">
              <w:rPr>
                <w:rFonts w:ascii="Arial" w:hAnsi="Arial" w:cs="Arial"/>
                <w:sz w:val="20"/>
              </w:rPr>
              <w:t>7.41±0.92</w:t>
            </w:r>
            <w:r w:rsidRPr="00375045">
              <w:rPr>
                <w:rFonts w:ascii="Arial" w:hAnsi="Arial" w:cs="Arial"/>
                <w:sz w:val="20"/>
                <w:vertAlign w:val="superscript"/>
              </w:rPr>
              <w:t>a</w:t>
            </w:r>
          </w:p>
        </w:tc>
        <w:tc>
          <w:tcPr>
            <w:tcW w:w="1418" w:type="dxa"/>
          </w:tcPr>
          <w:p w14:paraId="3348C685" w14:textId="77777777" w:rsidR="00375045" w:rsidRPr="00375045" w:rsidRDefault="00375045" w:rsidP="00375045">
            <w:pPr>
              <w:pStyle w:val="Body"/>
              <w:spacing w:after="0"/>
              <w:rPr>
                <w:rFonts w:ascii="Arial" w:hAnsi="Arial" w:cs="Arial"/>
                <w:sz w:val="20"/>
              </w:rPr>
            </w:pPr>
            <w:r w:rsidRPr="00375045">
              <w:rPr>
                <w:rFonts w:ascii="Arial" w:hAnsi="Arial" w:cs="Arial"/>
                <w:sz w:val="20"/>
              </w:rPr>
              <w:t>7.53±0.65</w:t>
            </w:r>
          </w:p>
        </w:tc>
        <w:tc>
          <w:tcPr>
            <w:tcW w:w="1417" w:type="dxa"/>
          </w:tcPr>
          <w:p w14:paraId="09F4AAC5" w14:textId="77777777" w:rsidR="00375045" w:rsidRPr="00375045" w:rsidRDefault="00375045" w:rsidP="00375045">
            <w:pPr>
              <w:pStyle w:val="Body"/>
              <w:spacing w:after="0"/>
              <w:rPr>
                <w:rFonts w:ascii="Arial" w:hAnsi="Arial" w:cs="Arial"/>
                <w:sz w:val="20"/>
              </w:rPr>
            </w:pPr>
            <w:r w:rsidRPr="00375045">
              <w:rPr>
                <w:rFonts w:ascii="Arial" w:hAnsi="Arial" w:cs="Arial"/>
                <w:sz w:val="20"/>
              </w:rPr>
              <w:t>7.49±0.84</w:t>
            </w:r>
            <w:r w:rsidRPr="00375045">
              <w:rPr>
                <w:rFonts w:ascii="Arial" w:hAnsi="Arial" w:cs="Arial"/>
                <w:sz w:val="20"/>
                <w:vertAlign w:val="superscript"/>
              </w:rPr>
              <w:t>a</w:t>
            </w:r>
          </w:p>
        </w:tc>
        <w:tc>
          <w:tcPr>
            <w:tcW w:w="1418" w:type="dxa"/>
          </w:tcPr>
          <w:p w14:paraId="0A4801DD" w14:textId="77777777" w:rsidR="00375045" w:rsidRPr="00375045" w:rsidRDefault="00375045" w:rsidP="00375045">
            <w:pPr>
              <w:pStyle w:val="Body"/>
              <w:spacing w:after="0"/>
              <w:rPr>
                <w:rFonts w:ascii="Arial" w:hAnsi="Arial" w:cs="Arial"/>
                <w:sz w:val="20"/>
              </w:rPr>
            </w:pPr>
            <w:r w:rsidRPr="00375045">
              <w:rPr>
                <w:rFonts w:ascii="Arial" w:hAnsi="Arial" w:cs="Arial"/>
                <w:sz w:val="20"/>
              </w:rPr>
              <w:t>7.69±0.85</w:t>
            </w:r>
            <w:r w:rsidRPr="00375045">
              <w:rPr>
                <w:rFonts w:ascii="Arial" w:hAnsi="Arial" w:cs="Arial"/>
                <w:sz w:val="20"/>
                <w:vertAlign w:val="superscript"/>
              </w:rPr>
              <w:t>a</w:t>
            </w:r>
          </w:p>
        </w:tc>
      </w:tr>
      <w:tr w:rsidR="00375045" w:rsidRPr="00375045" w14:paraId="5F62A24F" w14:textId="77777777" w:rsidTr="00375045">
        <w:trPr>
          <w:trHeight w:val="54"/>
          <w:jc w:val="center"/>
        </w:trPr>
        <w:tc>
          <w:tcPr>
            <w:tcW w:w="2675" w:type="dxa"/>
          </w:tcPr>
          <w:p w14:paraId="43EC6B90" w14:textId="77777777" w:rsidR="00375045" w:rsidRPr="00375045" w:rsidRDefault="00375045" w:rsidP="00375045">
            <w:pPr>
              <w:pStyle w:val="Body"/>
              <w:spacing w:after="0"/>
              <w:rPr>
                <w:rFonts w:ascii="Arial" w:hAnsi="Arial" w:cs="Arial"/>
                <w:sz w:val="20"/>
              </w:rPr>
            </w:pPr>
            <w:r w:rsidRPr="00375045">
              <w:rPr>
                <w:rFonts w:ascii="Arial" w:hAnsi="Arial" w:cs="Arial"/>
                <w:sz w:val="20"/>
              </w:rPr>
              <w:t>Texture</w:t>
            </w:r>
          </w:p>
        </w:tc>
        <w:tc>
          <w:tcPr>
            <w:tcW w:w="1294" w:type="dxa"/>
          </w:tcPr>
          <w:p w14:paraId="5FE73D44" w14:textId="77777777" w:rsidR="00375045" w:rsidRPr="00375045" w:rsidRDefault="00375045" w:rsidP="00375045">
            <w:pPr>
              <w:pStyle w:val="Body"/>
              <w:spacing w:after="0"/>
              <w:rPr>
                <w:rFonts w:ascii="Arial" w:hAnsi="Arial" w:cs="Arial"/>
                <w:sz w:val="20"/>
              </w:rPr>
            </w:pPr>
            <w:r w:rsidRPr="00375045">
              <w:rPr>
                <w:rFonts w:ascii="Arial" w:hAnsi="Arial" w:cs="Arial"/>
                <w:sz w:val="20"/>
              </w:rPr>
              <w:t>7.23±0.74</w:t>
            </w:r>
            <w:r w:rsidRPr="00375045">
              <w:rPr>
                <w:rFonts w:ascii="Arial" w:hAnsi="Arial" w:cs="Arial"/>
                <w:sz w:val="20"/>
                <w:vertAlign w:val="superscript"/>
              </w:rPr>
              <w:t>a</w:t>
            </w:r>
          </w:p>
        </w:tc>
        <w:tc>
          <w:tcPr>
            <w:tcW w:w="1418" w:type="dxa"/>
          </w:tcPr>
          <w:p w14:paraId="45263E42" w14:textId="77777777" w:rsidR="00375045" w:rsidRPr="00375045" w:rsidRDefault="00375045" w:rsidP="00375045">
            <w:pPr>
              <w:pStyle w:val="Body"/>
              <w:spacing w:after="0"/>
              <w:rPr>
                <w:rFonts w:ascii="Arial" w:hAnsi="Arial" w:cs="Arial"/>
                <w:sz w:val="20"/>
              </w:rPr>
            </w:pPr>
            <w:r w:rsidRPr="00375045">
              <w:rPr>
                <w:rFonts w:ascii="Arial" w:hAnsi="Arial" w:cs="Arial"/>
                <w:sz w:val="20"/>
              </w:rPr>
              <w:t>7.37±0.67</w:t>
            </w:r>
            <w:r w:rsidRPr="00375045">
              <w:rPr>
                <w:rFonts w:ascii="Arial" w:hAnsi="Arial" w:cs="Arial"/>
                <w:sz w:val="20"/>
                <w:vertAlign w:val="superscript"/>
              </w:rPr>
              <w:t>a</w:t>
            </w:r>
          </w:p>
        </w:tc>
        <w:tc>
          <w:tcPr>
            <w:tcW w:w="1417" w:type="dxa"/>
          </w:tcPr>
          <w:p w14:paraId="672F3AAC" w14:textId="77777777" w:rsidR="00375045" w:rsidRPr="00375045" w:rsidRDefault="00375045" w:rsidP="00375045">
            <w:pPr>
              <w:pStyle w:val="Body"/>
              <w:spacing w:after="0"/>
              <w:rPr>
                <w:rFonts w:ascii="Arial" w:hAnsi="Arial" w:cs="Arial"/>
                <w:sz w:val="20"/>
              </w:rPr>
            </w:pPr>
            <w:r w:rsidRPr="00375045">
              <w:rPr>
                <w:rFonts w:ascii="Arial" w:hAnsi="Arial" w:cs="Arial"/>
                <w:sz w:val="20"/>
              </w:rPr>
              <w:t>7.37±0.79</w:t>
            </w:r>
            <w:r w:rsidRPr="00375045">
              <w:rPr>
                <w:rFonts w:ascii="Arial" w:hAnsi="Arial" w:cs="Arial"/>
                <w:sz w:val="20"/>
                <w:vertAlign w:val="superscript"/>
              </w:rPr>
              <w:t>a</w:t>
            </w:r>
          </w:p>
        </w:tc>
        <w:tc>
          <w:tcPr>
            <w:tcW w:w="1418" w:type="dxa"/>
          </w:tcPr>
          <w:p w14:paraId="19EACA61" w14:textId="77777777" w:rsidR="00375045" w:rsidRPr="00375045" w:rsidRDefault="00375045" w:rsidP="00375045">
            <w:pPr>
              <w:pStyle w:val="Body"/>
              <w:spacing w:after="0"/>
              <w:rPr>
                <w:rFonts w:ascii="Arial" w:hAnsi="Arial" w:cs="Arial"/>
                <w:sz w:val="20"/>
              </w:rPr>
            </w:pPr>
            <w:r w:rsidRPr="00375045">
              <w:rPr>
                <w:rFonts w:ascii="Arial" w:hAnsi="Arial" w:cs="Arial"/>
                <w:sz w:val="20"/>
              </w:rPr>
              <w:t>7.61±0.70</w:t>
            </w:r>
            <w:r w:rsidRPr="00375045">
              <w:rPr>
                <w:rFonts w:ascii="Arial" w:hAnsi="Arial" w:cs="Arial"/>
                <w:sz w:val="20"/>
                <w:vertAlign w:val="superscript"/>
              </w:rPr>
              <w:t>a</w:t>
            </w:r>
          </w:p>
        </w:tc>
      </w:tr>
      <w:tr w:rsidR="00375045" w:rsidRPr="00375045" w14:paraId="7A603F87" w14:textId="77777777" w:rsidTr="00375045">
        <w:trPr>
          <w:trHeight w:val="54"/>
          <w:jc w:val="center"/>
        </w:trPr>
        <w:tc>
          <w:tcPr>
            <w:tcW w:w="2675" w:type="dxa"/>
            <w:tcBorders>
              <w:bottom w:val="single" w:sz="4" w:space="0" w:color="auto"/>
            </w:tcBorders>
          </w:tcPr>
          <w:p w14:paraId="65F99DF1" w14:textId="77777777" w:rsidR="00375045" w:rsidRPr="00375045" w:rsidRDefault="00375045" w:rsidP="00375045">
            <w:pPr>
              <w:pStyle w:val="Body"/>
              <w:spacing w:after="0"/>
              <w:rPr>
                <w:rFonts w:ascii="Arial" w:hAnsi="Arial" w:cs="Arial"/>
                <w:sz w:val="20"/>
              </w:rPr>
            </w:pPr>
            <w:r w:rsidRPr="00375045">
              <w:rPr>
                <w:rFonts w:ascii="Arial" w:hAnsi="Arial" w:cs="Arial"/>
                <w:sz w:val="20"/>
              </w:rPr>
              <w:t>Total score</w:t>
            </w:r>
          </w:p>
        </w:tc>
        <w:tc>
          <w:tcPr>
            <w:tcW w:w="1294" w:type="dxa"/>
            <w:tcBorders>
              <w:bottom w:val="single" w:sz="4" w:space="0" w:color="auto"/>
            </w:tcBorders>
          </w:tcPr>
          <w:p w14:paraId="342D204F" w14:textId="77777777" w:rsidR="00375045" w:rsidRPr="00375045" w:rsidRDefault="00375045" w:rsidP="00375045">
            <w:pPr>
              <w:pStyle w:val="Body"/>
              <w:spacing w:after="0"/>
              <w:rPr>
                <w:rFonts w:ascii="Arial" w:hAnsi="Arial" w:cs="Arial"/>
                <w:sz w:val="20"/>
              </w:rPr>
            </w:pPr>
            <w:r w:rsidRPr="00375045">
              <w:rPr>
                <w:rFonts w:ascii="Arial" w:hAnsi="Arial" w:cs="Arial"/>
                <w:sz w:val="20"/>
              </w:rPr>
              <w:t>21.99±0.52</w:t>
            </w:r>
            <w:r w:rsidRPr="00375045">
              <w:rPr>
                <w:rFonts w:ascii="Arial" w:hAnsi="Arial" w:cs="Arial"/>
                <w:sz w:val="20"/>
                <w:vertAlign w:val="superscript"/>
              </w:rPr>
              <w:t>a</w:t>
            </w:r>
          </w:p>
        </w:tc>
        <w:tc>
          <w:tcPr>
            <w:tcW w:w="1418" w:type="dxa"/>
            <w:tcBorders>
              <w:bottom w:val="single" w:sz="4" w:space="0" w:color="auto"/>
            </w:tcBorders>
          </w:tcPr>
          <w:p w14:paraId="423D56E8" w14:textId="77777777" w:rsidR="00375045" w:rsidRPr="00375045" w:rsidRDefault="00375045" w:rsidP="00375045">
            <w:pPr>
              <w:pStyle w:val="Body"/>
              <w:spacing w:after="0"/>
              <w:rPr>
                <w:rFonts w:ascii="Arial" w:hAnsi="Arial" w:cs="Arial"/>
                <w:sz w:val="20"/>
              </w:rPr>
            </w:pPr>
            <w:r w:rsidRPr="00375045">
              <w:rPr>
                <w:rFonts w:ascii="Arial" w:hAnsi="Arial" w:cs="Arial"/>
                <w:sz w:val="20"/>
              </w:rPr>
              <w:t>22.33±0.68</w:t>
            </w:r>
            <w:r w:rsidRPr="00375045">
              <w:rPr>
                <w:rFonts w:ascii="Arial" w:hAnsi="Arial" w:cs="Arial"/>
                <w:sz w:val="20"/>
                <w:vertAlign w:val="superscript"/>
              </w:rPr>
              <w:t>a</w:t>
            </w:r>
          </w:p>
        </w:tc>
        <w:tc>
          <w:tcPr>
            <w:tcW w:w="1417" w:type="dxa"/>
            <w:tcBorders>
              <w:bottom w:val="single" w:sz="4" w:space="0" w:color="auto"/>
            </w:tcBorders>
          </w:tcPr>
          <w:p w14:paraId="463BE4D0" w14:textId="77777777" w:rsidR="00375045" w:rsidRPr="00375045" w:rsidRDefault="00375045" w:rsidP="00375045">
            <w:pPr>
              <w:pStyle w:val="Body"/>
              <w:spacing w:after="0"/>
              <w:rPr>
                <w:rFonts w:ascii="Arial" w:hAnsi="Arial" w:cs="Arial"/>
                <w:sz w:val="20"/>
              </w:rPr>
            </w:pPr>
            <w:r w:rsidRPr="00375045">
              <w:rPr>
                <w:rFonts w:ascii="Arial" w:hAnsi="Arial" w:cs="Arial"/>
                <w:sz w:val="20"/>
              </w:rPr>
              <w:t>22.41±0.80</w:t>
            </w:r>
            <w:r w:rsidRPr="00375045">
              <w:rPr>
                <w:rFonts w:ascii="Arial" w:hAnsi="Arial" w:cs="Arial"/>
                <w:sz w:val="20"/>
                <w:vertAlign w:val="superscript"/>
              </w:rPr>
              <w:t>a</w:t>
            </w:r>
          </w:p>
        </w:tc>
        <w:tc>
          <w:tcPr>
            <w:tcW w:w="1418" w:type="dxa"/>
            <w:tcBorders>
              <w:bottom w:val="single" w:sz="4" w:space="0" w:color="auto"/>
            </w:tcBorders>
          </w:tcPr>
          <w:p w14:paraId="02C5D3F0" w14:textId="77777777" w:rsidR="00375045" w:rsidRPr="00375045" w:rsidRDefault="00375045" w:rsidP="00375045">
            <w:pPr>
              <w:pStyle w:val="Body"/>
              <w:spacing w:after="0"/>
              <w:rPr>
                <w:rFonts w:ascii="Arial" w:hAnsi="Arial" w:cs="Arial"/>
                <w:sz w:val="20"/>
              </w:rPr>
            </w:pPr>
            <w:r w:rsidRPr="00375045">
              <w:rPr>
                <w:rFonts w:ascii="Arial" w:hAnsi="Arial" w:cs="Arial"/>
                <w:sz w:val="20"/>
              </w:rPr>
              <w:t>22.93±0.42</w:t>
            </w:r>
            <w:r w:rsidRPr="00375045">
              <w:rPr>
                <w:rFonts w:ascii="Arial" w:hAnsi="Arial" w:cs="Arial"/>
                <w:sz w:val="20"/>
                <w:vertAlign w:val="superscript"/>
              </w:rPr>
              <w:t>a</w:t>
            </w:r>
          </w:p>
        </w:tc>
      </w:tr>
    </w:tbl>
    <w:p w14:paraId="597217BA" w14:textId="77777777" w:rsidR="00375045" w:rsidRPr="00375045" w:rsidRDefault="00375045" w:rsidP="00375045">
      <w:pPr>
        <w:pStyle w:val="Body"/>
        <w:rPr>
          <w:rFonts w:ascii="Arial" w:hAnsi="Arial" w:cs="Arial"/>
          <w:i/>
          <w:sz w:val="18"/>
          <w:szCs w:val="18"/>
        </w:rPr>
      </w:pPr>
      <w:bookmarkStart w:id="1" w:name="_Hlk217936677"/>
      <w:r w:rsidRPr="00375045">
        <w:rPr>
          <w:rFonts w:ascii="Arial" w:hAnsi="Arial" w:cs="Arial"/>
          <w:i/>
          <w:sz w:val="18"/>
          <w:szCs w:val="18"/>
        </w:rPr>
        <w:t>*T1 designated the fish fed feed without enzyme, whereas T2, T3, and T4 designated the fish fed feed with Aquazyme at 2.0, 4.0, and 6.0g.kg</w:t>
      </w:r>
      <w:r w:rsidRPr="00375045">
        <w:rPr>
          <w:rFonts w:ascii="Arial" w:hAnsi="Arial" w:cs="Arial"/>
          <w:i/>
          <w:sz w:val="18"/>
          <w:szCs w:val="18"/>
          <w:vertAlign w:val="superscript"/>
        </w:rPr>
        <w:t>-1</w:t>
      </w:r>
      <w:r w:rsidRPr="00375045">
        <w:rPr>
          <w:rFonts w:ascii="Arial" w:hAnsi="Arial" w:cs="Arial"/>
          <w:i/>
          <w:sz w:val="18"/>
          <w:szCs w:val="18"/>
        </w:rPr>
        <w:t xml:space="preserve">, respectively. Values with the same superscripts in the same row are not significantly different (P&gt;0.05). </w:t>
      </w:r>
    </w:p>
    <w:bookmarkEnd w:id="1"/>
    <w:p w14:paraId="6667F6FA" w14:textId="77777777" w:rsidR="00E053D0" w:rsidRDefault="00E053D0" w:rsidP="00441B6F">
      <w:pPr>
        <w:pStyle w:val="Body"/>
        <w:spacing w:after="0"/>
        <w:rPr>
          <w:rFonts w:ascii="Arial" w:hAnsi="Arial" w:cs="Arial"/>
        </w:rPr>
      </w:pPr>
    </w:p>
    <w:p w14:paraId="67FB45D2" w14:textId="08C98690" w:rsidR="00455653" w:rsidRDefault="00000F8F" w:rsidP="00441B6F">
      <w:pPr>
        <w:pStyle w:val="ConcHead"/>
        <w:spacing w:after="0"/>
        <w:jc w:val="both"/>
        <w:rPr>
          <w:rFonts w:ascii="Arial" w:hAnsi="Arial" w:cs="Arial"/>
        </w:rPr>
      </w:pPr>
      <w:r>
        <w:rPr>
          <w:rFonts w:ascii="Arial" w:hAnsi="Arial" w:cs="Arial"/>
        </w:rPr>
        <w:lastRenderedPageBreak/>
        <w:t xml:space="preserve">4. </w:t>
      </w:r>
      <w:r w:rsidR="00455653">
        <w:rPr>
          <w:rFonts w:ascii="Arial" w:hAnsi="Arial" w:cs="Arial"/>
        </w:rPr>
        <w:t>Discussion</w:t>
      </w:r>
    </w:p>
    <w:p w14:paraId="02451AF6" w14:textId="77777777" w:rsidR="00790ADA" w:rsidRPr="00FB3A86" w:rsidRDefault="00790ADA" w:rsidP="00441B6F">
      <w:pPr>
        <w:pStyle w:val="ConcHead"/>
        <w:spacing w:after="0"/>
        <w:jc w:val="both"/>
        <w:rPr>
          <w:rFonts w:ascii="Arial" w:hAnsi="Arial" w:cs="Arial"/>
        </w:rPr>
      </w:pPr>
    </w:p>
    <w:p w14:paraId="67C1E78C" w14:textId="1A562ED9" w:rsidR="00C670F8" w:rsidRDefault="00C670F8" w:rsidP="00441B6F">
      <w:pPr>
        <w:pStyle w:val="Body"/>
        <w:spacing w:after="0"/>
        <w:rPr>
          <w:rFonts w:ascii="Arial" w:hAnsi="Arial" w:cs="Arial"/>
          <w:b/>
          <w:bCs/>
          <w:sz w:val="22"/>
          <w:szCs w:val="22"/>
        </w:rPr>
      </w:pPr>
      <w:r>
        <w:rPr>
          <w:rFonts w:ascii="Arial" w:hAnsi="Arial" w:cs="Arial"/>
          <w:b/>
          <w:caps/>
          <w:sz w:val="22"/>
        </w:rPr>
        <w:t>4.</w:t>
      </w:r>
      <w:r w:rsidRPr="00C30A0F">
        <w:rPr>
          <w:rFonts w:ascii="Arial" w:hAnsi="Arial" w:cs="Arial"/>
          <w:b/>
          <w:caps/>
          <w:sz w:val="22"/>
        </w:rPr>
        <w:t xml:space="preserve">1 </w:t>
      </w:r>
      <w:r w:rsidRPr="00E83348">
        <w:rPr>
          <w:rFonts w:ascii="Arial" w:hAnsi="Arial" w:cs="Arial"/>
          <w:b/>
          <w:bCs/>
          <w:sz w:val="22"/>
          <w:szCs w:val="22"/>
        </w:rPr>
        <w:t xml:space="preserve">Growth </w:t>
      </w:r>
      <w:r>
        <w:rPr>
          <w:rFonts w:ascii="Arial" w:hAnsi="Arial" w:cs="Arial"/>
          <w:b/>
          <w:bCs/>
          <w:sz w:val="22"/>
          <w:szCs w:val="22"/>
        </w:rPr>
        <w:t>P</w:t>
      </w:r>
      <w:r w:rsidRPr="00E83348">
        <w:rPr>
          <w:rFonts w:ascii="Arial" w:hAnsi="Arial" w:cs="Arial"/>
          <w:b/>
          <w:bCs/>
          <w:sz w:val="22"/>
          <w:szCs w:val="22"/>
        </w:rPr>
        <w:t xml:space="preserve">erformance and </w:t>
      </w:r>
      <w:r>
        <w:rPr>
          <w:rFonts w:ascii="Arial" w:hAnsi="Arial" w:cs="Arial"/>
          <w:b/>
          <w:bCs/>
          <w:sz w:val="22"/>
          <w:szCs w:val="22"/>
        </w:rPr>
        <w:t>F</w:t>
      </w:r>
      <w:r w:rsidRPr="00E83348">
        <w:rPr>
          <w:rFonts w:ascii="Arial" w:hAnsi="Arial" w:cs="Arial"/>
          <w:b/>
          <w:bCs/>
          <w:sz w:val="22"/>
          <w:szCs w:val="22"/>
        </w:rPr>
        <w:t xml:space="preserve">eed </w:t>
      </w:r>
      <w:r>
        <w:rPr>
          <w:rFonts w:ascii="Arial" w:hAnsi="Arial" w:cs="Arial"/>
          <w:b/>
          <w:bCs/>
          <w:sz w:val="22"/>
          <w:szCs w:val="22"/>
        </w:rPr>
        <w:t>U</w:t>
      </w:r>
      <w:r w:rsidRPr="00E83348">
        <w:rPr>
          <w:rFonts w:ascii="Arial" w:hAnsi="Arial" w:cs="Arial"/>
          <w:b/>
          <w:bCs/>
          <w:sz w:val="22"/>
          <w:szCs w:val="22"/>
        </w:rPr>
        <w:t xml:space="preserve">tilization of the </w:t>
      </w:r>
      <w:r>
        <w:rPr>
          <w:rFonts w:ascii="Arial" w:hAnsi="Arial" w:cs="Arial"/>
          <w:b/>
          <w:bCs/>
          <w:sz w:val="22"/>
          <w:szCs w:val="22"/>
        </w:rPr>
        <w:t>T</w:t>
      </w:r>
      <w:r w:rsidRPr="00E83348">
        <w:rPr>
          <w:rFonts w:ascii="Arial" w:hAnsi="Arial" w:cs="Arial"/>
          <w:b/>
          <w:bCs/>
          <w:sz w:val="22"/>
          <w:szCs w:val="22"/>
        </w:rPr>
        <w:t xml:space="preserve">est </w:t>
      </w:r>
      <w:r>
        <w:rPr>
          <w:rFonts w:ascii="Arial" w:hAnsi="Arial" w:cs="Arial"/>
          <w:b/>
          <w:bCs/>
          <w:sz w:val="22"/>
          <w:szCs w:val="22"/>
        </w:rPr>
        <w:t>F</w:t>
      </w:r>
      <w:r w:rsidRPr="00E83348">
        <w:rPr>
          <w:rFonts w:ascii="Arial" w:hAnsi="Arial" w:cs="Arial"/>
          <w:b/>
          <w:bCs/>
          <w:sz w:val="22"/>
          <w:szCs w:val="22"/>
        </w:rPr>
        <w:t>ish</w:t>
      </w:r>
    </w:p>
    <w:p w14:paraId="4891DB3A" w14:textId="77777777" w:rsidR="00AA2435" w:rsidRDefault="00AA2435" w:rsidP="00441B6F">
      <w:pPr>
        <w:pStyle w:val="Body"/>
        <w:spacing w:after="0"/>
        <w:rPr>
          <w:rFonts w:ascii="Arial" w:hAnsi="Arial" w:cs="Arial"/>
          <w:b/>
          <w:bCs/>
          <w:sz w:val="22"/>
          <w:szCs w:val="22"/>
        </w:rPr>
      </w:pPr>
    </w:p>
    <w:p w14:paraId="6BC7422D" w14:textId="0D3FA19E" w:rsidR="00C670F8" w:rsidRDefault="00C670F8" w:rsidP="00441B6F">
      <w:pPr>
        <w:pStyle w:val="Body"/>
        <w:spacing w:after="0"/>
        <w:rPr>
          <w:rFonts w:ascii="Arial" w:hAnsi="Arial" w:cs="Arial"/>
        </w:rPr>
      </w:pPr>
      <w:r w:rsidRPr="00C670F8">
        <w:rPr>
          <w:rFonts w:ascii="Arial" w:hAnsi="Arial" w:cs="Arial"/>
        </w:rPr>
        <w:t xml:space="preserve">By adding different amounts of exogenous enzymes to experimental diets, the growth performance and feed utilization of </w:t>
      </w:r>
      <w:r w:rsidRPr="00E0040F">
        <w:rPr>
          <w:rFonts w:ascii="Arial" w:hAnsi="Arial" w:cs="Arial"/>
          <w:i/>
          <w:iCs/>
        </w:rPr>
        <w:t>C</w:t>
      </w:r>
      <w:r w:rsidRPr="00C670F8">
        <w:rPr>
          <w:rFonts w:ascii="Arial" w:hAnsi="Arial" w:cs="Arial"/>
        </w:rPr>
        <w:t xml:space="preserve">. </w:t>
      </w:r>
      <w:proofErr w:type="spellStart"/>
      <w:r w:rsidRPr="00E0040F">
        <w:rPr>
          <w:rFonts w:ascii="Arial" w:hAnsi="Arial" w:cs="Arial"/>
          <w:i/>
          <w:iCs/>
        </w:rPr>
        <w:t>catla</w:t>
      </w:r>
      <w:proofErr w:type="spellEnd"/>
      <w:r w:rsidRPr="00C670F8">
        <w:rPr>
          <w:rFonts w:ascii="Arial" w:hAnsi="Arial" w:cs="Arial"/>
        </w:rPr>
        <w:t xml:space="preserve"> </w:t>
      </w:r>
      <w:r w:rsidR="00A073AC" w:rsidRPr="00E83348">
        <w:rPr>
          <w:rFonts w:ascii="Arial" w:hAnsi="Arial" w:cs="Arial"/>
        </w:rPr>
        <w:t>were</w:t>
      </w:r>
      <w:r w:rsidR="00A073AC" w:rsidRPr="00C670F8">
        <w:rPr>
          <w:rFonts w:ascii="Arial" w:hAnsi="Arial" w:cs="Arial"/>
        </w:rPr>
        <w:t xml:space="preserve"> </w:t>
      </w:r>
      <w:r w:rsidRPr="00C670F8">
        <w:rPr>
          <w:rFonts w:ascii="Arial" w:hAnsi="Arial" w:cs="Arial"/>
        </w:rPr>
        <w:t xml:space="preserve">superior to that of the control group. According to the study's results, the fish fed feed containing </w:t>
      </w:r>
      <w:r w:rsidR="00A073AC" w:rsidRPr="00A073AC">
        <w:rPr>
          <w:rFonts w:ascii="Arial" w:hAnsi="Arial" w:cs="Arial"/>
          <w:sz w:val="18"/>
          <w:szCs w:val="18"/>
        </w:rPr>
        <w:t>6.0g.kg</w:t>
      </w:r>
      <w:r w:rsidR="00A073AC" w:rsidRPr="00A073AC">
        <w:rPr>
          <w:rFonts w:ascii="Arial" w:hAnsi="Arial" w:cs="Arial"/>
          <w:sz w:val="18"/>
          <w:szCs w:val="18"/>
          <w:vertAlign w:val="superscript"/>
        </w:rPr>
        <w:t>-</w:t>
      </w:r>
      <w:r w:rsidR="00A073AC" w:rsidRPr="00375045">
        <w:rPr>
          <w:rFonts w:ascii="Arial" w:hAnsi="Arial" w:cs="Arial"/>
          <w:i/>
          <w:sz w:val="18"/>
          <w:szCs w:val="18"/>
          <w:vertAlign w:val="superscript"/>
        </w:rPr>
        <w:t>1</w:t>
      </w:r>
      <w:r w:rsidR="00A073AC" w:rsidRPr="00C670F8">
        <w:rPr>
          <w:rFonts w:ascii="Arial" w:hAnsi="Arial" w:cs="Arial"/>
        </w:rPr>
        <w:t xml:space="preserve"> of </w:t>
      </w:r>
      <w:r w:rsidRPr="00C670F8">
        <w:rPr>
          <w:rFonts w:ascii="Arial" w:hAnsi="Arial" w:cs="Arial"/>
        </w:rPr>
        <w:t xml:space="preserve">exogenous enzymes (T4) had the highest MWG, SGR, and lowest FCR, whereas the fish fed no exogenous enzymes (T1) had the lowest MWG, SGR, and highest feed conversion ratio, followed by T2, T3, and T4. The results closely matched those of Monier et al. (2022), who revealed that </w:t>
      </w:r>
      <w:r w:rsidRPr="00E0040F">
        <w:rPr>
          <w:rFonts w:ascii="Arial" w:hAnsi="Arial" w:cs="Arial"/>
          <w:i/>
          <w:iCs/>
        </w:rPr>
        <w:t>C</w:t>
      </w:r>
      <w:r w:rsidR="00E0040F">
        <w:rPr>
          <w:rFonts w:ascii="Arial" w:hAnsi="Arial" w:cs="Arial"/>
        </w:rPr>
        <w:t>.</w:t>
      </w:r>
      <w:r w:rsidRPr="00C670F8">
        <w:rPr>
          <w:rFonts w:ascii="Arial" w:hAnsi="Arial" w:cs="Arial"/>
        </w:rPr>
        <w:t xml:space="preserve"> </w:t>
      </w:r>
      <w:r w:rsidRPr="00E0040F">
        <w:rPr>
          <w:rFonts w:ascii="Arial" w:hAnsi="Arial" w:cs="Arial"/>
          <w:i/>
          <w:iCs/>
        </w:rPr>
        <w:t>carpio</w:t>
      </w:r>
      <w:r w:rsidRPr="00C670F8">
        <w:rPr>
          <w:rFonts w:ascii="Arial" w:hAnsi="Arial" w:cs="Arial"/>
        </w:rPr>
        <w:t xml:space="preserve"> fed an exogenous enzyme diet gained noticeably better growth and FCR value than those fed an enzyme-free control diet. Similar to the present findings, Adeoye et al. (2016) reported improved growth in exogenous enzyme-supplemented Nile tilapia than the control group.</w:t>
      </w:r>
      <w:r w:rsidR="00E0040F">
        <w:rPr>
          <w:rFonts w:ascii="Arial" w:hAnsi="Arial" w:cs="Arial"/>
        </w:rPr>
        <w:t xml:space="preserve"> </w:t>
      </w:r>
      <w:r w:rsidRPr="00C670F8">
        <w:rPr>
          <w:rFonts w:ascii="Arial" w:hAnsi="Arial" w:cs="Arial"/>
        </w:rPr>
        <w:t xml:space="preserve">According to </w:t>
      </w:r>
      <w:proofErr w:type="spellStart"/>
      <w:r w:rsidRPr="00C670F8">
        <w:rPr>
          <w:rFonts w:ascii="Arial" w:hAnsi="Arial" w:cs="Arial"/>
        </w:rPr>
        <w:t>Hlophe</w:t>
      </w:r>
      <w:r w:rsidRPr="00C670F8">
        <w:rPr>
          <w:rFonts w:ascii="Cambria Math" w:hAnsi="Cambria Math" w:cs="Cambria Math"/>
        </w:rPr>
        <w:t>‐</w:t>
      </w:r>
      <w:r w:rsidRPr="00C670F8">
        <w:rPr>
          <w:rFonts w:ascii="Arial" w:hAnsi="Arial" w:cs="Arial"/>
        </w:rPr>
        <w:t>Ginindza</w:t>
      </w:r>
      <w:proofErr w:type="spellEnd"/>
      <w:r w:rsidRPr="00C670F8">
        <w:rPr>
          <w:rFonts w:ascii="Arial" w:hAnsi="Arial" w:cs="Arial"/>
        </w:rPr>
        <w:t xml:space="preserve"> et al. (2016), </w:t>
      </w:r>
      <w:r w:rsidRPr="00E0040F">
        <w:rPr>
          <w:rFonts w:ascii="Arial" w:hAnsi="Arial" w:cs="Arial"/>
          <w:i/>
          <w:iCs/>
        </w:rPr>
        <w:t>O</w:t>
      </w:r>
      <w:r w:rsidRPr="00C670F8">
        <w:rPr>
          <w:rFonts w:ascii="Arial" w:hAnsi="Arial" w:cs="Arial"/>
        </w:rPr>
        <w:t xml:space="preserve">. </w:t>
      </w:r>
      <w:r w:rsidRPr="00E0040F">
        <w:rPr>
          <w:rFonts w:ascii="Arial" w:hAnsi="Arial" w:cs="Arial"/>
          <w:i/>
          <w:iCs/>
        </w:rPr>
        <w:t>mossambicus</w:t>
      </w:r>
      <w:r w:rsidRPr="00C670F8">
        <w:rPr>
          <w:rFonts w:ascii="Arial" w:hAnsi="Arial" w:cs="Arial"/>
        </w:rPr>
        <w:t xml:space="preserve"> fed diets containing Natuzyme50 performed better in terms of growth than those fed the enzyme-free control diet. According to Ali Zamini et al. (2014), the Caspian salmon's growth was significantly enhanced when the two exogenous enzymes (</w:t>
      </w:r>
      <w:proofErr w:type="spellStart"/>
      <w:r w:rsidRPr="00C670F8">
        <w:rPr>
          <w:rFonts w:ascii="Arial" w:hAnsi="Arial" w:cs="Arial"/>
        </w:rPr>
        <w:t>Natuzyme</w:t>
      </w:r>
      <w:proofErr w:type="spellEnd"/>
      <w:r w:rsidRPr="00C670F8">
        <w:rPr>
          <w:rFonts w:ascii="Arial" w:hAnsi="Arial" w:cs="Arial"/>
        </w:rPr>
        <w:t xml:space="preserve"> and </w:t>
      </w:r>
      <w:proofErr w:type="spellStart"/>
      <w:r w:rsidRPr="00C670F8">
        <w:rPr>
          <w:rFonts w:ascii="Arial" w:hAnsi="Arial" w:cs="Arial"/>
        </w:rPr>
        <w:t>Hemicell</w:t>
      </w:r>
      <w:proofErr w:type="spellEnd"/>
      <w:r w:rsidRPr="00C670F8">
        <w:rPr>
          <w:rFonts w:ascii="Arial" w:hAnsi="Arial" w:cs="Arial"/>
        </w:rPr>
        <w:t xml:space="preserve">) were added to their food either separately or in combination. Additionally, exogenous amylase administration led to noticeably better weight gain in </w:t>
      </w:r>
      <w:r w:rsidRPr="00AA2435">
        <w:rPr>
          <w:rFonts w:ascii="Arial" w:hAnsi="Arial" w:cs="Arial"/>
          <w:i/>
          <w:iCs/>
        </w:rPr>
        <w:t>L</w:t>
      </w:r>
      <w:r w:rsidR="00AA2435">
        <w:rPr>
          <w:rFonts w:ascii="Arial" w:hAnsi="Arial" w:cs="Arial"/>
        </w:rPr>
        <w:t>.</w:t>
      </w:r>
      <w:r w:rsidRPr="00C670F8">
        <w:rPr>
          <w:rFonts w:ascii="Arial" w:hAnsi="Arial" w:cs="Arial"/>
        </w:rPr>
        <w:t xml:space="preserve"> </w:t>
      </w:r>
      <w:r w:rsidRPr="00AA2435">
        <w:rPr>
          <w:rFonts w:ascii="Arial" w:hAnsi="Arial" w:cs="Arial"/>
          <w:i/>
          <w:iCs/>
        </w:rPr>
        <w:t>rohita</w:t>
      </w:r>
      <w:r w:rsidRPr="00C670F8">
        <w:rPr>
          <w:rFonts w:ascii="Arial" w:hAnsi="Arial" w:cs="Arial"/>
        </w:rPr>
        <w:t xml:space="preserve">, according to Kumar et al. (2006). The findings were also analogous to those of </w:t>
      </w:r>
      <w:proofErr w:type="spellStart"/>
      <w:r w:rsidRPr="00C670F8">
        <w:rPr>
          <w:rFonts w:ascii="Arial" w:hAnsi="Arial" w:cs="Arial"/>
        </w:rPr>
        <w:t>Shakoori</w:t>
      </w:r>
      <w:proofErr w:type="spellEnd"/>
      <w:r w:rsidRPr="00C670F8">
        <w:rPr>
          <w:rFonts w:ascii="Arial" w:hAnsi="Arial" w:cs="Arial"/>
        </w:rPr>
        <w:t xml:space="preserve"> et al. (2018), Goda et al. (2018), </w:t>
      </w:r>
      <w:proofErr w:type="spellStart"/>
      <w:r w:rsidRPr="00C670F8">
        <w:rPr>
          <w:rFonts w:ascii="Arial" w:hAnsi="Arial" w:cs="Arial"/>
        </w:rPr>
        <w:t>Ghomi</w:t>
      </w:r>
      <w:proofErr w:type="spellEnd"/>
      <w:r w:rsidRPr="00C670F8">
        <w:rPr>
          <w:rFonts w:ascii="Arial" w:hAnsi="Arial" w:cs="Arial"/>
        </w:rPr>
        <w:t xml:space="preserve"> et al. (2012), and </w:t>
      </w:r>
      <w:proofErr w:type="spellStart"/>
      <w:r w:rsidRPr="00C670F8">
        <w:rPr>
          <w:rFonts w:ascii="Arial" w:hAnsi="Arial" w:cs="Arial"/>
        </w:rPr>
        <w:t>Haghbayan</w:t>
      </w:r>
      <w:proofErr w:type="spellEnd"/>
      <w:r w:rsidRPr="00C670F8">
        <w:rPr>
          <w:rFonts w:ascii="Arial" w:hAnsi="Arial" w:cs="Arial"/>
        </w:rPr>
        <w:t xml:space="preserve"> and </w:t>
      </w:r>
      <w:proofErr w:type="spellStart"/>
      <w:r w:rsidRPr="00C670F8">
        <w:rPr>
          <w:rFonts w:ascii="Arial" w:hAnsi="Arial" w:cs="Arial"/>
        </w:rPr>
        <w:t>Mehrgan</w:t>
      </w:r>
      <w:proofErr w:type="spellEnd"/>
      <w:r w:rsidRPr="00C670F8">
        <w:rPr>
          <w:rFonts w:ascii="Arial" w:hAnsi="Arial" w:cs="Arial"/>
        </w:rPr>
        <w:t xml:space="preserve"> (2015), who all reported that various exogenous enzymes improved specific growth rate in Nile tilapia and rainbow trout. The present study's improved feed conversion due to enzyme supplementation is corroborated by the findings of </w:t>
      </w:r>
      <w:proofErr w:type="spellStart"/>
      <w:r w:rsidRPr="00C670F8">
        <w:rPr>
          <w:rFonts w:ascii="Arial" w:hAnsi="Arial" w:cs="Arial"/>
        </w:rPr>
        <w:t>Tahounl</w:t>
      </w:r>
      <w:proofErr w:type="spellEnd"/>
      <w:r w:rsidRPr="00C670F8">
        <w:rPr>
          <w:rFonts w:ascii="Arial" w:hAnsi="Arial" w:cs="Arial"/>
        </w:rPr>
        <w:t xml:space="preserve"> et al. (2011) and Ahmed et al. (2013). The survival rate in the present trial did not differ significantly between the treatments. The recorded survival rate is similar to that reported by </w:t>
      </w:r>
      <w:proofErr w:type="spellStart"/>
      <w:r w:rsidRPr="00C670F8">
        <w:rPr>
          <w:rFonts w:ascii="Arial" w:hAnsi="Arial" w:cs="Arial"/>
        </w:rPr>
        <w:t>Shakoori</w:t>
      </w:r>
      <w:proofErr w:type="spellEnd"/>
      <w:r w:rsidRPr="00C670F8">
        <w:rPr>
          <w:rFonts w:ascii="Arial" w:hAnsi="Arial" w:cs="Arial"/>
        </w:rPr>
        <w:t xml:space="preserve"> et al. (2018), </w:t>
      </w:r>
      <w:proofErr w:type="spellStart"/>
      <w:r w:rsidRPr="00C670F8">
        <w:rPr>
          <w:rFonts w:ascii="Arial" w:hAnsi="Arial" w:cs="Arial"/>
        </w:rPr>
        <w:t>Haghbayan</w:t>
      </w:r>
      <w:proofErr w:type="spellEnd"/>
      <w:r w:rsidRPr="00C670F8">
        <w:rPr>
          <w:rFonts w:ascii="Arial" w:hAnsi="Arial" w:cs="Arial"/>
        </w:rPr>
        <w:t xml:space="preserve"> and </w:t>
      </w:r>
      <w:proofErr w:type="spellStart"/>
      <w:r w:rsidRPr="00C670F8">
        <w:rPr>
          <w:rFonts w:ascii="Arial" w:hAnsi="Arial" w:cs="Arial"/>
        </w:rPr>
        <w:t>Mehrgan</w:t>
      </w:r>
      <w:proofErr w:type="spellEnd"/>
      <w:r w:rsidRPr="00C670F8">
        <w:rPr>
          <w:rFonts w:ascii="Arial" w:hAnsi="Arial" w:cs="Arial"/>
        </w:rPr>
        <w:t xml:space="preserve"> (2015), Mahmoud et al. (2014), and Ali Zamini et al. (2014). According to the findings, feeds made with various levels of enzymes provide better growth performance and feed utilization than the control group. </w:t>
      </w:r>
    </w:p>
    <w:p w14:paraId="5418036F" w14:textId="77777777" w:rsidR="00C670F8" w:rsidRDefault="00C670F8" w:rsidP="00441B6F">
      <w:pPr>
        <w:pStyle w:val="Body"/>
        <w:spacing w:after="0"/>
        <w:rPr>
          <w:rFonts w:ascii="Arial" w:hAnsi="Arial" w:cs="Arial"/>
        </w:rPr>
      </w:pPr>
    </w:p>
    <w:p w14:paraId="27D5116F" w14:textId="05DB1158" w:rsidR="00C670F8" w:rsidRDefault="00C670F8" w:rsidP="00C670F8">
      <w:pPr>
        <w:pStyle w:val="Body"/>
        <w:spacing w:after="0"/>
        <w:rPr>
          <w:rFonts w:ascii="Arial" w:hAnsi="Arial" w:cs="Arial"/>
          <w:b/>
          <w:bCs/>
          <w:sz w:val="22"/>
          <w:szCs w:val="22"/>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2 </w:t>
      </w:r>
      <w:r w:rsidRPr="00E83348">
        <w:rPr>
          <w:rFonts w:ascii="Arial" w:hAnsi="Arial" w:cs="Arial"/>
          <w:b/>
          <w:bCs/>
          <w:sz w:val="22"/>
          <w:szCs w:val="22"/>
        </w:rPr>
        <w:t xml:space="preserve">Proximate </w:t>
      </w:r>
      <w:r>
        <w:rPr>
          <w:rFonts w:ascii="Arial" w:hAnsi="Arial" w:cs="Arial"/>
          <w:b/>
          <w:bCs/>
          <w:sz w:val="22"/>
          <w:szCs w:val="22"/>
        </w:rPr>
        <w:t>C</w:t>
      </w:r>
      <w:r w:rsidRPr="00E83348">
        <w:rPr>
          <w:rFonts w:ascii="Arial" w:hAnsi="Arial" w:cs="Arial"/>
          <w:b/>
          <w:bCs/>
          <w:sz w:val="22"/>
          <w:szCs w:val="22"/>
        </w:rPr>
        <w:t xml:space="preserve">omposition of </w:t>
      </w:r>
      <w:r>
        <w:rPr>
          <w:rFonts w:ascii="Arial" w:hAnsi="Arial" w:cs="Arial"/>
          <w:b/>
          <w:bCs/>
          <w:sz w:val="22"/>
          <w:szCs w:val="22"/>
        </w:rPr>
        <w:t>F</w:t>
      </w:r>
      <w:r w:rsidRPr="00E83348">
        <w:rPr>
          <w:rFonts w:ascii="Arial" w:hAnsi="Arial" w:cs="Arial"/>
          <w:b/>
          <w:bCs/>
          <w:sz w:val="22"/>
          <w:szCs w:val="22"/>
        </w:rPr>
        <w:t xml:space="preserve">ish </w:t>
      </w:r>
      <w:r>
        <w:rPr>
          <w:rFonts w:ascii="Arial" w:hAnsi="Arial" w:cs="Arial"/>
          <w:b/>
          <w:bCs/>
          <w:sz w:val="22"/>
          <w:szCs w:val="22"/>
        </w:rPr>
        <w:t>F</w:t>
      </w:r>
      <w:r w:rsidRPr="00E83348">
        <w:rPr>
          <w:rFonts w:ascii="Arial" w:hAnsi="Arial" w:cs="Arial"/>
          <w:b/>
          <w:bCs/>
          <w:sz w:val="22"/>
          <w:szCs w:val="22"/>
        </w:rPr>
        <w:t>lesh</w:t>
      </w:r>
      <w:r>
        <w:rPr>
          <w:rFonts w:ascii="Arial" w:hAnsi="Arial" w:cs="Arial"/>
          <w:b/>
          <w:bCs/>
          <w:sz w:val="22"/>
          <w:szCs w:val="22"/>
        </w:rPr>
        <w:t xml:space="preserve"> </w:t>
      </w:r>
    </w:p>
    <w:p w14:paraId="6526A3B8" w14:textId="77777777" w:rsidR="00481F76" w:rsidRDefault="00481F76" w:rsidP="0026142E">
      <w:pPr>
        <w:jc w:val="both"/>
        <w:rPr>
          <w:rFonts w:ascii="Arial" w:hAnsi="Arial" w:cs="Arial"/>
        </w:rPr>
      </w:pPr>
    </w:p>
    <w:p w14:paraId="62530ADA" w14:textId="123DBA74" w:rsidR="0026142E" w:rsidRPr="0026142E" w:rsidRDefault="0026142E" w:rsidP="0026142E">
      <w:pPr>
        <w:jc w:val="both"/>
        <w:rPr>
          <w:rFonts w:ascii="Arial" w:hAnsi="Arial" w:cs="Arial"/>
        </w:rPr>
      </w:pPr>
      <w:r w:rsidRPr="0026142E">
        <w:rPr>
          <w:rFonts w:ascii="Arial" w:hAnsi="Arial" w:cs="Arial"/>
        </w:rPr>
        <w:t xml:space="preserve">The findings of the study showed that adding an exogenous multi-enzyme to feed causes changes in the proximate compositions of </w:t>
      </w:r>
      <w:r w:rsidRPr="00AA2435">
        <w:rPr>
          <w:rFonts w:ascii="Arial" w:hAnsi="Arial" w:cs="Arial"/>
          <w:i/>
          <w:iCs/>
        </w:rPr>
        <w:t>C</w:t>
      </w:r>
      <w:r w:rsidRPr="0026142E">
        <w:rPr>
          <w:rFonts w:ascii="Arial" w:hAnsi="Arial" w:cs="Arial"/>
        </w:rPr>
        <w:t xml:space="preserve">. </w:t>
      </w:r>
      <w:r w:rsidRPr="00AA2435">
        <w:rPr>
          <w:rFonts w:ascii="Arial" w:hAnsi="Arial" w:cs="Arial"/>
          <w:i/>
          <w:iCs/>
        </w:rPr>
        <w:t>catla</w:t>
      </w:r>
      <w:r w:rsidRPr="0026142E">
        <w:rPr>
          <w:rFonts w:ascii="Arial" w:hAnsi="Arial" w:cs="Arial"/>
        </w:rPr>
        <w:t xml:space="preserve">. The carcass protein content in T2, T3, and T4 increased significantly compared to the control group might be due to the presence of comparatively lower moisture in those treatments. Similar results have been found by Maas et al. (2021) in Nile Tilapia when supplemented with exogenous enzymes. Positive correlation between increased dosage of dietary enzyme and carcass protein in fish was also observed by Yildirim and Turan (2010) and Lin et al. (2007). The highest lipid content was recorded in the fish that were fed a higher dose of (6g/kg) </w:t>
      </w:r>
      <w:proofErr w:type="spellStart"/>
      <w:r w:rsidRPr="0026142E">
        <w:rPr>
          <w:rFonts w:ascii="Arial" w:hAnsi="Arial" w:cs="Arial"/>
        </w:rPr>
        <w:t>aquazyme</w:t>
      </w:r>
      <w:proofErr w:type="spellEnd"/>
      <w:r w:rsidRPr="0026142E">
        <w:rPr>
          <w:rFonts w:ascii="Arial" w:hAnsi="Arial" w:cs="Arial"/>
        </w:rPr>
        <w:t xml:space="preserve"> plus mixed feed (T4), and the lowest was recorded in the fish that were fed a dose of (2g/kg) </w:t>
      </w:r>
      <w:proofErr w:type="spellStart"/>
      <w:r w:rsidRPr="0026142E">
        <w:rPr>
          <w:rFonts w:ascii="Arial" w:hAnsi="Arial" w:cs="Arial"/>
        </w:rPr>
        <w:t>aquazyme</w:t>
      </w:r>
      <w:proofErr w:type="spellEnd"/>
      <w:r w:rsidRPr="0026142E">
        <w:rPr>
          <w:rFonts w:ascii="Arial" w:hAnsi="Arial" w:cs="Arial"/>
        </w:rPr>
        <w:t xml:space="preserve"> plus mixed feed (T2). The findings of this study are in accordance with the findings of </w:t>
      </w:r>
      <w:proofErr w:type="spellStart"/>
      <w:r w:rsidRPr="0026142E">
        <w:rPr>
          <w:rFonts w:ascii="Arial" w:hAnsi="Arial" w:cs="Arial"/>
        </w:rPr>
        <w:t>Ghomi</w:t>
      </w:r>
      <w:proofErr w:type="spellEnd"/>
      <w:r w:rsidRPr="0026142E">
        <w:rPr>
          <w:rFonts w:ascii="Arial" w:hAnsi="Arial" w:cs="Arial"/>
        </w:rPr>
        <w:t xml:space="preserve"> et al. (2012), who found higher carcass lipid in </w:t>
      </w:r>
      <w:r w:rsidRPr="00AA2435">
        <w:rPr>
          <w:rFonts w:ascii="Arial" w:hAnsi="Arial" w:cs="Arial"/>
          <w:i/>
          <w:iCs/>
        </w:rPr>
        <w:t xml:space="preserve">Huso </w:t>
      </w:r>
      <w:proofErr w:type="spellStart"/>
      <w:r w:rsidRPr="00AA2435">
        <w:rPr>
          <w:rFonts w:ascii="Arial" w:hAnsi="Arial" w:cs="Arial"/>
          <w:i/>
          <w:iCs/>
        </w:rPr>
        <w:t>huso</w:t>
      </w:r>
      <w:proofErr w:type="spellEnd"/>
      <w:r w:rsidRPr="0026142E">
        <w:rPr>
          <w:rFonts w:ascii="Arial" w:hAnsi="Arial" w:cs="Arial"/>
        </w:rPr>
        <w:t xml:space="preserve"> compared to the control group. The carcass carbohydrate content increased significantly in T2, T3, and T4 compared to the control group. The findings of the present study on carcass carbohydrate content align with previous research conducted by Maas et al. (2021). Rahman and Sarker (2019) also reported that the carcass carbohydrate content increased in </w:t>
      </w:r>
      <w:r w:rsidRPr="00AA2435">
        <w:rPr>
          <w:rFonts w:ascii="Arial" w:hAnsi="Arial" w:cs="Arial"/>
          <w:i/>
          <w:iCs/>
        </w:rPr>
        <w:t>L</w:t>
      </w:r>
      <w:r w:rsidRPr="0026142E">
        <w:rPr>
          <w:rFonts w:ascii="Arial" w:hAnsi="Arial" w:cs="Arial"/>
        </w:rPr>
        <w:t xml:space="preserve">. </w:t>
      </w:r>
      <w:r w:rsidRPr="00AA2435">
        <w:rPr>
          <w:rFonts w:ascii="Arial" w:hAnsi="Arial" w:cs="Arial"/>
          <w:i/>
          <w:iCs/>
        </w:rPr>
        <w:t>rohita</w:t>
      </w:r>
      <w:r w:rsidRPr="0026142E">
        <w:rPr>
          <w:rFonts w:ascii="Arial" w:hAnsi="Arial" w:cs="Arial"/>
        </w:rPr>
        <w:t xml:space="preserve"> compared to the control group for the addition of multi-enzyme in their diets. This also agrees with the current findings of the study. Generally, moisture content shows an inverse relation with lipid content (Wheeler and Morrissey, 2003). As per the study's findings, the moisture content decreased significantly in T2, T3, and T4 compared to T1 might be due to the addition of exogenous multi-enzyme in the diet. Different minerals, such as calcium, magnesium, phosphorus, iron, zinc, and others, are found in ash and play vital roles in the body structure of each organism. The carcass ash content increased significantly in T2, T3, and T4 compared to T1. This result aligns with the findings of Debnath </w:t>
      </w:r>
      <w:r w:rsidRPr="0026142E">
        <w:rPr>
          <w:rFonts w:ascii="Arial" w:hAnsi="Arial" w:cs="Arial"/>
        </w:rPr>
        <w:lastRenderedPageBreak/>
        <w:t xml:space="preserve">et al. (2005), who reported higher carcass ash in </w:t>
      </w:r>
      <w:r w:rsidRPr="00AA2435">
        <w:rPr>
          <w:rFonts w:ascii="Arial" w:hAnsi="Arial" w:cs="Arial"/>
          <w:i/>
          <w:iCs/>
        </w:rPr>
        <w:t xml:space="preserve">Pangasius </w:t>
      </w:r>
      <w:proofErr w:type="spellStart"/>
      <w:r w:rsidRPr="00AA2435">
        <w:rPr>
          <w:rFonts w:ascii="Arial" w:hAnsi="Arial" w:cs="Arial"/>
          <w:i/>
          <w:iCs/>
        </w:rPr>
        <w:t>pangasius</w:t>
      </w:r>
      <w:proofErr w:type="spellEnd"/>
      <w:r w:rsidRPr="0026142E">
        <w:rPr>
          <w:rFonts w:ascii="Arial" w:hAnsi="Arial" w:cs="Arial"/>
        </w:rPr>
        <w:t xml:space="preserve"> following phytase supplementation. Adeoye et al. (2016) and Goda et al. (2018) also reported that carcass ash content increased significantly in Nile tilapia when fish were fed a diet prepared with exogenous multi-enzyme.  </w:t>
      </w:r>
    </w:p>
    <w:p w14:paraId="6592F33E" w14:textId="77777777" w:rsidR="00C670F8" w:rsidRDefault="00C670F8" w:rsidP="0026142E">
      <w:pPr>
        <w:pStyle w:val="Body"/>
        <w:spacing w:after="0"/>
        <w:rPr>
          <w:rFonts w:ascii="Arial" w:hAnsi="Arial" w:cs="Arial"/>
        </w:rPr>
      </w:pPr>
    </w:p>
    <w:p w14:paraId="6C3D9FF2" w14:textId="7966CCF5" w:rsidR="00C670F8" w:rsidRDefault="0044289C" w:rsidP="0026142E">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3 </w:t>
      </w:r>
      <w:r w:rsidRPr="00375045">
        <w:rPr>
          <w:rFonts w:ascii="Arial" w:hAnsi="Arial" w:cs="Arial"/>
          <w:b/>
          <w:bCs/>
          <w:sz w:val="22"/>
          <w:szCs w:val="22"/>
        </w:rPr>
        <w:t xml:space="preserve">Palatability of </w:t>
      </w:r>
      <w:r>
        <w:rPr>
          <w:rFonts w:ascii="Arial" w:hAnsi="Arial" w:cs="Arial"/>
          <w:b/>
          <w:bCs/>
          <w:sz w:val="22"/>
          <w:szCs w:val="22"/>
        </w:rPr>
        <w:t>C</w:t>
      </w:r>
      <w:r w:rsidRPr="00375045">
        <w:rPr>
          <w:rFonts w:ascii="Arial" w:hAnsi="Arial" w:cs="Arial"/>
          <w:b/>
          <w:bCs/>
          <w:sz w:val="22"/>
          <w:szCs w:val="22"/>
        </w:rPr>
        <w:t xml:space="preserve">ooked </w:t>
      </w:r>
      <w:r>
        <w:rPr>
          <w:rFonts w:ascii="Arial" w:hAnsi="Arial" w:cs="Arial"/>
          <w:b/>
          <w:bCs/>
          <w:sz w:val="22"/>
          <w:szCs w:val="22"/>
        </w:rPr>
        <w:t>F</w:t>
      </w:r>
      <w:r w:rsidRPr="00375045">
        <w:rPr>
          <w:rFonts w:ascii="Arial" w:hAnsi="Arial" w:cs="Arial"/>
          <w:b/>
          <w:bCs/>
          <w:sz w:val="22"/>
          <w:szCs w:val="22"/>
        </w:rPr>
        <w:t xml:space="preserve">ish </w:t>
      </w:r>
      <w:r>
        <w:rPr>
          <w:rFonts w:ascii="Arial" w:hAnsi="Arial" w:cs="Arial"/>
          <w:b/>
          <w:bCs/>
          <w:sz w:val="22"/>
          <w:szCs w:val="22"/>
        </w:rPr>
        <w:t>F</w:t>
      </w:r>
      <w:r w:rsidRPr="00375045">
        <w:rPr>
          <w:rFonts w:ascii="Arial" w:hAnsi="Arial" w:cs="Arial"/>
          <w:b/>
          <w:bCs/>
          <w:sz w:val="22"/>
          <w:szCs w:val="22"/>
        </w:rPr>
        <w:t xml:space="preserve">lesh  </w:t>
      </w:r>
      <w:r>
        <w:rPr>
          <w:rFonts w:ascii="Arial" w:hAnsi="Arial" w:cs="Arial"/>
          <w:b/>
          <w:caps/>
          <w:sz w:val="22"/>
        </w:rPr>
        <w:t xml:space="preserve"> </w:t>
      </w:r>
    </w:p>
    <w:p w14:paraId="27CFFD3C" w14:textId="77777777" w:rsidR="00C670F8" w:rsidRDefault="00C670F8" w:rsidP="0026142E">
      <w:pPr>
        <w:pStyle w:val="Body"/>
        <w:spacing w:after="0"/>
        <w:rPr>
          <w:rFonts w:ascii="Arial" w:hAnsi="Arial" w:cs="Arial"/>
        </w:rPr>
      </w:pPr>
    </w:p>
    <w:p w14:paraId="19F9AF12" w14:textId="42BA4BED" w:rsidR="00C670F8" w:rsidRDefault="0044289C" w:rsidP="0026142E">
      <w:pPr>
        <w:pStyle w:val="Body"/>
        <w:spacing w:after="0"/>
        <w:rPr>
          <w:rFonts w:ascii="Arial" w:hAnsi="Arial" w:cs="Arial"/>
        </w:rPr>
      </w:pPr>
      <w:r w:rsidRPr="0044289C">
        <w:rPr>
          <w:rFonts w:ascii="Arial" w:hAnsi="Arial" w:cs="Arial"/>
        </w:rPr>
        <w:t xml:space="preserve">Following the consumption of cooked fish flesh, several consumers provided feedback on </w:t>
      </w:r>
      <w:proofErr w:type="spellStart"/>
      <w:r w:rsidRPr="0044289C">
        <w:rPr>
          <w:rFonts w:ascii="Arial" w:hAnsi="Arial" w:cs="Arial"/>
        </w:rPr>
        <w:t>odour</w:t>
      </w:r>
      <w:proofErr w:type="spellEnd"/>
      <w:r w:rsidRPr="0044289C">
        <w:rPr>
          <w:rFonts w:ascii="Arial" w:hAnsi="Arial" w:cs="Arial"/>
        </w:rPr>
        <w:t xml:space="preserve">, taste, and texture by completing an organoleptic test score sheet. According to the total organoleptic score, the fish flesh of T4 obtained the greatest score, followed by the fish flesh of T3, T2, and T1. It was shown that adding a larger dose of enzyme to the meal reduced the </w:t>
      </w:r>
      <w:proofErr w:type="spellStart"/>
      <w:r w:rsidRPr="0044289C">
        <w:rPr>
          <w:rFonts w:ascii="Arial" w:hAnsi="Arial" w:cs="Arial"/>
        </w:rPr>
        <w:t>odour</w:t>
      </w:r>
      <w:proofErr w:type="spellEnd"/>
      <w:r w:rsidRPr="0044289C">
        <w:rPr>
          <w:rFonts w:ascii="Arial" w:hAnsi="Arial" w:cs="Arial"/>
        </w:rPr>
        <w:t xml:space="preserve"> of the experimental fish when compared to a lesser amount. The current study found that the </w:t>
      </w:r>
      <w:proofErr w:type="spellStart"/>
      <w:r w:rsidRPr="0044289C">
        <w:rPr>
          <w:rFonts w:ascii="Arial" w:hAnsi="Arial" w:cs="Arial"/>
        </w:rPr>
        <w:t>odour</w:t>
      </w:r>
      <w:proofErr w:type="spellEnd"/>
      <w:r w:rsidRPr="0044289C">
        <w:rPr>
          <w:rFonts w:ascii="Arial" w:hAnsi="Arial" w:cs="Arial"/>
        </w:rPr>
        <w:t xml:space="preserve">, taste, and texture of cooked fish were altered in dietary enzyme-treated fish compared to control fish, which might be attributed to changes in the proximate compositions of fish fed with exogenous enzyme-treated feeds. The fish fed with 6g/kg enzyme-incorporated feed received the highest marks for taste, texture, and </w:t>
      </w:r>
      <w:proofErr w:type="spellStart"/>
      <w:r w:rsidRPr="0044289C">
        <w:rPr>
          <w:rFonts w:ascii="Arial" w:hAnsi="Arial" w:cs="Arial"/>
        </w:rPr>
        <w:t>flavour</w:t>
      </w:r>
      <w:proofErr w:type="spellEnd"/>
      <w:r w:rsidRPr="0044289C">
        <w:rPr>
          <w:rFonts w:ascii="Arial" w:hAnsi="Arial" w:cs="Arial"/>
        </w:rPr>
        <w:t xml:space="preserve">. This indicates that the fish fed with 6g/kg enzyme-incorporated feed had better fresh fish </w:t>
      </w:r>
      <w:proofErr w:type="spellStart"/>
      <w:r w:rsidRPr="0044289C">
        <w:rPr>
          <w:rFonts w:ascii="Arial" w:hAnsi="Arial" w:cs="Arial"/>
        </w:rPr>
        <w:t>flavour</w:t>
      </w:r>
      <w:proofErr w:type="spellEnd"/>
      <w:r w:rsidRPr="0044289C">
        <w:rPr>
          <w:rFonts w:ascii="Arial" w:hAnsi="Arial" w:cs="Arial"/>
        </w:rPr>
        <w:t xml:space="preserve">, taste, and texture quality, as well as being more appetizing, than the fish fed with the other experimental feeds employed in the study. Rahman and Sarker (2019) reported that after cooking, the palatability of L. </w:t>
      </w:r>
      <w:r w:rsidRPr="00AA2435">
        <w:rPr>
          <w:rFonts w:ascii="Arial" w:hAnsi="Arial" w:cs="Arial"/>
          <w:i/>
          <w:iCs/>
        </w:rPr>
        <w:t>rohita</w:t>
      </w:r>
      <w:r w:rsidRPr="0044289C">
        <w:rPr>
          <w:rFonts w:ascii="Arial" w:hAnsi="Arial" w:cs="Arial"/>
        </w:rPr>
        <w:t xml:space="preserve"> had changed in enzyme-treated feeds compared to control fish, which strongly agreed with the findings of the present study.</w:t>
      </w:r>
    </w:p>
    <w:p w14:paraId="3F35F432" w14:textId="77777777" w:rsidR="0044289C" w:rsidRDefault="0044289C" w:rsidP="0026142E">
      <w:pPr>
        <w:pStyle w:val="Body"/>
        <w:spacing w:after="0"/>
        <w:rPr>
          <w:rFonts w:ascii="Arial" w:hAnsi="Arial" w:cs="Arial"/>
        </w:rPr>
      </w:pPr>
    </w:p>
    <w:p w14:paraId="5863B3E5" w14:textId="77777777" w:rsidR="00C670F8" w:rsidRDefault="00C670F8" w:rsidP="0026142E">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4AD03C25" w14:textId="77777777" w:rsidR="00C670F8" w:rsidRDefault="00C670F8" w:rsidP="0026142E">
      <w:pPr>
        <w:pStyle w:val="Body"/>
        <w:spacing w:after="0"/>
        <w:rPr>
          <w:rFonts w:ascii="Arial" w:hAnsi="Arial" w:cs="Arial"/>
        </w:rPr>
      </w:pPr>
    </w:p>
    <w:p w14:paraId="30280398" w14:textId="7236054A" w:rsidR="00B01FCD" w:rsidRDefault="00BA1CA6" w:rsidP="00441B6F">
      <w:pPr>
        <w:pStyle w:val="Body"/>
        <w:spacing w:after="0"/>
        <w:rPr>
          <w:rFonts w:ascii="Arial" w:hAnsi="Arial" w:cs="Arial"/>
        </w:rPr>
      </w:pPr>
      <w:r w:rsidRPr="00BA1CA6">
        <w:rPr>
          <w:rFonts w:ascii="Arial" w:hAnsi="Arial" w:cs="Arial"/>
        </w:rPr>
        <w:t>Various exogenous enzyme mixtures are available and frequently used in the aqua feed industry</w:t>
      </w:r>
      <w:r w:rsidR="003534BD">
        <w:rPr>
          <w:rFonts w:ascii="Arial" w:hAnsi="Arial" w:cs="Arial"/>
        </w:rPr>
        <w:t xml:space="preserve"> in Bangladesh</w:t>
      </w:r>
      <w:r w:rsidRPr="00BA1CA6">
        <w:rPr>
          <w:rFonts w:ascii="Arial" w:hAnsi="Arial" w:cs="Arial"/>
        </w:rPr>
        <w:t>. In</w:t>
      </w:r>
      <w:r w:rsidR="003534BD">
        <w:rPr>
          <w:rFonts w:ascii="Arial" w:hAnsi="Arial" w:cs="Arial"/>
        </w:rPr>
        <w:t xml:space="preserve"> this study</w:t>
      </w:r>
      <w:r w:rsidRPr="00BA1CA6">
        <w:rPr>
          <w:rFonts w:ascii="Arial" w:hAnsi="Arial" w:cs="Arial"/>
        </w:rPr>
        <w:t xml:space="preserve">, the addition of exogenous enzymes to feed significantly boosted </w:t>
      </w:r>
      <w:r w:rsidRPr="00BA1CA6">
        <w:rPr>
          <w:rFonts w:ascii="Arial" w:hAnsi="Arial" w:cs="Arial"/>
          <w:i/>
          <w:iCs/>
        </w:rPr>
        <w:t>C</w:t>
      </w:r>
      <w:r w:rsidRPr="00BA1CA6">
        <w:rPr>
          <w:rFonts w:ascii="Arial" w:hAnsi="Arial" w:cs="Arial"/>
        </w:rPr>
        <w:t xml:space="preserve">. </w:t>
      </w:r>
      <w:r w:rsidRPr="00BA1CA6">
        <w:rPr>
          <w:rFonts w:ascii="Arial" w:hAnsi="Arial" w:cs="Arial"/>
          <w:i/>
          <w:iCs/>
        </w:rPr>
        <w:t>catla</w:t>
      </w:r>
      <w:r w:rsidRPr="00BA1CA6">
        <w:rPr>
          <w:rFonts w:ascii="Arial" w:hAnsi="Arial" w:cs="Arial"/>
        </w:rPr>
        <w:t xml:space="preserve"> growth, carcass nutrients, and palatability compared to control feed. The best growth, feed utilization, carcass quality, and palatability were obtained with 6g of enzyme per kg of fish feed. Long-term research is necessary to validate current findings regarding the impact of exogenous multienzymes on fish</w:t>
      </w:r>
      <w:r w:rsidR="003534BD">
        <w:rPr>
          <w:rFonts w:ascii="Arial" w:hAnsi="Arial" w:cs="Arial"/>
        </w:rPr>
        <w:t xml:space="preserve"> growth</w:t>
      </w:r>
      <w:r w:rsidRPr="00BA1CA6">
        <w:rPr>
          <w:rFonts w:ascii="Arial" w:hAnsi="Arial" w:cs="Arial"/>
        </w:rPr>
        <w:t xml:space="preserve">, proximate compositions, and palatability across several aquaculture species and under a variety of aquaculture conditions. </w:t>
      </w:r>
    </w:p>
    <w:p w14:paraId="0A1EA8DA" w14:textId="77777777" w:rsidR="00790ADA" w:rsidRPr="00FB3A86" w:rsidRDefault="00790ADA" w:rsidP="00441B6F">
      <w:pPr>
        <w:pStyle w:val="Body"/>
        <w:spacing w:after="0"/>
        <w:rPr>
          <w:rFonts w:ascii="Arial" w:hAnsi="Arial" w:cs="Arial"/>
        </w:rPr>
      </w:pPr>
    </w:p>
    <w:p w14:paraId="6247E64E" w14:textId="77777777" w:rsidR="00F459CF" w:rsidRPr="00D97429" w:rsidRDefault="00F459CF" w:rsidP="00F459CF">
      <w:pPr>
        <w:pStyle w:val="ReferHead"/>
        <w:spacing w:after="0"/>
        <w:jc w:val="both"/>
        <w:rPr>
          <w:rFonts w:ascii="Arial" w:hAnsi="Arial" w:cs="Arial"/>
        </w:rPr>
      </w:pPr>
      <w:r w:rsidRPr="00D97429">
        <w:rPr>
          <w:rFonts w:ascii="Arial" w:hAnsi="Arial" w:cs="Arial"/>
        </w:rPr>
        <w:t>DISCLAIMER (ARTIFICIAL INTELLIGENCE)</w:t>
      </w:r>
    </w:p>
    <w:p w14:paraId="7B5B18C5" w14:textId="77777777" w:rsidR="00F459CF" w:rsidRDefault="00F459CF" w:rsidP="00F459CF">
      <w:pPr>
        <w:jc w:val="both"/>
        <w:rPr>
          <w:rFonts w:ascii="Arial" w:eastAsia="Calibri" w:hAnsi="Arial" w:cs="Arial"/>
          <w:kern w:val="2"/>
        </w:rPr>
      </w:pPr>
    </w:p>
    <w:p w14:paraId="70D246FB" w14:textId="77777777" w:rsidR="00F459CF" w:rsidRDefault="00F459CF" w:rsidP="00F459CF">
      <w:pPr>
        <w:jc w:val="both"/>
        <w:rPr>
          <w:rFonts w:ascii="Arial" w:eastAsia="Calibri" w:hAnsi="Arial" w:cs="Arial"/>
          <w:kern w:val="2"/>
        </w:rPr>
      </w:pPr>
      <w:r w:rsidRPr="00D97429">
        <w:rPr>
          <w:rFonts w:ascii="Arial" w:eastAsia="Calibri" w:hAnsi="Arial" w:cs="Arial"/>
          <w:kern w:val="2"/>
        </w:rPr>
        <w:t>Author(s) hereby declare that NO generative AI technologies such as Large Language Models (</w:t>
      </w:r>
      <w:proofErr w:type="spellStart"/>
      <w:r w:rsidRPr="00D97429">
        <w:rPr>
          <w:rFonts w:ascii="Arial" w:eastAsia="Calibri" w:hAnsi="Arial" w:cs="Arial"/>
          <w:kern w:val="2"/>
        </w:rPr>
        <w:t>ChatGPT</w:t>
      </w:r>
      <w:proofErr w:type="spellEnd"/>
      <w:r w:rsidRPr="00D97429">
        <w:rPr>
          <w:rFonts w:ascii="Arial" w:eastAsia="Calibri" w:hAnsi="Arial" w:cs="Arial"/>
          <w:kern w:val="2"/>
        </w:rPr>
        <w:t xml:space="preserve">, COPILOT, </w:t>
      </w:r>
      <w:proofErr w:type="spellStart"/>
      <w:r w:rsidRPr="00D97429">
        <w:rPr>
          <w:rFonts w:ascii="Arial" w:eastAsia="Calibri" w:hAnsi="Arial" w:cs="Arial"/>
          <w:kern w:val="2"/>
        </w:rPr>
        <w:t>etc</w:t>
      </w:r>
      <w:proofErr w:type="spellEnd"/>
      <w:r w:rsidRPr="00D97429">
        <w:rPr>
          <w:rFonts w:ascii="Arial" w:eastAsia="Calibri" w:hAnsi="Arial" w:cs="Arial"/>
          <w:kern w:val="2"/>
        </w:rPr>
        <w:t xml:space="preserve">) and text-to-image generators have been used during writing or editing of this manuscript. </w:t>
      </w:r>
    </w:p>
    <w:p w14:paraId="56A9BD62" w14:textId="77777777" w:rsidR="00F459CF" w:rsidRDefault="00F459CF" w:rsidP="00441B6F">
      <w:pPr>
        <w:pStyle w:val="AcknHead"/>
        <w:spacing w:after="0"/>
        <w:jc w:val="both"/>
        <w:rPr>
          <w:rFonts w:ascii="Arial" w:hAnsi="Arial" w:cs="Arial"/>
        </w:rPr>
      </w:pPr>
    </w:p>
    <w:p w14:paraId="52C921C3" w14:textId="77777777" w:rsidR="009A4812" w:rsidRPr="007A13C3" w:rsidRDefault="009A4812" w:rsidP="00D97429">
      <w:pPr>
        <w:pStyle w:val="ReferHead"/>
        <w:spacing w:after="0"/>
        <w:jc w:val="both"/>
        <w:rPr>
          <w:rFonts w:ascii="Arial" w:hAnsi="Arial" w:cs="Arial"/>
        </w:rPr>
      </w:pPr>
    </w:p>
    <w:p w14:paraId="730967F8" w14:textId="4E23E9B2" w:rsidR="00B01FCD" w:rsidRDefault="00B01FCD" w:rsidP="00D97429">
      <w:pPr>
        <w:pStyle w:val="ReferHead"/>
        <w:spacing w:after="0"/>
        <w:jc w:val="both"/>
        <w:rPr>
          <w:rFonts w:ascii="Arial" w:hAnsi="Arial" w:cs="Arial"/>
        </w:rPr>
      </w:pPr>
      <w:r w:rsidRPr="00FB3A86">
        <w:rPr>
          <w:rFonts w:ascii="Arial" w:hAnsi="Arial" w:cs="Arial"/>
        </w:rPr>
        <w:t>References</w:t>
      </w:r>
    </w:p>
    <w:p w14:paraId="4AE6924C" w14:textId="77777777" w:rsidR="00790ADA" w:rsidRPr="00FB3A86" w:rsidRDefault="00790ADA" w:rsidP="0027287C">
      <w:pPr>
        <w:pStyle w:val="ReferHead"/>
        <w:spacing w:after="0"/>
        <w:ind w:left="720" w:hanging="720"/>
        <w:jc w:val="both"/>
        <w:rPr>
          <w:rFonts w:ascii="Arial" w:hAnsi="Arial" w:cs="Arial"/>
        </w:rPr>
      </w:pPr>
    </w:p>
    <w:p w14:paraId="0901D051" w14:textId="5ED2E093" w:rsidR="00350799" w:rsidRPr="00350799" w:rsidRDefault="00350799" w:rsidP="0027287C">
      <w:pPr>
        <w:pStyle w:val="Body"/>
        <w:spacing w:after="0"/>
        <w:ind w:left="720" w:hanging="720"/>
      </w:pPr>
      <w:r w:rsidRPr="00350799">
        <w:t>Adeoye, A. A., Jaramillo-Torres, A. F. S. W., Fox, S. W., Merrifield, D. L., &amp; Davies, S. J. (2016). Supplementation of formulated diets for tilapia (</w:t>
      </w:r>
      <w:r w:rsidRPr="00350799">
        <w:rPr>
          <w:i/>
          <w:iCs/>
        </w:rPr>
        <w:t>Oreochromis</w:t>
      </w:r>
      <w:r w:rsidRPr="00350799">
        <w:t xml:space="preserve"> </w:t>
      </w:r>
      <w:r w:rsidRPr="00350799">
        <w:rPr>
          <w:i/>
          <w:iCs/>
        </w:rPr>
        <w:t>niloticus</w:t>
      </w:r>
      <w:r w:rsidRPr="00350799">
        <w:t>) with selected exogenous enzymes: Overall performance and effects on intestinal histology and microbiota. </w:t>
      </w:r>
      <w:r w:rsidRPr="00350799">
        <w:rPr>
          <w:i/>
          <w:iCs/>
        </w:rPr>
        <w:t>Animal Feed Science and Technology</w:t>
      </w:r>
      <w:r w:rsidRPr="00350799">
        <w:t>, </w:t>
      </w:r>
      <w:r w:rsidRPr="00350799">
        <w:rPr>
          <w:i/>
          <w:iCs/>
        </w:rPr>
        <w:t>215</w:t>
      </w:r>
      <w:r w:rsidRPr="00350799">
        <w:t>, 133</w:t>
      </w:r>
      <w:r w:rsidRPr="000231CA">
        <w:rPr>
          <w:rFonts w:ascii="Arial" w:hAnsi="Arial" w:cs="Arial"/>
        </w:rPr>
        <w:t>–</w:t>
      </w:r>
      <w:r w:rsidRPr="00350799">
        <w:t xml:space="preserve">143. </w:t>
      </w:r>
      <w:hyperlink r:id="rId15" w:history="1">
        <w:r w:rsidR="00BE3DC2" w:rsidRPr="00003D6C">
          <w:rPr>
            <w:rStyle w:val="Hyperlink"/>
          </w:rPr>
          <w:t>https://doi.org/10.1016/j.anifeedsci.2016.03.002</w:t>
        </w:r>
      </w:hyperlink>
      <w:r w:rsidR="00BE3DC2">
        <w:t xml:space="preserve"> </w:t>
      </w:r>
    </w:p>
    <w:p w14:paraId="3BF29DB8" w14:textId="39A2BEEC" w:rsidR="00350799" w:rsidRPr="00350799" w:rsidRDefault="00350799" w:rsidP="0027287C">
      <w:pPr>
        <w:pStyle w:val="Body"/>
        <w:spacing w:after="0"/>
        <w:ind w:left="720" w:hanging="720"/>
      </w:pPr>
      <w:r w:rsidRPr="00350799">
        <w:t xml:space="preserve">Ahmed, G. U., Chakma, A., Shamsuddin, M., Minar, M. H., Islam, T., &amp; Majumdar, M. Z. (2013). Growth performance of Thai </w:t>
      </w:r>
      <w:proofErr w:type="spellStart"/>
      <w:r w:rsidRPr="00350799">
        <w:t>pangus</w:t>
      </w:r>
      <w:proofErr w:type="spellEnd"/>
      <w:r w:rsidRPr="00350799">
        <w:t xml:space="preserve"> </w:t>
      </w:r>
      <w:proofErr w:type="spellStart"/>
      <w:r w:rsidRPr="00350799">
        <w:rPr>
          <w:i/>
          <w:iCs/>
        </w:rPr>
        <w:t>Pangasianodon</w:t>
      </w:r>
      <w:proofErr w:type="spellEnd"/>
      <w:r w:rsidRPr="00350799">
        <w:t xml:space="preserve"> </w:t>
      </w:r>
      <w:proofErr w:type="spellStart"/>
      <w:r w:rsidRPr="00350799">
        <w:rPr>
          <w:i/>
          <w:iCs/>
        </w:rPr>
        <w:t>hypophthalmus</w:t>
      </w:r>
      <w:proofErr w:type="spellEnd"/>
      <w:r w:rsidRPr="00350799">
        <w:t xml:space="preserve"> using prepared and commercial feed. </w:t>
      </w:r>
      <w:r w:rsidRPr="00350799">
        <w:rPr>
          <w:i/>
          <w:iCs/>
        </w:rPr>
        <w:t>International Journal of Life Sciences Biotechnology and Pharma Research</w:t>
      </w:r>
      <w:r w:rsidRPr="00350799">
        <w:t>, </w:t>
      </w:r>
      <w:r w:rsidRPr="00350799">
        <w:rPr>
          <w:i/>
          <w:iCs/>
        </w:rPr>
        <w:t>2</w:t>
      </w:r>
      <w:r w:rsidRPr="00350799">
        <w:t>(3), 92</w:t>
      </w:r>
      <w:r w:rsidRPr="000231CA">
        <w:rPr>
          <w:rFonts w:ascii="Arial" w:hAnsi="Arial" w:cs="Arial"/>
        </w:rPr>
        <w:t>–</w:t>
      </w:r>
      <w:r w:rsidRPr="00350799">
        <w:t xml:space="preserve">102. </w:t>
      </w:r>
      <w:hyperlink r:id="rId16" w:history="1">
        <w:r w:rsidR="00BE3DC2" w:rsidRPr="00003D6C">
          <w:rPr>
            <w:rStyle w:val="Hyperlink"/>
          </w:rPr>
          <w:t>http://www.ijlbpr.com/archives.php?year=2013&amp;vol=2&amp;issue=3</w:t>
        </w:r>
      </w:hyperlink>
      <w:r w:rsidR="00BE3DC2">
        <w:t xml:space="preserve"> </w:t>
      </w:r>
    </w:p>
    <w:p w14:paraId="6599795A" w14:textId="26EBE40B" w:rsidR="00350799" w:rsidRPr="00350799" w:rsidRDefault="00350799" w:rsidP="0027287C">
      <w:pPr>
        <w:pStyle w:val="Body"/>
        <w:spacing w:after="0"/>
        <w:ind w:left="720" w:hanging="720"/>
      </w:pPr>
      <w:r w:rsidRPr="00350799">
        <w:t>AOAC</w:t>
      </w:r>
      <w:r w:rsidR="0027287C">
        <w:t>.</w:t>
      </w:r>
      <w:r w:rsidRPr="00350799">
        <w:t xml:space="preserve"> (2005). Association of Official Analytical Chemists (Official Methods of Analysis, 18th ed. Association of Analytical Communities International, Arlington, Virginia, USA.</w:t>
      </w:r>
    </w:p>
    <w:p w14:paraId="4BD165E9" w14:textId="7CBC14B5" w:rsidR="00350799" w:rsidRPr="00350799" w:rsidRDefault="00350799" w:rsidP="0027287C">
      <w:pPr>
        <w:pStyle w:val="Body"/>
        <w:spacing w:after="0"/>
        <w:ind w:left="720" w:hanging="720"/>
      </w:pPr>
      <w:r w:rsidRPr="00350799">
        <w:lastRenderedPageBreak/>
        <w:t xml:space="preserve">Debnath, D., Pal, A. K., Sahu, N. P., Jain, K. K., </w:t>
      </w:r>
      <w:proofErr w:type="spellStart"/>
      <w:r w:rsidRPr="00350799">
        <w:t>Yengkokpam</w:t>
      </w:r>
      <w:proofErr w:type="spellEnd"/>
      <w:r w:rsidRPr="00350799">
        <w:t xml:space="preserve">, S., &amp; Mukherjee, S. C. (2005). Effect of dietary microbial phytase supplementation on growth and nutrient digestibility of </w:t>
      </w:r>
      <w:r w:rsidRPr="00350799">
        <w:rPr>
          <w:i/>
          <w:iCs/>
        </w:rPr>
        <w:t>Pangasius</w:t>
      </w:r>
      <w:r w:rsidRPr="00350799">
        <w:t xml:space="preserve"> </w:t>
      </w:r>
      <w:proofErr w:type="spellStart"/>
      <w:r w:rsidRPr="00350799">
        <w:rPr>
          <w:i/>
          <w:iCs/>
        </w:rPr>
        <w:t>pangasius</w:t>
      </w:r>
      <w:proofErr w:type="spellEnd"/>
      <w:r w:rsidRPr="00350799">
        <w:t xml:space="preserve"> (Hamilton) fingerlings. </w:t>
      </w:r>
      <w:r w:rsidRPr="00350799">
        <w:rPr>
          <w:i/>
          <w:iCs/>
        </w:rPr>
        <w:t>Aquaculture Research</w:t>
      </w:r>
      <w:r w:rsidRPr="00350799">
        <w:t>, </w:t>
      </w:r>
      <w:r w:rsidRPr="00350799">
        <w:rPr>
          <w:i/>
          <w:iCs/>
        </w:rPr>
        <w:t>36</w:t>
      </w:r>
      <w:r w:rsidRPr="00350799">
        <w:t>(2), 180</w:t>
      </w:r>
      <w:r w:rsidR="0027287C" w:rsidRPr="000231CA">
        <w:rPr>
          <w:rFonts w:ascii="Arial" w:hAnsi="Arial" w:cs="Arial"/>
        </w:rPr>
        <w:t>–</w:t>
      </w:r>
      <w:r w:rsidRPr="00350799">
        <w:t xml:space="preserve">187. </w:t>
      </w:r>
      <w:hyperlink r:id="rId17" w:history="1">
        <w:r w:rsidR="00BE3DC2" w:rsidRPr="00003D6C">
          <w:rPr>
            <w:rStyle w:val="Hyperlink"/>
          </w:rPr>
          <w:t>https://doi.org/10.1111/j.1365-2109.2004.01203.x</w:t>
        </w:r>
      </w:hyperlink>
      <w:r w:rsidR="00BE3DC2">
        <w:t xml:space="preserve"> </w:t>
      </w:r>
    </w:p>
    <w:p w14:paraId="3B3F6AEB" w14:textId="1BA2C8E0" w:rsidR="00350799" w:rsidRPr="00350799" w:rsidRDefault="00350799" w:rsidP="0027287C">
      <w:pPr>
        <w:pStyle w:val="Body"/>
        <w:spacing w:after="0"/>
        <w:ind w:left="720" w:hanging="720"/>
      </w:pPr>
      <w:r w:rsidRPr="00350799">
        <w:t>FAO</w:t>
      </w:r>
      <w:r w:rsidR="0027287C">
        <w:t>.</w:t>
      </w:r>
      <w:r w:rsidRPr="00350799">
        <w:t xml:space="preserve"> (2023). Fishery and Aquaculture Statistics–Yearbook. 2020, Food and Agriculture Organization of the United Nations, Rome. </w:t>
      </w:r>
      <w:hyperlink r:id="rId18" w:history="1">
        <w:r w:rsidR="00BE3DC2" w:rsidRPr="00003D6C">
          <w:rPr>
            <w:rStyle w:val="Hyperlink"/>
          </w:rPr>
          <w:t>https://www.fao.org/documents/card/en/c/cc7493en</w:t>
        </w:r>
      </w:hyperlink>
      <w:r w:rsidR="00BE3DC2">
        <w:t xml:space="preserve"> </w:t>
      </w:r>
    </w:p>
    <w:p w14:paraId="0AF599F5" w14:textId="5CB6835B" w:rsidR="00350799" w:rsidRPr="00350799" w:rsidRDefault="00350799" w:rsidP="0027287C">
      <w:pPr>
        <w:pStyle w:val="Body"/>
        <w:spacing w:after="0"/>
        <w:ind w:left="720" w:hanging="720"/>
        <w:rPr>
          <w:u w:val="single"/>
        </w:rPr>
      </w:pPr>
      <w:r w:rsidRPr="00350799">
        <w:t>FAO</w:t>
      </w:r>
      <w:r w:rsidR="0027287C">
        <w:t>.</w:t>
      </w:r>
      <w:r w:rsidRPr="00350799">
        <w:t xml:space="preserve"> (2014). The State of World Fisheries and Aquaculture. Opportunities and challenges, Food and Agriculture Organization of the United Nations, Rome. </w:t>
      </w:r>
      <w:hyperlink r:id="rId19" w:history="1">
        <w:r w:rsidR="00BE3DC2" w:rsidRPr="00003D6C">
          <w:rPr>
            <w:rStyle w:val="Hyperlink"/>
          </w:rPr>
          <w:t>https://openknowledge.fao.org/handle/20.500.14283/i3720e</w:t>
        </w:r>
      </w:hyperlink>
      <w:r w:rsidR="00BE3DC2">
        <w:t xml:space="preserve"> </w:t>
      </w:r>
    </w:p>
    <w:p w14:paraId="0B2004A7" w14:textId="22D16713" w:rsidR="00350799" w:rsidRPr="00350799" w:rsidRDefault="00350799" w:rsidP="0027287C">
      <w:pPr>
        <w:pStyle w:val="Body"/>
        <w:spacing w:after="0"/>
        <w:ind w:left="720" w:hanging="720"/>
      </w:pPr>
      <w:proofErr w:type="spellStart"/>
      <w:r w:rsidRPr="00350799">
        <w:t>Ghomi</w:t>
      </w:r>
      <w:proofErr w:type="spellEnd"/>
      <w:r w:rsidRPr="00350799">
        <w:t xml:space="preserve">, M. R., Shahriari, R., Langroudi, H. F., Nikoo, M., &amp; von Elert, E. (2012). Effects of exogenous dietary enzyme on growth, body composition, and fatty acid profiles of cultured great sturgeon </w:t>
      </w:r>
      <w:r w:rsidRPr="00350799">
        <w:rPr>
          <w:i/>
          <w:iCs/>
        </w:rPr>
        <w:t xml:space="preserve">Huso </w:t>
      </w:r>
      <w:proofErr w:type="spellStart"/>
      <w:r w:rsidRPr="00350799">
        <w:rPr>
          <w:i/>
          <w:iCs/>
        </w:rPr>
        <w:t>huso</w:t>
      </w:r>
      <w:proofErr w:type="spellEnd"/>
      <w:r w:rsidRPr="00350799">
        <w:t xml:space="preserve"> fingerlings. </w:t>
      </w:r>
      <w:r w:rsidRPr="00350799">
        <w:rPr>
          <w:i/>
          <w:iCs/>
        </w:rPr>
        <w:t>Aquaculture international</w:t>
      </w:r>
      <w:r w:rsidRPr="00350799">
        <w:t>, </w:t>
      </w:r>
      <w:r w:rsidRPr="00350799">
        <w:rPr>
          <w:i/>
          <w:iCs/>
        </w:rPr>
        <w:t>20</w:t>
      </w:r>
      <w:r w:rsidRPr="00350799">
        <w:t>(2), 249</w:t>
      </w:r>
      <w:r w:rsidR="0027287C" w:rsidRPr="000231CA">
        <w:rPr>
          <w:rFonts w:ascii="Arial" w:hAnsi="Arial" w:cs="Arial"/>
        </w:rPr>
        <w:t>–</w:t>
      </w:r>
      <w:r w:rsidRPr="00350799">
        <w:t xml:space="preserve">254. </w:t>
      </w:r>
      <w:hyperlink r:id="rId20" w:history="1">
        <w:r w:rsidR="00BE3DC2" w:rsidRPr="00003D6C">
          <w:rPr>
            <w:rStyle w:val="Hyperlink"/>
          </w:rPr>
          <w:t>https://doi.org/10.1007/s10499-011-9453-9</w:t>
        </w:r>
      </w:hyperlink>
      <w:r w:rsidR="00BE3DC2">
        <w:t xml:space="preserve"> </w:t>
      </w:r>
      <w:r w:rsidR="00BE3DC2">
        <w:tab/>
      </w:r>
    </w:p>
    <w:p w14:paraId="665F3A6E" w14:textId="646D19B3" w:rsidR="00350799" w:rsidRPr="00350799" w:rsidRDefault="00350799" w:rsidP="0027287C">
      <w:pPr>
        <w:pStyle w:val="Body"/>
        <w:spacing w:after="0"/>
        <w:ind w:left="720" w:hanging="720"/>
      </w:pPr>
      <w:r w:rsidRPr="00350799">
        <w:t xml:space="preserve">Giri, S. S., Sahoo, S. K., Sahu, A. K., &amp; Meher, P. K. (2003). Effect of dietary protein level on growth, survival, feed </w:t>
      </w:r>
      <w:proofErr w:type="spellStart"/>
      <w:r w:rsidRPr="00350799">
        <w:t>utilisation</w:t>
      </w:r>
      <w:proofErr w:type="spellEnd"/>
      <w:r w:rsidRPr="00350799">
        <w:t xml:space="preserve"> and body composition of hybrid </w:t>
      </w:r>
      <w:proofErr w:type="spellStart"/>
      <w:r w:rsidRPr="00350799">
        <w:rPr>
          <w:i/>
          <w:iCs/>
        </w:rPr>
        <w:t>Clarias</w:t>
      </w:r>
      <w:proofErr w:type="spellEnd"/>
      <w:r w:rsidRPr="00350799">
        <w:t xml:space="preserve"> catfish (</w:t>
      </w:r>
      <w:proofErr w:type="spellStart"/>
      <w:r w:rsidRPr="00350799">
        <w:rPr>
          <w:i/>
          <w:iCs/>
        </w:rPr>
        <w:t>Clarias</w:t>
      </w:r>
      <w:proofErr w:type="spellEnd"/>
      <w:r w:rsidRPr="00350799">
        <w:rPr>
          <w:i/>
          <w:iCs/>
        </w:rPr>
        <w:t xml:space="preserve"> </w:t>
      </w:r>
      <w:proofErr w:type="spellStart"/>
      <w:r w:rsidRPr="00350799">
        <w:rPr>
          <w:i/>
          <w:iCs/>
        </w:rPr>
        <w:t>batrachus</w:t>
      </w:r>
      <w:proofErr w:type="spellEnd"/>
      <w:r w:rsidR="0027287C">
        <w:rPr>
          <w:i/>
          <w:iCs/>
        </w:rPr>
        <w:t xml:space="preserve"> </w:t>
      </w:r>
      <w:r w:rsidRPr="00350799">
        <w:t xml:space="preserve">× </w:t>
      </w:r>
      <w:proofErr w:type="spellStart"/>
      <w:r w:rsidRPr="00350799">
        <w:rPr>
          <w:i/>
          <w:iCs/>
        </w:rPr>
        <w:t>Clarias</w:t>
      </w:r>
      <w:proofErr w:type="spellEnd"/>
      <w:r w:rsidRPr="00350799">
        <w:rPr>
          <w:i/>
          <w:iCs/>
        </w:rPr>
        <w:t xml:space="preserve"> </w:t>
      </w:r>
      <w:proofErr w:type="spellStart"/>
      <w:r w:rsidRPr="00350799">
        <w:rPr>
          <w:i/>
          <w:iCs/>
        </w:rPr>
        <w:t>gariepinus</w:t>
      </w:r>
      <w:proofErr w:type="spellEnd"/>
      <w:r w:rsidRPr="00350799">
        <w:t>). </w:t>
      </w:r>
      <w:r w:rsidRPr="00350799">
        <w:rPr>
          <w:i/>
          <w:iCs/>
        </w:rPr>
        <w:t>Animal Feed Science and Technology</w:t>
      </w:r>
      <w:r w:rsidRPr="00350799">
        <w:t>, </w:t>
      </w:r>
      <w:r w:rsidRPr="00350799">
        <w:rPr>
          <w:i/>
          <w:iCs/>
        </w:rPr>
        <w:t>104</w:t>
      </w:r>
      <w:r w:rsidRPr="00350799">
        <w:t>(1-4), 169</w:t>
      </w:r>
      <w:r w:rsidR="0027287C" w:rsidRPr="000231CA">
        <w:rPr>
          <w:rFonts w:ascii="Arial" w:hAnsi="Arial" w:cs="Arial"/>
        </w:rPr>
        <w:t>–</w:t>
      </w:r>
      <w:r w:rsidRPr="00350799">
        <w:t xml:space="preserve">178. </w:t>
      </w:r>
      <w:hyperlink r:id="rId21" w:history="1">
        <w:r w:rsidR="00BE3DC2" w:rsidRPr="00003D6C">
          <w:rPr>
            <w:rStyle w:val="Hyperlink"/>
          </w:rPr>
          <w:t>https://doi.org/10.1016/S0377-8401(02)00295-X</w:t>
        </w:r>
      </w:hyperlink>
      <w:r w:rsidR="00BE3DC2">
        <w:t xml:space="preserve"> </w:t>
      </w:r>
    </w:p>
    <w:p w14:paraId="6E517DE7" w14:textId="17574DB7" w:rsidR="00350799" w:rsidRPr="00350799" w:rsidRDefault="00350799" w:rsidP="0027287C">
      <w:pPr>
        <w:pStyle w:val="Body"/>
        <w:spacing w:after="0"/>
        <w:ind w:left="720" w:hanging="720"/>
      </w:pPr>
      <w:r w:rsidRPr="00350799">
        <w:t xml:space="preserve">Goda, A. M. A., Mabrouk, H. A. H. H., Wafa, M. A. E. H., &amp; El-Afifi, T. M. (2012). Effect of using baker's yeast and exogenous digestive enzymes as growth promoters on growth, feed utilization and hematological indices of Nile tilapia, </w:t>
      </w:r>
      <w:r w:rsidRPr="00350799">
        <w:rPr>
          <w:i/>
          <w:iCs/>
        </w:rPr>
        <w:t>Oreochromis</w:t>
      </w:r>
      <w:r w:rsidRPr="00350799">
        <w:t xml:space="preserve"> </w:t>
      </w:r>
      <w:r w:rsidRPr="00350799">
        <w:rPr>
          <w:i/>
          <w:iCs/>
        </w:rPr>
        <w:t>niloticus</w:t>
      </w:r>
      <w:r w:rsidRPr="00350799">
        <w:t xml:space="preserve"> fingerlings. </w:t>
      </w:r>
      <w:r w:rsidRPr="00350799">
        <w:rPr>
          <w:i/>
          <w:iCs/>
        </w:rPr>
        <w:t>Journal of Agricultural Science and Technology</w:t>
      </w:r>
      <w:r w:rsidRPr="00350799">
        <w:t xml:space="preserve">. B (2), 15–28. </w:t>
      </w:r>
      <w:hyperlink r:id="rId22" w:history="1">
        <w:r w:rsidR="00BE3DC2" w:rsidRPr="00003D6C">
          <w:rPr>
            <w:rStyle w:val="Hyperlink"/>
          </w:rPr>
          <w:t>https://www.researchgate.net/publication/285160866</w:t>
        </w:r>
      </w:hyperlink>
      <w:r w:rsidR="00BE3DC2">
        <w:t xml:space="preserve"> </w:t>
      </w:r>
    </w:p>
    <w:p w14:paraId="4757EEFE" w14:textId="6E7402CD" w:rsidR="00350799" w:rsidRPr="00350799" w:rsidRDefault="00350799" w:rsidP="0027287C">
      <w:pPr>
        <w:pStyle w:val="Body"/>
        <w:spacing w:after="0"/>
        <w:ind w:left="720" w:hanging="720"/>
      </w:pPr>
      <w:proofErr w:type="spellStart"/>
      <w:r w:rsidRPr="00350799">
        <w:t>Haghbayan</w:t>
      </w:r>
      <w:proofErr w:type="spellEnd"/>
      <w:r w:rsidRPr="00350799">
        <w:t xml:space="preserve">, S., &amp; </w:t>
      </w:r>
      <w:proofErr w:type="spellStart"/>
      <w:r w:rsidRPr="00350799">
        <w:t>Mehrgan</w:t>
      </w:r>
      <w:proofErr w:type="spellEnd"/>
      <w:r w:rsidRPr="00350799">
        <w:t>, M.S. (2015). The effect of replacing fish meal in the diet with enzyme-treated soybean meal (HP310) on growth and body composition of rainbow trout fry. </w:t>
      </w:r>
      <w:r w:rsidRPr="00350799">
        <w:rPr>
          <w:i/>
          <w:iCs/>
        </w:rPr>
        <w:t>Molecules</w:t>
      </w:r>
      <w:r w:rsidRPr="00350799">
        <w:t>, </w:t>
      </w:r>
      <w:r w:rsidRPr="00350799">
        <w:rPr>
          <w:i/>
          <w:iCs/>
        </w:rPr>
        <w:t>20</w:t>
      </w:r>
      <w:r w:rsidRPr="00350799">
        <w:t>(12), 21058</w:t>
      </w:r>
      <w:r w:rsidR="0027287C" w:rsidRPr="000231CA">
        <w:rPr>
          <w:rFonts w:ascii="Arial" w:hAnsi="Arial" w:cs="Arial"/>
        </w:rPr>
        <w:t>–</w:t>
      </w:r>
      <w:r w:rsidRPr="00350799">
        <w:t xml:space="preserve">21066. </w:t>
      </w:r>
      <w:hyperlink r:id="rId23" w:history="1">
        <w:r w:rsidR="00BE3DC2" w:rsidRPr="00003D6C">
          <w:rPr>
            <w:rStyle w:val="Hyperlink"/>
          </w:rPr>
          <w:t>https://doi.org/10.3390/molecules201219751</w:t>
        </w:r>
      </w:hyperlink>
      <w:r w:rsidR="00BE3DC2">
        <w:t xml:space="preserve"> </w:t>
      </w:r>
    </w:p>
    <w:p w14:paraId="13786BA8" w14:textId="6E787BC5" w:rsidR="00350799" w:rsidRPr="00350799" w:rsidRDefault="00350799" w:rsidP="0027287C">
      <w:pPr>
        <w:pStyle w:val="Body"/>
        <w:spacing w:after="0"/>
        <w:ind w:left="720" w:hanging="720"/>
      </w:pPr>
      <w:proofErr w:type="spellStart"/>
      <w:r w:rsidRPr="00350799">
        <w:t>Hlophe</w:t>
      </w:r>
      <w:r w:rsidRPr="00350799">
        <w:rPr>
          <w:rFonts w:ascii="Cambria Math" w:hAnsi="Cambria Math" w:cs="Cambria Math"/>
        </w:rPr>
        <w:t>‐</w:t>
      </w:r>
      <w:r w:rsidRPr="00350799">
        <w:t>Ginindza</w:t>
      </w:r>
      <w:proofErr w:type="spellEnd"/>
      <w:r w:rsidRPr="00350799">
        <w:t xml:space="preserve">, S. N., Moyo, N. A., Ngambi, J. W., &amp; Ncube, I. (2016). The effect of exogenous enzyme supplementation on growth performance and digestive enzyme activities in </w:t>
      </w:r>
      <w:r w:rsidRPr="00350799">
        <w:rPr>
          <w:i/>
          <w:iCs/>
        </w:rPr>
        <w:t>Oreochromis</w:t>
      </w:r>
      <w:r w:rsidRPr="00350799">
        <w:t xml:space="preserve"> </w:t>
      </w:r>
      <w:r w:rsidRPr="00350799">
        <w:rPr>
          <w:i/>
          <w:iCs/>
        </w:rPr>
        <w:t>mossambicus</w:t>
      </w:r>
      <w:r w:rsidRPr="00350799">
        <w:t xml:space="preserve"> fed kikuyu</w:t>
      </w:r>
      <w:r w:rsidRPr="00350799">
        <w:rPr>
          <w:rFonts w:ascii="Cambria Math" w:hAnsi="Cambria Math" w:cs="Cambria Math"/>
        </w:rPr>
        <w:t>‐</w:t>
      </w:r>
      <w:r w:rsidRPr="00350799">
        <w:t>based diets.</w:t>
      </w:r>
      <w:r w:rsidRPr="00350799">
        <w:rPr>
          <w:rFonts w:cs="Helvetica"/>
        </w:rPr>
        <w:t> </w:t>
      </w:r>
      <w:r w:rsidRPr="00350799">
        <w:rPr>
          <w:i/>
          <w:iCs/>
        </w:rPr>
        <w:t>Aquaculture Research</w:t>
      </w:r>
      <w:r w:rsidRPr="00350799">
        <w:t>, </w:t>
      </w:r>
      <w:r w:rsidRPr="00350799">
        <w:rPr>
          <w:i/>
          <w:iCs/>
        </w:rPr>
        <w:t>47</w:t>
      </w:r>
      <w:r w:rsidRPr="00350799">
        <w:t>(12), 3777</w:t>
      </w:r>
      <w:r w:rsidR="0027287C" w:rsidRPr="000231CA">
        <w:rPr>
          <w:rFonts w:ascii="Arial" w:hAnsi="Arial" w:cs="Arial"/>
        </w:rPr>
        <w:t>–</w:t>
      </w:r>
      <w:r w:rsidRPr="00350799">
        <w:t xml:space="preserve">3787.  </w:t>
      </w:r>
      <w:hyperlink r:id="rId24" w:history="1">
        <w:r w:rsidR="00BE3DC2" w:rsidRPr="00003D6C">
          <w:rPr>
            <w:rStyle w:val="Hyperlink"/>
          </w:rPr>
          <w:t>https://doi.org/10.1111/are.12828</w:t>
        </w:r>
      </w:hyperlink>
      <w:r w:rsidR="00BE3DC2">
        <w:t xml:space="preserve"> </w:t>
      </w:r>
    </w:p>
    <w:p w14:paraId="0DC6B64B" w14:textId="4900FC70" w:rsidR="00350799" w:rsidRPr="00BE3DC2" w:rsidRDefault="00350799" w:rsidP="0027287C">
      <w:pPr>
        <w:pStyle w:val="Body"/>
        <w:spacing w:after="0"/>
        <w:ind w:left="720" w:hanging="720"/>
        <w:rPr>
          <w:b/>
        </w:rPr>
      </w:pPr>
      <w:r w:rsidRPr="00350799">
        <w:rPr>
          <w:bCs/>
        </w:rPr>
        <w:t>Huss, H.H. (1995). Quality and quality changes in fresh fish. FAO Fisheries Technical Paper 348, FAO, Rome, Italy.</w:t>
      </w:r>
      <w:r w:rsidR="00BE3DC2">
        <w:rPr>
          <w:bCs/>
        </w:rPr>
        <w:t xml:space="preserve"> </w:t>
      </w:r>
      <w:r w:rsidR="00BE3DC2">
        <w:rPr>
          <w:b/>
        </w:rPr>
        <w:t xml:space="preserve"> </w:t>
      </w:r>
      <w:hyperlink r:id="rId25" w:history="1">
        <w:r w:rsidR="00BE3DC2" w:rsidRPr="00003D6C">
          <w:rPr>
            <w:rStyle w:val="Hyperlink"/>
            <w:b/>
          </w:rPr>
          <w:t>https://www.fao.org/3/v7180e/v7180e00.htm</w:t>
        </w:r>
      </w:hyperlink>
      <w:r w:rsidR="00BE3DC2">
        <w:rPr>
          <w:b/>
        </w:rPr>
        <w:t xml:space="preserve"> </w:t>
      </w:r>
    </w:p>
    <w:p w14:paraId="1B4C1FCF" w14:textId="48595F59" w:rsidR="00350799" w:rsidRPr="00350799" w:rsidRDefault="00350799" w:rsidP="0027287C">
      <w:pPr>
        <w:pStyle w:val="Body"/>
        <w:spacing w:after="0"/>
        <w:ind w:left="720" w:hanging="720"/>
      </w:pPr>
      <w:r w:rsidRPr="00350799">
        <w:t xml:space="preserve">Khatun S, Rahman M and Sarkar C, 2017. Comparative overview of different fish feed industries in the Noakhali region of Bangladesh. </w:t>
      </w:r>
      <w:r w:rsidRPr="00350799">
        <w:rPr>
          <w:i/>
          <w:iCs/>
        </w:rPr>
        <w:t>Asian Journal of Medical and Biological Research</w:t>
      </w:r>
      <w:r w:rsidRPr="00350799">
        <w:t xml:space="preserve">, </w:t>
      </w:r>
      <w:r w:rsidRPr="00350799">
        <w:rPr>
          <w:i/>
          <w:iCs/>
        </w:rPr>
        <w:t>3</w:t>
      </w:r>
      <w:r w:rsidRPr="00350799">
        <w:t xml:space="preserve">(4), 488–493. </w:t>
      </w:r>
      <w:hyperlink r:id="rId26" w:history="1">
        <w:r w:rsidR="00BE3DC2" w:rsidRPr="00003D6C">
          <w:rPr>
            <w:rStyle w:val="Hyperlink"/>
          </w:rPr>
          <w:t>https://doi.org/10.3329/ajmbr.v3i4.35339</w:t>
        </w:r>
      </w:hyperlink>
      <w:r w:rsidR="00BE3DC2">
        <w:t xml:space="preserve"> </w:t>
      </w:r>
    </w:p>
    <w:p w14:paraId="526D0364" w14:textId="48839F87" w:rsidR="00350799" w:rsidRPr="00350799" w:rsidRDefault="00350799" w:rsidP="0027287C">
      <w:pPr>
        <w:pStyle w:val="Body"/>
        <w:spacing w:after="0"/>
        <w:ind w:left="720" w:hanging="720"/>
      </w:pPr>
      <w:r w:rsidRPr="00350799">
        <w:t>Kumar, S., Sahu, N. P., Pal, A. K., Choudhury, D., &amp; Mukherjee, S. C. (2006). Non</w:t>
      </w:r>
      <w:r w:rsidRPr="00350799">
        <w:rPr>
          <w:rFonts w:ascii="Cambria Math" w:hAnsi="Cambria Math" w:cs="Cambria Math"/>
        </w:rPr>
        <w:t>‐</w:t>
      </w:r>
      <w:r w:rsidRPr="00350799">
        <w:t xml:space="preserve">gelatinized corn supplemented with </w:t>
      </w:r>
      <w:r w:rsidRPr="00350799">
        <w:rPr>
          <w:rFonts w:cs="Helvetica"/>
        </w:rPr>
        <w:t>α</w:t>
      </w:r>
      <w:r w:rsidRPr="00350799">
        <w:rPr>
          <w:rFonts w:ascii="Cambria Math" w:hAnsi="Cambria Math" w:cs="Cambria Math"/>
        </w:rPr>
        <w:t>‐</w:t>
      </w:r>
      <w:r w:rsidRPr="00350799">
        <w:t>amylase at sub</w:t>
      </w:r>
      <w:r w:rsidRPr="00350799">
        <w:rPr>
          <w:rFonts w:ascii="Cambria Math" w:hAnsi="Cambria Math" w:cs="Cambria Math"/>
        </w:rPr>
        <w:t>‐</w:t>
      </w:r>
      <w:r w:rsidRPr="00350799">
        <w:t xml:space="preserve">optimum protein level enhances the growth of </w:t>
      </w:r>
      <w:r w:rsidRPr="00350799">
        <w:rPr>
          <w:i/>
          <w:iCs/>
        </w:rPr>
        <w:t>Labeo</w:t>
      </w:r>
      <w:r w:rsidRPr="00350799">
        <w:t xml:space="preserve"> </w:t>
      </w:r>
      <w:r w:rsidRPr="00350799">
        <w:rPr>
          <w:i/>
          <w:iCs/>
        </w:rPr>
        <w:t>rohita</w:t>
      </w:r>
      <w:r w:rsidRPr="00350799">
        <w:t xml:space="preserve"> (Hamilton) fingerlings. </w:t>
      </w:r>
      <w:r w:rsidRPr="00350799">
        <w:rPr>
          <w:i/>
          <w:iCs/>
        </w:rPr>
        <w:t>Aquaculture Research</w:t>
      </w:r>
      <w:r w:rsidRPr="00350799">
        <w:t>, </w:t>
      </w:r>
      <w:r w:rsidRPr="00350799">
        <w:rPr>
          <w:i/>
          <w:iCs/>
        </w:rPr>
        <w:t>37</w:t>
      </w:r>
      <w:r w:rsidRPr="00350799">
        <w:t>(3), 284</w:t>
      </w:r>
      <w:r w:rsidR="0027287C" w:rsidRPr="000231CA">
        <w:rPr>
          <w:rFonts w:ascii="Arial" w:hAnsi="Arial" w:cs="Arial"/>
        </w:rPr>
        <w:t>–</w:t>
      </w:r>
      <w:r w:rsidRPr="00350799">
        <w:t xml:space="preserve">292. </w:t>
      </w:r>
      <w:hyperlink r:id="rId27" w:history="1">
        <w:r w:rsidR="00BE3DC2" w:rsidRPr="00003D6C">
          <w:rPr>
            <w:rStyle w:val="Hyperlink"/>
          </w:rPr>
          <w:t>https://doi.org/10.1111/j.1365-2109.2005.01434.x</w:t>
        </w:r>
      </w:hyperlink>
      <w:r w:rsidR="00BE3DC2">
        <w:t xml:space="preserve"> </w:t>
      </w:r>
    </w:p>
    <w:p w14:paraId="3B280033" w14:textId="36FCA28E" w:rsidR="00350799" w:rsidRPr="00350799" w:rsidRDefault="00350799" w:rsidP="0027287C">
      <w:pPr>
        <w:pStyle w:val="Body"/>
        <w:spacing w:after="0"/>
        <w:ind w:left="720" w:hanging="720"/>
      </w:pPr>
      <w:r w:rsidRPr="00350799">
        <w:t xml:space="preserve">Liang, Q., Yuan, M., Xu, L., Lio, E., Zhang, F., Mou, H., &amp; Secundo, F. (2022). Application of enzymes as a feed additive in aquaculture. </w:t>
      </w:r>
      <w:r w:rsidRPr="00350799">
        <w:rPr>
          <w:i/>
          <w:iCs/>
        </w:rPr>
        <w:t>Marine Life Science &amp; Technology</w:t>
      </w:r>
      <w:r w:rsidRPr="00350799">
        <w:t xml:space="preserve">, </w:t>
      </w:r>
      <w:r w:rsidRPr="00350799">
        <w:rPr>
          <w:i/>
          <w:iCs/>
        </w:rPr>
        <w:t>4</w:t>
      </w:r>
      <w:r w:rsidRPr="00350799">
        <w:t>(2), 208</w:t>
      </w:r>
      <w:r w:rsidR="0027287C" w:rsidRPr="000231CA">
        <w:rPr>
          <w:rFonts w:ascii="Arial" w:hAnsi="Arial" w:cs="Arial"/>
        </w:rPr>
        <w:t>–</w:t>
      </w:r>
      <w:r w:rsidRPr="00350799">
        <w:t xml:space="preserve">221. </w:t>
      </w:r>
      <w:hyperlink r:id="rId28" w:history="1">
        <w:r w:rsidR="00BE3DC2" w:rsidRPr="00003D6C">
          <w:rPr>
            <w:rStyle w:val="Hyperlink"/>
          </w:rPr>
          <w:t>https://doi.org/10.1007/s42995-022-00128-z</w:t>
        </w:r>
      </w:hyperlink>
      <w:r w:rsidR="00BE3DC2">
        <w:t xml:space="preserve"> </w:t>
      </w:r>
    </w:p>
    <w:p w14:paraId="763892DC" w14:textId="6BA5E90D" w:rsidR="00350799" w:rsidRPr="00350799" w:rsidRDefault="00350799" w:rsidP="0027287C">
      <w:pPr>
        <w:pStyle w:val="Body"/>
        <w:spacing w:after="0"/>
        <w:ind w:left="720" w:hanging="720"/>
      </w:pPr>
      <w:r w:rsidRPr="00350799">
        <w:t xml:space="preserve">Lin, S., Mai, K., &amp; Tan, B. (2007). Effects of exogenous enzyme supplementation in diets on growth and feed utilization in tilapia, </w:t>
      </w:r>
      <w:r w:rsidRPr="00350799">
        <w:rPr>
          <w:i/>
          <w:iCs/>
        </w:rPr>
        <w:t>Oreochromis</w:t>
      </w:r>
      <w:r w:rsidRPr="00350799">
        <w:t xml:space="preserve"> </w:t>
      </w:r>
      <w:r w:rsidRPr="00350799">
        <w:rPr>
          <w:i/>
          <w:iCs/>
        </w:rPr>
        <w:t>niloticus</w:t>
      </w:r>
      <w:r w:rsidRPr="00350799">
        <w:t xml:space="preserve"> x </w:t>
      </w:r>
      <w:r w:rsidRPr="00350799">
        <w:rPr>
          <w:i/>
          <w:iCs/>
        </w:rPr>
        <w:t>O</w:t>
      </w:r>
      <w:r w:rsidRPr="00350799">
        <w:t xml:space="preserve">. </w:t>
      </w:r>
      <w:r w:rsidRPr="00350799">
        <w:rPr>
          <w:i/>
          <w:iCs/>
        </w:rPr>
        <w:t>aureus</w:t>
      </w:r>
      <w:r w:rsidRPr="00350799">
        <w:t>. </w:t>
      </w:r>
      <w:r w:rsidRPr="00350799">
        <w:rPr>
          <w:i/>
          <w:iCs/>
        </w:rPr>
        <w:t>Aquaculture research</w:t>
      </w:r>
      <w:r w:rsidRPr="00350799">
        <w:t>, </w:t>
      </w:r>
      <w:r w:rsidRPr="00350799">
        <w:rPr>
          <w:i/>
          <w:iCs/>
        </w:rPr>
        <w:t>38</w:t>
      </w:r>
      <w:r w:rsidRPr="00350799">
        <w:t>(15), 1645</w:t>
      </w:r>
      <w:r w:rsidR="0027287C" w:rsidRPr="000231CA">
        <w:rPr>
          <w:rFonts w:ascii="Arial" w:hAnsi="Arial" w:cs="Arial"/>
        </w:rPr>
        <w:t>–</w:t>
      </w:r>
      <w:r w:rsidRPr="00350799">
        <w:t xml:space="preserve">1653. </w:t>
      </w:r>
      <w:hyperlink r:id="rId29" w:history="1">
        <w:r w:rsidR="00BE3DC2" w:rsidRPr="00003D6C">
          <w:rPr>
            <w:rStyle w:val="Hyperlink"/>
          </w:rPr>
          <w:t>https://doi.org/10.1111/j.1365-2109.2007.01825.x</w:t>
        </w:r>
      </w:hyperlink>
      <w:r w:rsidR="00BE3DC2">
        <w:t xml:space="preserve"> </w:t>
      </w:r>
    </w:p>
    <w:p w14:paraId="736708F1" w14:textId="27A253D3" w:rsidR="00350799" w:rsidRPr="00350799" w:rsidRDefault="00350799" w:rsidP="0027287C">
      <w:pPr>
        <w:pStyle w:val="Body"/>
        <w:spacing w:after="0"/>
        <w:ind w:left="720" w:hanging="720"/>
      </w:pPr>
      <w:r w:rsidRPr="00350799">
        <w:t xml:space="preserve">Maas, R. M., </w:t>
      </w:r>
      <w:proofErr w:type="spellStart"/>
      <w:r w:rsidRPr="00350799">
        <w:t>Verdegem</w:t>
      </w:r>
      <w:proofErr w:type="spellEnd"/>
      <w:r w:rsidRPr="00350799">
        <w:t xml:space="preserve">, M. C., Lee, C. N., &amp; </w:t>
      </w:r>
      <w:proofErr w:type="spellStart"/>
      <w:r w:rsidRPr="00350799">
        <w:t>Schrama</w:t>
      </w:r>
      <w:proofErr w:type="spellEnd"/>
      <w:r w:rsidRPr="00350799">
        <w:t>, J. W. (2021). Effects and interactions between phytase, xylanase and β-</w:t>
      </w:r>
      <w:proofErr w:type="spellStart"/>
      <w:r w:rsidRPr="00350799">
        <w:t>glucanase</w:t>
      </w:r>
      <w:proofErr w:type="spellEnd"/>
      <w:r w:rsidRPr="00350799">
        <w:t xml:space="preserve"> on growth performance and nutrient digestibility in Nile tilapia. </w:t>
      </w:r>
      <w:r w:rsidRPr="00350799">
        <w:rPr>
          <w:i/>
          <w:iCs/>
        </w:rPr>
        <w:t>Animal Feed Science and Technology</w:t>
      </w:r>
      <w:r w:rsidRPr="00350799">
        <w:t>, </w:t>
      </w:r>
      <w:r w:rsidRPr="00350799">
        <w:rPr>
          <w:i/>
          <w:iCs/>
        </w:rPr>
        <w:t>271</w:t>
      </w:r>
      <w:r w:rsidRPr="00350799">
        <w:t xml:space="preserve">, 114767. </w:t>
      </w:r>
      <w:hyperlink r:id="rId30" w:history="1">
        <w:r w:rsidR="00BE3DC2" w:rsidRPr="00003D6C">
          <w:rPr>
            <w:rStyle w:val="Hyperlink"/>
          </w:rPr>
          <w:t>https://doi.org/10.1016/j.anifeedsci.2020.114767</w:t>
        </w:r>
      </w:hyperlink>
      <w:r w:rsidR="00BE3DC2">
        <w:t xml:space="preserve"> </w:t>
      </w:r>
    </w:p>
    <w:p w14:paraId="52CEEBAD" w14:textId="3A2BDA85" w:rsidR="00350799" w:rsidRPr="00350799" w:rsidRDefault="00350799" w:rsidP="0027287C">
      <w:pPr>
        <w:pStyle w:val="Body"/>
        <w:spacing w:after="0"/>
        <w:ind w:left="720" w:hanging="720"/>
      </w:pPr>
      <w:r w:rsidRPr="00350799">
        <w:t xml:space="preserve">Maas, R. M., </w:t>
      </w:r>
      <w:proofErr w:type="spellStart"/>
      <w:r w:rsidRPr="00350799">
        <w:t>Verdegem</w:t>
      </w:r>
      <w:proofErr w:type="spellEnd"/>
      <w:r w:rsidRPr="00350799">
        <w:t xml:space="preserve">, M. C., </w:t>
      </w:r>
      <w:proofErr w:type="spellStart"/>
      <w:r w:rsidRPr="00350799">
        <w:t>Dersjant</w:t>
      </w:r>
      <w:proofErr w:type="spellEnd"/>
      <w:r w:rsidRPr="00350799">
        <w:t xml:space="preserve">-Li, Y., &amp; </w:t>
      </w:r>
      <w:proofErr w:type="spellStart"/>
      <w:r w:rsidRPr="00350799">
        <w:t>Schrama</w:t>
      </w:r>
      <w:proofErr w:type="spellEnd"/>
      <w:r w:rsidRPr="00350799">
        <w:t>, J. W. (2018). The effect of phytase, xylanase and their combination on growth performance and nutrient utilization in Nile tilapia. </w:t>
      </w:r>
      <w:r w:rsidRPr="00350799">
        <w:rPr>
          <w:i/>
          <w:iCs/>
        </w:rPr>
        <w:t>Aquaculture</w:t>
      </w:r>
      <w:r w:rsidRPr="00350799">
        <w:t>, </w:t>
      </w:r>
      <w:r w:rsidRPr="00350799">
        <w:rPr>
          <w:i/>
          <w:iCs/>
        </w:rPr>
        <w:t>487</w:t>
      </w:r>
      <w:r w:rsidRPr="00350799">
        <w:t>, 7</w:t>
      </w:r>
      <w:r w:rsidR="0027287C" w:rsidRPr="000231CA">
        <w:rPr>
          <w:rFonts w:ascii="Arial" w:hAnsi="Arial" w:cs="Arial"/>
        </w:rPr>
        <w:t>–</w:t>
      </w:r>
      <w:r w:rsidRPr="00350799">
        <w:t xml:space="preserve">14. </w:t>
      </w:r>
      <w:hyperlink r:id="rId31" w:history="1">
        <w:r w:rsidR="00BE3DC2" w:rsidRPr="00003D6C">
          <w:rPr>
            <w:rStyle w:val="Hyperlink"/>
          </w:rPr>
          <w:t>https://doi.org/10.1016/j.aquaculture.2017.12.040</w:t>
        </w:r>
      </w:hyperlink>
      <w:r w:rsidR="00BE3DC2">
        <w:t xml:space="preserve"> </w:t>
      </w:r>
    </w:p>
    <w:p w14:paraId="67343BDD" w14:textId="440DAD02" w:rsidR="00350799" w:rsidRPr="00350799" w:rsidRDefault="00350799" w:rsidP="0027287C">
      <w:pPr>
        <w:pStyle w:val="Body"/>
        <w:spacing w:after="0"/>
        <w:ind w:left="720" w:hanging="720"/>
      </w:pPr>
      <w:r w:rsidRPr="00350799">
        <w:lastRenderedPageBreak/>
        <w:t xml:space="preserve">Mahmoud, M. M., </w:t>
      </w:r>
      <w:proofErr w:type="spellStart"/>
      <w:r w:rsidRPr="00350799">
        <w:t>Kilany</w:t>
      </w:r>
      <w:proofErr w:type="spellEnd"/>
      <w:r w:rsidRPr="00350799">
        <w:t xml:space="preserve">, O. E., &amp; </w:t>
      </w:r>
      <w:proofErr w:type="spellStart"/>
      <w:r w:rsidRPr="00350799">
        <w:t>Dessouki</w:t>
      </w:r>
      <w:proofErr w:type="spellEnd"/>
      <w:r w:rsidRPr="00350799">
        <w:t>, A. A. (2014). Effects of fish meal replacement with soybean meal and use of exogenous enzymes in diets of Nile tilapia (</w:t>
      </w:r>
      <w:r w:rsidRPr="00350799">
        <w:rPr>
          <w:i/>
          <w:iCs/>
        </w:rPr>
        <w:t>Oreochromis</w:t>
      </w:r>
      <w:r w:rsidRPr="00350799">
        <w:t xml:space="preserve"> </w:t>
      </w:r>
      <w:r w:rsidRPr="00350799">
        <w:rPr>
          <w:i/>
          <w:iCs/>
        </w:rPr>
        <w:t>niloticus</w:t>
      </w:r>
      <w:r w:rsidRPr="00350799">
        <w:t>) on growth, feed utilization, histopathological changes and blood parameters. </w:t>
      </w:r>
      <w:r w:rsidRPr="00350799">
        <w:rPr>
          <w:i/>
          <w:iCs/>
        </w:rPr>
        <w:t>Life Science Journal</w:t>
      </w:r>
      <w:r w:rsidRPr="00350799">
        <w:t>, </w:t>
      </w:r>
      <w:r w:rsidRPr="00350799">
        <w:rPr>
          <w:i/>
          <w:iCs/>
        </w:rPr>
        <w:t>11</w:t>
      </w:r>
      <w:r w:rsidRPr="00350799">
        <w:t>(2), 6</w:t>
      </w:r>
      <w:r w:rsidR="0027287C" w:rsidRPr="000231CA">
        <w:rPr>
          <w:rFonts w:ascii="Arial" w:hAnsi="Arial" w:cs="Arial"/>
        </w:rPr>
        <w:t>–</w:t>
      </w:r>
      <w:r w:rsidRPr="00350799">
        <w:t xml:space="preserve">18.     </w:t>
      </w:r>
      <w:hyperlink r:id="rId32" w:history="1">
        <w:r w:rsidR="00BE3DC2" w:rsidRPr="00003D6C">
          <w:rPr>
            <w:rStyle w:val="Hyperlink"/>
          </w:rPr>
          <w:t>https://doi.org/10.7537/j.issn.1097-8135</w:t>
        </w:r>
      </w:hyperlink>
      <w:r w:rsidR="00BE3DC2">
        <w:t xml:space="preserve"> </w:t>
      </w:r>
    </w:p>
    <w:p w14:paraId="59E97C54" w14:textId="601CF32C" w:rsidR="00350799" w:rsidRPr="00350799" w:rsidRDefault="00350799" w:rsidP="0027287C">
      <w:pPr>
        <w:pStyle w:val="Body"/>
        <w:spacing w:after="0"/>
        <w:ind w:left="720" w:hanging="720"/>
      </w:pPr>
      <w:r w:rsidRPr="00350799">
        <w:t>Menezes</w:t>
      </w:r>
      <w:r w:rsidRPr="00350799">
        <w:rPr>
          <w:rFonts w:ascii="Cambria Math" w:hAnsi="Cambria Math" w:cs="Cambria Math"/>
        </w:rPr>
        <w:t>‐</w:t>
      </w:r>
      <w:r w:rsidRPr="00350799">
        <w:t xml:space="preserve">Blackburn, D., &amp; Greiner, R. (2015). Enzymes used in animal feed: leading technologies and forthcoming developments. </w:t>
      </w:r>
      <w:r w:rsidRPr="00350799">
        <w:rPr>
          <w:i/>
          <w:iCs/>
        </w:rPr>
        <w:t>Functional polymers in food science: from technology to biology</w:t>
      </w:r>
      <w:r w:rsidRPr="00350799">
        <w:t>, 47</w:t>
      </w:r>
      <w:r w:rsidR="0027287C" w:rsidRPr="000231CA">
        <w:rPr>
          <w:rFonts w:ascii="Arial" w:hAnsi="Arial" w:cs="Arial"/>
        </w:rPr>
        <w:t>–</w:t>
      </w:r>
      <w:r w:rsidRPr="00350799">
        <w:t>73.</w:t>
      </w:r>
      <w:r w:rsidRPr="00350799">
        <w:rPr>
          <w:rFonts w:cs="Helvetica"/>
        </w:rPr>
        <w:t> </w:t>
      </w:r>
      <w:hyperlink r:id="rId33" w:history="1">
        <w:r w:rsidR="00BE3DC2" w:rsidRPr="00003D6C">
          <w:rPr>
            <w:rStyle w:val="Hyperlink"/>
          </w:rPr>
          <w:t>https://doi.org/10.1002/9781119108580.ch4</w:t>
        </w:r>
      </w:hyperlink>
      <w:r w:rsidR="00BE3DC2">
        <w:t xml:space="preserve"> </w:t>
      </w:r>
    </w:p>
    <w:p w14:paraId="37F0340F" w14:textId="2020A984" w:rsidR="00350799" w:rsidRPr="00350799" w:rsidRDefault="00350799" w:rsidP="0027287C">
      <w:pPr>
        <w:pStyle w:val="Body"/>
        <w:spacing w:after="0"/>
        <w:ind w:left="720" w:hanging="720"/>
      </w:pPr>
      <w:r w:rsidRPr="00350799">
        <w:t>Monier, M. N. (2020). Efficacy of dietary exogenous enzyme supplementation on growth performance, antioxidant activity, and digestive enzymes of common carp (</w:t>
      </w:r>
      <w:r w:rsidRPr="00350799">
        <w:rPr>
          <w:i/>
          <w:iCs/>
        </w:rPr>
        <w:t>Cyprinus</w:t>
      </w:r>
      <w:r w:rsidRPr="00350799">
        <w:t xml:space="preserve"> </w:t>
      </w:r>
      <w:r w:rsidRPr="00350799">
        <w:rPr>
          <w:i/>
          <w:iCs/>
        </w:rPr>
        <w:t>carpio</w:t>
      </w:r>
      <w:r w:rsidRPr="00350799">
        <w:t>) fry. </w:t>
      </w:r>
      <w:r w:rsidRPr="00350799">
        <w:rPr>
          <w:i/>
          <w:iCs/>
        </w:rPr>
        <w:t>Fish Physiology and Biochemistry</w:t>
      </w:r>
      <w:r w:rsidRPr="00350799">
        <w:t>, </w:t>
      </w:r>
      <w:r w:rsidRPr="00350799">
        <w:rPr>
          <w:i/>
          <w:iCs/>
        </w:rPr>
        <w:t>46</w:t>
      </w:r>
      <w:r w:rsidRPr="00350799">
        <w:t>(2), 713</w:t>
      </w:r>
      <w:r w:rsidR="0027287C" w:rsidRPr="000231CA">
        <w:rPr>
          <w:rFonts w:ascii="Arial" w:hAnsi="Arial" w:cs="Arial"/>
        </w:rPr>
        <w:t>–</w:t>
      </w:r>
      <w:r w:rsidRPr="00350799">
        <w:t xml:space="preserve">723. </w:t>
      </w:r>
      <w:hyperlink r:id="rId34" w:history="1">
        <w:r w:rsidR="00BE3DC2" w:rsidRPr="00003D6C">
          <w:rPr>
            <w:rStyle w:val="Hyperlink"/>
          </w:rPr>
          <w:t>https://doi.org/10.1007/s10695-019-00745-z</w:t>
        </w:r>
      </w:hyperlink>
      <w:r w:rsidR="00BE3DC2">
        <w:t xml:space="preserve"> </w:t>
      </w:r>
    </w:p>
    <w:p w14:paraId="1509E89C" w14:textId="590D12CB" w:rsidR="00350799" w:rsidRPr="00350799" w:rsidRDefault="00350799" w:rsidP="0027287C">
      <w:pPr>
        <w:pStyle w:val="Body"/>
        <w:spacing w:after="0"/>
        <w:ind w:left="720" w:hanging="720"/>
      </w:pPr>
      <w:r w:rsidRPr="00350799">
        <w:t xml:space="preserve">Rahman, M., &amp; Sarker, S. (2019). Effects of Exogenous Multi Enzyme on the Growth, Blood Parameters and Flesh Compositions of </w:t>
      </w:r>
      <w:r w:rsidRPr="00350799">
        <w:rPr>
          <w:i/>
          <w:iCs/>
        </w:rPr>
        <w:t>Labeo rohita</w:t>
      </w:r>
      <w:r w:rsidRPr="00350799">
        <w:t xml:space="preserve"> (H). </w:t>
      </w:r>
      <w:r w:rsidRPr="00350799">
        <w:rPr>
          <w:i/>
          <w:iCs/>
        </w:rPr>
        <w:t>IOSR Journal of Agriculture and Veterinary Science</w:t>
      </w:r>
      <w:r w:rsidRPr="00350799">
        <w:t>, </w:t>
      </w:r>
      <w:r w:rsidRPr="00350799">
        <w:rPr>
          <w:i/>
          <w:iCs/>
        </w:rPr>
        <w:t>12</w:t>
      </w:r>
      <w:r w:rsidRPr="00350799">
        <w:t>(8), 43</w:t>
      </w:r>
      <w:r w:rsidR="0027287C" w:rsidRPr="000231CA">
        <w:rPr>
          <w:rFonts w:ascii="Arial" w:hAnsi="Arial" w:cs="Arial"/>
        </w:rPr>
        <w:t>–</w:t>
      </w:r>
      <w:r w:rsidRPr="00350799">
        <w:t xml:space="preserve">48. </w:t>
      </w:r>
      <w:hyperlink r:id="rId35" w:history="1">
        <w:r w:rsidR="00BE3DC2" w:rsidRPr="00003D6C">
          <w:rPr>
            <w:rStyle w:val="Hyperlink"/>
          </w:rPr>
          <w:t>https://doi.org/10.9790/2380-1208024348</w:t>
        </w:r>
      </w:hyperlink>
      <w:r w:rsidR="00BE3DC2">
        <w:t xml:space="preserve"> </w:t>
      </w:r>
    </w:p>
    <w:p w14:paraId="382D7540" w14:textId="70C6FFE1" w:rsidR="00350799" w:rsidRPr="00350799" w:rsidRDefault="00350799" w:rsidP="0027287C">
      <w:pPr>
        <w:pStyle w:val="Body"/>
        <w:spacing w:after="0"/>
        <w:ind w:left="720" w:hanging="720"/>
      </w:pPr>
      <w:proofErr w:type="spellStart"/>
      <w:r w:rsidRPr="00350799">
        <w:t>Shakoori</w:t>
      </w:r>
      <w:proofErr w:type="spellEnd"/>
      <w:r w:rsidRPr="00350799">
        <w:t xml:space="preserve">, M., </w:t>
      </w:r>
      <w:proofErr w:type="spellStart"/>
      <w:r w:rsidRPr="00350799">
        <w:t>Hoseinifar</w:t>
      </w:r>
      <w:proofErr w:type="spellEnd"/>
      <w:r w:rsidRPr="00350799">
        <w:t xml:space="preserve">, S. H., </w:t>
      </w:r>
      <w:proofErr w:type="spellStart"/>
      <w:r w:rsidRPr="00350799">
        <w:t>Paknejad</w:t>
      </w:r>
      <w:proofErr w:type="spellEnd"/>
      <w:r w:rsidRPr="00350799">
        <w:t xml:space="preserve">, H., Jafari, V., &amp; Safari, R. (2018). The effects of dietary lysozyme on growth performance and </w:t>
      </w:r>
      <w:proofErr w:type="spellStart"/>
      <w:r w:rsidRPr="00350799">
        <w:t>haematological</w:t>
      </w:r>
      <w:proofErr w:type="spellEnd"/>
      <w:r w:rsidRPr="00350799">
        <w:t xml:space="preserve"> indices of rainbow trout (</w:t>
      </w:r>
      <w:r w:rsidRPr="00350799">
        <w:rPr>
          <w:i/>
          <w:iCs/>
        </w:rPr>
        <w:t>Oncorhynchus</w:t>
      </w:r>
      <w:r w:rsidRPr="00350799">
        <w:t xml:space="preserve"> </w:t>
      </w:r>
      <w:r w:rsidRPr="00350799">
        <w:rPr>
          <w:i/>
          <w:iCs/>
        </w:rPr>
        <w:t>mykiss</w:t>
      </w:r>
      <w:r w:rsidRPr="00350799">
        <w:t>) fingerling. </w:t>
      </w:r>
      <w:r w:rsidRPr="00350799">
        <w:rPr>
          <w:i/>
          <w:iCs/>
        </w:rPr>
        <w:t>International Journal of Aquatic Biology</w:t>
      </w:r>
      <w:r w:rsidRPr="00350799">
        <w:t>, </w:t>
      </w:r>
      <w:r w:rsidRPr="00350799">
        <w:rPr>
          <w:i/>
          <w:iCs/>
        </w:rPr>
        <w:t>6</w:t>
      </w:r>
      <w:r w:rsidRPr="00350799">
        <w:t>(1), 31</w:t>
      </w:r>
      <w:r w:rsidR="0027287C" w:rsidRPr="000231CA">
        <w:rPr>
          <w:rFonts w:ascii="Arial" w:hAnsi="Arial" w:cs="Arial"/>
        </w:rPr>
        <w:t>–</w:t>
      </w:r>
      <w:r w:rsidRPr="00350799">
        <w:t>36.  </w:t>
      </w:r>
      <w:hyperlink r:id="rId36" w:history="1">
        <w:r w:rsidR="00767DE6" w:rsidRPr="00003D6C">
          <w:rPr>
            <w:rStyle w:val="Hyperlink"/>
          </w:rPr>
          <w:t>https://doi.org/10.22034/ijab.v6i1.432</w:t>
        </w:r>
      </w:hyperlink>
      <w:r w:rsidR="00767DE6">
        <w:t xml:space="preserve"> </w:t>
      </w:r>
    </w:p>
    <w:p w14:paraId="42F7E427" w14:textId="04692D83" w:rsidR="00350799" w:rsidRPr="00350799" w:rsidRDefault="00350799" w:rsidP="0027287C">
      <w:pPr>
        <w:pStyle w:val="Body"/>
        <w:spacing w:after="0"/>
        <w:ind w:left="720" w:hanging="720"/>
      </w:pPr>
      <w:r w:rsidRPr="00350799">
        <w:t>Soltan, M. A. (2009). Effect of dietary fish meal replacement by poultry by-product meal with different grain source and enzyme supplementation on performance, feces recovery, body composition and nutrient balance of Nile tilapia. </w:t>
      </w:r>
      <w:r w:rsidRPr="00350799">
        <w:rPr>
          <w:i/>
          <w:iCs/>
        </w:rPr>
        <w:t>Pakistan Journal of Nutrition</w:t>
      </w:r>
      <w:r w:rsidRPr="00350799">
        <w:t>, </w:t>
      </w:r>
      <w:r w:rsidRPr="00350799">
        <w:rPr>
          <w:i/>
          <w:iCs/>
        </w:rPr>
        <w:t>8</w:t>
      </w:r>
      <w:r w:rsidRPr="00350799">
        <w:t>(4), 395</w:t>
      </w:r>
      <w:r w:rsidR="0027287C" w:rsidRPr="000231CA">
        <w:rPr>
          <w:rFonts w:ascii="Arial" w:hAnsi="Arial" w:cs="Arial"/>
        </w:rPr>
        <w:t>–</w:t>
      </w:r>
      <w:r w:rsidRPr="00350799">
        <w:t xml:space="preserve">407. </w:t>
      </w:r>
      <w:hyperlink r:id="rId37" w:history="1">
        <w:r w:rsidR="00BE3DC2" w:rsidRPr="00003D6C">
          <w:rPr>
            <w:rStyle w:val="Hyperlink"/>
          </w:rPr>
          <w:t>https://doi.org/10.3923/pjn.2009.395.407</w:t>
        </w:r>
      </w:hyperlink>
      <w:r w:rsidR="00BE3DC2">
        <w:t xml:space="preserve"> </w:t>
      </w:r>
    </w:p>
    <w:p w14:paraId="3AF88615" w14:textId="0AC62F43" w:rsidR="00350799" w:rsidRPr="00350799" w:rsidRDefault="00350799" w:rsidP="0027287C">
      <w:pPr>
        <w:pStyle w:val="Body"/>
        <w:spacing w:after="0"/>
        <w:ind w:left="720" w:hanging="720"/>
      </w:pPr>
      <w:proofErr w:type="spellStart"/>
      <w:r w:rsidRPr="00350799">
        <w:t>Tahoun</w:t>
      </w:r>
      <w:proofErr w:type="spellEnd"/>
      <w:r w:rsidRPr="00350799">
        <w:t xml:space="preserve">, A. M., </w:t>
      </w:r>
      <w:proofErr w:type="spellStart"/>
      <w:r w:rsidRPr="00350799">
        <w:t>Mabroke</w:t>
      </w:r>
      <w:proofErr w:type="spellEnd"/>
      <w:r w:rsidRPr="00350799">
        <w:t xml:space="preserve">, R. S., El-Haroun, E. R., &amp; Suloma, A. (2011). Effect of exogenous enzyme supplementation on reproductive performance of broodstock Nile tilapia reared in a hapa-in-pond hatchery system. </w:t>
      </w:r>
      <w:r w:rsidRPr="00350799">
        <w:rPr>
          <w:i/>
          <w:iCs/>
        </w:rPr>
        <w:t>Egyptian Journal of Aquatic Biology and Fisheries</w:t>
      </w:r>
      <w:r w:rsidRPr="00350799">
        <w:t xml:space="preserve">, </w:t>
      </w:r>
      <w:r w:rsidRPr="00350799">
        <w:rPr>
          <w:i/>
          <w:iCs/>
        </w:rPr>
        <w:t>15</w:t>
      </w:r>
      <w:r w:rsidRPr="00350799">
        <w:t>(3), 61</w:t>
      </w:r>
      <w:r w:rsidR="0027287C" w:rsidRPr="000231CA">
        <w:rPr>
          <w:rFonts w:ascii="Arial" w:hAnsi="Arial" w:cs="Arial"/>
        </w:rPr>
        <w:t>–</w:t>
      </w:r>
      <w:r w:rsidRPr="00350799">
        <w:t xml:space="preserve">73. </w:t>
      </w:r>
      <w:hyperlink r:id="rId38" w:history="1">
        <w:r w:rsidR="00BE3DC2" w:rsidRPr="00003D6C">
          <w:rPr>
            <w:rStyle w:val="Hyperlink"/>
          </w:rPr>
          <w:t>https://www.researchgate.net/publication/259236075</w:t>
        </w:r>
      </w:hyperlink>
      <w:r w:rsidR="00BE3DC2">
        <w:t xml:space="preserve"> </w:t>
      </w:r>
    </w:p>
    <w:p w14:paraId="6B3CAC44" w14:textId="4C996F3F" w:rsidR="00350799" w:rsidRPr="00350799" w:rsidRDefault="00350799" w:rsidP="0027287C">
      <w:pPr>
        <w:pStyle w:val="Body"/>
        <w:spacing w:after="0"/>
        <w:ind w:left="720" w:hanging="720"/>
      </w:pPr>
      <w:r w:rsidRPr="00350799">
        <w:t xml:space="preserve">Wang, M., &amp; Lu, M. (2016). Tilapia polyculture: a global review. </w:t>
      </w:r>
      <w:r w:rsidRPr="00350799">
        <w:rPr>
          <w:i/>
          <w:iCs/>
        </w:rPr>
        <w:t>Aquaculture research</w:t>
      </w:r>
      <w:r w:rsidRPr="00350799">
        <w:t xml:space="preserve">, </w:t>
      </w:r>
      <w:r w:rsidRPr="00350799">
        <w:rPr>
          <w:i/>
          <w:iCs/>
        </w:rPr>
        <w:t>47</w:t>
      </w:r>
      <w:r w:rsidRPr="00350799">
        <w:t>(8), 2363</w:t>
      </w:r>
      <w:r w:rsidR="0027287C" w:rsidRPr="000231CA">
        <w:rPr>
          <w:rFonts w:ascii="Arial" w:hAnsi="Arial" w:cs="Arial"/>
        </w:rPr>
        <w:t>–</w:t>
      </w:r>
      <w:r w:rsidRPr="00350799">
        <w:t xml:space="preserve">2374. </w:t>
      </w:r>
      <w:hyperlink r:id="rId39" w:history="1">
        <w:r w:rsidR="00BE3DC2" w:rsidRPr="00003D6C">
          <w:rPr>
            <w:rStyle w:val="Hyperlink"/>
          </w:rPr>
          <w:t>https://doi.org/10.1111/are.12708</w:t>
        </w:r>
      </w:hyperlink>
      <w:r w:rsidR="00BE3DC2">
        <w:t xml:space="preserve"> </w:t>
      </w:r>
    </w:p>
    <w:p w14:paraId="11A9A857" w14:textId="62BC98F6" w:rsidR="00350799" w:rsidRPr="00350799" w:rsidRDefault="00350799" w:rsidP="0027287C">
      <w:pPr>
        <w:pStyle w:val="Body"/>
        <w:spacing w:after="0"/>
        <w:ind w:left="720" w:hanging="720"/>
      </w:pPr>
      <w:r w:rsidRPr="00350799">
        <w:t>Wheeler, S. C., &amp; Morrissey, M. T. (2003). Quantification and distribution of lipid, moisture, and fatty acids of West Coast albacore tuna (</w:t>
      </w:r>
      <w:r w:rsidRPr="00350799">
        <w:rPr>
          <w:i/>
          <w:iCs/>
        </w:rPr>
        <w:t>Thunnus</w:t>
      </w:r>
      <w:r w:rsidRPr="00350799">
        <w:t xml:space="preserve"> </w:t>
      </w:r>
      <w:r w:rsidRPr="00350799">
        <w:rPr>
          <w:i/>
          <w:iCs/>
        </w:rPr>
        <w:t>alalunga</w:t>
      </w:r>
      <w:r w:rsidRPr="00350799">
        <w:t xml:space="preserve">). </w:t>
      </w:r>
      <w:r w:rsidRPr="00350799">
        <w:rPr>
          <w:i/>
          <w:iCs/>
        </w:rPr>
        <w:t>Journal of Aquatic Food Product Technology</w:t>
      </w:r>
      <w:r w:rsidRPr="00350799">
        <w:t xml:space="preserve">, </w:t>
      </w:r>
      <w:r w:rsidRPr="00350799">
        <w:rPr>
          <w:i/>
          <w:iCs/>
        </w:rPr>
        <w:t>12</w:t>
      </w:r>
      <w:r w:rsidRPr="00350799">
        <w:t>(2), 3</w:t>
      </w:r>
      <w:r w:rsidR="0027287C" w:rsidRPr="000231CA">
        <w:rPr>
          <w:rFonts w:ascii="Arial" w:hAnsi="Arial" w:cs="Arial"/>
        </w:rPr>
        <w:t>–</w:t>
      </w:r>
      <w:r w:rsidRPr="00350799">
        <w:t xml:space="preserve">16. </w:t>
      </w:r>
      <w:hyperlink r:id="rId40" w:history="1">
        <w:r w:rsidR="00767DE6" w:rsidRPr="00003D6C">
          <w:rPr>
            <w:rStyle w:val="Hyperlink"/>
          </w:rPr>
          <w:t>https://doi.org/10.1300/J030v12n02_02</w:t>
        </w:r>
      </w:hyperlink>
      <w:r w:rsidR="00767DE6">
        <w:t xml:space="preserve"> </w:t>
      </w:r>
    </w:p>
    <w:p w14:paraId="38B9BF05" w14:textId="766FD2CF" w:rsidR="00350799" w:rsidRDefault="00350799" w:rsidP="00481F76">
      <w:pPr>
        <w:pStyle w:val="Body"/>
        <w:spacing w:after="0"/>
        <w:ind w:left="720" w:hanging="720"/>
      </w:pPr>
      <w:r w:rsidRPr="00350799">
        <w:t xml:space="preserve">Yildirim, Y. B., &amp; Turan, F. (2010). Effects of exogenous enzyme supplementation in diets on growth and feed utilization in African catfish, </w:t>
      </w:r>
      <w:proofErr w:type="spellStart"/>
      <w:r w:rsidRPr="00350799">
        <w:rPr>
          <w:i/>
          <w:iCs/>
        </w:rPr>
        <w:t>Clarias</w:t>
      </w:r>
      <w:proofErr w:type="spellEnd"/>
      <w:r w:rsidRPr="00350799">
        <w:t xml:space="preserve"> </w:t>
      </w:r>
      <w:proofErr w:type="spellStart"/>
      <w:r w:rsidRPr="00350799">
        <w:rPr>
          <w:i/>
          <w:iCs/>
        </w:rPr>
        <w:t>gariepinus</w:t>
      </w:r>
      <w:proofErr w:type="spellEnd"/>
      <w:r w:rsidRPr="00350799">
        <w:t>. </w:t>
      </w:r>
      <w:r w:rsidRPr="00350799">
        <w:rPr>
          <w:i/>
          <w:iCs/>
        </w:rPr>
        <w:t>Journal of Animal and Veterinary Advances</w:t>
      </w:r>
      <w:r w:rsidRPr="00350799">
        <w:t>, </w:t>
      </w:r>
      <w:r w:rsidRPr="00350799">
        <w:rPr>
          <w:i/>
          <w:iCs/>
        </w:rPr>
        <w:t>9</w:t>
      </w:r>
      <w:r w:rsidRPr="00350799">
        <w:t>(2), 327</w:t>
      </w:r>
      <w:r w:rsidR="0027287C" w:rsidRPr="000231CA">
        <w:rPr>
          <w:rFonts w:ascii="Arial" w:hAnsi="Arial" w:cs="Arial"/>
        </w:rPr>
        <w:t>–</w:t>
      </w:r>
      <w:r w:rsidRPr="00350799">
        <w:t xml:space="preserve">331. </w:t>
      </w:r>
      <w:hyperlink r:id="rId41" w:history="1">
        <w:r w:rsidR="00BE3DC2" w:rsidRPr="00003D6C">
          <w:rPr>
            <w:rStyle w:val="Hyperlink"/>
          </w:rPr>
          <w:t>https://doi.org/10.3923/javaa.2010.327.331</w:t>
        </w:r>
      </w:hyperlink>
      <w:r w:rsidR="00BE3DC2">
        <w:t xml:space="preserve"> </w:t>
      </w:r>
    </w:p>
    <w:p w14:paraId="29934975" w14:textId="2FD5477C" w:rsidR="004D4277" w:rsidRPr="00FB3A86" w:rsidRDefault="00BE3DC2" w:rsidP="00441B6F">
      <w:pPr>
        <w:pStyle w:val="Appendix"/>
        <w:spacing w:after="0"/>
        <w:jc w:val="both"/>
        <w:rPr>
          <w:rFonts w:ascii="Arial" w:hAnsi="Arial" w:cs="Arial"/>
          <w:b w:val="0"/>
        </w:rPr>
        <w:sectPr w:rsidR="004D4277" w:rsidRPr="00FB3A86" w:rsidSect="0098372D">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1275CD7F" w14:textId="77777777" w:rsidR="00B01FCD" w:rsidRPr="00FB3A86" w:rsidRDefault="00B01FCD" w:rsidP="00441B6F">
      <w:pPr>
        <w:pStyle w:val="Appendix"/>
        <w:spacing w:after="0"/>
        <w:jc w:val="both"/>
        <w:rPr>
          <w:rFonts w:ascii="Arial" w:hAnsi="Arial" w:cs="Arial"/>
          <w:b w:val="0"/>
        </w:rPr>
      </w:pPr>
    </w:p>
    <w:sectPr w:rsidR="00B01FCD" w:rsidRPr="00FB3A86" w:rsidSect="009837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B0D9" w14:textId="77777777" w:rsidR="00E63D52" w:rsidRDefault="00E63D52" w:rsidP="00C37E61">
      <w:r>
        <w:separator/>
      </w:r>
    </w:p>
  </w:endnote>
  <w:endnote w:type="continuationSeparator" w:id="0">
    <w:p w14:paraId="36E36EAD" w14:textId="77777777" w:rsidR="00E63D52" w:rsidRDefault="00E63D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65E2" w14:textId="77777777" w:rsidR="0098372D" w:rsidRDefault="0098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4980" w14:textId="77777777" w:rsidR="0098372D" w:rsidRDefault="00983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E970" w14:textId="6C788309" w:rsidR="00754C9A" w:rsidRPr="0098372D" w:rsidRDefault="00754C9A" w:rsidP="0098372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0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17B7A" w14:textId="77777777" w:rsidR="00E63D52" w:rsidRDefault="00E63D52" w:rsidP="00C37E61">
      <w:r>
        <w:separator/>
      </w:r>
    </w:p>
  </w:footnote>
  <w:footnote w:type="continuationSeparator" w:id="0">
    <w:p w14:paraId="0FB7FD6F" w14:textId="77777777" w:rsidR="00E63D52" w:rsidRDefault="00E63D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84C4" w14:textId="290D9ECD" w:rsidR="0098372D" w:rsidRDefault="0098372D">
    <w:pPr>
      <w:pStyle w:val="Header"/>
    </w:pPr>
    <w:r>
      <w:rPr>
        <w:noProof/>
      </w:rPr>
      <w:pict w14:anchorId="7607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2B1D" w14:textId="50717FCE" w:rsidR="0098372D" w:rsidRDefault="0098372D">
    <w:pPr>
      <w:pStyle w:val="Header"/>
    </w:pPr>
    <w:r>
      <w:rPr>
        <w:noProof/>
      </w:rPr>
      <w:pict w14:anchorId="57BB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328C" w14:textId="751260FE" w:rsidR="00296529" w:rsidRPr="00296529" w:rsidRDefault="0098372D" w:rsidP="00296529">
    <w:pPr>
      <w:ind w:left="2160"/>
      <w:jc w:val="center"/>
      <w:rPr>
        <w:rFonts w:ascii="Times New Roman" w:eastAsia="Calibri" w:hAnsi="Times New Roman"/>
        <w:i/>
        <w:sz w:val="18"/>
        <w:szCs w:val="22"/>
      </w:rPr>
    </w:pPr>
    <w:r>
      <w:rPr>
        <w:noProof/>
      </w:rPr>
      <w:pict w14:anchorId="19E1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D0DB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7E07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6DB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5F7D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6205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681BC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FACA" w14:textId="1C04A444" w:rsidR="0098372D" w:rsidRDefault="0098372D">
    <w:pPr>
      <w:pStyle w:val="Header"/>
    </w:pPr>
    <w:r>
      <w:rPr>
        <w:noProof/>
      </w:rPr>
      <w:pict w14:anchorId="51BB5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A99A" w14:textId="7E751376" w:rsidR="0098372D" w:rsidRDefault="0098372D">
    <w:pPr>
      <w:pStyle w:val="Header"/>
    </w:pPr>
    <w:r>
      <w:rPr>
        <w:noProof/>
      </w:rPr>
      <w:pict w14:anchorId="375CC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960E" w14:textId="300302AA" w:rsidR="0098372D" w:rsidRDefault="0098372D">
    <w:pPr>
      <w:pStyle w:val="Header"/>
    </w:pPr>
    <w:r>
      <w:rPr>
        <w:noProof/>
      </w:rPr>
      <w:pict w14:anchorId="27638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B61"/>
    <w:rsid w:val="000271DB"/>
    <w:rsid w:val="00030174"/>
    <w:rsid w:val="00030885"/>
    <w:rsid w:val="0004579C"/>
    <w:rsid w:val="000A47FA"/>
    <w:rsid w:val="000A65D3"/>
    <w:rsid w:val="000B1E33"/>
    <w:rsid w:val="000C6F59"/>
    <w:rsid w:val="000D689F"/>
    <w:rsid w:val="000E7B7B"/>
    <w:rsid w:val="000E7D62"/>
    <w:rsid w:val="00103357"/>
    <w:rsid w:val="0010530B"/>
    <w:rsid w:val="00123C9F"/>
    <w:rsid w:val="00126190"/>
    <w:rsid w:val="00130F17"/>
    <w:rsid w:val="001320BF"/>
    <w:rsid w:val="00163BC4"/>
    <w:rsid w:val="00165FE5"/>
    <w:rsid w:val="001719C8"/>
    <w:rsid w:val="001750D0"/>
    <w:rsid w:val="00191062"/>
    <w:rsid w:val="00192B72"/>
    <w:rsid w:val="001A29D8"/>
    <w:rsid w:val="001A5CAA"/>
    <w:rsid w:val="001B0427"/>
    <w:rsid w:val="001D3A51"/>
    <w:rsid w:val="001E10D2"/>
    <w:rsid w:val="001E25B4"/>
    <w:rsid w:val="001E44FE"/>
    <w:rsid w:val="00200595"/>
    <w:rsid w:val="00204835"/>
    <w:rsid w:val="00225D44"/>
    <w:rsid w:val="00231920"/>
    <w:rsid w:val="0023195C"/>
    <w:rsid w:val="00241E93"/>
    <w:rsid w:val="0024282C"/>
    <w:rsid w:val="002460DC"/>
    <w:rsid w:val="00250985"/>
    <w:rsid w:val="002556F6"/>
    <w:rsid w:val="0026142E"/>
    <w:rsid w:val="0027287C"/>
    <w:rsid w:val="00283105"/>
    <w:rsid w:val="00284C4C"/>
    <w:rsid w:val="00287E68"/>
    <w:rsid w:val="00296529"/>
    <w:rsid w:val="002B27FB"/>
    <w:rsid w:val="002B685A"/>
    <w:rsid w:val="002C57D2"/>
    <w:rsid w:val="002E0D56"/>
    <w:rsid w:val="00315186"/>
    <w:rsid w:val="0033343E"/>
    <w:rsid w:val="003502F9"/>
    <w:rsid w:val="00350799"/>
    <w:rsid w:val="003512C2"/>
    <w:rsid w:val="003534BD"/>
    <w:rsid w:val="00371FB6"/>
    <w:rsid w:val="00375045"/>
    <w:rsid w:val="003763C1"/>
    <w:rsid w:val="00376BBE"/>
    <w:rsid w:val="0039224F"/>
    <w:rsid w:val="003A43A4"/>
    <w:rsid w:val="003A7E18"/>
    <w:rsid w:val="003B5776"/>
    <w:rsid w:val="003C4C86"/>
    <w:rsid w:val="003C6258"/>
    <w:rsid w:val="003D02E9"/>
    <w:rsid w:val="003D6E6B"/>
    <w:rsid w:val="003E2904"/>
    <w:rsid w:val="00401927"/>
    <w:rsid w:val="00406E5C"/>
    <w:rsid w:val="0041027F"/>
    <w:rsid w:val="00412475"/>
    <w:rsid w:val="00423789"/>
    <w:rsid w:val="00427541"/>
    <w:rsid w:val="00440F43"/>
    <w:rsid w:val="00441B6F"/>
    <w:rsid w:val="0044289C"/>
    <w:rsid w:val="00446221"/>
    <w:rsid w:val="00450E62"/>
    <w:rsid w:val="00453279"/>
    <w:rsid w:val="004539DB"/>
    <w:rsid w:val="00455653"/>
    <w:rsid w:val="00471A80"/>
    <w:rsid w:val="00481F76"/>
    <w:rsid w:val="004D305E"/>
    <w:rsid w:val="004D4277"/>
    <w:rsid w:val="00502516"/>
    <w:rsid w:val="00505F06"/>
    <w:rsid w:val="00506828"/>
    <w:rsid w:val="0053056E"/>
    <w:rsid w:val="00554FDA"/>
    <w:rsid w:val="005B0215"/>
    <w:rsid w:val="005C784C"/>
    <w:rsid w:val="005D17F6"/>
    <w:rsid w:val="005E5539"/>
    <w:rsid w:val="00602BF5"/>
    <w:rsid w:val="00617FDD"/>
    <w:rsid w:val="00633614"/>
    <w:rsid w:val="00633F68"/>
    <w:rsid w:val="00636EB2"/>
    <w:rsid w:val="006375B8"/>
    <w:rsid w:val="0066510A"/>
    <w:rsid w:val="00673F9F"/>
    <w:rsid w:val="006742D3"/>
    <w:rsid w:val="00680B4B"/>
    <w:rsid w:val="00686953"/>
    <w:rsid w:val="00687DEA"/>
    <w:rsid w:val="00687E67"/>
    <w:rsid w:val="006967F7"/>
    <w:rsid w:val="00696EA9"/>
    <w:rsid w:val="006A250C"/>
    <w:rsid w:val="006B21D3"/>
    <w:rsid w:val="006B57D0"/>
    <w:rsid w:val="006D30FF"/>
    <w:rsid w:val="006D6940"/>
    <w:rsid w:val="006F11EC"/>
    <w:rsid w:val="0070082C"/>
    <w:rsid w:val="00707639"/>
    <w:rsid w:val="00726D33"/>
    <w:rsid w:val="00734A8E"/>
    <w:rsid w:val="007369E6"/>
    <w:rsid w:val="00746E59"/>
    <w:rsid w:val="007539E0"/>
    <w:rsid w:val="00754C9A"/>
    <w:rsid w:val="0075599A"/>
    <w:rsid w:val="00761D52"/>
    <w:rsid w:val="00767DE6"/>
    <w:rsid w:val="0077749E"/>
    <w:rsid w:val="0078381A"/>
    <w:rsid w:val="00790ADA"/>
    <w:rsid w:val="007A13C3"/>
    <w:rsid w:val="007C7E31"/>
    <w:rsid w:val="007D2288"/>
    <w:rsid w:val="007E088F"/>
    <w:rsid w:val="007F7B32"/>
    <w:rsid w:val="00804BC2"/>
    <w:rsid w:val="0081431A"/>
    <w:rsid w:val="00817630"/>
    <w:rsid w:val="0083216F"/>
    <w:rsid w:val="00857A64"/>
    <w:rsid w:val="00860000"/>
    <w:rsid w:val="00863BD3"/>
    <w:rsid w:val="008641ED"/>
    <w:rsid w:val="0086499E"/>
    <w:rsid w:val="00866D66"/>
    <w:rsid w:val="008671C6"/>
    <w:rsid w:val="00875803"/>
    <w:rsid w:val="008B459E"/>
    <w:rsid w:val="008D01CF"/>
    <w:rsid w:val="008E13AE"/>
    <w:rsid w:val="008E1506"/>
    <w:rsid w:val="008E4192"/>
    <w:rsid w:val="008E710C"/>
    <w:rsid w:val="008F69D6"/>
    <w:rsid w:val="00902823"/>
    <w:rsid w:val="00915CA6"/>
    <w:rsid w:val="00927834"/>
    <w:rsid w:val="009500A6"/>
    <w:rsid w:val="00957C18"/>
    <w:rsid w:val="009659BA"/>
    <w:rsid w:val="00983040"/>
    <w:rsid w:val="0098372D"/>
    <w:rsid w:val="009A4812"/>
    <w:rsid w:val="009B3FB9"/>
    <w:rsid w:val="009C2465"/>
    <w:rsid w:val="009C2553"/>
    <w:rsid w:val="009D35A0"/>
    <w:rsid w:val="009D7EB7"/>
    <w:rsid w:val="009E048A"/>
    <w:rsid w:val="009E08E9"/>
    <w:rsid w:val="009E3DB9"/>
    <w:rsid w:val="009E6E35"/>
    <w:rsid w:val="009E6E7F"/>
    <w:rsid w:val="009F0EDA"/>
    <w:rsid w:val="00A0078C"/>
    <w:rsid w:val="00A03B96"/>
    <w:rsid w:val="00A05B19"/>
    <w:rsid w:val="00A073AC"/>
    <w:rsid w:val="00A1134E"/>
    <w:rsid w:val="00A13457"/>
    <w:rsid w:val="00A15EB1"/>
    <w:rsid w:val="00A24E7E"/>
    <w:rsid w:val="00A258C3"/>
    <w:rsid w:val="00A347C0"/>
    <w:rsid w:val="00A51431"/>
    <w:rsid w:val="00A539AD"/>
    <w:rsid w:val="00A54EDB"/>
    <w:rsid w:val="00A73A6B"/>
    <w:rsid w:val="00A94063"/>
    <w:rsid w:val="00AA2435"/>
    <w:rsid w:val="00AA6219"/>
    <w:rsid w:val="00AA74E0"/>
    <w:rsid w:val="00AB703F"/>
    <w:rsid w:val="00AC6BB8"/>
    <w:rsid w:val="00AE008F"/>
    <w:rsid w:val="00B01FCD"/>
    <w:rsid w:val="00B1776C"/>
    <w:rsid w:val="00B52583"/>
    <w:rsid w:val="00B52896"/>
    <w:rsid w:val="00B721C2"/>
    <w:rsid w:val="00B95236"/>
    <w:rsid w:val="00B96BD9"/>
    <w:rsid w:val="00BA1B01"/>
    <w:rsid w:val="00BA1CA6"/>
    <w:rsid w:val="00BA2641"/>
    <w:rsid w:val="00BB37AA"/>
    <w:rsid w:val="00BC53A0"/>
    <w:rsid w:val="00BE3DC2"/>
    <w:rsid w:val="00BE62AD"/>
    <w:rsid w:val="00BF121F"/>
    <w:rsid w:val="00BF1F80"/>
    <w:rsid w:val="00C0286A"/>
    <w:rsid w:val="00C166EF"/>
    <w:rsid w:val="00C17EB0"/>
    <w:rsid w:val="00C27F5F"/>
    <w:rsid w:val="00C30A0F"/>
    <w:rsid w:val="00C37E2B"/>
    <w:rsid w:val="00C37E61"/>
    <w:rsid w:val="00C670F8"/>
    <w:rsid w:val="00C70F1B"/>
    <w:rsid w:val="00C71A47"/>
    <w:rsid w:val="00C7464C"/>
    <w:rsid w:val="00C761F0"/>
    <w:rsid w:val="00C85588"/>
    <w:rsid w:val="00CD6755"/>
    <w:rsid w:val="00CD6856"/>
    <w:rsid w:val="00CE0089"/>
    <w:rsid w:val="00CE793C"/>
    <w:rsid w:val="00CF193C"/>
    <w:rsid w:val="00D14E85"/>
    <w:rsid w:val="00D173F1"/>
    <w:rsid w:val="00D23B9E"/>
    <w:rsid w:val="00D74CB0"/>
    <w:rsid w:val="00D8295D"/>
    <w:rsid w:val="00D97429"/>
    <w:rsid w:val="00DC2A65"/>
    <w:rsid w:val="00DE15F0"/>
    <w:rsid w:val="00DE5663"/>
    <w:rsid w:val="00DE78AA"/>
    <w:rsid w:val="00E0040F"/>
    <w:rsid w:val="00E053D0"/>
    <w:rsid w:val="00E15994"/>
    <w:rsid w:val="00E3114E"/>
    <w:rsid w:val="00E31A70"/>
    <w:rsid w:val="00E33C09"/>
    <w:rsid w:val="00E35B02"/>
    <w:rsid w:val="00E63D52"/>
    <w:rsid w:val="00E64B5E"/>
    <w:rsid w:val="00E66496"/>
    <w:rsid w:val="00E66B35"/>
    <w:rsid w:val="00E66E10"/>
    <w:rsid w:val="00E769F6"/>
    <w:rsid w:val="00E83348"/>
    <w:rsid w:val="00E8407C"/>
    <w:rsid w:val="00E84F3C"/>
    <w:rsid w:val="00E90491"/>
    <w:rsid w:val="00EA012C"/>
    <w:rsid w:val="00EC6A55"/>
    <w:rsid w:val="00ED0288"/>
    <w:rsid w:val="00ED2CA6"/>
    <w:rsid w:val="00EE52CB"/>
    <w:rsid w:val="00EF581D"/>
    <w:rsid w:val="00EF7FD8"/>
    <w:rsid w:val="00F06F59"/>
    <w:rsid w:val="00F17988"/>
    <w:rsid w:val="00F4214F"/>
    <w:rsid w:val="00F459CF"/>
    <w:rsid w:val="00F469F0"/>
    <w:rsid w:val="00F53273"/>
    <w:rsid w:val="00F6592F"/>
    <w:rsid w:val="00F755E4"/>
    <w:rsid w:val="00F77D02"/>
    <w:rsid w:val="00F8205B"/>
    <w:rsid w:val="00FB3A86"/>
    <w:rsid w:val="00FB5168"/>
    <w:rsid w:val="00FD36C8"/>
    <w:rsid w:val="00FD7B6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9BDF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74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742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6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ao.org/documents/card/en/c/cc7493en" TargetMode="External"/><Relationship Id="rId26" Type="http://schemas.openxmlformats.org/officeDocument/2006/relationships/hyperlink" Target="https://doi.org/10.3329/ajmbr.v3i4.35339" TargetMode="External"/><Relationship Id="rId39" Type="http://schemas.openxmlformats.org/officeDocument/2006/relationships/hyperlink" Target="https://doi.org/10.1111/are.12708" TargetMode="External"/><Relationship Id="rId21" Type="http://schemas.openxmlformats.org/officeDocument/2006/relationships/hyperlink" Target="https://doi.org/10.1016/S0377-8401(02)00295-X" TargetMode="External"/><Relationship Id="rId34" Type="http://schemas.openxmlformats.org/officeDocument/2006/relationships/hyperlink" Target="https://doi.org/10.1007/s10695-019-00745-z"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lbpr.com/archives.php?year=2013&amp;vol=2&amp;issue=3" TargetMode="External"/><Relationship Id="rId29" Type="http://schemas.openxmlformats.org/officeDocument/2006/relationships/hyperlink" Target="https://doi.org/10.1111/j.1365-2109.2007.0182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are.12828" TargetMode="External"/><Relationship Id="rId32" Type="http://schemas.openxmlformats.org/officeDocument/2006/relationships/hyperlink" Target="https://doi.org/10.7537/j.issn.1097-8135" TargetMode="External"/><Relationship Id="rId37" Type="http://schemas.openxmlformats.org/officeDocument/2006/relationships/hyperlink" Target="https://doi.org/10.3923/pjn.2009.395.407" TargetMode="External"/><Relationship Id="rId40" Type="http://schemas.openxmlformats.org/officeDocument/2006/relationships/hyperlink" Target="https://doi.org/10.1300/J030v12n02_02"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anifeedsci.2016.03.002" TargetMode="External"/><Relationship Id="rId23" Type="http://schemas.openxmlformats.org/officeDocument/2006/relationships/hyperlink" Target="https://doi.org/10.3390/molecules201219751" TargetMode="External"/><Relationship Id="rId28" Type="http://schemas.openxmlformats.org/officeDocument/2006/relationships/hyperlink" Target="https://doi.org/10.1007/s42995-022-00128-z" TargetMode="External"/><Relationship Id="rId36" Type="http://schemas.openxmlformats.org/officeDocument/2006/relationships/hyperlink" Target="https://doi.org/10.22034/ijab.v6i1.432" TargetMode="External"/><Relationship Id="rId10" Type="http://schemas.openxmlformats.org/officeDocument/2006/relationships/footer" Target="footer1.xml"/><Relationship Id="rId19" Type="http://schemas.openxmlformats.org/officeDocument/2006/relationships/hyperlink" Target="https://openknowledge.fao.org/handle/20.500.14283/i3720e" TargetMode="External"/><Relationship Id="rId31" Type="http://schemas.openxmlformats.org/officeDocument/2006/relationships/hyperlink" Target="https://doi.org/10.1016/j.aquaculture.2017.12.040"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researchgate.net/publication/285160866" TargetMode="External"/><Relationship Id="rId27" Type="http://schemas.openxmlformats.org/officeDocument/2006/relationships/hyperlink" Target="https://doi.org/10.1111/j.1365-2109.2005.01434.x" TargetMode="External"/><Relationship Id="rId30" Type="http://schemas.openxmlformats.org/officeDocument/2006/relationships/hyperlink" Target="https://doi.org/10.1016/j.anifeedsci.2020.114767" TargetMode="External"/><Relationship Id="rId35" Type="http://schemas.openxmlformats.org/officeDocument/2006/relationships/hyperlink" Target="https://doi.org/10.9790/2380-1208024348"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j.1365-2109.2004.01203.x" TargetMode="External"/><Relationship Id="rId25" Type="http://schemas.openxmlformats.org/officeDocument/2006/relationships/hyperlink" Target="https://www.fao.org/3/v7180e/v7180e00.htm" TargetMode="External"/><Relationship Id="rId33" Type="http://schemas.openxmlformats.org/officeDocument/2006/relationships/hyperlink" Target="https://doi.org/10.1002/9781119108580.ch4" TargetMode="External"/><Relationship Id="rId38" Type="http://schemas.openxmlformats.org/officeDocument/2006/relationships/hyperlink" Target="https://www.researchgate.net/publication/259236075" TargetMode="External"/><Relationship Id="rId46" Type="http://schemas.openxmlformats.org/officeDocument/2006/relationships/fontTable" Target="fontTable.xml"/><Relationship Id="rId20" Type="http://schemas.openxmlformats.org/officeDocument/2006/relationships/hyperlink" Target="https://doi.org/10.1007/s10499-011-9453-9" TargetMode="External"/><Relationship Id="rId41" Type="http://schemas.openxmlformats.org/officeDocument/2006/relationships/hyperlink" Target="https://doi.org/10.3923/javaa.2010.327.3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D342-D29A-4DBA-A057-E2D8CCAB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578</TotalTime>
  <Pages>10</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2025-12-30T05:15:00Z</dcterms:created>
  <dcterms:modified xsi:type="dcterms:W3CDTF">2026-01-02T08:36:00Z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7e2626f3-9a73-47c7-8ecc-8184b512a5dd</vt:lpwstr>
  </property>
</Properties>
</file>