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5B27B" w14:textId="77777777" w:rsidR="009E79AB" w:rsidRDefault="009E79AB">
      <w:pPr>
        <w:pBdr>
          <w:top w:val="nil"/>
          <w:left w:val="nil"/>
          <w:bottom w:val="nil"/>
          <w:right w:val="nil"/>
          <w:between w:val="nil"/>
        </w:pBdr>
        <w:jc w:val="right"/>
        <w:rPr>
          <w:rFonts w:ascii="Arial" w:eastAsia="Arial" w:hAnsi="Arial" w:cs="Arial"/>
          <w:b/>
          <w:bCs/>
          <w:color w:val="000000"/>
          <w:sz w:val="36"/>
          <w:szCs w:val="36"/>
        </w:rPr>
      </w:pPr>
      <w:bookmarkStart w:id="0" w:name="_Hlk219889773"/>
      <w:r w:rsidRPr="009E79AB">
        <w:rPr>
          <w:rFonts w:ascii="Arial" w:eastAsia="Arial" w:hAnsi="Arial" w:cs="Arial"/>
          <w:b/>
          <w:bCs/>
          <w:color w:val="000000"/>
          <w:sz w:val="36"/>
          <w:szCs w:val="36"/>
        </w:rPr>
        <w:t xml:space="preserve">Original Research Article </w:t>
      </w:r>
    </w:p>
    <w:p w14:paraId="3C987673" w14:textId="77777777" w:rsidR="009E79AB" w:rsidRDefault="009E79AB">
      <w:pPr>
        <w:pBdr>
          <w:top w:val="nil"/>
          <w:left w:val="nil"/>
          <w:bottom w:val="nil"/>
          <w:right w:val="nil"/>
          <w:between w:val="nil"/>
        </w:pBdr>
        <w:jc w:val="right"/>
        <w:rPr>
          <w:rFonts w:ascii="Arial" w:eastAsia="Arial" w:hAnsi="Arial" w:cs="Arial"/>
          <w:b/>
          <w:bCs/>
          <w:color w:val="000000"/>
          <w:sz w:val="36"/>
          <w:szCs w:val="36"/>
        </w:rPr>
      </w:pPr>
    </w:p>
    <w:p w14:paraId="1236ADC4" w14:textId="33DCE70C" w:rsidR="002F1BEE" w:rsidRDefault="005A24ED">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Corporate Social Responsibility and Firm Value: The Mediating Role of Profitability in Indonesia’s Consumer Non-Cyclicals Sector </w:t>
      </w:r>
    </w:p>
    <w:bookmarkEnd w:id="0"/>
    <w:p w14:paraId="56B4F68B" w14:textId="77777777" w:rsidR="002F1BEE" w:rsidRDefault="002F1BEE">
      <w:pPr>
        <w:pBdr>
          <w:top w:val="nil"/>
          <w:left w:val="nil"/>
          <w:bottom w:val="nil"/>
          <w:right w:val="nil"/>
          <w:between w:val="nil"/>
        </w:pBdr>
        <w:jc w:val="both"/>
        <w:rPr>
          <w:rFonts w:ascii="Arial" w:eastAsia="Arial" w:hAnsi="Arial" w:cs="Arial"/>
          <w:b/>
          <w:bCs/>
          <w:color w:val="000000"/>
          <w:sz w:val="36"/>
          <w:szCs w:val="36"/>
        </w:rPr>
      </w:pPr>
    </w:p>
    <w:p w14:paraId="12BB7600" w14:textId="77777777" w:rsidR="002F1BEE" w:rsidRDefault="002F1BEE">
      <w:pPr>
        <w:pBdr>
          <w:top w:val="nil"/>
          <w:left w:val="nil"/>
          <w:bottom w:val="nil"/>
          <w:right w:val="nil"/>
          <w:between w:val="nil"/>
        </w:pBdr>
        <w:jc w:val="both"/>
        <w:rPr>
          <w:rFonts w:ascii="Arial" w:eastAsia="Arial" w:hAnsi="Arial" w:cs="Arial"/>
          <w:color w:val="000000"/>
        </w:rPr>
      </w:pPr>
    </w:p>
    <w:p w14:paraId="3CAAA64E" w14:textId="77777777" w:rsidR="002F1BEE" w:rsidRDefault="002F1BEE">
      <w:pPr>
        <w:pBdr>
          <w:top w:val="nil"/>
          <w:left w:val="nil"/>
          <w:bottom w:val="nil"/>
          <w:right w:val="nil"/>
          <w:between w:val="nil"/>
        </w:pBdr>
        <w:jc w:val="both"/>
        <w:rPr>
          <w:rFonts w:ascii="Arial" w:eastAsia="Arial" w:hAnsi="Arial" w:cs="Arial"/>
          <w:color w:val="000000"/>
        </w:rPr>
      </w:pPr>
    </w:p>
    <w:p w14:paraId="79BAE309" w14:textId="77777777" w:rsidR="002F1BEE" w:rsidRDefault="005A24ED">
      <w:pPr>
        <w:pBdr>
          <w:top w:val="nil"/>
          <w:left w:val="nil"/>
          <w:bottom w:val="nil"/>
          <w:right w:val="nil"/>
          <w:between w:val="nil"/>
        </w:pBdr>
        <w:jc w:val="both"/>
        <w:rPr>
          <w:rFonts w:ascii="Arial" w:eastAsia="Arial" w:hAnsi="Arial" w:cs="Arial"/>
          <w:color w:val="000000"/>
          <w:sz w:val="16"/>
          <w:szCs w:val="16"/>
        </w:rPr>
        <w:sectPr w:rsidR="002F1BEE" w:rsidSect="00FE58AF">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eastAsia="en-US"/>
        </w:rPr>
        <mc:AlternateContent>
          <mc:Choice Requires="wps">
            <w:drawing>
              <wp:inline distT="0" distB="0" distL="114300" distR="114300" wp14:anchorId="2C275B13" wp14:editId="7CDDACFC">
                <wp:extent cx="0" cy="19050"/>
                <wp:effectExtent l="0" t="0" r="0" b="0"/>
                <wp:docPr id="77" name="Freeform: Shape 77"/>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77"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11A4D545" w14:textId="2397B8D9"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7B967B6C" w14:textId="77777777" w:rsidR="002F1BEE" w:rsidRDefault="002F1BEE">
      <w:pPr>
        <w:keepNext/>
        <w:pBdr>
          <w:top w:val="nil"/>
          <w:left w:val="nil"/>
          <w:bottom w:val="nil"/>
          <w:right w:val="nil"/>
          <w:between w:val="nil"/>
        </w:pBdr>
        <w:jc w:val="both"/>
        <w:rPr>
          <w:rFonts w:ascii="Arial" w:eastAsia="Arial" w:hAnsi="Arial" w:cs="Arial"/>
          <w:b/>
          <w:bCs/>
          <w:smallCaps/>
          <w:color w:val="000000"/>
          <w:sz w:val="22"/>
          <w:szCs w:val="22"/>
        </w:rPr>
      </w:pPr>
    </w:p>
    <w:tbl>
      <w:tblPr>
        <w:tblStyle w:val="a1"/>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2F1BEE" w14:paraId="2ABE9E52" w14:textId="77777777">
        <w:tc>
          <w:tcPr>
            <w:tcW w:w="8424" w:type="dxa"/>
            <w:shd w:val="clear" w:color="auto" w:fill="F2F2F2"/>
          </w:tcPr>
          <w:p w14:paraId="5709E9C0" w14:textId="77777777" w:rsidR="002F1BEE" w:rsidRDefault="005A24ED">
            <w:pPr>
              <w:jc w:val="both"/>
            </w:pPr>
            <w:r>
              <w:rPr>
                <w:b/>
                <w:bCs/>
              </w:rPr>
              <w:t xml:space="preserve">Aims: </w:t>
            </w:r>
            <w:r>
              <w:t>This study seeks to examine the impact of Corporate Social Responsibility on company value, with profitability serving as a mediating variable, in Consumer Non-Cyclicals sector companies listed on the Indonesia Stock Exchange (IDX) from 2021 to 2025.</w:t>
            </w:r>
          </w:p>
          <w:p w14:paraId="32594CFB" w14:textId="77777777" w:rsidR="002F1BEE" w:rsidRDefault="005A24ED">
            <w:pPr>
              <w:jc w:val="both"/>
            </w:pPr>
            <w:r>
              <w:rPr>
                <w:b/>
                <w:bCs/>
              </w:rPr>
              <w:t>Study design:</w:t>
            </w:r>
            <w:r>
              <w:t xml:space="preserve">  This study employs a quantitative methodology utilizing an associative causal approach.</w:t>
            </w:r>
          </w:p>
          <w:p w14:paraId="26EB180B" w14:textId="77777777" w:rsidR="002F1BEE" w:rsidRDefault="005A24ED">
            <w:pPr>
              <w:jc w:val="both"/>
            </w:pPr>
            <w:r>
              <w:rPr>
                <w:b/>
                <w:bCs/>
              </w:rPr>
              <w:t>Place and Duration of Study:</w:t>
            </w:r>
            <w:r>
              <w:t xml:space="preserve"> Consumer Non-Cyclicals sector companies listed on the IDX from 2021 to 2025, from November to December 2025.</w:t>
            </w:r>
          </w:p>
          <w:p w14:paraId="24063630" w14:textId="77777777" w:rsidR="002F1BEE" w:rsidRDefault="005A24ED">
            <w:pPr>
              <w:jc w:val="both"/>
            </w:pPr>
            <w:r>
              <w:rPr>
                <w:b/>
                <w:bCs/>
              </w:rPr>
              <w:t>Methodology:</w:t>
            </w:r>
            <w:r>
              <w:t xml:space="preserve"> Data was gathered through documentation methods used to the financial statements and sustainability reports of six companies in the non-durable household products subsector during the observation period. The employed data analysis technique is path analysis, utilized to examine both direct and indirect correlations among variables, including the assessment of profitability's mediating influence.</w:t>
            </w:r>
          </w:p>
          <w:p w14:paraId="1D59A143" w14:textId="77777777" w:rsidR="002F1BEE" w:rsidRDefault="005A24ED">
            <w:pPr>
              <w:jc w:val="both"/>
              <w:rPr>
                <w:b/>
                <w:bCs/>
              </w:rPr>
            </w:pPr>
            <w:r>
              <w:rPr>
                <w:b/>
                <w:bCs/>
              </w:rPr>
              <w:t>Results:</w:t>
            </w:r>
            <w:r>
              <w:t xml:space="preserve"> The research findings demonstrate that Corporate Social Responsibility positively and significantly influences corporate value, although does not have a significant impact on profitability. Profitability positively and significantly influences business value; however, it does not mediate the relationship between CSR and firm value.</w:t>
            </w:r>
          </w:p>
          <w:p w14:paraId="128C484E" w14:textId="77777777" w:rsidR="002F1BEE" w:rsidRDefault="005A24ED">
            <w:pPr>
              <w:jc w:val="both"/>
            </w:pPr>
            <w:r>
              <w:rPr>
                <w:b/>
                <w:bCs/>
              </w:rPr>
              <w:t>Conclusion:</w:t>
            </w:r>
            <w:r>
              <w:t xml:space="preserve"> This outcome suggests that corporate social responsibility initiatives exert a more immediate influence on enhancing business value than through augmented profitability.</w:t>
            </w:r>
          </w:p>
        </w:tc>
      </w:tr>
    </w:tbl>
    <w:p w14:paraId="6DCC7C4A" w14:textId="77777777" w:rsidR="002F1BEE" w:rsidRDefault="002F1BEE">
      <w:pPr>
        <w:pBdr>
          <w:top w:val="nil"/>
          <w:left w:val="nil"/>
          <w:bottom w:val="nil"/>
          <w:right w:val="nil"/>
          <w:between w:val="nil"/>
        </w:pBdr>
        <w:jc w:val="both"/>
        <w:rPr>
          <w:rFonts w:ascii="Arial" w:eastAsia="Arial" w:hAnsi="Arial" w:cs="Arial"/>
          <w:i/>
          <w:iCs/>
          <w:color w:val="000000"/>
        </w:rPr>
      </w:pPr>
    </w:p>
    <w:p w14:paraId="58C90E2E" w14:textId="77777777" w:rsidR="002F1BEE" w:rsidRDefault="005A24ED">
      <w:pPr>
        <w:pBdr>
          <w:top w:val="nil"/>
          <w:left w:val="nil"/>
          <w:bottom w:val="nil"/>
          <w:right w:val="nil"/>
          <w:between w:val="nil"/>
        </w:pBdr>
        <w:spacing w:after="240"/>
        <w:jc w:val="both"/>
        <w:rPr>
          <w:rFonts w:ascii="Arial" w:eastAsia="Arial" w:hAnsi="Arial" w:cs="Arial"/>
          <w:i/>
          <w:iCs/>
          <w:color w:val="000000"/>
        </w:rPr>
      </w:pPr>
      <w:r>
        <w:rPr>
          <w:rFonts w:ascii="Arial" w:eastAsia="Arial" w:hAnsi="Arial" w:cs="Arial"/>
          <w:i/>
          <w:iCs/>
          <w:color w:val="000000"/>
        </w:rPr>
        <w:t>Keywords: (Corporate Social Responsibility, Profitability, Company Value)</w:t>
      </w:r>
    </w:p>
    <w:p w14:paraId="3431D8BF" w14:textId="191A5FFD"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7754EFA6" w14:textId="77777777" w:rsidR="002F1BEE" w:rsidRDefault="002F1BEE">
      <w:pPr>
        <w:keepNext/>
        <w:pBdr>
          <w:top w:val="nil"/>
          <w:left w:val="nil"/>
          <w:bottom w:val="nil"/>
          <w:right w:val="nil"/>
          <w:between w:val="nil"/>
        </w:pBdr>
        <w:jc w:val="both"/>
        <w:rPr>
          <w:rFonts w:ascii="Arial" w:eastAsia="Arial" w:hAnsi="Arial" w:cs="Arial"/>
          <w:b/>
          <w:bCs/>
          <w:smallCaps/>
          <w:color w:val="000000"/>
          <w:sz w:val="22"/>
          <w:szCs w:val="22"/>
        </w:rPr>
      </w:pPr>
    </w:p>
    <w:p w14:paraId="107AB276" w14:textId="77777777" w:rsidR="002F1BEE" w:rsidRPr="00EE7C18" w:rsidRDefault="005A24ED">
      <w:pPr>
        <w:jc w:val="both"/>
        <w:rPr>
          <w:rFonts w:ascii="Arial" w:eastAsia="Arial" w:hAnsi="Arial" w:cs="Arial"/>
        </w:rPr>
      </w:pPr>
      <w:r>
        <w:rPr>
          <w:rFonts w:ascii="Arial" w:eastAsia="Arial" w:hAnsi="Arial" w:cs="Arial"/>
        </w:rPr>
        <w:t>In the past decade, research on the connections between Corporate Social Responsibility (CSR), profitability, and business value has intensified, propelled by heightened regulatory pressure, capital market expectations, and the social and environmental awareness of stakeholders</w:t>
      </w:r>
      <w:r w:rsidRPr="00EE7C18">
        <w:rPr>
          <w:rFonts w:ascii="Arial" w:eastAsia="Arial" w:hAnsi="Arial" w:cs="Arial"/>
        </w:rPr>
        <w:t xml:space="preserve"> (Dela et al., 2024). Corporate Social Responsibility (CSR) is now regarded not just as a charitable endeavor, but as a fundamental component of company strategy aimed at enhancing reputation, securing competitive advantage, and ensuring sustainable financial performance (Coelho et al., 2023). International studies indicate that firms that actively execute and disclose CSR initiatives generally experience reduced risk perceptions, enhanced reputations, and improved access to capital, ultimately resulting in increased company valuation from the perspective of investors (Lu et al., 2021; García</w:t>
      </w:r>
      <w:r w:rsidRPr="00EE7C18">
        <w:rPr>
          <w:rFonts w:ascii="Cambria Math" w:eastAsia="Cambria Math" w:hAnsi="Cambria Math" w:cs="Cambria Math"/>
        </w:rPr>
        <w:t>‐</w:t>
      </w:r>
      <w:r w:rsidRPr="00EE7C18">
        <w:rPr>
          <w:rFonts w:ascii="Arial" w:eastAsia="Arial" w:hAnsi="Arial" w:cs="Arial"/>
        </w:rPr>
        <w:t>Sánchez et al., 2019).</w:t>
      </w:r>
    </w:p>
    <w:p w14:paraId="4E1D15C9" w14:textId="77777777" w:rsidR="002F1BEE" w:rsidRDefault="002F1BEE">
      <w:pPr>
        <w:jc w:val="both"/>
        <w:rPr>
          <w:rFonts w:ascii="Arial" w:eastAsia="Arial" w:hAnsi="Arial" w:cs="Arial"/>
        </w:rPr>
      </w:pPr>
    </w:p>
    <w:p w14:paraId="4CD98D58" w14:textId="77777777" w:rsidR="002F1BEE" w:rsidRPr="00EE7C18" w:rsidRDefault="005A24ED">
      <w:pPr>
        <w:jc w:val="both"/>
        <w:rPr>
          <w:rFonts w:ascii="Arial" w:eastAsia="Arial" w:hAnsi="Arial" w:cs="Arial"/>
        </w:rPr>
      </w:pPr>
      <w:r w:rsidRPr="00EE7C18">
        <w:rPr>
          <w:rFonts w:ascii="Arial" w:eastAsia="Arial" w:hAnsi="Arial" w:cs="Arial"/>
        </w:rPr>
        <w:lastRenderedPageBreak/>
        <w:t>From the standpoint of stakeholder theory and signaling theory, CSR functions as a tool to mitigate information asymmetry and validate the company's enduring dedication to sustainability (</w:t>
      </w:r>
      <w:proofErr w:type="spellStart"/>
      <w:r w:rsidRPr="00EE7C18">
        <w:rPr>
          <w:rFonts w:ascii="Arial" w:eastAsia="Arial" w:hAnsi="Arial" w:cs="Arial"/>
        </w:rPr>
        <w:t>Sitohang</w:t>
      </w:r>
      <w:proofErr w:type="spellEnd"/>
      <w:r w:rsidRPr="00EE7C18">
        <w:rPr>
          <w:rFonts w:ascii="Arial" w:eastAsia="Arial" w:hAnsi="Arial" w:cs="Arial"/>
        </w:rPr>
        <w:t xml:space="preserve"> et al., 2023). CSR disclosure conveys a favorable indication to investors that the company effectively controls social and environmental risks, resulting in the perception of more predictable future cash flows and diminished lawsuit or regulatory risk (</w:t>
      </w:r>
      <w:proofErr w:type="spellStart"/>
      <w:r w:rsidRPr="00EE7C18">
        <w:rPr>
          <w:rFonts w:ascii="Arial" w:eastAsia="Arial" w:hAnsi="Arial" w:cs="Arial"/>
        </w:rPr>
        <w:t>Handayati</w:t>
      </w:r>
      <w:proofErr w:type="spellEnd"/>
      <w:r w:rsidRPr="00EE7C18">
        <w:rPr>
          <w:rFonts w:ascii="Arial" w:eastAsia="Arial" w:hAnsi="Arial" w:cs="Arial"/>
        </w:rPr>
        <w:t xml:space="preserve"> et al., 2022). Empirical research has demonstrated that CSR positively and significantly influences firm value (Wu et al., 2023; </w:t>
      </w:r>
      <w:proofErr w:type="spellStart"/>
      <w:r w:rsidRPr="00EE7C18">
        <w:rPr>
          <w:rFonts w:ascii="Arial" w:eastAsia="Arial" w:hAnsi="Arial" w:cs="Arial"/>
        </w:rPr>
        <w:t>Risal</w:t>
      </w:r>
      <w:proofErr w:type="spellEnd"/>
      <w:r w:rsidRPr="00EE7C18">
        <w:rPr>
          <w:rFonts w:ascii="Arial" w:eastAsia="Arial" w:hAnsi="Arial" w:cs="Arial"/>
        </w:rPr>
        <w:t xml:space="preserve"> et al., 2025; </w:t>
      </w:r>
      <w:proofErr w:type="spellStart"/>
      <w:r w:rsidRPr="00EE7C18">
        <w:rPr>
          <w:rFonts w:ascii="Arial" w:eastAsia="Arial" w:hAnsi="Arial" w:cs="Arial"/>
        </w:rPr>
        <w:t>Diningsih</w:t>
      </w:r>
      <w:proofErr w:type="spellEnd"/>
      <w:r w:rsidRPr="00EE7C18">
        <w:rPr>
          <w:rFonts w:ascii="Arial" w:eastAsia="Arial" w:hAnsi="Arial" w:cs="Arial"/>
        </w:rPr>
        <w:t xml:space="preserve"> &amp; </w:t>
      </w:r>
      <w:proofErr w:type="spellStart"/>
      <w:r w:rsidRPr="00EE7C18">
        <w:rPr>
          <w:rFonts w:ascii="Arial" w:eastAsia="Arial" w:hAnsi="Arial" w:cs="Arial"/>
        </w:rPr>
        <w:t>Karunia</w:t>
      </w:r>
      <w:proofErr w:type="spellEnd"/>
      <w:r w:rsidRPr="00EE7C18">
        <w:rPr>
          <w:rFonts w:ascii="Arial" w:eastAsia="Arial" w:hAnsi="Arial" w:cs="Arial"/>
        </w:rPr>
        <w:t>, 2025).</w:t>
      </w:r>
    </w:p>
    <w:p w14:paraId="51105431" w14:textId="77777777" w:rsidR="002F1BEE" w:rsidRPr="00EE7C18" w:rsidRDefault="002F1BEE">
      <w:pPr>
        <w:jc w:val="both"/>
        <w:rPr>
          <w:rFonts w:ascii="Arial" w:eastAsia="Arial" w:hAnsi="Arial" w:cs="Arial"/>
        </w:rPr>
      </w:pPr>
    </w:p>
    <w:p w14:paraId="7A7AB2DD" w14:textId="77777777" w:rsidR="002F1BEE" w:rsidRPr="00EE7C18" w:rsidRDefault="005A24ED">
      <w:pPr>
        <w:jc w:val="both"/>
        <w:rPr>
          <w:rFonts w:ascii="Arial" w:eastAsia="Arial" w:hAnsi="Arial" w:cs="Arial"/>
        </w:rPr>
      </w:pPr>
      <w:r w:rsidRPr="00EE7C18">
        <w:rPr>
          <w:rFonts w:ascii="Arial" w:eastAsia="Arial" w:hAnsi="Arial" w:cs="Arial"/>
        </w:rPr>
        <w:t xml:space="preserve">Comprehensive global study suggests that assurance on CSR reports is increasingly esteemed by investors, as it bolsters the legitimacy of sustainability reporting and amplifies the influence of CSR on market valuation (Hoang &amp; Trotman, 2020; </w:t>
      </w:r>
      <w:proofErr w:type="spellStart"/>
      <w:r w:rsidRPr="00EE7C18">
        <w:rPr>
          <w:rFonts w:ascii="Arial" w:eastAsia="Arial" w:hAnsi="Arial" w:cs="Arial"/>
        </w:rPr>
        <w:t>Elbardan</w:t>
      </w:r>
      <w:proofErr w:type="spellEnd"/>
      <w:r w:rsidRPr="00EE7C18">
        <w:rPr>
          <w:rFonts w:ascii="Arial" w:eastAsia="Arial" w:hAnsi="Arial" w:cs="Arial"/>
        </w:rPr>
        <w:t xml:space="preserve"> et al., 2023). Conversely, certain studies have revealed uneven or neutral outcomes, suggesting that the impact of CSR on corporate value is not solely direct but also mediated by financial variables such as profitability, cost of capital, and risk (Datt et al., 2024; </w:t>
      </w:r>
      <w:proofErr w:type="spellStart"/>
      <w:r w:rsidRPr="00EE7C18">
        <w:rPr>
          <w:rFonts w:ascii="Arial" w:eastAsia="Arial" w:hAnsi="Arial" w:cs="Arial"/>
        </w:rPr>
        <w:t>Dwomor</w:t>
      </w:r>
      <w:proofErr w:type="spellEnd"/>
      <w:r w:rsidRPr="00EE7C18">
        <w:rPr>
          <w:rFonts w:ascii="Arial" w:eastAsia="Arial" w:hAnsi="Arial" w:cs="Arial"/>
        </w:rPr>
        <w:t xml:space="preserve"> &amp; Mensah, 2024; </w:t>
      </w:r>
      <w:proofErr w:type="spellStart"/>
      <w:r w:rsidRPr="00EE7C18">
        <w:rPr>
          <w:rFonts w:ascii="Arial" w:eastAsia="Arial" w:hAnsi="Arial" w:cs="Arial"/>
        </w:rPr>
        <w:t>Juliyanti</w:t>
      </w:r>
      <w:proofErr w:type="spellEnd"/>
      <w:r w:rsidRPr="00EE7C18">
        <w:rPr>
          <w:rFonts w:ascii="Arial" w:eastAsia="Arial" w:hAnsi="Arial" w:cs="Arial"/>
        </w:rPr>
        <w:t xml:space="preserve"> et al., 2024; Delgado Sánchez et al., 2026).</w:t>
      </w:r>
    </w:p>
    <w:p w14:paraId="502CCB09" w14:textId="77777777" w:rsidR="002F1BEE" w:rsidRPr="00EE7C18" w:rsidRDefault="002F1BEE">
      <w:pPr>
        <w:jc w:val="both"/>
        <w:rPr>
          <w:rFonts w:ascii="Arial" w:eastAsia="Arial" w:hAnsi="Arial" w:cs="Arial"/>
        </w:rPr>
      </w:pPr>
    </w:p>
    <w:p w14:paraId="6175F0C2" w14:textId="77777777" w:rsidR="002F1BEE" w:rsidRPr="00EE7C18" w:rsidRDefault="005A24ED">
      <w:pPr>
        <w:jc w:val="both"/>
        <w:rPr>
          <w:rFonts w:ascii="Arial" w:eastAsia="Arial" w:hAnsi="Arial" w:cs="Arial"/>
        </w:rPr>
      </w:pPr>
      <w:r w:rsidRPr="00EE7C18">
        <w:rPr>
          <w:rFonts w:ascii="Arial" w:eastAsia="Arial" w:hAnsi="Arial" w:cs="Arial"/>
        </w:rPr>
        <w:t>Profitability is a crucial metric of a company's efficacy in resource management and profit generation. Recent study frequently identifies profitability as a conduit elucidating how CSR initiatives ultimately enhance corporate value (</w:t>
      </w:r>
      <w:proofErr w:type="spellStart"/>
      <w:r w:rsidRPr="00EE7C18">
        <w:rPr>
          <w:rFonts w:ascii="Arial" w:eastAsia="Arial" w:hAnsi="Arial" w:cs="Arial"/>
        </w:rPr>
        <w:t>Dwijayanti</w:t>
      </w:r>
      <w:proofErr w:type="spellEnd"/>
      <w:r w:rsidRPr="00EE7C18">
        <w:rPr>
          <w:rFonts w:ascii="Arial" w:eastAsia="Arial" w:hAnsi="Arial" w:cs="Arial"/>
        </w:rPr>
        <w:t xml:space="preserve"> et al., 2025). Organizations that strategically execute CSR can enhance customer satisfaction, loyalty, and operational efficiency (such as energy conservation and waste management), resulting in increased and more stable earnings (Agyei et al., 2021; </w:t>
      </w:r>
      <w:proofErr w:type="spellStart"/>
      <w:r w:rsidRPr="00EE7C18">
        <w:rPr>
          <w:rFonts w:ascii="Arial" w:eastAsia="Arial" w:hAnsi="Arial" w:cs="Arial"/>
        </w:rPr>
        <w:t>Susilawati</w:t>
      </w:r>
      <w:proofErr w:type="spellEnd"/>
      <w:r w:rsidRPr="00EE7C18">
        <w:rPr>
          <w:rFonts w:ascii="Arial" w:eastAsia="Arial" w:hAnsi="Arial" w:cs="Arial"/>
        </w:rPr>
        <w:t xml:space="preserve"> et al., 2024; Dela et al., 2024).</w:t>
      </w:r>
    </w:p>
    <w:p w14:paraId="04A2302D" w14:textId="77777777" w:rsidR="002F1BEE" w:rsidRPr="00EE7C18" w:rsidRDefault="002F1BEE">
      <w:pPr>
        <w:jc w:val="both"/>
        <w:rPr>
          <w:rFonts w:ascii="Arial" w:eastAsia="Arial" w:hAnsi="Arial" w:cs="Arial"/>
        </w:rPr>
      </w:pPr>
    </w:p>
    <w:p w14:paraId="5D1EDED3" w14:textId="77777777" w:rsidR="002F1BEE" w:rsidRPr="00EE7C18" w:rsidRDefault="005A24ED">
      <w:pPr>
        <w:jc w:val="both"/>
        <w:rPr>
          <w:rFonts w:ascii="Arial" w:eastAsia="Arial" w:hAnsi="Arial" w:cs="Arial"/>
        </w:rPr>
      </w:pPr>
      <w:r w:rsidRPr="00EE7C18">
        <w:rPr>
          <w:rFonts w:ascii="Arial" w:eastAsia="Arial" w:hAnsi="Arial" w:cs="Arial"/>
        </w:rPr>
        <w:t xml:space="preserve">Numerous empirical studies indicate CSR correlates positively with profitability, which subsequently enhances firm value. Studies on Indonesian and Malaysian pharmaceutical firms indicate that CSR enhances profitability, hence bolstering the company's market value in the medium run (Hermawan et al., 2023). A further study revealed that profitability may serve as a mediating element in the relationship between CSR and business value, indicating that CSR activities enhance profitability initially, which subsequently manifests as a rise in firm value in the capital market (Mahdi et al., 2023; </w:t>
      </w:r>
      <w:proofErr w:type="spellStart"/>
      <w:r w:rsidRPr="00EE7C18">
        <w:rPr>
          <w:rFonts w:ascii="Arial" w:eastAsia="Arial" w:hAnsi="Arial" w:cs="Arial"/>
        </w:rPr>
        <w:t>Fadillah</w:t>
      </w:r>
      <w:proofErr w:type="spellEnd"/>
      <w:r w:rsidRPr="00EE7C18">
        <w:rPr>
          <w:rFonts w:ascii="Arial" w:eastAsia="Arial" w:hAnsi="Arial" w:cs="Arial"/>
        </w:rPr>
        <w:t xml:space="preserve"> et al., 2024)</w:t>
      </w:r>
    </w:p>
    <w:p w14:paraId="04573280" w14:textId="77777777" w:rsidR="002F1BEE" w:rsidRPr="00EE7C18" w:rsidRDefault="002F1BEE">
      <w:pPr>
        <w:jc w:val="both"/>
        <w:rPr>
          <w:rFonts w:ascii="Arial" w:eastAsia="Arial" w:hAnsi="Arial" w:cs="Arial"/>
        </w:rPr>
      </w:pPr>
    </w:p>
    <w:p w14:paraId="203916EB" w14:textId="77777777" w:rsidR="002F1BEE" w:rsidRPr="00EE7C18" w:rsidRDefault="005A24ED">
      <w:pPr>
        <w:jc w:val="both"/>
        <w:rPr>
          <w:rFonts w:ascii="Arial" w:eastAsia="Arial" w:hAnsi="Arial" w:cs="Arial"/>
        </w:rPr>
      </w:pPr>
      <w:r w:rsidRPr="00EE7C18">
        <w:rPr>
          <w:rFonts w:ascii="Arial" w:eastAsia="Arial" w:hAnsi="Arial" w:cs="Arial"/>
        </w:rPr>
        <w:t>Nonetheless, research findings are not universally consistent. Some studies indicate a weak or negligible effect of CSR on profitability, alongside a relatively little or even adverse effect of profitability on business value in some situations. The discrepancies in findings suggest that contextual factors, like business type, time frame, and the quality and emphasis of CSR programs, affect the degree to which profitability serves as a mediator in this relationship (Li et al., 2025; Christi et al., 2025).</w:t>
      </w:r>
    </w:p>
    <w:p w14:paraId="4930F49C" w14:textId="77777777" w:rsidR="002F1BEE" w:rsidRPr="00EE7C18" w:rsidRDefault="002F1BEE">
      <w:pPr>
        <w:jc w:val="both"/>
        <w:rPr>
          <w:rFonts w:ascii="Arial" w:eastAsia="Arial" w:hAnsi="Arial" w:cs="Arial"/>
        </w:rPr>
      </w:pPr>
    </w:p>
    <w:p w14:paraId="7624EA32" w14:textId="77777777" w:rsidR="002F1BEE" w:rsidRPr="00EE7C18" w:rsidRDefault="005A24ED">
      <w:pPr>
        <w:jc w:val="both"/>
        <w:rPr>
          <w:rFonts w:ascii="Arial" w:eastAsia="Arial" w:hAnsi="Arial" w:cs="Arial"/>
        </w:rPr>
      </w:pPr>
      <w:r w:rsidRPr="00EE7C18">
        <w:rPr>
          <w:rFonts w:ascii="Arial" w:eastAsia="Arial" w:hAnsi="Arial" w:cs="Arial"/>
        </w:rPr>
        <w:t>Indonesia explicitly regulates corporate social responsibility (CSR) obligations for specific companies, especially in the natural resources sector, through the Limited Liability Companies Law and the Financial Services Authority (OJK) regulations concerning sustainability reporting. This institutional requirement and pressure compel enterprises across diverse sectors to enhance the quality of their CSR implementation and disclosure (Gunawan et al., 2022). Recent research in Indonesia indicates that CSR disclosure significantly influences firm value, with profitability or company size occasionally mitigating or mediating this relationship (</w:t>
      </w:r>
      <w:proofErr w:type="spellStart"/>
      <w:r w:rsidRPr="00EE7C18">
        <w:rPr>
          <w:rFonts w:ascii="Arial" w:eastAsia="Arial" w:hAnsi="Arial" w:cs="Arial"/>
        </w:rPr>
        <w:t>Handayati</w:t>
      </w:r>
      <w:proofErr w:type="spellEnd"/>
      <w:r w:rsidRPr="00EE7C18">
        <w:rPr>
          <w:rFonts w:ascii="Arial" w:eastAsia="Arial" w:hAnsi="Arial" w:cs="Arial"/>
        </w:rPr>
        <w:t xml:space="preserve"> et al., 2022; Rahmawati et al., 2023).</w:t>
      </w:r>
    </w:p>
    <w:p w14:paraId="01398517" w14:textId="77777777" w:rsidR="002F1BEE" w:rsidRPr="00EE7C18" w:rsidRDefault="002F1BEE">
      <w:pPr>
        <w:jc w:val="both"/>
        <w:rPr>
          <w:rFonts w:ascii="Arial" w:eastAsia="Arial" w:hAnsi="Arial" w:cs="Arial"/>
        </w:rPr>
      </w:pPr>
    </w:p>
    <w:p w14:paraId="16B37FD3" w14:textId="77777777" w:rsidR="002F1BEE" w:rsidRPr="00EE7C18" w:rsidRDefault="005A24ED">
      <w:pPr>
        <w:jc w:val="both"/>
        <w:rPr>
          <w:rFonts w:ascii="Arial" w:eastAsia="Arial" w:hAnsi="Arial" w:cs="Arial"/>
        </w:rPr>
      </w:pPr>
      <w:r w:rsidRPr="00EE7C18">
        <w:rPr>
          <w:rFonts w:ascii="Arial" w:eastAsia="Arial" w:hAnsi="Arial" w:cs="Arial"/>
        </w:rPr>
        <w:t xml:space="preserve">The consumer non-cyclicals sector, encompassing food, beverages, household items, pharmaceuticals, and other essential goods, exhibits traits that are comparatively resilient to economic fluctuations due to the stability of product demand (Bacon &amp; George, 2023). This renders the sector particularly pertinent for analysis, as investors frequently regard it as a refuge during economic instability, notably throughout the pandemic and subsequent recovery </w:t>
      </w:r>
      <w:r w:rsidRPr="00EE7C18">
        <w:rPr>
          <w:rFonts w:ascii="Arial" w:eastAsia="Arial" w:hAnsi="Arial" w:cs="Arial"/>
        </w:rPr>
        <w:lastRenderedPageBreak/>
        <w:t>phases (</w:t>
      </w:r>
      <w:proofErr w:type="spellStart"/>
      <w:r w:rsidRPr="00EE7C18">
        <w:rPr>
          <w:rFonts w:ascii="Arial" w:eastAsia="Arial" w:hAnsi="Arial" w:cs="Arial"/>
        </w:rPr>
        <w:t>Tumbelaka</w:t>
      </w:r>
      <w:proofErr w:type="spellEnd"/>
      <w:r w:rsidRPr="00EE7C18">
        <w:rPr>
          <w:rFonts w:ascii="Arial" w:eastAsia="Arial" w:hAnsi="Arial" w:cs="Arial"/>
        </w:rPr>
        <w:t xml:space="preserve"> et al., 2024; Srivastava, 2024). In this area, consumer expectations for ethical business processes, safe and high-quality products, and environmental responsibility are substantial, rendering corporate social responsibility a crucial differentiator in competition and the perception of firm value (</w:t>
      </w:r>
      <w:r w:rsidRPr="00EE7C18">
        <w:rPr>
          <w:rFonts w:ascii="Arial" w:eastAsia="Arial" w:hAnsi="Arial" w:cs="Arial"/>
          <w:highlight w:val="white"/>
        </w:rPr>
        <w:t>Phung &amp; Huynh, 2022</w:t>
      </w:r>
      <w:r w:rsidRPr="00EE7C18">
        <w:rPr>
          <w:rFonts w:ascii="Arial" w:eastAsia="Arial" w:hAnsi="Arial" w:cs="Arial"/>
        </w:rPr>
        <w:t>; Cuesta</w:t>
      </w:r>
      <w:r w:rsidRPr="00EE7C18">
        <w:rPr>
          <w:rFonts w:ascii="Cambria Math" w:eastAsia="Cambria Math" w:hAnsi="Cambria Math" w:cs="Cambria Math"/>
        </w:rPr>
        <w:t>‐</w:t>
      </w:r>
      <w:proofErr w:type="spellStart"/>
      <w:r w:rsidRPr="00EE7C18">
        <w:rPr>
          <w:rFonts w:ascii="Arial" w:eastAsia="Arial" w:hAnsi="Arial" w:cs="Arial"/>
        </w:rPr>
        <w:t>Valiño</w:t>
      </w:r>
      <w:proofErr w:type="spellEnd"/>
      <w:r w:rsidRPr="00EE7C18">
        <w:rPr>
          <w:rFonts w:ascii="Arial" w:eastAsia="Arial" w:hAnsi="Arial" w:cs="Arial"/>
        </w:rPr>
        <w:t xml:space="preserve"> et al., 2023)</w:t>
      </w:r>
    </w:p>
    <w:p w14:paraId="7F3B8B87" w14:textId="77777777" w:rsidR="002F1BEE" w:rsidRPr="00EE7C18" w:rsidRDefault="002F1BEE">
      <w:pPr>
        <w:jc w:val="both"/>
        <w:rPr>
          <w:rFonts w:ascii="Arial" w:eastAsia="Arial" w:hAnsi="Arial" w:cs="Arial"/>
        </w:rPr>
      </w:pPr>
    </w:p>
    <w:p w14:paraId="2A64C97F" w14:textId="77777777" w:rsidR="002F1BEE" w:rsidRPr="00EE7C18" w:rsidRDefault="005A24ED">
      <w:pPr>
        <w:jc w:val="both"/>
        <w:rPr>
          <w:rFonts w:ascii="Arial" w:eastAsia="Arial" w:hAnsi="Arial" w:cs="Arial"/>
        </w:rPr>
      </w:pPr>
      <w:r w:rsidRPr="00EE7C18">
        <w:rPr>
          <w:rFonts w:ascii="Arial" w:eastAsia="Arial" w:hAnsi="Arial" w:cs="Arial"/>
        </w:rPr>
        <w:t>Recent research on non-cyclical consumer firms listed on the Indonesia Stock Exchange from 2017 to 2021 indicates that profitability and CSR disclosure collectively impact company value, with profitability being the predominant factor for investors (</w:t>
      </w:r>
      <w:proofErr w:type="spellStart"/>
      <w:r w:rsidRPr="00EE7C18">
        <w:rPr>
          <w:rFonts w:ascii="Arial" w:eastAsia="Arial" w:hAnsi="Arial" w:cs="Arial"/>
        </w:rPr>
        <w:t>Unsulangi</w:t>
      </w:r>
      <w:proofErr w:type="spellEnd"/>
      <w:r w:rsidRPr="00EE7C18">
        <w:rPr>
          <w:rFonts w:ascii="Arial" w:eastAsia="Arial" w:hAnsi="Arial" w:cs="Arial"/>
        </w:rPr>
        <w:t xml:space="preserve"> &amp; </w:t>
      </w:r>
      <w:proofErr w:type="spellStart"/>
      <w:r w:rsidRPr="00EE7C18">
        <w:rPr>
          <w:rFonts w:ascii="Arial" w:eastAsia="Arial" w:hAnsi="Arial" w:cs="Arial"/>
        </w:rPr>
        <w:t>Sufina</w:t>
      </w:r>
      <w:proofErr w:type="spellEnd"/>
      <w:r w:rsidRPr="00EE7C18">
        <w:rPr>
          <w:rFonts w:ascii="Arial" w:eastAsia="Arial" w:hAnsi="Arial" w:cs="Arial"/>
        </w:rPr>
        <w:t>, 2023). A recent study examining non-cyclical corporations from 2021 to 2023 determined that profitability significantly influences company value more than sustainability reporting and social initiatives, however corporate social responsibility remains pertinent to the long-term value discourse (Mitzy &amp; Wijaya, 2025).</w:t>
      </w:r>
    </w:p>
    <w:p w14:paraId="7792CA5A" w14:textId="77777777" w:rsidR="002F1BEE" w:rsidRPr="00EE7C18" w:rsidRDefault="002F1BEE">
      <w:pPr>
        <w:jc w:val="both"/>
        <w:rPr>
          <w:rFonts w:ascii="Arial" w:eastAsia="Arial" w:hAnsi="Arial" w:cs="Arial"/>
        </w:rPr>
      </w:pPr>
    </w:p>
    <w:p w14:paraId="5569C7E5" w14:textId="77777777" w:rsidR="002F1BEE" w:rsidRDefault="005A24ED">
      <w:pPr>
        <w:jc w:val="both"/>
        <w:rPr>
          <w:rFonts w:ascii="Arial" w:eastAsia="Arial" w:hAnsi="Arial" w:cs="Arial"/>
        </w:rPr>
      </w:pPr>
      <w:r w:rsidRPr="00EE7C18">
        <w:rPr>
          <w:rFonts w:ascii="Arial" w:eastAsia="Arial" w:hAnsi="Arial" w:cs="Arial"/>
        </w:rPr>
        <w:t>Within the consumer non-cyclicals sector in Indonesia, investigations into the mediating role of profitability in the relationship between CSR and company value remain relatively few and frequently conflated with other variables such as leverage, firm size, or ownership structure. Certain studies concentrate on CSR and profitability, or CSR and company value independently, without specifically examining the mediation pathway, whilst others see profitability as a moderator rather than a mediator. The disparity is notable as the attributes of the consumer non-cyclicals sector, focused on fundamental needs, susceptible to product quality and safety concerns, and directly engaging with end consumers, may facilitate a more rapid transformation of CSR into enhanced sales and profits relative to other sectors. This scenario presents pertinent and contemporary study possibilities to investigate how CSR affects corporate value through profitability in consumer non-cyclical sector firms listed on the Indonesia Stock Exchange.</w:t>
      </w:r>
    </w:p>
    <w:p w14:paraId="562676EE" w14:textId="77777777" w:rsidR="002F1BEE" w:rsidRDefault="002F1BEE">
      <w:pPr>
        <w:rPr>
          <w:color w:val="000000"/>
        </w:rPr>
      </w:pPr>
    </w:p>
    <w:p w14:paraId="1CAD6107" w14:textId="77777777"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Literature Review</w:t>
      </w:r>
    </w:p>
    <w:p w14:paraId="614F8C30" w14:textId="77777777"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2.1. Corporate Social Responsibility</w:t>
      </w:r>
    </w:p>
    <w:p w14:paraId="43C1FBA8" w14:textId="77777777" w:rsidR="002F1BEE" w:rsidRDefault="002F1BEE">
      <w:pPr>
        <w:keepNext/>
        <w:pBdr>
          <w:top w:val="nil"/>
          <w:left w:val="nil"/>
          <w:bottom w:val="nil"/>
          <w:right w:val="nil"/>
          <w:between w:val="nil"/>
        </w:pBdr>
        <w:jc w:val="both"/>
        <w:rPr>
          <w:rFonts w:ascii="Arial" w:eastAsia="Arial" w:hAnsi="Arial" w:cs="Arial"/>
          <w:b/>
          <w:bCs/>
          <w:smallCaps/>
          <w:color w:val="000000"/>
          <w:sz w:val="22"/>
          <w:szCs w:val="22"/>
        </w:rPr>
      </w:pPr>
    </w:p>
    <w:p w14:paraId="03E03D4B" w14:textId="77777777" w:rsidR="002F1BEE" w:rsidRPr="00EE7C18"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t>Carroll's (1991) approach delineates that corporate social responsibility comprises four tiers that constitute a Corporate Social Responsibility pyramid. Each layer defines the company's priorities and its obligations to society. Corporate Social Responsibility is a company's dedication to fostering sustainable economic, social, and environmental advancement. Corporate Social Responsibility has transitioned from a charity model to a fundamental component of a company's primary strategy. Corporate Social Responsibility includes policies and procedures aimed at positively influencing society and the environment, in accordance with the company's long-term economic objectives (</w:t>
      </w:r>
      <w:proofErr w:type="spellStart"/>
      <w:r w:rsidRPr="00EE7C18">
        <w:rPr>
          <w:rFonts w:ascii="Arial" w:eastAsia="Arial" w:hAnsi="Arial" w:cs="Arial"/>
          <w:color w:val="000000"/>
        </w:rPr>
        <w:t>Komath</w:t>
      </w:r>
      <w:proofErr w:type="spellEnd"/>
      <w:r w:rsidRPr="00EE7C18">
        <w:rPr>
          <w:rFonts w:ascii="Arial" w:eastAsia="Arial" w:hAnsi="Arial" w:cs="Arial"/>
          <w:color w:val="000000"/>
        </w:rPr>
        <w:t xml:space="preserve"> et al., 2025). Within the framework of sustainability, Corporate Social Responsibility is essential for establishing enduring relationships with stakeholders and generating competitive advantages that beyond just financial benefits to include reputation, public trust, and operational resilience.</w:t>
      </w:r>
    </w:p>
    <w:p w14:paraId="4C9C10E1" w14:textId="77777777" w:rsidR="002F1BEE" w:rsidRPr="00EE7C18" w:rsidRDefault="002F1BEE">
      <w:pPr>
        <w:pBdr>
          <w:top w:val="nil"/>
          <w:left w:val="nil"/>
          <w:bottom w:val="nil"/>
          <w:right w:val="nil"/>
          <w:between w:val="nil"/>
        </w:pBdr>
        <w:jc w:val="both"/>
        <w:rPr>
          <w:rFonts w:ascii="Arial" w:eastAsia="Arial" w:hAnsi="Arial" w:cs="Arial"/>
          <w:color w:val="000000"/>
        </w:rPr>
      </w:pPr>
    </w:p>
    <w:p w14:paraId="1A406F24" w14:textId="77777777" w:rsidR="002F1BEE" w:rsidRPr="00EE7C18"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t>Dsouza et al. (2025) assert that contemporary Corporate Social Responsibility is intricately associated with sustainable investment methodologies, referred to as Environmental, Social, and Governance (ESG). Corporate Social Responsibility has emerged as a criterion for evaluating a company's long-term sustainability. Investors are progressively using social and environmental factors as criteria for investment decisions, so making Corporate Social Responsibility a direct contributor to a company's market worth.</w:t>
      </w:r>
    </w:p>
    <w:p w14:paraId="34F48508" w14:textId="77777777" w:rsidR="002F1BEE" w:rsidRPr="00EE7C18" w:rsidRDefault="002F1BEE">
      <w:pPr>
        <w:pBdr>
          <w:top w:val="nil"/>
          <w:left w:val="nil"/>
          <w:bottom w:val="nil"/>
          <w:right w:val="nil"/>
          <w:between w:val="nil"/>
        </w:pBdr>
        <w:jc w:val="both"/>
        <w:rPr>
          <w:rFonts w:ascii="Arial" w:eastAsia="Arial" w:hAnsi="Arial" w:cs="Arial"/>
          <w:color w:val="000000"/>
        </w:rPr>
      </w:pPr>
    </w:p>
    <w:p w14:paraId="23A04C4A" w14:textId="77777777" w:rsidR="002F1BEE" w:rsidRPr="00EE7C18"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t xml:space="preserve">Tawfiq et al. (2024) illustrate that Corporate Social Responsibility, specifically regarding ESG disclosure, directly influences capital structure and cost of capital. Firms that consistently disclose Corporate Social Responsibility are seen by the market as possessing diminished risk, thus influencing financing efficiency and investor inclinations. Corporate Social </w:t>
      </w:r>
      <w:r w:rsidRPr="00EE7C18">
        <w:rPr>
          <w:rFonts w:ascii="Arial" w:eastAsia="Arial" w:hAnsi="Arial" w:cs="Arial"/>
          <w:color w:val="000000"/>
        </w:rPr>
        <w:lastRenderedPageBreak/>
        <w:t>Responsibility functions as a mechanism to mitigate reputational and legal concerns, particularly in the context of heightened public scrutiny.</w:t>
      </w:r>
    </w:p>
    <w:p w14:paraId="579B7831" w14:textId="77777777" w:rsidR="002F1BEE" w:rsidRDefault="002F1BEE">
      <w:pPr>
        <w:pBdr>
          <w:top w:val="nil"/>
          <w:left w:val="nil"/>
          <w:bottom w:val="nil"/>
          <w:right w:val="nil"/>
          <w:between w:val="nil"/>
        </w:pBdr>
        <w:jc w:val="both"/>
        <w:rPr>
          <w:rFonts w:ascii="Arial" w:eastAsia="Arial" w:hAnsi="Arial" w:cs="Arial"/>
          <w:color w:val="000000"/>
        </w:rPr>
      </w:pPr>
    </w:p>
    <w:p w14:paraId="025ECA51" w14:textId="77777777"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2.2. Company Value</w:t>
      </w:r>
    </w:p>
    <w:p w14:paraId="09844917" w14:textId="77777777" w:rsidR="002F1BEE" w:rsidRDefault="002F1BEE">
      <w:pPr>
        <w:pBdr>
          <w:top w:val="nil"/>
          <w:left w:val="nil"/>
          <w:bottom w:val="nil"/>
          <w:right w:val="nil"/>
          <w:between w:val="nil"/>
        </w:pBdr>
        <w:jc w:val="both"/>
        <w:rPr>
          <w:rFonts w:ascii="Arial" w:eastAsia="Arial" w:hAnsi="Arial" w:cs="Arial"/>
          <w:color w:val="000000"/>
        </w:rPr>
      </w:pPr>
    </w:p>
    <w:p w14:paraId="32F4ABA9" w14:textId="77777777" w:rsidR="002F1BEE" w:rsidRPr="00EE7C18"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rPr>
        <w:t>Miller &amp;</w:t>
      </w:r>
      <w:r w:rsidRPr="00EE7C18">
        <w:rPr>
          <w:rFonts w:ascii="Arial" w:eastAsia="Arial" w:hAnsi="Arial" w:cs="Arial"/>
          <w:color w:val="000000"/>
        </w:rPr>
        <w:t xml:space="preserve"> Modigliani's (1961) argument posits that a company's worth is dictated by its capacity to make profits and its growth potential, rather than merely by its dividend policy or capital structure. Company value is an extensive assessment of investors' and the market's perception of a company's capacity to provide enduring economic value. Company value signifies a firm's prospective ability to provide consistent cash flows and profits, as evidenced by stock prices and financial metrics like Price to Book Value (PBV) (Sharma et al., 2025). In this era, a greater investor impression of corporate governance and sustainability correlates with an increased company value, as reflected by market indices.</w:t>
      </w:r>
    </w:p>
    <w:p w14:paraId="6F6A349F" w14:textId="77777777" w:rsidR="002F1BEE" w:rsidRPr="00EE7C18" w:rsidRDefault="002F1BEE">
      <w:pPr>
        <w:pBdr>
          <w:top w:val="nil"/>
          <w:left w:val="nil"/>
          <w:bottom w:val="nil"/>
          <w:right w:val="nil"/>
          <w:between w:val="nil"/>
        </w:pBdr>
        <w:jc w:val="both"/>
        <w:rPr>
          <w:rFonts w:ascii="Arial" w:eastAsia="Arial" w:hAnsi="Arial" w:cs="Arial"/>
          <w:color w:val="000000"/>
        </w:rPr>
      </w:pPr>
    </w:p>
    <w:p w14:paraId="5871983B" w14:textId="77777777" w:rsidR="002F1BEE"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t>Robust corporate governance and transparent sustainability reporting can augment organizational value by guaranteeing stakeholders of responsible management (</w:t>
      </w:r>
      <w:proofErr w:type="spellStart"/>
      <w:r w:rsidRPr="00EE7C18">
        <w:rPr>
          <w:rFonts w:ascii="Arial" w:eastAsia="Arial" w:hAnsi="Arial" w:cs="Arial"/>
        </w:rPr>
        <w:t>Kiryanto</w:t>
      </w:r>
      <w:proofErr w:type="spellEnd"/>
      <w:r w:rsidRPr="00EE7C18">
        <w:rPr>
          <w:rFonts w:ascii="Arial" w:eastAsia="Arial" w:hAnsi="Arial" w:cs="Arial"/>
        </w:rPr>
        <w:t xml:space="preserve"> &amp; Noor </w:t>
      </w:r>
      <w:proofErr w:type="spellStart"/>
      <w:r w:rsidRPr="00EE7C18">
        <w:rPr>
          <w:rFonts w:ascii="Arial" w:eastAsia="Arial" w:hAnsi="Arial" w:cs="Arial"/>
        </w:rPr>
        <w:t>Syaharani</w:t>
      </w:r>
      <w:proofErr w:type="spellEnd"/>
      <w:r w:rsidRPr="00EE7C18">
        <w:rPr>
          <w:rFonts w:ascii="Arial" w:eastAsia="Arial" w:hAnsi="Arial" w:cs="Arial"/>
        </w:rPr>
        <w:t>, 2024</w:t>
      </w:r>
      <w:r w:rsidRPr="00EE7C18">
        <w:rPr>
          <w:rFonts w:ascii="Arial" w:eastAsia="Arial" w:hAnsi="Arial" w:cs="Arial"/>
          <w:color w:val="000000"/>
        </w:rPr>
        <w:t>). A company's worth reflects not only its financial performance but also its reputation, integrity, and long-term operational viability (</w:t>
      </w:r>
      <w:r w:rsidRPr="00EE7C18">
        <w:rPr>
          <w:rFonts w:ascii="Arial" w:eastAsia="Arial" w:hAnsi="Arial" w:cs="Arial"/>
        </w:rPr>
        <w:t>Suhartini et al., 2024)</w:t>
      </w:r>
      <w:r w:rsidRPr="00EE7C18">
        <w:rPr>
          <w:rFonts w:ascii="Arial" w:eastAsia="Arial" w:hAnsi="Arial" w:cs="Arial"/>
          <w:color w:val="000000"/>
        </w:rPr>
        <w:t>. The capital structure affects risk perceptions and prospective profitability, hence influencing corporate value. An equitable capital structure of debt and equity signifies judicious financial risk management, which is preferred by investors in the capital market (</w:t>
      </w:r>
      <w:proofErr w:type="spellStart"/>
      <w:r w:rsidRPr="00EE7C18">
        <w:rPr>
          <w:rFonts w:ascii="Arial" w:eastAsia="Arial" w:hAnsi="Arial" w:cs="Arial"/>
          <w:color w:val="000000"/>
        </w:rPr>
        <w:t>Mawarni</w:t>
      </w:r>
      <w:proofErr w:type="spellEnd"/>
      <w:r w:rsidRPr="00EE7C18">
        <w:rPr>
          <w:rFonts w:ascii="Arial" w:eastAsia="Arial" w:hAnsi="Arial" w:cs="Arial"/>
          <w:color w:val="000000"/>
        </w:rPr>
        <w:t xml:space="preserve"> et al., 2024).</w:t>
      </w:r>
    </w:p>
    <w:p w14:paraId="18E9F736" w14:textId="77777777" w:rsidR="002F1BEE" w:rsidRDefault="002F1BEE">
      <w:pPr>
        <w:pBdr>
          <w:top w:val="nil"/>
          <w:left w:val="nil"/>
          <w:bottom w:val="nil"/>
          <w:right w:val="nil"/>
          <w:between w:val="nil"/>
        </w:pBdr>
        <w:jc w:val="both"/>
        <w:rPr>
          <w:rFonts w:ascii="Arial" w:eastAsia="Arial" w:hAnsi="Arial" w:cs="Arial"/>
          <w:color w:val="000000"/>
        </w:rPr>
      </w:pPr>
    </w:p>
    <w:p w14:paraId="62BD9C0C" w14:textId="77777777"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2.3. Profitability</w:t>
      </w:r>
    </w:p>
    <w:p w14:paraId="1F185280" w14:textId="77777777" w:rsidR="002F1BEE" w:rsidRDefault="002F1BEE">
      <w:pPr>
        <w:pBdr>
          <w:top w:val="nil"/>
          <w:left w:val="nil"/>
          <w:bottom w:val="nil"/>
          <w:right w:val="nil"/>
          <w:between w:val="nil"/>
        </w:pBdr>
        <w:jc w:val="both"/>
        <w:rPr>
          <w:rFonts w:ascii="Arial" w:eastAsia="Arial" w:hAnsi="Arial" w:cs="Arial"/>
          <w:color w:val="000000"/>
        </w:rPr>
      </w:pPr>
    </w:p>
    <w:p w14:paraId="0321BFB0" w14:textId="77777777" w:rsidR="002F1BEE" w:rsidRPr="00EE7C18"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t>Management decisions determine how well a company uses its resources to generate profit (Brigham &amp; Houston, 2015). Financial analysts measure profitability by how much a firm makes from its operations in a certain timeframe. Profitability shows how well a corporation uses economic resources to make money (</w:t>
      </w:r>
      <w:proofErr w:type="spellStart"/>
      <w:r w:rsidRPr="00EE7C18">
        <w:rPr>
          <w:rFonts w:ascii="Arial" w:eastAsia="Arial" w:hAnsi="Arial" w:cs="Arial"/>
        </w:rPr>
        <w:t>Suryati</w:t>
      </w:r>
      <w:proofErr w:type="spellEnd"/>
      <w:r w:rsidRPr="00EE7C18">
        <w:rPr>
          <w:rFonts w:ascii="Arial" w:eastAsia="Arial" w:hAnsi="Arial" w:cs="Arial"/>
        </w:rPr>
        <w:t xml:space="preserve"> et al.</w:t>
      </w:r>
      <w:r w:rsidRPr="00EE7C18">
        <w:rPr>
          <w:rFonts w:ascii="Arial" w:eastAsia="Arial" w:hAnsi="Arial" w:cs="Arial"/>
          <w:color w:val="000000"/>
        </w:rPr>
        <w:t>, 2019). This index measures a company's financial health, market competitiveness, and investor interest.</w:t>
      </w:r>
    </w:p>
    <w:p w14:paraId="40C3657B" w14:textId="77777777" w:rsidR="002F1BEE" w:rsidRPr="00EE7C18"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br/>
        <w:t>Companies use profitability to measure internal efficiency and external confidence (</w:t>
      </w:r>
      <w:r w:rsidRPr="00EE7C18">
        <w:rPr>
          <w:rFonts w:ascii="Arial" w:eastAsia="Arial" w:hAnsi="Arial" w:cs="Arial"/>
        </w:rPr>
        <w:t>Nguyen, &amp; Duong, 2025</w:t>
      </w:r>
      <w:r w:rsidRPr="00EE7C18">
        <w:rPr>
          <w:rFonts w:ascii="Arial" w:eastAsia="Arial" w:hAnsi="Arial" w:cs="Arial"/>
          <w:color w:val="000000"/>
        </w:rPr>
        <w:t>). High and stable profitability indicates that the company's management can control costs, optimize assets, and execute business strategies. Profitable companies that are sustainable can fund social and environmental activities, which improves corporate social responsibility (</w:t>
      </w:r>
      <w:proofErr w:type="spellStart"/>
      <w:r w:rsidRPr="00EE7C18">
        <w:rPr>
          <w:rFonts w:ascii="Arial" w:eastAsia="Arial" w:hAnsi="Arial" w:cs="Arial"/>
        </w:rPr>
        <w:t>Sayekti</w:t>
      </w:r>
      <w:proofErr w:type="spellEnd"/>
      <w:r w:rsidRPr="00EE7C18">
        <w:rPr>
          <w:rFonts w:ascii="Arial" w:eastAsia="Arial" w:hAnsi="Arial" w:cs="Arial"/>
        </w:rPr>
        <w:t>, 2017</w:t>
      </w:r>
      <w:r w:rsidRPr="00EE7C18">
        <w:rPr>
          <w:rFonts w:ascii="Arial" w:eastAsia="Arial" w:hAnsi="Arial" w:cs="Arial"/>
          <w:color w:val="000000"/>
        </w:rPr>
        <w:t>).</w:t>
      </w:r>
    </w:p>
    <w:p w14:paraId="2318EF69" w14:textId="77777777" w:rsidR="002F1BEE" w:rsidRDefault="002F1BEE">
      <w:pPr>
        <w:pBdr>
          <w:top w:val="nil"/>
          <w:left w:val="nil"/>
          <w:bottom w:val="nil"/>
          <w:right w:val="nil"/>
          <w:between w:val="nil"/>
        </w:pBdr>
        <w:jc w:val="both"/>
        <w:rPr>
          <w:rFonts w:ascii="Arial" w:eastAsia="Arial" w:hAnsi="Arial" w:cs="Arial"/>
          <w:b/>
          <w:bCs/>
          <w:color w:val="000000"/>
        </w:rPr>
      </w:pPr>
    </w:p>
    <w:p w14:paraId="0EA563D1" w14:textId="77777777"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2.4. Previous Research And Hypothesis Development</w:t>
      </w:r>
    </w:p>
    <w:p w14:paraId="79F30624" w14:textId="77777777" w:rsidR="002F1BEE" w:rsidRDefault="002F1BEE">
      <w:pPr>
        <w:pBdr>
          <w:top w:val="nil"/>
          <w:left w:val="nil"/>
          <w:bottom w:val="nil"/>
          <w:right w:val="nil"/>
          <w:between w:val="nil"/>
        </w:pBdr>
        <w:jc w:val="both"/>
        <w:rPr>
          <w:rFonts w:ascii="Arial" w:eastAsia="Arial" w:hAnsi="Arial" w:cs="Arial"/>
          <w:color w:val="000000"/>
        </w:rPr>
      </w:pPr>
    </w:p>
    <w:p w14:paraId="7B3F7C46" w14:textId="77777777" w:rsidR="002F1BEE" w:rsidRPr="00EE7C18" w:rsidRDefault="005A24ED">
      <w:pPr>
        <w:pBdr>
          <w:top w:val="nil"/>
          <w:left w:val="nil"/>
          <w:bottom w:val="nil"/>
          <w:right w:val="nil"/>
          <w:between w:val="nil"/>
        </w:pBdr>
        <w:jc w:val="both"/>
        <w:rPr>
          <w:rFonts w:ascii="Arial" w:eastAsia="Arial" w:hAnsi="Arial" w:cs="Arial"/>
        </w:rPr>
      </w:pPr>
      <w:r w:rsidRPr="00EE7C18">
        <w:rPr>
          <w:rFonts w:ascii="Arial" w:eastAsia="Arial" w:hAnsi="Arial" w:cs="Arial"/>
          <w:color w:val="000000"/>
        </w:rPr>
        <w:t>Corporate Social Responsibility represents a commitment by firms to engage in business practices that prioritize not only financial gain but also social and environmental advantages. According to stakeholder theory (Freeman, 1984), Corporate Social Responsibility can enhance a company's rapport with stakeholders by augmenting trust and reputation. Signal theory (Spence, 1973) indicates that regular disclosure of Corporate Social Responsibility can act as a favorable signal to investors, enhancing the market's perception of a company's value. Mahoney et al. (</w:t>
      </w:r>
      <w:r w:rsidRPr="00EE7C18">
        <w:rPr>
          <w:rFonts w:ascii="Arial" w:eastAsia="Arial" w:hAnsi="Arial" w:cs="Arial"/>
        </w:rPr>
        <w:t>2021</w:t>
      </w:r>
      <w:r w:rsidRPr="00EE7C18">
        <w:rPr>
          <w:rFonts w:ascii="Arial" w:eastAsia="Arial" w:hAnsi="Arial" w:cs="Arial"/>
          <w:color w:val="000000"/>
        </w:rPr>
        <w:t>) demonstrate that independent Corporate Social Responsibility reports are favorably associated with corporate reputation and perceived long-term value. Corporate Social Responsibility is a significant metric utilized by investors to evaluate the sustainability of a company's performance. Consequently, the more effectively Corporate Social Responsibility is implemented, the higher the potential to enhance corporate value (</w:t>
      </w:r>
      <w:r w:rsidRPr="00EE7C18">
        <w:rPr>
          <w:rFonts w:ascii="Arial" w:eastAsia="Arial" w:hAnsi="Arial" w:cs="Arial"/>
        </w:rPr>
        <w:t xml:space="preserve">Qiu et al., 2021; </w:t>
      </w:r>
      <w:proofErr w:type="spellStart"/>
      <w:r w:rsidRPr="00EE7C18">
        <w:rPr>
          <w:rFonts w:ascii="Arial" w:eastAsia="Arial" w:hAnsi="Arial" w:cs="Arial"/>
        </w:rPr>
        <w:t>Situngkir</w:t>
      </w:r>
      <w:proofErr w:type="spellEnd"/>
      <w:r w:rsidRPr="00EE7C18">
        <w:rPr>
          <w:rFonts w:ascii="Arial" w:eastAsia="Arial" w:hAnsi="Arial" w:cs="Arial"/>
        </w:rPr>
        <w:t>, 2024)</w:t>
      </w:r>
    </w:p>
    <w:p w14:paraId="4D8F8A88" w14:textId="77777777" w:rsidR="002F1BEE" w:rsidRDefault="005A24ED">
      <w:pPr>
        <w:pBdr>
          <w:top w:val="nil"/>
          <w:left w:val="nil"/>
          <w:bottom w:val="nil"/>
          <w:right w:val="nil"/>
          <w:between w:val="nil"/>
        </w:pBdr>
        <w:jc w:val="both"/>
        <w:rPr>
          <w:rFonts w:ascii="Arial" w:eastAsia="Arial" w:hAnsi="Arial" w:cs="Arial"/>
          <w:i/>
          <w:iCs/>
          <w:color w:val="000000"/>
        </w:rPr>
      </w:pPr>
      <w:r>
        <w:rPr>
          <w:rFonts w:ascii="Arial" w:eastAsia="Arial" w:hAnsi="Arial" w:cs="Arial"/>
          <w:color w:val="000000"/>
        </w:rPr>
        <w:br/>
      </w:r>
      <w:r>
        <w:rPr>
          <w:rFonts w:ascii="Arial" w:eastAsia="Arial" w:hAnsi="Arial" w:cs="Arial"/>
          <w:b/>
          <w:bCs/>
          <w:color w:val="000000"/>
        </w:rPr>
        <w:t>H1: Corporate Social Responsibility Increases Company Value</w:t>
      </w:r>
    </w:p>
    <w:p w14:paraId="16C25C0D" w14:textId="77777777" w:rsidR="002F1BEE" w:rsidRDefault="002F1BEE">
      <w:pPr>
        <w:pBdr>
          <w:top w:val="nil"/>
          <w:left w:val="nil"/>
          <w:bottom w:val="nil"/>
          <w:right w:val="nil"/>
          <w:between w:val="nil"/>
        </w:pBdr>
        <w:jc w:val="both"/>
        <w:rPr>
          <w:rFonts w:ascii="Arial" w:eastAsia="Arial" w:hAnsi="Arial" w:cs="Arial"/>
          <w:color w:val="000000"/>
        </w:rPr>
      </w:pPr>
    </w:p>
    <w:p w14:paraId="39520DA1" w14:textId="77777777" w:rsidR="002F1BEE" w:rsidRPr="00EE7C18"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lastRenderedPageBreak/>
        <w:t>Corporate Social Responsibility influences both reputation and financial performance (</w:t>
      </w:r>
      <w:proofErr w:type="spellStart"/>
      <w:r w:rsidRPr="00EE7C18">
        <w:rPr>
          <w:rFonts w:ascii="Arial" w:eastAsia="Arial" w:hAnsi="Arial" w:cs="Arial"/>
          <w:color w:val="000000"/>
        </w:rPr>
        <w:t>Yuniarti</w:t>
      </w:r>
      <w:proofErr w:type="spellEnd"/>
      <w:r w:rsidRPr="00EE7C18">
        <w:rPr>
          <w:rFonts w:ascii="Arial" w:eastAsia="Arial" w:hAnsi="Arial" w:cs="Arial"/>
          <w:color w:val="000000"/>
        </w:rPr>
        <w:t xml:space="preserve"> et al., 2025). From a resource-based theoretical standpoint, Corporate Social Responsibility is regarded as an intangible asset that is challenging to replicate and can generate a competitive advantage (</w:t>
      </w:r>
      <w:proofErr w:type="spellStart"/>
      <w:r w:rsidRPr="00EE7C18">
        <w:rPr>
          <w:rFonts w:ascii="Arial" w:eastAsia="Arial" w:hAnsi="Arial" w:cs="Arial"/>
          <w:color w:val="000000"/>
        </w:rPr>
        <w:t>Marakova</w:t>
      </w:r>
      <w:proofErr w:type="spellEnd"/>
      <w:r w:rsidRPr="00EE7C18">
        <w:rPr>
          <w:rFonts w:ascii="Arial" w:eastAsia="Arial" w:hAnsi="Arial" w:cs="Arial"/>
          <w:color w:val="000000"/>
        </w:rPr>
        <w:t xml:space="preserve"> et al., 2021). Organizations that strategically adopt Corporate Social Responsibility can enhance customer loyalty, operational efficiency, and product or service differentiation, hence potentially increasing profitability (</w:t>
      </w:r>
      <w:r w:rsidRPr="00EE7C18">
        <w:rPr>
          <w:rFonts w:ascii="Arial" w:eastAsia="Arial" w:hAnsi="Arial" w:cs="Arial"/>
        </w:rPr>
        <w:t>Servera-Francés &amp; Piqueras-Tomás, 2019; Xu et al., 2022; Shao et al., 2023; Kuo et al., 2023</w:t>
      </w:r>
      <w:r w:rsidRPr="00EE7C18">
        <w:rPr>
          <w:rFonts w:ascii="Arial" w:eastAsia="Arial" w:hAnsi="Arial" w:cs="Arial"/>
          <w:color w:val="000000"/>
        </w:rPr>
        <w:t>).</w:t>
      </w:r>
    </w:p>
    <w:p w14:paraId="1BE1A817" w14:textId="77777777" w:rsidR="002F1BEE" w:rsidRPr="00EE7C18" w:rsidRDefault="002F1BEE">
      <w:pPr>
        <w:pBdr>
          <w:top w:val="nil"/>
          <w:left w:val="nil"/>
          <w:bottom w:val="nil"/>
          <w:right w:val="nil"/>
          <w:between w:val="nil"/>
        </w:pBdr>
        <w:jc w:val="both"/>
        <w:rPr>
          <w:rFonts w:ascii="Arial" w:eastAsia="Arial" w:hAnsi="Arial" w:cs="Arial"/>
          <w:color w:val="000000"/>
        </w:rPr>
      </w:pPr>
    </w:p>
    <w:p w14:paraId="3AFA4296" w14:textId="77777777" w:rsidR="002F1BEE" w:rsidRPr="00EE7C18"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t>Firms with robust Corporate Social Responsibility initiatives exhibit enhanced financial stability and a notable influence on Return on Assets (ROA) (Nguyen &amp; Duong, 2025). The effective execution of Corporate Social Responsibility can significantly enhance profitability and serve as a long-term corporate strategy to bolster reputation, augment investor trust, and provide sustainable added value (Saeidi et al., 2015). Moreover, reporting Corporate Social Responsibility in alignment with GRI Standards 2021 enhances transparency, accountability, and favorable market perception, ultimately augmenting the company's value and competitiveness (</w:t>
      </w:r>
      <w:proofErr w:type="spellStart"/>
      <w:r w:rsidRPr="00EE7C18">
        <w:rPr>
          <w:rFonts w:ascii="Arial" w:eastAsia="Arial" w:hAnsi="Arial" w:cs="Arial"/>
        </w:rPr>
        <w:t>Septiany</w:t>
      </w:r>
      <w:proofErr w:type="spellEnd"/>
      <w:r w:rsidRPr="00EE7C18">
        <w:rPr>
          <w:rFonts w:ascii="Arial" w:eastAsia="Arial" w:hAnsi="Arial" w:cs="Arial"/>
        </w:rPr>
        <w:t xml:space="preserve"> et al, 2026</w:t>
      </w:r>
      <w:r w:rsidRPr="00EE7C18">
        <w:rPr>
          <w:rFonts w:ascii="Arial" w:eastAsia="Arial" w:hAnsi="Arial" w:cs="Arial"/>
          <w:color w:val="000000"/>
        </w:rPr>
        <w:t>). Consequently, the execution of Corporate Social Responsibility yields both social and environmental advantages (</w:t>
      </w:r>
      <w:r w:rsidRPr="00EE7C18">
        <w:rPr>
          <w:rFonts w:ascii="Arial" w:eastAsia="Arial" w:hAnsi="Arial" w:cs="Arial"/>
        </w:rPr>
        <w:t>Alam &amp; Islam, 2021; Pratiwi et al, 2021; Sari et al., 2024</w:t>
      </w:r>
      <w:r w:rsidRPr="00EE7C18">
        <w:rPr>
          <w:rFonts w:ascii="Arial" w:eastAsia="Arial" w:hAnsi="Arial" w:cs="Arial"/>
          <w:color w:val="000000"/>
        </w:rPr>
        <w:t>)</w:t>
      </w:r>
    </w:p>
    <w:p w14:paraId="2DD9523B" w14:textId="77777777" w:rsidR="002F1BEE" w:rsidRDefault="005A24ED">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br/>
      </w:r>
      <w:r>
        <w:rPr>
          <w:rFonts w:ascii="Arial" w:eastAsia="Arial" w:hAnsi="Arial" w:cs="Arial"/>
          <w:b/>
          <w:bCs/>
          <w:color w:val="000000"/>
        </w:rPr>
        <w:t>H2: Corporate Social Responsibility Enhances Profitability</w:t>
      </w:r>
    </w:p>
    <w:p w14:paraId="05345DD4" w14:textId="77777777" w:rsidR="002F1BEE" w:rsidRDefault="002F1BEE">
      <w:pPr>
        <w:pBdr>
          <w:top w:val="nil"/>
          <w:left w:val="nil"/>
          <w:bottom w:val="nil"/>
          <w:right w:val="nil"/>
          <w:between w:val="nil"/>
        </w:pBdr>
        <w:jc w:val="both"/>
        <w:rPr>
          <w:rFonts w:ascii="Arial" w:eastAsia="Arial" w:hAnsi="Arial" w:cs="Arial"/>
          <w:color w:val="000000"/>
        </w:rPr>
      </w:pPr>
    </w:p>
    <w:p w14:paraId="450050ED" w14:textId="77777777" w:rsidR="002F1BEE" w:rsidRPr="00EE7C18"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t>Profitability denotes a company's capacity to produce profits from its entire array of resources. Elevated profitability signifies proficient managerial capability in asset management, hence enhancing the company's appeal to investors (</w:t>
      </w:r>
      <w:proofErr w:type="spellStart"/>
      <w:r w:rsidRPr="00EE7C18">
        <w:rPr>
          <w:rFonts w:ascii="Arial" w:eastAsia="Arial" w:hAnsi="Arial" w:cs="Arial"/>
          <w:color w:val="000000"/>
        </w:rPr>
        <w:t>Suprapto</w:t>
      </w:r>
      <w:proofErr w:type="spellEnd"/>
      <w:r w:rsidRPr="00EE7C18">
        <w:rPr>
          <w:rFonts w:ascii="Arial" w:eastAsia="Arial" w:hAnsi="Arial" w:cs="Arial"/>
          <w:color w:val="000000"/>
        </w:rPr>
        <w:t xml:space="preserve"> et al., 2025). Firms exhibiting elevated ROA or ROE typically possess greater market valuations, as profits underpin dividend allocation and reinvestment (Sharma et al., 2025; </w:t>
      </w:r>
      <w:proofErr w:type="spellStart"/>
      <w:r w:rsidRPr="00EE7C18">
        <w:rPr>
          <w:rFonts w:ascii="Arial" w:eastAsia="Arial" w:hAnsi="Arial" w:cs="Arial"/>
          <w:color w:val="000000"/>
        </w:rPr>
        <w:t>Rahmania</w:t>
      </w:r>
      <w:proofErr w:type="spellEnd"/>
      <w:r w:rsidRPr="00EE7C18">
        <w:rPr>
          <w:rFonts w:ascii="Arial" w:eastAsia="Arial" w:hAnsi="Arial" w:cs="Arial"/>
          <w:color w:val="000000"/>
        </w:rPr>
        <w:t xml:space="preserve"> et al., 2025). Profitability theoretically enhances market confidence in the firm's growth potential, hence elevating stock prices and augmenting corporate value, as indicated by Price to Book Value (PBV) (</w:t>
      </w:r>
      <w:proofErr w:type="spellStart"/>
      <w:r w:rsidRPr="00EE7C18">
        <w:rPr>
          <w:rFonts w:ascii="Arial" w:eastAsia="Arial" w:hAnsi="Arial" w:cs="Arial"/>
        </w:rPr>
        <w:t>Widyakto</w:t>
      </w:r>
      <w:proofErr w:type="spellEnd"/>
      <w:r w:rsidRPr="00EE7C18">
        <w:rPr>
          <w:rFonts w:ascii="Arial" w:eastAsia="Arial" w:hAnsi="Arial" w:cs="Arial"/>
        </w:rPr>
        <w:t xml:space="preserve"> et al., 2026</w:t>
      </w:r>
      <w:r w:rsidRPr="00EE7C18">
        <w:rPr>
          <w:rFonts w:ascii="Arial" w:eastAsia="Arial" w:hAnsi="Arial" w:cs="Arial"/>
          <w:color w:val="000000"/>
        </w:rPr>
        <w:t>)</w:t>
      </w:r>
    </w:p>
    <w:p w14:paraId="382D75CE" w14:textId="77777777" w:rsidR="002F1BEE" w:rsidRDefault="002F1BEE">
      <w:pPr>
        <w:pBdr>
          <w:top w:val="nil"/>
          <w:left w:val="nil"/>
          <w:bottom w:val="nil"/>
          <w:right w:val="nil"/>
          <w:between w:val="nil"/>
        </w:pBdr>
        <w:jc w:val="both"/>
        <w:rPr>
          <w:rFonts w:ascii="Arial" w:eastAsia="Arial" w:hAnsi="Arial" w:cs="Arial"/>
          <w:color w:val="000000"/>
        </w:rPr>
      </w:pPr>
    </w:p>
    <w:p w14:paraId="430D3448" w14:textId="77777777" w:rsidR="002F1BEE" w:rsidRDefault="005A24ED">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H3: Profitability enhances the Company's value.</w:t>
      </w:r>
    </w:p>
    <w:p w14:paraId="6C9B7CD4" w14:textId="77777777" w:rsidR="002F1BEE" w:rsidRDefault="002F1BEE">
      <w:pPr>
        <w:pBdr>
          <w:top w:val="nil"/>
          <w:left w:val="nil"/>
          <w:bottom w:val="nil"/>
          <w:right w:val="nil"/>
          <w:between w:val="nil"/>
        </w:pBdr>
        <w:jc w:val="both"/>
        <w:rPr>
          <w:rFonts w:ascii="Arial" w:eastAsia="Arial" w:hAnsi="Arial" w:cs="Arial"/>
          <w:color w:val="000000"/>
        </w:rPr>
      </w:pPr>
    </w:p>
    <w:p w14:paraId="2410C695" w14:textId="77777777" w:rsidR="002F1BEE" w:rsidRPr="00EE7C18"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Profitability may serve as a mediating mechanism elucidating the impact of Corporate Social </w:t>
      </w:r>
      <w:r w:rsidRPr="00EE7C18">
        <w:rPr>
          <w:rFonts w:ascii="Arial" w:eastAsia="Arial" w:hAnsi="Arial" w:cs="Arial"/>
          <w:color w:val="000000"/>
        </w:rPr>
        <w:t>Responsibility on corporate value. Effective implementation of Corporate Social Responsibility can enhance operational efficiency, foster customer loyalty, and cultivate a favorable image, ultimately leading to higher profitability (</w:t>
      </w:r>
      <w:r w:rsidRPr="00EE7C18">
        <w:rPr>
          <w:rFonts w:ascii="Arial" w:eastAsia="Arial" w:hAnsi="Arial" w:cs="Arial"/>
        </w:rPr>
        <w:t xml:space="preserve">Al </w:t>
      </w:r>
      <w:proofErr w:type="spellStart"/>
      <w:r w:rsidRPr="00EE7C18">
        <w:rPr>
          <w:rFonts w:ascii="Arial" w:eastAsia="Arial" w:hAnsi="Arial" w:cs="Arial"/>
        </w:rPr>
        <w:t>Gista</w:t>
      </w:r>
      <w:proofErr w:type="spellEnd"/>
      <w:r w:rsidRPr="00EE7C18">
        <w:rPr>
          <w:rFonts w:ascii="Arial" w:eastAsia="Arial" w:hAnsi="Arial" w:cs="Arial"/>
        </w:rPr>
        <w:t xml:space="preserve"> &amp; </w:t>
      </w:r>
      <w:proofErr w:type="spellStart"/>
      <w:r w:rsidRPr="00EE7C18">
        <w:rPr>
          <w:rFonts w:ascii="Arial" w:eastAsia="Arial" w:hAnsi="Arial" w:cs="Arial"/>
        </w:rPr>
        <w:t>Prastiwi</w:t>
      </w:r>
      <w:proofErr w:type="spellEnd"/>
      <w:r w:rsidRPr="00EE7C18">
        <w:rPr>
          <w:rFonts w:ascii="Arial" w:eastAsia="Arial" w:hAnsi="Arial" w:cs="Arial"/>
        </w:rPr>
        <w:t xml:space="preserve">, 2022; </w:t>
      </w:r>
      <w:proofErr w:type="spellStart"/>
      <w:r w:rsidRPr="00EE7C18">
        <w:rPr>
          <w:rFonts w:ascii="Arial" w:eastAsia="Arial" w:hAnsi="Arial" w:cs="Arial"/>
        </w:rPr>
        <w:t>Indrawati</w:t>
      </w:r>
      <w:proofErr w:type="spellEnd"/>
      <w:r w:rsidRPr="00EE7C18">
        <w:rPr>
          <w:rFonts w:ascii="Arial" w:eastAsia="Arial" w:hAnsi="Arial" w:cs="Arial"/>
        </w:rPr>
        <w:t xml:space="preserve"> et al., 2025)</w:t>
      </w:r>
      <w:r w:rsidRPr="00EE7C18">
        <w:rPr>
          <w:rFonts w:ascii="Arial" w:eastAsia="Arial" w:hAnsi="Arial" w:cs="Arial"/>
          <w:color w:val="000000"/>
        </w:rPr>
        <w:t>. Enhanced profitability subsequently bolsters investors' favorable opinion of organizational worth.</w:t>
      </w:r>
    </w:p>
    <w:p w14:paraId="329EF575" w14:textId="77777777" w:rsidR="002F1BEE"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br/>
        <w:t>Corporate Social Responsibility may not directly influence firm value, although it can substantially affect profitability (</w:t>
      </w:r>
      <w:proofErr w:type="spellStart"/>
      <w:r w:rsidRPr="00EE7C18">
        <w:rPr>
          <w:rFonts w:ascii="Arial" w:eastAsia="Arial" w:hAnsi="Arial" w:cs="Arial"/>
        </w:rPr>
        <w:t>Faizah</w:t>
      </w:r>
      <w:proofErr w:type="spellEnd"/>
      <w:r w:rsidRPr="00EE7C18">
        <w:rPr>
          <w:rFonts w:ascii="Arial" w:eastAsia="Arial" w:hAnsi="Arial" w:cs="Arial"/>
        </w:rPr>
        <w:t xml:space="preserve"> &amp; </w:t>
      </w:r>
      <w:proofErr w:type="spellStart"/>
      <w:r w:rsidRPr="00EE7C18">
        <w:rPr>
          <w:rFonts w:ascii="Arial" w:eastAsia="Arial" w:hAnsi="Arial" w:cs="Arial"/>
        </w:rPr>
        <w:t>Ediraras</w:t>
      </w:r>
      <w:proofErr w:type="spellEnd"/>
      <w:r w:rsidRPr="00EE7C18">
        <w:rPr>
          <w:rFonts w:ascii="Arial" w:eastAsia="Arial" w:hAnsi="Arial" w:cs="Arial"/>
        </w:rPr>
        <w:t xml:space="preserve">, 2021; </w:t>
      </w:r>
      <w:proofErr w:type="spellStart"/>
      <w:r w:rsidRPr="00EE7C18">
        <w:rPr>
          <w:rFonts w:ascii="Arial" w:eastAsia="Arial" w:hAnsi="Arial" w:cs="Arial"/>
          <w:color w:val="000000"/>
        </w:rPr>
        <w:t>Faizah</w:t>
      </w:r>
      <w:proofErr w:type="spellEnd"/>
      <w:r w:rsidRPr="00EE7C18">
        <w:rPr>
          <w:rFonts w:ascii="Arial" w:eastAsia="Arial" w:hAnsi="Arial" w:cs="Arial"/>
          <w:color w:val="000000"/>
        </w:rPr>
        <w:t xml:space="preserve">, 2024; </w:t>
      </w:r>
      <w:proofErr w:type="spellStart"/>
      <w:r w:rsidRPr="00EE7C18">
        <w:rPr>
          <w:rFonts w:ascii="Arial" w:eastAsia="Arial" w:hAnsi="Arial" w:cs="Arial"/>
        </w:rPr>
        <w:t>Juliasari</w:t>
      </w:r>
      <w:proofErr w:type="spellEnd"/>
      <w:r w:rsidRPr="00EE7C18">
        <w:rPr>
          <w:rFonts w:ascii="Arial" w:eastAsia="Arial" w:hAnsi="Arial" w:cs="Arial"/>
        </w:rPr>
        <w:t xml:space="preserve"> et al., 2025</w:t>
      </w:r>
      <w:r w:rsidRPr="00EE7C18">
        <w:rPr>
          <w:rFonts w:ascii="Arial" w:eastAsia="Arial" w:hAnsi="Arial" w:cs="Arial"/>
          <w:color w:val="000000"/>
        </w:rPr>
        <w:t>). Increased profitability from Corporate Social Responsibility enhances a company's value to investors, as profitability indicates the efficacy of the company's social strategy in generating sustained economic value. Consequently, in the context of this research, profitability is anticipated to serve as a mediator elucidating the relationship between Corporate Social Responsibility and corporate value.</w:t>
      </w:r>
    </w:p>
    <w:p w14:paraId="173B4D3E" w14:textId="77777777" w:rsidR="002F1BEE" w:rsidRDefault="002F1BEE">
      <w:pPr>
        <w:pBdr>
          <w:top w:val="nil"/>
          <w:left w:val="nil"/>
          <w:bottom w:val="nil"/>
          <w:right w:val="nil"/>
          <w:between w:val="nil"/>
        </w:pBdr>
        <w:jc w:val="both"/>
        <w:rPr>
          <w:rFonts w:ascii="Arial" w:eastAsia="Arial" w:hAnsi="Arial" w:cs="Arial"/>
          <w:color w:val="000000"/>
        </w:rPr>
      </w:pPr>
    </w:p>
    <w:p w14:paraId="590EFECA" w14:textId="77777777" w:rsidR="002F1BEE" w:rsidRDefault="005A24ED">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H4: Profitability mediates the relationship between Corporate Social Responsibility and firm value.</w:t>
      </w:r>
    </w:p>
    <w:p w14:paraId="2F517F39" w14:textId="77777777" w:rsidR="002F1BEE" w:rsidRDefault="002F1BEE">
      <w:pPr>
        <w:pBdr>
          <w:top w:val="nil"/>
          <w:left w:val="nil"/>
          <w:bottom w:val="nil"/>
          <w:right w:val="nil"/>
          <w:between w:val="nil"/>
        </w:pBdr>
        <w:jc w:val="both"/>
        <w:rPr>
          <w:rFonts w:ascii="Arial" w:eastAsia="Arial" w:hAnsi="Arial" w:cs="Arial"/>
          <w:color w:val="000000"/>
        </w:rPr>
      </w:pPr>
    </w:p>
    <w:p w14:paraId="5471F77C" w14:textId="77777777" w:rsidR="008731C0" w:rsidRDefault="008731C0">
      <w:pPr>
        <w:keepNext/>
        <w:pBdr>
          <w:top w:val="nil"/>
          <w:left w:val="nil"/>
          <w:bottom w:val="nil"/>
          <w:right w:val="nil"/>
          <w:between w:val="nil"/>
        </w:pBdr>
        <w:jc w:val="both"/>
        <w:rPr>
          <w:rFonts w:ascii="Arial" w:eastAsia="Arial" w:hAnsi="Arial" w:cs="Arial"/>
          <w:b/>
          <w:bCs/>
          <w:smallCaps/>
          <w:color w:val="000000"/>
          <w:sz w:val="22"/>
          <w:szCs w:val="22"/>
        </w:rPr>
      </w:pPr>
    </w:p>
    <w:p w14:paraId="648A8080" w14:textId="09971B33"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4. material and methods </w:t>
      </w:r>
    </w:p>
    <w:p w14:paraId="3070A3B0" w14:textId="77777777" w:rsidR="002F1BEE" w:rsidRDefault="002F1BEE">
      <w:pPr>
        <w:pBdr>
          <w:top w:val="nil"/>
          <w:left w:val="nil"/>
          <w:bottom w:val="nil"/>
          <w:right w:val="nil"/>
          <w:between w:val="nil"/>
        </w:pBdr>
        <w:jc w:val="both"/>
        <w:rPr>
          <w:rFonts w:ascii="Arial" w:eastAsia="Arial" w:hAnsi="Arial" w:cs="Arial"/>
          <w:color w:val="000000"/>
        </w:rPr>
      </w:pPr>
    </w:p>
    <w:p w14:paraId="6C447412"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This study employs an associative quantitative research methodology utilizing a causal explanatory framework. Quantitative research was selected due to its objective of testing hypotheses through numerical data and statistical analysis to elucidate the link between variables. The research encompasses three primary variables: Corporate Social Responsibility as the independent variable, profitability (ROA) as the mediating variable, and company value (PBV) as the dependent variable.</w:t>
      </w:r>
    </w:p>
    <w:p w14:paraId="1925CE47"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This study elucidates the impact of Corporate Social Responsibility on corporate value, with profitability serving as a mediating variable, for firms in the Consumer Non-Cyclicals sector listed on the Indonesia Stock Exchange (IDX) from 2021 to 2025. Research data was acquired through documentation methods by gathering financial and sustainability reports of companies issued throughout that timeframe. The acquired data were subsequently evaluated quantitatively to address the study problem formulations, resulting in results that correspond with the research aims.</w:t>
      </w:r>
    </w:p>
    <w:p w14:paraId="5A673775" w14:textId="77777777" w:rsidR="002F1BEE" w:rsidRDefault="002F1BEE">
      <w:pPr>
        <w:pBdr>
          <w:top w:val="nil"/>
          <w:left w:val="nil"/>
          <w:bottom w:val="nil"/>
          <w:right w:val="nil"/>
          <w:between w:val="nil"/>
        </w:pBdr>
        <w:jc w:val="both"/>
        <w:rPr>
          <w:rFonts w:ascii="Arial" w:eastAsia="Arial" w:hAnsi="Arial" w:cs="Arial"/>
          <w:color w:val="000000"/>
        </w:rPr>
      </w:pPr>
    </w:p>
    <w:p w14:paraId="44C77026"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used purposive sampling, a technique that selects samples according to predefined criteria pertinent to the research aims. The criteria include companies within the Non-Durable Household Goods subsector that are listed on the IDX continuously from 2021 to 2025 and have released comprehensive financial and sustainability reports for the same time. Moreover, these organizations possess comprehensive data concerning the research variables: Corporate Social Responsibility, profitability, and corporate value.</w:t>
      </w:r>
      <w:r>
        <w:rPr>
          <w:rFonts w:ascii="Times New Roman" w:eastAsia="Times New Roman" w:hAnsi="Times New Roman" w:cs="Times New Roman"/>
          <w:sz w:val="24"/>
          <w:szCs w:val="24"/>
        </w:rPr>
        <w:t xml:space="preserve"> </w:t>
      </w:r>
    </w:p>
    <w:p w14:paraId="32264A2E" w14:textId="77777777" w:rsidR="002F1BEE" w:rsidRDefault="002F1BEE">
      <w:pPr>
        <w:pBdr>
          <w:top w:val="nil"/>
          <w:left w:val="nil"/>
          <w:bottom w:val="nil"/>
          <w:right w:val="nil"/>
          <w:between w:val="nil"/>
        </w:pBdr>
        <w:jc w:val="both"/>
        <w:rPr>
          <w:rFonts w:ascii="Arial" w:eastAsia="Arial" w:hAnsi="Arial" w:cs="Arial"/>
          <w:color w:val="000000"/>
        </w:rPr>
      </w:pPr>
    </w:p>
    <w:p w14:paraId="01F8A187" w14:textId="77777777" w:rsidR="002F1BEE" w:rsidRDefault="005A24ED">
      <w:pPr>
        <w:pBdr>
          <w:top w:val="nil"/>
          <w:left w:val="nil"/>
          <w:bottom w:val="nil"/>
          <w:right w:val="nil"/>
          <w:between w:val="nil"/>
        </w:pBdr>
        <w:jc w:val="center"/>
        <w:rPr>
          <w:rFonts w:ascii="Arial" w:eastAsia="Arial" w:hAnsi="Arial" w:cs="Arial"/>
          <w:b/>
          <w:bCs/>
          <w:color w:val="000000"/>
        </w:rPr>
      </w:pPr>
      <w:bookmarkStart w:id="2" w:name="_Hlk219890170"/>
      <w:r>
        <w:rPr>
          <w:rFonts w:ascii="Arial" w:eastAsia="Arial" w:hAnsi="Arial" w:cs="Arial"/>
          <w:b/>
          <w:bCs/>
          <w:color w:val="000000"/>
        </w:rPr>
        <w:t>Table 1</w:t>
      </w:r>
      <w:bookmarkEnd w:id="2"/>
      <w:r>
        <w:rPr>
          <w:rFonts w:ascii="Arial" w:eastAsia="Arial" w:hAnsi="Arial" w:cs="Arial"/>
          <w:b/>
          <w:bCs/>
          <w:color w:val="000000"/>
        </w:rPr>
        <w:t>. Research Sample List</w:t>
      </w:r>
    </w:p>
    <w:tbl>
      <w:tblPr>
        <w:tblStyle w:val="a2"/>
        <w:tblW w:w="6091" w:type="dxa"/>
        <w:jc w:val="center"/>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
        <w:gridCol w:w="3676"/>
        <w:gridCol w:w="1724"/>
      </w:tblGrid>
      <w:tr w:rsidR="002F1BEE" w14:paraId="2EA584E8" w14:textId="77777777">
        <w:trPr>
          <w:jc w:val="center"/>
        </w:trPr>
        <w:tc>
          <w:tcPr>
            <w:tcW w:w="691" w:type="dxa"/>
            <w:tcBorders>
              <w:top w:val="single" w:sz="4" w:space="0" w:color="000000"/>
              <w:left w:val="nil"/>
              <w:bottom w:val="single" w:sz="4" w:space="0" w:color="000000"/>
              <w:right w:val="nil"/>
            </w:tcBorders>
          </w:tcPr>
          <w:p w14:paraId="3A597137" w14:textId="77777777" w:rsidR="002F1BEE" w:rsidRDefault="005A24ED">
            <w:pPr>
              <w:keepNext/>
              <w:jc w:val="center"/>
              <w:rPr>
                <w:rFonts w:ascii="Arial" w:eastAsia="Arial" w:hAnsi="Arial" w:cs="Arial"/>
                <w:b/>
                <w:bCs/>
                <w:color w:val="000000"/>
                <w:sz w:val="20"/>
                <w:szCs w:val="20"/>
              </w:rPr>
            </w:pPr>
            <w:r>
              <w:rPr>
                <w:rFonts w:ascii="Arial" w:eastAsia="Arial" w:hAnsi="Arial" w:cs="Arial"/>
                <w:b/>
                <w:bCs/>
                <w:color w:val="000000"/>
                <w:sz w:val="20"/>
                <w:szCs w:val="20"/>
              </w:rPr>
              <w:t>No</w:t>
            </w:r>
          </w:p>
        </w:tc>
        <w:tc>
          <w:tcPr>
            <w:tcW w:w="3676" w:type="dxa"/>
            <w:tcBorders>
              <w:top w:val="single" w:sz="4" w:space="0" w:color="000000"/>
              <w:left w:val="nil"/>
              <w:bottom w:val="single" w:sz="4" w:space="0" w:color="000000"/>
              <w:right w:val="nil"/>
            </w:tcBorders>
          </w:tcPr>
          <w:p w14:paraId="1459152A" w14:textId="77777777" w:rsidR="002F1BEE" w:rsidRDefault="005A24ED">
            <w:pPr>
              <w:keepNext/>
              <w:jc w:val="center"/>
              <w:rPr>
                <w:rFonts w:ascii="Arial" w:eastAsia="Arial" w:hAnsi="Arial" w:cs="Arial"/>
                <w:b/>
                <w:bCs/>
                <w:color w:val="000000"/>
                <w:sz w:val="20"/>
                <w:szCs w:val="20"/>
              </w:rPr>
            </w:pPr>
            <w:r>
              <w:rPr>
                <w:rFonts w:ascii="Arial" w:eastAsia="Arial" w:hAnsi="Arial" w:cs="Arial"/>
                <w:b/>
                <w:bCs/>
                <w:color w:val="000000"/>
                <w:sz w:val="20"/>
                <w:szCs w:val="20"/>
              </w:rPr>
              <w:t>Company Name</w:t>
            </w:r>
          </w:p>
        </w:tc>
        <w:tc>
          <w:tcPr>
            <w:tcW w:w="1724" w:type="dxa"/>
            <w:tcBorders>
              <w:top w:val="single" w:sz="4" w:space="0" w:color="000000"/>
              <w:left w:val="nil"/>
              <w:bottom w:val="single" w:sz="4" w:space="0" w:color="000000"/>
              <w:right w:val="nil"/>
            </w:tcBorders>
          </w:tcPr>
          <w:p w14:paraId="388DAFFE" w14:textId="77777777" w:rsidR="002F1BEE" w:rsidRDefault="005A24ED">
            <w:pPr>
              <w:keepNext/>
              <w:jc w:val="center"/>
              <w:rPr>
                <w:rFonts w:ascii="Arial" w:eastAsia="Arial" w:hAnsi="Arial" w:cs="Arial"/>
                <w:b/>
                <w:bCs/>
                <w:color w:val="000000"/>
                <w:sz w:val="20"/>
                <w:szCs w:val="20"/>
              </w:rPr>
            </w:pPr>
            <w:r>
              <w:rPr>
                <w:rFonts w:ascii="Arial" w:eastAsia="Arial" w:hAnsi="Arial" w:cs="Arial"/>
                <w:b/>
                <w:bCs/>
                <w:color w:val="000000"/>
                <w:sz w:val="20"/>
                <w:szCs w:val="20"/>
              </w:rPr>
              <w:t>Company Code</w:t>
            </w:r>
          </w:p>
        </w:tc>
      </w:tr>
      <w:tr w:rsidR="002F1BEE" w14:paraId="663D9CBF" w14:textId="77777777">
        <w:trPr>
          <w:jc w:val="center"/>
        </w:trPr>
        <w:tc>
          <w:tcPr>
            <w:tcW w:w="691" w:type="dxa"/>
            <w:tcBorders>
              <w:top w:val="single" w:sz="4" w:space="0" w:color="000000"/>
              <w:left w:val="nil"/>
              <w:bottom w:val="nil"/>
              <w:right w:val="nil"/>
            </w:tcBorders>
          </w:tcPr>
          <w:p w14:paraId="1EE885C2" w14:textId="77777777" w:rsidR="002F1BEE" w:rsidRDefault="005A24ED">
            <w:pPr>
              <w:keepNext/>
              <w:jc w:val="center"/>
              <w:rPr>
                <w:rFonts w:ascii="Arial" w:eastAsia="Arial" w:hAnsi="Arial" w:cs="Arial"/>
                <w:sz w:val="20"/>
                <w:szCs w:val="20"/>
              </w:rPr>
            </w:pPr>
            <w:r>
              <w:rPr>
                <w:rFonts w:ascii="Arial" w:eastAsia="Arial" w:hAnsi="Arial" w:cs="Arial"/>
                <w:sz w:val="20"/>
                <w:szCs w:val="20"/>
              </w:rPr>
              <w:t>1</w:t>
            </w:r>
          </w:p>
        </w:tc>
        <w:tc>
          <w:tcPr>
            <w:tcW w:w="3676" w:type="dxa"/>
            <w:tcBorders>
              <w:top w:val="single" w:sz="4" w:space="0" w:color="000000"/>
              <w:left w:val="nil"/>
              <w:bottom w:val="nil"/>
              <w:right w:val="nil"/>
            </w:tcBorders>
          </w:tcPr>
          <w:p w14:paraId="59603645" w14:textId="77777777" w:rsidR="002F1BEE" w:rsidRDefault="005A24ED">
            <w:pPr>
              <w:keepNext/>
              <w:jc w:val="center"/>
              <w:rPr>
                <w:rFonts w:ascii="Arial" w:eastAsia="Arial" w:hAnsi="Arial" w:cs="Arial"/>
                <w:b/>
                <w:bCs/>
                <w:sz w:val="20"/>
                <w:szCs w:val="20"/>
              </w:rPr>
            </w:pPr>
            <w:r>
              <w:rPr>
                <w:rFonts w:ascii="Arial" w:eastAsia="Arial" w:hAnsi="Arial" w:cs="Arial"/>
                <w:sz w:val="20"/>
                <w:szCs w:val="20"/>
              </w:rPr>
              <w:t xml:space="preserve">PT </w:t>
            </w:r>
            <w:proofErr w:type="spellStart"/>
            <w:r>
              <w:rPr>
                <w:rFonts w:ascii="Arial" w:eastAsia="Arial" w:hAnsi="Arial" w:cs="Arial"/>
                <w:sz w:val="20"/>
                <w:szCs w:val="20"/>
              </w:rPr>
              <w:t>Mandom</w:t>
            </w:r>
            <w:proofErr w:type="spellEnd"/>
            <w:r>
              <w:rPr>
                <w:rFonts w:ascii="Arial" w:eastAsia="Arial" w:hAnsi="Arial" w:cs="Arial"/>
                <w:sz w:val="20"/>
                <w:szCs w:val="20"/>
              </w:rPr>
              <w:t xml:space="preserve"> Indonesia </w:t>
            </w:r>
            <w:proofErr w:type="spellStart"/>
            <w:r>
              <w:rPr>
                <w:rFonts w:ascii="Arial" w:eastAsia="Arial" w:hAnsi="Arial" w:cs="Arial"/>
                <w:sz w:val="20"/>
                <w:szCs w:val="20"/>
              </w:rPr>
              <w:t>Tbk</w:t>
            </w:r>
            <w:proofErr w:type="spellEnd"/>
          </w:p>
        </w:tc>
        <w:tc>
          <w:tcPr>
            <w:tcW w:w="1724" w:type="dxa"/>
            <w:tcBorders>
              <w:top w:val="single" w:sz="4" w:space="0" w:color="000000"/>
              <w:left w:val="nil"/>
              <w:bottom w:val="nil"/>
              <w:right w:val="nil"/>
            </w:tcBorders>
          </w:tcPr>
          <w:p w14:paraId="5B0EEA41" w14:textId="77777777" w:rsidR="002F1BEE" w:rsidRDefault="005A24ED">
            <w:pPr>
              <w:keepNext/>
              <w:jc w:val="center"/>
              <w:rPr>
                <w:rFonts w:ascii="Arial" w:eastAsia="Arial" w:hAnsi="Arial" w:cs="Arial"/>
                <w:b/>
                <w:bCs/>
                <w:color w:val="000000"/>
                <w:sz w:val="20"/>
                <w:szCs w:val="20"/>
              </w:rPr>
            </w:pPr>
            <w:r>
              <w:rPr>
                <w:rFonts w:ascii="Arial" w:eastAsia="Arial" w:hAnsi="Arial" w:cs="Arial"/>
                <w:b/>
                <w:bCs/>
                <w:sz w:val="20"/>
                <w:szCs w:val="20"/>
              </w:rPr>
              <w:t>TCID</w:t>
            </w:r>
          </w:p>
        </w:tc>
      </w:tr>
      <w:tr w:rsidR="002F1BEE" w14:paraId="4D8146A3" w14:textId="77777777">
        <w:trPr>
          <w:jc w:val="center"/>
        </w:trPr>
        <w:tc>
          <w:tcPr>
            <w:tcW w:w="691" w:type="dxa"/>
            <w:tcBorders>
              <w:top w:val="nil"/>
              <w:left w:val="nil"/>
              <w:bottom w:val="nil"/>
              <w:right w:val="nil"/>
            </w:tcBorders>
          </w:tcPr>
          <w:p w14:paraId="64B3431F" w14:textId="77777777" w:rsidR="002F1BEE" w:rsidRDefault="005A24ED">
            <w:pPr>
              <w:keepNext/>
              <w:jc w:val="center"/>
              <w:rPr>
                <w:rFonts w:ascii="Arial" w:eastAsia="Arial" w:hAnsi="Arial" w:cs="Arial"/>
                <w:sz w:val="20"/>
                <w:szCs w:val="20"/>
              </w:rPr>
            </w:pPr>
            <w:r>
              <w:rPr>
                <w:rFonts w:ascii="Arial" w:eastAsia="Arial" w:hAnsi="Arial" w:cs="Arial"/>
                <w:sz w:val="20"/>
                <w:szCs w:val="20"/>
              </w:rPr>
              <w:t>2</w:t>
            </w:r>
          </w:p>
        </w:tc>
        <w:tc>
          <w:tcPr>
            <w:tcW w:w="3676" w:type="dxa"/>
            <w:tcBorders>
              <w:top w:val="nil"/>
              <w:left w:val="nil"/>
              <w:bottom w:val="nil"/>
              <w:right w:val="nil"/>
            </w:tcBorders>
          </w:tcPr>
          <w:p w14:paraId="4C22E024" w14:textId="77777777" w:rsidR="002F1BEE" w:rsidRDefault="005A24ED">
            <w:pPr>
              <w:keepNext/>
              <w:jc w:val="center"/>
              <w:rPr>
                <w:rFonts w:ascii="Arial" w:eastAsia="Arial" w:hAnsi="Arial" w:cs="Arial"/>
                <w:b/>
                <w:bCs/>
                <w:sz w:val="20"/>
                <w:szCs w:val="20"/>
              </w:rPr>
            </w:pPr>
            <w:r>
              <w:rPr>
                <w:rFonts w:ascii="Arial" w:eastAsia="Arial" w:hAnsi="Arial" w:cs="Arial"/>
                <w:sz w:val="20"/>
                <w:szCs w:val="20"/>
              </w:rPr>
              <w:t xml:space="preserve">PT </w:t>
            </w:r>
            <w:proofErr w:type="spellStart"/>
            <w:r>
              <w:rPr>
                <w:rFonts w:ascii="Arial" w:eastAsia="Arial" w:hAnsi="Arial" w:cs="Arial"/>
                <w:sz w:val="20"/>
                <w:szCs w:val="20"/>
              </w:rPr>
              <w:t>Falmaco</w:t>
            </w:r>
            <w:proofErr w:type="spellEnd"/>
            <w:r>
              <w:rPr>
                <w:rFonts w:ascii="Arial" w:eastAsia="Arial" w:hAnsi="Arial" w:cs="Arial"/>
                <w:sz w:val="20"/>
                <w:szCs w:val="20"/>
              </w:rPr>
              <w:t xml:space="preserve"> Nonwoven </w:t>
            </w:r>
            <w:proofErr w:type="spellStart"/>
            <w:r>
              <w:rPr>
                <w:rFonts w:ascii="Arial" w:eastAsia="Arial" w:hAnsi="Arial" w:cs="Arial"/>
                <w:sz w:val="20"/>
                <w:szCs w:val="20"/>
              </w:rPr>
              <w:t>Industri</w:t>
            </w:r>
            <w:proofErr w:type="spellEnd"/>
            <w:r>
              <w:rPr>
                <w:rFonts w:ascii="Arial" w:eastAsia="Arial" w:hAnsi="Arial" w:cs="Arial"/>
                <w:sz w:val="20"/>
                <w:szCs w:val="20"/>
              </w:rPr>
              <w:t xml:space="preserve"> </w:t>
            </w:r>
            <w:proofErr w:type="spellStart"/>
            <w:r>
              <w:rPr>
                <w:rFonts w:ascii="Arial" w:eastAsia="Arial" w:hAnsi="Arial" w:cs="Arial"/>
                <w:sz w:val="20"/>
                <w:szCs w:val="20"/>
              </w:rPr>
              <w:t>Tbk</w:t>
            </w:r>
            <w:proofErr w:type="spellEnd"/>
          </w:p>
        </w:tc>
        <w:tc>
          <w:tcPr>
            <w:tcW w:w="1724" w:type="dxa"/>
            <w:tcBorders>
              <w:top w:val="nil"/>
              <w:left w:val="nil"/>
              <w:bottom w:val="nil"/>
              <w:right w:val="nil"/>
            </w:tcBorders>
          </w:tcPr>
          <w:p w14:paraId="70FDA3C9" w14:textId="77777777" w:rsidR="002F1BEE" w:rsidRDefault="005A24ED">
            <w:pPr>
              <w:keepNext/>
              <w:jc w:val="center"/>
              <w:rPr>
                <w:rFonts w:ascii="Arial" w:eastAsia="Arial" w:hAnsi="Arial" w:cs="Arial"/>
                <w:b/>
                <w:bCs/>
                <w:color w:val="000000"/>
                <w:sz w:val="20"/>
                <w:szCs w:val="20"/>
              </w:rPr>
            </w:pPr>
            <w:r>
              <w:rPr>
                <w:rFonts w:ascii="Arial" w:eastAsia="Arial" w:hAnsi="Arial" w:cs="Arial"/>
                <w:b/>
                <w:bCs/>
                <w:sz w:val="20"/>
                <w:szCs w:val="20"/>
              </w:rPr>
              <w:t>FLMC</w:t>
            </w:r>
          </w:p>
        </w:tc>
      </w:tr>
      <w:tr w:rsidR="002F1BEE" w14:paraId="4CDFB56D" w14:textId="77777777">
        <w:trPr>
          <w:jc w:val="center"/>
        </w:trPr>
        <w:tc>
          <w:tcPr>
            <w:tcW w:w="691" w:type="dxa"/>
            <w:tcBorders>
              <w:top w:val="nil"/>
              <w:left w:val="nil"/>
              <w:bottom w:val="nil"/>
              <w:right w:val="nil"/>
            </w:tcBorders>
          </w:tcPr>
          <w:p w14:paraId="737FB55A" w14:textId="77777777" w:rsidR="002F1BEE" w:rsidRDefault="005A24ED">
            <w:pPr>
              <w:keepNext/>
              <w:jc w:val="center"/>
              <w:rPr>
                <w:rFonts w:ascii="Arial" w:eastAsia="Arial" w:hAnsi="Arial" w:cs="Arial"/>
                <w:sz w:val="20"/>
                <w:szCs w:val="20"/>
              </w:rPr>
            </w:pPr>
            <w:r>
              <w:rPr>
                <w:rFonts w:ascii="Arial" w:eastAsia="Arial" w:hAnsi="Arial" w:cs="Arial"/>
                <w:sz w:val="20"/>
                <w:szCs w:val="20"/>
              </w:rPr>
              <w:t>3</w:t>
            </w:r>
          </w:p>
        </w:tc>
        <w:tc>
          <w:tcPr>
            <w:tcW w:w="3676" w:type="dxa"/>
            <w:tcBorders>
              <w:top w:val="nil"/>
              <w:left w:val="nil"/>
              <w:bottom w:val="nil"/>
              <w:right w:val="nil"/>
            </w:tcBorders>
          </w:tcPr>
          <w:p w14:paraId="055D2B3F" w14:textId="77777777" w:rsidR="002F1BEE" w:rsidRDefault="005A24ED">
            <w:pPr>
              <w:keepNext/>
              <w:jc w:val="center"/>
              <w:rPr>
                <w:rFonts w:ascii="Arial" w:eastAsia="Arial" w:hAnsi="Arial" w:cs="Arial"/>
                <w:b/>
                <w:bCs/>
                <w:sz w:val="20"/>
                <w:szCs w:val="20"/>
              </w:rPr>
            </w:pPr>
            <w:r>
              <w:rPr>
                <w:rFonts w:ascii="Arial" w:eastAsia="Arial" w:hAnsi="Arial" w:cs="Arial"/>
                <w:sz w:val="20"/>
                <w:szCs w:val="20"/>
              </w:rPr>
              <w:t xml:space="preserve">PT Unilever Indonesia </w:t>
            </w:r>
            <w:proofErr w:type="spellStart"/>
            <w:r>
              <w:rPr>
                <w:rFonts w:ascii="Arial" w:eastAsia="Arial" w:hAnsi="Arial" w:cs="Arial"/>
                <w:sz w:val="20"/>
                <w:szCs w:val="20"/>
              </w:rPr>
              <w:t>Tbk</w:t>
            </w:r>
            <w:proofErr w:type="spellEnd"/>
          </w:p>
        </w:tc>
        <w:tc>
          <w:tcPr>
            <w:tcW w:w="1724" w:type="dxa"/>
            <w:tcBorders>
              <w:top w:val="nil"/>
              <w:left w:val="nil"/>
              <w:bottom w:val="nil"/>
              <w:right w:val="nil"/>
            </w:tcBorders>
          </w:tcPr>
          <w:p w14:paraId="6250B294" w14:textId="77777777" w:rsidR="002F1BEE" w:rsidRDefault="005A24ED">
            <w:pPr>
              <w:keepNext/>
              <w:jc w:val="center"/>
              <w:rPr>
                <w:rFonts w:ascii="Arial" w:eastAsia="Arial" w:hAnsi="Arial" w:cs="Arial"/>
                <w:b/>
                <w:bCs/>
                <w:color w:val="000000"/>
                <w:sz w:val="20"/>
                <w:szCs w:val="20"/>
              </w:rPr>
            </w:pPr>
            <w:r>
              <w:rPr>
                <w:rFonts w:ascii="Arial" w:eastAsia="Arial" w:hAnsi="Arial" w:cs="Arial"/>
                <w:b/>
                <w:bCs/>
                <w:sz w:val="20"/>
                <w:szCs w:val="20"/>
              </w:rPr>
              <w:t>UNVR</w:t>
            </w:r>
          </w:p>
        </w:tc>
      </w:tr>
      <w:tr w:rsidR="002F1BEE" w14:paraId="3E54930F" w14:textId="77777777">
        <w:trPr>
          <w:jc w:val="center"/>
        </w:trPr>
        <w:tc>
          <w:tcPr>
            <w:tcW w:w="691" w:type="dxa"/>
            <w:tcBorders>
              <w:top w:val="nil"/>
              <w:left w:val="nil"/>
              <w:bottom w:val="nil"/>
              <w:right w:val="nil"/>
            </w:tcBorders>
          </w:tcPr>
          <w:p w14:paraId="3D3FF263" w14:textId="77777777" w:rsidR="002F1BEE" w:rsidRDefault="005A24ED">
            <w:pPr>
              <w:keepNext/>
              <w:jc w:val="center"/>
              <w:rPr>
                <w:rFonts w:ascii="Arial" w:eastAsia="Arial" w:hAnsi="Arial" w:cs="Arial"/>
                <w:sz w:val="20"/>
                <w:szCs w:val="20"/>
              </w:rPr>
            </w:pPr>
            <w:r>
              <w:rPr>
                <w:rFonts w:ascii="Arial" w:eastAsia="Arial" w:hAnsi="Arial" w:cs="Arial"/>
                <w:sz w:val="20"/>
                <w:szCs w:val="20"/>
              </w:rPr>
              <w:t>4</w:t>
            </w:r>
          </w:p>
        </w:tc>
        <w:tc>
          <w:tcPr>
            <w:tcW w:w="3676" w:type="dxa"/>
            <w:tcBorders>
              <w:top w:val="nil"/>
              <w:left w:val="nil"/>
              <w:bottom w:val="nil"/>
              <w:right w:val="nil"/>
            </w:tcBorders>
          </w:tcPr>
          <w:p w14:paraId="594286FF" w14:textId="77777777" w:rsidR="002F1BEE" w:rsidRDefault="005A24ED">
            <w:pPr>
              <w:keepNext/>
              <w:jc w:val="center"/>
              <w:rPr>
                <w:rFonts w:ascii="Arial" w:eastAsia="Arial" w:hAnsi="Arial" w:cs="Arial"/>
                <w:b/>
                <w:bCs/>
                <w:sz w:val="20"/>
                <w:szCs w:val="20"/>
              </w:rPr>
            </w:pPr>
            <w:r>
              <w:rPr>
                <w:rFonts w:ascii="Arial" w:eastAsia="Arial" w:hAnsi="Arial" w:cs="Arial"/>
                <w:sz w:val="20"/>
                <w:szCs w:val="20"/>
              </w:rPr>
              <w:t xml:space="preserve">PT </w:t>
            </w:r>
            <w:proofErr w:type="spellStart"/>
            <w:r>
              <w:rPr>
                <w:rFonts w:ascii="Arial" w:eastAsia="Arial" w:hAnsi="Arial" w:cs="Arial"/>
                <w:sz w:val="20"/>
                <w:szCs w:val="20"/>
              </w:rPr>
              <w:t>Mustika</w:t>
            </w:r>
            <w:proofErr w:type="spellEnd"/>
            <w:r>
              <w:rPr>
                <w:rFonts w:ascii="Arial" w:eastAsia="Arial" w:hAnsi="Arial" w:cs="Arial"/>
                <w:sz w:val="20"/>
                <w:szCs w:val="20"/>
              </w:rPr>
              <w:t xml:space="preserve"> </w:t>
            </w:r>
            <w:proofErr w:type="spellStart"/>
            <w:r>
              <w:rPr>
                <w:rFonts w:ascii="Arial" w:eastAsia="Arial" w:hAnsi="Arial" w:cs="Arial"/>
                <w:sz w:val="20"/>
                <w:szCs w:val="20"/>
              </w:rPr>
              <w:t>Ratu</w:t>
            </w:r>
            <w:proofErr w:type="spellEnd"/>
            <w:r>
              <w:rPr>
                <w:rFonts w:ascii="Arial" w:eastAsia="Arial" w:hAnsi="Arial" w:cs="Arial"/>
                <w:sz w:val="20"/>
                <w:szCs w:val="20"/>
              </w:rPr>
              <w:t xml:space="preserve"> </w:t>
            </w:r>
            <w:proofErr w:type="spellStart"/>
            <w:r>
              <w:rPr>
                <w:rFonts w:ascii="Arial" w:eastAsia="Arial" w:hAnsi="Arial" w:cs="Arial"/>
                <w:sz w:val="20"/>
                <w:szCs w:val="20"/>
              </w:rPr>
              <w:t>Tbk</w:t>
            </w:r>
            <w:proofErr w:type="spellEnd"/>
          </w:p>
        </w:tc>
        <w:tc>
          <w:tcPr>
            <w:tcW w:w="1724" w:type="dxa"/>
            <w:tcBorders>
              <w:top w:val="nil"/>
              <w:left w:val="nil"/>
              <w:bottom w:val="nil"/>
              <w:right w:val="nil"/>
            </w:tcBorders>
          </w:tcPr>
          <w:p w14:paraId="6841C5F7" w14:textId="77777777" w:rsidR="002F1BEE" w:rsidRDefault="005A24ED">
            <w:pPr>
              <w:keepNext/>
              <w:jc w:val="center"/>
              <w:rPr>
                <w:rFonts w:ascii="Arial" w:eastAsia="Arial" w:hAnsi="Arial" w:cs="Arial"/>
                <w:b/>
                <w:bCs/>
                <w:color w:val="000000"/>
                <w:sz w:val="20"/>
                <w:szCs w:val="20"/>
              </w:rPr>
            </w:pPr>
            <w:r>
              <w:rPr>
                <w:rFonts w:ascii="Arial" w:eastAsia="Arial" w:hAnsi="Arial" w:cs="Arial"/>
                <w:b/>
                <w:bCs/>
                <w:sz w:val="20"/>
                <w:szCs w:val="20"/>
              </w:rPr>
              <w:t>MRAT</w:t>
            </w:r>
          </w:p>
        </w:tc>
      </w:tr>
      <w:tr w:rsidR="002F1BEE" w14:paraId="62F90698" w14:textId="77777777">
        <w:trPr>
          <w:jc w:val="center"/>
        </w:trPr>
        <w:tc>
          <w:tcPr>
            <w:tcW w:w="691" w:type="dxa"/>
            <w:tcBorders>
              <w:top w:val="nil"/>
              <w:left w:val="nil"/>
              <w:bottom w:val="nil"/>
              <w:right w:val="nil"/>
            </w:tcBorders>
          </w:tcPr>
          <w:p w14:paraId="4D9A89BB" w14:textId="77777777" w:rsidR="002F1BEE" w:rsidRDefault="005A24ED">
            <w:pPr>
              <w:keepNext/>
              <w:jc w:val="center"/>
              <w:rPr>
                <w:rFonts w:ascii="Arial" w:eastAsia="Arial" w:hAnsi="Arial" w:cs="Arial"/>
                <w:sz w:val="20"/>
                <w:szCs w:val="20"/>
              </w:rPr>
            </w:pPr>
            <w:r>
              <w:rPr>
                <w:rFonts w:ascii="Arial" w:eastAsia="Arial" w:hAnsi="Arial" w:cs="Arial"/>
                <w:sz w:val="20"/>
                <w:szCs w:val="20"/>
              </w:rPr>
              <w:t>5</w:t>
            </w:r>
          </w:p>
        </w:tc>
        <w:tc>
          <w:tcPr>
            <w:tcW w:w="3676" w:type="dxa"/>
            <w:tcBorders>
              <w:top w:val="nil"/>
              <w:left w:val="nil"/>
              <w:bottom w:val="nil"/>
              <w:right w:val="nil"/>
            </w:tcBorders>
          </w:tcPr>
          <w:p w14:paraId="3CA29843" w14:textId="77777777" w:rsidR="002F1BEE" w:rsidRDefault="005A24ED">
            <w:pPr>
              <w:keepNext/>
              <w:jc w:val="center"/>
              <w:rPr>
                <w:rFonts w:ascii="Arial" w:eastAsia="Arial" w:hAnsi="Arial" w:cs="Arial"/>
                <w:b/>
                <w:bCs/>
                <w:sz w:val="20"/>
                <w:szCs w:val="20"/>
              </w:rPr>
            </w:pPr>
            <w:r>
              <w:rPr>
                <w:rFonts w:ascii="Arial" w:eastAsia="Arial" w:hAnsi="Arial" w:cs="Arial"/>
                <w:sz w:val="20"/>
                <w:szCs w:val="20"/>
              </w:rPr>
              <w:t xml:space="preserve">PT Kino Indonesia </w:t>
            </w:r>
            <w:proofErr w:type="spellStart"/>
            <w:r>
              <w:rPr>
                <w:rFonts w:ascii="Arial" w:eastAsia="Arial" w:hAnsi="Arial" w:cs="Arial"/>
                <w:sz w:val="20"/>
                <w:szCs w:val="20"/>
              </w:rPr>
              <w:t>Tbk</w:t>
            </w:r>
            <w:proofErr w:type="spellEnd"/>
          </w:p>
        </w:tc>
        <w:tc>
          <w:tcPr>
            <w:tcW w:w="1724" w:type="dxa"/>
            <w:tcBorders>
              <w:top w:val="nil"/>
              <w:left w:val="nil"/>
              <w:bottom w:val="nil"/>
              <w:right w:val="nil"/>
            </w:tcBorders>
          </w:tcPr>
          <w:p w14:paraId="44B80733" w14:textId="77777777" w:rsidR="002F1BEE" w:rsidRDefault="005A24ED">
            <w:pPr>
              <w:keepNext/>
              <w:jc w:val="center"/>
              <w:rPr>
                <w:rFonts w:ascii="Arial" w:eastAsia="Arial" w:hAnsi="Arial" w:cs="Arial"/>
                <w:b/>
                <w:bCs/>
                <w:color w:val="000000"/>
                <w:sz w:val="20"/>
                <w:szCs w:val="20"/>
              </w:rPr>
            </w:pPr>
            <w:r>
              <w:rPr>
                <w:rFonts w:ascii="Arial" w:eastAsia="Arial" w:hAnsi="Arial" w:cs="Arial"/>
                <w:b/>
                <w:bCs/>
                <w:sz w:val="20"/>
                <w:szCs w:val="20"/>
              </w:rPr>
              <w:t>KINO</w:t>
            </w:r>
          </w:p>
        </w:tc>
      </w:tr>
      <w:tr w:rsidR="002F1BEE" w14:paraId="55EAA5C9" w14:textId="77777777">
        <w:trPr>
          <w:jc w:val="center"/>
        </w:trPr>
        <w:tc>
          <w:tcPr>
            <w:tcW w:w="691" w:type="dxa"/>
            <w:tcBorders>
              <w:top w:val="nil"/>
              <w:left w:val="nil"/>
              <w:bottom w:val="single" w:sz="4" w:space="0" w:color="000000"/>
              <w:right w:val="nil"/>
            </w:tcBorders>
          </w:tcPr>
          <w:p w14:paraId="067ED19C" w14:textId="77777777" w:rsidR="002F1BEE" w:rsidRDefault="005A24ED">
            <w:pPr>
              <w:keepNext/>
              <w:jc w:val="center"/>
              <w:rPr>
                <w:rFonts w:ascii="Arial" w:eastAsia="Arial" w:hAnsi="Arial" w:cs="Arial"/>
                <w:sz w:val="20"/>
                <w:szCs w:val="20"/>
              </w:rPr>
            </w:pPr>
            <w:r>
              <w:rPr>
                <w:rFonts w:ascii="Arial" w:eastAsia="Arial" w:hAnsi="Arial" w:cs="Arial"/>
                <w:sz w:val="20"/>
                <w:szCs w:val="20"/>
              </w:rPr>
              <w:t>6</w:t>
            </w:r>
          </w:p>
        </w:tc>
        <w:tc>
          <w:tcPr>
            <w:tcW w:w="3676" w:type="dxa"/>
            <w:tcBorders>
              <w:top w:val="nil"/>
              <w:left w:val="nil"/>
              <w:bottom w:val="single" w:sz="4" w:space="0" w:color="000000"/>
              <w:right w:val="nil"/>
            </w:tcBorders>
          </w:tcPr>
          <w:p w14:paraId="4A3BFFB9" w14:textId="77777777" w:rsidR="002F1BEE" w:rsidRDefault="005A24ED">
            <w:pPr>
              <w:keepNext/>
              <w:jc w:val="center"/>
              <w:rPr>
                <w:rFonts w:ascii="Arial" w:eastAsia="Arial" w:hAnsi="Arial" w:cs="Arial"/>
                <w:b/>
                <w:bCs/>
                <w:sz w:val="20"/>
                <w:szCs w:val="20"/>
              </w:rPr>
            </w:pPr>
            <w:r>
              <w:rPr>
                <w:rFonts w:ascii="Arial" w:eastAsia="Arial" w:hAnsi="Arial" w:cs="Arial"/>
                <w:sz w:val="20"/>
                <w:szCs w:val="20"/>
              </w:rPr>
              <w:t xml:space="preserve">PT Uni-Charm Indonesia </w:t>
            </w:r>
            <w:proofErr w:type="spellStart"/>
            <w:r>
              <w:rPr>
                <w:rFonts w:ascii="Arial" w:eastAsia="Arial" w:hAnsi="Arial" w:cs="Arial"/>
                <w:sz w:val="20"/>
                <w:szCs w:val="20"/>
              </w:rPr>
              <w:t>Tbk</w:t>
            </w:r>
            <w:proofErr w:type="spellEnd"/>
          </w:p>
        </w:tc>
        <w:tc>
          <w:tcPr>
            <w:tcW w:w="1724" w:type="dxa"/>
            <w:tcBorders>
              <w:top w:val="nil"/>
              <w:left w:val="nil"/>
              <w:bottom w:val="single" w:sz="4" w:space="0" w:color="000000"/>
              <w:right w:val="nil"/>
            </w:tcBorders>
          </w:tcPr>
          <w:p w14:paraId="7ACE42EE" w14:textId="77777777" w:rsidR="002F1BEE" w:rsidRDefault="005A24ED">
            <w:pPr>
              <w:keepNext/>
              <w:jc w:val="center"/>
              <w:rPr>
                <w:rFonts w:ascii="Arial" w:eastAsia="Arial" w:hAnsi="Arial" w:cs="Arial"/>
                <w:b/>
                <w:bCs/>
                <w:sz w:val="20"/>
                <w:szCs w:val="20"/>
              </w:rPr>
            </w:pPr>
            <w:r>
              <w:rPr>
                <w:rFonts w:ascii="Arial" w:eastAsia="Arial" w:hAnsi="Arial" w:cs="Arial"/>
                <w:b/>
                <w:bCs/>
                <w:sz w:val="20"/>
                <w:szCs w:val="20"/>
              </w:rPr>
              <w:t>UCID</w:t>
            </w:r>
          </w:p>
        </w:tc>
      </w:tr>
    </w:tbl>
    <w:p w14:paraId="25E6FDA4" w14:textId="77777777" w:rsidR="002F1BEE" w:rsidRDefault="002F1BEE">
      <w:pPr>
        <w:pBdr>
          <w:top w:val="nil"/>
          <w:left w:val="nil"/>
          <w:bottom w:val="nil"/>
          <w:right w:val="nil"/>
          <w:between w:val="nil"/>
        </w:pBdr>
        <w:jc w:val="both"/>
        <w:rPr>
          <w:rFonts w:ascii="Arial" w:eastAsia="Arial" w:hAnsi="Arial" w:cs="Arial"/>
          <w:color w:val="000000"/>
        </w:rPr>
      </w:pPr>
    </w:p>
    <w:p w14:paraId="299D4C74"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According to these criteria, six companies were deemed suitable. Consequently, the aggregate number of data utilized in this investigation is 30 observations. Data was processed with Microsoft Excel for tabulation and ratio calculations, followed by analysis using SPSS for descriptive statistics, classical assumption tests, path analysis, and mediation tests.</w:t>
      </w:r>
    </w:p>
    <w:p w14:paraId="128AC9BF" w14:textId="77777777" w:rsidR="002F1BEE" w:rsidRDefault="002F1BEE">
      <w:pPr>
        <w:pBdr>
          <w:top w:val="nil"/>
          <w:left w:val="nil"/>
          <w:bottom w:val="nil"/>
          <w:right w:val="nil"/>
          <w:between w:val="nil"/>
        </w:pBdr>
        <w:jc w:val="both"/>
        <w:rPr>
          <w:rFonts w:ascii="Arial" w:eastAsia="Arial" w:hAnsi="Arial" w:cs="Arial"/>
          <w:color w:val="000000"/>
        </w:rPr>
      </w:pPr>
    </w:p>
    <w:p w14:paraId="716A626D" w14:textId="77777777"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4. results and discussion</w:t>
      </w:r>
    </w:p>
    <w:p w14:paraId="194ED8BA" w14:textId="77777777" w:rsidR="002F1BEE" w:rsidRDefault="005A24ED">
      <w:pPr>
        <w:keepNext/>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mallCaps/>
          <w:color w:val="000000"/>
          <w:sz w:val="22"/>
          <w:szCs w:val="22"/>
        </w:rPr>
        <w:t xml:space="preserve">4.1 </w:t>
      </w:r>
      <w:r>
        <w:rPr>
          <w:rFonts w:ascii="Arial" w:eastAsia="Arial" w:hAnsi="Arial" w:cs="Arial"/>
          <w:b/>
          <w:bCs/>
          <w:color w:val="000000"/>
          <w:sz w:val="22"/>
          <w:szCs w:val="22"/>
        </w:rPr>
        <w:t>Results</w:t>
      </w:r>
    </w:p>
    <w:p w14:paraId="00DD050E" w14:textId="77777777" w:rsidR="002F1BEE" w:rsidRDefault="005A24ED">
      <w:pPr>
        <w:keepNext/>
        <w:numPr>
          <w:ilvl w:val="0"/>
          <w:numId w:val="2"/>
        </w:num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 xml:space="preserve">2.1.1. Corporate Social Responsibility </w:t>
      </w:r>
    </w:p>
    <w:p w14:paraId="3A17A761" w14:textId="77777777" w:rsidR="002F1BEE" w:rsidRDefault="002F1BEE">
      <w:pPr>
        <w:keepNext/>
        <w:pBdr>
          <w:top w:val="nil"/>
          <w:left w:val="nil"/>
          <w:bottom w:val="nil"/>
          <w:right w:val="nil"/>
          <w:between w:val="nil"/>
        </w:pBdr>
        <w:jc w:val="both"/>
        <w:rPr>
          <w:rFonts w:ascii="Arial" w:eastAsia="Arial" w:hAnsi="Arial" w:cs="Arial"/>
          <w:b/>
          <w:bCs/>
          <w:color w:val="000000"/>
          <w:sz w:val="22"/>
          <w:szCs w:val="22"/>
        </w:rPr>
      </w:pPr>
    </w:p>
    <w:p w14:paraId="387CFE0B" w14:textId="77777777" w:rsidR="002F1BEE" w:rsidRDefault="005A24ED">
      <w:pPr>
        <w:keepNext/>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Table 2. Description of CSR Patterns</w:t>
      </w:r>
    </w:p>
    <w:tbl>
      <w:tblPr>
        <w:tblStyle w:val="a3"/>
        <w:tblW w:w="7498" w:type="dxa"/>
        <w:jc w:val="center"/>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840"/>
        <w:gridCol w:w="832"/>
        <w:gridCol w:w="815"/>
        <w:gridCol w:w="815"/>
        <w:gridCol w:w="815"/>
        <w:gridCol w:w="931"/>
        <w:gridCol w:w="1413"/>
      </w:tblGrid>
      <w:tr w:rsidR="002F1BEE" w14:paraId="37315DA5" w14:textId="77777777">
        <w:trPr>
          <w:jc w:val="center"/>
        </w:trPr>
        <w:tc>
          <w:tcPr>
            <w:tcW w:w="1037" w:type="dxa"/>
            <w:tcBorders>
              <w:top w:val="single" w:sz="4" w:space="0" w:color="000000"/>
              <w:left w:val="nil"/>
              <w:bottom w:val="single" w:sz="4" w:space="0" w:color="000000"/>
              <w:right w:val="nil"/>
            </w:tcBorders>
          </w:tcPr>
          <w:p w14:paraId="2E2ACE14"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Company Code</w:t>
            </w:r>
          </w:p>
        </w:tc>
        <w:tc>
          <w:tcPr>
            <w:tcW w:w="840" w:type="dxa"/>
            <w:tcBorders>
              <w:top w:val="single" w:sz="4" w:space="0" w:color="000000"/>
              <w:left w:val="nil"/>
              <w:bottom w:val="single" w:sz="4" w:space="0" w:color="000000"/>
              <w:right w:val="nil"/>
            </w:tcBorders>
          </w:tcPr>
          <w:p w14:paraId="3B30A630"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2021</w:t>
            </w:r>
          </w:p>
        </w:tc>
        <w:tc>
          <w:tcPr>
            <w:tcW w:w="832" w:type="dxa"/>
            <w:tcBorders>
              <w:top w:val="single" w:sz="4" w:space="0" w:color="000000"/>
              <w:left w:val="nil"/>
              <w:bottom w:val="single" w:sz="4" w:space="0" w:color="000000"/>
              <w:right w:val="nil"/>
            </w:tcBorders>
          </w:tcPr>
          <w:p w14:paraId="54645FDF"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2022</w:t>
            </w:r>
          </w:p>
        </w:tc>
        <w:tc>
          <w:tcPr>
            <w:tcW w:w="815" w:type="dxa"/>
            <w:tcBorders>
              <w:top w:val="single" w:sz="4" w:space="0" w:color="000000"/>
              <w:left w:val="nil"/>
              <w:bottom w:val="single" w:sz="4" w:space="0" w:color="000000"/>
              <w:right w:val="nil"/>
            </w:tcBorders>
          </w:tcPr>
          <w:p w14:paraId="29BEBF16"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2023</w:t>
            </w:r>
          </w:p>
        </w:tc>
        <w:tc>
          <w:tcPr>
            <w:tcW w:w="815" w:type="dxa"/>
            <w:tcBorders>
              <w:top w:val="single" w:sz="4" w:space="0" w:color="000000"/>
              <w:left w:val="nil"/>
              <w:bottom w:val="single" w:sz="4" w:space="0" w:color="000000"/>
              <w:right w:val="nil"/>
            </w:tcBorders>
          </w:tcPr>
          <w:p w14:paraId="15B57700"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2024</w:t>
            </w:r>
          </w:p>
        </w:tc>
        <w:tc>
          <w:tcPr>
            <w:tcW w:w="815" w:type="dxa"/>
            <w:tcBorders>
              <w:top w:val="single" w:sz="4" w:space="0" w:color="000000"/>
              <w:left w:val="nil"/>
              <w:bottom w:val="single" w:sz="4" w:space="0" w:color="000000"/>
              <w:right w:val="nil"/>
            </w:tcBorders>
          </w:tcPr>
          <w:p w14:paraId="6DA303D4"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2025</w:t>
            </w:r>
          </w:p>
        </w:tc>
        <w:tc>
          <w:tcPr>
            <w:tcW w:w="931" w:type="dxa"/>
            <w:tcBorders>
              <w:top w:val="single" w:sz="4" w:space="0" w:color="000000"/>
              <w:left w:val="nil"/>
              <w:bottom w:val="single" w:sz="4" w:space="0" w:color="000000"/>
              <w:right w:val="nil"/>
            </w:tcBorders>
          </w:tcPr>
          <w:p w14:paraId="21D6CB23"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Average</w:t>
            </w:r>
          </w:p>
        </w:tc>
        <w:tc>
          <w:tcPr>
            <w:tcW w:w="1413" w:type="dxa"/>
            <w:tcBorders>
              <w:top w:val="single" w:sz="4" w:space="0" w:color="000000"/>
              <w:left w:val="nil"/>
              <w:bottom w:val="single" w:sz="4" w:space="0" w:color="000000"/>
              <w:right w:val="nil"/>
            </w:tcBorders>
          </w:tcPr>
          <w:p w14:paraId="483BBF94"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CRS Categories</w:t>
            </w:r>
          </w:p>
        </w:tc>
      </w:tr>
      <w:tr w:rsidR="002F1BEE" w14:paraId="562FCAB9" w14:textId="77777777">
        <w:trPr>
          <w:jc w:val="center"/>
        </w:trPr>
        <w:tc>
          <w:tcPr>
            <w:tcW w:w="1037" w:type="dxa"/>
            <w:tcBorders>
              <w:top w:val="single" w:sz="4" w:space="0" w:color="000000"/>
              <w:left w:val="nil"/>
              <w:bottom w:val="nil"/>
              <w:right w:val="nil"/>
            </w:tcBorders>
          </w:tcPr>
          <w:p w14:paraId="7BE2445A"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sz w:val="18"/>
                <w:szCs w:val="18"/>
              </w:rPr>
              <w:t>TCID</w:t>
            </w:r>
          </w:p>
        </w:tc>
        <w:tc>
          <w:tcPr>
            <w:tcW w:w="840" w:type="dxa"/>
            <w:tcBorders>
              <w:top w:val="single" w:sz="4" w:space="0" w:color="000000"/>
              <w:left w:val="nil"/>
              <w:bottom w:val="nil"/>
              <w:right w:val="nil"/>
            </w:tcBorders>
          </w:tcPr>
          <w:p w14:paraId="3265207D"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29,91%</w:t>
            </w:r>
          </w:p>
        </w:tc>
        <w:tc>
          <w:tcPr>
            <w:tcW w:w="832" w:type="dxa"/>
            <w:tcBorders>
              <w:top w:val="single" w:sz="4" w:space="0" w:color="000000"/>
              <w:left w:val="nil"/>
              <w:bottom w:val="nil"/>
              <w:right w:val="nil"/>
            </w:tcBorders>
          </w:tcPr>
          <w:p w14:paraId="6C9C358C"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33,37%</w:t>
            </w:r>
          </w:p>
        </w:tc>
        <w:tc>
          <w:tcPr>
            <w:tcW w:w="815" w:type="dxa"/>
            <w:tcBorders>
              <w:top w:val="single" w:sz="4" w:space="0" w:color="000000"/>
              <w:left w:val="nil"/>
              <w:bottom w:val="nil"/>
              <w:right w:val="nil"/>
            </w:tcBorders>
          </w:tcPr>
          <w:p w14:paraId="3FBF2968"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45,32%</w:t>
            </w:r>
          </w:p>
        </w:tc>
        <w:tc>
          <w:tcPr>
            <w:tcW w:w="815" w:type="dxa"/>
            <w:tcBorders>
              <w:top w:val="single" w:sz="4" w:space="0" w:color="000000"/>
              <w:left w:val="nil"/>
              <w:bottom w:val="nil"/>
              <w:right w:val="nil"/>
            </w:tcBorders>
          </w:tcPr>
          <w:p w14:paraId="23A443D7"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46,18%</w:t>
            </w:r>
          </w:p>
        </w:tc>
        <w:tc>
          <w:tcPr>
            <w:tcW w:w="815" w:type="dxa"/>
            <w:tcBorders>
              <w:top w:val="single" w:sz="4" w:space="0" w:color="000000"/>
              <w:left w:val="nil"/>
              <w:bottom w:val="nil"/>
              <w:right w:val="nil"/>
            </w:tcBorders>
          </w:tcPr>
          <w:p w14:paraId="6FCB4666"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50,42%</w:t>
            </w:r>
          </w:p>
        </w:tc>
        <w:tc>
          <w:tcPr>
            <w:tcW w:w="931" w:type="dxa"/>
            <w:tcBorders>
              <w:top w:val="single" w:sz="4" w:space="0" w:color="000000"/>
              <w:left w:val="nil"/>
              <w:bottom w:val="nil"/>
              <w:right w:val="nil"/>
            </w:tcBorders>
          </w:tcPr>
          <w:p w14:paraId="6458B934"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41,04%</w:t>
            </w:r>
          </w:p>
        </w:tc>
        <w:tc>
          <w:tcPr>
            <w:tcW w:w="1413" w:type="dxa"/>
            <w:tcBorders>
              <w:top w:val="single" w:sz="4" w:space="0" w:color="000000"/>
              <w:left w:val="nil"/>
              <w:bottom w:val="nil"/>
              <w:right w:val="nil"/>
            </w:tcBorders>
          </w:tcPr>
          <w:p w14:paraId="3AC5ED5D"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 xml:space="preserve">Medium CSR </w:t>
            </w:r>
          </w:p>
        </w:tc>
      </w:tr>
      <w:tr w:rsidR="002F1BEE" w14:paraId="2AAD6D6C" w14:textId="77777777">
        <w:trPr>
          <w:jc w:val="center"/>
        </w:trPr>
        <w:tc>
          <w:tcPr>
            <w:tcW w:w="1037" w:type="dxa"/>
            <w:tcBorders>
              <w:top w:val="nil"/>
              <w:left w:val="nil"/>
              <w:bottom w:val="nil"/>
              <w:right w:val="nil"/>
            </w:tcBorders>
          </w:tcPr>
          <w:p w14:paraId="0280EF0E"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sz w:val="18"/>
                <w:szCs w:val="18"/>
              </w:rPr>
              <w:t>FLMC</w:t>
            </w:r>
          </w:p>
        </w:tc>
        <w:tc>
          <w:tcPr>
            <w:tcW w:w="840" w:type="dxa"/>
            <w:tcBorders>
              <w:top w:val="nil"/>
              <w:left w:val="nil"/>
              <w:bottom w:val="nil"/>
              <w:right w:val="nil"/>
            </w:tcBorders>
          </w:tcPr>
          <w:p w14:paraId="275FA961"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21,37%</w:t>
            </w:r>
          </w:p>
        </w:tc>
        <w:tc>
          <w:tcPr>
            <w:tcW w:w="832" w:type="dxa"/>
            <w:tcBorders>
              <w:top w:val="nil"/>
              <w:left w:val="nil"/>
              <w:bottom w:val="nil"/>
              <w:right w:val="nil"/>
            </w:tcBorders>
          </w:tcPr>
          <w:p w14:paraId="1BF1B80C"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27,33%</w:t>
            </w:r>
          </w:p>
        </w:tc>
        <w:tc>
          <w:tcPr>
            <w:tcW w:w="815" w:type="dxa"/>
            <w:tcBorders>
              <w:top w:val="nil"/>
              <w:left w:val="nil"/>
              <w:bottom w:val="nil"/>
              <w:right w:val="nil"/>
            </w:tcBorders>
          </w:tcPr>
          <w:p w14:paraId="232E6B9E"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50,42%</w:t>
            </w:r>
          </w:p>
        </w:tc>
        <w:tc>
          <w:tcPr>
            <w:tcW w:w="815" w:type="dxa"/>
            <w:tcBorders>
              <w:top w:val="nil"/>
              <w:left w:val="nil"/>
              <w:bottom w:val="nil"/>
              <w:right w:val="nil"/>
            </w:tcBorders>
          </w:tcPr>
          <w:p w14:paraId="46E35C46"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56,43%</w:t>
            </w:r>
          </w:p>
        </w:tc>
        <w:tc>
          <w:tcPr>
            <w:tcW w:w="815" w:type="dxa"/>
            <w:tcBorders>
              <w:top w:val="nil"/>
              <w:left w:val="nil"/>
              <w:bottom w:val="nil"/>
              <w:right w:val="nil"/>
            </w:tcBorders>
          </w:tcPr>
          <w:p w14:paraId="1B57B509"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60,67%</w:t>
            </w:r>
          </w:p>
        </w:tc>
        <w:tc>
          <w:tcPr>
            <w:tcW w:w="931" w:type="dxa"/>
            <w:tcBorders>
              <w:top w:val="nil"/>
              <w:left w:val="nil"/>
              <w:bottom w:val="nil"/>
              <w:right w:val="nil"/>
            </w:tcBorders>
          </w:tcPr>
          <w:p w14:paraId="0EC8D850"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43,24%</w:t>
            </w:r>
          </w:p>
        </w:tc>
        <w:tc>
          <w:tcPr>
            <w:tcW w:w="1413" w:type="dxa"/>
            <w:tcBorders>
              <w:top w:val="nil"/>
              <w:left w:val="nil"/>
              <w:bottom w:val="nil"/>
              <w:right w:val="nil"/>
            </w:tcBorders>
          </w:tcPr>
          <w:p w14:paraId="4A1F37D3"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Medium CSR</w:t>
            </w:r>
          </w:p>
        </w:tc>
      </w:tr>
      <w:tr w:rsidR="002F1BEE" w14:paraId="4BC0D6B1" w14:textId="77777777">
        <w:trPr>
          <w:jc w:val="center"/>
        </w:trPr>
        <w:tc>
          <w:tcPr>
            <w:tcW w:w="1037" w:type="dxa"/>
            <w:tcBorders>
              <w:top w:val="nil"/>
              <w:left w:val="nil"/>
              <w:bottom w:val="nil"/>
              <w:right w:val="nil"/>
            </w:tcBorders>
          </w:tcPr>
          <w:p w14:paraId="5A4BA4EB"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sz w:val="18"/>
                <w:szCs w:val="18"/>
              </w:rPr>
              <w:t>UNVR</w:t>
            </w:r>
          </w:p>
        </w:tc>
        <w:tc>
          <w:tcPr>
            <w:tcW w:w="840" w:type="dxa"/>
            <w:tcBorders>
              <w:top w:val="nil"/>
              <w:left w:val="nil"/>
              <w:bottom w:val="nil"/>
              <w:right w:val="nil"/>
            </w:tcBorders>
          </w:tcPr>
          <w:p w14:paraId="2302BFA9"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59,82%</w:t>
            </w:r>
          </w:p>
        </w:tc>
        <w:tc>
          <w:tcPr>
            <w:tcW w:w="832" w:type="dxa"/>
            <w:tcBorders>
              <w:top w:val="nil"/>
              <w:left w:val="nil"/>
              <w:bottom w:val="nil"/>
              <w:right w:val="nil"/>
            </w:tcBorders>
          </w:tcPr>
          <w:p w14:paraId="3B7F8CA3"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63,29%</w:t>
            </w:r>
          </w:p>
        </w:tc>
        <w:tc>
          <w:tcPr>
            <w:tcW w:w="815" w:type="dxa"/>
            <w:tcBorders>
              <w:top w:val="nil"/>
              <w:left w:val="nil"/>
              <w:bottom w:val="nil"/>
              <w:right w:val="nil"/>
            </w:tcBorders>
          </w:tcPr>
          <w:p w14:paraId="274325AE"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65,83%</w:t>
            </w:r>
          </w:p>
        </w:tc>
        <w:tc>
          <w:tcPr>
            <w:tcW w:w="815" w:type="dxa"/>
            <w:tcBorders>
              <w:top w:val="nil"/>
              <w:left w:val="nil"/>
              <w:bottom w:val="nil"/>
              <w:right w:val="nil"/>
            </w:tcBorders>
          </w:tcPr>
          <w:p w14:paraId="56093D3B"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75,22%</w:t>
            </w:r>
          </w:p>
        </w:tc>
        <w:tc>
          <w:tcPr>
            <w:tcW w:w="815" w:type="dxa"/>
            <w:tcBorders>
              <w:top w:val="nil"/>
              <w:left w:val="nil"/>
              <w:bottom w:val="nil"/>
              <w:right w:val="nil"/>
            </w:tcBorders>
          </w:tcPr>
          <w:p w14:paraId="3B7EE30A"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77,79%</w:t>
            </w:r>
          </w:p>
        </w:tc>
        <w:tc>
          <w:tcPr>
            <w:tcW w:w="931" w:type="dxa"/>
            <w:tcBorders>
              <w:top w:val="nil"/>
              <w:left w:val="nil"/>
              <w:bottom w:val="nil"/>
              <w:right w:val="nil"/>
            </w:tcBorders>
          </w:tcPr>
          <w:p w14:paraId="0DD8D1F9"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68,39%</w:t>
            </w:r>
          </w:p>
        </w:tc>
        <w:tc>
          <w:tcPr>
            <w:tcW w:w="1413" w:type="dxa"/>
            <w:tcBorders>
              <w:top w:val="nil"/>
              <w:left w:val="nil"/>
              <w:bottom w:val="nil"/>
              <w:right w:val="nil"/>
            </w:tcBorders>
          </w:tcPr>
          <w:p w14:paraId="51FC010B"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Good CSR</w:t>
            </w:r>
          </w:p>
        </w:tc>
      </w:tr>
      <w:tr w:rsidR="002F1BEE" w14:paraId="7C54918D" w14:textId="77777777">
        <w:trPr>
          <w:jc w:val="center"/>
        </w:trPr>
        <w:tc>
          <w:tcPr>
            <w:tcW w:w="1037" w:type="dxa"/>
            <w:tcBorders>
              <w:top w:val="nil"/>
              <w:left w:val="nil"/>
              <w:bottom w:val="nil"/>
              <w:right w:val="nil"/>
            </w:tcBorders>
          </w:tcPr>
          <w:p w14:paraId="3FF91A05"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sz w:val="18"/>
                <w:szCs w:val="18"/>
              </w:rPr>
              <w:t>MRAT</w:t>
            </w:r>
          </w:p>
        </w:tc>
        <w:tc>
          <w:tcPr>
            <w:tcW w:w="840" w:type="dxa"/>
            <w:tcBorders>
              <w:top w:val="nil"/>
              <w:left w:val="nil"/>
              <w:bottom w:val="nil"/>
              <w:right w:val="nil"/>
            </w:tcBorders>
          </w:tcPr>
          <w:p w14:paraId="526803DD"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40,16%</w:t>
            </w:r>
          </w:p>
        </w:tc>
        <w:tc>
          <w:tcPr>
            <w:tcW w:w="832" w:type="dxa"/>
            <w:tcBorders>
              <w:top w:val="nil"/>
              <w:left w:val="nil"/>
              <w:bottom w:val="nil"/>
              <w:right w:val="nil"/>
            </w:tcBorders>
          </w:tcPr>
          <w:p w14:paraId="7B690B26"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41,84%</w:t>
            </w:r>
          </w:p>
        </w:tc>
        <w:tc>
          <w:tcPr>
            <w:tcW w:w="815" w:type="dxa"/>
            <w:tcBorders>
              <w:top w:val="nil"/>
              <w:left w:val="nil"/>
              <w:bottom w:val="nil"/>
              <w:right w:val="nil"/>
            </w:tcBorders>
          </w:tcPr>
          <w:p w14:paraId="07DDB728"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53,86%</w:t>
            </w:r>
          </w:p>
        </w:tc>
        <w:tc>
          <w:tcPr>
            <w:tcW w:w="815" w:type="dxa"/>
            <w:tcBorders>
              <w:top w:val="nil"/>
              <w:left w:val="nil"/>
              <w:bottom w:val="nil"/>
              <w:right w:val="nil"/>
            </w:tcBorders>
          </w:tcPr>
          <w:p w14:paraId="5FC820DE"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54,71%</w:t>
            </w:r>
          </w:p>
        </w:tc>
        <w:tc>
          <w:tcPr>
            <w:tcW w:w="815" w:type="dxa"/>
            <w:tcBorders>
              <w:top w:val="nil"/>
              <w:left w:val="nil"/>
              <w:bottom w:val="nil"/>
              <w:right w:val="nil"/>
            </w:tcBorders>
          </w:tcPr>
          <w:p w14:paraId="1BA1CC5A"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57,29%</w:t>
            </w:r>
          </w:p>
        </w:tc>
        <w:tc>
          <w:tcPr>
            <w:tcW w:w="931" w:type="dxa"/>
            <w:tcBorders>
              <w:top w:val="nil"/>
              <w:left w:val="nil"/>
              <w:bottom w:val="nil"/>
              <w:right w:val="nil"/>
            </w:tcBorders>
          </w:tcPr>
          <w:p w14:paraId="29295B29"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49,57%</w:t>
            </w:r>
          </w:p>
        </w:tc>
        <w:tc>
          <w:tcPr>
            <w:tcW w:w="1413" w:type="dxa"/>
            <w:tcBorders>
              <w:top w:val="nil"/>
              <w:left w:val="nil"/>
              <w:bottom w:val="nil"/>
              <w:right w:val="nil"/>
            </w:tcBorders>
          </w:tcPr>
          <w:p w14:paraId="329AEBCB"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Medium CSR</w:t>
            </w:r>
          </w:p>
        </w:tc>
      </w:tr>
      <w:tr w:rsidR="002F1BEE" w14:paraId="7A08ECA9" w14:textId="77777777">
        <w:trPr>
          <w:jc w:val="center"/>
        </w:trPr>
        <w:tc>
          <w:tcPr>
            <w:tcW w:w="1037" w:type="dxa"/>
            <w:tcBorders>
              <w:top w:val="nil"/>
              <w:left w:val="nil"/>
              <w:bottom w:val="nil"/>
              <w:right w:val="nil"/>
            </w:tcBorders>
          </w:tcPr>
          <w:p w14:paraId="5360C103"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sz w:val="18"/>
                <w:szCs w:val="18"/>
              </w:rPr>
              <w:t>KINO</w:t>
            </w:r>
          </w:p>
        </w:tc>
        <w:tc>
          <w:tcPr>
            <w:tcW w:w="840" w:type="dxa"/>
            <w:tcBorders>
              <w:top w:val="nil"/>
              <w:left w:val="nil"/>
              <w:bottom w:val="nil"/>
              <w:right w:val="nil"/>
            </w:tcBorders>
          </w:tcPr>
          <w:p w14:paraId="41D9746B"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35,88%</w:t>
            </w:r>
          </w:p>
        </w:tc>
        <w:tc>
          <w:tcPr>
            <w:tcW w:w="832" w:type="dxa"/>
            <w:tcBorders>
              <w:top w:val="nil"/>
              <w:left w:val="nil"/>
              <w:bottom w:val="nil"/>
              <w:right w:val="nil"/>
            </w:tcBorders>
          </w:tcPr>
          <w:p w14:paraId="4E540F07"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41,88%</w:t>
            </w:r>
          </w:p>
        </w:tc>
        <w:tc>
          <w:tcPr>
            <w:tcW w:w="815" w:type="dxa"/>
            <w:tcBorders>
              <w:top w:val="nil"/>
              <w:left w:val="nil"/>
              <w:bottom w:val="nil"/>
              <w:right w:val="nil"/>
            </w:tcBorders>
          </w:tcPr>
          <w:p w14:paraId="09D15770"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63,28%</w:t>
            </w:r>
          </w:p>
        </w:tc>
        <w:tc>
          <w:tcPr>
            <w:tcW w:w="815" w:type="dxa"/>
            <w:tcBorders>
              <w:top w:val="nil"/>
              <w:left w:val="nil"/>
              <w:bottom w:val="nil"/>
              <w:right w:val="nil"/>
            </w:tcBorders>
          </w:tcPr>
          <w:p w14:paraId="3F1419A3"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71,78%</w:t>
            </w:r>
          </w:p>
        </w:tc>
        <w:tc>
          <w:tcPr>
            <w:tcW w:w="815" w:type="dxa"/>
            <w:tcBorders>
              <w:top w:val="nil"/>
              <w:left w:val="nil"/>
              <w:bottom w:val="nil"/>
              <w:right w:val="nil"/>
            </w:tcBorders>
          </w:tcPr>
          <w:p w14:paraId="012853AB"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76,91%</w:t>
            </w:r>
          </w:p>
        </w:tc>
        <w:tc>
          <w:tcPr>
            <w:tcW w:w="931" w:type="dxa"/>
            <w:tcBorders>
              <w:top w:val="nil"/>
              <w:left w:val="nil"/>
              <w:bottom w:val="nil"/>
              <w:right w:val="nil"/>
            </w:tcBorders>
          </w:tcPr>
          <w:p w14:paraId="031E653F"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57,94%</w:t>
            </w:r>
          </w:p>
        </w:tc>
        <w:tc>
          <w:tcPr>
            <w:tcW w:w="1413" w:type="dxa"/>
            <w:tcBorders>
              <w:top w:val="nil"/>
              <w:left w:val="nil"/>
              <w:bottom w:val="nil"/>
              <w:right w:val="nil"/>
            </w:tcBorders>
          </w:tcPr>
          <w:p w14:paraId="401ED61D"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Medium CSR</w:t>
            </w:r>
          </w:p>
        </w:tc>
      </w:tr>
      <w:tr w:rsidR="002F1BEE" w14:paraId="351B88FC" w14:textId="77777777">
        <w:trPr>
          <w:jc w:val="center"/>
        </w:trPr>
        <w:tc>
          <w:tcPr>
            <w:tcW w:w="1037" w:type="dxa"/>
            <w:tcBorders>
              <w:top w:val="nil"/>
              <w:left w:val="nil"/>
              <w:bottom w:val="single" w:sz="4" w:space="0" w:color="000000"/>
              <w:right w:val="nil"/>
            </w:tcBorders>
          </w:tcPr>
          <w:p w14:paraId="436C03FC" w14:textId="77777777" w:rsidR="002F1BEE" w:rsidRDefault="005A24ED">
            <w:pPr>
              <w:keepNext/>
              <w:jc w:val="center"/>
              <w:rPr>
                <w:rFonts w:ascii="Arial" w:eastAsia="Arial" w:hAnsi="Arial" w:cs="Arial"/>
                <w:b/>
                <w:bCs/>
                <w:sz w:val="18"/>
                <w:szCs w:val="18"/>
              </w:rPr>
            </w:pPr>
            <w:r>
              <w:rPr>
                <w:rFonts w:ascii="Arial" w:eastAsia="Arial" w:hAnsi="Arial" w:cs="Arial"/>
                <w:b/>
                <w:bCs/>
                <w:sz w:val="18"/>
                <w:szCs w:val="18"/>
              </w:rPr>
              <w:t>UCID</w:t>
            </w:r>
          </w:p>
        </w:tc>
        <w:tc>
          <w:tcPr>
            <w:tcW w:w="840" w:type="dxa"/>
            <w:tcBorders>
              <w:top w:val="nil"/>
              <w:left w:val="nil"/>
              <w:bottom w:val="single" w:sz="4" w:space="0" w:color="000000"/>
              <w:right w:val="nil"/>
            </w:tcBorders>
          </w:tcPr>
          <w:p w14:paraId="21E1A64D" w14:textId="77777777" w:rsidR="002F1BEE" w:rsidRDefault="005A24ED">
            <w:pPr>
              <w:keepNext/>
              <w:jc w:val="center"/>
              <w:rPr>
                <w:rFonts w:ascii="Arial" w:eastAsia="Arial" w:hAnsi="Arial" w:cs="Arial"/>
                <w:sz w:val="18"/>
                <w:szCs w:val="18"/>
              </w:rPr>
            </w:pPr>
            <w:r>
              <w:rPr>
                <w:rFonts w:ascii="Arial" w:eastAsia="Arial" w:hAnsi="Arial" w:cs="Arial"/>
                <w:sz w:val="18"/>
                <w:szCs w:val="18"/>
              </w:rPr>
              <w:t>41,03%</w:t>
            </w:r>
          </w:p>
        </w:tc>
        <w:tc>
          <w:tcPr>
            <w:tcW w:w="832" w:type="dxa"/>
            <w:tcBorders>
              <w:top w:val="nil"/>
              <w:left w:val="nil"/>
              <w:bottom w:val="single" w:sz="4" w:space="0" w:color="000000"/>
              <w:right w:val="nil"/>
            </w:tcBorders>
          </w:tcPr>
          <w:p w14:paraId="68B5A3F3" w14:textId="77777777" w:rsidR="002F1BEE" w:rsidRDefault="005A24ED">
            <w:pPr>
              <w:keepNext/>
              <w:jc w:val="center"/>
              <w:rPr>
                <w:rFonts w:ascii="Arial" w:eastAsia="Arial" w:hAnsi="Arial" w:cs="Arial"/>
                <w:sz w:val="18"/>
                <w:szCs w:val="18"/>
              </w:rPr>
            </w:pPr>
            <w:r>
              <w:rPr>
                <w:rFonts w:ascii="Arial" w:eastAsia="Arial" w:hAnsi="Arial" w:cs="Arial"/>
                <w:sz w:val="18"/>
                <w:szCs w:val="18"/>
              </w:rPr>
              <w:t>44,44%</w:t>
            </w:r>
          </w:p>
        </w:tc>
        <w:tc>
          <w:tcPr>
            <w:tcW w:w="815" w:type="dxa"/>
            <w:tcBorders>
              <w:top w:val="nil"/>
              <w:left w:val="nil"/>
              <w:bottom w:val="single" w:sz="4" w:space="0" w:color="000000"/>
              <w:right w:val="nil"/>
            </w:tcBorders>
          </w:tcPr>
          <w:p w14:paraId="1B5F822A" w14:textId="77777777" w:rsidR="002F1BEE" w:rsidRDefault="005A24ED">
            <w:pPr>
              <w:keepNext/>
              <w:jc w:val="center"/>
              <w:rPr>
                <w:rFonts w:ascii="Arial" w:eastAsia="Arial" w:hAnsi="Arial" w:cs="Arial"/>
                <w:sz w:val="18"/>
                <w:szCs w:val="18"/>
              </w:rPr>
            </w:pPr>
            <w:r>
              <w:rPr>
                <w:rFonts w:ascii="Arial" w:eastAsia="Arial" w:hAnsi="Arial" w:cs="Arial"/>
                <w:sz w:val="18"/>
                <w:szCs w:val="18"/>
              </w:rPr>
              <w:t>54,71%</w:t>
            </w:r>
          </w:p>
        </w:tc>
        <w:tc>
          <w:tcPr>
            <w:tcW w:w="815" w:type="dxa"/>
            <w:tcBorders>
              <w:top w:val="nil"/>
              <w:left w:val="nil"/>
              <w:bottom w:val="single" w:sz="4" w:space="0" w:color="000000"/>
              <w:right w:val="nil"/>
            </w:tcBorders>
          </w:tcPr>
          <w:p w14:paraId="3A11336A" w14:textId="77777777" w:rsidR="002F1BEE" w:rsidRDefault="005A24ED">
            <w:pPr>
              <w:keepNext/>
              <w:jc w:val="center"/>
              <w:rPr>
                <w:rFonts w:ascii="Arial" w:eastAsia="Arial" w:hAnsi="Arial" w:cs="Arial"/>
                <w:sz w:val="18"/>
                <w:szCs w:val="18"/>
              </w:rPr>
            </w:pPr>
            <w:r>
              <w:rPr>
                <w:rFonts w:ascii="Arial" w:eastAsia="Arial" w:hAnsi="Arial" w:cs="Arial"/>
                <w:sz w:val="18"/>
                <w:szCs w:val="18"/>
              </w:rPr>
              <w:t>68,39%</w:t>
            </w:r>
          </w:p>
        </w:tc>
        <w:tc>
          <w:tcPr>
            <w:tcW w:w="815" w:type="dxa"/>
            <w:tcBorders>
              <w:top w:val="nil"/>
              <w:left w:val="nil"/>
              <w:bottom w:val="single" w:sz="4" w:space="0" w:color="000000"/>
              <w:right w:val="nil"/>
            </w:tcBorders>
          </w:tcPr>
          <w:p w14:paraId="40EE3F27" w14:textId="77777777" w:rsidR="002F1BEE" w:rsidRDefault="005A24ED">
            <w:pPr>
              <w:keepNext/>
              <w:jc w:val="center"/>
              <w:rPr>
                <w:rFonts w:ascii="Arial" w:eastAsia="Arial" w:hAnsi="Arial" w:cs="Arial"/>
                <w:sz w:val="18"/>
                <w:szCs w:val="18"/>
              </w:rPr>
            </w:pPr>
            <w:r>
              <w:rPr>
                <w:rFonts w:ascii="Arial" w:eastAsia="Arial" w:hAnsi="Arial" w:cs="Arial"/>
                <w:sz w:val="18"/>
                <w:szCs w:val="18"/>
              </w:rPr>
              <w:t>74,37%</w:t>
            </w:r>
          </w:p>
        </w:tc>
        <w:tc>
          <w:tcPr>
            <w:tcW w:w="931" w:type="dxa"/>
            <w:tcBorders>
              <w:top w:val="nil"/>
              <w:left w:val="nil"/>
              <w:bottom w:val="single" w:sz="4" w:space="0" w:color="000000"/>
              <w:right w:val="nil"/>
            </w:tcBorders>
          </w:tcPr>
          <w:p w14:paraId="0EF98640" w14:textId="77777777" w:rsidR="002F1BEE" w:rsidRDefault="005A24ED">
            <w:pPr>
              <w:keepNext/>
              <w:jc w:val="center"/>
              <w:rPr>
                <w:rFonts w:ascii="Arial" w:eastAsia="Arial" w:hAnsi="Arial" w:cs="Arial"/>
                <w:sz w:val="18"/>
                <w:szCs w:val="18"/>
              </w:rPr>
            </w:pPr>
            <w:r>
              <w:rPr>
                <w:rFonts w:ascii="Arial" w:eastAsia="Arial" w:hAnsi="Arial" w:cs="Arial"/>
                <w:sz w:val="18"/>
                <w:szCs w:val="18"/>
              </w:rPr>
              <w:t>56,58%</w:t>
            </w:r>
          </w:p>
        </w:tc>
        <w:tc>
          <w:tcPr>
            <w:tcW w:w="1413" w:type="dxa"/>
            <w:tcBorders>
              <w:top w:val="nil"/>
              <w:left w:val="nil"/>
              <w:bottom w:val="single" w:sz="4" w:space="0" w:color="000000"/>
              <w:right w:val="nil"/>
            </w:tcBorders>
          </w:tcPr>
          <w:p w14:paraId="159FF8E1" w14:textId="77777777" w:rsidR="002F1BEE" w:rsidRDefault="005A24ED">
            <w:pPr>
              <w:keepNext/>
              <w:jc w:val="center"/>
              <w:rPr>
                <w:rFonts w:ascii="Arial" w:eastAsia="Arial" w:hAnsi="Arial" w:cs="Arial"/>
                <w:sz w:val="18"/>
                <w:szCs w:val="18"/>
              </w:rPr>
            </w:pPr>
            <w:r>
              <w:rPr>
                <w:rFonts w:ascii="Arial" w:eastAsia="Arial" w:hAnsi="Arial" w:cs="Arial"/>
                <w:sz w:val="18"/>
                <w:szCs w:val="18"/>
              </w:rPr>
              <w:t>Medium CSR</w:t>
            </w:r>
          </w:p>
        </w:tc>
      </w:tr>
    </w:tbl>
    <w:p w14:paraId="7C62FCB1" w14:textId="77777777" w:rsidR="002F1BEE" w:rsidRDefault="002F1BEE">
      <w:pPr>
        <w:keepNext/>
        <w:pBdr>
          <w:top w:val="nil"/>
          <w:left w:val="nil"/>
          <w:bottom w:val="nil"/>
          <w:right w:val="nil"/>
          <w:between w:val="nil"/>
        </w:pBdr>
        <w:jc w:val="both"/>
        <w:rPr>
          <w:rFonts w:ascii="Arial" w:eastAsia="Arial" w:hAnsi="Arial" w:cs="Arial"/>
          <w:b/>
          <w:bCs/>
          <w:color w:val="000000"/>
          <w:sz w:val="22"/>
          <w:szCs w:val="22"/>
        </w:rPr>
      </w:pPr>
    </w:p>
    <w:p w14:paraId="7C8507A3"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Table 2 shows that the sample companies' level of CSR sharing fell into three groups from 2021 to 2025: Low CSR (&lt;40%), Moderate CSR (40%–60%), and Good CSR (&gt;60%). Results of the study show that most businesses have moderately good CSR, with only UNVR being in the good CSR group. During the research time, no companies were consistently in the Low CSR group.</w:t>
      </w:r>
    </w:p>
    <w:p w14:paraId="1682E371" w14:textId="77777777" w:rsidR="002F1BEE" w:rsidRDefault="002F1BEE">
      <w:pPr>
        <w:pBdr>
          <w:top w:val="nil"/>
          <w:left w:val="nil"/>
          <w:bottom w:val="nil"/>
          <w:right w:val="nil"/>
          <w:between w:val="nil"/>
        </w:pBdr>
        <w:jc w:val="both"/>
        <w:rPr>
          <w:rFonts w:ascii="Arial" w:eastAsia="Arial" w:hAnsi="Arial" w:cs="Arial"/>
          <w:color w:val="000000"/>
        </w:rPr>
      </w:pPr>
    </w:p>
    <w:p w14:paraId="365C16D4"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2.1.2. Profitability (</w:t>
      </w:r>
      <w:proofErr w:type="spellStart"/>
      <w:r>
        <w:rPr>
          <w:rFonts w:ascii="Arial" w:eastAsia="Arial" w:hAnsi="Arial" w:cs="Arial"/>
          <w:b/>
          <w:bCs/>
          <w:color w:val="000000"/>
          <w:u w:val="single"/>
        </w:rPr>
        <w:t>RoA</w:t>
      </w:r>
      <w:proofErr w:type="spellEnd"/>
      <w:r>
        <w:rPr>
          <w:rFonts w:ascii="Arial" w:eastAsia="Arial" w:hAnsi="Arial" w:cs="Arial"/>
          <w:b/>
          <w:bCs/>
          <w:color w:val="000000"/>
          <w:u w:val="single"/>
        </w:rPr>
        <w:t>)</w:t>
      </w:r>
    </w:p>
    <w:p w14:paraId="05E4A660" w14:textId="77777777" w:rsidR="002F1BEE" w:rsidRDefault="002F1BEE">
      <w:pPr>
        <w:pBdr>
          <w:top w:val="nil"/>
          <w:left w:val="nil"/>
          <w:bottom w:val="nil"/>
          <w:right w:val="nil"/>
          <w:between w:val="nil"/>
        </w:pBdr>
        <w:jc w:val="both"/>
        <w:rPr>
          <w:rFonts w:ascii="Arial" w:eastAsia="Arial" w:hAnsi="Arial" w:cs="Arial"/>
          <w:color w:val="000000"/>
        </w:rPr>
      </w:pPr>
    </w:p>
    <w:p w14:paraId="2FCF5ECF" w14:textId="77777777" w:rsidR="002F1BEE" w:rsidRDefault="005A24ED">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Table 3. Companies </w:t>
      </w:r>
      <w:proofErr w:type="spellStart"/>
      <w:r>
        <w:rPr>
          <w:rFonts w:ascii="Arial" w:eastAsia="Arial" w:hAnsi="Arial" w:cs="Arial"/>
          <w:b/>
          <w:bCs/>
          <w:color w:val="000000"/>
        </w:rPr>
        <w:t>RoA</w:t>
      </w:r>
      <w:proofErr w:type="spellEnd"/>
    </w:p>
    <w:tbl>
      <w:tblPr>
        <w:tblStyle w:val="a4"/>
        <w:tblW w:w="8198" w:type="dxa"/>
        <w:jc w:val="center"/>
        <w:tblBorders>
          <w:top w:val="nil"/>
          <w:left w:val="nil"/>
          <w:bottom w:val="nil"/>
          <w:right w:val="nil"/>
          <w:insideH w:val="nil"/>
          <w:insideV w:val="nil"/>
        </w:tblBorders>
        <w:tblLayout w:type="fixed"/>
        <w:tblLook w:val="0400" w:firstRow="0" w:lastRow="0" w:firstColumn="0" w:lastColumn="0" w:noHBand="0" w:noVBand="1"/>
      </w:tblPr>
      <w:tblGrid>
        <w:gridCol w:w="1347"/>
        <w:gridCol w:w="2006"/>
        <w:gridCol w:w="2126"/>
        <w:gridCol w:w="1274"/>
        <w:gridCol w:w="1445"/>
      </w:tblGrid>
      <w:tr w:rsidR="002F1BEE" w14:paraId="1F5F699B" w14:textId="77777777">
        <w:trPr>
          <w:jc w:val="center"/>
        </w:trPr>
        <w:tc>
          <w:tcPr>
            <w:tcW w:w="1347" w:type="dxa"/>
            <w:tcBorders>
              <w:top w:val="single" w:sz="4" w:space="0" w:color="000000"/>
              <w:bottom w:val="single" w:sz="4" w:space="0" w:color="000000"/>
            </w:tcBorders>
          </w:tcPr>
          <w:p w14:paraId="4174EBF0" w14:textId="77777777" w:rsidR="002F1BEE" w:rsidRDefault="005A24ED">
            <w:pPr>
              <w:jc w:val="center"/>
              <w:rPr>
                <w:rFonts w:ascii="Arial" w:eastAsia="Arial" w:hAnsi="Arial" w:cs="Arial"/>
                <w:b/>
                <w:bCs/>
                <w:color w:val="000000"/>
                <w:sz w:val="18"/>
                <w:szCs w:val="18"/>
              </w:rPr>
            </w:pPr>
            <w:r>
              <w:rPr>
                <w:rFonts w:ascii="Arial" w:eastAsia="Arial" w:hAnsi="Arial" w:cs="Arial"/>
                <w:b/>
                <w:bCs/>
                <w:color w:val="000000"/>
                <w:sz w:val="18"/>
                <w:szCs w:val="18"/>
              </w:rPr>
              <w:t>Company Code</w:t>
            </w:r>
          </w:p>
        </w:tc>
        <w:tc>
          <w:tcPr>
            <w:tcW w:w="2006" w:type="dxa"/>
            <w:tcBorders>
              <w:top w:val="single" w:sz="4" w:space="0" w:color="000000"/>
              <w:bottom w:val="single" w:sz="4" w:space="0" w:color="000000"/>
            </w:tcBorders>
          </w:tcPr>
          <w:p w14:paraId="3D8C2DA1" w14:textId="77777777" w:rsidR="002F1BEE" w:rsidRDefault="005A24ED">
            <w:pPr>
              <w:jc w:val="center"/>
              <w:rPr>
                <w:rFonts w:ascii="Arial" w:eastAsia="Arial" w:hAnsi="Arial" w:cs="Arial"/>
                <w:b/>
                <w:bCs/>
                <w:color w:val="000000"/>
                <w:sz w:val="18"/>
                <w:szCs w:val="18"/>
              </w:rPr>
            </w:pPr>
            <w:r>
              <w:rPr>
                <w:rFonts w:ascii="Arial" w:eastAsia="Arial" w:hAnsi="Arial" w:cs="Arial"/>
                <w:b/>
                <w:bCs/>
                <w:color w:val="000000"/>
                <w:sz w:val="18"/>
                <w:szCs w:val="18"/>
              </w:rPr>
              <w:t>Earning After Tax (Rp)</w:t>
            </w:r>
          </w:p>
        </w:tc>
        <w:tc>
          <w:tcPr>
            <w:tcW w:w="2126" w:type="dxa"/>
            <w:tcBorders>
              <w:top w:val="single" w:sz="4" w:space="0" w:color="000000"/>
              <w:bottom w:val="single" w:sz="4" w:space="0" w:color="000000"/>
            </w:tcBorders>
          </w:tcPr>
          <w:p w14:paraId="45BF525A" w14:textId="77777777" w:rsidR="002F1BEE" w:rsidRDefault="005A24ED">
            <w:pPr>
              <w:jc w:val="center"/>
              <w:rPr>
                <w:rFonts w:ascii="Arial" w:eastAsia="Arial" w:hAnsi="Arial" w:cs="Arial"/>
                <w:b/>
                <w:bCs/>
                <w:color w:val="000000"/>
                <w:sz w:val="18"/>
                <w:szCs w:val="18"/>
              </w:rPr>
            </w:pPr>
            <w:r>
              <w:rPr>
                <w:rFonts w:ascii="Arial" w:eastAsia="Arial" w:hAnsi="Arial" w:cs="Arial"/>
                <w:b/>
                <w:bCs/>
                <w:color w:val="000000"/>
                <w:sz w:val="18"/>
                <w:szCs w:val="18"/>
              </w:rPr>
              <w:t>Average Total Assets (Rp)</w:t>
            </w:r>
          </w:p>
        </w:tc>
        <w:tc>
          <w:tcPr>
            <w:tcW w:w="1274" w:type="dxa"/>
            <w:tcBorders>
              <w:top w:val="single" w:sz="4" w:space="0" w:color="000000"/>
              <w:bottom w:val="single" w:sz="4" w:space="0" w:color="000000"/>
            </w:tcBorders>
          </w:tcPr>
          <w:p w14:paraId="57C730DE" w14:textId="77777777" w:rsidR="002F1BEE" w:rsidRDefault="005A24ED">
            <w:pPr>
              <w:jc w:val="center"/>
              <w:rPr>
                <w:rFonts w:ascii="Arial" w:eastAsia="Arial" w:hAnsi="Arial" w:cs="Arial"/>
                <w:b/>
                <w:bCs/>
                <w:color w:val="000000"/>
                <w:sz w:val="18"/>
                <w:szCs w:val="18"/>
              </w:rPr>
            </w:pPr>
            <w:r>
              <w:rPr>
                <w:rFonts w:ascii="Arial" w:eastAsia="Arial" w:hAnsi="Arial" w:cs="Arial"/>
                <w:b/>
                <w:bCs/>
                <w:color w:val="000000"/>
                <w:sz w:val="18"/>
                <w:szCs w:val="18"/>
              </w:rPr>
              <w:t>Average</w:t>
            </w:r>
          </w:p>
        </w:tc>
        <w:tc>
          <w:tcPr>
            <w:tcW w:w="1445" w:type="dxa"/>
            <w:tcBorders>
              <w:top w:val="single" w:sz="4" w:space="0" w:color="000000"/>
              <w:bottom w:val="single" w:sz="4" w:space="0" w:color="000000"/>
            </w:tcBorders>
          </w:tcPr>
          <w:p w14:paraId="0FAA9D40" w14:textId="77777777" w:rsidR="002F1BEE" w:rsidRDefault="005A24ED">
            <w:pPr>
              <w:jc w:val="center"/>
              <w:rPr>
                <w:rFonts w:ascii="Arial" w:eastAsia="Arial" w:hAnsi="Arial" w:cs="Arial"/>
                <w:b/>
                <w:bCs/>
                <w:color w:val="000000"/>
                <w:sz w:val="18"/>
                <w:szCs w:val="18"/>
              </w:rPr>
            </w:pPr>
            <w:r>
              <w:rPr>
                <w:rFonts w:ascii="Arial" w:eastAsia="Arial" w:hAnsi="Arial" w:cs="Arial"/>
                <w:b/>
                <w:bCs/>
                <w:color w:val="000000"/>
                <w:sz w:val="18"/>
                <w:szCs w:val="18"/>
              </w:rPr>
              <w:t>Description</w:t>
            </w:r>
          </w:p>
        </w:tc>
      </w:tr>
      <w:tr w:rsidR="002F1BEE" w14:paraId="4B7682A9" w14:textId="77777777">
        <w:trPr>
          <w:jc w:val="center"/>
        </w:trPr>
        <w:tc>
          <w:tcPr>
            <w:tcW w:w="1347" w:type="dxa"/>
            <w:tcBorders>
              <w:top w:val="single" w:sz="4" w:space="0" w:color="000000"/>
            </w:tcBorders>
          </w:tcPr>
          <w:p w14:paraId="2A63327B" w14:textId="77777777" w:rsidR="002F1BEE" w:rsidRDefault="005A24ED">
            <w:pPr>
              <w:jc w:val="center"/>
              <w:rPr>
                <w:rFonts w:ascii="Arial" w:eastAsia="Arial" w:hAnsi="Arial" w:cs="Arial"/>
                <w:color w:val="000000"/>
                <w:sz w:val="18"/>
                <w:szCs w:val="18"/>
              </w:rPr>
            </w:pPr>
            <w:r>
              <w:rPr>
                <w:rFonts w:ascii="Arial" w:eastAsia="Arial" w:hAnsi="Arial" w:cs="Arial"/>
                <w:b/>
                <w:bCs/>
                <w:sz w:val="18"/>
                <w:szCs w:val="18"/>
              </w:rPr>
              <w:t>TCID</w:t>
            </w:r>
          </w:p>
        </w:tc>
        <w:tc>
          <w:tcPr>
            <w:tcW w:w="2006" w:type="dxa"/>
            <w:tcBorders>
              <w:top w:val="single" w:sz="4" w:space="0" w:color="000000"/>
            </w:tcBorders>
          </w:tcPr>
          <w:p w14:paraId="3A9463FD"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71.589.201.785</w:t>
            </w:r>
          </w:p>
        </w:tc>
        <w:tc>
          <w:tcPr>
            <w:tcW w:w="2126" w:type="dxa"/>
            <w:tcBorders>
              <w:top w:val="single" w:sz="4" w:space="0" w:color="000000"/>
            </w:tcBorders>
          </w:tcPr>
          <w:p w14:paraId="69CCA970"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2.348.173.348.154</w:t>
            </w:r>
          </w:p>
        </w:tc>
        <w:tc>
          <w:tcPr>
            <w:tcW w:w="1274" w:type="dxa"/>
            <w:tcBorders>
              <w:top w:val="single" w:sz="4" w:space="0" w:color="000000"/>
            </w:tcBorders>
          </w:tcPr>
          <w:p w14:paraId="6B8D274B"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3,04%</w:t>
            </w:r>
          </w:p>
        </w:tc>
        <w:tc>
          <w:tcPr>
            <w:tcW w:w="1445" w:type="dxa"/>
            <w:tcBorders>
              <w:top w:val="single" w:sz="4" w:space="0" w:color="000000"/>
            </w:tcBorders>
          </w:tcPr>
          <w:p w14:paraId="212960E2" w14:textId="77777777" w:rsidR="002F1BEE" w:rsidRDefault="005A24ED">
            <w:pPr>
              <w:widowControl w:val="0"/>
              <w:pBdr>
                <w:top w:val="nil"/>
                <w:left w:val="nil"/>
                <w:bottom w:val="nil"/>
                <w:right w:val="nil"/>
                <w:between w:val="nil"/>
              </w:pBdr>
              <w:spacing w:line="275" w:lineRule="auto"/>
              <w:jc w:val="center"/>
              <w:rPr>
                <w:rFonts w:ascii="Arial" w:eastAsia="Arial" w:hAnsi="Arial" w:cs="Arial"/>
                <w:color w:val="000000"/>
                <w:sz w:val="18"/>
                <w:szCs w:val="18"/>
              </w:rPr>
            </w:pPr>
            <w:r>
              <w:rPr>
                <w:rFonts w:ascii="Arial" w:eastAsia="Arial" w:hAnsi="Arial" w:cs="Arial"/>
                <w:color w:val="000000"/>
                <w:sz w:val="18"/>
                <w:szCs w:val="18"/>
              </w:rPr>
              <w:t xml:space="preserve">Medium ROA </w:t>
            </w:r>
          </w:p>
        </w:tc>
      </w:tr>
      <w:tr w:rsidR="002F1BEE" w14:paraId="570B82EA" w14:textId="77777777">
        <w:trPr>
          <w:jc w:val="center"/>
        </w:trPr>
        <w:tc>
          <w:tcPr>
            <w:tcW w:w="1347" w:type="dxa"/>
          </w:tcPr>
          <w:p w14:paraId="1C7F6EF4" w14:textId="77777777" w:rsidR="002F1BEE" w:rsidRDefault="005A24ED">
            <w:pPr>
              <w:jc w:val="center"/>
              <w:rPr>
                <w:rFonts w:ascii="Arial" w:eastAsia="Arial" w:hAnsi="Arial" w:cs="Arial"/>
                <w:color w:val="000000"/>
                <w:sz w:val="18"/>
                <w:szCs w:val="18"/>
              </w:rPr>
            </w:pPr>
            <w:r>
              <w:rPr>
                <w:rFonts w:ascii="Arial" w:eastAsia="Arial" w:hAnsi="Arial" w:cs="Arial"/>
                <w:b/>
                <w:bCs/>
                <w:sz w:val="18"/>
                <w:szCs w:val="18"/>
              </w:rPr>
              <w:t>FLMC</w:t>
            </w:r>
          </w:p>
        </w:tc>
        <w:tc>
          <w:tcPr>
            <w:tcW w:w="2006" w:type="dxa"/>
          </w:tcPr>
          <w:p w14:paraId="5FD04D26"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26.962.106.245</w:t>
            </w:r>
          </w:p>
        </w:tc>
        <w:tc>
          <w:tcPr>
            <w:tcW w:w="2126" w:type="dxa"/>
          </w:tcPr>
          <w:p w14:paraId="552C81B8"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151.797.089.923</w:t>
            </w:r>
          </w:p>
        </w:tc>
        <w:tc>
          <w:tcPr>
            <w:tcW w:w="1274" w:type="dxa"/>
          </w:tcPr>
          <w:p w14:paraId="277964A9"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17,76%</w:t>
            </w:r>
          </w:p>
        </w:tc>
        <w:tc>
          <w:tcPr>
            <w:tcW w:w="1445" w:type="dxa"/>
          </w:tcPr>
          <w:p w14:paraId="771761B0" w14:textId="77777777" w:rsidR="002F1BEE" w:rsidRDefault="005A24ED">
            <w:pPr>
              <w:widowControl w:val="0"/>
              <w:pBdr>
                <w:top w:val="nil"/>
                <w:left w:val="nil"/>
                <w:bottom w:val="nil"/>
                <w:right w:val="nil"/>
                <w:between w:val="nil"/>
              </w:pBdr>
              <w:spacing w:line="275" w:lineRule="auto"/>
              <w:jc w:val="center"/>
              <w:rPr>
                <w:rFonts w:ascii="Arial" w:eastAsia="Arial" w:hAnsi="Arial" w:cs="Arial"/>
                <w:color w:val="000000"/>
                <w:sz w:val="18"/>
                <w:szCs w:val="18"/>
              </w:rPr>
            </w:pPr>
            <w:r>
              <w:rPr>
                <w:rFonts w:ascii="Arial" w:eastAsia="Arial" w:hAnsi="Arial" w:cs="Arial"/>
                <w:color w:val="000000"/>
                <w:sz w:val="18"/>
                <w:szCs w:val="18"/>
              </w:rPr>
              <w:t>Good ROA</w:t>
            </w:r>
          </w:p>
        </w:tc>
      </w:tr>
      <w:tr w:rsidR="002F1BEE" w14:paraId="5FA4977F" w14:textId="77777777">
        <w:trPr>
          <w:jc w:val="center"/>
        </w:trPr>
        <w:tc>
          <w:tcPr>
            <w:tcW w:w="1347" w:type="dxa"/>
          </w:tcPr>
          <w:p w14:paraId="6FAA2D16" w14:textId="77777777" w:rsidR="002F1BEE" w:rsidRDefault="005A24ED">
            <w:pPr>
              <w:jc w:val="center"/>
              <w:rPr>
                <w:rFonts w:ascii="Arial" w:eastAsia="Arial" w:hAnsi="Arial" w:cs="Arial"/>
                <w:color w:val="000000"/>
                <w:sz w:val="18"/>
                <w:szCs w:val="18"/>
              </w:rPr>
            </w:pPr>
            <w:r>
              <w:rPr>
                <w:rFonts w:ascii="Arial" w:eastAsia="Arial" w:hAnsi="Arial" w:cs="Arial"/>
                <w:b/>
                <w:bCs/>
                <w:sz w:val="18"/>
                <w:szCs w:val="18"/>
              </w:rPr>
              <w:t>UNVR</w:t>
            </w:r>
          </w:p>
        </w:tc>
        <w:tc>
          <w:tcPr>
            <w:tcW w:w="2006" w:type="dxa"/>
          </w:tcPr>
          <w:p w14:paraId="6E909C47"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5.291.216.000.000</w:t>
            </w:r>
          </w:p>
        </w:tc>
        <w:tc>
          <w:tcPr>
            <w:tcW w:w="2126" w:type="dxa"/>
          </w:tcPr>
          <w:p w14:paraId="3CC8303A"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18.526.711.300.000</w:t>
            </w:r>
          </w:p>
        </w:tc>
        <w:tc>
          <w:tcPr>
            <w:tcW w:w="1274" w:type="dxa"/>
          </w:tcPr>
          <w:p w14:paraId="66EEF237"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28,55%</w:t>
            </w:r>
          </w:p>
        </w:tc>
        <w:tc>
          <w:tcPr>
            <w:tcW w:w="1445" w:type="dxa"/>
          </w:tcPr>
          <w:p w14:paraId="77CF1D51" w14:textId="77777777" w:rsidR="002F1BEE" w:rsidRDefault="005A24ED">
            <w:pPr>
              <w:widowControl w:val="0"/>
              <w:pBdr>
                <w:top w:val="nil"/>
                <w:left w:val="nil"/>
                <w:bottom w:val="nil"/>
                <w:right w:val="nil"/>
                <w:between w:val="nil"/>
              </w:pBdr>
              <w:spacing w:line="275" w:lineRule="auto"/>
              <w:jc w:val="center"/>
              <w:rPr>
                <w:rFonts w:ascii="Arial" w:eastAsia="Arial" w:hAnsi="Arial" w:cs="Arial"/>
                <w:color w:val="000000"/>
                <w:sz w:val="18"/>
                <w:szCs w:val="18"/>
              </w:rPr>
            </w:pPr>
            <w:r>
              <w:rPr>
                <w:rFonts w:ascii="Arial" w:eastAsia="Arial" w:hAnsi="Arial" w:cs="Arial"/>
                <w:color w:val="000000"/>
                <w:sz w:val="18"/>
                <w:szCs w:val="18"/>
              </w:rPr>
              <w:t>Good ROA</w:t>
            </w:r>
          </w:p>
        </w:tc>
      </w:tr>
      <w:tr w:rsidR="002F1BEE" w14:paraId="6CA39514" w14:textId="77777777">
        <w:trPr>
          <w:jc w:val="center"/>
        </w:trPr>
        <w:tc>
          <w:tcPr>
            <w:tcW w:w="1347" w:type="dxa"/>
          </w:tcPr>
          <w:p w14:paraId="4854D2B4" w14:textId="77777777" w:rsidR="002F1BEE" w:rsidRDefault="005A24ED">
            <w:pPr>
              <w:jc w:val="center"/>
              <w:rPr>
                <w:rFonts w:ascii="Arial" w:eastAsia="Arial" w:hAnsi="Arial" w:cs="Arial"/>
                <w:color w:val="000000"/>
                <w:sz w:val="18"/>
                <w:szCs w:val="18"/>
              </w:rPr>
            </w:pPr>
            <w:r>
              <w:rPr>
                <w:rFonts w:ascii="Arial" w:eastAsia="Arial" w:hAnsi="Arial" w:cs="Arial"/>
                <w:b/>
                <w:bCs/>
                <w:sz w:val="18"/>
                <w:szCs w:val="18"/>
              </w:rPr>
              <w:t>MRAT</w:t>
            </w:r>
          </w:p>
        </w:tc>
        <w:tc>
          <w:tcPr>
            <w:tcW w:w="2006" w:type="dxa"/>
          </w:tcPr>
          <w:p w14:paraId="79242EFC"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18.833.718.768</w:t>
            </w:r>
          </w:p>
        </w:tc>
        <w:tc>
          <w:tcPr>
            <w:tcW w:w="2126" w:type="dxa"/>
          </w:tcPr>
          <w:p w14:paraId="7C2B7374"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657.096.111.859</w:t>
            </w:r>
          </w:p>
        </w:tc>
        <w:tc>
          <w:tcPr>
            <w:tcW w:w="1274" w:type="dxa"/>
          </w:tcPr>
          <w:p w14:paraId="29F9175D"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2,86%</w:t>
            </w:r>
          </w:p>
        </w:tc>
        <w:tc>
          <w:tcPr>
            <w:tcW w:w="1445" w:type="dxa"/>
          </w:tcPr>
          <w:p w14:paraId="540205C1"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 xml:space="preserve">Medium ROA </w:t>
            </w:r>
          </w:p>
        </w:tc>
      </w:tr>
      <w:tr w:rsidR="002F1BEE" w14:paraId="10D11996" w14:textId="77777777">
        <w:trPr>
          <w:jc w:val="center"/>
        </w:trPr>
        <w:tc>
          <w:tcPr>
            <w:tcW w:w="1347" w:type="dxa"/>
          </w:tcPr>
          <w:p w14:paraId="5A9B038B" w14:textId="77777777" w:rsidR="002F1BEE" w:rsidRDefault="005A24ED">
            <w:pPr>
              <w:jc w:val="center"/>
              <w:rPr>
                <w:rFonts w:ascii="Arial" w:eastAsia="Arial" w:hAnsi="Arial" w:cs="Arial"/>
                <w:color w:val="000000"/>
                <w:sz w:val="18"/>
                <w:szCs w:val="18"/>
              </w:rPr>
            </w:pPr>
            <w:r>
              <w:rPr>
                <w:rFonts w:ascii="Arial" w:eastAsia="Arial" w:hAnsi="Arial" w:cs="Arial"/>
                <w:b/>
                <w:bCs/>
                <w:sz w:val="18"/>
                <w:szCs w:val="18"/>
              </w:rPr>
              <w:t>KINO</w:t>
            </w:r>
          </w:p>
        </w:tc>
        <w:tc>
          <w:tcPr>
            <w:tcW w:w="2006" w:type="dxa"/>
          </w:tcPr>
          <w:p w14:paraId="07E3DF44"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266.152.773.789</w:t>
            </w:r>
          </w:p>
        </w:tc>
        <w:tc>
          <w:tcPr>
            <w:tcW w:w="2126" w:type="dxa"/>
          </w:tcPr>
          <w:p w14:paraId="4BF8D92B"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4.885.259.211.741</w:t>
            </w:r>
          </w:p>
        </w:tc>
        <w:tc>
          <w:tcPr>
            <w:tcW w:w="1274" w:type="dxa"/>
          </w:tcPr>
          <w:p w14:paraId="24B01992"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5,44%</w:t>
            </w:r>
          </w:p>
        </w:tc>
        <w:tc>
          <w:tcPr>
            <w:tcW w:w="1445" w:type="dxa"/>
          </w:tcPr>
          <w:p w14:paraId="12D1AC71" w14:textId="77777777" w:rsidR="002F1BEE" w:rsidRDefault="005A24ED">
            <w:pPr>
              <w:widowControl w:val="0"/>
              <w:pBdr>
                <w:top w:val="nil"/>
                <w:left w:val="nil"/>
                <w:bottom w:val="nil"/>
                <w:right w:val="nil"/>
                <w:between w:val="nil"/>
              </w:pBdr>
              <w:spacing w:line="275" w:lineRule="auto"/>
              <w:jc w:val="center"/>
              <w:rPr>
                <w:rFonts w:ascii="Arial" w:eastAsia="Arial" w:hAnsi="Arial" w:cs="Arial"/>
                <w:color w:val="000000"/>
                <w:sz w:val="18"/>
                <w:szCs w:val="18"/>
              </w:rPr>
            </w:pPr>
            <w:r>
              <w:rPr>
                <w:rFonts w:ascii="Arial" w:eastAsia="Arial" w:hAnsi="Arial" w:cs="Arial"/>
                <w:color w:val="000000"/>
                <w:sz w:val="18"/>
                <w:szCs w:val="18"/>
              </w:rPr>
              <w:t>Good ROA</w:t>
            </w:r>
          </w:p>
        </w:tc>
      </w:tr>
      <w:tr w:rsidR="002F1BEE" w14:paraId="6DD6293C" w14:textId="77777777">
        <w:trPr>
          <w:jc w:val="center"/>
        </w:trPr>
        <w:tc>
          <w:tcPr>
            <w:tcW w:w="1347" w:type="dxa"/>
            <w:tcBorders>
              <w:bottom w:val="single" w:sz="4" w:space="0" w:color="000000"/>
            </w:tcBorders>
          </w:tcPr>
          <w:p w14:paraId="40CF3B40" w14:textId="77777777" w:rsidR="002F1BEE" w:rsidRDefault="005A24ED">
            <w:pPr>
              <w:jc w:val="center"/>
              <w:rPr>
                <w:rFonts w:ascii="Arial" w:eastAsia="Arial" w:hAnsi="Arial" w:cs="Arial"/>
                <w:b/>
                <w:bCs/>
                <w:sz w:val="18"/>
                <w:szCs w:val="18"/>
              </w:rPr>
            </w:pPr>
            <w:r>
              <w:rPr>
                <w:rFonts w:ascii="Arial" w:eastAsia="Arial" w:hAnsi="Arial" w:cs="Arial"/>
                <w:b/>
                <w:bCs/>
                <w:sz w:val="18"/>
                <w:szCs w:val="18"/>
              </w:rPr>
              <w:t>UCID</w:t>
            </w:r>
          </w:p>
        </w:tc>
        <w:tc>
          <w:tcPr>
            <w:tcW w:w="2006" w:type="dxa"/>
            <w:tcBorders>
              <w:bottom w:val="single" w:sz="4" w:space="0" w:color="000000"/>
            </w:tcBorders>
          </w:tcPr>
          <w:p w14:paraId="6920E315"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377.169</w:t>
            </w:r>
          </w:p>
        </w:tc>
        <w:tc>
          <w:tcPr>
            <w:tcW w:w="2126" w:type="dxa"/>
            <w:tcBorders>
              <w:bottom w:val="single" w:sz="4" w:space="0" w:color="000000"/>
            </w:tcBorders>
          </w:tcPr>
          <w:p w14:paraId="2DB49EDB"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8.191.132</w:t>
            </w:r>
          </w:p>
        </w:tc>
        <w:tc>
          <w:tcPr>
            <w:tcW w:w="1274" w:type="dxa"/>
            <w:tcBorders>
              <w:bottom w:val="single" w:sz="4" w:space="0" w:color="000000"/>
            </w:tcBorders>
          </w:tcPr>
          <w:p w14:paraId="053F0590"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4,60%</w:t>
            </w:r>
          </w:p>
        </w:tc>
        <w:tc>
          <w:tcPr>
            <w:tcW w:w="1445" w:type="dxa"/>
            <w:tcBorders>
              <w:bottom w:val="single" w:sz="4" w:space="0" w:color="000000"/>
            </w:tcBorders>
          </w:tcPr>
          <w:p w14:paraId="5DC51C29" w14:textId="77777777" w:rsidR="002F1BEE" w:rsidRDefault="005A24ED">
            <w:pPr>
              <w:jc w:val="center"/>
              <w:rPr>
                <w:rFonts w:ascii="Arial" w:eastAsia="Arial" w:hAnsi="Arial" w:cs="Arial"/>
                <w:color w:val="000000"/>
                <w:sz w:val="18"/>
                <w:szCs w:val="18"/>
              </w:rPr>
            </w:pPr>
            <w:r>
              <w:rPr>
                <w:rFonts w:ascii="Arial" w:eastAsia="Arial" w:hAnsi="Arial" w:cs="Arial"/>
                <w:sz w:val="18"/>
                <w:szCs w:val="18"/>
              </w:rPr>
              <w:t xml:space="preserve">Medium ROA </w:t>
            </w:r>
          </w:p>
        </w:tc>
      </w:tr>
    </w:tbl>
    <w:p w14:paraId="4BF8C28E" w14:textId="77777777" w:rsidR="002F1BEE" w:rsidRDefault="002F1BEE">
      <w:pPr>
        <w:pBdr>
          <w:top w:val="nil"/>
          <w:left w:val="nil"/>
          <w:bottom w:val="nil"/>
          <w:right w:val="nil"/>
          <w:between w:val="nil"/>
        </w:pBdr>
        <w:jc w:val="both"/>
        <w:rPr>
          <w:rFonts w:ascii="Arial" w:eastAsia="Arial" w:hAnsi="Arial" w:cs="Arial"/>
          <w:color w:val="000000"/>
        </w:rPr>
      </w:pPr>
    </w:p>
    <w:p w14:paraId="214CA0D2"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Table 3 categorizes sample companies' profitability levels by ROA from 2021-2025 into three categories: Low (&lt;1.5%), Medium (1.5%-5%), and Good (&gt;5%). According to Bank Indonesia, a ROA above 1.5% indicates high profitability. UNVR and FLMC have the highest profitability and ROA, while UNVR is dropping and FLMC fluctuated during the observation period. KINO has a strong ROA, while MRAT, TCID, and UCID have fair ROAs and lesser profitability. This table shows the average ROA value as a broad overview, although the study uses annual ROA data for statistical testing.</w:t>
      </w:r>
    </w:p>
    <w:p w14:paraId="13C26CF6" w14:textId="2EB845DA" w:rsidR="002F1BEE" w:rsidRDefault="002F1BEE">
      <w:pPr>
        <w:pBdr>
          <w:top w:val="nil"/>
          <w:left w:val="nil"/>
          <w:bottom w:val="nil"/>
          <w:right w:val="nil"/>
          <w:between w:val="nil"/>
        </w:pBdr>
        <w:jc w:val="both"/>
        <w:rPr>
          <w:rFonts w:ascii="Arial" w:eastAsia="Arial" w:hAnsi="Arial" w:cs="Arial"/>
          <w:color w:val="000000"/>
        </w:rPr>
      </w:pPr>
    </w:p>
    <w:p w14:paraId="6E5C834D" w14:textId="32AB9189" w:rsidR="005B748B" w:rsidRDefault="005B748B">
      <w:pPr>
        <w:pBdr>
          <w:top w:val="nil"/>
          <w:left w:val="nil"/>
          <w:bottom w:val="nil"/>
          <w:right w:val="nil"/>
          <w:between w:val="nil"/>
        </w:pBdr>
        <w:jc w:val="both"/>
        <w:rPr>
          <w:rFonts w:ascii="Arial" w:eastAsia="Arial" w:hAnsi="Arial" w:cs="Arial"/>
          <w:color w:val="000000"/>
        </w:rPr>
      </w:pPr>
    </w:p>
    <w:p w14:paraId="7AFB005E" w14:textId="7D8C06F1" w:rsidR="005B748B" w:rsidRDefault="005B748B">
      <w:pPr>
        <w:pBdr>
          <w:top w:val="nil"/>
          <w:left w:val="nil"/>
          <w:bottom w:val="nil"/>
          <w:right w:val="nil"/>
          <w:between w:val="nil"/>
        </w:pBdr>
        <w:jc w:val="both"/>
        <w:rPr>
          <w:rFonts w:ascii="Arial" w:eastAsia="Arial" w:hAnsi="Arial" w:cs="Arial"/>
          <w:color w:val="000000"/>
        </w:rPr>
      </w:pPr>
    </w:p>
    <w:p w14:paraId="7FF35497" w14:textId="64079A06" w:rsidR="005B748B" w:rsidRDefault="005B748B">
      <w:pPr>
        <w:pBdr>
          <w:top w:val="nil"/>
          <w:left w:val="nil"/>
          <w:bottom w:val="nil"/>
          <w:right w:val="nil"/>
          <w:between w:val="nil"/>
        </w:pBdr>
        <w:jc w:val="both"/>
        <w:rPr>
          <w:rFonts w:ascii="Arial" w:eastAsia="Arial" w:hAnsi="Arial" w:cs="Arial"/>
          <w:color w:val="000000"/>
        </w:rPr>
      </w:pPr>
    </w:p>
    <w:p w14:paraId="12ACBCBD" w14:textId="754CCD1C" w:rsidR="005B748B" w:rsidRDefault="005B748B">
      <w:pPr>
        <w:pBdr>
          <w:top w:val="nil"/>
          <w:left w:val="nil"/>
          <w:bottom w:val="nil"/>
          <w:right w:val="nil"/>
          <w:between w:val="nil"/>
        </w:pBdr>
        <w:jc w:val="both"/>
        <w:rPr>
          <w:rFonts w:ascii="Arial" w:eastAsia="Arial" w:hAnsi="Arial" w:cs="Arial"/>
          <w:color w:val="000000"/>
        </w:rPr>
      </w:pPr>
    </w:p>
    <w:p w14:paraId="1E658EC1" w14:textId="00062953" w:rsidR="005B748B" w:rsidRDefault="005B748B">
      <w:pPr>
        <w:pBdr>
          <w:top w:val="nil"/>
          <w:left w:val="nil"/>
          <w:bottom w:val="nil"/>
          <w:right w:val="nil"/>
          <w:between w:val="nil"/>
        </w:pBdr>
        <w:jc w:val="both"/>
        <w:rPr>
          <w:rFonts w:ascii="Arial" w:eastAsia="Arial" w:hAnsi="Arial" w:cs="Arial"/>
          <w:color w:val="000000"/>
        </w:rPr>
      </w:pPr>
    </w:p>
    <w:p w14:paraId="076C0DA7" w14:textId="6CF9698E" w:rsidR="005B748B" w:rsidRDefault="005B748B">
      <w:pPr>
        <w:pBdr>
          <w:top w:val="nil"/>
          <w:left w:val="nil"/>
          <w:bottom w:val="nil"/>
          <w:right w:val="nil"/>
          <w:between w:val="nil"/>
        </w:pBdr>
        <w:jc w:val="both"/>
        <w:rPr>
          <w:rFonts w:ascii="Arial" w:eastAsia="Arial" w:hAnsi="Arial" w:cs="Arial"/>
          <w:color w:val="000000"/>
        </w:rPr>
      </w:pPr>
    </w:p>
    <w:p w14:paraId="37535DD7" w14:textId="2FA90A1B" w:rsidR="005B748B" w:rsidRDefault="005B748B">
      <w:pPr>
        <w:pBdr>
          <w:top w:val="nil"/>
          <w:left w:val="nil"/>
          <w:bottom w:val="nil"/>
          <w:right w:val="nil"/>
          <w:between w:val="nil"/>
        </w:pBdr>
        <w:jc w:val="both"/>
        <w:rPr>
          <w:rFonts w:ascii="Arial" w:eastAsia="Arial" w:hAnsi="Arial" w:cs="Arial"/>
          <w:color w:val="000000"/>
        </w:rPr>
      </w:pPr>
    </w:p>
    <w:p w14:paraId="02F57E5C" w14:textId="77777777" w:rsidR="005B748B" w:rsidRDefault="005B748B">
      <w:pPr>
        <w:pBdr>
          <w:top w:val="nil"/>
          <w:left w:val="nil"/>
          <w:bottom w:val="nil"/>
          <w:right w:val="nil"/>
          <w:between w:val="nil"/>
        </w:pBdr>
        <w:jc w:val="both"/>
        <w:rPr>
          <w:rFonts w:ascii="Arial" w:eastAsia="Arial" w:hAnsi="Arial" w:cs="Arial"/>
          <w:color w:val="000000"/>
        </w:rPr>
      </w:pPr>
    </w:p>
    <w:p w14:paraId="24DAD696"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u w:val="single"/>
        </w:rPr>
        <w:lastRenderedPageBreak/>
        <w:t>2.1.3. Company Value (PBV)</w:t>
      </w:r>
    </w:p>
    <w:p w14:paraId="7A66FB53" w14:textId="77777777" w:rsidR="002F1BEE" w:rsidRDefault="002F1BEE">
      <w:pPr>
        <w:pBdr>
          <w:top w:val="nil"/>
          <w:left w:val="nil"/>
          <w:bottom w:val="nil"/>
          <w:right w:val="nil"/>
          <w:between w:val="nil"/>
        </w:pBdr>
        <w:jc w:val="both"/>
        <w:rPr>
          <w:rFonts w:ascii="Arial" w:eastAsia="Arial" w:hAnsi="Arial" w:cs="Arial"/>
          <w:color w:val="000000"/>
        </w:rPr>
      </w:pPr>
    </w:p>
    <w:p w14:paraId="2144B641" w14:textId="41F0AA82" w:rsidR="002F1BEE" w:rsidRDefault="005A24ED">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Table 4. PBV</w:t>
      </w:r>
    </w:p>
    <w:tbl>
      <w:tblPr>
        <w:tblStyle w:val="a5"/>
        <w:tblW w:w="7797" w:type="dxa"/>
        <w:jc w:val="center"/>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844"/>
        <w:gridCol w:w="834"/>
        <w:gridCol w:w="815"/>
        <w:gridCol w:w="815"/>
        <w:gridCol w:w="815"/>
        <w:gridCol w:w="931"/>
        <w:gridCol w:w="1750"/>
      </w:tblGrid>
      <w:tr w:rsidR="002F1BEE" w14:paraId="48D800B6" w14:textId="77777777">
        <w:trPr>
          <w:jc w:val="center"/>
        </w:trPr>
        <w:tc>
          <w:tcPr>
            <w:tcW w:w="993" w:type="dxa"/>
            <w:tcBorders>
              <w:top w:val="single" w:sz="4" w:space="0" w:color="000000"/>
              <w:left w:val="nil"/>
              <w:bottom w:val="single" w:sz="4" w:space="0" w:color="000000"/>
              <w:right w:val="nil"/>
            </w:tcBorders>
          </w:tcPr>
          <w:p w14:paraId="6410B0E1" w14:textId="77777777" w:rsidR="002F1BEE" w:rsidRDefault="005A24ED">
            <w:pPr>
              <w:keepNext/>
              <w:jc w:val="center"/>
              <w:rPr>
                <w:rFonts w:ascii="Arial" w:eastAsia="Arial" w:hAnsi="Arial" w:cs="Arial"/>
                <w:color w:val="000000"/>
                <w:sz w:val="18"/>
                <w:szCs w:val="18"/>
              </w:rPr>
            </w:pPr>
            <w:r>
              <w:rPr>
                <w:rFonts w:ascii="Arial" w:eastAsia="Arial" w:hAnsi="Arial" w:cs="Arial"/>
                <w:color w:val="000000"/>
                <w:sz w:val="18"/>
                <w:szCs w:val="18"/>
              </w:rPr>
              <w:t>Company Code</w:t>
            </w:r>
          </w:p>
        </w:tc>
        <w:tc>
          <w:tcPr>
            <w:tcW w:w="844" w:type="dxa"/>
            <w:tcBorders>
              <w:top w:val="single" w:sz="4" w:space="0" w:color="000000"/>
              <w:left w:val="nil"/>
              <w:bottom w:val="single" w:sz="4" w:space="0" w:color="000000"/>
              <w:right w:val="nil"/>
            </w:tcBorders>
          </w:tcPr>
          <w:p w14:paraId="6F5E9CB3"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2021</w:t>
            </w:r>
          </w:p>
        </w:tc>
        <w:tc>
          <w:tcPr>
            <w:tcW w:w="834" w:type="dxa"/>
            <w:tcBorders>
              <w:top w:val="single" w:sz="4" w:space="0" w:color="000000"/>
              <w:left w:val="nil"/>
              <w:bottom w:val="single" w:sz="4" w:space="0" w:color="000000"/>
              <w:right w:val="nil"/>
            </w:tcBorders>
          </w:tcPr>
          <w:p w14:paraId="1BAE6DA0"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2022</w:t>
            </w:r>
          </w:p>
        </w:tc>
        <w:tc>
          <w:tcPr>
            <w:tcW w:w="815" w:type="dxa"/>
            <w:tcBorders>
              <w:top w:val="single" w:sz="4" w:space="0" w:color="000000"/>
              <w:left w:val="nil"/>
              <w:bottom w:val="single" w:sz="4" w:space="0" w:color="000000"/>
              <w:right w:val="nil"/>
            </w:tcBorders>
          </w:tcPr>
          <w:p w14:paraId="0DB04A80"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2023</w:t>
            </w:r>
          </w:p>
        </w:tc>
        <w:tc>
          <w:tcPr>
            <w:tcW w:w="815" w:type="dxa"/>
            <w:tcBorders>
              <w:top w:val="single" w:sz="4" w:space="0" w:color="000000"/>
              <w:left w:val="nil"/>
              <w:bottom w:val="single" w:sz="4" w:space="0" w:color="000000"/>
              <w:right w:val="nil"/>
            </w:tcBorders>
          </w:tcPr>
          <w:p w14:paraId="3F26CCE5"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2024</w:t>
            </w:r>
          </w:p>
        </w:tc>
        <w:tc>
          <w:tcPr>
            <w:tcW w:w="815" w:type="dxa"/>
            <w:tcBorders>
              <w:top w:val="single" w:sz="4" w:space="0" w:color="000000"/>
              <w:left w:val="nil"/>
              <w:bottom w:val="single" w:sz="4" w:space="0" w:color="000000"/>
              <w:right w:val="nil"/>
            </w:tcBorders>
          </w:tcPr>
          <w:p w14:paraId="4E8F301A"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2025</w:t>
            </w:r>
          </w:p>
        </w:tc>
        <w:tc>
          <w:tcPr>
            <w:tcW w:w="931" w:type="dxa"/>
            <w:tcBorders>
              <w:top w:val="single" w:sz="4" w:space="0" w:color="000000"/>
              <w:left w:val="nil"/>
              <w:bottom w:val="single" w:sz="4" w:space="0" w:color="000000"/>
              <w:right w:val="nil"/>
            </w:tcBorders>
          </w:tcPr>
          <w:p w14:paraId="66353726"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Average</w:t>
            </w:r>
          </w:p>
        </w:tc>
        <w:tc>
          <w:tcPr>
            <w:tcW w:w="1750" w:type="dxa"/>
            <w:tcBorders>
              <w:top w:val="single" w:sz="4" w:space="0" w:color="000000"/>
              <w:left w:val="nil"/>
              <w:bottom w:val="single" w:sz="4" w:space="0" w:color="000000"/>
              <w:right w:val="nil"/>
            </w:tcBorders>
          </w:tcPr>
          <w:p w14:paraId="2291A79D"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color w:val="000000"/>
                <w:sz w:val="18"/>
                <w:szCs w:val="18"/>
              </w:rPr>
              <w:t>PBV Categories</w:t>
            </w:r>
          </w:p>
        </w:tc>
      </w:tr>
      <w:tr w:rsidR="002F1BEE" w14:paraId="725B1E36" w14:textId="77777777">
        <w:trPr>
          <w:jc w:val="center"/>
        </w:trPr>
        <w:tc>
          <w:tcPr>
            <w:tcW w:w="993" w:type="dxa"/>
            <w:tcBorders>
              <w:top w:val="single" w:sz="4" w:space="0" w:color="000000"/>
              <w:left w:val="nil"/>
              <w:bottom w:val="nil"/>
              <w:right w:val="nil"/>
            </w:tcBorders>
          </w:tcPr>
          <w:p w14:paraId="21A01552"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sz w:val="18"/>
                <w:szCs w:val="18"/>
              </w:rPr>
              <w:t>TCID</w:t>
            </w:r>
          </w:p>
        </w:tc>
        <w:tc>
          <w:tcPr>
            <w:tcW w:w="844" w:type="dxa"/>
            <w:tcBorders>
              <w:top w:val="single" w:sz="4" w:space="0" w:color="000000"/>
              <w:left w:val="nil"/>
              <w:bottom w:val="nil"/>
              <w:right w:val="nil"/>
            </w:tcBorders>
          </w:tcPr>
          <w:p w14:paraId="155E9E0B"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0,72</w:t>
            </w:r>
          </w:p>
        </w:tc>
        <w:tc>
          <w:tcPr>
            <w:tcW w:w="834" w:type="dxa"/>
            <w:tcBorders>
              <w:top w:val="single" w:sz="4" w:space="0" w:color="000000"/>
              <w:left w:val="nil"/>
              <w:bottom w:val="nil"/>
              <w:right w:val="nil"/>
            </w:tcBorders>
          </w:tcPr>
          <w:p w14:paraId="69E1C8C3"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0,57</w:t>
            </w:r>
          </w:p>
        </w:tc>
        <w:tc>
          <w:tcPr>
            <w:tcW w:w="815" w:type="dxa"/>
            <w:tcBorders>
              <w:top w:val="single" w:sz="4" w:space="0" w:color="000000"/>
              <w:left w:val="nil"/>
              <w:bottom w:val="nil"/>
              <w:right w:val="nil"/>
            </w:tcBorders>
          </w:tcPr>
          <w:p w14:paraId="15DFC698"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0,66</w:t>
            </w:r>
          </w:p>
        </w:tc>
        <w:tc>
          <w:tcPr>
            <w:tcW w:w="815" w:type="dxa"/>
            <w:tcBorders>
              <w:top w:val="single" w:sz="4" w:space="0" w:color="000000"/>
              <w:left w:val="nil"/>
              <w:bottom w:val="nil"/>
              <w:right w:val="nil"/>
            </w:tcBorders>
          </w:tcPr>
          <w:p w14:paraId="44D28252"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0,58</w:t>
            </w:r>
          </w:p>
        </w:tc>
        <w:tc>
          <w:tcPr>
            <w:tcW w:w="815" w:type="dxa"/>
            <w:tcBorders>
              <w:top w:val="single" w:sz="4" w:space="0" w:color="000000"/>
              <w:left w:val="nil"/>
              <w:bottom w:val="nil"/>
              <w:right w:val="nil"/>
            </w:tcBorders>
          </w:tcPr>
          <w:p w14:paraId="5ADE5A1B"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0,46</w:t>
            </w:r>
          </w:p>
        </w:tc>
        <w:tc>
          <w:tcPr>
            <w:tcW w:w="931" w:type="dxa"/>
            <w:tcBorders>
              <w:top w:val="single" w:sz="4" w:space="0" w:color="000000"/>
              <w:left w:val="nil"/>
              <w:bottom w:val="nil"/>
              <w:right w:val="nil"/>
            </w:tcBorders>
            <w:vAlign w:val="bottom"/>
          </w:tcPr>
          <w:p w14:paraId="1F33A13E" w14:textId="77777777" w:rsidR="002F1BEE" w:rsidRDefault="005A24ED">
            <w:pPr>
              <w:keepNext/>
              <w:jc w:val="center"/>
              <w:rPr>
                <w:rFonts w:ascii="Arial" w:eastAsia="Arial" w:hAnsi="Arial" w:cs="Arial"/>
                <w:b/>
                <w:bCs/>
                <w:color w:val="000000"/>
                <w:sz w:val="18"/>
                <w:szCs w:val="18"/>
              </w:rPr>
            </w:pPr>
            <w:r>
              <w:rPr>
                <w:rFonts w:ascii="Arial" w:eastAsia="Arial" w:hAnsi="Arial" w:cs="Arial"/>
                <w:color w:val="000000"/>
                <w:sz w:val="18"/>
                <w:szCs w:val="18"/>
              </w:rPr>
              <w:t>0,598</w:t>
            </w:r>
          </w:p>
        </w:tc>
        <w:tc>
          <w:tcPr>
            <w:tcW w:w="1750" w:type="dxa"/>
            <w:tcBorders>
              <w:top w:val="single" w:sz="4" w:space="0" w:color="000000"/>
              <w:left w:val="nil"/>
              <w:bottom w:val="nil"/>
              <w:right w:val="nil"/>
            </w:tcBorders>
          </w:tcPr>
          <w:p w14:paraId="1ABD7C6D"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 xml:space="preserve">Low PBV </w:t>
            </w:r>
          </w:p>
        </w:tc>
      </w:tr>
      <w:tr w:rsidR="002F1BEE" w14:paraId="20EB58F5" w14:textId="77777777">
        <w:trPr>
          <w:jc w:val="center"/>
        </w:trPr>
        <w:tc>
          <w:tcPr>
            <w:tcW w:w="993" w:type="dxa"/>
            <w:tcBorders>
              <w:top w:val="nil"/>
              <w:left w:val="nil"/>
              <w:bottom w:val="nil"/>
              <w:right w:val="nil"/>
            </w:tcBorders>
          </w:tcPr>
          <w:p w14:paraId="2CA2FBCC"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sz w:val="18"/>
                <w:szCs w:val="18"/>
              </w:rPr>
              <w:t>FLMC</w:t>
            </w:r>
          </w:p>
        </w:tc>
        <w:tc>
          <w:tcPr>
            <w:tcW w:w="844" w:type="dxa"/>
            <w:tcBorders>
              <w:top w:val="nil"/>
              <w:left w:val="nil"/>
              <w:bottom w:val="nil"/>
              <w:right w:val="nil"/>
            </w:tcBorders>
          </w:tcPr>
          <w:p w14:paraId="03A29675"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1,86</w:t>
            </w:r>
          </w:p>
        </w:tc>
        <w:tc>
          <w:tcPr>
            <w:tcW w:w="834" w:type="dxa"/>
            <w:tcBorders>
              <w:top w:val="nil"/>
              <w:left w:val="nil"/>
              <w:bottom w:val="nil"/>
              <w:right w:val="nil"/>
            </w:tcBorders>
          </w:tcPr>
          <w:p w14:paraId="0F72B5B6"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3,12</w:t>
            </w:r>
          </w:p>
        </w:tc>
        <w:tc>
          <w:tcPr>
            <w:tcW w:w="815" w:type="dxa"/>
            <w:tcBorders>
              <w:top w:val="nil"/>
              <w:left w:val="nil"/>
              <w:bottom w:val="nil"/>
              <w:right w:val="nil"/>
            </w:tcBorders>
          </w:tcPr>
          <w:p w14:paraId="3EB1CB3A"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0,43</w:t>
            </w:r>
          </w:p>
        </w:tc>
        <w:tc>
          <w:tcPr>
            <w:tcW w:w="815" w:type="dxa"/>
            <w:tcBorders>
              <w:top w:val="nil"/>
              <w:left w:val="nil"/>
              <w:bottom w:val="nil"/>
              <w:right w:val="nil"/>
            </w:tcBorders>
          </w:tcPr>
          <w:p w14:paraId="45CE4E2E"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0,69</w:t>
            </w:r>
          </w:p>
        </w:tc>
        <w:tc>
          <w:tcPr>
            <w:tcW w:w="815" w:type="dxa"/>
            <w:tcBorders>
              <w:top w:val="nil"/>
              <w:left w:val="nil"/>
              <w:bottom w:val="nil"/>
              <w:right w:val="nil"/>
            </w:tcBorders>
          </w:tcPr>
          <w:p w14:paraId="169A19F3"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0,82</w:t>
            </w:r>
          </w:p>
        </w:tc>
        <w:tc>
          <w:tcPr>
            <w:tcW w:w="931" w:type="dxa"/>
            <w:tcBorders>
              <w:top w:val="nil"/>
              <w:left w:val="nil"/>
              <w:bottom w:val="nil"/>
              <w:right w:val="nil"/>
            </w:tcBorders>
            <w:vAlign w:val="bottom"/>
          </w:tcPr>
          <w:p w14:paraId="30E22D96" w14:textId="77777777" w:rsidR="002F1BEE" w:rsidRDefault="005A24ED">
            <w:pPr>
              <w:keepNext/>
              <w:jc w:val="center"/>
              <w:rPr>
                <w:rFonts w:ascii="Arial" w:eastAsia="Arial" w:hAnsi="Arial" w:cs="Arial"/>
                <w:b/>
                <w:bCs/>
                <w:color w:val="000000"/>
                <w:sz w:val="18"/>
                <w:szCs w:val="18"/>
              </w:rPr>
            </w:pPr>
            <w:r>
              <w:rPr>
                <w:rFonts w:ascii="Arial" w:eastAsia="Arial" w:hAnsi="Arial" w:cs="Arial"/>
                <w:color w:val="000000"/>
                <w:sz w:val="18"/>
                <w:szCs w:val="18"/>
              </w:rPr>
              <w:t>1,384</w:t>
            </w:r>
          </w:p>
        </w:tc>
        <w:tc>
          <w:tcPr>
            <w:tcW w:w="1750" w:type="dxa"/>
            <w:tcBorders>
              <w:top w:val="nil"/>
              <w:left w:val="nil"/>
              <w:bottom w:val="nil"/>
              <w:right w:val="nil"/>
            </w:tcBorders>
          </w:tcPr>
          <w:p w14:paraId="6FFB90B5"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Medium PBV</w:t>
            </w:r>
          </w:p>
        </w:tc>
      </w:tr>
      <w:tr w:rsidR="002F1BEE" w14:paraId="5567CD33" w14:textId="77777777">
        <w:trPr>
          <w:jc w:val="center"/>
        </w:trPr>
        <w:tc>
          <w:tcPr>
            <w:tcW w:w="993" w:type="dxa"/>
            <w:tcBorders>
              <w:top w:val="nil"/>
              <w:left w:val="nil"/>
              <w:bottom w:val="nil"/>
              <w:right w:val="nil"/>
            </w:tcBorders>
          </w:tcPr>
          <w:p w14:paraId="7FC06360"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sz w:val="18"/>
                <w:szCs w:val="18"/>
              </w:rPr>
              <w:t>UNVR</w:t>
            </w:r>
          </w:p>
        </w:tc>
        <w:tc>
          <w:tcPr>
            <w:tcW w:w="844" w:type="dxa"/>
            <w:tcBorders>
              <w:top w:val="nil"/>
              <w:left w:val="nil"/>
              <w:bottom w:val="nil"/>
              <w:right w:val="nil"/>
            </w:tcBorders>
          </w:tcPr>
          <w:p w14:paraId="12B158CE"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43,82</w:t>
            </w:r>
          </w:p>
        </w:tc>
        <w:tc>
          <w:tcPr>
            <w:tcW w:w="834" w:type="dxa"/>
            <w:tcBorders>
              <w:top w:val="nil"/>
              <w:left w:val="nil"/>
              <w:bottom w:val="nil"/>
              <w:right w:val="nil"/>
            </w:tcBorders>
          </w:tcPr>
          <w:p w14:paraId="38A8A549"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30,15</w:t>
            </w:r>
          </w:p>
        </w:tc>
        <w:tc>
          <w:tcPr>
            <w:tcW w:w="815" w:type="dxa"/>
            <w:tcBorders>
              <w:top w:val="nil"/>
              <w:left w:val="nil"/>
              <w:bottom w:val="nil"/>
              <w:right w:val="nil"/>
            </w:tcBorders>
          </w:tcPr>
          <w:p w14:paraId="38D9C22E"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31,49</w:t>
            </w:r>
          </w:p>
        </w:tc>
        <w:tc>
          <w:tcPr>
            <w:tcW w:w="815" w:type="dxa"/>
            <w:tcBorders>
              <w:top w:val="nil"/>
              <w:left w:val="nil"/>
              <w:bottom w:val="nil"/>
              <w:right w:val="nil"/>
            </w:tcBorders>
          </w:tcPr>
          <w:p w14:paraId="14FB1E54"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24,60</w:t>
            </w:r>
          </w:p>
        </w:tc>
        <w:tc>
          <w:tcPr>
            <w:tcW w:w="815" w:type="dxa"/>
            <w:tcBorders>
              <w:top w:val="nil"/>
              <w:left w:val="nil"/>
              <w:bottom w:val="nil"/>
              <w:right w:val="nil"/>
            </w:tcBorders>
          </w:tcPr>
          <w:p w14:paraId="00C7382A"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19,82</w:t>
            </w:r>
          </w:p>
        </w:tc>
        <w:tc>
          <w:tcPr>
            <w:tcW w:w="931" w:type="dxa"/>
            <w:tcBorders>
              <w:top w:val="nil"/>
              <w:left w:val="nil"/>
              <w:bottom w:val="nil"/>
              <w:right w:val="nil"/>
            </w:tcBorders>
            <w:vAlign w:val="bottom"/>
          </w:tcPr>
          <w:p w14:paraId="75C246D9" w14:textId="77777777" w:rsidR="002F1BEE" w:rsidRDefault="005A24ED">
            <w:pPr>
              <w:keepNext/>
              <w:jc w:val="center"/>
              <w:rPr>
                <w:rFonts w:ascii="Arial" w:eastAsia="Arial" w:hAnsi="Arial" w:cs="Arial"/>
                <w:b/>
                <w:bCs/>
                <w:color w:val="000000"/>
                <w:sz w:val="18"/>
                <w:szCs w:val="18"/>
              </w:rPr>
            </w:pPr>
            <w:r>
              <w:rPr>
                <w:rFonts w:ascii="Arial" w:eastAsia="Arial" w:hAnsi="Arial" w:cs="Arial"/>
                <w:color w:val="000000"/>
                <w:sz w:val="18"/>
                <w:szCs w:val="18"/>
              </w:rPr>
              <w:t>29,976</w:t>
            </w:r>
          </w:p>
        </w:tc>
        <w:tc>
          <w:tcPr>
            <w:tcW w:w="1750" w:type="dxa"/>
            <w:tcBorders>
              <w:top w:val="nil"/>
              <w:left w:val="nil"/>
              <w:bottom w:val="nil"/>
              <w:right w:val="nil"/>
            </w:tcBorders>
          </w:tcPr>
          <w:p w14:paraId="3924D763"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 xml:space="preserve">High PBV </w:t>
            </w:r>
          </w:p>
        </w:tc>
      </w:tr>
      <w:tr w:rsidR="002F1BEE" w14:paraId="151F83C0" w14:textId="77777777">
        <w:trPr>
          <w:jc w:val="center"/>
        </w:trPr>
        <w:tc>
          <w:tcPr>
            <w:tcW w:w="993" w:type="dxa"/>
            <w:tcBorders>
              <w:top w:val="nil"/>
              <w:left w:val="nil"/>
              <w:bottom w:val="nil"/>
              <w:right w:val="nil"/>
            </w:tcBorders>
          </w:tcPr>
          <w:p w14:paraId="0A380E5F"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sz w:val="18"/>
                <w:szCs w:val="18"/>
              </w:rPr>
              <w:t>MRAT</w:t>
            </w:r>
          </w:p>
        </w:tc>
        <w:tc>
          <w:tcPr>
            <w:tcW w:w="844" w:type="dxa"/>
            <w:tcBorders>
              <w:top w:val="nil"/>
              <w:left w:val="nil"/>
              <w:bottom w:val="nil"/>
              <w:right w:val="nil"/>
            </w:tcBorders>
          </w:tcPr>
          <w:p w14:paraId="238C1B1F"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0,18</w:t>
            </w:r>
          </w:p>
        </w:tc>
        <w:tc>
          <w:tcPr>
            <w:tcW w:w="834" w:type="dxa"/>
            <w:tcBorders>
              <w:top w:val="nil"/>
              <w:left w:val="nil"/>
              <w:bottom w:val="nil"/>
              <w:right w:val="nil"/>
            </w:tcBorders>
          </w:tcPr>
          <w:p w14:paraId="50F9281D"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0,33</w:t>
            </w:r>
          </w:p>
        </w:tc>
        <w:tc>
          <w:tcPr>
            <w:tcW w:w="815" w:type="dxa"/>
            <w:tcBorders>
              <w:top w:val="nil"/>
              <w:left w:val="nil"/>
              <w:bottom w:val="nil"/>
              <w:right w:val="nil"/>
            </w:tcBorders>
          </w:tcPr>
          <w:p w14:paraId="0184AEB1"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0,96</w:t>
            </w:r>
          </w:p>
        </w:tc>
        <w:tc>
          <w:tcPr>
            <w:tcW w:w="815" w:type="dxa"/>
            <w:tcBorders>
              <w:top w:val="nil"/>
              <w:left w:val="nil"/>
              <w:bottom w:val="nil"/>
              <w:right w:val="nil"/>
            </w:tcBorders>
          </w:tcPr>
          <w:p w14:paraId="5A2E5AB8"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0,65</w:t>
            </w:r>
          </w:p>
        </w:tc>
        <w:tc>
          <w:tcPr>
            <w:tcW w:w="815" w:type="dxa"/>
            <w:tcBorders>
              <w:top w:val="nil"/>
              <w:left w:val="nil"/>
              <w:bottom w:val="nil"/>
              <w:right w:val="nil"/>
            </w:tcBorders>
          </w:tcPr>
          <w:p w14:paraId="3F5B3B4F"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0,34</w:t>
            </w:r>
          </w:p>
        </w:tc>
        <w:tc>
          <w:tcPr>
            <w:tcW w:w="931" w:type="dxa"/>
            <w:tcBorders>
              <w:top w:val="nil"/>
              <w:left w:val="nil"/>
              <w:bottom w:val="nil"/>
              <w:right w:val="nil"/>
            </w:tcBorders>
            <w:vAlign w:val="bottom"/>
          </w:tcPr>
          <w:p w14:paraId="29FF0B4F" w14:textId="77777777" w:rsidR="002F1BEE" w:rsidRDefault="005A24ED">
            <w:pPr>
              <w:keepNext/>
              <w:jc w:val="center"/>
              <w:rPr>
                <w:rFonts w:ascii="Arial" w:eastAsia="Arial" w:hAnsi="Arial" w:cs="Arial"/>
                <w:b/>
                <w:bCs/>
                <w:color w:val="000000"/>
                <w:sz w:val="18"/>
                <w:szCs w:val="18"/>
              </w:rPr>
            </w:pPr>
            <w:r>
              <w:rPr>
                <w:rFonts w:ascii="Arial" w:eastAsia="Arial" w:hAnsi="Arial" w:cs="Arial"/>
                <w:color w:val="000000"/>
                <w:sz w:val="18"/>
                <w:szCs w:val="18"/>
              </w:rPr>
              <w:t>0,492</w:t>
            </w:r>
          </w:p>
        </w:tc>
        <w:tc>
          <w:tcPr>
            <w:tcW w:w="1750" w:type="dxa"/>
            <w:tcBorders>
              <w:top w:val="nil"/>
              <w:left w:val="nil"/>
              <w:bottom w:val="nil"/>
              <w:right w:val="nil"/>
            </w:tcBorders>
          </w:tcPr>
          <w:p w14:paraId="3861A5B9"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 xml:space="preserve">Low PBV </w:t>
            </w:r>
          </w:p>
        </w:tc>
      </w:tr>
      <w:tr w:rsidR="002F1BEE" w14:paraId="02127CCB" w14:textId="77777777">
        <w:trPr>
          <w:jc w:val="center"/>
        </w:trPr>
        <w:tc>
          <w:tcPr>
            <w:tcW w:w="993" w:type="dxa"/>
            <w:tcBorders>
              <w:top w:val="nil"/>
              <w:left w:val="nil"/>
              <w:bottom w:val="nil"/>
              <w:right w:val="nil"/>
            </w:tcBorders>
          </w:tcPr>
          <w:p w14:paraId="750E128C" w14:textId="77777777" w:rsidR="002F1BEE" w:rsidRDefault="005A24ED">
            <w:pPr>
              <w:keepNext/>
              <w:jc w:val="center"/>
              <w:rPr>
                <w:rFonts w:ascii="Arial" w:eastAsia="Arial" w:hAnsi="Arial" w:cs="Arial"/>
                <w:b/>
                <w:bCs/>
                <w:color w:val="000000"/>
                <w:sz w:val="18"/>
                <w:szCs w:val="18"/>
              </w:rPr>
            </w:pPr>
            <w:r>
              <w:rPr>
                <w:rFonts w:ascii="Arial" w:eastAsia="Arial" w:hAnsi="Arial" w:cs="Arial"/>
                <w:b/>
                <w:bCs/>
                <w:sz w:val="18"/>
                <w:szCs w:val="18"/>
              </w:rPr>
              <w:t>KINO</w:t>
            </w:r>
          </w:p>
        </w:tc>
        <w:tc>
          <w:tcPr>
            <w:tcW w:w="844" w:type="dxa"/>
            <w:tcBorders>
              <w:top w:val="nil"/>
              <w:left w:val="nil"/>
              <w:bottom w:val="nil"/>
              <w:right w:val="nil"/>
            </w:tcBorders>
          </w:tcPr>
          <w:p w14:paraId="37EA6EBC"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1,48</w:t>
            </w:r>
          </w:p>
        </w:tc>
        <w:tc>
          <w:tcPr>
            <w:tcW w:w="834" w:type="dxa"/>
            <w:tcBorders>
              <w:top w:val="nil"/>
              <w:left w:val="nil"/>
              <w:bottom w:val="nil"/>
              <w:right w:val="nil"/>
            </w:tcBorders>
          </w:tcPr>
          <w:p w14:paraId="37A6EF19"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1,13</w:t>
            </w:r>
          </w:p>
        </w:tc>
        <w:tc>
          <w:tcPr>
            <w:tcW w:w="815" w:type="dxa"/>
            <w:tcBorders>
              <w:top w:val="nil"/>
              <w:left w:val="nil"/>
              <w:bottom w:val="nil"/>
              <w:right w:val="nil"/>
            </w:tcBorders>
          </w:tcPr>
          <w:p w14:paraId="1A2F72E4"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1,03</w:t>
            </w:r>
          </w:p>
        </w:tc>
        <w:tc>
          <w:tcPr>
            <w:tcW w:w="815" w:type="dxa"/>
            <w:tcBorders>
              <w:top w:val="nil"/>
              <w:left w:val="nil"/>
              <w:bottom w:val="nil"/>
              <w:right w:val="nil"/>
            </w:tcBorders>
          </w:tcPr>
          <w:p w14:paraId="29576261"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1,18</w:t>
            </w:r>
          </w:p>
        </w:tc>
        <w:tc>
          <w:tcPr>
            <w:tcW w:w="815" w:type="dxa"/>
            <w:tcBorders>
              <w:top w:val="nil"/>
              <w:left w:val="nil"/>
              <w:bottom w:val="nil"/>
              <w:right w:val="nil"/>
            </w:tcBorders>
          </w:tcPr>
          <w:p w14:paraId="1865FD01"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1,11</w:t>
            </w:r>
          </w:p>
        </w:tc>
        <w:tc>
          <w:tcPr>
            <w:tcW w:w="931" w:type="dxa"/>
            <w:tcBorders>
              <w:top w:val="nil"/>
              <w:left w:val="nil"/>
              <w:bottom w:val="nil"/>
              <w:right w:val="nil"/>
            </w:tcBorders>
            <w:vAlign w:val="bottom"/>
          </w:tcPr>
          <w:p w14:paraId="1BA7DA12" w14:textId="77777777" w:rsidR="002F1BEE" w:rsidRDefault="005A24ED">
            <w:pPr>
              <w:keepNext/>
              <w:jc w:val="center"/>
              <w:rPr>
                <w:rFonts w:ascii="Arial" w:eastAsia="Arial" w:hAnsi="Arial" w:cs="Arial"/>
                <w:b/>
                <w:bCs/>
                <w:color w:val="000000"/>
                <w:sz w:val="18"/>
                <w:szCs w:val="18"/>
              </w:rPr>
            </w:pPr>
            <w:r>
              <w:rPr>
                <w:rFonts w:ascii="Arial" w:eastAsia="Arial" w:hAnsi="Arial" w:cs="Arial"/>
                <w:color w:val="000000"/>
                <w:sz w:val="18"/>
                <w:szCs w:val="18"/>
              </w:rPr>
              <w:t>1,186</w:t>
            </w:r>
          </w:p>
        </w:tc>
        <w:tc>
          <w:tcPr>
            <w:tcW w:w="1750" w:type="dxa"/>
            <w:tcBorders>
              <w:top w:val="nil"/>
              <w:left w:val="nil"/>
              <w:bottom w:val="nil"/>
              <w:right w:val="nil"/>
            </w:tcBorders>
          </w:tcPr>
          <w:p w14:paraId="11659BB1" w14:textId="77777777" w:rsidR="002F1BEE" w:rsidRDefault="005A24ED">
            <w:pPr>
              <w:keepNext/>
              <w:jc w:val="center"/>
              <w:rPr>
                <w:rFonts w:ascii="Arial" w:eastAsia="Arial" w:hAnsi="Arial" w:cs="Arial"/>
                <w:b/>
                <w:bCs/>
                <w:color w:val="000000"/>
                <w:sz w:val="18"/>
                <w:szCs w:val="18"/>
              </w:rPr>
            </w:pPr>
            <w:r>
              <w:rPr>
                <w:rFonts w:ascii="Arial" w:eastAsia="Arial" w:hAnsi="Arial" w:cs="Arial"/>
                <w:sz w:val="18"/>
                <w:szCs w:val="18"/>
              </w:rPr>
              <w:t>Medium PBV</w:t>
            </w:r>
          </w:p>
        </w:tc>
      </w:tr>
      <w:tr w:rsidR="002F1BEE" w14:paraId="27B0E933" w14:textId="77777777">
        <w:trPr>
          <w:jc w:val="center"/>
        </w:trPr>
        <w:tc>
          <w:tcPr>
            <w:tcW w:w="993" w:type="dxa"/>
            <w:tcBorders>
              <w:top w:val="nil"/>
              <w:left w:val="nil"/>
              <w:bottom w:val="single" w:sz="4" w:space="0" w:color="000000"/>
              <w:right w:val="nil"/>
            </w:tcBorders>
          </w:tcPr>
          <w:p w14:paraId="1A4A20A9" w14:textId="77777777" w:rsidR="002F1BEE" w:rsidRDefault="005A24ED">
            <w:pPr>
              <w:keepNext/>
              <w:jc w:val="center"/>
              <w:rPr>
                <w:rFonts w:ascii="Arial" w:eastAsia="Arial" w:hAnsi="Arial" w:cs="Arial"/>
                <w:b/>
                <w:bCs/>
                <w:sz w:val="18"/>
                <w:szCs w:val="18"/>
              </w:rPr>
            </w:pPr>
            <w:r>
              <w:rPr>
                <w:rFonts w:ascii="Arial" w:eastAsia="Arial" w:hAnsi="Arial" w:cs="Arial"/>
                <w:b/>
                <w:bCs/>
                <w:sz w:val="18"/>
                <w:szCs w:val="18"/>
              </w:rPr>
              <w:t>UCID</w:t>
            </w:r>
          </w:p>
        </w:tc>
        <w:tc>
          <w:tcPr>
            <w:tcW w:w="844" w:type="dxa"/>
            <w:tcBorders>
              <w:top w:val="nil"/>
              <w:left w:val="nil"/>
              <w:bottom w:val="single" w:sz="4" w:space="0" w:color="000000"/>
              <w:right w:val="nil"/>
            </w:tcBorders>
          </w:tcPr>
          <w:p w14:paraId="28D3AD9E" w14:textId="77777777" w:rsidR="002F1BEE" w:rsidRDefault="005A24ED">
            <w:pPr>
              <w:keepNext/>
              <w:jc w:val="center"/>
              <w:rPr>
                <w:rFonts w:ascii="Arial" w:eastAsia="Arial" w:hAnsi="Arial" w:cs="Arial"/>
                <w:sz w:val="18"/>
                <w:szCs w:val="18"/>
              </w:rPr>
            </w:pPr>
            <w:r>
              <w:rPr>
                <w:rFonts w:ascii="Arial" w:eastAsia="Arial" w:hAnsi="Arial" w:cs="Arial"/>
                <w:sz w:val="18"/>
                <w:szCs w:val="18"/>
              </w:rPr>
              <w:t>1,40</w:t>
            </w:r>
          </w:p>
        </w:tc>
        <w:tc>
          <w:tcPr>
            <w:tcW w:w="834" w:type="dxa"/>
            <w:tcBorders>
              <w:top w:val="nil"/>
              <w:left w:val="nil"/>
              <w:bottom w:val="single" w:sz="4" w:space="0" w:color="000000"/>
              <w:right w:val="nil"/>
            </w:tcBorders>
          </w:tcPr>
          <w:p w14:paraId="5BB8560C" w14:textId="77777777" w:rsidR="002F1BEE" w:rsidRDefault="005A24ED">
            <w:pPr>
              <w:keepNext/>
              <w:jc w:val="center"/>
              <w:rPr>
                <w:rFonts w:ascii="Arial" w:eastAsia="Arial" w:hAnsi="Arial" w:cs="Arial"/>
                <w:sz w:val="18"/>
                <w:szCs w:val="18"/>
              </w:rPr>
            </w:pPr>
            <w:r>
              <w:rPr>
                <w:rFonts w:ascii="Arial" w:eastAsia="Arial" w:hAnsi="Arial" w:cs="Arial"/>
                <w:sz w:val="18"/>
                <w:szCs w:val="18"/>
              </w:rPr>
              <w:t>1,26</w:t>
            </w:r>
          </w:p>
        </w:tc>
        <w:tc>
          <w:tcPr>
            <w:tcW w:w="815" w:type="dxa"/>
            <w:tcBorders>
              <w:top w:val="nil"/>
              <w:left w:val="nil"/>
              <w:bottom w:val="single" w:sz="4" w:space="0" w:color="000000"/>
              <w:right w:val="nil"/>
            </w:tcBorders>
          </w:tcPr>
          <w:p w14:paraId="49C9E76C" w14:textId="77777777" w:rsidR="002F1BEE" w:rsidRDefault="005A24ED">
            <w:pPr>
              <w:keepNext/>
              <w:jc w:val="center"/>
              <w:rPr>
                <w:rFonts w:ascii="Arial" w:eastAsia="Arial" w:hAnsi="Arial" w:cs="Arial"/>
                <w:sz w:val="18"/>
                <w:szCs w:val="18"/>
              </w:rPr>
            </w:pPr>
            <w:r>
              <w:rPr>
                <w:rFonts w:ascii="Arial" w:eastAsia="Arial" w:hAnsi="Arial" w:cs="Arial"/>
                <w:sz w:val="18"/>
                <w:szCs w:val="18"/>
              </w:rPr>
              <w:t>0,89</w:t>
            </w:r>
          </w:p>
        </w:tc>
        <w:tc>
          <w:tcPr>
            <w:tcW w:w="815" w:type="dxa"/>
            <w:tcBorders>
              <w:top w:val="nil"/>
              <w:left w:val="nil"/>
              <w:bottom w:val="single" w:sz="4" w:space="0" w:color="000000"/>
              <w:right w:val="nil"/>
            </w:tcBorders>
          </w:tcPr>
          <w:p w14:paraId="61BFE4A3" w14:textId="77777777" w:rsidR="002F1BEE" w:rsidRDefault="005A24ED">
            <w:pPr>
              <w:keepNext/>
              <w:jc w:val="center"/>
              <w:rPr>
                <w:rFonts w:ascii="Arial" w:eastAsia="Arial" w:hAnsi="Arial" w:cs="Arial"/>
                <w:sz w:val="18"/>
                <w:szCs w:val="18"/>
              </w:rPr>
            </w:pPr>
            <w:r>
              <w:rPr>
                <w:rFonts w:ascii="Arial" w:eastAsia="Arial" w:hAnsi="Arial" w:cs="Arial"/>
                <w:sz w:val="18"/>
                <w:szCs w:val="18"/>
              </w:rPr>
              <w:t>0,77</w:t>
            </w:r>
          </w:p>
        </w:tc>
        <w:tc>
          <w:tcPr>
            <w:tcW w:w="815" w:type="dxa"/>
            <w:tcBorders>
              <w:top w:val="nil"/>
              <w:left w:val="nil"/>
              <w:bottom w:val="single" w:sz="4" w:space="0" w:color="000000"/>
              <w:right w:val="nil"/>
            </w:tcBorders>
          </w:tcPr>
          <w:p w14:paraId="19B32938" w14:textId="77777777" w:rsidR="002F1BEE" w:rsidRDefault="005A24ED">
            <w:pPr>
              <w:keepNext/>
              <w:jc w:val="center"/>
              <w:rPr>
                <w:rFonts w:ascii="Arial" w:eastAsia="Arial" w:hAnsi="Arial" w:cs="Arial"/>
                <w:sz w:val="18"/>
                <w:szCs w:val="18"/>
              </w:rPr>
            </w:pPr>
            <w:r>
              <w:rPr>
                <w:rFonts w:ascii="Arial" w:eastAsia="Arial" w:hAnsi="Arial" w:cs="Arial"/>
                <w:sz w:val="18"/>
                <w:szCs w:val="18"/>
              </w:rPr>
              <w:t>0,55</w:t>
            </w:r>
          </w:p>
        </w:tc>
        <w:tc>
          <w:tcPr>
            <w:tcW w:w="931" w:type="dxa"/>
            <w:tcBorders>
              <w:top w:val="nil"/>
              <w:left w:val="nil"/>
              <w:bottom w:val="single" w:sz="4" w:space="0" w:color="000000"/>
              <w:right w:val="nil"/>
            </w:tcBorders>
            <w:vAlign w:val="bottom"/>
          </w:tcPr>
          <w:p w14:paraId="09410152" w14:textId="77777777" w:rsidR="002F1BEE" w:rsidRDefault="005A24ED">
            <w:pPr>
              <w:keepNext/>
              <w:jc w:val="center"/>
              <w:rPr>
                <w:rFonts w:ascii="Arial" w:eastAsia="Arial" w:hAnsi="Arial" w:cs="Arial"/>
                <w:sz w:val="18"/>
                <w:szCs w:val="18"/>
              </w:rPr>
            </w:pPr>
            <w:r>
              <w:rPr>
                <w:rFonts w:ascii="Arial" w:eastAsia="Arial" w:hAnsi="Arial" w:cs="Arial"/>
                <w:color w:val="000000"/>
                <w:sz w:val="18"/>
                <w:szCs w:val="18"/>
              </w:rPr>
              <w:t>0,974</w:t>
            </w:r>
          </w:p>
        </w:tc>
        <w:tc>
          <w:tcPr>
            <w:tcW w:w="1750" w:type="dxa"/>
            <w:tcBorders>
              <w:top w:val="nil"/>
              <w:left w:val="nil"/>
              <w:bottom w:val="single" w:sz="4" w:space="0" w:color="000000"/>
              <w:right w:val="nil"/>
            </w:tcBorders>
          </w:tcPr>
          <w:p w14:paraId="1DDC4E34" w14:textId="77777777" w:rsidR="002F1BEE" w:rsidRDefault="005A24ED">
            <w:pPr>
              <w:keepNext/>
              <w:jc w:val="center"/>
              <w:rPr>
                <w:rFonts w:ascii="Arial" w:eastAsia="Arial" w:hAnsi="Arial" w:cs="Arial"/>
                <w:sz w:val="18"/>
                <w:szCs w:val="18"/>
              </w:rPr>
            </w:pPr>
            <w:r>
              <w:rPr>
                <w:rFonts w:ascii="Arial" w:eastAsia="Arial" w:hAnsi="Arial" w:cs="Arial"/>
                <w:sz w:val="18"/>
                <w:szCs w:val="18"/>
              </w:rPr>
              <w:t xml:space="preserve">Low PBV </w:t>
            </w:r>
          </w:p>
        </w:tc>
      </w:tr>
    </w:tbl>
    <w:p w14:paraId="48EF07DE" w14:textId="77777777" w:rsidR="002F1BEE" w:rsidRDefault="002F1BEE">
      <w:pPr>
        <w:pBdr>
          <w:top w:val="nil"/>
          <w:left w:val="nil"/>
          <w:bottom w:val="nil"/>
          <w:right w:val="nil"/>
          <w:between w:val="nil"/>
        </w:pBdr>
        <w:jc w:val="both"/>
        <w:rPr>
          <w:rFonts w:ascii="Arial" w:eastAsia="Arial" w:hAnsi="Arial" w:cs="Arial"/>
          <w:color w:val="000000"/>
        </w:rPr>
      </w:pPr>
    </w:p>
    <w:p w14:paraId="150DAE49"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table above categorizes the sample companies' firm value, measured by Price to Book Value (PBV), into three categories: Low (&lt;1 time), Medium (1-3 times), and High (&gt;3 times) between 2021-2025. UNVR has the highest corporate valuation and average PBV, however it declined during the observation period. KINO and FLMC have medium business values, indicating fair market valuation. MRAT, TCID, and UCID have PBV ratios below one, indicating market undervaluation. The study employs annual PBV data for statistical testing, although the average PBV value gives a basic idea of firm value.</w:t>
      </w:r>
    </w:p>
    <w:p w14:paraId="48E3E9CE" w14:textId="77777777" w:rsidR="002F1BEE" w:rsidRDefault="002F1BEE">
      <w:pPr>
        <w:pBdr>
          <w:top w:val="nil"/>
          <w:left w:val="nil"/>
          <w:bottom w:val="nil"/>
          <w:right w:val="nil"/>
          <w:between w:val="nil"/>
        </w:pBdr>
        <w:jc w:val="both"/>
        <w:rPr>
          <w:rFonts w:ascii="Arial" w:eastAsia="Arial" w:hAnsi="Arial" w:cs="Arial"/>
          <w:color w:val="000000"/>
        </w:rPr>
      </w:pPr>
    </w:p>
    <w:p w14:paraId="6A8D6205" w14:textId="77777777" w:rsidR="002F1BEE" w:rsidRDefault="005A24ED">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Table 5. Descriptive Statistic Analysis</w:t>
      </w:r>
    </w:p>
    <w:tbl>
      <w:tblPr>
        <w:tblStyle w:val="a6"/>
        <w:tblW w:w="765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88"/>
        <w:gridCol w:w="1080"/>
        <w:gridCol w:w="1080"/>
        <w:gridCol w:w="1080"/>
        <w:gridCol w:w="1328"/>
        <w:gridCol w:w="1699"/>
      </w:tblGrid>
      <w:tr w:rsidR="002F1BEE" w14:paraId="32C4D707" w14:textId="77777777">
        <w:trPr>
          <w:trHeight w:val="274"/>
          <w:jc w:val="center"/>
        </w:trPr>
        <w:tc>
          <w:tcPr>
            <w:tcW w:w="1388" w:type="dxa"/>
          </w:tcPr>
          <w:p w14:paraId="4CF64005" w14:textId="77777777" w:rsidR="002F1BEE" w:rsidRDefault="002F1BEE" w:rsidP="008731C0">
            <w:pPr>
              <w:widowControl w:val="0"/>
              <w:pBdr>
                <w:top w:val="nil"/>
                <w:left w:val="nil"/>
                <w:bottom w:val="nil"/>
                <w:right w:val="nil"/>
                <w:between w:val="nil"/>
              </w:pBdr>
              <w:jc w:val="center"/>
              <w:rPr>
                <w:rFonts w:ascii="Arial" w:eastAsia="Arial" w:hAnsi="Arial" w:cs="Arial"/>
                <w:color w:val="000000"/>
                <w:sz w:val="18"/>
                <w:szCs w:val="18"/>
              </w:rPr>
            </w:pPr>
          </w:p>
        </w:tc>
        <w:tc>
          <w:tcPr>
            <w:tcW w:w="1080" w:type="dxa"/>
            <w:tcBorders>
              <w:right w:val="single" w:sz="4" w:space="0" w:color="000000"/>
            </w:tcBorders>
          </w:tcPr>
          <w:p w14:paraId="1E02D05E" w14:textId="77777777" w:rsidR="002F1BEE" w:rsidRDefault="005A24ED">
            <w:pPr>
              <w:widowControl w:val="0"/>
              <w:pBdr>
                <w:top w:val="nil"/>
                <w:left w:val="nil"/>
                <w:bottom w:val="nil"/>
                <w:right w:val="nil"/>
                <w:between w:val="nil"/>
              </w:pBdr>
              <w:spacing w:before="44" w:line="210" w:lineRule="auto"/>
              <w:ind w:left="15"/>
              <w:jc w:val="center"/>
              <w:rPr>
                <w:rFonts w:ascii="Arial" w:eastAsia="Arial" w:hAnsi="Arial" w:cs="Arial"/>
                <w:color w:val="000000"/>
                <w:sz w:val="18"/>
                <w:szCs w:val="18"/>
              </w:rPr>
            </w:pPr>
            <w:r>
              <w:rPr>
                <w:rFonts w:ascii="Arial" w:eastAsia="Arial" w:hAnsi="Arial" w:cs="Arial"/>
                <w:color w:val="000000"/>
                <w:sz w:val="18"/>
                <w:szCs w:val="18"/>
              </w:rPr>
              <w:t>N</w:t>
            </w:r>
          </w:p>
        </w:tc>
        <w:tc>
          <w:tcPr>
            <w:tcW w:w="1080" w:type="dxa"/>
            <w:tcBorders>
              <w:left w:val="single" w:sz="4" w:space="0" w:color="000000"/>
              <w:right w:val="single" w:sz="4" w:space="0" w:color="000000"/>
            </w:tcBorders>
          </w:tcPr>
          <w:p w14:paraId="6D0063BD" w14:textId="77777777" w:rsidR="002F1BEE" w:rsidRDefault="005A24ED">
            <w:pPr>
              <w:widowControl w:val="0"/>
              <w:pBdr>
                <w:top w:val="nil"/>
                <w:left w:val="nil"/>
                <w:bottom w:val="nil"/>
                <w:right w:val="nil"/>
                <w:between w:val="nil"/>
              </w:pBdr>
              <w:spacing w:before="44" w:line="210" w:lineRule="auto"/>
              <w:ind w:right="118"/>
              <w:jc w:val="center"/>
              <w:rPr>
                <w:rFonts w:ascii="Arial" w:eastAsia="Arial" w:hAnsi="Arial" w:cs="Arial"/>
                <w:color w:val="000000"/>
                <w:sz w:val="18"/>
                <w:szCs w:val="18"/>
              </w:rPr>
            </w:pPr>
            <w:r>
              <w:rPr>
                <w:rFonts w:ascii="Arial" w:eastAsia="Arial" w:hAnsi="Arial" w:cs="Arial"/>
                <w:color w:val="000000"/>
                <w:sz w:val="18"/>
                <w:szCs w:val="18"/>
              </w:rPr>
              <w:t>Minimum</w:t>
            </w:r>
          </w:p>
        </w:tc>
        <w:tc>
          <w:tcPr>
            <w:tcW w:w="1080" w:type="dxa"/>
            <w:tcBorders>
              <w:left w:val="single" w:sz="4" w:space="0" w:color="000000"/>
              <w:right w:val="single" w:sz="4" w:space="0" w:color="000000"/>
            </w:tcBorders>
          </w:tcPr>
          <w:p w14:paraId="42FF2F57" w14:textId="77777777" w:rsidR="002F1BEE" w:rsidRDefault="005A24ED">
            <w:pPr>
              <w:widowControl w:val="0"/>
              <w:pBdr>
                <w:top w:val="nil"/>
                <w:left w:val="nil"/>
                <w:bottom w:val="nil"/>
                <w:right w:val="nil"/>
                <w:between w:val="nil"/>
              </w:pBdr>
              <w:spacing w:before="44" w:line="210" w:lineRule="auto"/>
              <w:ind w:right="91"/>
              <w:jc w:val="center"/>
              <w:rPr>
                <w:rFonts w:ascii="Arial" w:eastAsia="Arial" w:hAnsi="Arial" w:cs="Arial"/>
                <w:color w:val="000000"/>
                <w:sz w:val="18"/>
                <w:szCs w:val="18"/>
              </w:rPr>
            </w:pPr>
            <w:r>
              <w:rPr>
                <w:rFonts w:ascii="Arial" w:eastAsia="Arial" w:hAnsi="Arial" w:cs="Arial"/>
                <w:color w:val="000000"/>
                <w:sz w:val="18"/>
                <w:szCs w:val="18"/>
              </w:rPr>
              <w:t>Maximum</w:t>
            </w:r>
          </w:p>
        </w:tc>
        <w:tc>
          <w:tcPr>
            <w:tcW w:w="1328" w:type="dxa"/>
            <w:tcBorders>
              <w:left w:val="single" w:sz="4" w:space="0" w:color="000000"/>
              <w:right w:val="single" w:sz="4" w:space="0" w:color="000000"/>
            </w:tcBorders>
          </w:tcPr>
          <w:p w14:paraId="52C7E2D0" w14:textId="77777777" w:rsidR="002F1BEE" w:rsidRDefault="005A24ED">
            <w:pPr>
              <w:widowControl w:val="0"/>
              <w:pBdr>
                <w:top w:val="nil"/>
                <w:left w:val="nil"/>
                <w:bottom w:val="nil"/>
                <w:right w:val="nil"/>
                <w:between w:val="nil"/>
              </w:pBdr>
              <w:spacing w:before="44" w:line="210" w:lineRule="auto"/>
              <w:ind w:left="424"/>
              <w:jc w:val="center"/>
              <w:rPr>
                <w:rFonts w:ascii="Arial" w:eastAsia="Arial" w:hAnsi="Arial" w:cs="Arial"/>
                <w:color w:val="000000"/>
                <w:sz w:val="18"/>
                <w:szCs w:val="18"/>
              </w:rPr>
            </w:pPr>
            <w:r>
              <w:rPr>
                <w:rFonts w:ascii="Arial" w:eastAsia="Arial" w:hAnsi="Arial" w:cs="Arial"/>
                <w:color w:val="000000"/>
                <w:sz w:val="18"/>
                <w:szCs w:val="18"/>
              </w:rPr>
              <w:t>Mean</w:t>
            </w:r>
          </w:p>
        </w:tc>
        <w:tc>
          <w:tcPr>
            <w:tcW w:w="1699" w:type="dxa"/>
            <w:tcBorders>
              <w:left w:val="single" w:sz="4" w:space="0" w:color="000000"/>
            </w:tcBorders>
          </w:tcPr>
          <w:p w14:paraId="595526F8" w14:textId="77777777" w:rsidR="002F1BEE" w:rsidRDefault="005A24ED">
            <w:pPr>
              <w:widowControl w:val="0"/>
              <w:pBdr>
                <w:top w:val="nil"/>
                <w:left w:val="nil"/>
                <w:bottom w:val="nil"/>
                <w:right w:val="nil"/>
                <w:between w:val="nil"/>
              </w:pBdr>
              <w:spacing w:before="44" w:line="210" w:lineRule="auto"/>
              <w:ind w:left="239"/>
              <w:jc w:val="center"/>
              <w:rPr>
                <w:rFonts w:ascii="Arial" w:eastAsia="Arial" w:hAnsi="Arial" w:cs="Arial"/>
                <w:color w:val="000000"/>
                <w:sz w:val="18"/>
                <w:szCs w:val="18"/>
              </w:rPr>
            </w:pPr>
            <w:r>
              <w:rPr>
                <w:rFonts w:ascii="Arial" w:eastAsia="Arial" w:hAnsi="Arial" w:cs="Arial"/>
                <w:color w:val="000000"/>
                <w:sz w:val="18"/>
                <w:szCs w:val="18"/>
              </w:rPr>
              <w:t>Std. Deviation</w:t>
            </w:r>
          </w:p>
        </w:tc>
      </w:tr>
      <w:tr w:rsidR="002F1BEE" w14:paraId="6F8815C8" w14:textId="77777777">
        <w:trPr>
          <w:trHeight w:val="265"/>
          <w:jc w:val="center"/>
        </w:trPr>
        <w:tc>
          <w:tcPr>
            <w:tcW w:w="1388" w:type="dxa"/>
            <w:tcBorders>
              <w:bottom w:val="nil"/>
            </w:tcBorders>
          </w:tcPr>
          <w:p w14:paraId="447A06B4" w14:textId="77777777" w:rsidR="002F1BEE" w:rsidRDefault="005A24ED">
            <w:pPr>
              <w:widowControl w:val="0"/>
              <w:pBdr>
                <w:top w:val="nil"/>
                <w:left w:val="nil"/>
                <w:bottom w:val="nil"/>
                <w:right w:val="nil"/>
                <w:between w:val="nil"/>
              </w:pBdr>
              <w:spacing w:line="229" w:lineRule="auto"/>
              <w:ind w:left="92"/>
              <w:rPr>
                <w:rFonts w:ascii="Arial" w:eastAsia="Arial" w:hAnsi="Arial" w:cs="Arial"/>
                <w:color w:val="000000"/>
                <w:sz w:val="18"/>
                <w:szCs w:val="18"/>
              </w:rPr>
            </w:pPr>
            <w:r>
              <w:rPr>
                <w:rFonts w:ascii="Arial" w:eastAsia="Arial" w:hAnsi="Arial" w:cs="Arial"/>
                <w:color w:val="000000"/>
                <w:sz w:val="18"/>
                <w:szCs w:val="18"/>
              </w:rPr>
              <w:t>CSR</w:t>
            </w:r>
          </w:p>
        </w:tc>
        <w:tc>
          <w:tcPr>
            <w:tcW w:w="1080" w:type="dxa"/>
            <w:tcBorders>
              <w:bottom w:val="nil"/>
              <w:right w:val="single" w:sz="4" w:space="0" w:color="000000"/>
            </w:tcBorders>
          </w:tcPr>
          <w:p w14:paraId="185FF518" w14:textId="77777777" w:rsidR="002F1BEE" w:rsidRDefault="005A24ED">
            <w:pPr>
              <w:widowControl w:val="0"/>
              <w:pBdr>
                <w:top w:val="nil"/>
                <w:left w:val="nil"/>
                <w:bottom w:val="nil"/>
                <w:right w:val="nil"/>
                <w:between w:val="nil"/>
              </w:pBdr>
              <w:spacing w:before="20" w:line="225" w:lineRule="auto"/>
              <w:ind w:right="77"/>
              <w:jc w:val="center"/>
              <w:rPr>
                <w:rFonts w:ascii="Arial" w:eastAsia="Arial" w:hAnsi="Arial" w:cs="Arial"/>
                <w:color w:val="000000"/>
                <w:sz w:val="18"/>
                <w:szCs w:val="18"/>
              </w:rPr>
            </w:pPr>
            <w:r>
              <w:rPr>
                <w:rFonts w:ascii="Arial" w:eastAsia="Arial" w:hAnsi="Arial" w:cs="Arial"/>
                <w:color w:val="000000"/>
                <w:sz w:val="18"/>
                <w:szCs w:val="18"/>
              </w:rPr>
              <w:t>30</w:t>
            </w:r>
          </w:p>
        </w:tc>
        <w:tc>
          <w:tcPr>
            <w:tcW w:w="1080" w:type="dxa"/>
            <w:tcBorders>
              <w:left w:val="single" w:sz="4" w:space="0" w:color="000000"/>
              <w:bottom w:val="nil"/>
              <w:right w:val="single" w:sz="4" w:space="0" w:color="000000"/>
            </w:tcBorders>
          </w:tcPr>
          <w:p w14:paraId="344A5B0F" w14:textId="77777777" w:rsidR="002F1BEE" w:rsidRDefault="005A24ED">
            <w:pPr>
              <w:widowControl w:val="0"/>
              <w:pBdr>
                <w:top w:val="nil"/>
                <w:left w:val="nil"/>
                <w:bottom w:val="nil"/>
                <w:right w:val="nil"/>
                <w:between w:val="nil"/>
              </w:pBdr>
              <w:spacing w:before="20" w:line="225" w:lineRule="auto"/>
              <w:ind w:right="77"/>
              <w:jc w:val="center"/>
              <w:rPr>
                <w:rFonts w:ascii="Arial" w:eastAsia="Arial" w:hAnsi="Arial" w:cs="Arial"/>
                <w:color w:val="000000"/>
                <w:sz w:val="18"/>
                <w:szCs w:val="18"/>
              </w:rPr>
            </w:pPr>
            <w:r>
              <w:rPr>
                <w:rFonts w:ascii="Arial" w:eastAsia="Arial" w:hAnsi="Arial" w:cs="Arial"/>
                <w:color w:val="000000"/>
                <w:sz w:val="18"/>
                <w:szCs w:val="18"/>
              </w:rPr>
              <w:t>21,36</w:t>
            </w:r>
          </w:p>
        </w:tc>
        <w:tc>
          <w:tcPr>
            <w:tcW w:w="1080" w:type="dxa"/>
            <w:tcBorders>
              <w:left w:val="single" w:sz="4" w:space="0" w:color="000000"/>
              <w:bottom w:val="nil"/>
              <w:right w:val="single" w:sz="4" w:space="0" w:color="000000"/>
            </w:tcBorders>
          </w:tcPr>
          <w:p w14:paraId="239410EA" w14:textId="77777777" w:rsidR="002F1BEE" w:rsidRDefault="005A24ED">
            <w:pPr>
              <w:widowControl w:val="0"/>
              <w:pBdr>
                <w:top w:val="nil"/>
                <w:left w:val="nil"/>
                <w:bottom w:val="nil"/>
                <w:right w:val="nil"/>
                <w:between w:val="nil"/>
              </w:pBdr>
              <w:spacing w:before="20" w:line="225" w:lineRule="auto"/>
              <w:ind w:right="76"/>
              <w:jc w:val="center"/>
              <w:rPr>
                <w:rFonts w:ascii="Arial" w:eastAsia="Arial" w:hAnsi="Arial" w:cs="Arial"/>
                <w:color w:val="000000"/>
                <w:sz w:val="18"/>
                <w:szCs w:val="18"/>
              </w:rPr>
            </w:pPr>
            <w:r>
              <w:rPr>
                <w:rFonts w:ascii="Arial" w:eastAsia="Arial" w:hAnsi="Arial" w:cs="Arial"/>
                <w:color w:val="000000"/>
                <w:sz w:val="18"/>
                <w:szCs w:val="18"/>
              </w:rPr>
              <w:t>77,77</w:t>
            </w:r>
          </w:p>
        </w:tc>
        <w:tc>
          <w:tcPr>
            <w:tcW w:w="1328" w:type="dxa"/>
            <w:tcBorders>
              <w:left w:val="single" w:sz="4" w:space="0" w:color="000000"/>
              <w:bottom w:val="nil"/>
              <w:right w:val="single" w:sz="4" w:space="0" w:color="000000"/>
            </w:tcBorders>
          </w:tcPr>
          <w:p w14:paraId="025998E9" w14:textId="77777777" w:rsidR="002F1BEE" w:rsidRDefault="005A24ED">
            <w:pPr>
              <w:widowControl w:val="0"/>
              <w:pBdr>
                <w:top w:val="nil"/>
                <w:left w:val="nil"/>
                <w:bottom w:val="nil"/>
                <w:right w:val="nil"/>
                <w:between w:val="nil"/>
              </w:pBdr>
              <w:spacing w:before="20" w:line="225" w:lineRule="auto"/>
              <w:ind w:right="77"/>
              <w:jc w:val="center"/>
              <w:rPr>
                <w:rFonts w:ascii="Arial" w:eastAsia="Arial" w:hAnsi="Arial" w:cs="Arial"/>
                <w:color w:val="000000"/>
                <w:sz w:val="18"/>
                <w:szCs w:val="18"/>
              </w:rPr>
            </w:pPr>
            <w:r>
              <w:rPr>
                <w:rFonts w:ascii="Arial" w:eastAsia="Arial" w:hAnsi="Arial" w:cs="Arial"/>
                <w:color w:val="000000"/>
                <w:sz w:val="18"/>
                <w:szCs w:val="18"/>
              </w:rPr>
              <w:t>52,7916</w:t>
            </w:r>
          </w:p>
        </w:tc>
        <w:tc>
          <w:tcPr>
            <w:tcW w:w="1699" w:type="dxa"/>
            <w:tcBorders>
              <w:left w:val="single" w:sz="4" w:space="0" w:color="000000"/>
              <w:bottom w:val="nil"/>
            </w:tcBorders>
          </w:tcPr>
          <w:p w14:paraId="424BC317" w14:textId="77777777" w:rsidR="002F1BEE" w:rsidRDefault="005A24ED">
            <w:pPr>
              <w:widowControl w:val="0"/>
              <w:pBdr>
                <w:top w:val="nil"/>
                <w:left w:val="nil"/>
                <w:bottom w:val="nil"/>
                <w:right w:val="nil"/>
                <w:between w:val="nil"/>
              </w:pBdr>
              <w:spacing w:before="20" w:line="225" w:lineRule="auto"/>
              <w:ind w:right="62"/>
              <w:jc w:val="center"/>
              <w:rPr>
                <w:rFonts w:ascii="Arial" w:eastAsia="Arial" w:hAnsi="Arial" w:cs="Arial"/>
                <w:color w:val="000000"/>
                <w:sz w:val="18"/>
                <w:szCs w:val="18"/>
              </w:rPr>
            </w:pPr>
            <w:r>
              <w:rPr>
                <w:rFonts w:ascii="Arial" w:eastAsia="Arial" w:hAnsi="Arial" w:cs="Arial"/>
                <w:color w:val="000000"/>
                <w:sz w:val="18"/>
                <w:szCs w:val="18"/>
              </w:rPr>
              <w:t>15,37902</w:t>
            </w:r>
          </w:p>
        </w:tc>
      </w:tr>
      <w:tr w:rsidR="002F1BEE" w14:paraId="4CB08A81" w14:textId="77777777">
        <w:trPr>
          <w:trHeight w:val="273"/>
          <w:jc w:val="center"/>
        </w:trPr>
        <w:tc>
          <w:tcPr>
            <w:tcW w:w="1388" w:type="dxa"/>
            <w:tcBorders>
              <w:top w:val="nil"/>
              <w:bottom w:val="nil"/>
            </w:tcBorders>
          </w:tcPr>
          <w:p w14:paraId="52B894FD" w14:textId="77777777" w:rsidR="002F1BEE" w:rsidRDefault="005A24ED">
            <w:pPr>
              <w:widowControl w:val="0"/>
              <w:pBdr>
                <w:top w:val="nil"/>
                <w:left w:val="nil"/>
                <w:bottom w:val="nil"/>
                <w:right w:val="nil"/>
                <w:between w:val="nil"/>
              </w:pBdr>
              <w:spacing w:before="7"/>
              <w:ind w:left="92"/>
              <w:rPr>
                <w:rFonts w:ascii="Arial" w:eastAsia="Arial" w:hAnsi="Arial" w:cs="Arial"/>
                <w:color w:val="000000"/>
                <w:sz w:val="18"/>
                <w:szCs w:val="18"/>
              </w:rPr>
            </w:pPr>
            <w:r>
              <w:rPr>
                <w:rFonts w:ascii="Arial" w:eastAsia="Arial" w:hAnsi="Arial" w:cs="Arial"/>
                <w:color w:val="000000"/>
                <w:sz w:val="18"/>
                <w:szCs w:val="18"/>
              </w:rPr>
              <w:t>ROA</w:t>
            </w:r>
          </w:p>
        </w:tc>
        <w:tc>
          <w:tcPr>
            <w:tcW w:w="1080" w:type="dxa"/>
            <w:tcBorders>
              <w:top w:val="nil"/>
              <w:bottom w:val="nil"/>
              <w:right w:val="single" w:sz="4" w:space="0" w:color="000000"/>
            </w:tcBorders>
          </w:tcPr>
          <w:p w14:paraId="0E388727" w14:textId="77777777" w:rsidR="002F1BEE" w:rsidRDefault="005A24ED">
            <w:pPr>
              <w:widowControl w:val="0"/>
              <w:pBdr>
                <w:top w:val="nil"/>
                <w:left w:val="nil"/>
                <w:bottom w:val="nil"/>
                <w:right w:val="nil"/>
                <w:between w:val="nil"/>
              </w:pBdr>
              <w:spacing w:before="29" w:line="225" w:lineRule="auto"/>
              <w:ind w:right="77"/>
              <w:jc w:val="center"/>
              <w:rPr>
                <w:rFonts w:ascii="Arial" w:eastAsia="Arial" w:hAnsi="Arial" w:cs="Arial"/>
                <w:color w:val="000000"/>
                <w:sz w:val="18"/>
                <w:szCs w:val="18"/>
              </w:rPr>
            </w:pPr>
            <w:r>
              <w:rPr>
                <w:rFonts w:ascii="Arial" w:eastAsia="Arial" w:hAnsi="Arial" w:cs="Arial"/>
                <w:color w:val="000000"/>
                <w:sz w:val="18"/>
                <w:szCs w:val="18"/>
              </w:rPr>
              <w:t>30</w:t>
            </w:r>
          </w:p>
        </w:tc>
        <w:tc>
          <w:tcPr>
            <w:tcW w:w="1080" w:type="dxa"/>
            <w:tcBorders>
              <w:top w:val="nil"/>
              <w:left w:val="single" w:sz="4" w:space="0" w:color="000000"/>
              <w:bottom w:val="nil"/>
              <w:right w:val="single" w:sz="4" w:space="0" w:color="000000"/>
            </w:tcBorders>
          </w:tcPr>
          <w:p w14:paraId="29A5A375" w14:textId="77777777" w:rsidR="002F1BEE" w:rsidRDefault="005A24ED">
            <w:pPr>
              <w:widowControl w:val="0"/>
              <w:pBdr>
                <w:top w:val="nil"/>
                <w:left w:val="nil"/>
                <w:bottom w:val="nil"/>
                <w:right w:val="nil"/>
                <w:between w:val="nil"/>
              </w:pBdr>
              <w:spacing w:before="29" w:line="225" w:lineRule="auto"/>
              <w:ind w:right="76"/>
              <w:jc w:val="center"/>
              <w:rPr>
                <w:rFonts w:ascii="Arial" w:eastAsia="Arial" w:hAnsi="Arial" w:cs="Arial"/>
                <w:color w:val="000000"/>
                <w:sz w:val="18"/>
                <w:szCs w:val="18"/>
              </w:rPr>
            </w:pPr>
            <w:r>
              <w:rPr>
                <w:rFonts w:ascii="Arial" w:eastAsia="Arial" w:hAnsi="Arial" w:cs="Arial"/>
                <w:color w:val="000000"/>
                <w:sz w:val="18"/>
                <w:szCs w:val="18"/>
              </w:rPr>
              <w:t>,07</w:t>
            </w:r>
          </w:p>
        </w:tc>
        <w:tc>
          <w:tcPr>
            <w:tcW w:w="1080" w:type="dxa"/>
            <w:tcBorders>
              <w:top w:val="nil"/>
              <w:left w:val="single" w:sz="4" w:space="0" w:color="000000"/>
              <w:bottom w:val="nil"/>
              <w:right w:val="single" w:sz="4" w:space="0" w:color="000000"/>
            </w:tcBorders>
          </w:tcPr>
          <w:p w14:paraId="527C937F" w14:textId="77777777" w:rsidR="002F1BEE" w:rsidRDefault="005A24ED">
            <w:pPr>
              <w:widowControl w:val="0"/>
              <w:pBdr>
                <w:top w:val="nil"/>
                <w:left w:val="nil"/>
                <w:bottom w:val="nil"/>
                <w:right w:val="nil"/>
                <w:between w:val="nil"/>
              </w:pBdr>
              <w:spacing w:before="29" w:line="225" w:lineRule="auto"/>
              <w:ind w:right="76"/>
              <w:jc w:val="center"/>
              <w:rPr>
                <w:rFonts w:ascii="Arial" w:eastAsia="Arial" w:hAnsi="Arial" w:cs="Arial"/>
                <w:color w:val="000000"/>
                <w:sz w:val="18"/>
                <w:szCs w:val="18"/>
              </w:rPr>
            </w:pPr>
            <w:r>
              <w:rPr>
                <w:rFonts w:ascii="Arial" w:eastAsia="Arial" w:hAnsi="Arial" w:cs="Arial"/>
                <w:color w:val="000000"/>
                <w:sz w:val="18"/>
                <w:szCs w:val="18"/>
              </w:rPr>
              <w:t>56,16</w:t>
            </w:r>
          </w:p>
        </w:tc>
        <w:tc>
          <w:tcPr>
            <w:tcW w:w="1328" w:type="dxa"/>
            <w:tcBorders>
              <w:top w:val="nil"/>
              <w:left w:val="single" w:sz="4" w:space="0" w:color="000000"/>
              <w:bottom w:val="nil"/>
              <w:right w:val="single" w:sz="4" w:space="0" w:color="000000"/>
            </w:tcBorders>
          </w:tcPr>
          <w:p w14:paraId="103360BB" w14:textId="77777777" w:rsidR="002F1BEE" w:rsidRDefault="005A24ED">
            <w:pPr>
              <w:widowControl w:val="0"/>
              <w:pBdr>
                <w:top w:val="nil"/>
                <w:left w:val="nil"/>
                <w:bottom w:val="nil"/>
                <w:right w:val="nil"/>
                <w:between w:val="nil"/>
              </w:pBdr>
              <w:spacing w:before="29" w:line="225" w:lineRule="auto"/>
              <w:ind w:right="77"/>
              <w:jc w:val="center"/>
              <w:rPr>
                <w:rFonts w:ascii="Arial" w:eastAsia="Arial" w:hAnsi="Arial" w:cs="Arial"/>
                <w:color w:val="000000"/>
                <w:sz w:val="18"/>
                <w:szCs w:val="18"/>
              </w:rPr>
            </w:pPr>
            <w:r>
              <w:rPr>
                <w:rFonts w:ascii="Arial" w:eastAsia="Arial" w:hAnsi="Arial" w:cs="Arial"/>
                <w:color w:val="000000"/>
                <w:sz w:val="18"/>
                <w:szCs w:val="18"/>
              </w:rPr>
              <w:t>10,9661</w:t>
            </w:r>
          </w:p>
        </w:tc>
        <w:tc>
          <w:tcPr>
            <w:tcW w:w="1699" w:type="dxa"/>
            <w:tcBorders>
              <w:top w:val="nil"/>
              <w:left w:val="single" w:sz="4" w:space="0" w:color="000000"/>
              <w:bottom w:val="nil"/>
            </w:tcBorders>
          </w:tcPr>
          <w:p w14:paraId="1E12A780" w14:textId="77777777" w:rsidR="002F1BEE" w:rsidRDefault="005A24ED">
            <w:pPr>
              <w:widowControl w:val="0"/>
              <w:pBdr>
                <w:top w:val="nil"/>
                <w:left w:val="nil"/>
                <w:bottom w:val="nil"/>
                <w:right w:val="nil"/>
                <w:between w:val="nil"/>
              </w:pBdr>
              <w:spacing w:before="29" w:line="225" w:lineRule="auto"/>
              <w:ind w:right="62"/>
              <w:jc w:val="center"/>
              <w:rPr>
                <w:rFonts w:ascii="Arial" w:eastAsia="Arial" w:hAnsi="Arial" w:cs="Arial"/>
                <w:color w:val="000000"/>
                <w:sz w:val="18"/>
                <w:szCs w:val="18"/>
              </w:rPr>
            </w:pPr>
            <w:r>
              <w:rPr>
                <w:rFonts w:ascii="Arial" w:eastAsia="Arial" w:hAnsi="Arial" w:cs="Arial"/>
                <w:color w:val="000000"/>
                <w:sz w:val="18"/>
                <w:szCs w:val="18"/>
              </w:rPr>
              <w:t>13,72301</w:t>
            </w:r>
          </w:p>
        </w:tc>
      </w:tr>
      <w:tr w:rsidR="002F1BEE" w14:paraId="79EA7965" w14:textId="77777777">
        <w:trPr>
          <w:trHeight w:val="271"/>
          <w:jc w:val="center"/>
        </w:trPr>
        <w:tc>
          <w:tcPr>
            <w:tcW w:w="1388" w:type="dxa"/>
            <w:tcBorders>
              <w:top w:val="nil"/>
              <w:bottom w:val="nil"/>
            </w:tcBorders>
          </w:tcPr>
          <w:p w14:paraId="2BBE48C3" w14:textId="77777777" w:rsidR="002F1BEE" w:rsidRDefault="005A24ED">
            <w:pPr>
              <w:widowControl w:val="0"/>
              <w:pBdr>
                <w:top w:val="nil"/>
                <w:left w:val="nil"/>
                <w:bottom w:val="nil"/>
                <w:right w:val="nil"/>
                <w:between w:val="nil"/>
              </w:pBdr>
              <w:spacing w:before="7"/>
              <w:ind w:left="92"/>
              <w:rPr>
                <w:rFonts w:ascii="Arial" w:eastAsia="Arial" w:hAnsi="Arial" w:cs="Arial"/>
                <w:color w:val="000000"/>
                <w:sz w:val="18"/>
                <w:szCs w:val="18"/>
              </w:rPr>
            </w:pPr>
            <w:r>
              <w:rPr>
                <w:rFonts w:ascii="Arial" w:eastAsia="Arial" w:hAnsi="Arial" w:cs="Arial"/>
                <w:color w:val="000000"/>
                <w:sz w:val="18"/>
                <w:szCs w:val="18"/>
              </w:rPr>
              <w:t>PBV</w:t>
            </w:r>
          </w:p>
        </w:tc>
        <w:tc>
          <w:tcPr>
            <w:tcW w:w="1080" w:type="dxa"/>
            <w:tcBorders>
              <w:top w:val="nil"/>
              <w:bottom w:val="nil"/>
              <w:right w:val="single" w:sz="4" w:space="0" w:color="000000"/>
            </w:tcBorders>
          </w:tcPr>
          <w:p w14:paraId="3DFA28C5" w14:textId="77777777" w:rsidR="002F1BEE" w:rsidRDefault="005A24ED">
            <w:pPr>
              <w:widowControl w:val="0"/>
              <w:pBdr>
                <w:top w:val="nil"/>
                <w:left w:val="nil"/>
                <w:bottom w:val="nil"/>
                <w:right w:val="nil"/>
                <w:between w:val="nil"/>
              </w:pBdr>
              <w:spacing w:before="27" w:line="225" w:lineRule="auto"/>
              <w:ind w:right="77"/>
              <w:jc w:val="center"/>
              <w:rPr>
                <w:rFonts w:ascii="Arial" w:eastAsia="Arial" w:hAnsi="Arial" w:cs="Arial"/>
                <w:color w:val="000000"/>
                <w:sz w:val="18"/>
                <w:szCs w:val="18"/>
              </w:rPr>
            </w:pPr>
            <w:r>
              <w:rPr>
                <w:rFonts w:ascii="Arial" w:eastAsia="Arial" w:hAnsi="Arial" w:cs="Arial"/>
                <w:color w:val="000000"/>
                <w:sz w:val="18"/>
                <w:szCs w:val="18"/>
              </w:rPr>
              <w:t>30</w:t>
            </w:r>
          </w:p>
        </w:tc>
        <w:tc>
          <w:tcPr>
            <w:tcW w:w="1080" w:type="dxa"/>
            <w:tcBorders>
              <w:top w:val="nil"/>
              <w:left w:val="single" w:sz="4" w:space="0" w:color="000000"/>
              <w:bottom w:val="nil"/>
              <w:right w:val="single" w:sz="4" w:space="0" w:color="000000"/>
            </w:tcBorders>
          </w:tcPr>
          <w:p w14:paraId="40FAF5CB" w14:textId="77777777" w:rsidR="002F1BEE" w:rsidRDefault="005A24ED">
            <w:pPr>
              <w:widowControl w:val="0"/>
              <w:pBdr>
                <w:top w:val="nil"/>
                <w:left w:val="nil"/>
                <w:bottom w:val="nil"/>
                <w:right w:val="nil"/>
                <w:between w:val="nil"/>
              </w:pBdr>
              <w:spacing w:before="27" w:line="225" w:lineRule="auto"/>
              <w:ind w:right="76"/>
              <w:jc w:val="center"/>
              <w:rPr>
                <w:rFonts w:ascii="Arial" w:eastAsia="Arial" w:hAnsi="Arial" w:cs="Arial"/>
                <w:color w:val="000000"/>
                <w:sz w:val="18"/>
                <w:szCs w:val="18"/>
              </w:rPr>
            </w:pPr>
            <w:r>
              <w:rPr>
                <w:rFonts w:ascii="Arial" w:eastAsia="Arial" w:hAnsi="Arial" w:cs="Arial"/>
                <w:color w:val="000000"/>
                <w:sz w:val="18"/>
                <w:szCs w:val="18"/>
              </w:rPr>
              <w:t>,17</w:t>
            </w:r>
          </w:p>
        </w:tc>
        <w:tc>
          <w:tcPr>
            <w:tcW w:w="1080" w:type="dxa"/>
            <w:tcBorders>
              <w:top w:val="nil"/>
              <w:left w:val="single" w:sz="4" w:space="0" w:color="000000"/>
              <w:bottom w:val="nil"/>
              <w:right w:val="single" w:sz="4" w:space="0" w:color="000000"/>
            </w:tcBorders>
          </w:tcPr>
          <w:p w14:paraId="76B4399F" w14:textId="77777777" w:rsidR="002F1BEE" w:rsidRDefault="005A24ED">
            <w:pPr>
              <w:widowControl w:val="0"/>
              <w:pBdr>
                <w:top w:val="nil"/>
                <w:left w:val="nil"/>
                <w:bottom w:val="nil"/>
                <w:right w:val="nil"/>
                <w:between w:val="nil"/>
              </w:pBdr>
              <w:spacing w:before="27" w:line="225" w:lineRule="auto"/>
              <w:ind w:right="76"/>
              <w:jc w:val="center"/>
              <w:rPr>
                <w:rFonts w:ascii="Arial" w:eastAsia="Arial" w:hAnsi="Arial" w:cs="Arial"/>
                <w:color w:val="000000"/>
                <w:sz w:val="18"/>
                <w:szCs w:val="18"/>
              </w:rPr>
            </w:pPr>
            <w:r>
              <w:rPr>
                <w:rFonts w:ascii="Arial" w:eastAsia="Arial" w:hAnsi="Arial" w:cs="Arial"/>
                <w:color w:val="000000"/>
                <w:sz w:val="18"/>
                <w:szCs w:val="18"/>
              </w:rPr>
              <w:t>43,83</w:t>
            </w:r>
          </w:p>
        </w:tc>
        <w:tc>
          <w:tcPr>
            <w:tcW w:w="1328" w:type="dxa"/>
            <w:tcBorders>
              <w:top w:val="nil"/>
              <w:left w:val="single" w:sz="4" w:space="0" w:color="000000"/>
              <w:bottom w:val="nil"/>
              <w:right w:val="single" w:sz="4" w:space="0" w:color="000000"/>
            </w:tcBorders>
          </w:tcPr>
          <w:p w14:paraId="7B137089" w14:textId="77777777" w:rsidR="002F1BEE" w:rsidRDefault="005A24ED">
            <w:pPr>
              <w:widowControl w:val="0"/>
              <w:pBdr>
                <w:top w:val="nil"/>
                <w:left w:val="nil"/>
                <w:bottom w:val="nil"/>
                <w:right w:val="nil"/>
                <w:between w:val="nil"/>
              </w:pBdr>
              <w:spacing w:before="27" w:line="225" w:lineRule="auto"/>
              <w:ind w:right="77"/>
              <w:jc w:val="center"/>
              <w:rPr>
                <w:rFonts w:ascii="Arial" w:eastAsia="Arial" w:hAnsi="Arial" w:cs="Arial"/>
                <w:color w:val="000000"/>
                <w:sz w:val="18"/>
                <w:szCs w:val="18"/>
              </w:rPr>
            </w:pPr>
            <w:r>
              <w:rPr>
                <w:rFonts w:ascii="Arial" w:eastAsia="Arial" w:hAnsi="Arial" w:cs="Arial"/>
                <w:color w:val="000000"/>
                <w:sz w:val="18"/>
                <w:szCs w:val="18"/>
              </w:rPr>
              <w:t>5,7691</w:t>
            </w:r>
          </w:p>
        </w:tc>
        <w:tc>
          <w:tcPr>
            <w:tcW w:w="1699" w:type="dxa"/>
            <w:tcBorders>
              <w:top w:val="nil"/>
              <w:left w:val="single" w:sz="4" w:space="0" w:color="000000"/>
              <w:bottom w:val="nil"/>
            </w:tcBorders>
          </w:tcPr>
          <w:p w14:paraId="33D127A3" w14:textId="77777777" w:rsidR="002F1BEE" w:rsidRDefault="005A24ED">
            <w:pPr>
              <w:widowControl w:val="0"/>
              <w:pBdr>
                <w:top w:val="nil"/>
                <w:left w:val="nil"/>
                <w:bottom w:val="nil"/>
                <w:right w:val="nil"/>
                <w:between w:val="nil"/>
              </w:pBdr>
              <w:spacing w:before="27" w:line="225" w:lineRule="auto"/>
              <w:ind w:right="62"/>
              <w:jc w:val="center"/>
              <w:rPr>
                <w:rFonts w:ascii="Arial" w:eastAsia="Arial" w:hAnsi="Arial" w:cs="Arial"/>
                <w:color w:val="000000"/>
                <w:sz w:val="18"/>
                <w:szCs w:val="18"/>
              </w:rPr>
            </w:pPr>
            <w:r>
              <w:rPr>
                <w:rFonts w:ascii="Arial" w:eastAsia="Arial" w:hAnsi="Arial" w:cs="Arial"/>
                <w:color w:val="000000"/>
                <w:sz w:val="18"/>
                <w:szCs w:val="18"/>
              </w:rPr>
              <w:t>11,52322</w:t>
            </w:r>
          </w:p>
        </w:tc>
      </w:tr>
      <w:tr w:rsidR="002F1BEE" w14:paraId="345E0D05" w14:textId="77777777">
        <w:trPr>
          <w:trHeight w:val="470"/>
          <w:jc w:val="center"/>
        </w:trPr>
        <w:tc>
          <w:tcPr>
            <w:tcW w:w="1388" w:type="dxa"/>
            <w:tcBorders>
              <w:top w:val="nil"/>
            </w:tcBorders>
          </w:tcPr>
          <w:p w14:paraId="33400816" w14:textId="77777777" w:rsidR="002F1BEE" w:rsidRDefault="005A24ED">
            <w:pPr>
              <w:widowControl w:val="0"/>
              <w:pBdr>
                <w:top w:val="nil"/>
                <w:left w:val="nil"/>
                <w:bottom w:val="nil"/>
                <w:right w:val="nil"/>
                <w:between w:val="nil"/>
              </w:pBdr>
              <w:spacing w:line="275" w:lineRule="auto"/>
              <w:ind w:left="92" w:right="488"/>
              <w:rPr>
                <w:rFonts w:ascii="Arial" w:eastAsia="Arial" w:hAnsi="Arial" w:cs="Arial"/>
                <w:color w:val="000000"/>
                <w:sz w:val="18"/>
                <w:szCs w:val="18"/>
              </w:rPr>
            </w:pPr>
            <w:r>
              <w:rPr>
                <w:rFonts w:ascii="Arial" w:eastAsia="Arial" w:hAnsi="Arial" w:cs="Arial"/>
                <w:color w:val="000000"/>
                <w:sz w:val="18"/>
                <w:szCs w:val="18"/>
              </w:rPr>
              <w:t>Valid N (listwise)</w:t>
            </w:r>
          </w:p>
        </w:tc>
        <w:tc>
          <w:tcPr>
            <w:tcW w:w="1080" w:type="dxa"/>
            <w:tcBorders>
              <w:top w:val="nil"/>
              <w:right w:val="single" w:sz="4" w:space="0" w:color="000000"/>
            </w:tcBorders>
          </w:tcPr>
          <w:p w14:paraId="3A82F927" w14:textId="77777777" w:rsidR="002F1BEE" w:rsidRDefault="005A24ED">
            <w:pPr>
              <w:widowControl w:val="0"/>
              <w:pBdr>
                <w:top w:val="nil"/>
                <w:left w:val="nil"/>
                <w:bottom w:val="nil"/>
                <w:right w:val="nil"/>
                <w:between w:val="nil"/>
              </w:pBdr>
              <w:spacing w:before="122"/>
              <w:ind w:right="77"/>
              <w:jc w:val="center"/>
              <w:rPr>
                <w:rFonts w:ascii="Arial" w:eastAsia="Arial" w:hAnsi="Arial" w:cs="Arial"/>
                <w:color w:val="000000"/>
                <w:sz w:val="18"/>
                <w:szCs w:val="18"/>
              </w:rPr>
            </w:pPr>
            <w:r>
              <w:rPr>
                <w:rFonts w:ascii="Arial" w:eastAsia="Arial" w:hAnsi="Arial" w:cs="Arial"/>
                <w:color w:val="000000"/>
                <w:sz w:val="18"/>
                <w:szCs w:val="18"/>
              </w:rPr>
              <w:t>30</w:t>
            </w:r>
          </w:p>
        </w:tc>
        <w:tc>
          <w:tcPr>
            <w:tcW w:w="1080" w:type="dxa"/>
            <w:tcBorders>
              <w:top w:val="nil"/>
              <w:left w:val="single" w:sz="4" w:space="0" w:color="000000"/>
              <w:right w:val="single" w:sz="4" w:space="0" w:color="000000"/>
            </w:tcBorders>
          </w:tcPr>
          <w:p w14:paraId="4D9D19BF" w14:textId="77777777" w:rsidR="002F1BEE" w:rsidRDefault="002F1BEE">
            <w:pPr>
              <w:widowControl w:val="0"/>
              <w:pBdr>
                <w:top w:val="nil"/>
                <w:left w:val="nil"/>
                <w:bottom w:val="nil"/>
                <w:right w:val="nil"/>
                <w:between w:val="nil"/>
              </w:pBdr>
              <w:jc w:val="center"/>
              <w:rPr>
                <w:rFonts w:ascii="Arial" w:eastAsia="Arial" w:hAnsi="Arial" w:cs="Arial"/>
                <w:color w:val="000000"/>
                <w:sz w:val="18"/>
                <w:szCs w:val="18"/>
              </w:rPr>
            </w:pPr>
          </w:p>
        </w:tc>
        <w:tc>
          <w:tcPr>
            <w:tcW w:w="1080" w:type="dxa"/>
            <w:tcBorders>
              <w:top w:val="nil"/>
              <w:left w:val="single" w:sz="4" w:space="0" w:color="000000"/>
              <w:right w:val="single" w:sz="4" w:space="0" w:color="000000"/>
            </w:tcBorders>
          </w:tcPr>
          <w:p w14:paraId="1EF1804B" w14:textId="77777777" w:rsidR="002F1BEE" w:rsidRDefault="002F1BEE">
            <w:pPr>
              <w:widowControl w:val="0"/>
              <w:pBdr>
                <w:top w:val="nil"/>
                <w:left w:val="nil"/>
                <w:bottom w:val="nil"/>
                <w:right w:val="nil"/>
                <w:between w:val="nil"/>
              </w:pBdr>
              <w:jc w:val="center"/>
              <w:rPr>
                <w:rFonts w:ascii="Arial" w:eastAsia="Arial" w:hAnsi="Arial" w:cs="Arial"/>
                <w:color w:val="000000"/>
                <w:sz w:val="18"/>
                <w:szCs w:val="18"/>
              </w:rPr>
            </w:pPr>
          </w:p>
        </w:tc>
        <w:tc>
          <w:tcPr>
            <w:tcW w:w="1328" w:type="dxa"/>
            <w:tcBorders>
              <w:top w:val="nil"/>
              <w:left w:val="single" w:sz="4" w:space="0" w:color="000000"/>
              <w:right w:val="single" w:sz="4" w:space="0" w:color="000000"/>
            </w:tcBorders>
          </w:tcPr>
          <w:p w14:paraId="31D370CC" w14:textId="77777777" w:rsidR="002F1BEE" w:rsidRDefault="002F1BEE">
            <w:pPr>
              <w:widowControl w:val="0"/>
              <w:pBdr>
                <w:top w:val="nil"/>
                <w:left w:val="nil"/>
                <w:bottom w:val="nil"/>
                <w:right w:val="nil"/>
                <w:between w:val="nil"/>
              </w:pBdr>
              <w:jc w:val="center"/>
              <w:rPr>
                <w:rFonts w:ascii="Arial" w:eastAsia="Arial" w:hAnsi="Arial" w:cs="Arial"/>
                <w:color w:val="000000"/>
                <w:sz w:val="18"/>
                <w:szCs w:val="18"/>
              </w:rPr>
            </w:pPr>
          </w:p>
        </w:tc>
        <w:tc>
          <w:tcPr>
            <w:tcW w:w="1699" w:type="dxa"/>
            <w:tcBorders>
              <w:top w:val="nil"/>
              <w:left w:val="single" w:sz="4" w:space="0" w:color="000000"/>
            </w:tcBorders>
          </w:tcPr>
          <w:p w14:paraId="179B1AC1" w14:textId="77777777" w:rsidR="002F1BEE" w:rsidRDefault="002F1BEE">
            <w:pPr>
              <w:widowControl w:val="0"/>
              <w:pBdr>
                <w:top w:val="nil"/>
                <w:left w:val="nil"/>
                <w:bottom w:val="nil"/>
                <w:right w:val="nil"/>
                <w:between w:val="nil"/>
              </w:pBdr>
              <w:jc w:val="center"/>
              <w:rPr>
                <w:rFonts w:ascii="Arial" w:eastAsia="Arial" w:hAnsi="Arial" w:cs="Arial"/>
                <w:color w:val="000000"/>
                <w:sz w:val="18"/>
                <w:szCs w:val="18"/>
              </w:rPr>
            </w:pPr>
          </w:p>
        </w:tc>
      </w:tr>
    </w:tbl>
    <w:p w14:paraId="1726476B" w14:textId="77777777" w:rsidR="002F1BEE" w:rsidRDefault="002F1BEE">
      <w:pPr>
        <w:pBdr>
          <w:top w:val="nil"/>
          <w:left w:val="nil"/>
          <w:bottom w:val="nil"/>
          <w:right w:val="nil"/>
          <w:between w:val="nil"/>
        </w:pBdr>
        <w:jc w:val="both"/>
        <w:rPr>
          <w:rFonts w:ascii="Arial" w:eastAsia="Arial" w:hAnsi="Arial" w:cs="Arial"/>
          <w:color w:val="000000"/>
        </w:rPr>
      </w:pPr>
    </w:p>
    <w:p w14:paraId="328E9C1A"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Table 5 indicates that the sample size (N) comprises 30 samples, as derived from the descriptive statistical analysis results. From these 30 samples, the minimum value, maximum value, and standard deviation were determined.</w:t>
      </w:r>
    </w:p>
    <w:p w14:paraId="24076F2F" w14:textId="77777777" w:rsidR="002F1BEE" w:rsidRDefault="002F1BEE">
      <w:pPr>
        <w:pBdr>
          <w:top w:val="nil"/>
          <w:left w:val="nil"/>
          <w:bottom w:val="nil"/>
          <w:right w:val="nil"/>
          <w:between w:val="nil"/>
        </w:pBdr>
        <w:jc w:val="both"/>
        <w:rPr>
          <w:rFonts w:ascii="Arial" w:eastAsia="Arial" w:hAnsi="Arial" w:cs="Arial"/>
          <w:color w:val="000000"/>
        </w:rPr>
      </w:pPr>
    </w:p>
    <w:p w14:paraId="4C411A77"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CSR variable exhibits a minimum value of 21.36 for enterprises designated as FLMC, whereas the maximum value attains 77.77 for UNVR. The mean value of CSR is 52.7916, signifying a rather high level of CSR disclosure across the study companies. A standard deviation of </w:t>
      </w:r>
      <w:r>
        <w:rPr>
          <w:rFonts w:ascii="Arial" w:eastAsia="Arial" w:hAnsi="Arial" w:cs="Arial"/>
        </w:rPr>
        <w:t>15,37902</w:t>
      </w:r>
      <w:r>
        <w:rPr>
          <w:rFonts w:ascii="Arial" w:eastAsia="Arial" w:hAnsi="Arial" w:cs="Arial"/>
          <w:color w:val="000000"/>
        </w:rPr>
        <w:t xml:space="preserve"> signifies moderate variability among corporations in their social responsibility disclosures. This indicates that the degree of CSR disclosure does not fluctuate much among organizations, despite existing variances.</w:t>
      </w:r>
    </w:p>
    <w:p w14:paraId="78A13080" w14:textId="77777777" w:rsidR="002F1BEE" w:rsidRDefault="002F1BEE">
      <w:pPr>
        <w:pBdr>
          <w:top w:val="nil"/>
          <w:left w:val="nil"/>
          <w:bottom w:val="nil"/>
          <w:right w:val="nil"/>
          <w:between w:val="nil"/>
        </w:pBdr>
        <w:jc w:val="both"/>
        <w:rPr>
          <w:rFonts w:ascii="Arial" w:eastAsia="Arial" w:hAnsi="Arial" w:cs="Arial"/>
          <w:color w:val="000000"/>
        </w:rPr>
      </w:pPr>
    </w:p>
    <w:p w14:paraId="5ACEA692"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least ROA value was 0.06 for the company coded MRAT, whereas the maximum value attained was 56.16 for FLMC. The average ROA score was 10.9661, signifying that the profitability of the sample enterprises was generally commendable, albeit with considerable disparities among them. The standard deviation of 13.72301 signifies a considerable data dispersion, indicating substantial variability in the profitability performance of the sampled enterprises. Companies with high ROA suggest proficiency in profit generation from their overall assets, whereas those with low ROA indicate suboptimal asset utilization for profit generation.</w:t>
      </w:r>
    </w:p>
    <w:p w14:paraId="44D9037C" w14:textId="77777777" w:rsidR="002F1BEE" w:rsidRDefault="002F1BEE">
      <w:pPr>
        <w:pBdr>
          <w:top w:val="nil"/>
          <w:left w:val="nil"/>
          <w:bottom w:val="nil"/>
          <w:right w:val="nil"/>
          <w:between w:val="nil"/>
        </w:pBdr>
        <w:jc w:val="both"/>
        <w:rPr>
          <w:rFonts w:ascii="Arial" w:eastAsia="Arial" w:hAnsi="Arial" w:cs="Arial"/>
          <w:color w:val="000000"/>
        </w:rPr>
      </w:pPr>
    </w:p>
    <w:p w14:paraId="54677AB8"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minimum PBV value was 0.17 for the corporation coded KINO, and the maximum value attained was 43.83 for UNVR. The mean PBV value was 5.7691, signifying that the companies in the sample often possessed a somewhat elevated market valuation relative to their book value. The standard deviation of 11.52322 indicates substantial disparities across corporations regarding the market valuation of their equity. This signifies that certain </w:t>
      </w:r>
      <w:r>
        <w:rPr>
          <w:rFonts w:ascii="Arial" w:eastAsia="Arial" w:hAnsi="Arial" w:cs="Arial"/>
          <w:color w:val="000000"/>
        </w:rPr>
        <w:lastRenderedPageBreak/>
        <w:t>companies are significantly overvalued by the market, whereas others are undervalued, demonstrating considerable discrepancies in investor assessments of corporate performance and potential.</w:t>
      </w:r>
    </w:p>
    <w:p w14:paraId="2D56A166"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2.1.4. Classical Assumption Tests</w:t>
      </w:r>
    </w:p>
    <w:p w14:paraId="6F7A82D2" w14:textId="77777777" w:rsidR="002F1BEE" w:rsidRDefault="002F1BEE">
      <w:pPr>
        <w:pBdr>
          <w:top w:val="nil"/>
          <w:left w:val="nil"/>
          <w:bottom w:val="nil"/>
          <w:right w:val="nil"/>
          <w:between w:val="nil"/>
        </w:pBdr>
        <w:jc w:val="both"/>
        <w:rPr>
          <w:rFonts w:ascii="Arial" w:eastAsia="Arial" w:hAnsi="Arial" w:cs="Arial"/>
          <w:color w:val="000000"/>
        </w:rPr>
      </w:pPr>
    </w:p>
    <w:p w14:paraId="49F9980B" w14:textId="77777777" w:rsidR="002F1BEE" w:rsidRDefault="005A24ED">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2.1.4.1. Normality Test</w:t>
      </w:r>
    </w:p>
    <w:p w14:paraId="5C0CC232" w14:textId="77777777" w:rsidR="002F1BEE" w:rsidRDefault="005A24ED">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Table 6. Normality Test Result</w:t>
      </w:r>
    </w:p>
    <w:tbl>
      <w:tblPr>
        <w:tblStyle w:val="a7"/>
        <w:tblW w:w="6650" w:type="dxa"/>
        <w:tblInd w:w="1227" w:type="dxa"/>
        <w:tblLayout w:type="fixed"/>
        <w:tblLook w:val="0000" w:firstRow="0" w:lastRow="0" w:firstColumn="0" w:lastColumn="0" w:noHBand="0" w:noVBand="0"/>
      </w:tblPr>
      <w:tblGrid>
        <w:gridCol w:w="2488"/>
        <w:gridCol w:w="2491"/>
        <w:gridCol w:w="1671"/>
      </w:tblGrid>
      <w:tr w:rsidR="002F1BEE" w14:paraId="7F34F85F" w14:textId="77777777">
        <w:trPr>
          <w:trHeight w:val="577"/>
        </w:trPr>
        <w:tc>
          <w:tcPr>
            <w:tcW w:w="4979" w:type="dxa"/>
            <w:gridSpan w:val="2"/>
            <w:tcBorders>
              <w:top w:val="single" w:sz="12" w:space="0" w:color="000000"/>
              <w:left w:val="single" w:sz="12" w:space="0" w:color="000000"/>
              <w:bottom w:val="single" w:sz="12" w:space="0" w:color="000000"/>
              <w:right w:val="single" w:sz="12" w:space="0" w:color="000000"/>
            </w:tcBorders>
          </w:tcPr>
          <w:p w14:paraId="7082D0E0" w14:textId="77777777" w:rsidR="002F1BEE"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1671" w:type="dxa"/>
            <w:tcBorders>
              <w:top w:val="single" w:sz="12" w:space="0" w:color="000000"/>
              <w:left w:val="single" w:sz="12" w:space="0" w:color="000000"/>
              <w:bottom w:val="single" w:sz="12" w:space="0" w:color="000000"/>
              <w:right w:val="single" w:sz="12" w:space="0" w:color="000000"/>
            </w:tcBorders>
          </w:tcPr>
          <w:p w14:paraId="659423F9" w14:textId="77777777" w:rsidR="002F1BEE" w:rsidRDefault="005A24ED">
            <w:pPr>
              <w:widowControl w:val="0"/>
              <w:pBdr>
                <w:top w:val="nil"/>
                <w:left w:val="nil"/>
                <w:bottom w:val="nil"/>
                <w:right w:val="nil"/>
                <w:between w:val="nil"/>
              </w:pBdr>
              <w:spacing w:before="97" w:line="275" w:lineRule="auto"/>
              <w:ind w:left="446" w:right="106" w:hanging="313"/>
              <w:rPr>
                <w:rFonts w:ascii="Arial" w:eastAsia="Arial" w:hAnsi="Arial" w:cs="Arial"/>
                <w:color w:val="000000"/>
              </w:rPr>
            </w:pPr>
            <w:r>
              <w:rPr>
                <w:rFonts w:ascii="Arial" w:eastAsia="Arial" w:hAnsi="Arial" w:cs="Arial"/>
                <w:color w:val="000000"/>
              </w:rPr>
              <w:t>Unstandardized Residual</w:t>
            </w:r>
          </w:p>
        </w:tc>
      </w:tr>
      <w:tr w:rsidR="002F1BEE" w14:paraId="06B5C32F" w14:textId="77777777">
        <w:trPr>
          <w:trHeight w:val="295"/>
        </w:trPr>
        <w:tc>
          <w:tcPr>
            <w:tcW w:w="2488" w:type="dxa"/>
            <w:tcBorders>
              <w:top w:val="single" w:sz="12" w:space="0" w:color="000000"/>
              <w:left w:val="single" w:sz="12" w:space="0" w:color="000000"/>
            </w:tcBorders>
          </w:tcPr>
          <w:p w14:paraId="2E294A73" w14:textId="77777777" w:rsidR="002F1BEE" w:rsidRDefault="005A24ED">
            <w:pPr>
              <w:widowControl w:val="0"/>
              <w:pBdr>
                <w:top w:val="nil"/>
                <w:left w:val="nil"/>
                <w:bottom w:val="nil"/>
                <w:right w:val="nil"/>
                <w:between w:val="nil"/>
              </w:pBdr>
              <w:spacing w:line="229" w:lineRule="auto"/>
              <w:ind w:left="92"/>
              <w:rPr>
                <w:rFonts w:ascii="Arial" w:eastAsia="Arial" w:hAnsi="Arial" w:cs="Arial"/>
                <w:color w:val="000000"/>
              </w:rPr>
            </w:pPr>
            <w:r>
              <w:rPr>
                <w:rFonts w:ascii="Arial" w:eastAsia="Arial" w:hAnsi="Arial" w:cs="Arial"/>
                <w:color w:val="000000"/>
              </w:rPr>
              <w:t>N</w:t>
            </w:r>
          </w:p>
        </w:tc>
        <w:tc>
          <w:tcPr>
            <w:tcW w:w="2491" w:type="dxa"/>
            <w:tcBorders>
              <w:top w:val="single" w:sz="12" w:space="0" w:color="000000"/>
              <w:right w:val="single" w:sz="12" w:space="0" w:color="000000"/>
            </w:tcBorders>
          </w:tcPr>
          <w:p w14:paraId="0119F406" w14:textId="77777777" w:rsidR="002F1BEE"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1671" w:type="dxa"/>
            <w:tcBorders>
              <w:top w:val="single" w:sz="12" w:space="0" w:color="000000"/>
              <w:left w:val="single" w:sz="12" w:space="0" w:color="000000"/>
              <w:right w:val="single" w:sz="12" w:space="0" w:color="000000"/>
            </w:tcBorders>
          </w:tcPr>
          <w:p w14:paraId="5BB34047" w14:textId="77777777" w:rsidR="002F1BEE" w:rsidRDefault="005A24ED">
            <w:pPr>
              <w:widowControl w:val="0"/>
              <w:pBdr>
                <w:top w:val="nil"/>
                <w:left w:val="nil"/>
                <w:bottom w:val="nil"/>
                <w:right w:val="nil"/>
                <w:between w:val="nil"/>
              </w:pBdr>
              <w:spacing w:before="42"/>
              <w:ind w:right="65"/>
              <w:jc w:val="right"/>
              <w:rPr>
                <w:rFonts w:ascii="Arial" w:eastAsia="Arial" w:hAnsi="Arial" w:cs="Arial"/>
                <w:color w:val="000000"/>
              </w:rPr>
            </w:pPr>
            <w:r>
              <w:rPr>
                <w:rFonts w:ascii="Arial" w:eastAsia="Arial" w:hAnsi="Arial" w:cs="Arial"/>
                <w:color w:val="000000"/>
              </w:rPr>
              <w:t>30</w:t>
            </w:r>
          </w:p>
        </w:tc>
      </w:tr>
      <w:tr w:rsidR="002F1BEE" w14:paraId="525A7E49" w14:textId="77777777">
        <w:trPr>
          <w:trHeight w:val="234"/>
        </w:trPr>
        <w:tc>
          <w:tcPr>
            <w:tcW w:w="2488" w:type="dxa"/>
            <w:tcBorders>
              <w:left w:val="single" w:sz="12" w:space="0" w:color="000000"/>
            </w:tcBorders>
          </w:tcPr>
          <w:p w14:paraId="060D836C" w14:textId="77777777" w:rsidR="002F1BEE" w:rsidRDefault="002F1BEE">
            <w:pPr>
              <w:widowControl w:val="0"/>
              <w:pBdr>
                <w:top w:val="nil"/>
                <w:left w:val="nil"/>
                <w:bottom w:val="nil"/>
                <w:right w:val="nil"/>
                <w:between w:val="nil"/>
              </w:pBdr>
              <w:rPr>
                <w:rFonts w:ascii="Times New Roman" w:eastAsia="Times New Roman" w:hAnsi="Times New Roman" w:cs="Times New Roman"/>
                <w:color w:val="000000"/>
                <w:sz w:val="16"/>
                <w:szCs w:val="16"/>
              </w:rPr>
            </w:pPr>
          </w:p>
        </w:tc>
        <w:tc>
          <w:tcPr>
            <w:tcW w:w="2491" w:type="dxa"/>
            <w:tcBorders>
              <w:right w:val="single" w:sz="12" w:space="0" w:color="000000"/>
            </w:tcBorders>
          </w:tcPr>
          <w:p w14:paraId="4F777331" w14:textId="77777777" w:rsidR="002F1BEE" w:rsidRDefault="005A24ED">
            <w:pPr>
              <w:widowControl w:val="0"/>
              <w:pBdr>
                <w:top w:val="nil"/>
                <w:left w:val="nil"/>
                <w:bottom w:val="nil"/>
                <w:right w:val="nil"/>
                <w:between w:val="nil"/>
              </w:pBdr>
              <w:spacing w:before="16" w:line="198" w:lineRule="auto"/>
              <w:ind w:left="109"/>
              <w:rPr>
                <w:rFonts w:ascii="Arial" w:eastAsia="Arial" w:hAnsi="Arial" w:cs="Arial"/>
                <w:color w:val="000000"/>
              </w:rPr>
            </w:pPr>
            <w:r>
              <w:rPr>
                <w:rFonts w:ascii="Arial" w:eastAsia="Arial" w:hAnsi="Arial" w:cs="Arial"/>
                <w:color w:val="000000"/>
              </w:rPr>
              <w:t>Mean</w:t>
            </w:r>
          </w:p>
        </w:tc>
        <w:tc>
          <w:tcPr>
            <w:tcW w:w="1671" w:type="dxa"/>
            <w:vMerge w:val="restart"/>
            <w:tcBorders>
              <w:left w:val="single" w:sz="12" w:space="0" w:color="000000"/>
              <w:right w:val="single" w:sz="12" w:space="0" w:color="000000"/>
            </w:tcBorders>
          </w:tcPr>
          <w:p w14:paraId="348AF80B" w14:textId="77777777" w:rsidR="002F1BEE" w:rsidRDefault="005A24ED">
            <w:pPr>
              <w:widowControl w:val="0"/>
              <w:pBdr>
                <w:top w:val="nil"/>
                <w:left w:val="nil"/>
                <w:bottom w:val="nil"/>
                <w:right w:val="nil"/>
                <w:between w:val="nil"/>
              </w:pBdr>
              <w:spacing w:before="59"/>
              <w:ind w:left="741"/>
              <w:rPr>
                <w:rFonts w:ascii="Arial" w:eastAsia="Arial" w:hAnsi="Arial" w:cs="Arial"/>
                <w:color w:val="000000"/>
              </w:rPr>
            </w:pPr>
            <w:r>
              <w:rPr>
                <w:rFonts w:ascii="Arial" w:eastAsia="Arial" w:hAnsi="Arial" w:cs="Arial"/>
                <w:color w:val="000000"/>
              </w:rPr>
              <w:t>,0000000</w:t>
            </w:r>
          </w:p>
        </w:tc>
      </w:tr>
      <w:tr w:rsidR="002F1BEE" w14:paraId="70E27DA7" w14:textId="77777777">
        <w:trPr>
          <w:trHeight w:val="99"/>
        </w:trPr>
        <w:tc>
          <w:tcPr>
            <w:tcW w:w="2488" w:type="dxa"/>
            <w:vMerge w:val="restart"/>
            <w:tcBorders>
              <w:left w:val="single" w:sz="12" w:space="0" w:color="000000"/>
            </w:tcBorders>
          </w:tcPr>
          <w:p w14:paraId="74AB8A83" w14:textId="77777777" w:rsidR="002F1BEE" w:rsidRDefault="005A24ED">
            <w:pPr>
              <w:widowControl w:val="0"/>
              <w:pBdr>
                <w:top w:val="nil"/>
                <w:left w:val="nil"/>
                <w:bottom w:val="nil"/>
                <w:right w:val="nil"/>
                <w:between w:val="nil"/>
              </w:pBdr>
              <w:spacing w:line="211" w:lineRule="auto"/>
              <w:ind w:left="92"/>
              <w:rPr>
                <w:rFonts w:ascii="Arial" w:eastAsia="Arial" w:hAnsi="Arial" w:cs="Arial"/>
                <w:color w:val="000000"/>
              </w:rPr>
            </w:pPr>
            <w:r>
              <w:rPr>
                <w:rFonts w:ascii="Arial" w:eastAsia="Arial" w:hAnsi="Arial" w:cs="Arial"/>
                <w:color w:val="000000"/>
              </w:rPr>
              <w:t>Normal Parameters(</w:t>
            </w:r>
            <w:proofErr w:type="spellStart"/>
            <w:r>
              <w:rPr>
                <w:rFonts w:ascii="Arial" w:eastAsia="Arial" w:hAnsi="Arial" w:cs="Arial"/>
                <w:color w:val="000000"/>
              </w:rPr>
              <w:t>a,b</w:t>
            </w:r>
            <w:proofErr w:type="spellEnd"/>
            <w:r>
              <w:rPr>
                <w:rFonts w:ascii="Arial" w:eastAsia="Arial" w:hAnsi="Arial" w:cs="Arial"/>
                <w:color w:val="000000"/>
              </w:rPr>
              <w:t>)</w:t>
            </w:r>
          </w:p>
        </w:tc>
        <w:tc>
          <w:tcPr>
            <w:tcW w:w="2491" w:type="dxa"/>
            <w:tcBorders>
              <w:right w:val="single" w:sz="12" w:space="0" w:color="000000"/>
            </w:tcBorders>
          </w:tcPr>
          <w:p w14:paraId="73EDB52E" w14:textId="77777777" w:rsidR="002F1BEE" w:rsidRDefault="002F1BEE">
            <w:pPr>
              <w:widowControl w:val="0"/>
              <w:pBdr>
                <w:top w:val="nil"/>
                <w:left w:val="nil"/>
                <w:bottom w:val="nil"/>
                <w:right w:val="nil"/>
                <w:between w:val="nil"/>
              </w:pBdr>
              <w:rPr>
                <w:rFonts w:ascii="Times New Roman" w:eastAsia="Times New Roman" w:hAnsi="Times New Roman" w:cs="Times New Roman"/>
                <w:color w:val="000000"/>
                <w:sz w:val="4"/>
                <w:szCs w:val="4"/>
              </w:rPr>
            </w:pPr>
          </w:p>
        </w:tc>
        <w:tc>
          <w:tcPr>
            <w:tcW w:w="1671" w:type="dxa"/>
            <w:vMerge/>
            <w:tcBorders>
              <w:left w:val="single" w:sz="12" w:space="0" w:color="000000"/>
              <w:right w:val="single" w:sz="12" w:space="0" w:color="000000"/>
            </w:tcBorders>
          </w:tcPr>
          <w:p w14:paraId="014C8DA4" w14:textId="77777777" w:rsidR="002F1BEE" w:rsidRDefault="002F1BEE">
            <w:pPr>
              <w:widowControl w:val="0"/>
              <w:pBdr>
                <w:top w:val="nil"/>
                <w:left w:val="nil"/>
                <w:bottom w:val="nil"/>
                <w:right w:val="nil"/>
                <w:between w:val="nil"/>
              </w:pBdr>
              <w:spacing w:line="276" w:lineRule="auto"/>
              <w:rPr>
                <w:rFonts w:ascii="Times New Roman" w:eastAsia="Times New Roman" w:hAnsi="Times New Roman" w:cs="Times New Roman"/>
                <w:color w:val="000000"/>
                <w:sz w:val="4"/>
                <w:szCs w:val="4"/>
              </w:rPr>
            </w:pPr>
          </w:p>
        </w:tc>
      </w:tr>
      <w:tr w:rsidR="002F1BEE" w14:paraId="45C5437B" w14:textId="77777777">
        <w:trPr>
          <w:trHeight w:val="290"/>
        </w:trPr>
        <w:tc>
          <w:tcPr>
            <w:tcW w:w="2488" w:type="dxa"/>
            <w:vMerge/>
            <w:tcBorders>
              <w:left w:val="single" w:sz="12" w:space="0" w:color="000000"/>
            </w:tcBorders>
          </w:tcPr>
          <w:p w14:paraId="3BFB6EE6" w14:textId="77777777" w:rsidR="002F1BEE" w:rsidRDefault="002F1BEE">
            <w:pPr>
              <w:widowControl w:val="0"/>
              <w:pBdr>
                <w:top w:val="nil"/>
                <w:left w:val="nil"/>
                <w:bottom w:val="nil"/>
                <w:right w:val="nil"/>
                <w:between w:val="nil"/>
              </w:pBdr>
              <w:spacing w:line="276" w:lineRule="auto"/>
              <w:rPr>
                <w:rFonts w:ascii="Times New Roman" w:eastAsia="Times New Roman" w:hAnsi="Times New Roman" w:cs="Times New Roman"/>
                <w:color w:val="000000"/>
                <w:sz w:val="4"/>
                <w:szCs w:val="4"/>
              </w:rPr>
            </w:pPr>
          </w:p>
        </w:tc>
        <w:tc>
          <w:tcPr>
            <w:tcW w:w="2491" w:type="dxa"/>
            <w:tcBorders>
              <w:right w:val="single" w:sz="12" w:space="0" w:color="000000"/>
            </w:tcBorders>
          </w:tcPr>
          <w:p w14:paraId="37DA3CE8" w14:textId="77777777" w:rsidR="002F1BEE" w:rsidRDefault="005A24ED">
            <w:pPr>
              <w:widowControl w:val="0"/>
              <w:pBdr>
                <w:top w:val="nil"/>
                <w:left w:val="nil"/>
                <w:bottom w:val="nil"/>
                <w:right w:val="nil"/>
                <w:between w:val="nil"/>
              </w:pBdr>
              <w:spacing w:line="225" w:lineRule="auto"/>
              <w:ind w:left="109"/>
              <w:rPr>
                <w:rFonts w:ascii="Arial" w:eastAsia="Arial" w:hAnsi="Arial" w:cs="Arial"/>
                <w:color w:val="000000"/>
              </w:rPr>
            </w:pPr>
            <w:r>
              <w:rPr>
                <w:rFonts w:ascii="Arial" w:eastAsia="Arial" w:hAnsi="Arial" w:cs="Arial"/>
                <w:color w:val="000000"/>
              </w:rPr>
              <w:t>Std. Deviation</w:t>
            </w:r>
          </w:p>
        </w:tc>
        <w:tc>
          <w:tcPr>
            <w:tcW w:w="1671" w:type="dxa"/>
            <w:tcBorders>
              <w:left w:val="single" w:sz="12" w:space="0" w:color="000000"/>
              <w:right w:val="single" w:sz="12" w:space="0" w:color="000000"/>
            </w:tcBorders>
          </w:tcPr>
          <w:p w14:paraId="4A5F5178" w14:textId="77777777" w:rsidR="002F1BEE" w:rsidRDefault="005A24ED">
            <w:pPr>
              <w:widowControl w:val="0"/>
              <w:pBdr>
                <w:top w:val="nil"/>
                <w:left w:val="nil"/>
                <w:bottom w:val="nil"/>
                <w:right w:val="nil"/>
                <w:between w:val="nil"/>
              </w:pBdr>
              <w:spacing w:before="37"/>
              <w:ind w:right="66"/>
              <w:jc w:val="right"/>
              <w:rPr>
                <w:rFonts w:ascii="Arial" w:eastAsia="Arial" w:hAnsi="Arial" w:cs="Arial"/>
                <w:color w:val="000000"/>
              </w:rPr>
            </w:pPr>
            <w:r>
              <w:rPr>
                <w:rFonts w:ascii="Arial" w:eastAsia="Arial" w:hAnsi="Arial" w:cs="Arial"/>
                <w:color w:val="000000"/>
              </w:rPr>
              <w:t>13,38239764</w:t>
            </w:r>
          </w:p>
        </w:tc>
      </w:tr>
      <w:tr w:rsidR="002F1BEE" w14:paraId="3E45FB7C" w14:textId="77777777">
        <w:trPr>
          <w:trHeight w:val="312"/>
        </w:trPr>
        <w:tc>
          <w:tcPr>
            <w:tcW w:w="2488" w:type="dxa"/>
            <w:tcBorders>
              <w:left w:val="single" w:sz="12" w:space="0" w:color="000000"/>
            </w:tcBorders>
          </w:tcPr>
          <w:p w14:paraId="3BBAAC30" w14:textId="77777777" w:rsidR="002F1BEE" w:rsidRDefault="005A24ED">
            <w:pPr>
              <w:widowControl w:val="0"/>
              <w:pBdr>
                <w:top w:val="nil"/>
                <w:left w:val="nil"/>
                <w:bottom w:val="nil"/>
                <w:right w:val="nil"/>
                <w:between w:val="nil"/>
              </w:pBdr>
              <w:spacing w:before="16"/>
              <w:ind w:left="92"/>
              <w:rPr>
                <w:rFonts w:ascii="Arial" w:eastAsia="Arial" w:hAnsi="Arial" w:cs="Arial"/>
                <w:color w:val="000000"/>
              </w:rPr>
            </w:pPr>
            <w:r>
              <w:rPr>
                <w:rFonts w:ascii="Arial" w:eastAsia="Arial" w:hAnsi="Arial" w:cs="Arial"/>
                <w:color w:val="000000"/>
              </w:rPr>
              <w:t>Most Extreme Differences</w:t>
            </w:r>
          </w:p>
        </w:tc>
        <w:tc>
          <w:tcPr>
            <w:tcW w:w="2491" w:type="dxa"/>
            <w:tcBorders>
              <w:right w:val="single" w:sz="12" w:space="0" w:color="000000"/>
            </w:tcBorders>
          </w:tcPr>
          <w:p w14:paraId="036C7380" w14:textId="77777777" w:rsidR="002F1BEE" w:rsidRDefault="005A24ED">
            <w:pPr>
              <w:widowControl w:val="0"/>
              <w:pBdr>
                <w:top w:val="nil"/>
                <w:left w:val="nil"/>
                <w:bottom w:val="nil"/>
                <w:right w:val="nil"/>
                <w:between w:val="nil"/>
              </w:pBdr>
              <w:spacing w:before="16"/>
              <w:ind w:left="109"/>
              <w:rPr>
                <w:rFonts w:ascii="Arial" w:eastAsia="Arial" w:hAnsi="Arial" w:cs="Arial"/>
                <w:color w:val="000000"/>
              </w:rPr>
            </w:pPr>
            <w:r>
              <w:rPr>
                <w:rFonts w:ascii="Arial" w:eastAsia="Arial" w:hAnsi="Arial" w:cs="Arial"/>
                <w:color w:val="000000"/>
              </w:rPr>
              <w:t>Absolute</w:t>
            </w:r>
          </w:p>
        </w:tc>
        <w:tc>
          <w:tcPr>
            <w:tcW w:w="1671" w:type="dxa"/>
            <w:tcBorders>
              <w:left w:val="single" w:sz="12" w:space="0" w:color="000000"/>
              <w:right w:val="single" w:sz="12" w:space="0" w:color="000000"/>
            </w:tcBorders>
          </w:tcPr>
          <w:p w14:paraId="7297A29B" w14:textId="77777777" w:rsidR="002F1BEE" w:rsidRDefault="005A24ED">
            <w:pPr>
              <w:widowControl w:val="0"/>
              <w:pBdr>
                <w:top w:val="nil"/>
                <w:left w:val="nil"/>
                <w:bottom w:val="nil"/>
                <w:right w:val="nil"/>
                <w:between w:val="nil"/>
              </w:pBdr>
              <w:spacing w:before="59"/>
              <w:ind w:right="64"/>
              <w:jc w:val="right"/>
              <w:rPr>
                <w:rFonts w:ascii="Arial" w:eastAsia="Arial" w:hAnsi="Arial" w:cs="Arial"/>
                <w:color w:val="000000"/>
              </w:rPr>
            </w:pPr>
            <w:r>
              <w:rPr>
                <w:rFonts w:ascii="Arial" w:eastAsia="Arial" w:hAnsi="Arial" w:cs="Arial"/>
                <w:color w:val="000000"/>
              </w:rPr>
              <w:t>,217</w:t>
            </w:r>
          </w:p>
        </w:tc>
      </w:tr>
      <w:tr w:rsidR="002F1BEE" w14:paraId="211F15AF" w14:textId="77777777">
        <w:trPr>
          <w:trHeight w:val="311"/>
        </w:trPr>
        <w:tc>
          <w:tcPr>
            <w:tcW w:w="2488" w:type="dxa"/>
            <w:tcBorders>
              <w:left w:val="single" w:sz="12" w:space="0" w:color="000000"/>
            </w:tcBorders>
          </w:tcPr>
          <w:p w14:paraId="1DCDA289" w14:textId="77777777" w:rsidR="002F1BEE"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2491" w:type="dxa"/>
            <w:tcBorders>
              <w:right w:val="single" w:sz="12" w:space="0" w:color="000000"/>
            </w:tcBorders>
          </w:tcPr>
          <w:p w14:paraId="74E1171E" w14:textId="77777777" w:rsidR="002F1BEE" w:rsidRDefault="005A24ED">
            <w:pPr>
              <w:widowControl w:val="0"/>
              <w:pBdr>
                <w:top w:val="nil"/>
                <w:left w:val="nil"/>
                <w:bottom w:val="nil"/>
                <w:right w:val="nil"/>
                <w:between w:val="nil"/>
              </w:pBdr>
              <w:spacing w:before="16"/>
              <w:ind w:left="109"/>
              <w:rPr>
                <w:rFonts w:ascii="Arial" w:eastAsia="Arial" w:hAnsi="Arial" w:cs="Arial"/>
                <w:color w:val="000000"/>
              </w:rPr>
            </w:pPr>
            <w:r>
              <w:rPr>
                <w:rFonts w:ascii="Arial" w:eastAsia="Arial" w:hAnsi="Arial" w:cs="Arial"/>
                <w:color w:val="000000"/>
              </w:rPr>
              <w:t>Positive</w:t>
            </w:r>
          </w:p>
        </w:tc>
        <w:tc>
          <w:tcPr>
            <w:tcW w:w="1671" w:type="dxa"/>
            <w:tcBorders>
              <w:left w:val="single" w:sz="12" w:space="0" w:color="000000"/>
              <w:right w:val="single" w:sz="12" w:space="0" w:color="000000"/>
            </w:tcBorders>
          </w:tcPr>
          <w:p w14:paraId="7A40C052" w14:textId="77777777" w:rsidR="002F1BEE" w:rsidRDefault="005A24ED">
            <w:pPr>
              <w:widowControl w:val="0"/>
              <w:pBdr>
                <w:top w:val="nil"/>
                <w:left w:val="nil"/>
                <w:bottom w:val="nil"/>
                <w:right w:val="nil"/>
                <w:between w:val="nil"/>
              </w:pBdr>
              <w:spacing w:before="59"/>
              <w:ind w:right="64"/>
              <w:jc w:val="right"/>
              <w:rPr>
                <w:rFonts w:ascii="Arial" w:eastAsia="Arial" w:hAnsi="Arial" w:cs="Arial"/>
                <w:color w:val="000000"/>
              </w:rPr>
            </w:pPr>
            <w:r>
              <w:rPr>
                <w:rFonts w:ascii="Arial" w:eastAsia="Arial" w:hAnsi="Arial" w:cs="Arial"/>
                <w:color w:val="000000"/>
              </w:rPr>
              <w:t>,217</w:t>
            </w:r>
          </w:p>
        </w:tc>
      </w:tr>
      <w:tr w:rsidR="002F1BEE" w14:paraId="43C036D5" w14:textId="77777777">
        <w:trPr>
          <w:trHeight w:val="312"/>
        </w:trPr>
        <w:tc>
          <w:tcPr>
            <w:tcW w:w="2488" w:type="dxa"/>
            <w:tcBorders>
              <w:left w:val="single" w:sz="12" w:space="0" w:color="000000"/>
            </w:tcBorders>
          </w:tcPr>
          <w:p w14:paraId="408F92D8" w14:textId="77777777" w:rsidR="002F1BEE"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2491" w:type="dxa"/>
            <w:tcBorders>
              <w:right w:val="single" w:sz="12" w:space="0" w:color="000000"/>
            </w:tcBorders>
          </w:tcPr>
          <w:p w14:paraId="5F01521E" w14:textId="77777777" w:rsidR="002F1BEE" w:rsidRDefault="005A24ED">
            <w:pPr>
              <w:widowControl w:val="0"/>
              <w:pBdr>
                <w:top w:val="nil"/>
                <w:left w:val="nil"/>
                <w:bottom w:val="nil"/>
                <w:right w:val="nil"/>
                <w:between w:val="nil"/>
              </w:pBdr>
              <w:spacing w:before="16"/>
              <w:ind w:left="109"/>
              <w:rPr>
                <w:rFonts w:ascii="Arial" w:eastAsia="Arial" w:hAnsi="Arial" w:cs="Arial"/>
                <w:color w:val="000000"/>
              </w:rPr>
            </w:pPr>
            <w:r>
              <w:rPr>
                <w:rFonts w:ascii="Arial" w:eastAsia="Arial" w:hAnsi="Arial" w:cs="Arial"/>
                <w:color w:val="000000"/>
              </w:rPr>
              <w:t>Negative</w:t>
            </w:r>
          </w:p>
        </w:tc>
        <w:tc>
          <w:tcPr>
            <w:tcW w:w="1671" w:type="dxa"/>
            <w:tcBorders>
              <w:left w:val="single" w:sz="12" w:space="0" w:color="000000"/>
              <w:right w:val="single" w:sz="12" w:space="0" w:color="000000"/>
            </w:tcBorders>
          </w:tcPr>
          <w:p w14:paraId="50B82715" w14:textId="77777777" w:rsidR="002F1BEE" w:rsidRDefault="005A24ED">
            <w:pPr>
              <w:widowControl w:val="0"/>
              <w:pBdr>
                <w:top w:val="nil"/>
                <w:left w:val="nil"/>
                <w:bottom w:val="nil"/>
                <w:right w:val="nil"/>
                <w:between w:val="nil"/>
              </w:pBdr>
              <w:spacing w:before="59"/>
              <w:ind w:right="64"/>
              <w:jc w:val="right"/>
              <w:rPr>
                <w:rFonts w:ascii="Arial" w:eastAsia="Arial" w:hAnsi="Arial" w:cs="Arial"/>
                <w:color w:val="000000"/>
              </w:rPr>
            </w:pPr>
            <w:r>
              <w:rPr>
                <w:rFonts w:ascii="Arial" w:eastAsia="Arial" w:hAnsi="Arial" w:cs="Arial"/>
                <w:color w:val="000000"/>
              </w:rPr>
              <w:t>-,150</w:t>
            </w:r>
          </w:p>
        </w:tc>
      </w:tr>
      <w:tr w:rsidR="002F1BEE" w14:paraId="51F8128D" w14:textId="77777777">
        <w:trPr>
          <w:trHeight w:val="312"/>
        </w:trPr>
        <w:tc>
          <w:tcPr>
            <w:tcW w:w="2488" w:type="dxa"/>
            <w:tcBorders>
              <w:left w:val="single" w:sz="12" w:space="0" w:color="000000"/>
            </w:tcBorders>
          </w:tcPr>
          <w:p w14:paraId="400459ED" w14:textId="77777777" w:rsidR="002F1BEE" w:rsidRDefault="005A24ED">
            <w:pPr>
              <w:widowControl w:val="0"/>
              <w:pBdr>
                <w:top w:val="nil"/>
                <w:left w:val="nil"/>
                <w:bottom w:val="nil"/>
                <w:right w:val="nil"/>
                <w:between w:val="nil"/>
              </w:pBdr>
              <w:spacing w:before="16"/>
              <w:ind w:left="92"/>
              <w:rPr>
                <w:rFonts w:ascii="Arial" w:eastAsia="Arial" w:hAnsi="Arial" w:cs="Arial"/>
                <w:color w:val="000000"/>
              </w:rPr>
            </w:pPr>
            <w:r>
              <w:rPr>
                <w:rFonts w:ascii="Arial" w:eastAsia="Arial" w:hAnsi="Arial" w:cs="Arial"/>
                <w:color w:val="000000"/>
              </w:rPr>
              <w:t>Kolmogorov-Smirnov Z</w:t>
            </w:r>
          </w:p>
        </w:tc>
        <w:tc>
          <w:tcPr>
            <w:tcW w:w="2491" w:type="dxa"/>
            <w:tcBorders>
              <w:right w:val="single" w:sz="12" w:space="0" w:color="000000"/>
            </w:tcBorders>
          </w:tcPr>
          <w:p w14:paraId="01FABD0E" w14:textId="77777777" w:rsidR="002F1BEE"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1671" w:type="dxa"/>
            <w:tcBorders>
              <w:left w:val="single" w:sz="12" w:space="0" w:color="000000"/>
              <w:right w:val="single" w:sz="12" w:space="0" w:color="000000"/>
            </w:tcBorders>
          </w:tcPr>
          <w:p w14:paraId="0B338167" w14:textId="77777777" w:rsidR="002F1BEE" w:rsidRDefault="005A24ED">
            <w:pPr>
              <w:widowControl w:val="0"/>
              <w:pBdr>
                <w:top w:val="nil"/>
                <w:left w:val="nil"/>
                <w:bottom w:val="nil"/>
                <w:right w:val="nil"/>
                <w:between w:val="nil"/>
              </w:pBdr>
              <w:spacing w:before="59"/>
              <w:ind w:right="64"/>
              <w:jc w:val="right"/>
              <w:rPr>
                <w:rFonts w:ascii="Arial" w:eastAsia="Arial" w:hAnsi="Arial" w:cs="Arial"/>
                <w:color w:val="000000"/>
              </w:rPr>
            </w:pPr>
            <w:r>
              <w:rPr>
                <w:rFonts w:ascii="Arial" w:eastAsia="Arial" w:hAnsi="Arial" w:cs="Arial"/>
                <w:color w:val="000000"/>
              </w:rPr>
              <w:t>1,184</w:t>
            </w:r>
          </w:p>
        </w:tc>
      </w:tr>
      <w:tr w:rsidR="002F1BEE" w14:paraId="2813130D" w14:textId="77777777">
        <w:trPr>
          <w:trHeight w:val="330"/>
        </w:trPr>
        <w:tc>
          <w:tcPr>
            <w:tcW w:w="2488" w:type="dxa"/>
            <w:tcBorders>
              <w:left w:val="single" w:sz="12" w:space="0" w:color="000000"/>
              <w:bottom w:val="single" w:sz="12" w:space="0" w:color="000000"/>
            </w:tcBorders>
          </w:tcPr>
          <w:p w14:paraId="34EC9CA8" w14:textId="77777777" w:rsidR="002F1BEE" w:rsidRDefault="005A24ED">
            <w:pPr>
              <w:widowControl w:val="0"/>
              <w:pBdr>
                <w:top w:val="nil"/>
                <w:left w:val="nil"/>
                <w:bottom w:val="nil"/>
                <w:right w:val="nil"/>
                <w:between w:val="nil"/>
              </w:pBdr>
              <w:spacing w:before="16"/>
              <w:ind w:left="92"/>
              <w:rPr>
                <w:rFonts w:ascii="Arial" w:eastAsia="Arial" w:hAnsi="Arial" w:cs="Arial"/>
                <w:color w:val="000000"/>
              </w:rPr>
            </w:pPr>
            <w:proofErr w:type="spellStart"/>
            <w:r>
              <w:rPr>
                <w:rFonts w:ascii="Arial" w:eastAsia="Arial" w:hAnsi="Arial" w:cs="Arial"/>
                <w:color w:val="000000"/>
              </w:rPr>
              <w:t>Asymp</w:t>
            </w:r>
            <w:proofErr w:type="spellEnd"/>
            <w:r>
              <w:rPr>
                <w:rFonts w:ascii="Arial" w:eastAsia="Arial" w:hAnsi="Arial" w:cs="Arial"/>
                <w:color w:val="000000"/>
              </w:rPr>
              <w:t>. Sig. (2-tailed)</w:t>
            </w:r>
          </w:p>
        </w:tc>
        <w:tc>
          <w:tcPr>
            <w:tcW w:w="2491" w:type="dxa"/>
            <w:tcBorders>
              <w:bottom w:val="single" w:sz="12" w:space="0" w:color="000000"/>
              <w:right w:val="single" w:sz="12" w:space="0" w:color="000000"/>
            </w:tcBorders>
          </w:tcPr>
          <w:p w14:paraId="7442A3BB" w14:textId="77777777" w:rsidR="002F1BEE"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1671" w:type="dxa"/>
            <w:tcBorders>
              <w:left w:val="single" w:sz="12" w:space="0" w:color="000000"/>
              <w:bottom w:val="single" w:sz="12" w:space="0" w:color="000000"/>
              <w:right w:val="single" w:sz="12" w:space="0" w:color="000000"/>
            </w:tcBorders>
          </w:tcPr>
          <w:p w14:paraId="3B9040CF" w14:textId="77777777" w:rsidR="002F1BEE" w:rsidRDefault="005A24ED">
            <w:pPr>
              <w:widowControl w:val="0"/>
              <w:pBdr>
                <w:top w:val="nil"/>
                <w:left w:val="nil"/>
                <w:bottom w:val="nil"/>
                <w:right w:val="nil"/>
                <w:between w:val="nil"/>
              </w:pBdr>
              <w:spacing w:before="59"/>
              <w:ind w:right="64"/>
              <w:jc w:val="right"/>
              <w:rPr>
                <w:rFonts w:ascii="Arial" w:eastAsia="Arial" w:hAnsi="Arial" w:cs="Arial"/>
                <w:color w:val="000000"/>
              </w:rPr>
            </w:pPr>
            <w:r>
              <w:rPr>
                <w:rFonts w:ascii="Arial" w:eastAsia="Arial" w:hAnsi="Arial" w:cs="Arial"/>
                <w:color w:val="000000"/>
              </w:rPr>
              <w:t>,122</w:t>
            </w:r>
          </w:p>
        </w:tc>
      </w:tr>
    </w:tbl>
    <w:p w14:paraId="7ECEA8FE" w14:textId="77777777" w:rsidR="002F1BEE" w:rsidRDefault="002F1BEE">
      <w:pPr>
        <w:pBdr>
          <w:top w:val="nil"/>
          <w:left w:val="nil"/>
          <w:bottom w:val="nil"/>
          <w:right w:val="nil"/>
          <w:between w:val="nil"/>
        </w:pBdr>
        <w:jc w:val="both"/>
        <w:rPr>
          <w:rFonts w:ascii="Arial" w:eastAsia="Arial" w:hAnsi="Arial" w:cs="Arial"/>
          <w:color w:val="000000"/>
        </w:rPr>
      </w:pPr>
    </w:p>
    <w:p w14:paraId="59361F38"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One-Sample Kolmogorov-Smirnov test, as indicated in Table 6s, reveals a significant value (Sig.) of 0.121. The value exceeds 0.05, indicating that the residual data follows a normal distribution. Consequently, the regression model in this study satisfies the normality assumption.</w:t>
      </w:r>
    </w:p>
    <w:p w14:paraId="0C58866E" w14:textId="77777777" w:rsidR="002F1BEE" w:rsidRDefault="002F1BEE">
      <w:pPr>
        <w:pBdr>
          <w:top w:val="nil"/>
          <w:left w:val="nil"/>
          <w:bottom w:val="nil"/>
          <w:right w:val="nil"/>
          <w:between w:val="nil"/>
        </w:pBdr>
        <w:jc w:val="both"/>
        <w:rPr>
          <w:rFonts w:ascii="Arial" w:eastAsia="Arial" w:hAnsi="Arial" w:cs="Arial"/>
          <w:color w:val="000000"/>
        </w:rPr>
      </w:pPr>
    </w:p>
    <w:p w14:paraId="3B29F0B2" w14:textId="77777777" w:rsidR="002F1BEE" w:rsidRDefault="005A24ED">
      <w:pPr>
        <w:pBdr>
          <w:top w:val="nil"/>
          <w:left w:val="nil"/>
          <w:bottom w:val="nil"/>
          <w:right w:val="nil"/>
          <w:between w:val="nil"/>
        </w:pBdr>
        <w:jc w:val="center"/>
        <w:rPr>
          <w:rFonts w:ascii="Arial" w:eastAsia="Arial" w:hAnsi="Arial" w:cs="Arial"/>
          <w:color w:val="000000"/>
        </w:rPr>
      </w:pPr>
      <w:r>
        <w:rPr>
          <w:noProof/>
          <w:sz w:val="9"/>
          <w:szCs w:val="9"/>
          <w:lang w:val="en-US" w:eastAsia="en-US"/>
        </w:rPr>
        <w:drawing>
          <wp:inline distT="0" distB="0" distL="0" distR="0" wp14:anchorId="5F422B84" wp14:editId="39D60E9B">
            <wp:extent cx="2961564" cy="1992573"/>
            <wp:effectExtent l="0" t="0" r="0" b="8255"/>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991385" cy="2012637"/>
                    </a:xfrm>
                    <a:prstGeom prst="rect">
                      <a:avLst/>
                    </a:prstGeom>
                    <a:ln/>
                  </pic:spPr>
                </pic:pic>
              </a:graphicData>
            </a:graphic>
          </wp:inline>
        </w:drawing>
      </w:r>
    </w:p>
    <w:p w14:paraId="5303A21F" w14:textId="77777777" w:rsidR="002F1BEE" w:rsidRDefault="002F1BEE">
      <w:pPr>
        <w:pBdr>
          <w:top w:val="nil"/>
          <w:left w:val="nil"/>
          <w:bottom w:val="nil"/>
          <w:right w:val="nil"/>
          <w:between w:val="nil"/>
        </w:pBdr>
        <w:jc w:val="both"/>
        <w:rPr>
          <w:rFonts w:ascii="Arial" w:eastAsia="Arial" w:hAnsi="Arial" w:cs="Arial"/>
          <w:color w:val="000000"/>
        </w:rPr>
      </w:pPr>
    </w:p>
    <w:p w14:paraId="4D6F67B6" w14:textId="77777777" w:rsidR="002F1BEE" w:rsidRDefault="005A24ED">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Fig. 1 P- Plot Graph</w:t>
      </w:r>
    </w:p>
    <w:p w14:paraId="45EA92E6" w14:textId="77777777" w:rsidR="002F1BEE" w:rsidRDefault="002F1BEE">
      <w:pPr>
        <w:pBdr>
          <w:top w:val="nil"/>
          <w:left w:val="nil"/>
          <w:bottom w:val="nil"/>
          <w:right w:val="nil"/>
          <w:between w:val="nil"/>
        </w:pBdr>
        <w:jc w:val="both"/>
        <w:rPr>
          <w:rFonts w:ascii="Arial" w:eastAsia="Arial" w:hAnsi="Arial" w:cs="Arial"/>
          <w:color w:val="000000"/>
        </w:rPr>
      </w:pPr>
    </w:p>
    <w:p w14:paraId="53125CF7"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addition to employing the Kolmogorov-Smirnov test, data normality can also be assessed by the Normal Probability Plot (P-Plot) graph. The P-Plot graph in this study demonstrates that the data points are dispersed around the diagonal line and adhere to its trajectory. This suggests that the residual distribution approximates the diagonal line, indicating that the regression model in this study satisfies the normality test assumption.</w:t>
      </w:r>
    </w:p>
    <w:p w14:paraId="028560A7" w14:textId="35386310" w:rsidR="002F1BEE" w:rsidRDefault="002F1BEE">
      <w:pPr>
        <w:pBdr>
          <w:top w:val="nil"/>
          <w:left w:val="nil"/>
          <w:bottom w:val="nil"/>
          <w:right w:val="nil"/>
          <w:between w:val="nil"/>
        </w:pBdr>
        <w:jc w:val="both"/>
        <w:rPr>
          <w:rFonts w:ascii="Arial" w:eastAsia="Arial" w:hAnsi="Arial" w:cs="Arial"/>
          <w:i/>
          <w:iCs/>
          <w:color w:val="000000"/>
        </w:rPr>
      </w:pPr>
    </w:p>
    <w:p w14:paraId="4F3D1EC0" w14:textId="26607B1A" w:rsidR="005B748B" w:rsidRDefault="005B748B">
      <w:pPr>
        <w:pBdr>
          <w:top w:val="nil"/>
          <w:left w:val="nil"/>
          <w:bottom w:val="nil"/>
          <w:right w:val="nil"/>
          <w:between w:val="nil"/>
        </w:pBdr>
        <w:jc w:val="both"/>
        <w:rPr>
          <w:rFonts w:ascii="Arial" w:eastAsia="Arial" w:hAnsi="Arial" w:cs="Arial"/>
          <w:i/>
          <w:iCs/>
          <w:color w:val="000000"/>
        </w:rPr>
      </w:pPr>
    </w:p>
    <w:p w14:paraId="5E5F696A" w14:textId="06A0C30C" w:rsidR="005B748B" w:rsidRDefault="005B748B">
      <w:pPr>
        <w:pBdr>
          <w:top w:val="nil"/>
          <w:left w:val="nil"/>
          <w:bottom w:val="nil"/>
          <w:right w:val="nil"/>
          <w:between w:val="nil"/>
        </w:pBdr>
        <w:jc w:val="both"/>
        <w:rPr>
          <w:rFonts w:ascii="Arial" w:eastAsia="Arial" w:hAnsi="Arial" w:cs="Arial"/>
          <w:i/>
          <w:iCs/>
          <w:color w:val="000000"/>
        </w:rPr>
      </w:pPr>
    </w:p>
    <w:p w14:paraId="60674659" w14:textId="50FC81B1" w:rsidR="005B748B" w:rsidRDefault="005B748B">
      <w:pPr>
        <w:pBdr>
          <w:top w:val="nil"/>
          <w:left w:val="nil"/>
          <w:bottom w:val="nil"/>
          <w:right w:val="nil"/>
          <w:between w:val="nil"/>
        </w:pBdr>
        <w:jc w:val="both"/>
        <w:rPr>
          <w:rFonts w:ascii="Arial" w:eastAsia="Arial" w:hAnsi="Arial" w:cs="Arial"/>
          <w:i/>
          <w:iCs/>
          <w:color w:val="000000"/>
        </w:rPr>
      </w:pPr>
    </w:p>
    <w:p w14:paraId="02083A99" w14:textId="77777777" w:rsidR="005B748B" w:rsidRDefault="005B748B">
      <w:pPr>
        <w:pBdr>
          <w:top w:val="nil"/>
          <w:left w:val="nil"/>
          <w:bottom w:val="nil"/>
          <w:right w:val="nil"/>
          <w:between w:val="nil"/>
        </w:pBdr>
        <w:jc w:val="both"/>
        <w:rPr>
          <w:rFonts w:ascii="Arial" w:eastAsia="Arial" w:hAnsi="Arial" w:cs="Arial"/>
          <w:i/>
          <w:iCs/>
          <w:color w:val="000000"/>
        </w:rPr>
      </w:pPr>
    </w:p>
    <w:p w14:paraId="51D98FE1" w14:textId="77777777" w:rsidR="002F1BEE" w:rsidRDefault="005A24ED">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lastRenderedPageBreak/>
        <w:t>2.1.4.2. Multicollinearity Test</w:t>
      </w:r>
    </w:p>
    <w:p w14:paraId="227180D6" w14:textId="77777777" w:rsidR="002F1BEE" w:rsidRDefault="002F1BEE">
      <w:pPr>
        <w:pBdr>
          <w:top w:val="nil"/>
          <w:left w:val="nil"/>
          <w:bottom w:val="nil"/>
          <w:right w:val="nil"/>
          <w:between w:val="nil"/>
        </w:pBdr>
        <w:jc w:val="both"/>
        <w:rPr>
          <w:rFonts w:ascii="Arial" w:eastAsia="Arial" w:hAnsi="Arial" w:cs="Arial"/>
          <w:color w:val="000000"/>
        </w:rPr>
      </w:pPr>
    </w:p>
    <w:p w14:paraId="776850E7" w14:textId="52FE5730"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Tolerance and Variance Inflation Factor (VIF) values are employed to identify signs of multicollinearity in a regression model. A regression model is deemed devoid of multicollinearity if the Tolerance value exceeds 0.10 and the VIF value is less than 10.</w:t>
      </w:r>
    </w:p>
    <w:p w14:paraId="0263BC3C" w14:textId="77777777" w:rsidR="005B748B" w:rsidRDefault="005B748B">
      <w:pPr>
        <w:pBdr>
          <w:top w:val="nil"/>
          <w:left w:val="nil"/>
          <w:bottom w:val="nil"/>
          <w:right w:val="nil"/>
          <w:between w:val="nil"/>
        </w:pBdr>
        <w:jc w:val="both"/>
        <w:rPr>
          <w:rFonts w:ascii="Arial" w:eastAsia="Arial" w:hAnsi="Arial" w:cs="Arial"/>
          <w:color w:val="000000"/>
        </w:rPr>
      </w:pPr>
    </w:p>
    <w:p w14:paraId="79E14AA1" w14:textId="77777777" w:rsidR="002F1BEE" w:rsidRDefault="005A24ED">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Table 7. Multicollinearity Test Results</w:t>
      </w:r>
    </w:p>
    <w:p w14:paraId="52F90503" w14:textId="77777777" w:rsidR="002F1BEE" w:rsidRDefault="005A24ED">
      <w:pPr>
        <w:pBdr>
          <w:top w:val="nil"/>
          <w:left w:val="nil"/>
          <w:bottom w:val="nil"/>
          <w:right w:val="nil"/>
          <w:between w:val="nil"/>
        </w:pBdr>
        <w:jc w:val="center"/>
        <w:rPr>
          <w:rFonts w:ascii="Arial" w:eastAsia="Arial" w:hAnsi="Arial" w:cs="Arial"/>
          <w:color w:val="000000"/>
        </w:rPr>
      </w:pPr>
      <w:r>
        <w:rPr>
          <w:b/>
          <w:bCs/>
          <w:noProof/>
          <w:sz w:val="9"/>
          <w:szCs w:val="9"/>
          <w:lang w:val="en-US" w:eastAsia="en-US"/>
        </w:rPr>
        <w:drawing>
          <wp:inline distT="0" distB="0" distL="0" distR="0" wp14:anchorId="0BE88C05" wp14:editId="73504D7E">
            <wp:extent cx="4747767" cy="1574482"/>
            <wp:effectExtent l="0" t="0" r="0" b="0"/>
            <wp:docPr id="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747767" cy="1574482"/>
                    </a:xfrm>
                    <a:prstGeom prst="rect">
                      <a:avLst/>
                    </a:prstGeom>
                    <a:ln/>
                  </pic:spPr>
                </pic:pic>
              </a:graphicData>
            </a:graphic>
          </wp:inline>
        </w:drawing>
      </w:r>
    </w:p>
    <w:p w14:paraId="36422E1D" w14:textId="77777777" w:rsidR="002F1BEE" w:rsidRDefault="002F1BEE">
      <w:pPr>
        <w:pBdr>
          <w:top w:val="nil"/>
          <w:left w:val="nil"/>
          <w:bottom w:val="nil"/>
          <w:right w:val="nil"/>
          <w:between w:val="nil"/>
        </w:pBdr>
        <w:jc w:val="both"/>
        <w:rPr>
          <w:rFonts w:ascii="Arial" w:eastAsia="Arial" w:hAnsi="Arial" w:cs="Arial"/>
          <w:color w:val="000000"/>
        </w:rPr>
      </w:pPr>
    </w:p>
    <w:p w14:paraId="23EFE933"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According to the findings presented in Table 7, the CSR variable exhibits a Tolerance value of 0.951 and a VIF value of 1.052, while the ROA variable similarly shows a Tolerance value of 0.951 and a VIF of 1.052. Given that all VIF values are below 10 and Tolerance values above 0.10, it may be inferred that multicollinearity is not an issue among the independent variables in the regression model. The regression equation model employed is appropriate for this investigation as it satisfies the assumption of absence of multicollinearity.</w:t>
      </w:r>
    </w:p>
    <w:p w14:paraId="45D21B20" w14:textId="77777777" w:rsidR="002F1BEE" w:rsidRDefault="002F1BEE">
      <w:pPr>
        <w:pBdr>
          <w:top w:val="nil"/>
          <w:left w:val="nil"/>
          <w:bottom w:val="nil"/>
          <w:right w:val="nil"/>
          <w:between w:val="nil"/>
        </w:pBdr>
        <w:jc w:val="both"/>
        <w:rPr>
          <w:rFonts w:ascii="Arial" w:eastAsia="Arial" w:hAnsi="Arial" w:cs="Arial"/>
          <w:color w:val="000000"/>
        </w:rPr>
      </w:pPr>
    </w:p>
    <w:p w14:paraId="28676D0C" w14:textId="77777777" w:rsidR="002F1BEE" w:rsidRDefault="005A24ED">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2.1.4.3. Heteroskedasticity Test</w:t>
      </w:r>
    </w:p>
    <w:p w14:paraId="22CF37B5" w14:textId="77777777" w:rsidR="002F1BEE" w:rsidRDefault="002F1BEE">
      <w:pPr>
        <w:pBdr>
          <w:top w:val="nil"/>
          <w:left w:val="nil"/>
          <w:bottom w:val="nil"/>
          <w:right w:val="nil"/>
          <w:between w:val="nil"/>
        </w:pBdr>
        <w:jc w:val="both"/>
        <w:rPr>
          <w:rFonts w:ascii="Arial" w:eastAsia="Arial" w:hAnsi="Arial" w:cs="Arial"/>
          <w:color w:val="000000"/>
        </w:rPr>
      </w:pPr>
    </w:p>
    <w:p w14:paraId="0298E623"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heteroskedasticity test seeks to ascertain the presence of uneven variance in the residuals across observations in the regression model. A method to identify heteroskedasticity is by examining the significant value (Sig.) in the outcomes of the </w:t>
      </w:r>
      <w:proofErr w:type="spellStart"/>
      <w:r>
        <w:rPr>
          <w:rFonts w:ascii="Arial" w:eastAsia="Arial" w:hAnsi="Arial" w:cs="Arial"/>
          <w:color w:val="000000"/>
        </w:rPr>
        <w:t>Glejser</w:t>
      </w:r>
      <w:proofErr w:type="spellEnd"/>
      <w:r>
        <w:rPr>
          <w:rFonts w:ascii="Arial" w:eastAsia="Arial" w:hAnsi="Arial" w:cs="Arial"/>
          <w:color w:val="000000"/>
        </w:rPr>
        <w:t xml:space="preserve"> test regression utilizing the absolute value of the residual (</w:t>
      </w:r>
      <w:proofErr w:type="spellStart"/>
      <w:r>
        <w:rPr>
          <w:rFonts w:ascii="Arial" w:eastAsia="Arial" w:hAnsi="Arial" w:cs="Arial"/>
          <w:color w:val="000000"/>
        </w:rPr>
        <w:t>Abs_Res</w:t>
      </w:r>
      <w:proofErr w:type="spellEnd"/>
      <w:r>
        <w:rPr>
          <w:rFonts w:ascii="Arial" w:eastAsia="Arial" w:hAnsi="Arial" w:cs="Arial"/>
          <w:color w:val="000000"/>
        </w:rPr>
        <w:t>).</w:t>
      </w:r>
    </w:p>
    <w:p w14:paraId="3EC175DA" w14:textId="77777777" w:rsidR="002F1BEE" w:rsidRDefault="002F1BEE">
      <w:pPr>
        <w:pBdr>
          <w:top w:val="nil"/>
          <w:left w:val="nil"/>
          <w:bottom w:val="nil"/>
          <w:right w:val="nil"/>
          <w:between w:val="nil"/>
        </w:pBdr>
        <w:jc w:val="both"/>
        <w:rPr>
          <w:rFonts w:ascii="Arial" w:eastAsia="Arial" w:hAnsi="Arial" w:cs="Arial"/>
          <w:color w:val="000000"/>
        </w:rPr>
      </w:pPr>
    </w:p>
    <w:p w14:paraId="1ED2FB53" w14:textId="77777777" w:rsidR="002F1BEE" w:rsidRDefault="005A24ED">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Table 8. Heteroskedasticity Test Result</w:t>
      </w:r>
    </w:p>
    <w:p w14:paraId="1F006271" w14:textId="77777777" w:rsidR="002F1BEE" w:rsidRDefault="005A24ED">
      <w:pPr>
        <w:pBdr>
          <w:top w:val="nil"/>
          <w:left w:val="nil"/>
          <w:bottom w:val="nil"/>
          <w:right w:val="nil"/>
          <w:between w:val="nil"/>
        </w:pBdr>
        <w:jc w:val="center"/>
        <w:rPr>
          <w:rFonts w:ascii="Arial" w:eastAsia="Arial" w:hAnsi="Arial" w:cs="Arial"/>
          <w:color w:val="000000"/>
        </w:rPr>
      </w:pPr>
      <w:r>
        <w:rPr>
          <w:b/>
          <w:bCs/>
          <w:noProof/>
          <w:sz w:val="18"/>
          <w:szCs w:val="18"/>
          <w:lang w:val="en-US" w:eastAsia="en-US"/>
        </w:rPr>
        <w:drawing>
          <wp:inline distT="0" distB="0" distL="0" distR="0" wp14:anchorId="6AB9C505" wp14:editId="3066FC33">
            <wp:extent cx="4264926" cy="1207827"/>
            <wp:effectExtent l="0" t="0" r="254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279701" cy="1212011"/>
                    </a:xfrm>
                    <a:prstGeom prst="rect">
                      <a:avLst/>
                    </a:prstGeom>
                    <a:ln/>
                  </pic:spPr>
                </pic:pic>
              </a:graphicData>
            </a:graphic>
          </wp:inline>
        </w:drawing>
      </w:r>
    </w:p>
    <w:p w14:paraId="6CCD40DF" w14:textId="77777777" w:rsidR="002F1BEE" w:rsidRDefault="002F1BEE">
      <w:pPr>
        <w:pBdr>
          <w:top w:val="nil"/>
          <w:left w:val="nil"/>
          <w:bottom w:val="nil"/>
          <w:right w:val="nil"/>
          <w:between w:val="nil"/>
        </w:pBdr>
        <w:jc w:val="both"/>
        <w:rPr>
          <w:rFonts w:ascii="Arial" w:eastAsia="Arial" w:hAnsi="Arial" w:cs="Arial"/>
          <w:color w:val="000000"/>
        </w:rPr>
      </w:pPr>
    </w:p>
    <w:p w14:paraId="193E9137"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the results of the heteroskedasticity test shown in the table above, it is known that the Corporate Social Responsibility variable has a significance value of 0.175, which is greater than 0.05. This indicates that the CSR variable does not significantly affect the absolute residual value, so it can be concluded that there is no heteroskedasticity phenomenon in the regression model. Therefore, the regression model in this study has met the classical assumption of being free from heteroskedasticity and is suitable for further regression analysis.</w:t>
      </w:r>
    </w:p>
    <w:p w14:paraId="1055BB88" w14:textId="15E2A46C" w:rsidR="002F1BEE" w:rsidRDefault="002F1BEE">
      <w:pPr>
        <w:pBdr>
          <w:top w:val="nil"/>
          <w:left w:val="nil"/>
          <w:bottom w:val="nil"/>
          <w:right w:val="nil"/>
          <w:between w:val="nil"/>
        </w:pBdr>
        <w:jc w:val="both"/>
        <w:rPr>
          <w:rFonts w:ascii="Arial" w:eastAsia="Arial" w:hAnsi="Arial" w:cs="Arial"/>
          <w:color w:val="000000"/>
        </w:rPr>
      </w:pPr>
    </w:p>
    <w:p w14:paraId="32CA6DF2" w14:textId="2A0CD7E0" w:rsidR="005B748B" w:rsidRDefault="005B748B">
      <w:pPr>
        <w:pBdr>
          <w:top w:val="nil"/>
          <w:left w:val="nil"/>
          <w:bottom w:val="nil"/>
          <w:right w:val="nil"/>
          <w:between w:val="nil"/>
        </w:pBdr>
        <w:jc w:val="both"/>
        <w:rPr>
          <w:rFonts w:ascii="Arial" w:eastAsia="Arial" w:hAnsi="Arial" w:cs="Arial"/>
          <w:color w:val="000000"/>
        </w:rPr>
      </w:pPr>
    </w:p>
    <w:p w14:paraId="49C26B8A" w14:textId="77777777" w:rsidR="005B748B" w:rsidRDefault="005B748B">
      <w:pPr>
        <w:pBdr>
          <w:top w:val="nil"/>
          <w:left w:val="nil"/>
          <w:bottom w:val="nil"/>
          <w:right w:val="nil"/>
          <w:between w:val="nil"/>
        </w:pBdr>
        <w:jc w:val="both"/>
        <w:rPr>
          <w:rFonts w:ascii="Arial" w:eastAsia="Arial" w:hAnsi="Arial" w:cs="Arial"/>
          <w:color w:val="000000"/>
        </w:rPr>
      </w:pPr>
    </w:p>
    <w:p w14:paraId="44080DFF"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i/>
          <w:iCs/>
          <w:color w:val="000000"/>
        </w:rPr>
        <w:lastRenderedPageBreak/>
        <w:t xml:space="preserve">2.1.4.4. </w:t>
      </w:r>
      <w:r>
        <w:rPr>
          <w:rFonts w:ascii="Arial" w:eastAsia="Arial" w:hAnsi="Arial" w:cs="Arial"/>
          <w:i/>
          <w:iCs/>
        </w:rPr>
        <w:t>Path Analysis</w:t>
      </w:r>
    </w:p>
    <w:p w14:paraId="040DD552"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CRS towards Company Value (PBV)</w:t>
      </w:r>
    </w:p>
    <w:p w14:paraId="21BD4A90"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regression analysis results indicate a t-statistic value of 2.147, with a significance level of 0.041, which is below 0.05. This outcome signifies that the CSR variable exerts a positive and substantial influence on PBV. The regression coefficient for CSR is 0.282, indicating that for each unit increase in the CSR index, the PBV will rise by 0.282, provided other variables are held constant. This outcome suggests that an increased level of corporate social responsibility implementation correlates with an enhanced market value for the organization. From the perspective of Stakeholder Theory, this may be elucidated by the ability of enterprises engaged in CSR efforts to fulfil the expectations and requirements of diverse stakeholders, including consumers, employees, investors, and the community. These activities fortify relationships and trust between the company and its stakeholders, augment its reputation, and cultivate a positive image that stimulates heightened investor interest in the company's shares.</w:t>
      </w:r>
    </w:p>
    <w:p w14:paraId="75E22A62" w14:textId="77777777" w:rsidR="002F1BEE" w:rsidRDefault="002F1BEE">
      <w:pPr>
        <w:pBdr>
          <w:top w:val="nil"/>
          <w:left w:val="nil"/>
          <w:bottom w:val="nil"/>
          <w:right w:val="nil"/>
          <w:between w:val="nil"/>
        </w:pBdr>
        <w:jc w:val="both"/>
        <w:rPr>
          <w:rFonts w:ascii="Arial" w:eastAsia="Arial" w:hAnsi="Arial" w:cs="Arial"/>
          <w:color w:val="000000"/>
        </w:rPr>
      </w:pPr>
    </w:p>
    <w:p w14:paraId="0080FB06"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R-squared value recorded was 0.141. The CSR variable accounts for 14.1% of the impact on PBV, with the remaining 85.9% attributed to variables not included in this research model. Consequently, it can be inferred that while CSR affects company value, the extent of this effect remains minimal, as the majority of the variance in PBV value is driven by other factors, such as company size and dividend policy, which were excluded from this research model.</w:t>
      </w:r>
    </w:p>
    <w:p w14:paraId="6F2ACDBF" w14:textId="77777777" w:rsidR="002F1BEE" w:rsidRDefault="002F1BEE">
      <w:pPr>
        <w:pBdr>
          <w:top w:val="nil"/>
          <w:left w:val="nil"/>
          <w:bottom w:val="nil"/>
          <w:right w:val="nil"/>
          <w:between w:val="nil"/>
        </w:pBdr>
        <w:jc w:val="both"/>
        <w:rPr>
          <w:rFonts w:ascii="Arial" w:eastAsia="Arial" w:hAnsi="Arial" w:cs="Arial"/>
          <w:color w:val="000000"/>
        </w:rPr>
      </w:pPr>
    </w:p>
    <w:p w14:paraId="58241DE9"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CSR towards Profitability (</w:t>
      </w:r>
      <w:proofErr w:type="spellStart"/>
      <w:r>
        <w:rPr>
          <w:rFonts w:ascii="Arial" w:eastAsia="Arial" w:hAnsi="Arial" w:cs="Arial"/>
          <w:b/>
          <w:bCs/>
          <w:color w:val="000000"/>
          <w:u w:val="single"/>
        </w:rPr>
        <w:t>RoA</w:t>
      </w:r>
      <w:proofErr w:type="spellEnd"/>
      <w:r>
        <w:rPr>
          <w:rFonts w:ascii="Arial" w:eastAsia="Arial" w:hAnsi="Arial" w:cs="Arial"/>
          <w:b/>
          <w:bCs/>
          <w:color w:val="000000"/>
          <w:u w:val="single"/>
        </w:rPr>
        <w:t>)</w:t>
      </w:r>
    </w:p>
    <w:p w14:paraId="7C9C4CE1"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data analysis revealed that the CSR variable possesses a coefficient of 0.056, a t-statistic of 0.386, and a significance level of 0.702, exceeding 0.05. This suggests that CSR exerts a favorable yet insignificant influence on Return on Assets (ROA). An augmentation in corporate social responsibility initiatives correlates with an enhancement in profitability, however the effect lacks sufficient statistical significance at this time.</w:t>
      </w:r>
    </w:p>
    <w:p w14:paraId="133E60C2"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From a Stakeholder Theory viewpoint, these findings can be elucidated by the notion that CSR implementation constitutes a manifestation of corporate responsibility in fulfilling the expectations of stakeholders, including the community, employees, and investors. This initiative seeks to establish legitimacy, cultivate a favorable reputation, and foster harmonious relationships with stakeholders. While its immediate effect on profitability has been minimal, CSR initiatives possess the capacity to yield long-term advantages for the company through enhanced reputation, consumer loyalty, and public endorsement, which may ultimately bolster financial performance in the future.</w:t>
      </w:r>
    </w:p>
    <w:p w14:paraId="5B12A042" w14:textId="77777777" w:rsidR="002F1BEE" w:rsidRDefault="002F1BEE">
      <w:pPr>
        <w:pBdr>
          <w:top w:val="nil"/>
          <w:left w:val="nil"/>
          <w:bottom w:val="nil"/>
          <w:right w:val="nil"/>
          <w:between w:val="nil"/>
        </w:pBdr>
        <w:jc w:val="both"/>
        <w:rPr>
          <w:rFonts w:ascii="Arial" w:eastAsia="Arial" w:hAnsi="Arial" w:cs="Arial"/>
          <w:color w:val="000000"/>
        </w:rPr>
      </w:pPr>
    </w:p>
    <w:p w14:paraId="749ADD23"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Profitability (PBV) towards Company Value (PBV)</w:t>
      </w:r>
    </w:p>
    <w:p w14:paraId="74228DC2"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data analysis indicates that PBV possesses a coefficient of 0.703, a t-statistic of 3.611, and a significance level of 0.001 (&lt; 0.05). The results demonstrate that PBV exerts a favorable and significant influence on ROA. A higher market value relative to book value indicates a stronger capacity for the company to produce profits from its assets.</w:t>
      </w:r>
    </w:p>
    <w:p w14:paraId="6CA54A07"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This outcome signifies that a substantial market value shows investor trust in the company's future performance and potential. In Stakeholder Theory, this confidence indicates that the organization has effectively cultivated strong relationships with stakeholders through efficient performance and appropriate resource management. This scenario enhances asset productivity, hence positively influencing the company's profitability as indicated by the ROA value.</w:t>
      </w:r>
    </w:p>
    <w:p w14:paraId="1C15E6CE" w14:textId="77777777" w:rsidR="002F1BEE" w:rsidRDefault="002F1BEE">
      <w:pPr>
        <w:pBdr>
          <w:top w:val="nil"/>
          <w:left w:val="nil"/>
          <w:bottom w:val="nil"/>
          <w:right w:val="nil"/>
          <w:between w:val="nil"/>
        </w:pBdr>
        <w:jc w:val="both"/>
        <w:rPr>
          <w:rFonts w:ascii="Arial" w:eastAsia="Arial" w:hAnsi="Arial" w:cs="Arial"/>
          <w:color w:val="000000"/>
        </w:rPr>
      </w:pPr>
    </w:p>
    <w:p w14:paraId="0F4434D8"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The Profitability (ROA) impact of CSR through Company Value (PBV)</w:t>
      </w:r>
    </w:p>
    <w:p w14:paraId="46AC0B4D"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path analysis results indicate that the CRS variable has a direct effect on Company Value (PBV) with a coefficient of 0.282 and a significance level of 0.041 (&lt; 0.05). This outcome demonstrates that CSR exerts a favorable and significant influence on PBV. A higher degree </w:t>
      </w:r>
      <w:r>
        <w:rPr>
          <w:rFonts w:ascii="Arial" w:eastAsia="Arial" w:hAnsi="Arial" w:cs="Arial"/>
          <w:color w:val="000000"/>
        </w:rPr>
        <w:lastRenderedPageBreak/>
        <w:t>of corporate social responsibility implementation correlates with an increased market value for the organization.</w:t>
      </w:r>
    </w:p>
    <w:p w14:paraId="513A51BA" w14:textId="77777777" w:rsidR="002F1BEE" w:rsidRDefault="002F1BEE">
      <w:pPr>
        <w:pBdr>
          <w:top w:val="nil"/>
          <w:left w:val="nil"/>
          <w:bottom w:val="nil"/>
          <w:right w:val="nil"/>
          <w:between w:val="nil"/>
        </w:pBdr>
        <w:jc w:val="both"/>
        <w:rPr>
          <w:rFonts w:ascii="Arial" w:eastAsia="Arial" w:hAnsi="Arial" w:cs="Arial"/>
          <w:color w:val="000000"/>
        </w:rPr>
      </w:pPr>
    </w:p>
    <w:p w14:paraId="455E34B8"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impact of CSR on ROA is characterized by a coefficient of 0.056 and a significance level of 0.702, exceeding the threshold of 0.05. This suggests that CSR exerts a favorable yet insignificant influence on ROA. A rise in CSR correlates with an increase in firm profitability; nevertheless, the statistical significance of this effect is insufficient. The R value in the model signifies that CSR accounts for 14.1% of the variation in PBV, yielding e</w:t>
      </w:r>
      <w:r>
        <w:rPr>
          <w:rFonts w:ascii="Cambria Math" w:eastAsia="Cambria Math" w:hAnsi="Cambria Math" w:cs="Cambria Math"/>
          <w:color w:val="000000"/>
        </w:rPr>
        <w:t>₁</w:t>
      </w:r>
      <w:r>
        <w:rPr>
          <w:rFonts w:ascii="Arial" w:eastAsia="Arial" w:hAnsi="Arial" w:cs="Arial"/>
          <w:color w:val="000000"/>
        </w:rPr>
        <w:t xml:space="preserve"> = 0.7874.</w:t>
      </w:r>
    </w:p>
    <w:p w14:paraId="4A19631D"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The indirect effect of CSR on PBV through ROA is determined by multiplying the route coefficients of CSR to ROA and ROA to PBV, resulting in 0.056 × 0.463 = 0.026. The cumulative impact of CSR on PBV is the aggregate of the direct and indirect impacts, totaling 0.282 + 0.026 = 0.308. The magnitude of the indirect effect (0.026) is significantly less than that of the direct effect (0.282). This signifies that the impact of CSR on PBV is direct, whereas the pathway through ROA does not provide a substantial contribution. Consequently, ROA does not function as a mediating variable in the association between CSR and PBV.</w:t>
      </w:r>
    </w:p>
    <w:p w14:paraId="4AFC3B6E" w14:textId="77777777" w:rsidR="002F1BEE" w:rsidRDefault="002F1BEE">
      <w:pPr>
        <w:pBdr>
          <w:top w:val="nil"/>
          <w:left w:val="nil"/>
          <w:bottom w:val="nil"/>
          <w:right w:val="nil"/>
          <w:between w:val="nil"/>
        </w:pBdr>
        <w:jc w:val="both"/>
        <w:rPr>
          <w:rFonts w:ascii="Arial" w:eastAsia="Arial" w:hAnsi="Arial" w:cs="Arial"/>
          <w:color w:val="000000"/>
        </w:rPr>
      </w:pPr>
    </w:p>
    <w:p w14:paraId="4980DA61"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Mediation Test</w:t>
      </w:r>
    </w:p>
    <w:p w14:paraId="6F4698E5"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regression coefficient for CSR on PBV is 0.282, with a standard error of 0.131 and a significance level of 0.041 (&lt; 0.05). This signifies that CSR positively and significantly influences company value (PBV). Additionally, ROA exhibits a coefficient of 0.463, a standard error of 0.128, and a significance level of 0.001 (&lt; 0.05), signifying a positive and substantial impact on PBV. Conversely, CSR has a coefficient of 0.056 for ROA, accompanied by a standard error of 0.145 and a significance value of 0.702 (&gt; 0.05), indicating that CSR exerts a positive albeit statistically insignificant influence on ROA. The data indicate that CSR has a substantial direct impact on PBV, although its influence on ROA is negligible. Consequently, additional testing is required to ascertain if ROA can function as a mediating variable in the link between CSR and PBV by Sobel testing.</w:t>
      </w:r>
    </w:p>
    <w:p w14:paraId="02648B59" w14:textId="77777777" w:rsidR="002F1BEE" w:rsidRDefault="002F1BEE">
      <w:pPr>
        <w:pBdr>
          <w:top w:val="nil"/>
          <w:left w:val="nil"/>
          <w:bottom w:val="nil"/>
          <w:right w:val="nil"/>
          <w:between w:val="nil"/>
        </w:pBdr>
        <w:jc w:val="both"/>
        <w:rPr>
          <w:rFonts w:ascii="Arial" w:eastAsia="Arial" w:hAnsi="Arial" w:cs="Arial"/>
          <w:color w:val="000000"/>
        </w:rPr>
      </w:pPr>
    </w:p>
    <w:p w14:paraId="66427613"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obtained findings indicate a Sobel test statistic (Z) of 1.84986903, accompanied with a one-sided probability of 0.032 and a two-sided probability of 0.064. The results reveal that in the one-sided test, the p-value of 0.032 (&lt; 0.05) suggests a weak but positive indirect effect. Nevertheless, as mediation testing typically employs a two-sided test to account for both positive and negative associations, the two-sided p-value of 0.064 (&gt; 0.05) is deemed statistically insignificant. The indirect impact of CSR on PBV through ROA is insufficiently robust to establish a meaningful mediating effect.</w:t>
      </w:r>
    </w:p>
    <w:p w14:paraId="1EB89F35" w14:textId="77777777" w:rsidR="002F1BEE" w:rsidRDefault="002F1BEE">
      <w:pPr>
        <w:pBdr>
          <w:top w:val="nil"/>
          <w:left w:val="nil"/>
          <w:bottom w:val="nil"/>
          <w:right w:val="nil"/>
          <w:between w:val="nil"/>
        </w:pBdr>
        <w:jc w:val="both"/>
        <w:rPr>
          <w:rFonts w:ascii="Arial" w:eastAsia="Arial" w:hAnsi="Arial" w:cs="Arial"/>
          <w:color w:val="000000"/>
        </w:rPr>
      </w:pPr>
    </w:p>
    <w:p w14:paraId="2BC078BD"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findings from the Sobel test and route analysis indicate that the ROA variable does not serve as a mediating variable in the link between CSR and PBV. The relationship between CSR and PBV is direct and non-mediation. This suggests that corporate social responsibility initiatives exert a more significant direct influence on company value by enhancing investor confidence, corporate reputation, and public legitimacy, without necessarily requiring an initial improvement in profitability (ROA). The findings of this study demonstrate that the established model is a non-mediation model, as the indirect pathway failed to achieve statistical significance in the two-tailed test.</w:t>
      </w:r>
    </w:p>
    <w:p w14:paraId="11E4C540" w14:textId="77777777" w:rsidR="002F1BEE" w:rsidRDefault="002F1BEE">
      <w:pPr>
        <w:pBdr>
          <w:top w:val="nil"/>
          <w:left w:val="nil"/>
          <w:bottom w:val="nil"/>
          <w:right w:val="nil"/>
          <w:between w:val="nil"/>
        </w:pBdr>
        <w:jc w:val="both"/>
        <w:rPr>
          <w:rFonts w:ascii="Arial" w:eastAsia="Arial" w:hAnsi="Arial" w:cs="Arial"/>
          <w:color w:val="000000"/>
        </w:rPr>
      </w:pPr>
    </w:p>
    <w:p w14:paraId="106FF2E2" w14:textId="77777777" w:rsidR="002F1BEE" w:rsidRDefault="005A24ED">
      <w:pPr>
        <w:keepNext/>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mallCaps/>
          <w:color w:val="000000"/>
          <w:sz w:val="22"/>
          <w:szCs w:val="22"/>
        </w:rPr>
        <w:t xml:space="preserve">4.2. </w:t>
      </w:r>
      <w:r>
        <w:rPr>
          <w:rFonts w:ascii="Arial" w:eastAsia="Arial" w:hAnsi="Arial" w:cs="Arial"/>
          <w:b/>
          <w:bCs/>
          <w:color w:val="000000"/>
          <w:sz w:val="22"/>
          <w:szCs w:val="22"/>
        </w:rPr>
        <w:t>Discussion</w:t>
      </w:r>
    </w:p>
    <w:p w14:paraId="31C57848"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The Influence of Corporate Social Responsibility on Company Value</w:t>
      </w:r>
    </w:p>
    <w:p w14:paraId="7FA43420"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test results indicate that Corporate Social Responsibility positively and significantly influences corporate value. The t-statistic value of 2.147, with a significance level of 0.041, which is below 0.05, and a regression coefficient of 0.282, substantiates this claim. Consequently, the initial hypothesis (H1) is affirmed.</w:t>
      </w:r>
    </w:p>
    <w:p w14:paraId="51727CA5" w14:textId="6B35761A"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br/>
        <w:t>This substantial influence suggests that the market reacts favorably to corporations that consistently meet their social duties. Corporate Social Responsibility (CSR) is perceived not merely as a social duty, but also as a measure of managerial excellence and a corporation's dedication to enduring sustainability. Companies that actively participate in CSR typically enjoy elevated trust from investors and the public, leading to improved market valuations. From an economic standpoint, the implementation of CSR is seen effective in mitigating operational and reputational risks for corporations. Moreover, the implementation of CSR can enhance customer trust and loyalty, fortify the company's link with its social milieu, and attract investors focused on sustainability factors. This circumstance fosters the perception that the company exhibits more steady performance and possesses a definitive long-term development trajectory, hence prompting the market to assign a greater valuation to the organization.</w:t>
      </w:r>
      <w:r>
        <w:rPr>
          <w:rFonts w:ascii="Arial" w:eastAsia="Arial" w:hAnsi="Arial" w:cs="Arial"/>
          <w:color w:val="000000"/>
        </w:rPr>
        <w:br/>
      </w:r>
      <w:r>
        <w:rPr>
          <w:rFonts w:ascii="Arial" w:eastAsia="Arial" w:hAnsi="Arial" w:cs="Arial"/>
          <w:color w:val="000000"/>
        </w:rPr>
        <w:br/>
        <w:t>This study's conclusions theoretically correspond with Stakeholder Theory, which posits that a company's sustainability is significantly reliant on stakeholder support. When a corporation successfully meets its social duties, the legitimacy and trust of its stakeholders will enhance. The execution of CSR enhances the company's reputation, mitigates potential social disputes, and fortifies its favorable public image.</w:t>
      </w:r>
      <w:r w:rsidR="008731C0">
        <w:rPr>
          <w:rFonts w:ascii="Arial" w:eastAsia="Arial" w:hAnsi="Arial" w:cs="Arial"/>
          <w:color w:val="000000"/>
        </w:rPr>
        <w:t xml:space="preserve"> </w:t>
      </w:r>
      <w:r>
        <w:rPr>
          <w:rFonts w:ascii="Arial" w:eastAsia="Arial" w:hAnsi="Arial" w:cs="Arial"/>
          <w:color w:val="000000"/>
        </w:rPr>
        <w:t>This research suggests that the sustainable execution of CSR affects social dimensions and yields concrete economic advantages for companies. Companies that constantly engage in corporate social responsibility have a heightened potential to attract investors, broaden access to environmentally focused funding sources, and strengthen their competitive advantage in the marketplace. Consequently, CSR must be included as an element of a long-term corporate plan rather than only a reporting requirement.</w:t>
      </w:r>
    </w:p>
    <w:p w14:paraId="30249A29" w14:textId="77777777" w:rsidR="002F1BEE" w:rsidRDefault="002F1BEE">
      <w:pPr>
        <w:pBdr>
          <w:top w:val="nil"/>
          <w:left w:val="nil"/>
          <w:bottom w:val="nil"/>
          <w:right w:val="nil"/>
          <w:between w:val="nil"/>
        </w:pBdr>
        <w:jc w:val="both"/>
        <w:rPr>
          <w:rFonts w:ascii="Arial" w:eastAsia="Arial" w:hAnsi="Arial" w:cs="Arial"/>
          <w:color w:val="000000"/>
        </w:rPr>
      </w:pPr>
    </w:p>
    <w:p w14:paraId="073AF708" w14:textId="77777777" w:rsidR="002F1BEE" w:rsidRPr="00EE7C18"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Mor</w:t>
      </w:r>
      <w:r w:rsidRPr="00EE7C18">
        <w:rPr>
          <w:rFonts w:ascii="Arial" w:eastAsia="Arial" w:hAnsi="Arial" w:cs="Arial"/>
          <w:color w:val="000000"/>
        </w:rPr>
        <w:t xml:space="preserve">eover, these findings align with the research conducted by </w:t>
      </w:r>
      <w:r w:rsidRPr="00EE7C18">
        <w:rPr>
          <w:rFonts w:ascii="Arial" w:eastAsia="Arial" w:hAnsi="Arial" w:cs="Arial"/>
        </w:rPr>
        <w:t xml:space="preserve">Butt et al. (2020), </w:t>
      </w:r>
      <w:proofErr w:type="spellStart"/>
      <w:r w:rsidRPr="00EE7C18">
        <w:rPr>
          <w:rFonts w:ascii="Arial" w:eastAsia="Arial" w:hAnsi="Arial" w:cs="Arial"/>
        </w:rPr>
        <w:t>Jadiyappa</w:t>
      </w:r>
      <w:proofErr w:type="spellEnd"/>
      <w:r w:rsidRPr="00EE7C18">
        <w:rPr>
          <w:rFonts w:ascii="Arial" w:eastAsia="Arial" w:hAnsi="Arial" w:cs="Arial"/>
        </w:rPr>
        <w:t xml:space="preserve"> et al. (2021), Benjamin &amp; Biswas (2022), </w:t>
      </w:r>
      <w:proofErr w:type="spellStart"/>
      <w:r w:rsidRPr="00EE7C18">
        <w:rPr>
          <w:rFonts w:ascii="Arial" w:eastAsia="Arial" w:hAnsi="Arial" w:cs="Arial"/>
          <w:color w:val="000000"/>
        </w:rPr>
        <w:t>Angraini</w:t>
      </w:r>
      <w:proofErr w:type="spellEnd"/>
      <w:r w:rsidRPr="00EE7C18">
        <w:rPr>
          <w:rFonts w:ascii="Arial" w:eastAsia="Arial" w:hAnsi="Arial" w:cs="Arial"/>
          <w:color w:val="000000"/>
        </w:rPr>
        <w:t xml:space="preserve"> &amp; </w:t>
      </w:r>
      <w:proofErr w:type="spellStart"/>
      <w:r w:rsidRPr="00EE7C18">
        <w:rPr>
          <w:rFonts w:ascii="Arial" w:eastAsia="Arial" w:hAnsi="Arial" w:cs="Arial"/>
          <w:color w:val="000000"/>
        </w:rPr>
        <w:t>Murtanto</w:t>
      </w:r>
      <w:proofErr w:type="spellEnd"/>
      <w:r w:rsidRPr="00EE7C18">
        <w:rPr>
          <w:rFonts w:ascii="Arial" w:eastAsia="Arial" w:hAnsi="Arial" w:cs="Arial"/>
          <w:color w:val="000000"/>
        </w:rPr>
        <w:t xml:space="preserve"> (2023)</w:t>
      </w:r>
      <w:r w:rsidRPr="00EE7C18">
        <w:rPr>
          <w:rFonts w:ascii="Arial" w:eastAsia="Arial" w:hAnsi="Arial" w:cs="Arial"/>
        </w:rPr>
        <w:t xml:space="preserve"> &amp; </w:t>
      </w:r>
      <w:proofErr w:type="spellStart"/>
      <w:r w:rsidRPr="00EE7C18">
        <w:rPr>
          <w:rFonts w:ascii="Arial" w:eastAsia="Arial" w:hAnsi="Arial" w:cs="Arial"/>
          <w:color w:val="000000"/>
        </w:rPr>
        <w:t>Firdauzi</w:t>
      </w:r>
      <w:proofErr w:type="spellEnd"/>
      <w:r w:rsidRPr="00EE7C18">
        <w:rPr>
          <w:rFonts w:ascii="Arial" w:eastAsia="Arial" w:hAnsi="Arial" w:cs="Arial"/>
          <w:color w:val="000000"/>
        </w:rPr>
        <w:t xml:space="preserve"> et al. (2024), which shown that CSR enhances firm value. Investors perceive organizations engaged in CSR as more dedicated to sustainability and sound governance, thereby enhancing investor interest and the company's market valuation. Transparency and the execution of social responsibility enhance investors' favorable opinion of the company's performance and long-term potential. Consequently, the more effectively CSR is implemented, the greater the market value indicated by the stock price.</w:t>
      </w:r>
    </w:p>
    <w:p w14:paraId="7C23A31A" w14:textId="77777777" w:rsidR="002F1BEE" w:rsidRDefault="002F1BEE">
      <w:pPr>
        <w:pBdr>
          <w:top w:val="nil"/>
          <w:left w:val="nil"/>
          <w:bottom w:val="nil"/>
          <w:right w:val="nil"/>
          <w:between w:val="nil"/>
        </w:pBdr>
        <w:jc w:val="both"/>
        <w:rPr>
          <w:rFonts w:ascii="Arial" w:eastAsia="Arial" w:hAnsi="Arial" w:cs="Arial"/>
          <w:color w:val="000000"/>
        </w:rPr>
      </w:pPr>
    </w:p>
    <w:p w14:paraId="7E351B4C"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The Influence of Corporate Social Responsibility on Profitability</w:t>
      </w:r>
    </w:p>
    <w:p w14:paraId="56652061"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regression findings indicate that CSR exerts a positive albeit statistically negligible influence on profitability (ROA), evidenced by a coefficient of 0.056, a t-statistic of 0.386, and a significance level of 0.702 (&gt; 0.05). This suggests that while CSR efforts marginally enhance profitability, the gain is insufficient to yield a substantial benefit. Consequently, H2 is dismissed. </w:t>
      </w:r>
      <w:r>
        <w:rPr>
          <w:rFonts w:ascii="Arial" w:eastAsia="Arial" w:hAnsi="Arial" w:cs="Arial"/>
          <w:color w:val="000000"/>
        </w:rPr>
        <w:br/>
      </w:r>
      <w:r>
        <w:rPr>
          <w:rFonts w:ascii="Arial" w:eastAsia="Arial" w:hAnsi="Arial" w:cs="Arial"/>
          <w:color w:val="000000"/>
        </w:rPr>
        <w:br/>
        <w:t>While the influence is not substantial, the positive coefficient suggests that an increase in social responsibility activities correlates with a rise in profitability, albeit insufficient to produce a direct and significant impact. This may result from the temporal delay between the execution of the CSR program and the subsequent realization of its economic advantages, which are only experienced in the future. The insignificance of this effect arises from the fact that Corporate Social Responsibility (CSR) sometimes entails substantial initial costs, whereas its financial advantages are not immediately evident. Numerous CSR initiatives necessitate an extensive approach to alter public opinion and enhance client loyalty. Furthermore, certain organizations may not have included CSR into their business objectives, resulting in suboptimal economic impact. Consequently, CSR has not directly enhanced ROA during the research period.</w:t>
      </w:r>
    </w:p>
    <w:p w14:paraId="00980721"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br/>
        <w:t>The findings of this study carry significant implications for corporate management, including the necessity to regard CSR as a long-term investment rather than only a means to deliver immediate societal benefits. To realize substantial financial effect, firms must adopt CSR programs that correspond with their fundamental business strategy, like operational efficiency, environmentally sustainable product creation, or sustainability-oriented marketing initiatives. By incorporating CSR into their fundamental business models, organizations can diminish long-term expenses, broaden their devoted client base, and establish a favorable reputation that ultimately enhances sustainable profitability.</w:t>
      </w:r>
    </w:p>
    <w:p w14:paraId="7A3B11AC" w14:textId="6C640F0B"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r>
      <w:r w:rsidRPr="00EE7C18">
        <w:rPr>
          <w:rFonts w:ascii="Arial" w:eastAsia="Arial" w:hAnsi="Arial" w:cs="Arial"/>
        </w:rPr>
        <w:t xml:space="preserve">This outcome aligns with </w:t>
      </w:r>
      <w:r w:rsidR="00824742" w:rsidRPr="001447DC">
        <w:rPr>
          <w:rFonts w:ascii="Arial" w:hAnsi="Arial" w:cs="Arial"/>
        </w:rPr>
        <w:t>Yoon &amp; Chung (2018)</w:t>
      </w:r>
      <w:r w:rsidR="00824742" w:rsidRPr="00EE7C18">
        <w:rPr>
          <w:rFonts w:ascii="Arial" w:hAnsi="Arial" w:cs="Arial"/>
        </w:rPr>
        <w:t xml:space="preserve">, </w:t>
      </w:r>
      <w:proofErr w:type="spellStart"/>
      <w:r w:rsidRPr="00EE7C18">
        <w:rPr>
          <w:rFonts w:ascii="Arial" w:eastAsia="Arial" w:hAnsi="Arial" w:cs="Arial"/>
        </w:rPr>
        <w:t>Aldino</w:t>
      </w:r>
      <w:proofErr w:type="spellEnd"/>
      <w:r w:rsidRPr="00EE7C18">
        <w:rPr>
          <w:rFonts w:ascii="Arial" w:eastAsia="Arial" w:hAnsi="Arial" w:cs="Arial"/>
        </w:rPr>
        <w:t xml:space="preserve"> (2021)</w:t>
      </w:r>
      <w:r w:rsidR="00D2052E" w:rsidRPr="00EE7C18">
        <w:rPr>
          <w:rFonts w:ascii="Arial" w:eastAsia="Arial" w:hAnsi="Arial" w:cs="Arial"/>
        </w:rPr>
        <w:t xml:space="preserve"> &amp; </w:t>
      </w:r>
      <w:proofErr w:type="spellStart"/>
      <w:r w:rsidR="00D2052E" w:rsidRPr="00EE7C18">
        <w:rPr>
          <w:rFonts w:ascii="Arial" w:eastAsia="Arial" w:hAnsi="Arial" w:cs="Arial"/>
        </w:rPr>
        <w:t>Julasari</w:t>
      </w:r>
      <w:proofErr w:type="spellEnd"/>
      <w:r w:rsidR="00D2052E" w:rsidRPr="00EE7C18">
        <w:rPr>
          <w:rFonts w:ascii="Arial" w:eastAsia="Arial" w:hAnsi="Arial" w:cs="Arial"/>
        </w:rPr>
        <w:t xml:space="preserve"> et al (2025)</w:t>
      </w:r>
      <w:r w:rsidRPr="00EE7C18">
        <w:rPr>
          <w:rFonts w:ascii="Arial" w:eastAsia="Arial" w:hAnsi="Arial" w:cs="Arial"/>
        </w:rPr>
        <w:t xml:space="preserve"> study, which indicates that CSR does not consistently exert a direct influence on profitability, however remains crucial for fostering stakeholder connections and enhancing long-term reputation. Corporate Social Responsibility (CSR) frequently produces initial non-financial advantages, such as enhanced consumer trust and loyalty, which may subsequently lead to improved profitability.</w:t>
      </w:r>
      <w:r w:rsidR="00AF0B37" w:rsidRPr="00EE7C18">
        <w:rPr>
          <w:rFonts w:ascii="Arial" w:eastAsia="Arial" w:hAnsi="Arial" w:cs="Arial"/>
        </w:rPr>
        <w:t xml:space="preserve"> </w:t>
      </w:r>
      <w:r w:rsidRPr="00EE7C18">
        <w:rPr>
          <w:rFonts w:ascii="Arial" w:eastAsia="Arial" w:hAnsi="Arial" w:cs="Arial"/>
          <w:color w:val="000000"/>
        </w:rPr>
        <w:t xml:space="preserve">This research </w:t>
      </w:r>
      <w:r w:rsidR="00AF0B37" w:rsidRPr="00EE7C18">
        <w:rPr>
          <w:rFonts w:ascii="Arial" w:eastAsia="Arial" w:hAnsi="Arial" w:cs="Arial"/>
          <w:color w:val="000000"/>
        </w:rPr>
        <w:t xml:space="preserve">also </w:t>
      </w:r>
      <w:r w:rsidRPr="00EE7C18">
        <w:rPr>
          <w:rFonts w:ascii="Arial" w:eastAsia="Arial" w:hAnsi="Arial" w:cs="Arial"/>
          <w:color w:val="000000"/>
        </w:rPr>
        <w:t xml:space="preserve">aligns with the findings of </w:t>
      </w:r>
      <w:proofErr w:type="spellStart"/>
      <w:r w:rsidRPr="00EE7C18">
        <w:rPr>
          <w:rFonts w:ascii="Arial" w:eastAsia="Arial" w:hAnsi="Arial" w:cs="Arial"/>
          <w:color w:val="000000"/>
        </w:rPr>
        <w:t>Yulia</w:t>
      </w:r>
      <w:proofErr w:type="spellEnd"/>
      <w:r w:rsidRPr="00EE7C18">
        <w:rPr>
          <w:rFonts w:ascii="Arial" w:eastAsia="Arial" w:hAnsi="Arial" w:cs="Arial"/>
          <w:color w:val="000000"/>
        </w:rPr>
        <w:t xml:space="preserve"> &amp; </w:t>
      </w:r>
      <w:proofErr w:type="spellStart"/>
      <w:r w:rsidRPr="00EE7C18">
        <w:rPr>
          <w:rFonts w:ascii="Arial" w:eastAsia="Arial" w:hAnsi="Arial" w:cs="Arial"/>
          <w:color w:val="000000"/>
        </w:rPr>
        <w:t>Sugih</w:t>
      </w:r>
      <w:proofErr w:type="spellEnd"/>
      <w:r w:rsidRPr="00EE7C18">
        <w:rPr>
          <w:rFonts w:ascii="Arial" w:eastAsia="Arial" w:hAnsi="Arial" w:cs="Arial"/>
          <w:color w:val="000000"/>
        </w:rPr>
        <w:t xml:space="preserve"> (2022), which indicated that CSR exerts a favorable albeit insignificant influence on company value, however enhanced by profitability (ROE) as a moderating variable. This suggests that the influence of CSR on financial performance necessitates additional time and more profound integration to have a measurable economic effec</w:t>
      </w:r>
      <w:r>
        <w:rPr>
          <w:rFonts w:ascii="Arial" w:eastAsia="Arial" w:hAnsi="Arial" w:cs="Arial"/>
          <w:color w:val="000000"/>
        </w:rPr>
        <w:t>t.</w:t>
      </w:r>
    </w:p>
    <w:p w14:paraId="4721E167" w14:textId="77777777" w:rsidR="002F1BEE" w:rsidRDefault="002F1BEE">
      <w:pPr>
        <w:pBdr>
          <w:top w:val="nil"/>
          <w:left w:val="nil"/>
          <w:bottom w:val="nil"/>
          <w:right w:val="nil"/>
          <w:between w:val="nil"/>
        </w:pBdr>
        <w:jc w:val="both"/>
        <w:rPr>
          <w:rFonts w:ascii="Arial" w:eastAsia="Arial" w:hAnsi="Arial" w:cs="Arial"/>
          <w:color w:val="000000"/>
        </w:rPr>
      </w:pPr>
    </w:p>
    <w:p w14:paraId="79D1183D"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The influence of Profitability on Company Value</w:t>
      </w:r>
    </w:p>
    <w:p w14:paraId="659BC49C"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research indicates that profitability exerts a positive and substantial influence on company value, evidenced by a coefficient of 0.703, a t-statistic of 3.611, and a significance level of 0.001 (&lt; 0.05). This signifies that a company's capacity to create profits from its assets is a crucial consideration for investors in evaluating the company's worth. Consequently, H3 is approved. </w:t>
      </w:r>
      <w:r>
        <w:rPr>
          <w:rFonts w:ascii="Arial" w:eastAsia="Arial" w:hAnsi="Arial" w:cs="Arial"/>
          <w:color w:val="000000"/>
        </w:rPr>
        <w:br/>
      </w:r>
      <w:r>
        <w:rPr>
          <w:rFonts w:ascii="Arial" w:eastAsia="Arial" w:hAnsi="Arial" w:cs="Arial"/>
          <w:color w:val="000000"/>
        </w:rPr>
        <w:br/>
        <w:t>A company's capacity to make profit from its assets directly correlates with the market value attributed to it by investors. Elevated profitability indicates the company's adeptness in resource management and favorable business outlook, thereby enhancing investor interest. This substantial impact arises from profitability being the most comprehensible metric of performance for investors, directly linked to the potential for dividend distributions and enhanced stock value. Firms that can produce substantial profits are perceived as possessing reduced risk and more favorable outlooks, hence drawing increased investor interest. The amalgamation of favorable perception and robust financial performance significantly influences firm value through profitability.</w:t>
      </w:r>
    </w:p>
    <w:p w14:paraId="23D2769B"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In Stakeholder Theory, substantial profitability signifies that the company has effectively met its economic obligations to shareholders and other stakeholders. This enhances investor confidence, seen by a rise in the company's market value. Profitability indicates that the company can reconcile economic interests with those of its stakeholders, so enhancing its legitimacy and reputation in the public sphere.</w:t>
      </w:r>
    </w:p>
    <w:p w14:paraId="5C1CDB4B"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This outcome indicates that enhancing profitability should be the foremost priority of the company's strategy to sustain and elevate market value. Management must guarantee the optimal utilization of assets, implement cost control measures, and pursue product diversification to maintain sustained earnings. These results highlight the necessity for investors to consider profitability measures such as ROA when assessing a company's performance and future potential prior to investment. By sustaining consistent profitability, the company enhances its competitive standing in the market and bolsters the long-term confidence of shareholders and prospective investors.</w:t>
      </w:r>
    </w:p>
    <w:p w14:paraId="5A15B4EB" w14:textId="777ED4DE" w:rsidR="002F1BEE" w:rsidRPr="00EE7C18" w:rsidRDefault="005A24ED">
      <w:pPr>
        <w:pBdr>
          <w:top w:val="nil"/>
          <w:left w:val="nil"/>
          <w:bottom w:val="nil"/>
          <w:right w:val="nil"/>
          <w:between w:val="nil"/>
        </w:pBdr>
        <w:jc w:val="both"/>
        <w:rPr>
          <w:rFonts w:ascii="Arial" w:eastAsia="Arial" w:hAnsi="Arial" w:cs="Arial"/>
          <w:color w:val="000000"/>
        </w:rPr>
      </w:pPr>
      <w:r w:rsidRPr="00EE7C18">
        <w:rPr>
          <w:rFonts w:ascii="Arial" w:eastAsia="Arial" w:hAnsi="Arial" w:cs="Arial"/>
          <w:color w:val="000000"/>
        </w:rPr>
        <w:lastRenderedPageBreak/>
        <w:br/>
        <w:t xml:space="preserve">This research corroborates Irawan et al. (2023), demonstrating that profitability is a critical determinant of corporate value. Return on Assets (ROA) signifies a company's proficiency in asset management, serving as a fundamental criterion for investor decision-making. This aligns with the study by </w:t>
      </w:r>
      <w:proofErr w:type="spellStart"/>
      <w:r w:rsidRPr="00EE7C18">
        <w:rPr>
          <w:rFonts w:ascii="Arial" w:eastAsia="Arial" w:hAnsi="Arial" w:cs="Arial"/>
          <w:color w:val="000000"/>
        </w:rPr>
        <w:t>Yuvianita</w:t>
      </w:r>
      <w:proofErr w:type="spellEnd"/>
      <w:r w:rsidRPr="00EE7C18">
        <w:rPr>
          <w:rFonts w:ascii="Arial" w:eastAsia="Arial" w:hAnsi="Arial" w:cs="Arial"/>
          <w:color w:val="000000"/>
        </w:rPr>
        <w:t xml:space="preserve"> et al. (2022),</w:t>
      </w:r>
      <w:r w:rsidR="00AF0B37" w:rsidRPr="00EE7C18">
        <w:rPr>
          <w:rFonts w:ascii="Arial" w:eastAsia="Arial" w:hAnsi="Arial" w:cs="Arial"/>
          <w:color w:val="000000"/>
        </w:rPr>
        <w:t xml:space="preserve"> </w:t>
      </w:r>
      <w:r w:rsidR="00AF0B37" w:rsidRPr="001447DC">
        <w:rPr>
          <w:rFonts w:ascii="Arial" w:hAnsi="Arial" w:cs="Arial"/>
        </w:rPr>
        <w:t xml:space="preserve">Saputra &amp; </w:t>
      </w:r>
      <w:proofErr w:type="spellStart"/>
      <w:r w:rsidR="00AF0B37" w:rsidRPr="001447DC">
        <w:rPr>
          <w:rFonts w:ascii="Arial" w:hAnsi="Arial" w:cs="Arial"/>
        </w:rPr>
        <w:t>Yanti</w:t>
      </w:r>
      <w:proofErr w:type="spellEnd"/>
      <w:r w:rsidR="00AF0B37" w:rsidRPr="001447DC">
        <w:rPr>
          <w:rFonts w:ascii="Arial" w:hAnsi="Arial" w:cs="Arial"/>
        </w:rPr>
        <w:t xml:space="preserve"> (2025</w:t>
      </w:r>
      <w:r w:rsidR="00AF0B37" w:rsidRPr="00EE7C18">
        <w:rPr>
          <w:rFonts w:ascii="Arial" w:hAnsi="Arial" w:cs="Arial"/>
        </w:rPr>
        <w:t xml:space="preserve">), &amp; </w:t>
      </w:r>
      <w:proofErr w:type="spellStart"/>
      <w:r w:rsidR="00AF0B37" w:rsidRPr="001447DC">
        <w:rPr>
          <w:rFonts w:ascii="Arial" w:hAnsi="Arial" w:cs="Arial"/>
        </w:rPr>
        <w:t>Febriyanti</w:t>
      </w:r>
      <w:proofErr w:type="spellEnd"/>
      <w:r w:rsidR="00AF0B37" w:rsidRPr="001447DC">
        <w:rPr>
          <w:rFonts w:ascii="Arial" w:hAnsi="Arial" w:cs="Arial"/>
        </w:rPr>
        <w:t xml:space="preserve"> &amp; </w:t>
      </w:r>
      <w:proofErr w:type="spellStart"/>
      <w:r w:rsidR="00AF0B37" w:rsidRPr="001447DC">
        <w:rPr>
          <w:rFonts w:ascii="Arial" w:hAnsi="Arial" w:cs="Arial"/>
        </w:rPr>
        <w:t>Hasibuan</w:t>
      </w:r>
      <w:proofErr w:type="spellEnd"/>
      <w:r w:rsidR="00AF0B37" w:rsidRPr="001447DC">
        <w:rPr>
          <w:rFonts w:ascii="Arial" w:hAnsi="Arial" w:cs="Arial"/>
        </w:rPr>
        <w:t xml:space="preserve"> (2025</w:t>
      </w:r>
      <w:r w:rsidR="00AF0B37" w:rsidRPr="00EE7C18">
        <w:rPr>
          <w:rFonts w:ascii="Arial" w:hAnsi="Arial" w:cs="Arial"/>
        </w:rPr>
        <w:t>)</w:t>
      </w:r>
      <w:r w:rsidRPr="00EE7C18">
        <w:rPr>
          <w:rFonts w:ascii="Arial" w:eastAsia="Arial" w:hAnsi="Arial" w:cs="Arial"/>
          <w:color w:val="000000"/>
        </w:rPr>
        <w:t xml:space="preserve"> which demonstrates that profitability (GPM) significantly influences firm value (PBV). Companies that can generate substantial profits from their operations will be valued more highly by the market, since they are perceived to exhibit efficient performance and promising growth potential.</w:t>
      </w:r>
    </w:p>
    <w:p w14:paraId="0DCA9210" w14:textId="77777777" w:rsidR="002F1BEE" w:rsidRDefault="002F1BEE">
      <w:pPr>
        <w:pBdr>
          <w:top w:val="nil"/>
          <w:left w:val="nil"/>
          <w:bottom w:val="nil"/>
          <w:right w:val="nil"/>
          <w:between w:val="nil"/>
        </w:pBdr>
        <w:jc w:val="both"/>
        <w:rPr>
          <w:rFonts w:ascii="Arial" w:eastAsia="Arial" w:hAnsi="Arial" w:cs="Arial"/>
          <w:color w:val="000000"/>
        </w:rPr>
      </w:pPr>
    </w:p>
    <w:p w14:paraId="2F521880" w14:textId="77777777" w:rsidR="002F1BEE" w:rsidRDefault="005A24ED">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The Influence of Corporate Social Responsibility on Company Value thru Profitability</w:t>
      </w:r>
    </w:p>
    <w:p w14:paraId="7B82B22D"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indicates that the test findings demonstrate no indirect influence of Corporate Social Responsibility on business value through profitability. The findings from the path analysis and Sobel test indicate that the indirect association between CSR and PBV through ROA is not statistically significant, evidenced by a Z value of 1.849 and a two-tailed p-value of 0.064 (&gt; 0.05). This insignificance arises from the failure to satisfy a primary criterion for mediation, specifically the impact of CSR on ROA, which has a significance value of 0.702 (&gt; 0.05). Consequently, profitability (ROA) does not serve as a mediating variable in the relationship between CSR and company value; therefore, H4 is rejected.</w:t>
      </w:r>
    </w:p>
    <w:p w14:paraId="5FFA53B8" w14:textId="3E3D3FB1"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 xml:space="preserve">The results demonstrate that the enhancement of business value resulting from CSR implementation does not transpire through higher profitability, but rather through a direct pathway. This indicates that the enhancement of corporate value through CSR is primarily derived from non-financial factors, such social legitimacy, reputation, and public trust, rather than from an increase in operating profit. This reinforces the perspective that CSR is regarded by investors primarily as a non-financial indicator of the company's dedication to sustainability principles, corporate ethics, and social responsibility. Consequently, while CSR can enhance firm value, this enhancement does not transpire through ROA as a middleman; instead, it occurs through market trust in the company's reputation and social responsibility. </w:t>
      </w:r>
      <w:r>
        <w:rPr>
          <w:rFonts w:ascii="Arial" w:eastAsia="Arial" w:hAnsi="Arial" w:cs="Arial"/>
          <w:color w:val="000000"/>
        </w:rPr>
        <w:br/>
      </w:r>
      <w:r w:rsidRPr="00EE7C18">
        <w:rPr>
          <w:rFonts w:ascii="Arial" w:eastAsia="Arial" w:hAnsi="Arial" w:cs="Arial"/>
          <w:color w:val="000000"/>
        </w:rPr>
        <w:br/>
        <w:t xml:space="preserve">The findings of this study align with those of </w:t>
      </w:r>
      <w:proofErr w:type="spellStart"/>
      <w:r w:rsidR="00AB1B53" w:rsidRPr="00EE7C18">
        <w:rPr>
          <w:rFonts w:ascii="Arial" w:eastAsia="Arial" w:hAnsi="Arial" w:cs="Arial"/>
          <w:color w:val="000000"/>
        </w:rPr>
        <w:t>Qonita</w:t>
      </w:r>
      <w:proofErr w:type="spellEnd"/>
      <w:r w:rsidR="00AB1B53" w:rsidRPr="00EE7C18">
        <w:rPr>
          <w:rFonts w:ascii="Arial" w:eastAsia="Arial" w:hAnsi="Arial" w:cs="Arial"/>
          <w:color w:val="000000"/>
        </w:rPr>
        <w:t xml:space="preserve"> et al. (2022) &amp; </w:t>
      </w:r>
      <w:r w:rsidRPr="00EE7C18">
        <w:rPr>
          <w:rFonts w:ascii="Arial" w:eastAsia="Arial" w:hAnsi="Arial" w:cs="Arial"/>
          <w:color w:val="000000"/>
        </w:rPr>
        <w:t xml:space="preserve">Irawan et al. (2023), indicating that CSR does not significantly influence financial performance and hence does not establish a mediation relationship with business value. The research conducted by </w:t>
      </w:r>
      <w:proofErr w:type="spellStart"/>
      <w:r w:rsidRPr="00EE7C18">
        <w:rPr>
          <w:rFonts w:ascii="Arial" w:eastAsia="Arial" w:hAnsi="Arial" w:cs="Arial"/>
          <w:color w:val="000000"/>
        </w:rPr>
        <w:t>Aldino</w:t>
      </w:r>
      <w:proofErr w:type="spellEnd"/>
      <w:r w:rsidRPr="00EE7C18">
        <w:rPr>
          <w:rFonts w:ascii="Arial" w:eastAsia="Arial" w:hAnsi="Arial" w:cs="Arial"/>
          <w:color w:val="000000"/>
        </w:rPr>
        <w:t xml:space="preserve"> (2021) affirmed that profitability is more suitably classified as an independent or moderating variable instead of a mediating one. The consistency in results underscores that the research findings indicate the impact of CSR on firm value is not mediated by profitability, but rather occurs directly through reputation and investors' favorable impression of the company. This research paradigm is classified as non-mediation, indicating that the relationship between CSR and corporate value is direct, without the influence of intervening variables.</w:t>
      </w:r>
    </w:p>
    <w:p w14:paraId="216A9EED" w14:textId="77777777" w:rsidR="002F1BEE" w:rsidRDefault="002F1BEE">
      <w:pPr>
        <w:pBdr>
          <w:top w:val="nil"/>
          <w:left w:val="nil"/>
          <w:bottom w:val="nil"/>
          <w:right w:val="nil"/>
          <w:between w:val="nil"/>
        </w:pBdr>
        <w:jc w:val="both"/>
        <w:rPr>
          <w:rFonts w:ascii="Arial" w:eastAsia="Arial" w:hAnsi="Arial" w:cs="Arial"/>
          <w:color w:val="000000"/>
        </w:rPr>
      </w:pPr>
    </w:p>
    <w:p w14:paraId="125F9EDA" w14:textId="77777777"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795DBFDF" w14:textId="77777777" w:rsidR="002F1BEE" w:rsidRDefault="002F1BEE">
      <w:pPr>
        <w:pBdr>
          <w:top w:val="nil"/>
          <w:left w:val="nil"/>
          <w:bottom w:val="nil"/>
          <w:right w:val="nil"/>
          <w:between w:val="nil"/>
        </w:pBdr>
        <w:jc w:val="both"/>
        <w:rPr>
          <w:rFonts w:ascii="Arial" w:eastAsia="Arial" w:hAnsi="Arial" w:cs="Arial"/>
          <w:color w:val="000000"/>
        </w:rPr>
      </w:pPr>
    </w:p>
    <w:p w14:paraId="1C96D470"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results indicate that increased levels of CSR disclosure and execution enhance investors' assessments of the company's performance and reputation. Companies that consistently implement CSR convey a message of trust and sustainability to the market, hence enhancing PBV as a measure of corporate worth.</w:t>
      </w:r>
    </w:p>
    <w:p w14:paraId="61607B11" w14:textId="77777777"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 xml:space="preserve">Additionally, this study discovered that while the direction of the association between CSR and profitability is consistent—that is, higher profits tend to follow increased CSR activities—the effect is not yet statistically significant. This suggests that the execution of CSR has not yet successfully enhanced firm profitability in the short term. The modest relevance of this influence is largely attributable to factors such as cost efficiency, market conditions, and the emphasis of CSR programs that have not directly affected operational income. Consequently, </w:t>
      </w:r>
      <w:r>
        <w:rPr>
          <w:rFonts w:ascii="Arial" w:eastAsia="Arial" w:hAnsi="Arial" w:cs="Arial"/>
          <w:color w:val="000000"/>
        </w:rPr>
        <w:lastRenderedPageBreak/>
        <w:t>corporate social responsibility is integral to a company's sustainability plan; nevertheless, its economic impacts are realized only in the long run.</w:t>
      </w:r>
    </w:p>
    <w:p w14:paraId="3C24269A" w14:textId="77777777" w:rsidR="008731C0"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This study demonstrates that firms with elevated profitability typically possess superior market value. A high ROA signifies the company's efficient management of assets to generate profits, hence drawing investor interest and enhancing the company's stock value in the capital market.</w:t>
      </w:r>
    </w:p>
    <w:p w14:paraId="4D5E25B9" w14:textId="7BC127E3" w:rsidR="002F1BEE" w:rsidRDefault="005A24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The study's findings suggest that there is no mediation role for profitability in the relationship between business value and corporate social responsibility. The impact of CSR on profitability is insignificant, hence failing to satisfy the criteria for mediation. Consequently, the impact of CSR on business value manifests directly, rather than through enhanced profitability.</w:t>
      </w:r>
      <w:r>
        <w:rPr>
          <w:rFonts w:ascii="Arial" w:eastAsia="Arial" w:hAnsi="Arial" w:cs="Arial"/>
          <w:color w:val="000000"/>
        </w:rPr>
        <w:br/>
      </w:r>
      <w:r>
        <w:rPr>
          <w:rFonts w:ascii="Arial" w:eastAsia="Arial" w:hAnsi="Arial" w:cs="Arial"/>
          <w:color w:val="000000"/>
        </w:rPr>
        <w:br/>
        <w:t>According to this finding, investors view corporate social responsibility (CSR) more as an indication of a company's sustainability and reputation than as a guarantee of higher economic performance. Consequently, the mediation hypothesis was dismissed, and this study model was classified as non-mediation.</w:t>
      </w:r>
    </w:p>
    <w:p w14:paraId="2FDA0F49" w14:textId="77777777" w:rsidR="002F1BEE" w:rsidRDefault="002F1BEE">
      <w:pPr>
        <w:pBdr>
          <w:top w:val="nil"/>
          <w:left w:val="nil"/>
          <w:bottom w:val="nil"/>
          <w:right w:val="nil"/>
          <w:between w:val="nil"/>
        </w:pBdr>
        <w:jc w:val="both"/>
        <w:rPr>
          <w:rFonts w:ascii="Arial" w:eastAsia="Arial" w:hAnsi="Arial" w:cs="Arial"/>
          <w:color w:val="000000"/>
        </w:rPr>
      </w:pPr>
    </w:p>
    <w:p w14:paraId="06CCE678" w14:textId="77777777" w:rsidR="000420FB" w:rsidRDefault="000420FB">
      <w:pPr>
        <w:pBdr>
          <w:top w:val="nil"/>
          <w:left w:val="nil"/>
          <w:bottom w:val="nil"/>
          <w:right w:val="nil"/>
          <w:between w:val="nil"/>
        </w:pBdr>
        <w:jc w:val="both"/>
        <w:rPr>
          <w:rFonts w:ascii="Arial" w:eastAsia="Arial" w:hAnsi="Arial" w:cs="Arial"/>
          <w:color w:val="000000"/>
        </w:rPr>
      </w:pPr>
    </w:p>
    <w:p w14:paraId="5F5C54D0" w14:textId="77777777" w:rsidR="000420FB" w:rsidRPr="000420FB" w:rsidRDefault="000420FB" w:rsidP="000420FB">
      <w:pPr>
        <w:pBdr>
          <w:top w:val="nil"/>
          <w:left w:val="nil"/>
          <w:bottom w:val="nil"/>
          <w:right w:val="nil"/>
          <w:between w:val="nil"/>
        </w:pBdr>
        <w:jc w:val="both"/>
        <w:rPr>
          <w:rFonts w:ascii="Arial" w:eastAsia="Arial" w:hAnsi="Arial" w:cs="Arial"/>
          <w:color w:val="000000"/>
        </w:rPr>
      </w:pPr>
      <w:r w:rsidRPr="000420FB">
        <w:rPr>
          <w:rFonts w:ascii="Arial" w:eastAsia="Arial" w:hAnsi="Arial" w:cs="Arial"/>
          <w:color w:val="000000"/>
        </w:rPr>
        <w:t>COMPETING INTERESTS DISCLAIMER:</w:t>
      </w:r>
    </w:p>
    <w:p w14:paraId="742EA127" w14:textId="77777777" w:rsidR="000420FB" w:rsidRPr="000420FB" w:rsidRDefault="000420FB" w:rsidP="000420FB">
      <w:pPr>
        <w:pBdr>
          <w:top w:val="nil"/>
          <w:left w:val="nil"/>
          <w:bottom w:val="nil"/>
          <w:right w:val="nil"/>
          <w:between w:val="nil"/>
        </w:pBdr>
        <w:jc w:val="both"/>
        <w:rPr>
          <w:rFonts w:ascii="Arial" w:eastAsia="Arial" w:hAnsi="Arial" w:cs="Arial"/>
          <w:color w:val="000000"/>
        </w:rPr>
      </w:pPr>
      <w:r w:rsidRPr="000420FB">
        <w:rPr>
          <w:rFonts w:ascii="Arial" w:eastAsia="Arial" w:hAnsi="Arial" w:cs="Arial"/>
          <w:color w:val="000000"/>
        </w:rPr>
        <w:t>Authors have declared that they have no known competing financial interests OR non-financial interests OR personal relationships that could have appeared to influence the work reported in this paper.</w:t>
      </w:r>
    </w:p>
    <w:p w14:paraId="3BE93D18" w14:textId="77777777" w:rsidR="000420FB" w:rsidRPr="000420FB" w:rsidRDefault="000420FB" w:rsidP="000420FB">
      <w:pPr>
        <w:pBdr>
          <w:top w:val="nil"/>
          <w:left w:val="nil"/>
          <w:bottom w:val="nil"/>
          <w:right w:val="nil"/>
          <w:between w:val="nil"/>
        </w:pBdr>
        <w:jc w:val="both"/>
        <w:rPr>
          <w:rFonts w:ascii="Arial" w:eastAsia="Arial" w:hAnsi="Arial" w:cs="Arial"/>
          <w:color w:val="000000"/>
        </w:rPr>
      </w:pPr>
    </w:p>
    <w:p w14:paraId="2E0681CA" w14:textId="77777777" w:rsidR="000420FB" w:rsidRDefault="000420FB">
      <w:pPr>
        <w:pBdr>
          <w:top w:val="nil"/>
          <w:left w:val="nil"/>
          <w:bottom w:val="nil"/>
          <w:right w:val="nil"/>
          <w:between w:val="nil"/>
        </w:pBdr>
        <w:jc w:val="both"/>
        <w:rPr>
          <w:rFonts w:ascii="Arial" w:eastAsia="Arial" w:hAnsi="Arial" w:cs="Arial"/>
          <w:color w:val="000000"/>
        </w:rPr>
      </w:pPr>
    </w:p>
    <w:p w14:paraId="0DC1AF9D" w14:textId="77777777" w:rsidR="002F1BEE" w:rsidRDefault="002F1BEE">
      <w:pPr>
        <w:keepNext/>
        <w:pBdr>
          <w:top w:val="nil"/>
          <w:left w:val="nil"/>
          <w:bottom w:val="nil"/>
          <w:right w:val="nil"/>
          <w:between w:val="nil"/>
        </w:pBdr>
        <w:jc w:val="both"/>
        <w:rPr>
          <w:rFonts w:ascii="Arial" w:eastAsia="Arial" w:hAnsi="Arial" w:cs="Arial"/>
          <w:color w:val="000000"/>
        </w:rPr>
      </w:pPr>
    </w:p>
    <w:p w14:paraId="61421C06" w14:textId="77777777" w:rsidR="002F1BEE" w:rsidRDefault="002F1BEE">
      <w:pPr>
        <w:keepNext/>
        <w:pBdr>
          <w:top w:val="nil"/>
          <w:left w:val="nil"/>
          <w:bottom w:val="nil"/>
          <w:right w:val="nil"/>
          <w:between w:val="nil"/>
        </w:pBdr>
        <w:jc w:val="both"/>
        <w:rPr>
          <w:rFonts w:ascii="Arial" w:eastAsia="Arial" w:hAnsi="Arial" w:cs="Arial"/>
          <w:color w:val="000000"/>
        </w:rPr>
      </w:pPr>
    </w:p>
    <w:p w14:paraId="5895A107" w14:textId="77777777" w:rsidR="002F1BEE" w:rsidRDefault="002F1BEE">
      <w:pPr>
        <w:keepNext/>
        <w:pBdr>
          <w:top w:val="nil"/>
          <w:left w:val="nil"/>
          <w:bottom w:val="nil"/>
          <w:right w:val="nil"/>
          <w:between w:val="nil"/>
        </w:pBdr>
        <w:jc w:val="both"/>
        <w:rPr>
          <w:rFonts w:ascii="Arial" w:eastAsia="Arial" w:hAnsi="Arial" w:cs="Arial"/>
          <w:color w:val="000000"/>
        </w:rPr>
      </w:pPr>
    </w:p>
    <w:p w14:paraId="247B6C96" w14:textId="77777777" w:rsidR="002F1BEE" w:rsidRDefault="002F1BEE">
      <w:pPr>
        <w:keepNext/>
        <w:pBdr>
          <w:top w:val="nil"/>
          <w:left w:val="nil"/>
          <w:bottom w:val="nil"/>
          <w:right w:val="nil"/>
          <w:between w:val="nil"/>
        </w:pBdr>
        <w:jc w:val="both"/>
        <w:rPr>
          <w:rFonts w:ascii="Arial" w:eastAsia="Arial" w:hAnsi="Arial" w:cs="Arial"/>
          <w:b/>
          <w:bCs/>
          <w:smallCaps/>
          <w:color w:val="000000"/>
          <w:sz w:val="22"/>
          <w:szCs w:val="22"/>
        </w:rPr>
      </w:pPr>
    </w:p>
    <w:p w14:paraId="2E0182B2" w14:textId="77777777" w:rsidR="002F1BEE" w:rsidRDefault="005A24E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0AFFB617" w14:textId="77777777" w:rsidR="002F1BEE" w:rsidRDefault="002F1BEE">
      <w:pPr>
        <w:keepNext/>
        <w:pBdr>
          <w:top w:val="nil"/>
          <w:left w:val="nil"/>
          <w:bottom w:val="nil"/>
          <w:right w:val="nil"/>
          <w:between w:val="nil"/>
        </w:pBdr>
        <w:jc w:val="both"/>
        <w:rPr>
          <w:rFonts w:ascii="Arial" w:eastAsia="Arial" w:hAnsi="Arial" w:cs="Arial"/>
          <w:b/>
          <w:bCs/>
          <w:smallCaps/>
          <w:color w:val="000000"/>
          <w:sz w:val="22"/>
          <w:szCs w:val="22"/>
        </w:rPr>
      </w:pPr>
    </w:p>
    <w:p w14:paraId="2B0F52EA" w14:textId="77777777" w:rsidR="00316EC7" w:rsidRPr="00322A32" w:rsidRDefault="00316EC7" w:rsidP="00316EC7">
      <w:pPr>
        <w:ind w:left="567" w:hanging="567"/>
        <w:jc w:val="both"/>
        <w:rPr>
          <w:rFonts w:ascii="Arial" w:hAnsi="Arial" w:cs="Arial"/>
        </w:rPr>
      </w:pPr>
      <w:r w:rsidRPr="00322A32">
        <w:rPr>
          <w:rFonts w:ascii="Arial" w:hAnsi="Arial" w:cs="Arial"/>
        </w:rPr>
        <w:t xml:space="preserve">Agyei, J., Sun, S., Penney, E. K., </w:t>
      </w:r>
      <w:proofErr w:type="spellStart"/>
      <w:r w:rsidRPr="00322A32">
        <w:rPr>
          <w:rFonts w:ascii="Arial" w:hAnsi="Arial" w:cs="Arial"/>
        </w:rPr>
        <w:t>Abrokwah</w:t>
      </w:r>
      <w:proofErr w:type="spellEnd"/>
      <w:r w:rsidRPr="00322A32">
        <w:rPr>
          <w:rFonts w:ascii="Arial" w:hAnsi="Arial" w:cs="Arial"/>
        </w:rPr>
        <w:t>, E., &amp; Ofori-Boafo, R. (2021). Linking CSR and Customer Engagement: The Role of Customer-Brand Identification and Customer Satisfaction. Sage Open, 11(3). </w:t>
      </w:r>
      <w:hyperlink r:id="rId18">
        <w:r w:rsidRPr="00322A32">
          <w:rPr>
            <w:rFonts w:ascii="Arial" w:hAnsi="Arial" w:cs="Arial"/>
            <w:u w:val="single"/>
          </w:rPr>
          <w:t>https://doi.org/10.1177/21582440211040113</w:t>
        </w:r>
      </w:hyperlink>
    </w:p>
    <w:p w14:paraId="05EC9515" w14:textId="77777777" w:rsidR="00316EC7" w:rsidRPr="00322A32" w:rsidRDefault="00316EC7" w:rsidP="00316EC7">
      <w:pPr>
        <w:ind w:left="567" w:hanging="567"/>
        <w:jc w:val="both"/>
        <w:rPr>
          <w:rFonts w:ascii="Arial" w:hAnsi="Arial" w:cs="Arial"/>
        </w:rPr>
      </w:pPr>
      <w:bookmarkStart w:id="3" w:name="_Hlk219029429"/>
      <w:r w:rsidRPr="00322A32">
        <w:rPr>
          <w:rFonts w:ascii="Arial" w:hAnsi="Arial" w:cs="Arial"/>
        </w:rPr>
        <w:t xml:space="preserve">Al Gista, S., &amp; </w:t>
      </w:r>
      <w:proofErr w:type="spellStart"/>
      <w:r w:rsidRPr="00322A32">
        <w:rPr>
          <w:rFonts w:ascii="Arial" w:hAnsi="Arial" w:cs="Arial"/>
        </w:rPr>
        <w:t>Prastiwi</w:t>
      </w:r>
      <w:proofErr w:type="spellEnd"/>
      <w:r w:rsidRPr="00322A32">
        <w:rPr>
          <w:rFonts w:ascii="Arial" w:hAnsi="Arial" w:cs="Arial"/>
        </w:rPr>
        <w:t>, D. (2022</w:t>
      </w:r>
      <w:bookmarkEnd w:id="3"/>
      <w:r w:rsidRPr="00322A32">
        <w:rPr>
          <w:rFonts w:ascii="Arial" w:hAnsi="Arial" w:cs="Arial"/>
        </w:rPr>
        <w:t xml:space="preserve">). </w:t>
      </w:r>
      <w:proofErr w:type="spellStart"/>
      <w:r w:rsidRPr="00322A32">
        <w:rPr>
          <w:rFonts w:ascii="Arial" w:hAnsi="Arial" w:cs="Arial"/>
        </w:rPr>
        <w:t>Pengaruh</w:t>
      </w:r>
      <w:proofErr w:type="spellEnd"/>
      <w:r w:rsidRPr="00322A32">
        <w:rPr>
          <w:rFonts w:ascii="Arial" w:hAnsi="Arial" w:cs="Arial"/>
        </w:rPr>
        <w:t xml:space="preserve"> Corporate Social Responsibility </w:t>
      </w:r>
      <w:proofErr w:type="spellStart"/>
      <w:r w:rsidRPr="00322A32">
        <w:rPr>
          <w:rFonts w:ascii="Arial" w:hAnsi="Arial" w:cs="Arial"/>
        </w:rPr>
        <w:t>terhadap</w:t>
      </w:r>
      <w:proofErr w:type="spellEnd"/>
      <w:r w:rsidRPr="00322A32">
        <w:rPr>
          <w:rFonts w:ascii="Arial" w:hAnsi="Arial" w:cs="Arial"/>
        </w:rPr>
        <w:t xml:space="preserve"> </w:t>
      </w:r>
      <w:proofErr w:type="spellStart"/>
      <w:r w:rsidRPr="00322A32">
        <w:rPr>
          <w:rFonts w:ascii="Arial" w:hAnsi="Arial" w:cs="Arial"/>
        </w:rPr>
        <w:t>Profitabilitas</w:t>
      </w:r>
      <w:proofErr w:type="spellEnd"/>
      <w:r w:rsidRPr="00322A32">
        <w:rPr>
          <w:rFonts w:ascii="Arial" w:hAnsi="Arial" w:cs="Arial"/>
        </w:rPr>
        <w:t xml:space="preserve"> dan </w:t>
      </w:r>
      <w:proofErr w:type="spellStart"/>
      <w:r w:rsidRPr="00322A32">
        <w:rPr>
          <w:rFonts w:ascii="Arial" w:hAnsi="Arial" w:cs="Arial"/>
        </w:rPr>
        <w:t>reputasi</w:t>
      </w:r>
      <w:proofErr w:type="spellEnd"/>
      <w:r w:rsidRPr="00322A32">
        <w:rPr>
          <w:rFonts w:ascii="Arial" w:hAnsi="Arial" w:cs="Arial"/>
        </w:rPr>
        <w:t xml:space="preserve"> </w:t>
      </w:r>
      <w:proofErr w:type="spellStart"/>
      <w:r w:rsidRPr="00322A32">
        <w:rPr>
          <w:rFonts w:ascii="Arial" w:hAnsi="Arial" w:cs="Arial"/>
        </w:rPr>
        <w:t>perusahan</w:t>
      </w:r>
      <w:proofErr w:type="spellEnd"/>
      <w:r w:rsidRPr="00322A32">
        <w:rPr>
          <w:rFonts w:ascii="Arial" w:hAnsi="Arial" w:cs="Arial"/>
        </w:rPr>
        <w:t xml:space="preserve"> pada </w:t>
      </w:r>
      <w:proofErr w:type="spellStart"/>
      <w:r w:rsidRPr="00322A32">
        <w:rPr>
          <w:rFonts w:ascii="Arial" w:hAnsi="Arial" w:cs="Arial"/>
        </w:rPr>
        <w:t>perusahaan</w:t>
      </w:r>
      <w:proofErr w:type="spellEnd"/>
      <w:r w:rsidRPr="00322A32">
        <w:rPr>
          <w:rFonts w:ascii="Arial" w:hAnsi="Arial" w:cs="Arial"/>
        </w:rPr>
        <w:t xml:space="preserve"> </w:t>
      </w:r>
      <w:proofErr w:type="spellStart"/>
      <w:r w:rsidRPr="00322A32">
        <w:rPr>
          <w:rFonts w:ascii="Arial" w:hAnsi="Arial" w:cs="Arial"/>
        </w:rPr>
        <w:t>Perbankan</w:t>
      </w:r>
      <w:proofErr w:type="spellEnd"/>
      <w:r w:rsidRPr="00322A32">
        <w:rPr>
          <w:rFonts w:ascii="Arial" w:hAnsi="Arial" w:cs="Arial"/>
        </w:rPr>
        <w:t xml:space="preserve"> yang </w:t>
      </w:r>
      <w:proofErr w:type="spellStart"/>
      <w:r w:rsidRPr="00322A32">
        <w:rPr>
          <w:rFonts w:ascii="Arial" w:hAnsi="Arial" w:cs="Arial"/>
        </w:rPr>
        <w:t>terdaftar</w:t>
      </w:r>
      <w:proofErr w:type="spellEnd"/>
      <w:r w:rsidRPr="00322A32">
        <w:rPr>
          <w:rFonts w:ascii="Arial" w:hAnsi="Arial" w:cs="Arial"/>
        </w:rPr>
        <w:t xml:space="preserve"> di BEI </w:t>
      </w:r>
      <w:proofErr w:type="spellStart"/>
      <w:r w:rsidRPr="00322A32">
        <w:rPr>
          <w:rFonts w:ascii="Arial" w:hAnsi="Arial" w:cs="Arial"/>
        </w:rPr>
        <w:t>periode</w:t>
      </w:r>
      <w:proofErr w:type="spellEnd"/>
      <w:r w:rsidRPr="00322A32">
        <w:rPr>
          <w:rFonts w:ascii="Arial" w:hAnsi="Arial" w:cs="Arial"/>
        </w:rPr>
        <w:t xml:space="preserve"> 2018–2020. </w:t>
      </w:r>
      <w:proofErr w:type="gramStart"/>
      <w:r w:rsidRPr="00322A32">
        <w:rPr>
          <w:rFonts w:ascii="Arial" w:hAnsi="Arial" w:cs="Arial"/>
        </w:rPr>
        <w:t>Owner :</w:t>
      </w:r>
      <w:proofErr w:type="gramEnd"/>
      <w:r w:rsidRPr="00322A32">
        <w:rPr>
          <w:rFonts w:ascii="Arial" w:hAnsi="Arial" w:cs="Arial"/>
        </w:rPr>
        <w:t xml:space="preserve"> </w:t>
      </w:r>
      <w:proofErr w:type="spellStart"/>
      <w:r w:rsidRPr="00322A32">
        <w:rPr>
          <w:rFonts w:ascii="Arial" w:hAnsi="Arial" w:cs="Arial"/>
        </w:rPr>
        <w:t>Riset</w:t>
      </w:r>
      <w:proofErr w:type="spellEnd"/>
      <w:r w:rsidRPr="00322A32">
        <w:rPr>
          <w:rFonts w:ascii="Arial" w:hAnsi="Arial" w:cs="Arial"/>
        </w:rPr>
        <w:t xml:space="preserve"> Dan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Akuntansi</w:t>
      </w:r>
      <w:proofErr w:type="spellEnd"/>
      <w:r w:rsidRPr="00322A32">
        <w:rPr>
          <w:rFonts w:ascii="Arial" w:hAnsi="Arial" w:cs="Arial"/>
        </w:rPr>
        <w:t xml:space="preserve">, 6(3), 2584-2593. </w:t>
      </w:r>
      <w:hyperlink r:id="rId19" w:history="1">
        <w:r w:rsidRPr="00322A32">
          <w:rPr>
            <w:rStyle w:val="Hyperlink"/>
            <w:rFonts w:ascii="Arial" w:hAnsi="Arial" w:cs="Arial"/>
            <w:color w:val="auto"/>
          </w:rPr>
          <w:t>https://doi.org/10.33395/owner.v6i3.956</w:t>
        </w:r>
      </w:hyperlink>
    </w:p>
    <w:p w14:paraId="601FF156" w14:textId="77777777" w:rsidR="00316EC7" w:rsidRPr="00322A32" w:rsidRDefault="00316EC7" w:rsidP="00316EC7">
      <w:pPr>
        <w:ind w:left="567" w:hanging="567"/>
        <w:jc w:val="both"/>
        <w:rPr>
          <w:rFonts w:ascii="Arial" w:hAnsi="Arial" w:cs="Arial"/>
        </w:rPr>
      </w:pPr>
      <w:bookmarkStart w:id="4" w:name="_Hlk219028067"/>
      <w:r w:rsidRPr="00322A32">
        <w:rPr>
          <w:rFonts w:ascii="Arial" w:hAnsi="Arial" w:cs="Arial"/>
        </w:rPr>
        <w:t>Alam, S. S., &amp; Islam, K. Z. (2021</w:t>
      </w:r>
      <w:bookmarkEnd w:id="4"/>
      <w:r w:rsidRPr="00322A32">
        <w:rPr>
          <w:rFonts w:ascii="Arial" w:hAnsi="Arial" w:cs="Arial"/>
        </w:rPr>
        <w:t>). Examining the role of environmental corporate social responsibility in building green corporate image and green competitive advantage. International Journal of Corporate Social Responsibility, 6(1), 8.</w:t>
      </w:r>
    </w:p>
    <w:p w14:paraId="447A5E9D"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Aldino</w:t>
      </w:r>
      <w:proofErr w:type="spellEnd"/>
      <w:r w:rsidRPr="00322A32">
        <w:rPr>
          <w:rFonts w:ascii="Arial" w:hAnsi="Arial" w:cs="Arial"/>
        </w:rPr>
        <w:t xml:space="preserve">, N. (2021). </w:t>
      </w:r>
      <w:proofErr w:type="spellStart"/>
      <w:r w:rsidRPr="00322A32">
        <w:rPr>
          <w:rFonts w:ascii="Arial" w:hAnsi="Arial" w:cs="Arial"/>
        </w:rPr>
        <w:t>Pengaruh</w:t>
      </w:r>
      <w:proofErr w:type="spellEnd"/>
      <w:r w:rsidRPr="00322A32">
        <w:rPr>
          <w:rFonts w:ascii="Arial" w:hAnsi="Arial" w:cs="Arial"/>
        </w:rPr>
        <w:t xml:space="preserve"> </w:t>
      </w:r>
      <w:proofErr w:type="spellStart"/>
      <w:r w:rsidRPr="00322A32">
        <w:rPr>
          <w:rFonts w:ascii="Arial" w:hAnsi="Arial" w:cs="Arial"/>
        </w:rPr>
        <w:t>Pengungkapan</w:t>
      </w:r>
      <w:proofErr w:type="spellEnd"/>
      <w:r w:rsidRPr="00322A32">
        <w:rPr>
          <w:rFonts w:ascii="Arial" w:hAnsi="Arial" w:cs="Arial"/>
        </w:rPr>
        <w:t xml:space="preserve"> Corporate Social Responsibility </w:t>
      </w:r>
      <w:proofErr w:type="spellStart"/>
      <w:r w:rsidRPr="00322A32">
        <w:rPr>
          <w:rFonts w:ascii="Arial" w:hAnsi="Arial" w:cs="Arial"/>
        </w:rPr>
        <w:t>Terhadap</w:t>
      </w:r>
      <w:proofErr w:type="spellEnd"/>
      <w:r w:rsidRPr="00322A32">
        <w:rPr>
          <w:rFonts w:ascii="Arial" w:hAnsi="Arial" w:cs="Arial"/>
        </w:rPr>
        <w:t xml:space="preserve"> Nilai Perusahaan </w:t>
      </w:r>
      <w:proofErr w:type="spellStart"/>
      <w:r w:rsidRPr="00322A32">
        <w:rPr>
          <w:rFonts w:ascii="Arial" w:hAnsi="Arial" w:cs="Arial"/>
        </w:rPr>
        <w:t>Dengan</w:t>
      </w:r>
      <w:proofErr w:type="spellEnd"/>
      <w:r w:rsidRPr="00322A32">
        <w:rPr>
          <w:rFonts w:ascii="Arial" w:hAnsi="Arial" w:cs="Arial"/>
        </w:rPr>
        <w:t xml:space="preserve"> </w:t>
      </w:r>
      <w:proofErr w:type="spellStart"/>
      <w:r w:rsidRPr="00322A32">
        <w:rPr>
          <w:rFonts w:ascii="Arial" w:hAnsi="Arial" w:cs="Arial"/>
        </w:rPr>
        <w:t>Profitabilitas</w:t>
      </w:r>
      <w:proofErr w:type="spellEnd"/>
      <w:r w:rsidRPr="00322A32">
        <w:rPr>
          <w:rFonts w:ascii="Arial" w:hAnsi="Arial" w:cs="Arial"/>
        </w:rPr>
        <w:t xml:space="preserve"> </w:t>
      </w:r>
      <w:proofErr w:type="spellStart"/>
      <w:r w:rsidRPr="00322A32">
        <w:rPr>
          <w:rFonts w:ascii="Arial" w:hAnsi="Arial" w:cs="Arial"/>
        </w:rPr>
        <w:t>Sebagai</w:t>
      </w:r>
      <w:proofErr w:type="spellEnd"/>
      <w:r w:rsidRPr="00322A32">
        <w:rPr>
          <w:rFonts w:ascii="Arial" w:hAnsi="Arial" w:cs="Arial"/>
        </w:rPr>
        <w:t xml:space="preserve"> </w:t>
      </w:r>
      <w:proofErr w:type="spellStart"/>
      <w:r w:rsidRPr="00322A32">
        <w:rPr>
          <w:rFonts w:ascii="Arial" w:hAnsi="Arial" w:cs="Arial"/>
        </w:rPr>
        <w:t>Variabel</w:t>
      </w:r>
      <w:proofErr w:type="spellEnd"/>
      <w:r w:rsidRPr="00322A32">
        <w:rPr>
          <w:rFonts w:ascii="Arial" w:hAnsi="Arial" w:cs="Arial"/>
        </w:rPr>
        <w:t xml:space="preserve"> </w:t>
      </w:r>
      <w:proofErr w:type="spellStart"/>
      <w:r w:rsidRPr="00322A32">
        <w:rPr>
          <w:rFonts w:ascii="Arial" w:hAnsi="Arial" w:cs="Arial"/>
        </w:rPr>
        <w:t>Pemoderasi</w:t>
      </w:r>
      <w:proofErr w:type="spellEnd"/>
      <w:r w:rsidRPr="00322A32">
        <w:rPr>
          <w:rFonts w:ascii="Arial" w:hAnsi="Arial" w:cs="Arial"/>
        </w:rPr>
        <w:t xml:space="preserve">. 05(01), 99–112. </w:t>
      </w:r>
      <w:hyperlink r:id="rId20" w:history="1">
        <w:r w:rsidRPr="00322A32">
          <w:rPr>
            <w:rStyle w:val="Hyperlink"/>
            <w:rFonts w:ascii="Arial" w:hAnsi="Arial" w:cs="Arial"/>
            <w:color w:val="auto"/>
          </w:rPr>
          <w:t>https://doi.org/10.31575/jp.v5i1.342</w:t>
        </w:r>
      </w:hyperlink>
    </w:p>
    <w:p w14:paraId="258C75DE"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Angraini</w:t>
      </w:r>
      <w:proofErr w:type="spellEnd"/>
      <w:r w:rsidRPr="00322A32">
        <w:rPr>
          <w:rFonts w:ascii="Arial" w:hAnsi="Arial" w:cs="Arial"/>
          <w:spacing w:val="-2"/>
        </w:rPr>
        <w:t xml:space="preserve"> </w:t>
      </w:r>
      <w:r w:rsidRPr="00322A32">
        <w:rPr>
          <w:rFonts w:ascii="Arial" w:hAnsi="Arial" w:cs="Arial"/>
        </w:rPr>
        <w:t>&amp;</w:t>
      </w:r>
      <w:r w:rsidRPr="00322A32">
        <w:rPr>
          <w:rFonts w:ascii="Arial" w:hAnsi="Arial" w:cs="Arial"/>
          <w:spacing w:val="-6"/>
        </w:rPr>
        <w:t xml:space="preserve"> </w:t>
      </w:r>
      <w:proofErr w:type="spellStart"/>
      <w:r w:rsidRPr="00322A32">
        <w:rPr>
          <w:rFonts w:ascii="Arial" w:hAnsi="Arial" w:cs="Arial"/>
        </w:rPr>
        <w:t>Murtanto</w:t>
      </w:r>
      <w:proofErr w:type="spellEnd"/>
      <w:r w:rsidRPr="00322A32">
        <w:rPr>
          <w:rFonts w:ascii="Arial" w:hAnsi="Arial" w:cs="Arial"/>
        </w:rPr>
        <w:t>.</w:t>
      </w:r>
      <w:r w:rsidRPr="00322A32">
        <w:rPr>
          <w:rFonts w:ascii="Arial" w:hAnsi="Arial" w:cs="Arial"/>
          <w:spacing w:val="-2"/>
        </w:rPr>
        <w:t xml:space="preserve"> </w:t>
      </w:r>
      <w:r w:rsidRPr="00322A32">
        <w:rPr>
          <w:rFonts w:ascii="Arial" w:hAnsi="Arial" w:cs="Arial"/>
        </w:rPr>
        <w:t>(2023).</w:t>
      </w:r>
      <w:r w:rsidRPr="00322A32">
        <w:rPr>
          <w:rFonts w:ascii="Arial" w:hAnsi="Arial" w:cs="Arial"/>
          <w:spacing w:val="-3"/>
        </w:rPr>
        <w:t xml:space="preserve"> </w:t>
      </w:r>
      <w:proofErr w:type="spellStart"/>
      <w:r w:rsidRPr="00322A32">
        <w:rPr>
          <w:rFonts w:ascii="Arial" w:hAnsi="Arial" w:cs="Arial"/>
        </w:rPr>
        <w:t>Pengaruh</w:t>
      </w:r>
      <w:proofErr w:type="spellEnd"/>
      <w:r w:rsidRPr="00322A32">
        <w:rPr>
          <w:rFonts w:ascii="Arial" w:hAnsi="Arial" w:cs="Arial"/>
          <w:spacing w:val="-3"/>
        </w:rPr>
        <w:t xml:space="preserve"> </w:t>
      </w:r>
      <w:r w:rsidRPr="00322A32">
        <w:rPr>
          <w:rFonts w:ascii="Arial" w:hAnsi="Arial" w:cs="Arial"/>
        </w:rPr>
        <w:t>Corporate</w:t>
      </w:r>
      <w:r w:rsidRPr="00322A32">
        <w:rPr>
          <w:rFonts w:ascii="Arial" w:hAnsi="Arial" w:cs="Arial"/>
          <w:spacing w:val="-5"/>
        </w:rPr>
        <w:t xml:space="preserve"> </w:t>
      </w:r>
      <w:r w:rsidRPr="00322A32">
        <w:rPr>
          <w:rFonts w:ascii="Arial" w:hAnsi="Arial" w:cs="Arial"/>
        </w:rPr>
        <w:t>Social</w:t>
      </w:r>
      <w:r w:rsidRPr="00322A32">
        <w:rPr>
          <w:rFonts w:ascii="Arial" w:hAnsi="Arial" w:cs="Arial"/>
          <w:spacing w:val="-4"/>
        </w:rPr>
        <w:t xml:space="preserve"> </w:t>
      </w:r>
      <w:r w:rsidRPr="00322A32">
        <w:rPr>
          <w:rFonts w:ascii="Arial" w:hAnsi="Arial" w:cs="Arial"/>
        </w:rPr>
        <w:t>Responsibility</w:t>
      </w:r>
      <w:r w:rsidRPr="00322A32">
        <w:rPr>
          <w:rFonts w:ascii="Arial" w:hAnsi="Arial" w:cs="Arial"/>
          <w:spacing w:val="-8"/>
        </w:rPr>
        <w:t xml:space="preserve"> </w:t>
      </w:r>
      <w:proofErr w:type="spellStart"/>
      <w:r w:rsidRPr="00322A32">
        <w:rPr>
          <w:rFonts w:ascii="Arial" w:hAnsi="Arial" w:cs="Arial"/>
        </w:rPr>
        <w:t>Terhadap</w:t>
      </w:r>
      <w:proofErr w:type="spellEnd"/>
      <w:r w:rsidRPr="00322A32">
        <w:rPr>
          <w:rFonts w:ascii="Arial" w:hAnsi="Arial" w:cs="Arial"/>
        </w:rPr>
        <w:t xml:space="preserve"> Nilai Perusahaan </w:t>
      </w:r>
      <w:proofErr w:type="spellStart"/>
      <w:r w:rsidRPr="00322A32">
        <w:rPr>
          <w:rFonts w:ascii="Arial" w:hAnsi="Arial" w:cs="Arial"/>
        </w:rPr>
        <w:t>Dengan</w:t>
      </w:r>
      <w:proofErr w:type="spellEnd"/>
      <w:r w:rsidRPr="00322A32">
        <w:rPr>
          <w:rFonts w:ascii="Arial" w:hAnsi="Arial" w:cs="Arial"/>
        </w:rPr>
        <w:t xml:space="preserve"> </w:t>
      </w:r>
      <w:proofErr w:type="spellStart"/>
      <w:r w:rsidRPr="00322A32">
        <w:rPr>
          <w:rFonts w:ascii="Arial" w:hAnsi="Arial" w:cs="Arial"/>
        </w:rPr>
        <w:t>Profitabilitas</w:t>
      </w:r>
      <w:proofErr w:type="spellEnd"/>
      <w:r w:rsidRPr="00322A32">
        <w:rPr>
          <w:rFonts w:ascii="Arial" w:hAnsi="Arial" w:cs="Arial"/>
        </w:rPr>
        <w:t xml:space="preserve"> </w:t>
      </w:r>
      <w:proofErr w:type="spellStart"/>
      <w:r w:rsidRPr="00322A32">
        <w:rPr>
          <w:rFonts w:ascii="Arial" w:hAnsi="Arial" w:cs="Arial"/>
        </w:rPr>
        <w:t>Sebagai</w:t>
      </w:r>
      <w:proofErr w:type="spellEnd"/>
      <w:r w:rsidRPr="00322A32">
        <w:rPr>
          <w:rFonts w:ascii="Arial" w:hAnsi="Arial" w:cs="Arial"/>
        </w:rPr>
        <w:t xml:space="preserve"> </w:t>
      </w:r>
      <w:proofErr w:type="spellStart"/>
      <w:r w:rsidRPr="00322A32">
        <w:rPr>
          <w:rFonts w:ascii="Arial" w:hAnsi="Arial" w:cs="Arial"/>
        </w:rPr>
        <w:t>Variabel</w:t>
      </w:r>
      <w:proofErr w:type="spellEnd"/>
      <w:r w:rsidRPr="00322A32">
        <w:rPr>
          <w:rFonts w:ascii="Arial" w:hAnsi="Arial" w:cs="Arial"/>
        </w:rPr>
        <w:t xml:space="preserve"> </w:t>
      </w:r>
      <w:proofErr w:type="spellStart"/>
      <w:r w:rsidRPr="00322A32">
        <w:rPr>
          <w:rFonts w:ascii="Arial" w:hAnsi="Arial" w:cs="Arial"/>
        </w:rPr>
        <w:t>Moderasi</w:t>
      </w:r>
      <w:proofErr w:type="spellEnd"/>
      <w:r w:rsidRPr="00322A32">
        <w:rPr>
          <w:rFonts w:ascii="Arial" w:hAnsi="Arial" w:cs="Arial"/>
        </w:rPr>
        <w:t>. Competitiveness Review: An International Business Journal, 33(6), 1205– 1229. https://doi.org</w:t>
      </w:r>
      <w:hyperlink r:id="rId21">
        <w:r w:rsidRPr="00322A32">
          <w:rPr>
            <w:rFonts w:ascii="Arial" w:hAnsi="Arial" w:cs="Arial"/>
          </w:rPr>
          <w:t>/http://dx.doi.org/10.25105/jet.v3i1.16424</w:t>
        </w:r>
      </w:hyperlink>
    </w:p>
    <w:p w14:paraId="18928E68" w14:textId="77777777" w:rsidR="00316EC7" w:rsidRPr="00322A32" w:rsidRDefault="00316EC7" w:rsidP="00316EC7">
      <w:pPr>
        <w:ind w:left="567" w:hanging="567"/>
        <w:jc w:val="both"/>
        <w:rPr>
          <w:rFonts w:ascii="Arial" w:eastAsia="Roboto" w:hAnsi="Arial" w:cs="Arial"/>
          <w:highlight w:val="white"/>
        </w:rPr>
      </w:pPr>
      <w:r w:rsidRPr="00322A32">
        <w:rPr>
          <w:rFonts w:ascii="Arial" w:eastAsia="Roboto" w:hAnsi="Arial" w:cs="Arial"/>
          <w:highlight w:val="white"/>
        </w:rPr>
        <w:t xml:space="preserve">Bacon, F. W., &amp; George, D. E. (2023). The COVID-19 pandemic and the consumer staples sector: A test of market efficiency. Journal of Applied Business and Economics, 25(6). </w:t>
      </w:r>
      <w:hyperlink r:id="rId22">
        <w:r w:rsidRPr="00322A32">
          <w:rPr>
            <w:rFonts w:ascii="Arial" w:eastAsia="Roboto" w:hAnsi="Arial" w:cs="Arial"/>
            <w:highlight w:val="white"/>
            <w:u w:val="single"/>
          </w:rPr>
          <w:t>https://doi.org/10.33423/jabe.v25i6.6576</w:t>
        </w:r>
      </w:hyperlink>
    </w:p>
    <w:p w14:paraId="496DED91" w14:textId="77777777" w:rsidR="00316EC7" w:rsidRPr="00322A32" w:rsidRDefault="00316EC7" w:rsidP="00316EC7">
      <w:pPr>
        <w:ind w:left="567" w:hanging="567"/>
        <w:jc w:val="both"/>
        <w:rPr>
          <w:rFonts w:ascii="Arial" w:hAnsi="Arial" w:cs="Arial"/>
        </w:rPr>
      </w:pPr>
      <w:bookmarkStart w:id="5" w:name="_Hlk219055740"/>
      <w:r w:rsidRPr="00322A32">
        <w:rPr>
          <w:rFonts w:ascii="Arial" w:hAnsi="Arial" w:cs="Arial"/>
        </w:rPr>
        <w:t>Benjamin, S. J., &amp; Biswas, P. K. (2022</w:t>
      </w:r>
      <w:bookmarkEnd w:id="5"/>
      <w:r w:rsidRPr="00322A32">
        <w:rPr>
          <w:rFonts w:ascii="Arial" w:hAnsi="Arial" w:cs="Arial"/>
        </w:rPr>
        <w:t xml:space="preserve">). Does winning a CSR Award increase firm </w:t>
      </w:r>
      <w:proofErr w:type="gramStart"/>
      <w:r w:rsidRPr="00322A32">
        <w:rPr>
          <w:rFonts w:ascii="Arial" w:hAnsi="Arial" w:cs="Arial"/>
        </w:rPr>
        <w:t>value?.</w:t>
      </w:r>
      <w:proofErr w:type="gramEnd"/>
      <w:r w:rsidRPr="00322A32">
        <w:rPr>
          <w:rFonts w:ascii="Arial" w:hAnsi="Arial" w:cs="Arial"/>
        </w:rPr>
        <w:t> International Journal of Disclosure and Governance, 19(3), 313-329.</w:t>
      </w:r>
    </w:p>
    <w:p w14:paraId="193FBFF3" w14:textId="77777777" w:rsidR="00316EC7" w:rsidRPr="00322A32" w:rsidRDefault="00316EC7" w:rsidP="00316EC7">
      <w:pPr>
        <w:ind w:left="567" w:hanging="567"/>
        <w:jc w:val="both"/>
        <w:rPr>
          <w:rFonts w:ascii="Arial" w:hAnsi="Arial" w:cs="Arial"/>
        </w:rPr>
      </w:pPr>
      <w:r w:rsidRPr="00322A32">
        <w:rPr>
          <w:rFonts w:ascii="Arial" w:hAnsi="Arial" w:cs="Arial"/>
        </w:rPr>
        <w:lastRenderedPageBreak/>
        <w:t xml:space="preserve">Brigham, E. F., &amp; Houston, J. F. (2015). Fundamentals of Financial Management: Concise eighth edition: Study guide. Cengage Learning. </w:t>
      </w:r>
    </w:p>
    <w:p w14:paraId="3DB392D0" w14:textId="48206F6E" w:rsidR="00316EC7" w:rsidRPr="00322A32" w:rsidRDefault="00316EC7" w:rsidP="00316EC7">
      <w:pPr>
        <w:ind w:left="567" w:hanging="567"/>
        <w:jc w:val="both"/>
        <w:rPr>
          <w:rFonts w:ascii="Arial" w:hAnsi="Arial" w:cs="Arial"/>
        </w:rPr>
      </w:pPr>
      <w:bookmarkStart w:id="6" w:name="_Hlk219055845"/>
      <w:r w:rsidRPr="00322A32">
        <w:rPr>
          <w:rFonts w:ascii="Arial" w:hAnsi="Arial" w:cs="Arial"/>
        </w:rPr>
        <w:t>Butt</w:t>
      </w:r>
      <w:bookmarkEnd w:id="6"/>
      <w:r w:rsidRPr="00322A32">
        <w:rPr>
          <w:rFonts w:ascii="Arial" w:hAnsi="Arial" w:cs="Arial"/>
        </w:rPr>
        <w:t>, A. A., Shahzad, A., &amp; Ahmad, J. (2020). Impact of CSR on firm value: The moderating role of corporate governance. Indonesian Journal of Sustainability Accou</w:t>
      </w:r>
      <w:r w:rsidR="005B748B">
        <w:rPr>
          <w:rFonts w:ascii="Arial" w:hAnsi="Arial" w:cs="Arial"/>
        </w:rPr>
        <w:t>nting and Management, 4(2), 145</w:t>
      </w:r>
      <w:r w:rsidRPr="00322A32">
        <w:rPr>
          <w:rFonts w:ascii="Arial" w:hAnsi="Arial" w:cs="Arial"/>
        </w:rPr>
        <w:t>-163.</w:t>
      </w:r>
    </w:p>
    <w:p w14:paraId="2D13FE9E" w14:textId="77777777" w:rsidR="00316EC7" w:rsidRPr="00322A32" w:rsidRDefault="00316EC7" w:rsidP="00316EC7">
      <w:pPr>
        <w:ind w:left="567" w:hanging="567"/>
        <w:jc w:val="both"/>
        <w:rPr>
          <w:rFonts w:ascii="Arial" w:hAnsi="Arial" w:cs="Arial"/>
        </w:rPr>
      </w:pPr>
      <w:r w:rsidRPr="00322A32">
        <w:rPr>
          <w:rFonts w:ascii="Arial" w:hAnsi="Arial" w:cs="Arial"/>
        </w:rPr>
        <w:t xml:space="preserve">Carroll, A. B. (1991). The Pyramid of Corporate Social Responsibility: Toward the moral management of organizational stakeholders. Business Horizons, 34(4), 39–48. </w:t>
      </w:r>
      <w:hyperlink r:id="rId23" w:history="1">
        <w:r w:rsidRPr="00322A32">
          <w:rPr>
            <w:rStyle w:val="Hyperlink"/>
            <w:rFonts w:ascii="Arial" w:hAnsi="Arial" w:cs="Arial"/>
            <w:color w:val="auto"/>
          </w:rPr>
          <w:t>https://doi.org/10.1016/0007-6813(91)90005-g</w:t>
        </w:r>
      </w:hyperlink>
    </w:p>
    <w:p w14:paraId="731BD10E" w14:textId="77777777" w:rsidR="00316EC7" w:rsidRPr="00322A32" w:rsidRDefault="00316EC7" w:rsidP="00316EC7">
      <w:pPr>
        <w:ind w:left="567" w:hanging="567"/>
        <w:jc w:val="both"/>
        <w:rPr>
          <w:rFonts w:ascii="Arial" w:eastAsia="Roboto" w:hAnsi="Arial" w:cs="Arial"/>
          <w:highlight w:val="white"/>
        </w:rPr>
      </w:pPr>
      <w:r w:rsidRPr="00322A32">
        <w:rPr>
          <w:rFonts w:ascii="Arial" w:eastAsia="Roboto" w:hAnsi="Arial" w:cs="Arial"/>
          <w:highlight w:val="white"/>
        </w:rPr>
        <w:t xml:space="preserve">Christi, C. Y., Suganda, T. R., &amp; Cahyadi, R. T. (2025). The moderating role of profitability in the CSR-firm value relationship: Evidence from Indonesia. Accounting and Finance Studies, 5(1), 053–066. </w:t>
      </w:r>
      <w:hyperlink r:id="rId24">
        <w:r w:rsidRPr="00322A32">
          <w:rPr>
            <w:rFonts w:ascii="Arial" w:eastAsia="Roboto" w:hAnsi="Arial" w:cs="Arial"/>
            <w:highlight w:val="white"/>
            <w:u w:val="single"/>
          </w:rPr>
          <w:t>https://doi.org/10.47153/afs51.13032025</w:t>
        </w:r>
      </w:hyperlink>
    </w:p>
    <w:p w14:paraId="0D30083D" w14:textId="77777777" w:rsidR="00316EC7" w:rsidRPr="00322A32" w:rsidRDefault="00316EC7" w:rsidP="00316EC7">
      <w:pPr>
        <w:ind w:left="567" w:hanging="567"/>
        <w:jc w:val="both"/>
        <w:rPr>
          <w:rFonts w:ascii="Arial" w:hAnsi="Arial" w:cs="Arial"/>
        </w:rPr>
      </w:pPr>
      <w:r w:rsidRPr="00322A32">
        <w:rPr>
          <w:rFonts w:ascii="Arial" w:hAnsi="Arial" w:cs="Arial"/>
        </w:rPr>
        <w:t xml:space="preserve">Coelho, R., Jayantilal, S., &amp; Ferreira, J. J. (2023). The impact of social responsibility on Corporate Financial Performance: A systematic literature review. Corporate Social Responsibility and Environmental Management, 30(4), 1535–1560. </w:t>
      </w:r>
      <w:hyperlink r:id="rId25">
        <w:r w:rsidRPr="00322A32">
          <w:rPr>
            <w:rFonts w:ascii="Arial" w:hAnsi="Arial" w:cs="Arial"/>
            <w:u w:val="single"/>
          </w:rPr>
          <w:t>https://doi.org/10.1002/csr.2446</w:t>
        </w:r>
      </w:hyperlink>
    </w:p>
    <w:p w14:paraId="06B8D345" w14:textId="77777777" w:rsidR="00316EC7" w:rsidRPr="00322A32" w:rsidRDefault="00316EC7" w:rsidP="00316EC7">
      <w:pPr>
        <w:ind w:left="567" w:hanging="567"/>
        <w:jc w:val="both"/>
        <w:rPr>
          <w:rFonts w:ascii="Arial" w:eastAsia="Arial" w:hAnsi="Arial" w:cs="Arial"/>
          <w:highlight w:val="white"/>
        </w:rPr>
      </w:pPr>
      <w:r w:rsidRPr="00322A32">
        <w:rPr>
          <w:rFonts w:ascii="Arial" w:eastAsia="Arial" w:hAnsi="Arial" w:cs="Arial"/>
          <w:highlight w:val="white"/>
        </w:rPr>
        <w:t>Cuesta</w:t>
      </w:r>
      <w:r w:rsidRPr="00322A32">
        <w:rPr>
          <w:rFonts w:ascii="Cambria Math" w:eastAsia="Arial" w:hAnsi="Cambria Math" w:cs="Cambria Math"/>
          <w:highlight w:val="white"/>
        </w:rPr>
        <w:t>‐</w:t>
      </w:r>
      <w:proofErr w:type="spellStart"/>
      <w:r w:rsidRPr="00322A32">
        <w:rPr>
          <w:rFonts w:ascii="Arial" w:eastAsia="Arial" w:hAnsi="Arial" w:cs="Arial"/>
          <w:highlight w:val="white"/>
        </w:rPr>
        <w:t>Valiño</w:t>
      </w:r>
      <w:proofErr w:type="spellEnd"/>
      <w:r w:rsidRPr="00322A32">
        <w:rPr>
          <w:rFonts w:ascii="Arial" w:eastAsia="Arial" w:hAnsi="Arial" w:cs="Arial"/>
          <w:highlight w:val="white"/>
        </w:rPr>
        <w:t>, P., Gutiérrez</w:t>
      </w:r>
      <w:r w:rsidRPr="00322A32">
        <w:rPr>
          <w:rFonts w:ascii="Cambria Math" w:eastAsia="Arial" w:hAnsi="Cambria Math" w:cs="Cambria Math"/>
          <w:highlight w:val="white"/>
        </w:rPr>
        <w:t>‐</w:t>
      </w:r>
      <w:r w:rsidRPr="00322A32">
        <w:rPr>
          <w:rFonts w:ascii="Arial" w:eastAsia="Arial" w:hAnsi="Arial" w:cs="Arial"/>
          <w:highlight w:val="white"/>
        </w:rPr>
        <w:t>Rodríguez, P., García</w:t>
      </w:r>
      <w:r w:rsidRPr="00322A32">
        <w:rPr>
          <w:rFonts w:ascii="Cambria Math" w:eastAsia="Arial" w:hAnsi="Cambria Math" w:cs="Cambria Math"/>
          <w:highlight w:val="white"/>
        </w:rPr>
        <w:t>‐</w:t>
      </w:r>
      <w:r w:rsidRPr="00322A32">
        <w:rPr>
          <w:rFonts w:ascii="Arial" w:eastAsia="Arial" w:hAnsi="Arial" w:cs="Arial"/>
          <w:highlight w:val="white"/>
        </w:rPr>
        <w:t xml:space="preserve">Henche, B., &amp; </w:t>
      </w:r>
      <w:proofErr w:type="spellStart"/>
      <w:r w:rsidRPr="00322A32">
        <w:rPr>
          <w:rFonts w:ascii="Arial" w:eastAsia="Arial" w:hAnsi="Arial" w:cs="Arial"/>
          <w:highlight w:val="white"/>
        </w:rPr>
        <w:t>Núñez</w:t>
      </w:r>
      <w:r w:rsidRPr="00322A32">
        <w:rPr>
          <w:rFonts w:ascii="Cambria Math" w:eastAsia="Arial" w:hAnsi="Cambria Math" w:cs="Cambria Math"/>
          <w:highlight w:val="white"/>
        </w:rPr>
        <w:t>‐</w:t>
      </w:r>
      <w:r w:rsidRPr="00322A32">
        <w:rPr>
          <w:rFonts w:ascii="Arial" w:eastAsia="Arial" w:hAnsi="Arial" w:cs="Arial"/>
          <w:highlight w:val="white"/>
        </w:rPr>
        <w:t>Barriopedro</w:t>
      </w:r>
      <w:proofErr w:type="spellEnd"/>
      <w:r w:rsidRPr="00322A32">
        <w:rPr>
          <w:rFonts w:ascii="Arial" w:eastAsia="Arial" w:hAnsi="Arial" w:cs="Arial"/>
          <w:highlight w:val="white"/>
        </w:rPr>
        <w:t xml:space="preserve">, E. (2023). The impact of corporate social responsibility on consumer brand engagement and purchase intention at fashion retailers. Psychology &amp;amp; Marketing, 41(3), 649–664. </w:t>
      </w:r>
      <w:hyperlink r:id="rId26">
        <w:r w:rsidRPr="00322A32">
          <w:rPr>
            <w:rFonts w:ascii="Arial" w:eastAsia="Arial" w:hAnsi="Arial" w:cs="Arial"/>
            <w:highlight w:val="white"/>
            <w:u w:val="single"/>
          </w:rPr>
          <w:t>https://doi.org/10.1002/mar.21940</w:t>
        </w:r>
      </w:hyperlink>
    </w:p>
    <w:p w14:paraId="7B8DC000" w14:textId="77777777" w:rsidR="00316EC7" w:rsidRPr="00322A32" w:rsidRDefault="00316EC7" w:rsidP="00316EC7">
      <w:pPr>
        <w:ind w:left="567" w:hanging="567"/>
        <w:jc w:val="both"/>
        <w:rPr>
          <w:rFonts w:ascii="Arial" w:hAnsi="Arial" w:cs="Arial"/>
        </w:rPr>
      </w:pPr>
      <w:r w:rsidRPr="00322A32">
        <w:rPr>
          <w:rFonts w:ascii="Arial" w:hAnsi="Arial" w:cs="Arial"/>
        </w:rPr>
        <w:t xml:space="preserve">Datt, R., Luo, L., &amp; </w:t>
      </w:r>
      <w:proofErr w:type="spellStart"/>
      <w:r w:rsidRPr="00322A32">
        <w:rPr>
          <w:rFonts w:ascii="Arial" w:hAnsi="Arial" w:cs="Arial"/>
        </w:rPr>
        <w:t>Segara</w:t>
      </w:r>
      <w:proofErr w:type="spellEnd"/>
      <w:r w:rsidRPr="00322A32">
        <w:rPr>
          <w:rFonts w:ascii="Arial" w:hAnsi="Arial" w:cs="Arial"/>
        </w:rPr>
        <w:t xml:space="preserve">, R. (2024). Voluntary Carbon Assurance and the cost of equity capital: International evidence. Australian Journal of Management, 50(4), 1129–1165. </w:t>
      </w:r>
      <w:hyperlink r:id="rId27">
        <w:r w:rsidRPr="00322A32">
          <w:rPr>
            <w:rFonts w:ascii="Arial" w:hAnsi="Arial" w:cs="Arial"/>
            <w:u w:val="single"/>
          </w:rPr>
          <w:t>https://doi.org/10.1177/03128962241251498</w:t>
        </w:r>
      </w:hyperlink>
    </w:p>
    <w:p w14:paraId="080BBA36" w14:textId="77777777" w:rsidR="00316EC7" w:rsidRPr="00322A32" w:rsidRDefault="00316EC7" w:rsidP="00316EC7">
      <w:pPr>
        <w:ind w:left="567" w:hanging="567"/>
        <w:jc w:val="both"/>
        <w:rPr>
          <w:rFonts w:ascii="Arial" w:hAnsi="Arial" w:cs="Arial"/>
        </w:rPr>
      </w:pPr>
      <w:r w:rsidRPr="00322A32">
        <w:rPr>
          <w:rFonts w:ascii="Arial" w:hAnsi="Arial" w:cs="Arial"/>
        </w:rPr>
        <w:t xml:space="preserve">Dela, E., Ye, J., &amp; Berhe, H. M. (2024). The Impact of Corporate Social Responsibility on Financial Performance in Indonesian Highly Polluted Industries: Mediating Role of Industry Competitiveness. Sage Open, 14(4). </w:t>
      </w:r>
      <w:hyperlink r:id="rId28">
        <w:r w:rsidRPr="00322A32">
          <w:rPr>
            <w:rFonts w:ascii="Arial" w:hAnsi="Arial" w:cs="Arial"/>
            <w:u w:val="single"/>
          </w:rPr>
          <w:t>https://doi.org/10.1177/21582440241259479</w:t>
        </w:r>
      </w:hyperlink>
    </w:p>
    <w:p w14:paraId="44F366FC" w14:textId="77777777" w:rsidR="00316EC7" w:rsidRPr="00322A32" w:rsidRDefault="00316EC7" w:rsidP="00316EC7">
      <w:pPr>
        <w:ind w:left="567" w:hanging="567"/>
        <w:jc w:val="both"/>
        <w:rPr>
          <w:rFonts w:ascii="Arial" w:hAnsi="Arial" w:cs="Arial"/>
        </w:rPr>
      </w:pPr>
      <w:r w:rsidRPr="00322A32">
        <w:rPr>
          <w:rFonts w:ascii="Arial" w:hAnsi="Arial" w:cs="Arial"/>
        </w:rPr>
        <w:t xml:space="preserve">Delgado Sánchez, V. P., Zorio-Grima, A., &amp; Merello, P. (2026). Sustainability Reporting Assurance: Knowledge, lags, levels, and providers in leading global companies. Journal of Innovation &amp;amp; Knowledge, 12, 100899. </w:t>
      </w:r>
      <w:hyperlink r:id="rId29">
        <w:r w:rsidRPr="00322A32">
          <w:rPr>
            <w:rFonts w:ascii="Arial" w:hAnsi="Arial" w:cs="Arial"/>
            <w:u w:val="single"/>
          </w:rPr>
          <w:t>https://doi.org/10.1016/j.jik.2025.100899</w:t>
        </w:r>
      </w:hyperlink>
    </w:p>
    <w:p w14:paraId="48C2A252"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Diningsih</w:t>
      </w:r>
      <w:proofErr w:type="spellEnd"/>
      <w:r w:rsidRPr="00322A32">
        <w:rPr>
          <w:rFonts w:ascii="Arial" w:hAnsi="Arial" w:cs="Arial"/>
        </w:rPr>
        <w:t xml:space="preserve">, D. A., &amp; </w:t>
      </w:r>
      <w:proofErr w:type="spellStart"/>
      <w:r w:rsidRPr="00322A32">
        <w:rPr>
          <w:rFonts w:ascii="Arial" w:hAnsi="Arial" w:cs="Arial"/>
        </w:rPr>
        <w:t>Karunia</w:t>
      </w:r>
      <w:proofErr w:type="spellEnd"/>
      <w:r w:rsidRPr="00322A32">
        <w:rPr>
          <w:rFonts w:ascii="Arial" w:hAnsi="Arial" w:cs="Arial"/>
        </w:rPr>
        <w:t xml:space="preserve">, A. N. (2025). The effect of corporate social responsibility disclosure on firm value with profitability and firm size as moderating variables.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Riset</w:t>
      </w:r>
      <w:proofErr w:type="spellEnd"/>
      <w:r w:rsidRPr="00322A32">
        <w:rPr>
          <w:rFonts w:ascii="Arial" w:hAnsi="Arial" w:cs="Arial"/>
        </w:rPr>
        <w:t xml:space="preserve"> </w:t>
      </w:r>
      <w:proofErr w:type="spellStart"/>
      <w:r w:rsidRPr="00322A32">
        <w:rPr>
          <w:rFonts w:ascii="Arial" w:hAnsi="Arial" w:cs="Arial"/>
        </w:rPr>
        <w:t>Akuntansi</w:t>
      </w:r>
      <w:proofErr w:type="spellEnd"/>
      <w:r w:rsidRPr="00322A32">
        <w:rPr>
          <w:rFonts w:ascii="Arial" w:hAnsi="Arial" w:cs="Arial"/>
        </w:rPr>
        <w:t xml:space="preserve"> </w:t>
      </w:r>
      <w:proofErr w:type="spellStart"/>
      <w:r w:rsidRPr="00322A32">
        <w:rPr>
          <w:rFonts w:ascii="Arial" w:hAnsi="Arial" w:cs="Arial"/>
        </w:rPr>
        <w:t>Terpadu</w:t>
      </w:r>
      <w:proofErr w:type="spellEnd"/>
      <w:r w:rsidRPr="00322A32">
        <w:rPr>
          <w:rFonts w:ascii="Arial" w:hAnsi="Arial" w:cs="Arial"/>
        </w:rPr>
        <w:t xml:space="preserve">, 18(2), 154. </w:t>
      </w:r>
      <w:hyperlink r:id="rId30">
        <w:r w:rsidRPr="00322A32">
          <w:rPr>
            <w:rFonts w:ascii="Arial" w:hAnsi="Arial" w:cs="Arial"/>
            <w:u w:val="single"/>
          </w:rPr>
          <w:t>https://doi.org/10.35448/jrat.v18i2.31917</w:t>
        </w:r>
      </w:hyperlink>
    </w:p>
    <w:p w14:paraId="6DD9F648" w14:textId="77777777" w:rsidR="00316EC7" w:rsidRPr="00322A32" w:rsidRDefault="00316EC7" w:rsidP="00316EC7">
      <w:pPr>
        <w:ind w:left="567" w:hanging="567"/>
        <w:jc w:val="both"/>
        <w:rPr>
          <w:rFonts w:ascii="Arial" w:hAnsi="Arial" w:cs="Arial"/>
        </w:rPr>
      </w:pPr>
      <w:r w:rsidRPr="00322A32">
        <w:rPr>
          <w:rFonts w:ascii="Arial" w:hAnsi="Arial" w:cs="Arial"/>
        </w:rPr>
        <w:t xml:space="preserve">Dsouza, S., K, K., Kayani, U., Nawaz, F., &amp; Hasan, F. (2025). Sustainable investing: ESG effectiveness and market value in OECD regions. Cogent Economics and Finance, 13(1). </w:t>
      </w:r>
      <w:hyperlink r:id="rId31" w:history="1">
        <w:r w:rsidRPr="00322A32">
          <w:rPr>
            <w:rStyle w:val="Hyperlink"/>
            <w:rFonts w:ascii="Arial" w:hAnsi="Arial" w:cs="Arial"/>
            <w:color w:val="auto"/>
          </w:rPr>
          <w:t>https://doi.org/10.1080/23322039.2024.2445147</w:t>
        </w:r>
      </w:hyperlink>
    </w:p>
    <w:p w14:paraId="5DCA27D5"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Dwijayanti</w:t>
      </w:r>
      <w:proofErr w:type="spellEnd"/>
      <w:r w:rsidRPr="00322A32">
        <w:rPr>
          <w:rFonts w:ascii="Arial" w:hAnsi="Arial" w:cs="Arial"/>
        </w:rPr>
        <w:t xml:space="preserve">, L., Irma, D., &amp; Ningsih, H. A. T. (2025). Beyond Numbers: Unveiling the Impact of CSR and Profitability on Firm Value. Journal of Accounting, Management, and Economics Research (JAMER), 4(1), 46–56. </w:t>
      </w:r>
      <w:hyperlink r:id="rId32">
        <w:r w:rsidRPr="00322A32">
          <w:rPr>
            <w:rFonts w:ascii="Arial" w:hAnsi="Arial" w:cs="Arial"/>
            <w:u w:val="single"/>
          </w:rPr>
          <w:t>https://doi.org/10.33476/jamer.v4i1.300</w:t>
        </w:r>
      </w:hyperlink>
    </w:p>
    <w:p w14:paraId="2F670400"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Dwomor</w:t>
      </w:r>
      <w:proofErr w:type="spellEnd"/>
      <w:r w:rsidRPr="00322A32">
        <w:rPr>
          <w:rFonts w:ascii="Arial" w:hAnsi="Arial" w:cs="Arial"/>
        </w:rPr>
        <w:t xml:space="preserve">, E., &amp; Mensah, E. (2024). The role of cost of capital in the link between ESG reporting and Firm Performance.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Akuntansi</w:t>
      </w:r>
      <w:proofErr w:type="spellEnd"/>
      <w:r w:rsidRPr="00322A32">
        <w:rPr>
          <w:rFonts w:ascii="Arial" w:hAnsi="Arial" w:cs="Arial"/>
        </w:rPr>
        <w:t xml:space="preserve"> Dan </w:t>
      </w:r>
      <w:proofErr w:type="spellStart"/>
      <w:r w:rsidRPr="00322A32">
        <w:rPr>
          <w:rFonts w:ascii="Arial" w:hAnsi="Arial" w:cs="Arial"/>
        </w:rPr>
        <w:t>Keuangan</w:t>
      </w:r>
      <w:proofErr w:type="spellEnd"/>
      <w:r w:rsidRPr="00322A32">
        <w:rPr>
          <w:rFonts w:ascii="Arial" w:hAnsi="Arial" w:cs="Arial"/>
        </w:rPr>
        <w:t xml:space="preserve"> Indonesia, 21(2), 241–259. </w:t>
      </w:r>
      <w:hyperlink r:id="rId33">
        <w:r w:rsidRPr="00322A32">
          <w:rPr>
            <w:rFonts w:ascii="Arial" w:hAnsi="Arial" w:cs="Arial"/>
            <w:u w:val="single"/>
          </w:rPr>
          <w:t>https://doi.org/10.21002/jaki.2024.11</w:t>
        </w:r>
      </w:hyperlink>
    </w:p>
    <w:p w14:paraId="1E1143E0"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Elbardan</w:t>
      </w:r>
      <w:proofErr w:type="spellEnd"/>
      <w:r w:rsidRPr="00322A32">
        <w:rPr>
          <w:rFonts w:ascii="Arial" w:hAnsi="Arial" w:cs="Arial"/>
        </w:rPr>
        <w:t xml:space="preserve">, H., Uyar, A., Kuzey, C., &amp; Karaman, A. S. (2023). CSR reporting, assurance, and firm value and risk: The moderating effects of CSR Committees and executive compensation. Journal of International Accounting, Auditing and Taxation, 53, 100579. </w:t>
      </w:r>
      <w:hyperlink r:id="rId34">
        <w:r w:rsidRPr="00322A32">
          <w:rPr>
            <w:rFonts w:ascii="Arial" w:hAnsi="Arial" w:cs="Arial"/>
            <w:u w:val="single"/>
          </w:rPr>
          <w:t>https://doi.org/10.1016/j.intaccaudtax.2023.100579</w:t>
        </w:r>
      </w:hyperlink>
    </w:p>
    <w:p w14:paraId="1765B3FB" w14:textId="77777777" w:rsidR="00316EC7" w:rsidRPr="00322A32" w:rsidRDefault="00316EC7" w:rsidP="00316EC7">
      <w:pPr>
        <w:ind w:left="567" w:hanging="567"/>
        <w:jc w:val="both"/>
        <w:rPr>
          <w:rFonts w:ascii="Arial" w:eastAsia="Roboto" w:hAnsi="Arial" w:cs="Arial"/>
          <w:highlight w:val="white"/>
        </w:rPr>
      </w:pPr>
      <w:r w:rsidRPr="00322A32">
        <w:rPr>
          <w:rFonts w:ascii="Arial" w:eastAsia="Roboto" w:hAnsi="Arial" w:cs="Arial"/>
          <w:highlight w:val="white"/>
        </w:rPr>
        <w:t xml:space="preserve">Fadillah, R. R., Taufik, T., &amp; </w:t>
      </w:r>
      <w:proofErr w:type="spellStart"/>
      <w:r w:rsidRPr="00322A32">
        <w:rPr>
          <w:rFonts w:ascii="Arial" w:eastAsia="Roboto" w:hAnsi="Arial" w:cs="Arial"/>
          <w:highlight w:val="white"/>
        </w:rPr>
        <w:t>Muthia</w:t>
      </w:r>
      <w:proofErr w:type="spellEnd"/>
      <w:r w:rsidRPr="00322A32">
        <w:rPr>
          <w:rFonts w:ascii="Arial" w:eastAsia="Roboto" w:hAnsi="Arial" w:cs="Arial"/>
          <w:highlight w:val="white"/>
        </w:rPr>
        <w:t xml:space="preserve">, F. (2024). Corporate Social Responsibility and firm value: The moderating effect of profitability. </w:t>
      </w:r>
      <w:proofErr w:type="spellStart"/>
      <w:r w:rsidRPr="00322A32">
        <w:rPr>
          <w:rFonts w:ascii="Arial" w:eastAsia="Roboto" w:hAnsi="Arial" w:cs="Arial"/>
          <w:highlight w:val="white"/>
        </w:rPr>
        <w:t>Jurnal</w:t>
      </w:r>
      <w:proofErr w:type="spellEnd"/>
      <w:r w:rsidRPr="00322A32">
        <w:rPr>
          <w:rFonts w:ascii="Arial" w:eastAsia="Roboto" w:hAnsi="Arial" w:cs="Arial"/>
          <w:highlight w:val="white"/>
        </w:rPr>
        <w:t xml:space="preserve"> </w:t>
      </w:r>
      <w:proofErr w:type="spellStart"/>
      <w:r w:rsidRPr="00322A32">
        <w:rPr>
          <w:rFonts w:ascii="Arial" w:eastAsia="Roboto" w:hAnsi="Arial" w:cs="Arial"/>
          <w:highlight w:val="white"/>
        </w:rPr>
        <w:t>Penelitian</w:t>
      </w:r>
      <w:proofErr w:type="spellEnd"/>
      <w:r w:rsidRPr="00322A32">
        <w:rPr>
          <w:rFonts w:ascii="Arial" w:eastAsia="Roboto" w:hAnsi="Arial" w:cs="Arial"/>
          <w:highlight w:val="white"/>
        </w:rPr>
        <w:t xml:space="preserve"> </w:t>
      </w:r>
      <w:proofErr w:type="spellStart"/>
      <w:r w:rsidRPr="00322A32">
        <w:rPr>
          <w:rFonts w:ascii="Arial" w:eastAsia="Roboto" w:hAnsi="Arial" w:cs="Arial"/>
          <w:highlight w:val="white"/>
        </w:rPr>
        <w:t>Ekonomi</w:t>
      </w:r>
      <w:proofErr w:type="spellEnd"/>
      <w:r w:rsidRPr="00322A32">
        <w:rPr>
          <w:rFonts w:ascii="Arial" w:eastAsia="Roboto" w:hAnsi="Arial" w:cs="Arial"/>
          <w:highlight w:val="white"/>
        </w:rPr>
        <w:t xml:space="preserve"> Dan Bisnis, 9(1), 38–46. </w:t>
      </w:r>
      <w:hyperlink r:id="rId35">
        <w:r w:rsidRPr="00322A32">
          <w:rPr>
            <w:rFonts w:ascii="Arial" w:eastAsia="Roboto" w:hAnsi="Arial" w:cs="Arial"/>
            <w:highlight w:val="white"/>
            <w:u w:val="single"/>
          </w:rPr>
          <w:t>https://doi.org/10.33633/jpeb.v9i1.8154</w:t>
        </w:r>
      </w:hyperlink>
    </w:p>
    <w:p w14:paraId="33B6623A" w14:textId="77777777" w:rsidR="00316EC7" w:rsidRPr="00322A32" w:rsidRDefault="00316EC7" w:rsidP="00316EC7">
      <w:pPr>
        <w:ind w:left="567" w:hanging="567"/>
        <w:jc w:val="both"/>
        <w:rPr>
          <w:rFonts w:ascii="Arial" w:hAnsi="Arial" w:cs="Arial"/>
        </w:rPr>
      </w:pPr>
      <w:r w:rsidRPr="00322A32">
        <w:rPr>
          <w:rFonts w:ascii="Arial" w:hAnsi="Arial" w:cs="Arial"/>
        </w:rPr>
        <w:t>Faizah, L. L. (2024). </w:t>
      </w:r>
      <w:proofErr w:type="spellStart"/>
      <w:r w:rsidRPr="00322A32">
        <w:rPr>
          <w:rFonts w:ascii="Arial" w:hAnsi="Arial" w:cs="Arial"/>
        </w:rPr>
        <w:t>Pengaruh</w:t>
      </w:r>
      <w:proofErr w:type="spellEnd"/>
      <w:r w:rsidRPr="00322A32">
        <w:rPr>
          <w:rFonts w:ascii="Arial" w:hAnsi="Arial" w:cs="Arial"/>
        </w:rPr>
        <w:t xml:space="preserve"> Corporate Social Responsibility dan Good Corporate Governance </w:t>
      </w:r>
      <w:proofErr w:type="spellStart"/>
      <w:r w:rsidRPr="00322A32">
        <w:rPr>
          <w:rFonts w:ascii="Arial" w:hAnsi="Arial" w:cs="Arial"/>
        </w:rPr>
        <w:t>Terhadap</w:t>
      </w:r>
      <w:proofErr w:type="spellEnd"/>
      <w:r w:rsidRPr="00322A32">
        <w:rPr>
          <w:rFonts w:ascii="Arial" w:hAnsi="Arial" w:cs="Arial"/>
        </w:rPr>
        <w:t xml:space="preserve"> Nilai Perusahaan </w:t>
      </w:r>
      <w:proofErr w:type="spellStart"/>
      <w:r w:rsidRPr="00322A32">
        <w:rPr>
          <w:rFonts w:ascii="Arial" w:hAnsi="Arial" w:cs="Arial"/>
        </w:rPr>
        <w:t>Dengan</w:t>
      </w:r>
      <w:proofErr w:type="spellEnd"/>
      <w:r w:rsidRPr="00322A32">
        <w:rPr>
          <w:rFonts w:ascii="Arial" w:hAnsi="Arial" w:cs="Arial"/>
        </w:rPr>
        <w:t xml:space="preserve"> </w:t>
      </w:r>
      <w:proofErr w:type="spellStart"/>
      <w:r w:rsidRPr="00322A32">
        <w:rPr>
          <w:rFonts w:ascii="Arial" w:hAnsi="Arial" w:cs="Arial"/>
        </w:rPr>
        <w:t>Profitabilitas</w:t>
      </w:r>
      <w:proofErr w:type="spellEnd"/>
      <w:r w:rsidRPr="00322A32">
        <w:rPr>
          <w:rFonts w:ascii="Arial" w:hAnsi="Arial" w:cs="Arial"/>
        </w:rPr>
        <w:t xml:space="preserve"> </w:t>
      </w:r>
      <w:proofErr w:type="spellStart"/>
      <w:r w:rsidRPr="00322A32">
        <w:rPr>
          <w:rFonts w:ascii="Arial" w:hAnsi="Arial" w:cs="Arial"/>
        </w:rPr>
        <w:t>Sebagai</w:t>
      </w:r>
      <w:proofErr w:type="spellEnd"/>
      <w:r w:rsidRPr="00322A32">
        <w:rPr>
          <w:rFonts w:ascii="Arial" w:hAnsi="Arial" w:cs="Arial"/>
        </w:rPr>
        <w:t xml:space="preserve"> </w:t>
      </w:r>
      <w:proofErr w:type="spellStart"/>
      <w:r w:rsidRPr="00322A32">
        <w:rPr>
          <w:rFonts w:ascii="Arial" w:hAnsi="Arial" w:cs="Arial"/>
        </w:rPr>
        <w:t>Variabel</w:t>
      </w:r>
      <w:proofErr w:type="spellEnd"/>
      <w:r w:rsidRPr="00322A32">
        <w:rPr>
          <w:rFonts w:ascii="Arial" w:hAnsi="Arial" w:cs="Arial"/>
        </w:rPr>
        <w:t xml:space="preserve"> Intervening (Doctoral dissertation, </w:t>
      </w:r>
      <w:proofErr w:type="spellStart"/>
      <w:r w:rsidRPr="00322A32">
        <w:rPr>
          <w:rFonts w:ascii="Arial" w:hAnsi="Arial" w:cs="Arial"/>
        </w:rPr>
        <w:t>Universitas</w:t>
      </w:r>
      <w:proofErr w:type="spellEnd"/>
      <w:r w:rsidRPr="00322A32">
        <w:rPr>
          <w:rFonts w:ascii="Arial" w:hAnsi="Arial" w:cs="Arial"/>
        </w:rPr>
        <w:t xml:space="preserve"> Putra </w:t>
      </w:r>
      <w:proofErr w:type="spellStart"/>
      <w:r w:rsidRPr="00322A32">
        <w:rPr>
          <w:rFonts w:ascii="Arial" w:hAnsi="Arial" w:cs="Arial"/>
        </w:rPr>
        <w:t>Bangsa</w:t>
      </w:r>
      <w:proofErr w:type="spellEnd"/>
      <w:r w:rsidRPr="00322A32">
        <w:rPr>
          <w:rFonts w:ascii="Arial" w:hAnsi="Arial" w:cs="Arial"/>
        </w:rPr>
        <w:t>).</w:t>
      </w:r>
    </w:p>
    <w:p w14:paraId="76E30DD4" w14:textId="77777777" w:rsidR="00316EC7" w:rsidRPr="00322A32" w:rsidRDefault="00316EC7" w:rsidP="00316EC7">
      <w:pPr>
        <w:ind w:left="567" w:hanging="567"/>
        <w:jc w:val="both"/>
        <w:rPr>
          <w:rFonts w:ascii="Arial" w:hAnsi="Arial" w:cs="Arial"/>
        </w:rPr>
      </w:pPr>
      <w:bookmarkStart w:id="7" w:name="_Hlk219029994"/>
      <w:r w:rsidRPr="00322A32">
        <w:rPr>
          <w:rFonts w:ascii="Arial" w:hAnsi="Arial" w:cs="Arial"/>
        </w:rPr>
        <w:t xml:space="preserve">Faizah, S. N., &amp; </w:t>
      </w:r>
      <w:proofErr w:type="spellStart"/>
      <w:r w:rsidRPr="00322A32">
        <w:rPr>
          <w:rFonts w:ascii="Arial" w:hAnsi="Arial" w:cs="Arial"/>
        </w:rPr>
        <w:t>Ediraras</w:t>
      </w:r>
      <w:proofErr w:type="spellEnd"/>
      <w:r w:rsidRPr="00322A32">
        <w:rPr>
          <w:rFonts w:ascii="Arial" w:hAnsi="Arial" w:cs="Arial"/>
        </w:rPr>
        <w:t>, D. T. (2021</w:t>
      </w:r>
      <w:bookmarkEnd w:id="7"/>
      <w:r w:rsidRPr="00322A32">
        <w:rPr>
          <w:rFonts w:ascii="Arial" w:hAnsi="Arial" w:cs="Arial"/>
        </w:rPr>
        <w:t xml:space="preserve">). Mediation of Profitability on Corporate Social Responsibility </w:t>
      </w:r>
      <w:proofErr w:type="gramStart"/>
      <w:r w:rsidRPr="00322A32">
        <w:rPr>
          <w:rFonts w:ascii="Arial" w:hAnsi="Arial" w:cs="Arial"/>
        </w:rPr>
        <w:t>To</w:t>
      </w:r>
      <w:proofErr w:type="gramEnd"/>
      <w:r w:rsidRPr="00322A32">
        <w:rPr>
          <w:rFonts w:ascii="Arial" w:hAnsi="Arial" w:cs="Arial"/>
        </w:rPr>
        <w:t xml:space="preserve"> Firm Value. JRAK, 13(2), 51-58.</w:t>
      </w:r>
    </w:p>
    <w:p w14:paraId="7F967825" w14:textId="77777777" w:rsidR="00316EC7" w:rsidRPr="00322A32" w:rsidRDefault="00316EC7" w:rsidP="00316EC7">
      <w:pPr>
        <w:ind w:left="567" w:hanging="567"/>
        <w:jc w:val="both"/>
        <w:rPr>
          <w:rFonts w:ascii="Arial" w:hAnsi="Arial" w:cs="Arial"/>
        </w:rPr>
      </w:pPr>
      <w:bookmarkStart w:id="8" w:name="_Hlk219840668"/>
      <w:proofErr w:type="spellStart"/>
      <w:r w:rsidRPr="001447DC">
        <w:rPr>
          <w:rFonts w:ascii="Arial" w:hAnsi="Arial" w:cs="Arial"/>
        </w:rPr>
        <w:lastRenderedPageBreak/>
        <w:t>Febriyanti</w:t>
      </w:r>
      <w:proofErr w:type="spellEnd"/>
      <w:r w:rsidRPr="001447DC">
        <w:rPr>
          <w:rFonts w:ascii="Arial" w:hAnsi="Arial" w:cs="Arial"/>
        </w:rPr>
        <w:t xml:space="preserve">, N. P. L., &amp; </w:t>
      </w:r>
      <w:proofErr w:type="spellStart"/>
      <w:r w:rsidRPr="001447DC">
        <w:rPr>
          <w:rFonts w:ascii="Arial" w:hAnsi="Arial" w:cs="Arial"/>
        </w:rPr>
        <w:t>Hasibuan</w:t>
      </w:r>
      <w:proofErr w:type="spellEnd"/>
      <w:r w:rsidRPr="001447DC">
        <w:rPr>
          <w:rFonts w:ascii="Arial" w:hAnsi="Arial" w:cs="Arial"/>
        </w:rPr>
        <w:t>, H. T. (2025</w:t>
      </w:r>
      <w:bookmarkEnd w:id="8"/>
      <w:r w:rsidRPr="001447DC">
        <w:rPr>
          <w:rFonts w:ascii="Arial" w:hAnsi="Arial" w:cs="Arial"/>
        </w:rPr>
        <w:t xml:space="preserve">). The relationship between capital structure and profitability with firm value (a study of LQ45 index companies listed on the Indonesia Stock Exchange (IDX) for the 2021–2023 period). International Journal of Economics, Management and Accounting, 2(4), 239–250. </w:t>
      </w:r>
      <w:hyperlink r:id="rId36" w:history="1">
        <w:r w:rsidRPr="001447DC">
          <w:rPr>
            <w:rStyle w:val="Hyperlink"/>
            <w:rFonts w:ascii="Arial" w:hAnsi="Arial" w:cs="Arial"/>
            <w:color w:val="auto"/>
          </w:rPr>
          <w:t>https://doi.org/10.61132/ijema.v2i4.853</w:t>
        </w:r>
      </w:hyperlink>
    </w:p>
    <w:p w14:paraId="4A8C26A4" w14:textId="77777777" w:rsidR="00316EC7" w:rsidRPr="00322A32" w:rsidRDefault="00316EC7" w:rsidP="00316EC7">
      <w:pPr>
        <w:ind w:left="567" w:hanging="567"/>
        <w:jc w:val="both"/>
        <w:rPr>
          <w:rFonts w:ascii="Arial" w:hAnsi="Arial" w:cs="Arial"/>
          <w:spacing w:val="-2"/>
        </w:rPr>
      </w:pPr>
      <w:r w:rsidRPr="00322A32">
        <w:rPr>
          <w:rFonts w:ascii="Arial" w:hAnsi="Arial" w:cs="Arial"/>
        </w:rPr>
        <w:t xml:space="preserve">Firdauzi, A., </w:t>
      </w:r>
      <w:proofErr w:type="spellStart"/>
      <w:r w:rsidRPr="00322A32">
        <w:rPr>
          <w:rFonts w:ascii="Arial" w:hAnsi="Arial" w:cs="Arial"/>
        </w:rPr>
        <w:t>Bisnis</w:t>
      </w:r>
      <w:proofErr w:type="spellEnd"/>
      <w:r w:rsidRPr="00322A32">
        <w:rPr>
          <w:rFonts w:ascii="Arial" w:hAnsi="Arial" w:cs="Arial"/>
        </w:rPr>
        <w:t xml:space="preserve">, A., </w:t>
      </w:r>
      <w:proofErr w:type="spellStart"/>
      <w:r w:rsidRPr="00322A32">
        <w:rPr>
          <w:rFonts w:ascii="Arial" w:hAnsi="Arial" w:cs="Arial"/>
        </w:rPr>
        <w:t>Diponegoro</w:t>
      </w:r>
      <w:proofErr w:type="spellEnd"/>
      <w:r w:rsidRPr="00322A32">
        <w:rPr>
          <w:rFonts w:ascii="Arial" w:hAnsi="Arial" w:cs="Arial"/>
        </w:rPr>
        <w:t xml:space="preserve">, U., </w:t>
      </w:r>
      <w:proofErr w:type="spellStart"/>
      <w:r w:rsidRPr="00322A32">
        <w:rPr>
          <w:rFonts w:ascii="Arial" w:hAnsi="Arial" w:cs="Arial"/>
        </w:rPr>
        <w:t>Soedarto</w:t>
      </w:r>
      <w:proofErr w:type="spellEnd"/>
      <w:r w:rsidRPr="00322A32">
        <w:rPr>
          <w:rFonts w:ascii="Arial" w:hAnsi="Arial" w:cs="Arial"/>
        </w:rPr>
        <w:t xml:space="preserve">, J. P., &amp; </w:t>
      </w:r>
      <w:proofErr w:type="spellStart"/>
      <w:r w:rsidRPr="00322A32">
        <w:rPr>
          <w:rFonts w:ascii="Arial" w:hAnsi="Arial" w:cs="Arial"/>
        </w:rPr>
        <w:t>Soedarto</w:t>
      </w:r>
      <w:proofErr w:type="spellEnd"/>
      <w:r w:rsidRPr="00322A32">
        <w:rPr>
          <w:rFonts w:ascii="Arial" w:hAnsi="Arial" w:cs="Arial"/>
        </w:rPr>
        <w:t xml:space="preserve">, J. P. (2024). </w:t>
      </w:r>
      <w:proofErr w:type="spellStart"/>
      <w:r w:rsidRPr="00322A32">
        <w:rPr>
          <w:rFonts w:ascii="Arial" w:hAnsi="Arial" w:cs="Arial"/>
        </w:rPr>
        <w:t>Pengaruh</w:t>
      </w:r>
      <w:proofErr w:type="spellEnd"/>
      <w:r w:rsidRPr="00322A32">
        <w:rPr>
          <w:rFonts w:ascii="Arial" w:hAnsi="Arial" w:cs="Arial"/>
        </w:rPr>
        <w:t xml:space="preserve"> </w:t>
      </w:r>
      <w:proofErr w:type="spellStart"/>
      <w:r w:rsidRPr="00322A32">
        <w:rPr>
          <w:rFonts w:ascii="Arial" w:hAnsi="Arial" w:cs="Arial"/>
        </w:rPr>
        <w:t>Mekanisme</w:t>
      </w:r>
      <w:proofErr w:type="spellEnd"/>
      <w:r w:rsidRPr="00322A32">
        <w:rPr>
          <w:rFonts w:ascii="Arial" w:hAnsi="Arial" w:cs="Arial"/>
        </w:rPr>
        <w:t xml:space="preserve"> Good Corporate Governance Dan Corporate Social Responsibility </w:t>
      </w:r>
      <w:proofErr w:type="spellStart"/>
      <w:r w:rsidRPr="00322A32">
        <w:rPr>
          <w:rFonts w:ascii="Arial" w:hAnsi="Arial" w:cs="Arial"/>
        </w:rPr>
        <w:t>Terhadap</w:t>
      </w:r>
      <w:proofErr w:type="spellEnd"/>
      <w:r w:rsidRPr="00322A32">
        <w:rPr>
          <w:rFonts w:ascii="Arial" w:hAnsi="Arial" w:cs="Arial"/>
        </w:rPr>
        <w:t xml:space="preserve"> Nilai Perusahaan </w:t>
      </w:r>
      <w:proofErr w:type="spellStart"/>
      <w:r w:rsidRPr="00322A32">
        <w:rPr>
          <w:rFonts w:ascii="Arial" w:hAnsi="Arial" w:cs="Arial"/>
        </w:rPr>
        <w:t>Dengan</w:t>
      </w:r>
      <w:proofErr w:type="spellEnd"/>
      <w:r w:rsidRPr="00322A32">
        <w:rPr>
          <w:rFonts w:ascii="Arial" w:hAnsi="Arial" w:cs="Arial"/>
        </w:rPr>
        <w:t xml:space="preserve"> </w:t>
      </w:r>
      <w:proofErr w:type="spellStart"/>
      <w:r w:rsidRPr="00322A32">
        <w:rPr>
          <w:rFonts w:ascii="Arial" w:hAnsi="Arial" w:cs="Arial"/>
        </w:rPr>
        <w:t>Profitabilitas</w:t>
      </w:r>
      <w:proofErr w:type="spellEnd"/>
      <w:r w:rsidRPr="00322A32">
        <w:rPr>
          <w:rFonts w:ascii="Arial" w:hAnsi="Arial" w:cs="Arial"/>
        </w:rPr>
        <w:t xml:space="preserve"> </w:t>
      </w:r>
      <w:proofErr w:type="spellStart"/>
      <w:r w:rsidRPr="00322A32">
        <w:rPr>
          <w:rFonts w:ascii="Arial" w:hAnsi="Arial" w:cs="Arial"/>
        </w:rPr>
        <w:t>Sebagai</w:t>
      </w:r>
      <w:proofErr w:type="spellEnd"/>
      <w:r w:rsidRPr="00322A32">
        <w:rPr>
          <w:rFonts w:ascii="Arial" w:hAnsi="Arial" w:cs="Arial"/>
        </w:rPr>
        <w:t xml:space="preserve"> Mediator Pada Perusahaan Sektor Energi Di Indonesia. 10(2), 495–511. </w:t>
      </w:r>
      <w:hyperlink r:id="rId37" w:history="1">
        <w:r w:rsidRPr="00322A32">
          <w:rPr>
            <w:rStyle w:val="Hyperlink"/>
            <w:rFonts w:ascii="Arial" w:hAnsi="Arial" w:cs="Arial"/>
            <w:color w:val="auto"/>
            <w:spacing w:val="-2"/>
          </w:rPr>
          <w:t>https://doi.org/https://doi.org/10.32479/ijeep.15913</w:t>
        </w:r>
      </w:hyperlink>
    </w:p>
    <w:p w14:paraId="7DB33D83" w14:textId="77777777" w:rsidR="00316EC7" w:rsidRPr="00322A32" w:rsidRDefault="00316EC7" w:rsidP="00316EC7">
      <w:pPr>
        <w:ind w:left="567" w:hanging="567"/>
        <w:jc w:val="both"/>
        <w:rPr>
          <w:rFonts w:ascii="Arial" w:hAnsi="Arial" w:cs="Arial"/>
        </w:rPr>
      </w:pPr>
      <w:r w:rsidRPr="00322A32">
        <w:rPr>
          <w:rFonts w:ascii="Arial" w:hAnsi="Arial" w:cs="Arial"/>
        </w:rPr>
        <w:t>Freeman, R.E (1984). “Strategic Management: A stakeholder Approach”. Boston, MA: Pitman.</w:t>
      </w:r>
    </w:p>
    <w:p w14:paraId="604BC5EC" w14:textId="77777777" w:rsidR="00316EC7" w:rsidRPr="00322A32" w:rsidRDefault="00316EC7" w:rsidP="00316EC7">
      <w:pPr>
        <w:ind w:left="567" w:hanging="567"/>
        <w:jc w:val="both"/>
        <w:rPr>
          <w:rFonts w:ascii="Arial" w:hAnsi="Arial" w:cs="Arial"/>
        </w:rPr>
      </w:pPr>
      <w:r w:rsidRPr="00322A32">
        <w:rPr>
          <w:rFonts w:ascii="Arial" w:hAnsi="Arial" w:cs="Arial"/>
        </w:rPr>
        <w:t>García</w:t>
      </w:r>
      <w:r w:rsidRPr="00322A32">
        <w:rPr>
          <w:rFonts w:ascii="Cambria Math" w:hAnsi="Cambria Math" w:cs="Cambria Math"/>
        </w:rPr>
        <w:t>‐</w:t>
      </w:r>
      <w:r w:rsidRPr="00322A32">
        <w:rPr>
          <w:rFonts w:ascii="Arial" w:hAnsi="Arial" w:cs="Arial"/>
        </w:rPr>
        <w:t>Sánchez, I., Hussain, N., Martínez</w:t>
      </w:r>
      <w:r w:rsidRPr="00322A32">
        <w:rPr>
          <w:rFonts w:ascii="Cambria Math" w:hAnsi="Cambria Math" w:cs="Cambria Math"/>
        </w:rPr>
        <w:t>‐</w:t>
      </w:r>
      <w:r w:rsidRPr="00322A32">
        <w:rPr>
          <w:rFonts w:ascii="Arial" w:hAnsi="Arial" w:cs="Arial"/>
        </w:rPr>
        <w:t>Ferrero, J., &amp; Ruiz</w:t>
      </w:r>
      <w:r w:rsidRPr="00322A32">
        <w:rPr>
          <w:rFonts w:ascii="Cambria Math" w:hAnsi="Cambria Math" w:cs="Cambria Math"/>
        </w:rPr>
        <w:t>‐</w:t>
      </w:r>
      <w:r w:rsidRPr="00322A32">
        <w:rPr>
          <w:rFonts w:ascii="Arial" w:hAnsi="Arial" w:cs="Arial"/>
        </w:rPr>
        <w:t xml:space="preserve">Barbadillo, E. (2019). Impact of disclosure and assurance quality of corporate sustainability reports on access to finance. Corporate Social Responsibility and Environmental Management, 26(4), 832–848. </w:t>
      </w:r>
      <w:hyperlink r:id="rId38">
        <w:r w:rsidRPr="00322A32">
          <w:rPr>
            <w:rFonts w:ascii="Arial" w:hAnsi="Arial" w:cs="Arial"/>
            <w:u w:val="single"/>
          </w:rPr>
          <w:t>https://doi.org/10.1002/csr.1724</w:t>
        </w:r>
      </w:hyperlink>
    </w:p>
    <w:p w14:paraId="55F4C7F9" w14:textId="77777777" w:rsidR="00316EC7" w:rsidRPr="00322A32" w:rsidRDefault="00316EC7" w:rsidP="00316EC7">
      <w:pPr>
        <w:ind w:left="567" w:hanging="567"/>
        <w:jc w:val="both"/>
        <w:rPr>
          <w:rFonts w:ascii="Arial" w:eastAsia="Roboto" w:hAnsi="Arial" w:cs="Arial"/>
          <w:highlight w:val="white"/>
        </w:rPr>
      </w:pPr>
      <w:r w:rsidRPr="00322A32">
        <w:rPr>
          <w:rFonts w:ascii="Arial" w:eastAsia="Roboto" w:hAnsi="Arial" w:cs="Arial"/>
          <w:highlight w:val="white"/>
        </w:rPr>
        <w:t xml:space="preserve">Gunawan, J., </w:t>
      </w:r>
      <w:proofErr w:type="spellStart"/>
      <w:r w:rsidRPr="00322A32">
        <w:rPr>
          <w:rFonts w:ascii="Arial" w:eastAsia="Roboto" w:hAnsi="Arial" w:cs="Arial"/>
          <w:highlight w:val="white"/>
        </w:rPr>
        <w:t>Permatasari</w:t>
      </w:r>
      <w:proofErr w:type="spellEnd"/>
      <w:r w:rsidRPr="00322A32">
        <w:rPr>
          <w:rFonts w:ascii="Arial" w:eastAsia="Roboto" w:hAnsi="Arial" w:cs="Arial"/>
          <w:highlight w:val="white"/>
        </w:rPr>
        <w:t xml:space="preserve">, P., &amp; Fauzi, H. (2022). The evolution of sustainability reporting practices in Indonesia. Journal of Cleaner Production, 358, 131798. </w:t>
      </w:r>
      <w:hyperlink r:id="rId39">
        <w:r w:rsidRPr="00322A32">
          <w:rPr>
            <w:rFonts w:ascii="Arial" w:eastAsia="Roboto" w:hAnsi="Arial" w:cs="Arial"/>
            <w:highlight w:val="white"/>
            <w:u w:val="single"/>
          </w:rPr>
          <w:t>https://doi.org/10.1016/j.jclepro.2022.131798</w:t>
        </w:r>
      </w:hyperlink>
    </w:p>
    <w:p w14:paraId="2AA8821C"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Handayati</w:t>
      </w:r>
      <w:proofErr w:type="spellEnd"/>
      <w:r w:rsidRPr="00322A32">
        <w:rPr>
          <w:rFonts w:ascii="Arial" w:hAnsi="Arial" w:cs="Arial"/>
        </w:rPr>
        <w:t xml:space="preserve">, P., </w:t>
      </w:r>
      <w:proofErr w:type="spellStart"/>
      <w:r w:rsidRPr="00322A32">
        <w:rPr>
          <w:rFonts w:ascii="Arial" w:hAnsi="Arial" w:cs="Arial"/>
        </w:rPr>
        <w:t>Sumarsono</w:t>
      </w:r>
      <w:proofErr w:type="spellEnd"/>
      <w:r w:rsidRPr="00322A32">
        <w:rPr>
          <w:rFonts w:ascii="Arial" w:hAnsi="Arial" w:cs="Arial"/>
        </w:rPr>
        <w:t xml:space="preserve">, H., &amp; </w:t>
      </w:r>
      <w:proofErr w:type="spellStart"/>
      <w:r w:rsidRPr="00322A32">
        <w:rPr>
          <w:rFonts w:ascii="Arial" w:hAnsi="Arial" w:cs="Arial"/>
        </w:rPr>
        <w:t>Narmaditya</w:t>
      </w:r>
      <w:proofErr w:type="spellEnd"/>
      <w:r w:rsidRPr="00322A32">
        <w:rPr>
          <w:rFonts w:ascii="Arial" w:hAnsi="Arial" w:cs="Arial"/>
        </w:rPr>
        <w:t xml:space="preserve">, B. S. (2022). Corporate Social Responsibility disclosure and Indonesian firm value: The moderating effect of profitability and firm’s size. Journal of Eastern European and Central Asian Research (JEECAR), 9(4), 703–714. </w:t>
      </w:r>
      <w:hyperlink r:id="rId40">
        <w:r w:rsidRPr="00322A32">
          <w:rPr>
            <w:rFonts w:ascii="Arial" w:hAnsi="Arial" w:cs="Arial"/>
            <w:u w:val="single"/>
          </w:rPr>
          <w:t>https://doi.org/10.15549/jeecar.v9i4.940</w:t>
        </w:r>
      </w:hyperlink>
    </w:p>
    <w:p w14:paraId="1D94402B" w14:textId="77777777" w:rsidR="00316EC7" w:rsidRPr="00322A32" w:rsidRDefault="00316EC7" w:rsidP="00316EC7">
      <w:pPr>
        <w:ind w:left="567" w:hanging="567"/>
        <w:jc w:val="both"/>
        <w:rPr>
          <w:rFonts w:ascii="Arial" w:eastAsia="Roboto" w:hAnsi="Arial" w:cs="Arial"/>
          <w:highlight w:val="white"/>
        </w:rPr>
      </w:pPr>
      <w:r w:rsidRPr="00322A32">
        <w:rPr>
          <w:rFonts w:ascii="Arial" w:hAnsi="Arial" w:cs="Arial"/>
        </w:rPr>
        <w:t xml:space="preserve">Hermawan, S., Sari, Y. A., </w:t>
      </w:r>
      <w:proofErr w:type="spellStart"/>
      <w:r w:rsidRPr="00322A32">
        <w:rPr>
          <w:rFonts w:ascii="Arial" w:hAnsi="Arial" w:cs="Arial"/>
        </w:rPr>
        <w:t>Biduri</w:t>
      </w:r>
      <w:proofErr w:type="spellEnd"/>
      <w:r w:rsidRPr="00322A32">
        <w:rPr>
          <w:rFonts w:ascii="Arial" w:hAnsi="Arial" w:cs="Arial"/>
        </w:rPr>
        <w:t xml:space="preserve">, S., Rahayu, D., &amp; Rahayu, R. A. (2023). Corporate Social Responsibility, firm value, and profitability: Evidence from pharmaceutical companies in Indonesia and Malaysia. International Journal of Professional Business Review, 8(2). </w:t>
      </w:r>
      <w:hyperlink r:id="rId41">
        <w:r w:rsidRPr="00322A32">
          <w:rPr>
            <w:rFonts w:ascii="Arial" w:hAnsi="Arial" w:cs="Arial"/>
            <w:u w:val="single"/>
          </w:rPr>
          <w:t>https://doi.org/10.26668/businessreview/2023.v8i2.625</w:t>
        </w:r>
      </w:hyperlink>
    </w:p>
    <w:p w14:paraId="5B6E7CD9" w14:textId="77777777" w:rsidR="00316EC7" w:rsidRPr="00322A32" w:rsidRDefault="00316EC7" w:rsidP="00316EC7">
      <w:pPr>
        <w:ind w:left="567" w:hanging="567"/>
        <w:jc w:val="both"/>
        <w:rPr>
          <w:rFonts w:ascii="Arial" w:hAnsi="Arial" w:cs="Arial"/>
        </w:rPr>
      </w:pPr>
      <w:r w:rsidRPr="00322A32">
        <w:rPr>
          <w:rFonts w:ascii="Arial" w:hAnsi="Arial" w:cs="Arial"/>
        </w:rPr>
        <w:t xml:space="preserve">Hoang, H., &amp; Trotman, K. T. (2020). The effect of CSR Assurance and explicit assessment on investor valuation judgments. Auditing: A Journal of Practice &amp;amp; Theory, 40(1), 19–33. </w:t>
      </w:r>
      <w:hyperlink r:id="rId42">
        <w:r w:rsidRPr="00322A32">
          <w:rPr>
            <w:rFonts w:ascii="Arial" w:hAnsi="Arial" w:cs="Arial"/>
            <w:u w:val="single"/>
          </w:rPr>
          <w:t>https://doi.org/10.2308/ajpt-18-092</w:t>
        </w:r>
      </w:hyperlink>
    </w:p>
    <w:p w14:paraId="38B878C2" w14:textId="77777777" w:rsidR="00316EC7" w:rsidRPr="00322A32" w:rsidRDefault="00316EC7" w:rsidP="00316EC7">
      <w:pPr>
        <w:ind w:left="567" w:hanging="567"/>
        <w:jc w:val="both"/>
        <w:rPr>
          <w:rFonts w:ascii="Arial" w:hAnsi="Arial" w:cs="Arial"/>
        </w:rPr>
      </w:pPr>
      <w:bookmarkStart w:id="9" w:name="_Hlk219029566"/>
      <w:proofErr w:type="spellStart"/>
      <w:r w:rsidRPr="00322A32">
        <w:rPr>
          <w:rFonts w:ascii="Arial" w:hAnsi="Arial" w:cs="Arial"/>
        </w:rPr>
        <w:t>Indrawati</w:t>
      </w:r>
      <w:bookmarkEnd w:id="9"/>
      <w:proofErr w:type="spellEnd"/>
      <w:r w:rsidRPr="00322A32">
        <w:rPr>
          <w:rFonts w:ascii="Arial" w:hAnsi="Arial" w:cs="Arial"/>
        </w:rPr>
        <w:t xml:space="preserve">, L. R., </w:t>
      </w:r>
      <w:proofErr w:type="spellStart"/>
      <w:r w:rsidRPr="00322A32">
        <w:rPr>
          <w:rFonts w:ascii="Arial" w:hAnsi="Arial" w:cs="Arial"/>
        </w:rPr>
        <w:t>Retnosari</w:t>
      </w:r>
      <w:proofErr w:type="spellEnd"/>
      <w:r w:rsidRPr="00322A32">
        <w:rPr>
          <w:rFonts w:ascii="Arial" w:hAnsi="Arial" w:cs="Arial"/>
        </w:rPr>
        <w:t xml:space="preserve">, &amp; </w:t>
      </w:r>
      <w:proofErr w:type="spellStart"/>
      <w:r w:rsidRPr="00322A32">
        <w:rPr>
          <w:rFonts w:ascii="Arial" w:hAnsi="Arial" w:cs="Arial"/>
        </w:rPr>
        <w:t>Frimasika</w:t>
      </w:r>
      <w:proofErr w:type="spellEnd"/>
      <w:r w:rsidRPr="00322A32">
        <w:rPr>
          <w:rFonts w:ascii="Arial" w:hAnsi="Arial" w:cs="Arial"/>
        </w:rPr>
        <w:t xml:space="preserve">, A. V. (2025). The effect of CSR, company size, and sales growth on profitability of financial sector companies in Indonesia.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Ilmiah</w:t>
      </w:r>
      <w:proofErr w:type="spellEnd"/>
      <w:r w:rsidRPr="00322A32">
        <w:rPr>
          <w:rFonts w:ascii="Arial" w:hAnsi="Arial" w:cs="Arial"/>
        </w:rPr>
        <w:t xml:space="preserve"> </w:t>
      </w:r>
      <w:proofErr w:type="spellStart"/>
      <w:r w:rsidRPr="00322A32">
        <w:rPr>
          <w:rFonts w:ascii="Arial" w:hAnsi="Arial" w:cs="Arial"/>
        </w:rPr>
        <w:t>Manajemen</w:t>
      </w:r>
      <w:proofErr w:type="spellEnd"/>
      <w:r w:rsidRPr="00322A32">
        <w:rPr>
          <w:rFonts w:ascii="Arial" w:hAnsi="Arial" w:cs="Arial"/>
        </w:rPr>
        <w:t xml:space="preserve"> </w:t>
      </w:r>
      <w:proofErr w:type="spellStart"/>
      <w:r w:rsidRPr="00322A32">
        <w:rPr>
          <w:rFonts w:ascii="Arial" w:hAnsi="Arial" w:cs="Arial"/>
        </w:rPr>
        <w:t>Kesatuan</w:t>
      </w:r>
      <w:proofErr w:type="spellEnd"/>
      <w:r w:rsidRPr="00322A32">
        <w:rPr>
          <w:rFonts w:ascii="Arial" w:hAnsi="Arial" w:cs="Arial"/>
        </w:rPr>
        <w:t xml:space="preserve">, 13(6), 5297–5204. </w:t>
      </w:r>
      <w:hyperlink r:id="rId43" w:history="1">
        <w:r w:rsidRPr="00322A32">
          <w:rPr>
            <w:rStyle w:val="Hyperlink"/>
            <w:rFonts w:ascii="Arial" w:hAnsi="Arial" w:cs="Arial"/>
            <w:color w:val="auto"/>
          </w:rPr>
          <w:t>https://doi.org/10.37641/jimkes.v13i6.4206</w:t>
        </w:r>
      </w:hyperlink>
    </w:p>
    <w:p w14:paraId="17FD81D9" w14:textId="28DC72BF" w:rsidR="00316EC7" w:rsidRPr="00322A32" w:rsidRDefault="005B748B" w:rsidP="00316EC7">
      <w:pPr>
        <w:ind w:left="567" w:hanging="567"/>
        <w:jc w:val="both"/>
        <w:rPr>
          <w:rFonts w:ascii="Arial" w:hAnsi="Arial" w:cs="Arial"/>
        </w:rPr>
      </w:pPr>
      <w:r>
        <w:rPr>
          <w:rFonts w:ascii="Arial" w:hAnsi="Arial" w:cs="Arial"/>
        </w:rPr>
        <w:t>s</w:t>
      </w:r>
    </w:p>
    <w:p w14:paraId="736B0D5D" w14:textId="77777777" w:rsidR="00316EC7" w:rsidRPr="00322A32" w:rsidRDefault="00316EC7" w:rsidP="00316EC7">
      <w:pPr>
        <w:ind w:left="567" w:hanging="567"/>
        <w:jc w:val="both"/>
        <w:rPr>
          <w:rFonts w:ascii="Arial" w:hAnsi="Arial" w:cs="Arial"/>
        </w:rPr>
      </w:pPr>
      <w:bookmarkStart w:id="10" w:name="_Hlk219055894"/>
      <w:proofErr w:type="spellStart"/>
      <w:r w:rsidRPr="00322A32">
        <w:rPr>
          <w:rFonts w:ascii="Arial" w:hAnsi="Arial" w:cs="Arial"/>
        </w:rPr>
        <w:t>Jadiyappa</w:t>
      </w:r>
      <w:bookmarkEnd w:id="10"/>
      <w:proofErr w:type="spellEnd"/>
      <w:r w:rsidRPr="00322A32">
        <w:rPr>
          <w:rFonts w:ascii="Arial" w:hAnsi="Arial" w:cs="Arial"/>
        </w:rPr>
        <w:t>, N., Iyer, S. R., &amp; Jyothi, P. (2021). Does social responsibility improve firm value? Evidence from mandatory corporate social responsibility regulations in India. International Review of Finance, 21(2), 653-660.</w:t>
      </w:r>
    </w:p>
    <w:p w14:paraId="6CEC9714" w14:textId="77777777" w:rsidR="00316EC7" w:rsidRPr="00322A32" w:rsidRDefault="00316EC7" w:rsidP="00316EC7">
      <w:pPr>
        <w:ind w:left="567" w:hanging="567"/>
        <w:jc w:val="both"/>
        <w:rPr>
          <w:rFonts w:ascii="Arial" w:hAnsi="Arial" w:cs="Arial"/>
        </w:rPr>
      </w:pPr>
      <w:bookmarkStart w:id="11" w:name="_Hlk219029703"/>
      <w:proofErr w:type="spellStart"/>
      <w:r w:rsidRPr="00322A32">
        <w:rPr>
          <w:rFonts w:ascii="Arial" w:hAnsi="Arial" w:cs="Arial"/>
        </w:rPr>
        <w:t>Juliasari</w:t>
      </w:r>
      <w:bookmarkEnd w:id="11"/>
      <w:proofErr w:type="spellEnd"/>
      <w:r w:rsidRPr="00322A32">
        <w:rPr>
          <w:rFonts w:ascii="Arial" w:hAnsi="Arial" w:cs="Arial"/>
        </w:rPr>
        <w:t xml:space="preserve">, D., Ana, S. R., Yulianti, A., Heni, H., &amp; </w:t>
      </w:r>
      <w:proofErr w:type="spellStart"/>
      <w:r w:rsidRPr="00322A32">
        <w:rPr>
          <w:rFonts w:ascii="Arial" w:hAnsi="Arial" w:cs="Arial"/>
        </w:rPr>
        <w:t>Cahyaningati</w:t>
      </w:r>
      <w:proofErr w:type="spellEnd"/>
      <w:r w:rsidRPr="00322A32">
        <w:rPr>
          <w:rFonts w:ascii="Arial" w:hAnsi="Arial" w:cs="Arial"/>
        </w:rPr>
        <w:t xml:space="preserve">, R. (2025). The role of profitability in mediating the effect of corporate social responsibility on firm value. Assets :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Ilmiah</w:t>
      </w:r>
      <w:proofErr w:type="spellEnd"/>
      <w:r w:rsidRPr="00322A32">
        <w:rPr>
          <w:rFonts w:ascii="Arial" w:hAnsi="Arial" w:cs="Arial"/>
        </w:rPr>
        <w:t xml:space="preserve"> </w:t>
      </w:r>
      <w:proofErr w:type="spellStart"/>
      <w:r w:rsidRPr="00322A32">
        <w:rPr>
          <w:rFonts w:ascii="Arial" w:hAnsi="Arial" w:cs="Arial"/>
        </w:rPr>
        <w:t>Ilmu</w:t>
      </w:r>
      <w:proofErr w:type="spellEnd"/>
      <w:r w:rsidRPr="00322A32">
        <w:rPr>
          <w:rFonts w:ascii="Arial" w:hAnsi="Arial" w:cs="Arial"/>
        </w:rPr>
        <w:t xml:space="preserve"> </w:t>
      </w:r>
      <w:proofErr w:type="spellStart"/>
      <w:r w:rsidRPr="00322A32">
        <w:rPr>
          <w:rFonts w:ascii="Arial" w:hAnsi="Arial" w:cs="Arial"/>
        </w:rPr>
        <w:t>Akuntansi</w:t>
      </w:r>
      <w:proofErr w:type="spellEnd"/>
      <w:r w:rsidRPr="00322A32">
        <w:rPr>
          <w:rFonts w:ascii="Arial" w:hAnsi="Arial" w:cs="Arial"/>
        </w:rPr>
        <w:t xml:space="preserve">, </w:t>
      </w:r>
      <w:proofErr w:type="spellStart"/>
      <w:r w:rsidRPr="00322A32">
        <w:rPr>
          <w:rFonts w:ascii="Arial" w:hAnsi="Arial" w:cs="Arial"/>
        </w:rPr>
        <w:t>Keuangan</w:t>
      </w:r>
      <w:proofErr w:type="spellEnd"/>
      <w:r w:rsidRPr="00322A32">
        <w:rPr>
          <w:rFonts w:ascii="Arial" w:hAnsi="Arial" w:cs="Arial"/>
        </w:rPr>
        <w:t xml:space="preserve"> Dan </w:t>
      </w:r>
      <w:proofErr w:type="spellStart"/>
      <w:r w:rsidRPr="00322A32">
        <w:rPr>
          <w:rFonts w:ascii="Arial" w:hAnsi="Arial" w:cs="Arial"/>
        </w:rPr>
        <w:t>Pajak</w:t>
      </w:r>
      <w:proofErr w:type="spellEnd"/>
      <w:r w:rsidRPr="00322A32">
        <w:rPr>
          <w:rFonts w:ascii="Arial" w:hAnsi="Arial" w:cs="Arial"/>
        </w:rPr>
        <w:t xml:space="preserve">, 9(2), 165–176. </w:t>
      </w:r>
      <w:hyperlink r:id="rId44" w:history="1">
        <w:r w:rsidRPr="00322A32">
          <w:rPr>
            <w:rStyle w:val="Hyperlink"/>
            <w:rFonts w:ascii="Arial" w:hAnsi="Arial" w:cs="Arial"/>
            <w:color w:val="auto"/>
          </w:rPr>
          <w:t>https://doi.org/10.30741/assets.v9i2.1667</w:t>
        </w:r>
      </w:hyperlink>
    </w:p>
    <w:p w14:paraId="4B6CC27E"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Juliyanti</w:t>
      </w:r>
      <w:proofErr w:type="spellEnd"/>
      <w:r w:rsidRPr="00322A32">
        <w:rPr>
          <w:rFonts w:ascii="Arial" w:hAnsi="Arial" w:cs="Arial"/>
        </w:rPr>
        <w:t xml:space="preserve">, S. I., Najib, F., Qolby, H. N., Rahayu, A., </w:t>
      </w:r>
      <w:proofErr w:type="spellStart"/>
      <w:r w:rsidRPr="00322A32">
        <w:rPr>
          <w:rFonts w:ascii="Arial" w:hAnsi="Arial" w:cs="Arial"/>
        </w:rPr>
        <w:t>Nursetya</w:t>
      </w:r>
      <w:proofErr w:type="spellEnd"/>
      <w:r w:rsidRPr="00322A32">
        <w:rPr>
          <w:rFonts w:ascii="Arial" w:hAnsi="Arial" w:cs="Arial"/>
        </w:rPr>
        <w:t xml:space="preserve">, M. S., </w:t>
      </w:r>
      <w:proofErr w:type="spellStart"/>
      <w:r w:rsidRPr="00322A32">
        <w:rPr>
          <w:rFonts w:ascii="Arial" w:hAnsi="Arial" w:cs="Arial"/>
        </w:rPr>
        <w:t>Stevannie</w:t>
      </w:r>
      <w:proofErr w:type="spellEnd"/>
      <w:r w:rsidRPr="00322A32">
        <w:rPr>
          <w:rFonts w:ascii="Arial" w:hAnsi="Arial" w:cs="Arial"/>
        </w:rPr>
        <w:t xml:space="preserve">, V., &amp; </w:t>
      </w:r>
      <w:proofErr w:type="spellStart"/>
      <w:r w:rsidRPr="00322A32">
        <w:rPr>
          <w:rFonts w:ascii="Arial" w:hAnsi="Arial" w:cs="Arial"/>
        </w:rPr>
        <w:t>Maesaroh</w:t>
      </w:r>
      <w:proofErr w:type="spellEnd"/>
      <w:r w:rsidRPr="00322A32">
        <w:rPr>
          <w:rFonts w:ascii="Arial" w:hAnsi="Arial" w:cs="Arial"/>
        </w:rPr>
        <w:t>, S. S. (2024). The Impact of CSR Fund on the Company Value with Profitability as Moderating Variable on Transportation Company Sector. In International Conference on Digital Business Innovation and Technology Management (ICONBIT) (Vol. 1, No. 1).</w:t>
      </w:r>
    </w:p>
    <w:p w14:paraId="266E28BA" w14:textId="77777777" w:rsidR="00316EC7" w:rsidRPr="00322A32" w:rsidRDefault="00316EC7" w:rsidP="00316EC7">
      <w:pPr>
        <w:ind w:left="567" w:hanging="567"/>
        <w:jc w:val="both"/>
        <w:rPr>
          <w:rFonts w:ascii="Arial" w:hAnsi="Arial" w:cs="Arial"/>
        </w:rPr>
      </w:pPr>
      <w:bookmarkStart w:id="12" w:name="_Hlk218972755"/>
      <w:proofErr w:type="spellStart"/>
      <w:r w:rsidRPr="00322A32">
        <w:rPr>
          <w:rFonts w:ascii="Arial" w:hAnsi="Arial" w:cs="Arial"/>
        </w:rPr>
        <w:t>Kiryanto</w:t>
      </w:r>
      <w:proofErr w:type="spellEnd"/>
      <w:r w:rsidRPr="00322A32">
        <w:rPr>
          <w:rFonts w:ascii="Arial" w:hAnsi="Arial" w:cs="Arial"/>
        </w:rPr>
        <w:t>, K., &amp; Noor Syaharani, F. R. (2024</w:t>
      </w:r>
      <w:bookmarkEnd w:id="12"/>
      <w:r w:rsidRPr="00322A32">
        <w:rPr>
          <w:rFonts w:ascii="Arial" w:hAnsi="Arial" w:cs="Arial"/>
        </w:rPr>
        <w:t xml:space="preserve">). Company value: The role of Sustainability Report Disclosure, good corporate governance disclosure, and environmental performance. JOURNAL OF ECONOMICS, FINANCE AND MANAGEMENT STUDIES, 07(02). </w:t>
      </w:r>
      <w:hyperlink r:id="rId45" w:history="1">
        <w:r w:rsidRPr="00322A32">
          <w:rPr>
            <w:rStyle w:val="Hyperlink"/>
            <w:rFonts w:ascii="Arial" w:hAnsi="Arial" w:cs="Arial"/>
            <w:color w:val="auto"/>
          </w:rPr>
          <w:t>https://doi.org/10.47191/jefms/v7-i2-58</w:t>
        </w:r>
      </w:hyperlink>
    </w:p>
    <w:p w14:paraId="6B1D2FF3"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Komath</w:t>
      </w:r>
      <w:proofErr w:type="spellEnd"/>
      <w:r w:rsidRPr="00322A32">
        <w:rPr>
          <w:rFonts w:ascii="Arial" w:hAnsi="Arial" w:cs="Arial"/>
        </w:rPr>
        <w:t xml:space="preserve">, M. A. C., Sayilir, Ö., &amp; Doğan, M. (2025). The relationships between corporate sustainability and market value: mediating role of revenue and moderating role of profitability. International Journal of Disclosure and Governance, 22(2), 251. </w:t>
      </w:r>
      <w:hyperlink r:id="rId46" w:history="1">
        <w:r w:rsidRPr="00322A32">
          <w:rPr>
            <w:rStyle w:val="Hyperlink"/>
            <w:rFonts w:ascii="Arial" w:hAnsi="Arial" w:cs="Arial"/>
            <w:color w:val="auto"/>
          </w:rPr>
          <w:t>https://doi.org/10.24912/je.v25i2.669</w:t>
        </w:r>
      </w:hyperlink>
    </w:p>
    <w:p w14:paraId="59C568F3" w14:textId="77777777" w:rsidR="00316EC7" w:rsidRPr="00322A32" w:rsidRDefault="00316EC7" w:rsidP="00316EC7">
      <w:pPr>
        <w:ind w:left="567" w:hanging="567"/>
        <w:jc w:val="both"/>
        <w:rPr>
          <w:rFonts w:ascii="Arial" w:hAnsi="Arial" w:cs="Arial"/>
        </w:rPr>
      </w:pPr>
      <w:bookmarkStart w:id="13" w:name="_Hlk219026090"/>
      <w:r w:rsidRPr="00322A32">
        <w:rPr>
          <w:rFonts w:ascii="Arial" w:hAnsi="Arial" w:cs="Arial"/>
        </w:rPr>
        <w:lastRenderedPageBreak/>
        <w:t>Kuo, K. C., Lu, W. M., &amp; Ganbaatar, O. (2023</w:t>
      </w:r>
      <w:bookmarkEnd w:id="13"/>
      <w:r w:rsidRPr="00322A32">
        <w:rPr>
          <w:rFonts w:ascii="Arial" w:hAnsi="Arial" w:cs="Arial"/>
        </w:rPr>
        <w:t>). Sustainability and profitability efficiencies: the moderating role of corporate social responsibility. International transactions in operational research, 30(5), 2506-2527.</w:t>
      </w:r>
    </w:p>
    <w:p w14:paraId="05580CDF" w14:textId="77777777" w:rsidR="00316EC7" w:rsidRPr="00322A32" w:rsidRDefault="00316EC7" w:rsidP="00316EC7">
      <w:pPr>
        <w:ind w:left="567" w:hanging="567"/>
        <w:jc w:val="both"/>
        <w:rPr>
          <w:rFonts w:ascii="Arial" w:eastAsia="Roboto" w:hAnsi="Arial" w:cs="Arial"/>
          <w:highlight w:val="white"/>
        </w:rPr>
      </w:pPr>
      <w:r w:rsidRPr="00322A32">
        <w:rPr>
          <w:rFonts w:ascii="Arial" w:eastAsia="Roboto" w:hAnsi="Arial" w:cs="Arial"/>
          <w:highlight w:val="white"/>
        </w:rPr>
        <w:t xml:space="preserve">Li, W., Yan, T., &amp; Li, Y. (2025). Corporate Social Responsibility and financial performance in a cross-country context: A meta-analysis. Journal of Business Research, 190, 115218. </w:t>
      </w:r>
      <w:hyperlink r:id="rId47">
        <w:r w:rsidRPr="00322A32">
          <w:rPr>
            <w:rFonts w:ascii="Arial" w:eastAsia="Roboto" w:hAnsi="Arial" w:cs="Arial"/>
            <w:highlight w:val="white"/>
            <w:u w:val="single"/>
          </w:rPr>
          <w:t>https://doi.org/10.1016/j.jbusres.2025.115218</w:t>
        </w:r>
      </w:hyperlink>
    </w:p>
    <w:p w14:paraId="1DF26B48" w14:textId="77777777" w:rsidR="00316EC7" w:rsidRPr="00322A32" w:rsidRDefault="00316EC7" w:rsidP="00316EC7">
      <w:pPr>
        <w:ind w:left="567" w:hanging="567"/>
        <w:jc w:val="both"/>
        <w:rPr>
          <w:rFonts w:ascii="Arial" w:hAnsi="Arial" w:cs="Arial"/>
        </w:rPr>
      </w:pPr>
      <w:r w:rsidRPr="00322A32">
        <w:rPr>
          <w:rFonts w:ascii="Arial" w:hAnsi="Arial" w:cs="Arial"/>
        </w:rPr>
        <w:t xml:space="preserve">Lu, H., Oh, W.-Y., Kleffner, A., &amp; Chang, Y. K. (2021). How do investors value corporate social responsibility? market valuation and the firm specific contexts. Journal of Business Research, 125, 14–25. </w:t>
      </w:r>
      <w:hyperlink r:id="rId48">
        <w:r w:rsidRPr="00322A32">
          <w:rPr>
            <w:rFonts w:ascii="Arial" w:hAnsi="Arial" w:cs="Arial"/>
            <w:u w:val="single"/>
          </w:rPr>
          <w:t>https://doi.org/10.1016/j.jbusres.2020.11.063</w:t>
        </w:r>
      </w:hyperlink>
    </w:p>
    <w:p w14:paraId="780A5955" w14:textId="77777777" w:rsidR="00316EC7" w:rsidRPr="00322A32" w:rsidRDefault="00316EC7" w:rsidP="00316EC7">
      <w:pPr>
        <w:ind w:left="567" w:hanging="567"/>
        <w:jc w:val="both"/>
        <w:rPr>
          <w:rFonts w:ascii="Arial" w:hAnsi="Arial" w:cs="Arial"/>
        </w:rPr>
      </w:pPr>
      <w:r w:rsidRPr="00322A32">
        <w:rPr>
          <w:rFonts w:ascii="Arial" w:eastAsia="Roboto" w:hAnsi="Arial" w:cs="Arial"/>
          <w:highlight w:val="white"/>
        </w:rPr>
        <w:t xml:space="preserve">Mahdi, M., </w:t>
      </w:r>
      <w:proofErr w:type="spellStart"/>
      <w:r w:rsidRPr="00322A32">
        <w:rPr>
          <w:rFonts w:ascii="Arial" w:eastAsia="Roboto" w:hAnsi="Arial" w:cs="Arial"/>
          <w:highlight w:val="white"/>
        </w:rPr>
        <w:t>Moridu</w:t>
      </w:r>
      <w:proofErr w:type="spellEnd"/>
      <w:r w:rsidRPr="00322A32">
        <w:rPr>
          <w:rFonts w:ascii="Arial" w:eastAsia="Roboto" w:hAnsi="Arial" w:cs="Arial"/>
          <w:highlight w:val="white"/>
        </w:rPr>
        <w:t xml:space="preserve">, I., Wibowo, T. S., Utama, A. S., </w:t>
      </w:r>
      <w:proofErr w:type="spellStart"/>
      <w:r w:rsidRPr="00322A32">
        <w:rPr>
          <w:rFonts w:ascii="Arial" w:eastAsia="Roboto" w:hAnsi="Arial" w:cs="Arial"/>
          <w:highlight w:val="white"/>
        </w:rPr>
        <w:t>Adinugroho</w:t>
      </w:r>
      <w:proofErr w:type="spellEnd"/>
      <w:r w:rsidRPr="00322A32">
        <w:rPr>
          <w:rFonts w:ascii="Arial" w:eastAsia="Roboto" w:hAnsi="Arial" w:cs="Arial"/>
          <w:highlight w:val="white"/>
        </w:rPr>
        <w:t xml:space="preserve">, I., &amp; Amalia, A. (2023). THE EFFECT OF PROFITABILITY MEDIATION ON INCREASING COMPANY VALUE THROUGH CORPORATE SOCIAL RESPONSIBILITY. International Journal of Economics, Business and Accounting Research (IJEBAR), 7(1). </w:t>
      </w:r>
      <w:hyperlink r:id="rId49">
        <w:r w:rsidRPr="00322A32">
          <w:rPr>
            <w:rFonts w:ascii="Arial" w:eastAsia="Roboto" w:hAnsi="Arial" w:cs="Arial"/>
            <w:highlight w:val="white"/>
            <w:u w:val="single"/>
          </w:rPr>
          <w:t>https://doi.org/10.29040/ijebar.v7i1.8414</w:t>
        </w:r>
      </w:hyperlink>
    </w:p>
    <w:p w14:paraId="40120A37" w14:textId="77777777" w:rsidR="00316EC7" w:rsidRPr="00322A32" w:rsidRDefault="00316EC7" w:rsidP="00316EC7">
      <w:pPr>
        <w:ind w:left="567" w:hanging="567"/>
        <w:jc w:val="both"/>
        <w:rPr>
          <w:rFonts w:ascii="Arial" w:hAnsi="Arial" w:cs="Arial"/>
        </w:rPr>
      </w:pPr>
      <w:r w:rsidRPr="00322A32">
        <w:rPr>
          <w:rFonts w:ascii="Arial" w:hAnsi="Arial" w:cs="Arial"/>
        </w:rPr>
        <w:t>Mahoney, L. S., Brickner, D. R., &amp; LaGore, W. (</w:t>
      </w:r>
      <w:bookmarkStart w:id="14" w:name="_Hlk219026122"/>
      <w:r w:rsidRPr="00322A32">
        <w:rPr>
          <w:rFonts w:ascii="Arial" w:hAnsi="Arial" w:cs="Arial"/>
        </w:rPr>
        <w:t>2021</w:t>
      </w:r>
      <w:bookmarkEnd w:id="14"/>
      <w:r w:rsidRPr="00322A32">
        <w:rPr>
          <w:rFonts w:ascii="Arial" w:hAnsi="Arial" w:cs="Arial"/>
        </w:rPr>
        <w:t xml:space="preserve">). The Influence of Corporate Social Responsibility on Firm Buybacks. In C. R. Baker (Ed.), Research on Professional Responsibility and Ethics in Accounting (Vol. 24, pp. 55–71). Emerald Publishing Limited. </w:t>
      </w:r>
      <w:hyperlink r:id="rId50" w:history="1">
        <w:r w:rsidRPr="00322A32">
          <w:rPr>
            <w:rStyle w:val="Hyperlink"/>
            <w:rFonts w:ascii="Arial" w:hAnsi="Arial" w:cs="Arial"/>
            <w:color w:val="auto"/>
          </w:rPr>
          <w:t>https://doi.org/10.1108/S1574-07652023003</w:t>
        </w:r>
      </w:hyperlink>
    </w:p>
    <w:p w14:paraId="0F1EAF08"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Marakova</w:t>
      </w:r>
      <w:proofErr w:type="spellEnd"/>
      <w:r w:rsidRPr="00322A32">
        <w:rPr>
          <w:rFonts w:ascii="Arial" w:hAnsi="Arial" w:cs="Arial"/>
        </w:rPr>
        <w:t xml:space="preserve">, V., Wolak-Tuzimek, A., &amp; </w:t>
      </w:r>
      <w:proofErr w:type="spellStart"/>
      <w:r w:rsidRPr="00322A32">
        <w:rPr>
          <w:rFonts w:ascii="Arial" w:hAnsi="Arial" w:cs="Arial"/>
        </w:rPr>
        <w:t>Tuckova</w:t>
      </w:r>
      <w:proofErr w:type="spellEnd"/>
      <w:r w:rsidRPr="00322A32">
        <w:rPr>
          <w:rFonts w:ascii="Arial" w:hAnsi="Arial" w:cs="Arial"/>
        </w:rPr>
        <w:t xml:space="preserve">, Z. (2021). Corporate Social Responsibility as a source of competitive advantage in large enterprises. Journal of Competitiveness, 13(1), 113–128. </w:t>
      </w:r>
      <w:hyperlink r:id="rId51" w:history="1">
        <w:r w:rsidRPr="00322A32">
          <w:rPr>
            <w:rStyle w:val="Hyperlink"/>
            <w:rFonts w:ascii="Arial" w:hAnsi="Arial" w:cs="Arial"/>
            <w:color w:val="auto"/>
          </w:rPr>
          <w:t>https://doi.org/10.7441/joc.2021.01.07</w:t>
        </w:r>
      </w:hyperlink>
    </w:p>
    <w:p w14:paraId="272D9196"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Mawarni</w:t>
      </w:r>
      <w:proofErr w:type="spellEnd"/>
      <w:r w:rsidRPr="00322A32">
        <w:rPr>
          <w:rFonts w:ascii="Arial" w:hAnsi="Arial" w:cs="Arial"/>
        </w:rPr>
        <w:t xml:space="preserve">, A. W., Dewi, F. G., &amp; Dharma, F. (2024). The effect of corporate governance on company value.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Ekonomi</w:t>
      </w:r>
      <w:proofErr w:type="spellEnd"/>
      <w:r w:rsidRPr="00322A32">
        <w:rPr>
          <w:rFonts w:ascii="Arial" w:hAnsi="Arial" w:cs="Arial"/>
        </w:rPr>
        <w:t xml:space="preserve"> </w:t>
      </w:r>
      <w:proofErr w:type="spellStart"/>
      <w:r w:rsidRPr="00322A32">
        <w:rPr>
          <w:rFonts w:ascii="Arial" w:hAnsi="Arial" w:cs="Arial"/>
        </w:rPr>
        <w:t>Manajemen</w:t>
      </w:r>
      <w:proofErr w:type="spellEnd"/>
      <w:r w:rsidRPr="00322A32">
        <w:rPr>
          <w:rFonts w:ascii="Arial" w:hAnsi="Arial" w:cs="Arial"/>
        </w:rPr>
        <w:t xml:space="preserve"> </w:t>
      </w:r>
      <w:proofErr w:type="spellStart"/>
      <w:r w:rsidRPr="00322A32">
        <w:rPr>
          <w:rFonts w:ascii="Arial" w:hAnsi="Arial" w:cs="Arial"/>
        </w:rPr>
        <w:t>Bisnis</w:t>
      </w:r>
      <w:proofErr w:type="spellEnd"/>
      <w:r w:rsidRPr="00322A32">
        <w:rPr>
          <w:rFonts w:ascii="Arial" w:hAnsi="Arial" w:cs="Arial"/>
        </w:rPr>
        <w:t xml:space="preserve"> Dan Akuntansi, 1(1), 16–24. </w:t>
      </w:r>
      <w:hyperlink r:id="rId52" w:history="1">
        <w:r w:rsidRPr="00322A32">
          <w:rPr>
            <w:rStyle w:val="Hyperlink"/>
            <w:rFonts w:ascii="Arial" w:hAnsi="Arial" w:cs="Arial"/>
            <w:color w:val="auto"/>
          </w:rPr>
          <w:t>https://doi.org/10.70895/jemba.v1i1.2</w:t>
        </w:r>
      </w:hyperlink>
    </w:p>
    <w:p w14:paraId="1A36EC81" w14:textId="77777777" w:rsidR="00316EC7" w:rsidRPr="00322A32" w:rsidRDefault="00316EC7" w:rsidP="00316EC7">
      <w:pPr>
        <w:ind w:left="567" w:hanging="567"/>
        <w:jc w:val="both"/>
        <w:rPr>
          <w:rFonts w:ascii="Arial" w:hAnsi="Arial" w:cs="Arial"/>
        </w:rPr>
      </w:pPr>
      <w:bookmarkStart w:id="15" w:name="_Hlk218971969"/>
      <w:r w:rsidRPr="00322A32">
        <w:rPr>
          <w:rFonts w:ascii="Arial" w:hAnsi="Arial" w:cs="Arial"/>
        </w:rPr>
        <w:t>Miller, M. H., &amp; Modigliani, F. (1961</w:t>
      </w:r>
      <w:bookmarkEnd w:id="15"/>
      <w:r w:rsidRPr="00322A32">
        <w:rPr>
          <w:rFonts w:ascii="Arial" w:hAnsi="Arial" w:cs="Arial"/>
        </w:rPr>
        <w:t xml:space="preserve">). Dividend Policy, Growth, and the Valuation of Shares. The Journal of Business, 34(4), 411–433. </w:t>
      </w:r>
      <w:hyperlink r:id="rId53" w:history="1">
        <w:r w:rsidRPr="00322A32">
          <w:rPr>
            <w:rStyle w:val="Hyperlink"/>
            <w:rFonts w:ascii="Arial" w:hAnsi="Arial" w:cs="Arial"/>
            <w:color w:val="auto"/>
          </w:rPr>
          <w:t>http://www.jstor.org/stable/2351143</w:t>
        </w:r>
      </w:hyperlink>
    </w:p>
    <w:p w14:paraId="481BCF81" w14:textId="77777777" w:rsidR="00316EC7" w:rsidRPr="00322A32" w:rsidRDefault="00316EC7" w:rsidP="00316EC7">
      <w:pPr>
        <w:ind w:left="567" w:hanging="567"/>
        <w:jc w:val="both"/>
        <w:rPr>
          <w:rFonts w:ascii="Arial" w:hAnsi="Arial" w:cs="Arial"/>
        </w:rPr>
      </w:pPr>
      <w:bookmarkStart w:id="16" w:name="_Hlk218886128"/>
      <w:r w:rsidRPr="00322A32">
        <w:rPr>
          <w:rFonts w:ascii="Arial" w:hAnsi="Arial" w:cs="Arial"/>
        </w:rPr>
        <w:t>Mitzy, S. E. M., &amp; Wijaya, H. (2025</w:t>
      </w:r>
      <w:bookmarkEnd w:id="16"/>
      <w:r w:rsidRPr="00322A32">
        <w:rPr>
          <w:rFonts w:ascii="Arial" w:hAnsi="Arial" w:cs="Arial"/>
        </w:rPr>
        <w:t>). The Effect of Sustainability Reporting, Corporate Social Responsibility, Profitability on Firm Value in the Consumer Non-Cyclicals Sector Listed on the Indonesia Stock Exchange in 2021-2023. </w:t>
      </w:r>
      <w:proofErr w:type="spellStart"/>
      <w:r w:rsidRPr="00322A32">
        <w:rPr>
          <w:rFonts w:ascii="Arial" w:hAnsi="Arial" w:cs="Arial"/>
        </w:rPr>
        <w:t>Jurnal</w:t>
      </w:r>
      <w:proofErr w:type="spellEnd"/>
      <w:r w:rsidRPr="00322A32">
        <w:rPr>
          <w:rFonts w:ascii="Arial" w:hAnsi="Arial" w:cs="Arial"/>
        </w:rPr>
        <w:t xml:space="preserve"> Economic Resource, 8(1).</w:t>
      </w:r>
    </w:p>
    <w:p w14:paraId="6DF45C01" w14:textId="77777777" w:rsidR="00316EC7" w:rsidRPr="00322A32" w:rsidRDefault="00316EC7" w:rsidP="00316EC7">
      <w:pPr>
        <w:ind w:left="567" w:hanging="567"/>
        <w:jc w:val="both"/>
        <w:rPr>
          <w:rFonts w:ascii="Arial" w:hAnsi="Arial" w:cs="Arial"/>
        </w:rPr>
      </w:pPr>
      <w:bookmarkStart w:id="17" w:name="_Hlk218973618"/>
      <w:r w:rsidRPr="00322A32">
        <w:rPr>
          <w:rFonts w:ascii="Arial" w:hAnsi="Arial" w:cs="Arial"/>
        </w:rPr>
        <w:t>Nguyen, H. C., &amp; Duong, H. K. (2025)</w:t>
      </w:r>
      <w:bookmarkEnd w:id="17"/>
      <w:r w:rsidRPr="00322A32">
        <w:rPr>
          <w:rFonts w:ascii="Arial" w:hAnsi="Arial" w:cs="Arial"/>
        </w:rPr>
        <w:t xml:space="preserve">. The impact of sustainability reporting on firm value, financial performance, and Risk: An empirical study of Vietnam’s listed companies. Journal of Management and Governance, 22(2), 108. </w:t>
      </w:r>
      <w:hyperlink r:id="rId54" w:history="1">
        <w:r w:rsidRPr="00322A32">
          <w:rPr>
            <w:rStyle w:val="Hyperlink"/>
            <w:rFonts w:ascii="Arial" w:hAnsi="Arial" w:cs="Arial"/>
            <w:color w:val="auto"/>
          </w:rPr>
          <w:t>https://doi.org/10.1007/s10997-025-09746-y</w:t>
        </w:r>
      </w:hyperlink>
    </w:p>
    <w:p w14:paraId="527A91E4" w14:textId="77777777" w:rsidR="00316EC7" w:rsidRPr="00322A32" w:rsidRDefault="00316EC7" w:rsidP="00316EC7">
      <w:pPr>
        <w:ind w:left="567" w:hanging="567"/>
        <w:jc w:val="both"/>
        <w:rPr>
          <w:rFonts w:ascii="Arial" w:hAnsi="Arial" w:cs="Arial"/>
        </w:rPr>
      </w:pPr>
      <w:r w:rsidRPr="00322A32">
        <w:rPr>
          <w:rFonts w:ascii="Arial" w:eastAsia="Arial" w:hAnsi="Arial" w:cs="Arial"/>
          <w:highlight w:val="white"/>
        </w:rPr>
        <w:t xml:space="preserve">Phung, T., &amp; Huynh, G. (2022). Impact of corporate social responsibility on brand equity with the mediating role of customer trust and customer participation - a case study in the </w:t>
      </w:r>
      <w:proofErr w:type="spellStart"/>
      <w:r w:rsidRPr="00322A32">
        <w:rPr>
          <w:rFonts w:ascii="Arial" w:eastAsia="Arial" w:hAnsi="Arial" w:cs="Arial"/>
          <w:highlight w:val="white"/>
        </w:rPr>
        <w:t>vietnamese</w:t>
      </w:r>
      <w:proofErr w:type="spellEnd"/>
      <w:r w:rsidRPr="00322A32">
        <w:rPr>
          <w:rFonts w:ascii="Arial" w:eastAsia="Arial" w:hAnsi="Arial" w:cs="Arial"/>
          <w:highlight w:val="white"/>
        </w:rPr>
        <w:t xml:space="preserve"> hotel industry. VNUHCM Journal of Economics - Law and Management, 6(3), 3327-3344. </w:t>
      </w:r>
      <w:hyperlink r:id="rId55">
        <w:r w:rsidRPr="00322A32">
          <w:rPr>
            <w:rFonts w:ascii="Arial" w:eastAsia="Arial" w:hAnsi="Arial" w:cs="Arial"/>
            <w:highlight w:val="white"/>
            <w:u w:val="single"/>
          </w:rPr>
          <w:t>https://doi.org/https://doi.org/10.32508/stdjelm.v6i3.1057</w:t>
        </w:r>
      </w:hyperlink>
    </w:p>
    <w:p w14:paraId="433BB7A9" w14:textId="77777777" w:rsidR="00316EC7" w:rsidRPr="00322A32" w:rsidRDefault="00316EC7" w:rsidP="00316EC7">
      <w:pPr>
        <w:ind w:left="567" w:hanging="567"/>
        <w:jc w:val="both"/>
        <w:rPr>
          <w:rFonts w:ascii="Arial" w:hAnsi="Arial" w:cs="Arial"/>
        </w:rPr>
      </w:pPr>
      <w:r w:rsidRPr="00322A32">
        <w:rPr>
          <w:rFonts w:ascii="Arial" w:hAnsi="Arial" w:cs="Arial"/>
        </w:rPr>
        <w:t xml:space="preserve">Pratiwi, P., </w:t>
      </w:r>
      <w:proofErr w:type="spellStart"/>
      <w:r w:rsidRPr="00322A32">
        <w:rPr>
          <w:rFonts w:ascii="Arial" w:hAnsi="Arial" w:cs="Arial"/>
        </w:rPr>
        <w:t>Ekawati</w:t>
      </w:r>
      <w:proofErr w:type="spellEnd"/>
      <w:r w:rsidRPr="00322A32">
        <w:rPr>
          <w:rFonts w:ascii="Arial" w:hAnsi="Arial" w:cs="Arial"/>
        </w:rPr>
        <w:t xml:space="preserve">, E., Kurniawan, M., &amp; </w:t>
      </w:r>
      <w:proofErr w:type="spellStart"/>
      <w:r w:rsidRPr="00322A32">
        <w:rPr>
          <w:rFonts w:ascii="Arial" w:hAnsi="Arial" w:cs="Arial"/>
        </w:rPr>
        <w:t>Restianita</w:t>
      </w:r>
      <w:proofErr w:type="spellEnd"/>
      <w:r w:rsidRPr="00322A32">
        <w:rPr>
          <w:rFonts w:ascii="Arial" w:hAnsi="Arial" w:cs="Arial"/>
        </w:rPr>
        <w:t xml:space="preserve">, O. (2021). </w:t>
      </w:r>
      <w:proofErr w:type="spellStart"/>
      <w:r w:rsidRPr="00322A32">
        <w:rPr>
          <w:rFonts w:ascii="Arial" w:hAnsi="Arial" w:cs="Arial"/>
        </w:rPr>
        <w:t>Pengaruh</w:t>
      </w:r>
      <w:proofErr w:type="spellEnd"/>
      <w:r w:rsidRPr="00322A32">
        <w:rPr>
          <w:rFonts w:ascii="Arial" w:hAnsi="Arial" w:cs="Arial"/>
        </w:rPr>
        <w:t xml:space="preserve"> </w:t>
      </w:r>
      <w:proofErr w:type="spellStart"/>
      <w:r w:rsidRPr="00322A32">
        <w:rPr>
          <w:rFonts w:ascii="Arial" w:hAnsi="Arial" w:cs="Arial"/>
        </w:rPr>
        <w:t>Pengungkapan</w:t>
      </w:r>
      <w:proofErr w:type="spellEnd"/>
      <w:r w:rsidRPr="00322A32">
        <w:rPr>
          <w:rFonts w:ascii="Arial" w:hAnsi="Arial" w:cs="Arial"/>
        </w:rPr>
        <w:t xml:space="preserve"> Corporate Social Responsibility (CSR) </w:t>
      </w:r>
      <w:proofErr w:type="spellStart"/>
      <w:r w:rsidRPr="00322A32">
        <w:rPr>
          <w:rFonts w:ascii="Arial" w:hAnsi="Arial" w:cs="Arial"/>
        </w:rPr>
        <w:t>Terhadap</w:t>
      </w:r>
      <w:proofErr w:type="spellEnd"/>
      <w:r w:rsidRPr="00322A32">
        <w:rPr>
          <w:rFonts w:ascii="Arial" w:hAnsi="Arial" w:cs="Arial"/>
        </w:rPr>
        <w:t xml:space="preserve"> </w:t>
      </w:r>
      <w:proofErr w:type="spellStart"/>
      <w:r w:rsidRPr="00322A32">
        <w:rPr>
          <w:rFonts w:ascii="Arial" w:hAnsi="Arial" w:cs="Arial"/>
        </w:rPr>
        <w:t>Kinerja</w:t>
      </w:r>
      <w:proofErr w:type="spellEnd"/>
      <w:r w:rsidRPr="00322A32">
        <w:rPr>
          <w:rFonts w:ascii="Arial" w:hAnsi="Arial" w:cs="Arial"/>
        </w:rPr>
        <w:t xml:space="preserve"> </w:t>
      </w:r>
      <w:proofErr w:type="spellStart"/>
      <w:r w:rsidRPr="00322A32">
        <w:rPr>
          <w:rFonts w:ascii="Arial" w:hAnsi="Arial" w:cs="Arial"/>
        </w:rPr>
        <w:t>Keuangan</w:t>
      </w:r>
      <w:proofErr w:type="spellEnd"/>
      <w:r w:rsidRPr="00322A32">
        <w:rPr>
          <w:rFonts w:ascii="Arial" w:hAnsi="Arial" w:cs="Arial"/>
        </w:rPr>
        <w:t xml:space="preserve"> Perusahaan </w:t>
      </w:r>
      <w:proofErr w:type="spellStart"/>
      <w:r w:rsidRPr="00322A32">
        <w:rPr>
          <w:rFonts w:ascii="Arial" w:hAnsi="Arial" w:cs="Arial"/>
        </w:rPr>
        <w:t>Dalam</w:t>
      </w:r>
      <w:proofErr w:type="spellEnd"/>
      <w:r w:rsidRPr="00322A32">
        <w:rPr>
          <w:rFonts w:ascii="Arial" w:hAnsi="Arial" w:cs="Arial"/>
        </w:rPr>
        <w:t xml:space="preserve"> </w:t>
      </w:r>
      <w:proofErr w:type="spellStart"/>
      <w:r w:rsidRPr="00322A32">
        <w:rPr>
          <w:rFonts w:ascii="Arial" w:hAnsi="Arial" w:cs="Arial"/>
        </w:rPr>
        <w:t>Perspektif</w:t>
      </w:r>
      <w:proofErr w:type="spellEnd"/>
      <w:r w:rsidRPr="00322A32">
        <w:rPr>
          <w:rFonts w:ascii="Arial" w:hAnsi="Arial" w:cs="Arial"/>
        </w:rPr>
        <w:t xml:space="preserve"> </w:t>
      </w:r>
      <w:proofErr w:type="spellStart"/>
      <w:r w:rsidRPr="00322A32">
        <w:rPr>
          <w:rFonts w:ascii="Arial" w:hAnsi="Arial" w:cs="Arial"/>
        </w:rPr>
        <w:t>Ekonomi</w:t>
      </w:r>
      <w:proofErr w:type="spellEnd"/>
      <w:r w:rsidRPr="00322A32">
        <w:rPr>
          <w:rFonts w:ascii="Arial" w:hAnsi="Arial" w:cs="Arial"/>
        </w:rPr>
        <w:t xml:space="preserve"> Islam. Al-Mal: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Akuntansi</w:t>
      </w:r>
      <w:proofErr w:type="spellEnd"/>
      <w:r w:rsidRPr="00322A32">
        <w:rPr>
          <w:rFonts w:ascii="Arial" w:hAnsi="Arial" w:cs="Arial"/>
        </w:rPr>
        <w:t xml:space="preserve"> dan </w:t>
      </w:r>
      <w:proofErr w:type="spellStart"/>
      <w:r w:rsidRPr="00322A32">
        <w:rPr>
          <w:rFonts w:ascii="Arial" w:hAnsi="Arial" w:cs="Arial"/>
        </w:rPr>
        <w:t>Keuangan</w:t>
      </w:r>
      <w:proofErr w:type="spellEnd"/>
      <w:r w:rsidRPr="00322A32">
        <w:rPr>
          <w:rFonts w:ascii="Arial" w:hAnsi="Arial" w:cs="Arial"/>
        </w:rPr>
        <w:t xml:space="preserve"> Islam, 2(2), 249-272.</w:t>
      </w:r>
    </w:p>
    <w:p w14:paraId="6501B472" w14:textId="77777777" w:rsidR="00316EC7" w:rsidRPr="00322A32" w:rsidRDefault="00316EC7" w:rsidP="00316EC7">
      <w:pPr>
        <w:ind w:left="567" w:hanging="567"/>
        <w:jc w:val="both"/>
        <w:rPr>
          <w:rFonts w:ascii="Arial" w:hAnsi="Arial" w:cs="Arial"/>
        </w:rPr>
      </w:pPr>
      <w:bookmarkStart w:id="18" w:name="_Hlk219027172"/>
      <w:r w:rsidRPr="00322A32">
        <w:rPr>
          <w:rFonts w:ascii="Arial" w:hAnsi="Arial" w:cs="Arial"/>
        </w:rPr>
        <w:t>Qiu</w:t>
      </w:r>
      <w:bookmarkEnd w:id="18"/>
      <w:r w:rsidRPr="00322A32">
        <w:rPr>
          <w:rFonts w:ascii="Arial" w:hAnsi="Arial" w:cs="Arial"/>
        </w:rPr>
        <w:t xml:space="preserve">, S. C., Jiang, J., Liu, X., Chen, M. H., &amp; Yuan, X. (2021). Can corporate social responsibility protect firm value during the COVID-19 </w:t>
      </w:r>
      <w:proofErr w:type="gramStart"/>
      <w:r w:rsidRPr="00322A32">
        <w:rPr>
          <w:rFonts w:ascii="Arial" w:hAnsi="Arial" w:cs="Arial"/>
        </w:rPr>
        <w:t>pandemic?.</w:t>
      </w:r>
      <w:proofErr w:type="gramEnd"/>
      <w:r w:rsidRPr="00322A32">
        <w:rPr>
          <w:rFonts w:ascii="Arial" w:hAnsi="Arial" w:cs="Arial"/>
        </w:rPr>
        <w:t> International Journal of Hospitality Management, 93, 102759.</w:t>
      </w:r>
    </w:p>
    <w:p w14:paraId="0D746264" w14:textId="77777777" w:rsidR="00316EC7" w:rsidRPr="00322A32" w:rsidRDefault="00316EC7" w:rsidP="00316EC7">
      <w:pPr>
        <w:ind w:left="567" w:hanging="567"/>
        <w:jc w:val="both"/>
        <w:rPr>
          <w:rFonts w:ascii="Arial" w:hAnsi="Arial" w:cs="Arial"/>
        </w:rPr>
      </w:pPr>
      <w:r w:rsidRPr="00233F40">
        <w:rPr>
          <w:rFonts w:ascii="Arial" w:hAnsi="Arial" w:cs="Arial"/>
        </w:rPr>
        <w:t xml:space="preserve">Qonita, F., </w:t>
      </w:r>
      <w:proofErr w:type="spellStart"/>
      <w:r w:rsidRPr="00233F40">
        <w:rPr>
          <w:rFonts w:ascii="Arial" w:hAnsi="Arial" w:cs="Arial"/>
        </w:rPr>
        <w:t>Moeljadi</w:t>
      </w:r>
      <w:proofErr w:type="spellEnd"/>
      <w:r w:rsidRPr="00233F40">
        <w:rPr>
          <w:rFonts w:ascii="Arial" w:hAnsi="Arial" w:cs="Arial"/>
        </w:rPr>
        <w:t xml:space="preserve">, M., &amp; Ratnawati, K. (2022). The influence of corporate social responsibility on firm value through corporate reputation and financial performance. International Journal of Environmental, Sustainability, and Social Science, 3(3), 691–701. </w:t>
      </w:r>
      <w:hyperlink r:id="rId56" w:history="1">
        <w:r w:rsidRPr="00233F40">
          <w:rPr>
            <w:rStyle w:val="Hyperlink"/>
            <w:rFonts w:ascii="Arial" w:hAnsi="Arial" w:cs="Arial"/>
            <w:color w:val="auto"/>
          </w:rPr>
          <w:t>https://doi.org/10.38142/ijesss.v3i3.271</w:t>
        </w:r>
      </w:hyperlink>
    </w:p>
    <w:p w14:paraId="44EF5C29"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Rahmania</w:t>
      </w:r>
      <w:proofErr w:type="spellEnd"/>
      <w:r w:rsidRPr="00322A32">
        <w:rPr>
          <w:rFonts w:ascii="Arial" w:hAnsi="Arial" w:cs="Arial"/>
        </w:rPr>
        <w:t xml:space="preserve">, T., </w:t>
      </w:r>
      <w:proofErr w:type="spellStart"/>
      <w:r w:rsidRPr="00322A32">
        <w:rPr>
          <w:rFonts w:ascii="Arial" w:hAnsi="Arial" w:cs="Arial"/>
        </w:rPr>
        <w:t>Ermawati</w:t>
      </w:r>
      <w:proofErr w:type="spellEnd"/>
      <w:r w:rsidRPr="00322A32">
        <w:rPr>
          <w:rFonts w:ascii="Arial" w:hAnsi="Arial" w:cs="Arial"/>
        </w:rPr>
        <w:t xml:space="preserve">, W. J., &amp; </w:t>
      </w:r>
      <w:proofErr w:type="spellStart"/>
      <w:r w:rsidRPr="00322A32">
        <w:rPr>
          <w:rFonts w:ascii="Arial" w:hAnsi="Arial" w:cs="Arial"/>
        </w:rPr>
        <w:t>Suprayitno</w:t>
      </w:r>
      <w:proofErr w:type="spellEnd"/>
      <w:r w:rsidRPr="00322A32">
        <w:rPr>
          <w:rFonts w:ascii="Arial" w:hAnsi="Arial" w:cs="Arial"/>
        </w:rPr>
        <w:t xml:space="preserve">, G. (2025). The impact of risk-based ESG scores, return on Asset (ROA) and return on equity (ROE) on firm value. MANAJEMEN IKM: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Manajemen</w:t>
      </w:r>
      <w:proofErr w:type="spellEnd"/>
      <w:r w:rsidRPr="00322A32">
        <w:rPr>
          <w:rFonts w:ascii="Arial" w:hAnsi="Arial" w:cs="Arial"/>
        </w:rPr>
        <w:t xml:space="preserve"> </w:t>
      </w:r>
      <w:proofErr w:type="spellStart"/>
      <w:r w:rsidRPr="00322A32">
        <w:rPr>
          <w:rFonts w:ascii="Arial" w:hAnsi="Arial" w:cs="Arial"/>
        </w:rPr>
        <w:t>Pengembangan</w:t>
      </w:r>
      <w:proofErr w:type="spellEnd"/>
      <w:r w:rsidRPr="00322A32">
        <w:rPr>
          <w:rFonts w:ascii="Arial" w:hAnsi="Arial" w:cs="Arial"/>
        </w:rPr>
        <w:t xml:space="preserve"> </w:t>
      </w:r>
      <w:proofErr w:type="spellStart"/>
      <w:r w:rsidRPr="00322A32">
        <w:rPr>
          <w:rFonts w:ascii="Arial" w:hAnsi="Arial" w:cs="Arial"/>
        </w:rPr>
        <w:t>Industri</w:t>
      </w:r>
      <w:proofErr w:type="spellEnd"/>
      <w:r w:rsidRPr="00322A32">
        <w:rPr>
          <w:rFonts w:ascii="Arial" w:hAnsi="Arial" w:cs="Arial"/>
        </w:rPr>
        <w:t xml:space="preserve"> Kecil </w:t>
      </w:r>
      <w:proofErr w:type="spellStart"/>
      <w:r w:rsidRPr="00322A32">
        <w:rPr>
          <w:rFonts w:ascii="Arial" w:hAnsi="Arial" w:cs="Arial"/>
        </w:rPr>
        <w:t>Menengah</w:t>
      </w:r>
      <w:proofErr w:type="spellEnd"/>
      <w:r w:rsidRPr="00322A32">
        <w:rPr>
          <w:rFonts w:ascii="Arial" w:hAnsi="Arial" w:cs="Arial"/>
        </w:rPr>
        <w:t xml:space="preserve">, 20(2), 167–179. </w:t>
      </w:r>
      <w:hyperlink r:id="rId57" w:history="1">
        <w:r w:rsidRPr="00322A32">
          <w:rPr>
            <w:rStyle w:val="Hyperlink"/>
            <w:rFonts w:ascii="Arial" w:hAnsi="Arial" w:cs="Arial"/>
            <w:color w:val="auto"/>
          </w:rPr>
          <w:t>https://doi.org/10.29244/mikm.20.2.167-179</w:t>
        </w:r>
      </w:hyperlink>
    </w:p>
    <w:p w14:paraId="2DAF75D3" w14:textId="77777777" w:rsidR="00316EC7" w:rsidRPr="00322A32" w:rsidRDefault="00316EC7" w:rsidP="00316EC7">
      <w:pPr>
        <w:ind w:left="567" w:hanging="567"/>
        <w:jc w:val="both"/>
        <w:rPr>
          <w:rFonts w:ascii="Arial" w:eastAsia="Roboto" w:hAnsi="Arial" w:cs="Arial"/>
          <w:highlight w:val="white"/>
        </w:rPr>
      </w:pPr>
      <w:r w:rsidRPr="00322A32">
        <w:rPr>
          <w:rFonts w:ascii="Arial" w:eastAsia="Roboto" w:hAnsi="Arial" w:cs="Arial"/>
          <w:highlight w:val="white"/>
        </w:rPr>
        <w:lastRenderedPageBreak/>
        <w:t xml:space="preserve">Rahmawati, R., </w:t>
      </w:r>
      <w:proofErr w:type="spellStart"/>
      <w:r w:rsidRPr="00322A32">
        <w:rPr>
          <w:rFonts w:ascii="Arial" w:eastAsia="Roboto" w:hAnsi="Arial" w:cs="Arial"/>
          <w:highlight w:val="white"/>
        </w:rPr>
        <w:t>Riyanti</w:t>
      </w:r>
      <w:proofErr w:type="spellEnd"/>
      <w:r w:rsidRPr="00322A32">
        <w:rPr>
          <w:rFonts w:ascii="Arial" w:eastAsia="Roboto" w:hAnsi="Arial" w:cs="Arial"/>
          <w:highlight w:val="white"/>
        </w:rPr>
        <w:t xml:space="preserve">, R., &amp; Yusuf, M. (2023). Can company size moderate corporate social responsibility disclosure effect on company profitability? evidence from mining industry. Journal of Enterprise and Development, 6(1), 86–96. </w:t>
      </w:r>
      <w:hyperlink r:id="rId58">
        <w:r w:rsidRPr="00322A32">
          <w:rPr>
            <w:rFonts w:ascii="Arial" w:eastAsia="Roboto" w:hAnsi="Arial" w:cs="Arial"/>
            <w:highlight w:val="white"/>
            <w:u w:val="single"/>
          </w:rPr>
          <w:t>https://doi.org/10.20414/jed.v6i1.8462</w:t>
        </w:r>
      </w:hyperlink>
    </w:p>
    <w:p w14:paraId="3F47ECD4"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Risal</w:t>
      </w:r>
      <w:proofErr w:type="spellEnd"/>
      <w:r w:rsidRPr="00322A32">
        <w:rPr>
          <w:rFonts w:ascii="Arial" w:hAnsi="Arial" w:cs="Arial"/>
        </w:rPr>
        <w:t xml:space="preserve">, </w:t>
      </w:r>
      <w:proofErr w:type="spellStart"/>
      <w:r w:rsidRPr="00322A32">
        <w:rPr>
          <w:rFonts w:ascii="Arial" w:hAnsi="Arial" w:cs="Arial"/>
        </w:rPr>
        <w:t>Syamsuddin</w:t>
      </w:r>
      <w:proofErr w:type="spellEnd"/>
      <w:r w:rsidRPr="00322A32">
        <w:rPr>
          <w:rFonts w:ascii="Arial" w:hAnsi="Arial" w:cs="Arial"/>
        </w:rPr>
        <w:t xml:space="preserve">, A., </w:t>
      </w:r>
      <w:proofErr w:type="spellStart"/>
      <w:r w:rsidRPr="00322A32">
        <w:rPr>
          <w:rFonts w:ascii="Arial" w:hAnsi="Arial" w:cs="Arial"/>
        </w:rPr>
        <w:t>Murniati</w:t>
      </w:r>
      <w:proofErr w:type="spellEnd"/>
      <w:r w:rsidRPr="00322A32">
        <w:rPr>
          <w:rFonts w:ascii="Arial" w:hAnsi="Arial" w:cs="Arial"/>
        </w:rPr>
        <w:t xml:space="preserve">, S., &amp; Nur, A. N. (2025). CSR, GCG and company size impact on profitability and company value.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Ekonomi</w:t>
      </w:r>
      <w:proofErr w:type="spellEnd"/>
      <w:r w:rsidRPr="00322A32">
        <w:rPr>
          <w:rFonts w:ascii="Arial" w:hAnsi="Arial" w:cs="Arial"/>
        </w:rPr>
        <w:t xml:space="preserve">, 30(1), 19–47. </w:t>
      </w:r>
      <w:hyperlink r:id="rId59">
        <w:r w:rsidRPr="00322A32">
          <w:rPr>
            <w:rFonts w:ascii="Arial" w:hAnsi="Arial" w:cs="Arial"/>
            <w:u w:val="single"/>
          </w:rPr>
          <w:t>https://doi.org/10.24912/je.v30i1.2645</w:t>
        </w:r>
      </w:hyperlink>
    </w:p>
    <w:p w14:paraId="45555E4D" w14:textId="77777777" w:rsidR="00316EC7" w:rsidRPr="00322A32" w:rsidRDefault="00316EC7" w:rsidP="00316EC7">
      <w:pPr>
        <w:ind w:left="567" w:hanging="567"/>
        <w:jc w:val="both"/>
        <w:rPr>
          <w:rFonts w:ascii="Arial" w:hAnsi="Arial" w:cs="Arial"/>
        </w:rPr>
      </w:pPr>
      <w:r w:rsidRPr="00322A32">
        <w:rPr>
          <w:rFonts w:ascii="Arial" w:hAnsi="Arial" w:cs="Arial"/>
        </w:rPr>
        <w:t xml:space="preserve">Saeidi, S. P., Sofian, S., Saeidi, P., Saeidi, S. P., &amp; </w:t>
      </w:r>
      <w:proofErr w:type="spellStart"/>
      <w:r w:rsidRPr="00322A32">
        <w:rPr>
          <w:rFonts w:ascii="Arial" w:hAnsi="Arial" w:cs="Arial"/>
        </w:rPr>
        <w:t>Saaeidi</w:t>
      </w:r>
      <w:proofErr w:type="spellEnd"/>
      <w:r w:rsidRPr="00322A32">
        <w:rPr>
          <w:rFonts w:ascii="Arial" w:hAnsi="Arial" w:cs="Arial"/>
        </w:rPr>
        <w:t xml:space="preserve">, S. A. (2015). How does corporate social responsibility contribute to firm financial performance? the mediating role of competitive advantage, reputation, and customer satisfaction. Journal of Business Research, 68(2), 341–350. </w:t>
      </w:r>
      <w:hyperlink r:id="rId60" w:history="1">
        <w:r w:rsidRPr="00322A32">
          <w:rPr>
            <w:rStyle w:val="Hyperlink"/>
            <w:rFonts w:ascii="Arial" w:hAnsi="Arial" w:cs="Arial"/>
            <w:color w:val="auto"/>
          </w:rPr>
          <w:t>https://doi.org/10.1016/j.jbusres.2014.06.024</w:t>
        </w:r>
      </w:hyperlink>
    </w:p>
    <w:p w14:paraId="770F8F47" w14:textId="77777777" w:rsidR="00316EC7" w:rsidRPr="00322A32" w:rsidRDefault="00316EC7" w:rsidP="00316EC7">
      <w:pPr>
        <w:ind w:left="567" w:hanging="567"/>
        <w:jc w:val="both"/>
        <w:rPr>
          <w:rFonts w:ascii="Arial" w:hAnsi="Arial" w:cs="Arial"/>
        </w:rPr>
      </w:pPr>
      <w:r w:rsidRPr="001447DC">
        <w:rPr>
          <w:rFonts w:ascii="Arial" w:hAnsi="Arial" w:cs="Arial"/>
        </w:rPr>
        <w:t xml:space="preserve">Saputra, D., &amp; Yanti, Y. (2025). Profitability and financial decisions on firm value: Moderating role of firm size. International Journal of Application on Economics and Business, 3(2), 812–822. </w:t>
      </w:r>
      <w:hyperlink r:id="rId61" w:history="1">
        <w:r w:rsidRPr="001447DC">
          <w:rPr>
            <w:rStyle w:val="Hyperlink"/>
            <w:rFonts w:ascii="Arial" w:hAnsi="Arial" w:cs="Arial"/>
            <w:color w:val="auto"/>
          </w:rPr>
          <w:t>https://doi.org/10.24912/ijaeb.v3i2.812-822</w:t>
        </w:r>
      </w:hyperlink>
    </w:p>
    <w:p w14:paraId="2AF898CC" w14:textId="77777777" w:rsidR="00316EC7" w:rsidRPr="00322A32" w:rsidRDefault="00316EC7" w:rsidP="00316EC7">
      <w:pPr>
        <w:ind w:left="567" w:hanging="567"/>
        <w:jc w:val="both"/>
        <w:rPr>
          <w:rFonts w:ascii="Arial" w:hAnsi="Arial" w:cs="Arial"/>
        </w:rPr>
      </w:pPr>
      <w:r w:rsidRPr="00322A32">
        <w:rPr>
          <w:rFonts w:ascii="Arial" w:hAnsi="Arial" w:cs="Arial"/>
        </w:rPr>
        <w:t xml:space="preserve">Sari, B. M., </w:t>
      </w:r>
      <w:proofErr w:type="spellStart"/>
      <w:r w:rsidRPr="00322A32">
        <w:rPr>
          <w:rFonts w:ascii="Arial" w:hAnsi="Arial" w:cs="Arial"/>
        </w:rPr>
        <w:t>Nirwana</w:t>
      </w:r>
      <w:proofErr w:type="spellEnd"/>
      <w:r w:rsidRPr="00322A32">
        <w:rPr>
          <w:rFonts w:ascii="Arial" w:hAnsi="Arial" w:cs="Arial"/>
        </w:rPr>
        <w:t xml:space="preserve">, P. R., </w:t>
      </w:r>
      <w:proofErr w:type="spellStart"/>
      <w:r w:rsidRPr="00322A32">
        <w:rPr>
          <w:rFonts w:ascii="Arial" w:hAnsi="Arial" w:cs="Arial"/>
        </w:rPr>
        <w:t>Nikmah</w:t>
      </w:r>
      <w:proofErr w:type="spellEnd"/>
      <w:r w:rsidRPr="00322A32">
        <w:rPr>
          <w:rFonts w:ascii="Arial" w:hAnsi="Arial" w:cs="Arial"/>
        </w:rPr>
        <w:t xml:space="preserve">, B. A. L., &amp; </w:t>
      </w:r>
      <w:proofErr w:type="spellStart"/>
      <w:r w:rsidRPr="00322A32">
        <w:rPr>
          <w:rFonts w:ascii="Arial" w:hAnsi="Arial" w:cs="Arial"/>
        </w:rPr>
        <w:t>Hwihanus</w:t>
      </w:r>
      <w:proofErr w:type="spellEnd"/>
      <w:r w:rsidRPr="00322A32">
        <w:rPr>
          <w:rFonts w:ascii="Arial" w:hAnsi="Arial" w:cs="Arial"/>
        </w:rPr>
        <w:t xml:space="preserve">, H. (2024). A Literature Review of Corporate Social Responsibility Implementation in the Manufacturing Industry: Impact on Financial and Environmental Performance. Sustainable Business Accounting and Management Review, 6(2), 13-20. </w:t>
      </w:r>
      <w:hyperlink r:id="rId62" w:history="1">
        <w:r w:rsidRPr="00322A32">
          <w:rPr>
            <w:rStyle w:val="Hyperlink"/>
            <w:rFonts w:ascii="Arial" w:hAnsi="Arial" w:cs="Arial"/>
            <w:color w:val="auto"/>
          </w:rPr>
          <w:t>https://doi.org/10.61656/sbamr.v6i2.213</w:t>
        </w:r>
      </w:hyperlink>
    </w:p>
    <w:p w14:paraId="1E0A8348" w14:textId="77777777" w:rsidR="00316EC7" w:rsidRPr="00322A32" w:rsidRDefault="00316EC7" w:rsidP="00316EC7">
      <w:pPr>
        <w:ind w:left="567" w:hanging="567"/>
        <w:jc w:val="both"/>
        <w:rPr>
          <w:rFonts w:ascii="Arial" w:hAnsi="Arial" w:cs="Arial"/>
        </w:rPr>
      </w:pPr>
      <w:bookmarkStart w:id="19" w:name="_Hlk218973855"/>
      <w:proofErr w:type="spellStart"/>
      <w:r w:rsidRPr="00322A32">
        <w:rPr>
          <w:rFonts w:ascii="Arial" w:hAnsi="Arial" w:cs="Arial"/>
        </w:rPr>
        <w:t>Sayekti</w:t>
      </w:r>
      <w:proofErr w:type="spellEnd"/>
      <w:r w:rsidRPr="00322A32">
        <w:rPr>
          <w:rFonts w:ascii="Arial" w:hAnsi="Arial" w:cs="Arial"/>
        </w:rPr>
        <w:t>, Y. (2017</w:t>
      </w:r>
      <w:bookmarkEnd w:id="19"/>
      <w:r w:rsidRPr="00322A32">
        <w:rPr>
          <w:rFonts w:ascii="Arial" w:hAnsi="Arial" w:cs="Arial"/>
        </w:rPr>
        <w:t xml:space="preserve">). The effect of Slack Resources on Strategic Corporate Social Responsibility (CSR): Empirical evidence on Indonesian listed companies. GATR Global Journal of Business Social Sciences Review, 5(2), 70–75. </w:t>
      </w:r>
      <w:hyperlink r:id="rId63" w:history="1">
        <w:r w:rsidRPr="00322A32">
          <w:rPr>
            <w:rStyle w:val="Hyperlink"/>
            <w:rFonts w:ascii="Arial" w:hAnsi="Arial" w:cs="Arial"/>
            <w:color w:val="auto"/>
          </w:rPr>
          <w:t>https://doi.org/10.35609/gjbssr.2017.5.2(12)</w:t>
        </w:r>
      </w:hyperlink>
    </w:p>
    <w:p w14:paraId="145B2B57" w14:textId="77777777" w:rsidR="00316EC7" w:rsidRPr="00322A32" w:rsidRDefault="00316EC7" w:rsidP="00316EC7">
      <w:pPr>
        <w:ind w:left="567" w:hanging="567"/>
        <w:jc w:val="both"/>
        <w:rPr>
          <w:rFonts w:ascii="Arial" w:hAnsi="Arial" w:cs="Arial"/>
        </w:rPr>
      </w:pPr>
      <w:bookmarkStart w:id="20" w:name="_Hlk219028001"/>
      <w:proofErr w:type="spellStart"/>
      <w:r w:rsidRPr="00322A32">
        <w:rPr>
          <w:rFonts w:ascii="Arial" w:hAnsi="Arial" w:cs="Arial"/>
        </w:rPr>
        <w:t>Septiany</w:t>
      </w:r>
      <w:bookmarkEnd w:id="20"/>
      <w:proofErr w:type="spellEnd"/>
      <w:r w:rsidRPr="00322A32">
        <w:rPr>
          <w:rFonts w:ascii="Arial" w:hAnsi="Arial" w:cs="Arial"/>
        </w:rPr>
        <w:t xml:space="preserve">, S., </w:t>
      </w:r>
      <w:proofErr w:type="spellStart"/>
      <w:r w:rsidRPr="00322A32">
        <w:rPr>
          <w:rFonts w:ascii="Arial" w:hAnsi="Arial" w:cs="Arial"/>
        </w:rPr>
        <w:t>Jurnali</w:t>
      </w:r>
      <w:proofErr w:type="spellEnd"/>
      <w:r w:rsidRPr="00322A32">
        <w:rPr>
          <w:rFonts w:ascii="Arial" w:hAnsi="Arial" w:cs="Arial"/>
        </w:rPr>
        <w:t>, T., Antonia Sim, C., Suparman, M., &amp; Wati, E. (2026). Strengthening transparency and performance: The role of independent commissioners in enhancing CSR disclosure’s impact on firm performance.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Siasat</w:t>
      </w:r>
      <w:proofErr w:type="spellEnd"/>
      <w:r w:rsidRPr="00322A32">
        <w:rPr>
          <w:rFonts w:ascii="Arial" w:hAnsi="Arial" w:cs="Arial"/>
        </w:rPr>
        <w:t xml:space="preserve"> </w:t>
      </w:r>
      <w:proofErr w:type="spellStart"/>
      <w:r w:rsidRPr="00322A32">
        <w:rPr>
          <w:rFonts w:ascii="Arial" w:hAnsi="Arial" w:cs="Arial"/>
        </w:rPr>
        <w:t>Bisnis</w:t>
      </w:r>
      <w:proofErr w:type="spellEnd"/>
      <w:r w:rsidRPr="00322A32">
        <w:rPr>
          <w:rFonts w:ascii="Arial" w:hAnsi="Arial" w:cs="Arial"/>
        </w:rPr>
        <w:t xml:space="preserve">, 30(1), 1–17. </w:t>
      </w:r>
      <w:hyperlink r:id="rId64" w:history="1">
        <w:r w:rsidRPr="00322A32">
          <w:rPr>
            <w:rStyle w:val="Hyperlink"/>
            <w:rFonts w:ascii="Arial" w:hAnsi="Arial" w:cs="Arial"/>
            <w:color w:val="auto"/>
          </w:rPr>
          <w:t>https://doi.org/10.20885/jsb.vol30.iss1.art1</w:t>
        </w:r>
      </w:hyperlink>
    </w:p>
    <w:p w14:paraId="089A5557" w14:textId="77777777" w:rsidR="00316EC7" w:rsidRPr="00322A32" w:rsidRDefault="00316EC7" w:rsidP="00316EC7">
      <w:pPr>
        <w:ind w:left="567" w:hanging="567"/>
        <w:jc w:val="both"/>
        <w:rPr>
          <w:rFonts w:ascii="Arial" w:hAnsi="Arial" w:cs="Arial"/>
        </w:rPr>
      </w:pPr>
      <w:bookmarkStart w:id="21" w:name="_Hlk219025738"/>
      <w:r w:rsidRPr="00322A32">
        <w:rPr>
          <w:rFonts w:ascii="Arial" w:hAnsi="Arial" w:cs="Arial"/>
        </w:rPr>
        <w:t>Servera-Francés, D., &amp; Piqueras-Tomás, L. (2019</w:t>
      </w:r>
      <w:bookmarkEnd w:id="21"/>
      <w:r w:rsidRPr="00322A32">
        <w:rPr>
          <w:rFonts w:ascii="Arial" w:hAnsi="Arial" w:cs="Arial"/>
        </w:rPr>
        <w:t>). The effects of corporate social responsibility on consumer loyalty through consumer perceived value. Economic Research-</w:t>
      </w:r>
      <w:proofErr w:type="spellStart"/>
      <w:r w:rsidRPr="00322A32">
        <w:rPr>
          <w:rFonts w:ascii="Arial" w:hAnsi="Arial" w:cs="Arial"/>
        </w:rPr>
        <w:t>Ekonomska</w:t>
      </w:r>
      <w:proofErr w:type="spellEnd"/>
      <w:r w:rsidRPr="00322A32">
        <w:rPr>
          <w:rFonts w:ascii="Arial" w:hAnsi="Arial" w:cs="Arial"/>
        </w:rPr>
        <w:t xml:space="preserve"> </w:t>
      </w:r>
      <w:proofErr w:type="spellStart"/>
      <w:r w:rsidRPr="00322A32">
        <w:rPr>
          <w:rFonts w:ascii="Arial" w:hAnsi="Arial" w:cs="Arial"/>
        </w:rPr>
        <w:t>Istraživanja</w:t>
      </w:r>
      <w:proofErr w:type="spellEnd"/>
      <w:r w:rsidRPr="00322A32">
        <w:rPr>
          <w:rFonts w:ascii="Arial" w:hAnsi="Arial" w:cs="Arial"/>
        </w:rPr>
        <w:t xml:space="preserve">, 32(1), 66–84. </w:t>
      </w:r>
      <w:hyperlink r:id="rId65" w:history="1">
        <w:r w:rsidRPr="00322A32">
          <w:rPr>
            <w:rStyle w:val="Hyperlink"/>
            <w:rFonts w:ascii="Arial" w:hAnsi="Arial" w:cs="Arial"/>
            <w:color w:val="auto"/>
          </w:rPr>
          <w:t>https://doi.org/10.1080/1331677X.2018.1547202</w:t>
        </w:r>
      </w:hyperlink>
    </w:p>
    <w:p w14:paraId="23C8AEF1" w14:textId="77777777" w:rsidR="00316EC7" w:rsidRPr="00322A32" w:rsidRDefault="00316EC7" w:rsidP="00316EC7">
      <w:pPr>
        <w:ind w:left="567" w:hanging="567"/>
        <w:jc w:val="both"/>
        <w:rPr>
          <w:rFonts w:ascii="Arial" w:hAnsi="Arial" w:cs="Arial"/>
        </w:rPr>
      </w:pPr>
      <w:bookmarkStart w:id="22" w:name="_Hlk219026036"/>
      <w:r w:rsidRPr="00322A32">
        <w:rPr>
          <w:rFonts w:ascii="Arial" w:hAnsi="Arial" w:cs="Arial"/>
        </w:rPr>
        <w:t>Shao, J., Dai, J., Paulraj, A., Lai, K. H., &amp; Shou, Y. (2023)</w:t>
      </w:r>
      <w:bookmarkEnd w:id="22"/>
      <w:r w:rsidRPr="00322A32">
        <w:rPr>
          <w:rFonts w:ascii="Arial" w:hAnsi="Arial" w:cs="Arial"/>
        </w:rPr>
        <w:t>. Innovation as a differentiation strategy: Its differential substitution effects on corporate social responsibility. IEEE Transactions on Engineering Management, 71, 6770-6783.</w:t>
      </w:r>
    </w:p>
    <w:p w14:paraId="64EC2033" w14:textId="77777777" w:rsidR="00316EC7" w:rsidRPr="00322A32" w:rsidRDefault="00316EC7" w:rsidP="00316EC7">
      <w:pPr>
        <w:ind w:left="567" w:hanging="567"/>
        <w:jc w:val="both"/>
        <w:rPr>
          <w:rFonts w:ascii="Arial" w:hAnsi="Arial" w:cs="Arial"/>
        </w:rPr>
      </w:pPr>
      <w:r w:rsidRPr="00322A32">
        <w:rPr>
          <w:rFonts w:ascii="Arial" w:hAnsi="Arial" w:cs="Arial"/>
        </w:rPr>
        <w:t xml:space="preserve">Sharma, R., Sachdeva, T., Sharma, R., Riyadh, H. A., Tabash, M. I., &amp; Bansal, R. (2025). Traversing Corporate Governance: Assessing Internal Mechanisms and Financial Performance in Evolving Landscape. Journal of Governance and Regulation, 14(2 Special Issue), 288–298. </w:t>
      </w:r>
      <w:hyperlink r:id="rId66" w:history="1">
        <w:r w:rsidRPr="00322A32">
          <w:rPr>
            <w:rStyle w:val="Hyperlink"/>
            <w:rFonts w:ascii="Arial" w:hAnsi="Arial" w:cs="Arial"/>
            <w:color w:val="auto"/>
          </w:rPr>
          <w:t>https://doi.org/10.22495/jgrv14i2siart7</w:t>
        </w:r>
      </w:hyperlink>
    </w:p>
    <w:p w14:paraId="519C3DC3"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Sitohang</w:t>
      </w:r>
      <w:proofErr w:type="spellEnd"/>
      <w:r w:rsidRPr="00322A32">
        <w:rPr>
          <w:rFonts w:ascii="Arial" w:hAnsi="Arial" w:cs="Arial"/>
        </w:rPr>
        <w:t xml:space="preserve">, A., Syah, D. H., &amp; </w:t>
      </w:r>
      <w:proofErr w:type="spellStart"/>
      <w:r w:rsidRPr="00322A32">
        <w:rPr>
          <w:rFonts w:ascii="Arial" w:hAnsi="Arial" w:cs="Arial"/>
        </w:rPr>
        <w:t>Sibarani</w:t>
      </w:r>
      <w:proofErr w:type="spellEnd"/>
      <w:r w:rsidRPr="00322A32">
        <w:rPr>
          <w:rFonts w:ascii="Arial" w:hAnsi="Arial" w:cs="Arial"/>
        </w:rPr>
        <w:t xml:space="preserve">, C. G. (2023). The Relationship Between Information Asymmetry, Media Exposure, Capital Structure, Firm Growth, CSR and Firm Value. JRAK, 15(1), 129–139. </w:t>
      </w:r>
      <w:hyperlink r:id="rId67">
        <w:r w:rsidRPr="00322A32">
          <w:rPr>
            <w:rFonts w:ascii="Arial" w:hAnsi="Arial" w:cs="Arial"/>
            <w:u w:val="single"/>
          </w:rPr>
          <w:t>https://doi.org/10.23969/jrak.v15i1.6745</w:t>
        </w:r>
      </w:hyperlink>
    </w:p>
    <w:p w14:paraId="71FA37A1" w14:textId="77777777" w:rsidR="00316EC7" w:rsidRPr="00322A32" w:rsidRDefault="00316EC7" w:rsidP="00316EC7">
      <w:pPr>
        <w:ind w:left="567" w:hanging="567"/>
        <w:jc w:val="both"/>
        <w:rPr>
          <w:rFonts w:ascii="Arial" w:hAnsi="Arial" w:cs="Arial"/>
        </w:rPr>
      </w:pPr>
      <w:bookmarkStart w:id="23" w:name="_Hlk219027201"/>
      <w:proofErr w:type="spellStart"/>
      <w:r w:rsidRPr="00322A32">
        <w:rPr>
          <w:rFonts w:ascii="Arial" w:hAnsi="Arial" w:cs="Arial"/>
        </w:rPr>
        <w:t>Situngkir</w:t>
      </w:r>
      <w:bookmarkEnd w:id="23"/>
      <w:proofErr w:type="spellEnd"/>
      <w:r w:rsidRPr="00322A32">
        <w:rPr>
          <w:rFonts w:ascii="Arial" w:hAnsi="Arial" w:cs="Arial"/>
        </w:rPr>
        <w:t>, H. (2024). The Role of Corporate Social Responsibility in Enhancing Company Value: Evidence from Sustainable Companies. Journal of Energy and Environmental Policy Options, 7(2), 17-27.</w:t>
      </w:r>
    </w:p>
    <w:p w14:paraId="27351ADE" w14:textId="77777777" w:rsidR="00316EC7" w:rsidRPr="00322A32" w:rsidRDefault="00316EC7" w:rsidP="00316EC7">
      <w:pPr>
        <w:ind w:left="567" w:hanging="567"/>
        <w:jc w:val="both"/>
        <w:rPr>
          <w:rFonts w:ascii="Arial" w:hAnsi="Arial" w:cs="Arial"/>
        </w:rPr>
      </w:pPr>
      <w:r w:rsidRPr="00322A32">
        <w:rPr>
          <w:rFonts w:ascii="Arial" w:hAnsi="Arial" w:cs="Arial"/>
        </w:rPr>
        <w:t xml:space="preserve">Spence, M. (1978). Job Market Signaling. Uncertainty in Economics, 281–306. </w:t>
      </w:r>
      <w:hyperlink r:id="rId68" w:history="1">
        <w:r w:rsidRPr="00322A32">
          <w:rPr>
            <w:rStyle w:val="Hyperlink"/>
            <w:rFonts w:ascii="Arial" w:hAnsi="Arial" w:cs="Arial"/>
            <w:color w:val="auto"/>
          </w:rPr>
          <w:t>https://doi.org/10.1016/b978-0-12-214850-7.50025-5</w:t>
        </w:r>
      </w:hyperlink>
    </w:p>
    <w:p w14:paraId="3B548865" w14:textId="77777777" w:rsidR="00316EC7" w:rsidRPr="00322A32" w:rsidRDefault="00316EC7" w:rsidP="00316EC7">
      <w:pPr>
        <w:ind w:left="567" w:hanging="567"/>
        <w:jc w:val="both"/>
        <w:rPr>
          <w:rFonts w:ascii="Arial" w:eastAsia="Roboto" w:hAnsi="Arial" w:cs="Arial"/>
          <w:highlight w:val="white"/>
        </w:rPr>
      </w:pPr>
      <w:r w:rsidRPr="00322A32">
        <w:rPr>
          <w:rFonts w:ascii="Arial" w:eastAsia="Roboto" w:hAnsi="Arial" w:cs="Arial"/>
          <w:highlight w:val="white"/>
        </w:rPr>
        <w:t xml:space="preserve">Srivastava, V. K. (2024). Impact of corporate social responsibility (CSR) initiatives on Brand Reputation: A study on how CSR activities enhance brand reputation and consumer loyalty in the context of sustainable marketing practices. International Journal of Science and Research Archive, 13(1), 1910–1930. </w:t>
      </w:r>
      <w:hyperlink r:id="rId69">
        <w:r w:rsidRPr="00322A32">
          <w:rPr>
            <w:rFonts w:ascii="Arial" w:eastAsia="Roboto" w:hAnsi="Arial" w:cs="Arial"/>
            <w:highlight w:val="white"/>
            <w:u w:val="single"/>
          </w:rPr>
          <w:t>https://doi.org/10.30574/ijsra.2024.13.1.1869</w:t>
        </w:r>
      </w:hyperlink>
    </w:p>
    <w:p w14:paraId="35016B0D" w14:textId="77777777" w:rsidR="00316EC7" w:rsidRPr="00322A32" w:rsidRDefault="00316EC7" w:rsidP="00316EC7">
      <w:pPr>
        <w:ind w:left="567" w:hanging="567"/>
        <w:jc w:val="both"/>
        <w:rPr>
          <w:rFonts w:ascii="Arial" w:hAnsi="Arial" w:cs="Arial"/>
        </w:rPr>
      </w:pPr>
      <w:bookmarkStart w:id="24" w:name="_Hlk218972840"/>
      <w:r w:rsidRPr="00322A32">
        <w:rPr>
          <w:rFonts w:ascii="Arial" w:hAnsi="Arial" w:cs="Arial"/>
        </w:rPr>
        <w:t xml:space="preserve">Suhartini, D., Tjahjadi, B., &amp; </w:t>
      </w:r>
      <w:proofErr w:type="spellStart"/>
      <w:r w:rsidRPr="00322A32">
        <w:rPr>
          <w:rFonts w:ascii="Arial" w:hAnsi="Arial" w:cs="Arial"/>
        </w:rPr>
        <w:t>Fayanni</w:t>
      </w:r>
      <w:proofErr w:type="spellEnd"/>
      <w:r w:rsidRPr="00322A32">
        <w:rPr>
          <w:rFonts w:ascii="Arial" w:hAnsi="Arial" w:cs="Arial"/>
        </w:rPr>
        <w:t>, Y. (2024</w:t>
      </w:r>
      <w:bookmarkEnd w:id="24"/>
      <w:r w:rsidRPr="00322A32">
        <w:rPr>
          <w:rFonts w:ascii="Arial" w:hAnsi="Arial" w:cs="Arial"/>
        </w:rPr>
        <w:t xml:space="preserve">). Impact of sustainability reporting and governance on firm value: insights from the Indonesian manufacturing sector. Cogent </w:t>
      </w:r>
      <w:r w:rsidRPr="00322A32">
        <w:rPr>
          <w:rFonts w:ascii="Arial" w:hAnsi="Arial" w:cs="Arial"/>
        </w:rPr>
        <w:lastRenderedPageBreak/>
        <w:t>Business and Management, 11(1), Article 2381087. </w:t>
      </w:r>
      <w:hyperlink r:id="rId70" w:history="1">
        <w:r w:rsidRPr="00322A32">
          <w:rPr>
            <w:rStyle w:val="Hyperlink"/>
            <w:rFonts w:ascii="Arial" w:hAnsi="Arial" w:cs="Arial"/>
            <w:color w:val="auto"/>
          </w:rPr>
          <w:t>https://doi.org/10.1080/23311975.2024.2381087</w:t>
        </w:r>
      </w:hyperlink>
    </w:p>
    <w:p w14:paraId="12749BD4"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Suprapto</w:t>
      </w:r>
      <w:proofErr w:type="spellEnd"/>
      <w:r w:rsidRPr="00322A32">
        <w:rPr>
          <w:rFonts w:ascii="Arial" w:hAnsi="Arial" w:cs="Arial"/>
        </w:rPr>
        <w:t xml:space="preserve">, Y., Agustin, I. N., &amp; Putri, A. A. (2025). Does profitability matter? the dual role of Roa and Roe in the ESG–firm value relationship. Journal of Enterprise and Development, 7(2), 358–369. </w:t>
      </w:r>
      <w:hyperlink r:id="rId71" w:history="1">
        <w:r w:rsidRPr="00322A32">
          <w:rPr>
            <w:rStyle w:val="Hyperlink"/>
            <w:rFonts w:ascii="Arial" w:hAnsi="Arial" w:cs="Arial"/>
            <w:color w:val="auto"/>
          </w:rPr>
          <w:t>https://doi.org/10.20414/jed.v7i2.13447</w:t>
        </w:r>
      </w:hyperlink>
    </w:p>
    <w:p w14:paraId="1E8AE025" w14:textId="77777777" w:rsidR="00316EC7" w:rsidRPr="00322A32" w:rsidRDefault="00316EC7" w:rsidP="00316EC7">
      <w:pPr>
        <w:ind w:left="567" w:hanging="567"/>
        <w:jc w:val="both"/>
        <w:rPr>
          <w:rFonts w:ascii="Arial" w:hAnsi="Arial" w:cs="Arial"/>
        </w:rPr>
      </w:pPr>
      <w:bookmarkStart w:id="25" w:name="_Hlk218973550"/>
      <w:proofErr w:type="spellStart"/>
      <w:r w:rsidRPr="00322A32">
        <w:rPr>
          <w:rFonts w:ascii="Arial" w:hAnsi="Arial" w:cs="Arial"/>
        </w:rPr>
        <w:t>Suryati</w:t>
      </w:r>
      <w:bookmarkEnd w:id="25"/>
      <w:proofErr w:type="spellEnd"/>
      <w:r w:rsidRPr="00322A32">
        <w:rPr>
          <w:rFonts w:ascii="Arial" w:hAnsi="Arial" w:cs="Arial"/>
        </w:rPr>
        <w:t xml:space="preserve">, T., Dewi, S. R., &amp; </w:t>
      </w:r>
      <w:proofErr w:type="spellStart"/>
      <w:r w:rsidRPr="00322A32">
        <w:rPr>
          <w:rFonts w:ascii="Arial" w:hAnsi="Arial" w:cs="Arial"/>
        </w:rPr>
        <w:t>Ratnasari</w:t>
      </w:r>
      <w:proofErr w:type="spellEnd"/>
      <w:r w:rsidRPr="00322A32">
        <w:rPr>
          <w:rFonts w:ascii="Arial" w:hAnsi="Arial" w:cs="Arial"/>
        </w:rPr>
        <w:t xml:space="preserve">, D. (2019). </w:t>
      </w:r>
      <w:proofErr w:type="spellStart"/>
      <w:r w:rsidRPr="00322A32">
        <w:rPr>
          <w:rFonts w:ascii="Arial" w:hAnsi="Arial" w:cs="Arial"/>
        </w:rPr>
        <w:t>Pengaruh</w:t>
      </w:r>
      <w:proofErr w:type="spellEnd"/>
      <w:r w:rsidRPr="00322A32">
        <w:rPr>
          <w:rFonts w:ascii="Arial" w:hAnsi="Arial" w:cs="Arial"/>
        </w:rPr>
        <w:t xml:space="preserve"> Corporate Social Responsibility </w:t>
      </w:r>
      <w:proofErr w:type="spellStart"/>
      <w:r w:rsidRPr="00322A32">
        <w:rPr>
          <w:rFonts w:ascii="Arial" w:hAnsi="Arial" w:cs="Arial"/>
        </w:rPr>
        <w:t>terhadap</w:t>
      </w:r>
      <w:proofErr w:type="spellEnd"/>
      <w:r w:rsidRPr="00322A32">
        <w:rPr>
          <w:rFonts w:ascii="Arial" w:hAnsi="Arial" w:cs="Arial"/>
        </w:rPr>
        <w:t xml:space="preserve"> </w:t>
      </w:r>
      <w:proofErr w:type="spellStart"/>
      <w:r w:rsidRPr="00322A32">
        <w:rPr>
          <w:rFonts w:ascii="Arial" w:hAnsi="Arial" w:cs="Arial"/>
        </w:rPr>
        <w:t>nilai</w:t>
      </w:r>
      <w:proofErr w:type="spellEnd"/>
      <w:r w:rsidRPr="00322A32">
        <w:rPr>
          <w:rFonts w:ascii="Arial" w:hAnsi="Arial" w:cs="Arial"/>
        </w:rPr>
        <w:t xml:space="preserve"> </w:t>
      </w:r>
      <w:proofErr w:type="spellStart"/>
      <w:r w:rsidRPr="00322A32">
        <w:rPr>
          <w:rFonts w:ascii="Arial" w:hAnsi="Arial" w:cs="Arial"/>
        </w:rPr>
        <w:t>perusahaan</w:t>
      </w:r>
      <w:proofErr w:type="spellEnd"/>
      <w:r w:rsidRPr="00322A32">
        <w:rPr>
          <w:rFonts w:ascii="Arial" w:hAnsi="Arial" w:cs="Arial"/>
        </w:rPr>
        <w:t xml:space="preserve"> </w:t>
      </w:r>
      <w:proofErr w:type="spellStart"/>
      <w:r w:rsidRPr="00322A32">
        <w:rPr>
          <w:rFonts w:ascii="Arial" w:hAnsi="Arial" w:cs="Arial"/>
        </w:rPr>
        <w:t>dengan</w:t>
      </w:r>
      <w:proofErr w:type="spellEnd"/>
      <w:r w:rsidRPr="00322A32">
        <w:rPr>
          <w:rFonts w:ascii="Arial" w:hAnsi="Arial" w:cs="Arial"/>
        </w:rPr>
        <w:t xml:space="preserve"> </w:t>
      </w:r>
      <w:proofErr w:type="spellStart"/>
      <w:r w:rsidRPr="00322A32">
        <w:rPr>
          <w:rFonts w:ascii="Arial" w:hAnsi="Arial" w:cs="Arial"/>
        </w:rPr>
        <w:t>profitabilitas</w:t>
      </w:r>
      <w:proofErr w:type="spellEnd"/>
      <w:r w:rsidRPr="00322A32">
        <w:rPr>
          <w:rFonts w:ascii="Arial" w:hAnsi="Arial" w:cs="Arial"/>
        </w:rPr>
        <w:t xml:space="preserve"> </w:t>
      </w:r>
      <w:proofErr w:type="spellStart"/>
      <w:r w:rsidRPr="00322A32">
        <w:rPr>
          <w:rFonts w:ascii="Arial" w:hAnsi="Arial" w:cs="Arial"/>
        </w:rPr>
        <w:t>sebagai</w:t>
      </w:r>
      <w:proofErr w:type="spellEnd"/>
      <w:r w:rsidRPr="00322A32">
        <w:rPr>
          <w:rFonts w:ascii="Arial" w:hAnsi="Arial" w:cs="Arial"/>
        </w:rPr>
        <w:t xml:space="preserve"> </w:t>
      </w:r>
      <w:proofErr w:type="spellStart"/>
      <w:r w:rsidRPr="00322A32">
        <w:rPr>
          <w:rFonts w:ascii="Arial" w:hAnsi="Arial" w:cs="Arial"/>
        </w:rPr>
        <w:t>variabel</w:t>
      </w:r>
      <w:proofErr w:type="spellEnd"/>
      <w:r w:rsidRPr="00322A32">
        <w:rPr>
          <w:rFonts w:ascii="Arial" w:hAnsi="Arial" w:cs="Arial"/>
        </w:rPr>
        <w:t xml:space="preserve"> </w:t>
      </w:r>
      <w:proofErr w:type="spellStart"/>
      <w:r w:rsidRPr="00322A32">
        <w:rPr>
          <w:rFonts w:ascii="Arial" w:hAnsi="Arial" w:cs="Arial"/>
        </w:rPr>
        <w:t>mediasi</w:t>
      </w:r>
      <w:proofErr w:type="spellEnd"/>
      <w:r w:rsidRPr="00322A32">
        <w:rPr>
          <w:rFonts w:ascii="Arial" w:hAnsi="Arial" w:cs="Arial"/>
        </w:rPr>
        <w:t xml:space="preserve">.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Akuntansi</w:t>
      </w:r>
      <w:proofErr w:type="spellEnd"/>
      <w:r w:rsidRPr="00322A32">
        <w:rPr>
          <w:rFonts w:ascii="Arial" w:hAnsi="Arial" w:cs="Arial"/>
        </w:rPr>
        <w:t xml:space="preserve"> </w:t>
      </w:r>
      <w:proofErr w:type="spellStart"/>
      <w:r w:rsidRPr="00322A32">
        <w:rPr>
          <w:rFonts w:ascii="Arial" w:hAnsi="Arial" w:cs="Arial"/>
        </w:rPr>
        <w:t>Multiparadigma</w:t>
      </w:r>
      <w:proofErr w:type="spellEnd"/>
      <w:r w:rsidRPr="00322A32">
        <w:rPr>
          <w:rFonts w:ascii="Arial" w:hAnsi="Arial" w:cs="Arial"/>
        </w:rPr>
        <w:t xml:space="preserve">, 10(2), 16. </w:t>
      </w:r>
      <w:hyperlink r:id="rId72" w:history="1">
        <w:r w:rsidRPr="00322A32">
          <w:rPr>
            <w:rStyle w:val="Hyperlink"/>
            <w:rFonts w:ascii="Arial" w:hAnsi="Arial" w:cs="Arial"/>
            <w:color w:val="auto"/>
          </w:rPr>
          <w:t>https://doi.org/https://doi.org/10.21776/ub.jamp.2019.010.02.18</w:t>
        </w:r>
      </w:hyperlink>
    </w:p>
    <w:p w14:paraId="50C5B3E5"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Susilawati</w:t>
      </w:r>
      <w:proofErr w:type="spellEnd"/>
      <w:r w:rsidRPr="00322A32">
        <w:rPr>
          <w:rFonts w:ascii="Arial" w:hAnsi="Arial" w:cs="Arial"/>
        </w:rPr>
        <w:t xml:space="preserve">, R., </w:t>
      </w:r>
      <w:proofErr w:type="spellStart"/>
      <w:r w:rsidRPr="00322A32">
        <w:rPr>
          <w:rFonts w:ascii="Arial" w:hAnsi="Arial" w:cs="Arial"/>
        </w:rPr>
        <w:t>Syarief</w:t>
      </w:r>
      <w:proofErr w:type="spellEnd"/>
      <w:r w:rsidRPr="00322A32">
        <w:rPr>
          <w:rFonts w:ascii="Arial" w:hAnsi="Arial" w:cs="Arial"/>
        </w:rPr>
        <w:t xml:space="preserve">, M. E., &amp; Mai, M. U. (2024). The Relationship between CSR and Profitability through Environmental Performance Moderation: The Use of Robust Path Analysis in Warp-PLS. International Journal of Applied Business Research, 6(02), 189–201. Retrieved from </w:t>
      </w:r>
      <w:hyperlink r:id="rId73">
        <w:r w:rsidRPr="00322A32">
          <w:rPr>
            <w:rFonts w:ascii="Arial" w:hAnsi="Arial" w:cs="Arial"/>
            <w:u w:val="single"/>
          </w:rPr>
          <w:t>https://ijabr.polban.ac.id/ijabr/article/view/422</w:t>
        </w:r>
      </w:hyperlink>
    </w:p>
    <w:p w14:paraId="4B934AD5" w14:textId="77777777" w:rsidR="00316EC7" w:rsidRPr="00322A32" w:rsidRDefault="00316EC7" w:rsidP="00316EC7">
      <w:pPr>
        <w:ind w:left="567" w:hanging="567"/>
        <w:jc w:val="both"/>
        <w:rPr>
          <w:rFonts w:ascii="Arial" w:hAnsi="Arial" w:cs="Arial"/>
        </w:rPr>
      </w:pPr>
      <w:r w:rsidRPr="00322A32">
        <w:rPr>
          <w:rFonts w:ascii="Arial" w:hAnsi="Arial" w:cs="Arial"/>
        </w:rPr>
        <w:t xml:space="preserve">Tawfiq, T. T., </w:t>
      </w:r>
      <w:proofErr w:type="spellStart"/>
      <w:r w:rsidRPr="00322A32">
        <w:rPr>
          <w:rFonts w:ascii="Arial" w:hAnsi="Arial" w:cs="Arial"/>
        </w:rPr>
        <w:t>Tawaha</w:t>
      </w:r>
      <w:proofErr w:type="spellEnd"/>
      <w:r w:rsidRPr="00322A32">
        <w:rPr>
          <w:rFonts w:ascii="Arial" w:hAnsi="Arial" w:cs="Arial"/>
        </w:rPr>
        <w:t xml:space="preserve">, H., </w:t>
      </w:r>
      <w:proofErr w:type="spellStart"/>
      <w:r w:rsidRPr="00322A32">
        <w:rPr>
          <w:rFonts w:ascii="Arial" w:hAnsi="Arial" w:cs="Arial"/>
        </w:rPr>
        <w:t>Tahtamouni</w:t>
      </w:r>
      <w:proofErr w:type="spellEnd"/>
      <w:r w:rsidRPr="00322A32">
        <w:rPr>
          <w:rFonts w:ascii="Arial" w:hAnsi="Arial" w:cs="Arial"/>
        </w:rPr>
        <w:t xml:space="preserve">, A., &amp; </w:t>
      </w:r>
      <w:proofErr w:type="spellStart"/>
      <w:r w:rsidRPr="00322A32">
        <w:rPr>
          <w:rFonts w:ascii="Arial" w:hAnsi="Arial" w:cs="Arial"/>
        </w:rPr>
        <w:t>Almasria</w:t>
      </w:r>
      <w:proofErr w:type="spellEnd"/>
      <w:r w:rsidRPr="00322A32">
        <w:rPr>
          <w:rFonts w:ascii="Arial" w:hAnsi="Arial" w:cs="Arial"/>
        </w:rPr>
        <w:t xml:space="preserve">, N. A. (2024). The Influence of Environmental, Social, and Governance Disclosure on Capital Structure: An Investigation of Leverage and WACC. Journal of Risk and Financial Management, 17(12), 570. </w:t>
      </w:r>
      <w:hyperlink r:id="rId74" w:history="1">
        <w:r w:rsidRPr="00322A32">
          <w:rPr>
            <w:rStyle w:val="Hyperlink"/>
            <w:rFonts w:ascii="Arial" w:hAnsi="Arial" w:cs="Arial"/>
            <w:color w:val="auto"/>
          </w:rPr>
          <w:t>https://doi.org/10.3390/jrfm17120570</w:t>
        </w:r>
      </w:hyperlink>
    </w:p>
    <w:p w14:paraId="6CAAA3C5" w14:textId="77777777" w:rsidR="00316EC7" w:rsidRPr="00322A32" w:rsidRDefault="00316EC7" w:rsidP="00316EC7">
      <w:pPr>
        <w:ind w:left="567" w:hanging="567"/>
        <w:jc w:val="both"/>
        <w:rPr>
          <w:rFonts w:ascii="Arial" w:eastAsia="Roboto" w:hAnsi="Arial" w:cs="Arial"/>
          <w:highlight w:val="white"/>
        </w:rPr>
      </w:pPr>
      <w:proofErr w:type="spellStart"/>
      <w:r w:rsidRPr="00322A32">
        <w:rPr>
          <w:rFonts w:ascii="Arial" w:eastAsia="Roboto" w:hAnsi="Arial" w:cs="Arial"/>
          <w:highlight w:val="white"/>
        </w:rPr>
        <w:t>Tumbelaka</w:t>
      </w:r>
      <w:proofErr w:type="spellEnd"/>
      <w:r w:rsidRPr="00322A32">
        <w:rPr>
          <w:rFonts w:ascii="Arial" w:eastAsia="Roboto" w:hAnsi="Arial" w:cs="Arial"/>
          <w:highlight w:val="white"/>
        </w:rPr>
        <w:t xml:space="preserve">, K. P., Imelda, E., &amp; Simina, J. (2024). Factors affecting financial distress in the consumer industry sector during the COVID-19 pandemic. International Journal of Application on Economics and Business, 2(2), 3510–3517. </w:t>
      </w:r>
      <w:hyperlink r:id="rId75">
        <w:r w:rsidRPr="00322A32">
          <w:rPr>
            <w:rFonts w:ascii="Arial" w:eastAsia="Roboto" w:hAnsi="Arial" w:cs="Arial"/>
            <w:highlight w:val="white"/>
            <w:u w:val="single"/>
          </w:rPr>
          <w:t>https://doi.org/10.24912/ijaeb.v2i2.3510-3517</w:t>
        </w:r>
      </w:hyperlink>
    </w:p>
    <w:p w14:paraId="6959A6F6"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Unsulangi</w:t>
      </w:r>
      <w:proofErr w:type="spellEnd"/>
      <w:r w:rsidRPr="00322A32">
        <w:rPr>
          <w:rFonts w:ascii="Arial" w:hAnsi="Arial" w:cs="Arial"/>
        </w:rPr>
        <w:t xml:space="preserve">, C. J., &amp; </w:t>
      </w:r>
      <w:proofErr w:type="spellStart"/>
      <w:r w:rsidRPr="00322A32">
        <w:rPr>
          <w:rFonts w:ascii="Arial" w:hAnsi="Arial" w:cs="Arial"/>
        </w:rPr>
        <w:t>Sufina</w:t>
      </w:r>
      <w:proofErr w:type="spellEnd"/>
      <w:r w:rsidRPr="00322A32">
        <w:rPr>
          <w:rFonts w:ascii="Arial" w:hAnsi="Arial" w:cs="Arial"/>
        </w:rPr>
        <w:t xml:space="preserve">, L. (2023). Profitability, corporate social responsibility disclosure, and corporate value of non-cyclicals listed in Indonesia. </w:t>
      </w:r>
      <w:proofErr w:type="spellStart"/>
      <w:r w:rsidRPr="00322A32">
        <w:rPr>
          <w:rFonts w:ascii="Arial" w:hAnsi="Arial" w:cs="Arial"/>
        </w:rPr>
        <w:t>Jurnal</w:t>
      </w:r>
      <w:proofErr w:type="spellEnd"/>
      <w:r w:rsidRPr="00322A32">
        <w:rPr>
          <w:rFonts w:ascii="Arial" w:hAnsi="Arial" w:cs="Arial"/>
        </w:rPr>
        <w:t xml:space="preserve"> </w:t>
      </w:r>
      <w:proofErr w:type="spellStart"/>
      <w:r w:rsidRPr="00322A32">
        <w:rPr>
          <w:rFonts w:ascii="Arial" w:hAnsi="Arial" w:cs="Arial"/>
        </w:rPr>
        <w:t>Ilmu</w:t>
      </w:r>
      <w:proofErr w:type="spellEnd"/>
      <w:r w:rsidRPr="00322A32">
        <w:rPr>
          <w:rFonts w:ascii="Arial" w:hAnsi="Arial" w:cs="Arial"/>
        </w:rPr>
        <w:t xml:space="preserve"> </w:t>
      </w:r>
      <w:proofErr w:type="spellStart"/>
      <w:r w:rsidRPr="00322A32">
        <w:rPr>
          <w:rFonts w:ascii="Arial" w:hAnsi="Arial" w:cs="Arial"/>
        </w:rPr>
        <w:t>Manajemen</w:t>
      </w:r>
      <w:proofErr w:type="spellEnd"/>
      <w:r w:rsidRPr="00322A32">
        <w:rPr>
          <w:rFonts w:ascii="Arial" w:hAnsi="Arial" w:cs="Arial"/>
        </w:rPr>
        <w:t xml:space="preserve"> &amp;amp; </w:t>
      </w:r>
      <w:proofErr w:type="spellStart"/>
      <w:r w:rsidRPr="00322A32">
        <w:rPr>
          <w:rFonts w:ascii="Arial" w:hAnsi="Arial" w:cs="Arial"/>
        </w:rPr>
        <w:t>Ekonomika</w:t>
      </w:r>
      <w:proofErr w:type="spellEnd"/>
      <w:r w:rsidRPr="00322A32">
        <w:rPr>
          <w:rFonts w:ascii="Arial" w:hAnsi="Arial" w:cs="Arial"/>
        </w:rPr>
        <w:t xml:space="preserve">, 16(1), 53–68. </w:t>
      </w:r>
      <w:hyperlink r:id="rId76" w:history="1">
        <w:r w:rsidRPr="00322A32">
          <w:rPr>
            <w:rStyle w:val="Hyperlink"/>
            <w:rFonts w:ascii="Arial" w:hAnsi="Arial" w:cs="Arial"/>
            <w:color w:val="auto"/>
          </w:rPr>
          <w:t>https://doi.org/10.35384/jime.v16i1.511</w:t>
        </w:r>
      </w:hyperlink>
      <w:bookmarkStart w:id="26" w:name="_Hlk219028900"/>
    </w:p>
    <w:p w14:paraId="2F6728E0" w14:textId="77777777" w:rsidR="00316EC7" w:rsidRPr="00322A32" w:rsidRDefault="00316EC7" w:rsidP="00316EC7">
      <w:pPr>
        <w:ind w:left="567" w:hanging="567"/>
        <w:jc w:val="both"/>
        <w:rPr>
          <w:rFonts w:ascii="Arial" w:hAnsi="Arial" w:cs="Arial"/>
        </w:rPr>
      </w:pPr>
      <w:proofErr w:type="spellStart"/>
      <w:r w:rsidRPr="00322A32">
        <w:rPr>
          <w:rFonts w:ascii="Arial" w:hAnsi="Arial" w:cs="Arial"/>
        </w:rPr>
        <w:t>Widyakto</w:t>
      </w:r>
      <w:bookmarkEnd w:id="26"/>
      <w:proofErr w:type="spellEnd"/>
      <w:r w:rsidRPr="00322A32">
        <w:rPr>
          <w:rFonts w:ascii="Arial" w:hAnsi="Arial" w:cs="Arial"/>
        </w:rPr>
        <w:t xml:space="preserve">, A., </w:t>
      </w:r>
      <w:proofErr w:type="spellStart"/>
      <w:r w:rsidRPr="00322A32">
        <w:rPr>
          <w:rFonts w:ascii="Arial" w:hAnsi="Arial" w:cs="Arial"/>
        </w:rPr>
        <w:t>Fresiliasari</w:t>
      </w:r>
      <w:proofErr w:type="spellEnd"/>
      <w:r w:rsidRPr="00322A32">
        <w:rPr>
          <w:rFonts w:ascii="Arial" w:hAnsi="Arial" w:cs="Arial"/>
        </w:rPr>
        <w:t xml:space="preserve">, O., Octavia, A. N., </w:t>
      </w:r>
      <w:proofErr w:type="spellStart"/>
      <w:r w:rsidRPr="00322A32">
        <w:rPr>
          <w:rFonts w:ascii="Arial" w:hAnsi="Arial" w:cs="Arial"/>
        </w:rPr>
        <w:t>Choudury</w:t>
      </w:r>
      <w:proofErr w:type="spellEnd"/>
      <w:r w:rsidRPr="00322A32">
        <w:rPr>
          <w:rFonts w:ascii="Arial" w:hAnsi="Arial" w:cs="Arial"/>
        </w:rPr>
        <w:t xml:space="preserve">, M. A., &amp; Yusof, R. M. (2026). How Does Profitability Moderate the Impact of Financial Performance on Firm </w:t>
      </w:r>
      <w:proofErr w:type="gramStart"/>
      <w:r w:rsidRPr="00322A32">
        <w:rPr>
          <w:rFonts w:ascii="Arial" w:hAnsi="Arial" w:cs="Arial"/>
        </w:rPr>
        <w:t>Value?.</w:t>
      </w:r>
      <w:proofErr w:type="gramEnd"/>
      <w:r w:rsidRPr="00322A32">
        <w:rPr>
          <w:rFonts w:ascii="Arial" w:hAnsi="Arial" w:cs="Arial"/>
        </w:rPr>
        <w:t xml:space="preserve"> KEUNIS, 14(1), 116–127. </w:t>
      </w:r>
      <w:hyperlink r:id="rId77" w:history="1">
        <w:r w:rsidRPr="00322A32">
          <w:rPr>
            <w:rStyle w:val="Hyperlink"/>
            <w:rFonts w:ascii="Arial" w:hAnsi="Arial" w:cs="Arial"/>
            <w:color w:val="auto"/>
          </w:rPr>
          <w:t>https://doi.org/10.32497/keunis.v14i1.6742</w:t>
        </w:r>
      </w:hyperlink>
    </w:p>
    <w:p w14:paraId="2397D65E" w14:textId="77777777" w:rsidR="00316EC7" w:rsidRPr="00322A32" w:rsidRDefault="00316EC7" w:rsidP="00316EC7">
      <w:pPr>
        <w:ind w:left="567" w:hanging="567"/>
        <w:jc w:val="both"/>
        <w:rPr>
          <w:rFonts w:ascii="Arial" w:hAnsi="Arial" w:cs="Arial"/>
        </w:rPr>
      </w:pPr>
      <w:r w:rsidRPr="00322A32">
        <w:rPr>
          <w:rFonts w:ascii="Arial" w:hAnsi="Arial" w:cs="Arial"/>
        </w:rPr>
        <w:t xml:space="preserve">Wu, R., Hossain, M. A., Teng, Z., &amp; Shen, X. (2023). The Relationship between Corporate Social Responsibility and Firm Value of Chinese Firms: Exploring from Degree of Internationalization. Journal of environmental and public health, 2023, 7249799. </w:t>
      </w:r>
      <w:hyperlink r:id="rId78">
        <w:r w:rsidRPr="00322A32">
          <w:rPr>
            <w:rFonts w:ascii="Arial" w:hAnsi="Arial" w:cs="Arial"/>
            <w:u w:val="single"/>
          </w:rPr>
          <w:t>https://doi.org/10.1155/2023/7249799</w:t>
        </w:r>
      </w:hyperlink>
    </w:p>
    <w:p w14:paraId="1307A872" w14:textId="77777777" w:rsidR="00316EC7" w:rsidRPr="00322A32" w:rsidRDefault="00316EC7" w:rsidP="00316EC7">
      <w:pPr>
        <w:ind w:left="567" w:hanging="567"/>
        <w:jc w:val="both"/>
        <w:rPr>
          <w:rFonts w:ascii="Arial" w:hAnsi="Arial" w:cs="Arial"/>
        </w:rPr>
      </w:pPr>
      <w:r w:rsidRPr="00322A32">
        <w:rPr>
          <w:rFonts w:ascii="Arial" w:hAnsi="Arial" w:cs="Arial"/>
        </w:rPr>
        <w:t xml:space="preserve">Xu, J., Yu, Y., Wu, Y., Zhang, J. Z., Liu, Y., Cao, Y., &amp; </w:t>
      </w:r>
      <w:proofErr w:type="spellStart"/>
      <w:r w:rsidRPr="00322A32">
        <w:rPr>
          <w:rFonts w:ascii="Arial" w:hAnsi="Arial" w:cs="Arial"/>
        </w:rPr>
        <w:t>Eachempati</w:t>
      </w:r>
      <w:proofErr w:type="spellEnd"/>
      <w:r w:rsidRPr="00322A32">
        <w:rPr>
          <w:rFonts w:ascii="Arial" w:hAnsi="Arial" w:cs="Arial"/>
        </w:rPr>
        <w:t>, P. (2022). Green supply chain management for operational performance: anteceding impact of corporate social responsibility and moderating effects of relational capital. Journal of Enterprise Information Management, 35(6), 1613-1638.</w:t>
      </w:r>
    </w:p>
    <w:p w14:paraId="27D5DE27" w14:textId="77777777" w:rsidR="00316EC7" w:rsidRPr="00322A32" w:rsidRDefault="00316EC7" w:rsidP="00316EC7">
      <w:pPr>
        <w:ind w:left="567" w:hanging="567"/>
        <w:jc w:val="both"/>
        <w:rPr>
          <w:rFonts w:ascii="Arial" w:hAnsi="Arial" w:cs="Arial"/>
        </w:rPr>
      </w:pPr>
      <w:bookmarkStart w:id="27" w:name="_Hlk219840362"/>
      <w:r w:rsidRPr="001447DC">
        <w:rPr>
          <w:rFonts w:ascii="Arial" w:hAnsi="Arial" w:cs="Arial"/>
        </w:rPr>
        <w:t>Yoon, B., &amp; Chung, Y. (2018)</w:t>
      </w:r>
      <w:bookmarkEnd w:id="27"/>
      <w:r w:rsidRPr="001447DC">
        <w:rPr>
          <w:rFonts w:ascii="Arial" w:hAnsi="Arial" w:cs="Arial"/>
        </w:rPr>
        <w:t xml:space="preserve">. The effects of corporate social responsibility on firm performance: A stakeholder approach. Journal of Hospitality and Tourism Management, 37, 89–96. </w:t>
      </w:r>
      <w:hyperlink r:id="rId79" w:history="1">
        <w:r w:rsidRPr="001447DC">
          <w:rPr>
            <w:rStyle w:val="Hyperlink"/>
            <w:rFonts w:ascii="Arial" w:hAnsi="Arial" w:cs="Arial"/>
            <w:color w:val="auto"/>
          </w:rPr>
          <w:t>https://doi.org/10.1016/j.jhtm.2018.10.005</w:t>
        </w:r>
      </w:hyperlink>
    </w:p>
    <w:p w14:paraId="52B8559C" w14:textId="77777777" w:rsidR="00316EC7" w:rsidRPr="00322A32" w:rsidRDefault="00316EC7" w:rsidP="00316EC7">
      <w:pPr>
        <w:ind w:left="567" w:hanging="567"/>
        <w:jc w:val="both"/>
        <w:rPr>
          <w:rFonts w:ascii="Arial" w:hAnsi="Arial" w:cs="Arial"/>
          <w:spacing w:val="-4"/>
        </w:rPr>
      </w:pPr>
      <w:proofErr w:type="spellStart"/>
      <w:r w:rsidRPr="00322A32">
        <w:rPr>
          <w:rFonts w:ascii="Arial" w:hAnsi="Arial" w:cs="Arial"/>
        </w:rPr>
        <w:t>Yulia</w:t>
      </w:r>
      <w:proofErr w:type="spellEnd"/>
      <w:r w:rsidRPr="00322A32">
        <w:rPr>
          <w:rFonts w:ascii="Arial" w:hAnsi="Arial" w:cs="Arial"/>
        </w:rPr>
        <w:t>,</w:t>
      </w:r>
      <w:r w:rsidRPr="00322A32">
        <w:rPr>
          <w:rFonts w:ascii="Arial" w:hAnsi="Arial" w:cs="Arial"/>
          <w:spacing w:val="-7"/>
        </w:rPr>
        <w:t xml:space="preserve"> </w:t>
      </w:r>
      <w:r w:rsidRPr="00322A32">
        <w:rPr>
          <w:rFonts w:ascii="Arial" w:hAnsi="Arial" w:cs="Arial"/>
        </w:rPr>
        <w:t>&amp;</w:t>
      </w:r>
      <w:r w:rsidRPr="00322A32">
        <w:rPr>
          <w:rFonts w:ascii="Arial" w:hAnsi="Arial" w:cs="Arial"/>
          <w:spacing w:val="-9"/>
        </w:rPr>
        <w:t xml:space="preserve"> </w:t>
      </w:r>
      <w:proofErr w:type="spellStart"/>
      <w:r w:rsidRPr="00322A32">
        <w:rPr>
          <w:rFonts w:ascii="Arial" w:hAnsi="Arial" w:cs="Arial"/>
        </w:rPr>
        <w:t>Sugih</w:t>
      </w:r>
      <w:proofErr w:type="spellEnd"/>
      <w:r w:rsidRPr="00322A32">
        <w:rPr>
          <w:rFonts w:ascii="Arial" w:hAnsi="Arial" w:cs="Arial"/>
        </w:rPr>
        <w:t>.</w:t>
      </w:r>
      <w:r w:rsidRPr="00322A32">
        <w:rPr>
          <w:rFonts w:ascii="Arial" w:hAnsi="Arial" w:cs="Arial"/>
          <w:spacing w:val="-6"/>
        </w:rPr>
        <w:t xml:space="preserve"> </w:t>
      </w:r>
      <w:r w:rsidRPr="00322A32">
        <w:rPr>
          <w:rFonts w:ascii="Arial" w:hAnsi="Arial" w:cs="Arial"/>
        </w:rPr>
        <w:t>(2022).</w:t>
      </w:r>
      <w:r w:rsidRPr="00322A32">
        <w:rPr>
          <w:rFonts w:ascii="Arial" w:hAnsi="Arial" w:cs="Arial"/>
          <w:spacing w:val="-4"/>
        </w:rPr>
        <w:t xml:space="preserve"> </w:t>
      </w:r>
      <w:proofErr w:type="spellStart"/>
      <w:r w:rsidRPr="00322A32">
        <w:rPr>
          <w:rFonts w:ascii="Arial" w:hAnsi="Arial" w:cs="Arial"/>
        </w:rPr>
        <w:t>Pengaruh</w:t>
      </w:r>
      <w:proofErr w:type="spellEnd"/>
      <w:r w:rsidRPr="00322A32">
        <w:rPr>
          <w:rFonts w:ascii="Arial" w:hAnsi="Arial" w:cs="Arial"/>
          <w:spacing w:val="-7"/>
        </w:rPr>
        <w:t xml:space="preserve"> </w:t>
      </w:r>
      <w:r w:rsidRPr="00322A32">
        <w:rPr>
          <w:rFonts w:ascii="Arial" w:hAnsi="Arial" w:cs="Arial"/>
        </w:rPr>
        <w:t>Corporate</w:t>
      </w:r>
      <w:r w:rsidRPr="00322A32">
        <w:rPr>
          <w:rFonts w:ascii="Arial" w:hAnsi="Arial" w:cs="Arial"/>
          <w:spacing w:val="-8"/>
        </w:rPr>
        <w:t xml:space="preserve"> </w:t>
      </w:r>
      <w:r w:rsidRPr="00322A32">
        <w:rPr>
          <w:rFonts w:ascii="Arial" w:hAnsi="Arial" w:cs="Arial"/>
        </w:rPr>
        <w:t>Social</w:t>
      </w:r>
      <w:r w:rsidRPr="00322A32">
        <w:rPr>
          <w:rFonts w:ascii="Arial" w:hAnsi="Arial" w:cs="Arial"/>
          <w:spacing w:val="-6"/>
        </w:rPr>
        <w:t xml:space="preserve"> </w:t>
      </w:r>
      <w:r w:rsidRPr="00322A32">
        <w:rPr>
          <w:rFonts w:ascii="Arial" w:hAnsi="Arial" w:cs="Arial"/>
        </w:rPr>
        <w:t>Responsibility</w:t>
      </w:r>
      <w:r w:rsidRPr="00322A32">
        <w:rPr>
          <w:rFonts w:ascii="Arial" w:hAnsi="Arial" w:cs="Arial"/>
          <w:spacing w:val="-8"/>
        </w:rPr>
        <w:t xml:space="preserve"> </w:t>
      </w:r>
      <w:proofErr w:type="spellStart"/>
      <w:r w:rsidRPr="00322A32">
        <w:rPr>
          <w:rFonts w:ascii="Arial" w:hAnsi="Arial" w:cs="Arial"/>
        </w:rPr>
        <w:t>Terhadap</w:t>
      </w:r>
      <w:proofErr w:type="spellEnd"/>
      <w:r w:rsidRPr="00322A32">
        <w:rPr>
          <w:rFonts w:ascii="Arial" w:hAnsi="Arial" w:cs="Arial"/>
          <w:spacing w:val="-7"/>
        </w:rPr>
        <w:t xml:space="preserve"> </w:t>
      </w:r>
      <w:r w:rsidRPr="00322A32">
        <w:rPr>
          <w:rFonts w:ascii="Arial" w:hAnsi="Arial" w:cs="Arial"/>
        </w:rPr>
        <w:t xml:space="preserve">Nilai Perusahaan </w:t>
      </w:r>
      <w:proofErr w:type="spellStart"/>
      <w:r w:rsidRPr="00322A32">
        <w:rPr>
          <w:rFonts w:ascii="Arial" w:hAnsi="Arial" w:cs="Arial"/>
        </w:rPr>
        <w:t>Pengaruh</w:t>
      </w:r>
      <w:proofErr w:type="spellEnd"/>
      <w:r w:rsidRPr="00322A32">
        <w:rPr>
          <w:rFonts w:ascii="Arial" w:hAnsi="Arial" w:cs="Arial"/>
        </w:rPr>
        <w:t xml:space="preserve"> Corporate Social Responsibility </w:t>
      </w:r>
      <w:proofErr w:type="spellStart"/>
      <w:r w:rsidRPr="00322A32">
        <w:rPr>
          <w:rFonts w:ascii="Arial" w:hAnsi="Arial" w:cs="Arial"/>
        </w:rPr>
        <w:t>Terhadap</w:t>
      </w:r>
      <w:proofErr w:type="spellEnd"/>
      <w:r w:rsidRPr="00322A32">
        <w:rPr>
          <w:rFonts w:ascii="Arial" w:hAnsi="Arial" w:cs="Arial"/>
        </w:rPr>
        <w:t xml:space="preserve"> Nilai Perusahaan </w:t>
      </w:r>
      <w:proofErr w:type="spellStart"/>
      <w:r w:rsidRPr="00322A32">
        <w:rPr>
          <w:rFonts w:ascii="Arial" w:hAnsi="Arial" w:cs="Arial"/>
        </w:rPr>
        <w:t>Dengan</w:t>
      </w:r>
      <w:proofErr w:type="spellEnd"/>
      <w:r w:rsidRPr="00322A32">
        <w:rPr>
          <w:rFonts w:ascii="Arial" w:hAnsi="Arial" w:cs="Arial"/>
        </w:rPr>
        <w:t xml:space="preserve"> </w:t>
      </w:r>
      <w:proofErr w:type="spellStart"/>
      <w:r w:rsidRPr="00322A32">
        <w:rPr>
          <w:rFonts w:ascii="Arial" w:hAnsi="Arial" w:cs="Arial"/>
        </w:rPr>
        <w:t>Profitabilitas</w:t>
      </w:r>
      <w:proofErr w:type="spellEnd"/>
      <w:r w:rsidRPr="00322A32">
        <w:rPr>
          <w:rFonts w:ascii="Arial" w:hAnsi="Arial" w:cs="Arial"/>
          <w:spacing w:val="-1"/>
        </w:rPr>
        <w:t xml:space="preserve"> </w:t>
      </w:r>
      <w:proofErr w:type="spellStart"/>
      <w:r w:rsidRPr="00322A32">
        <w:rPr>
          <w:rFonts w:ascii="Arial" w:hAnsi="Arial" w:cs="Arial"/>
        </w:rPr>
        <w:t>Sebagai</w:t>
      </w:r>
      <w:proofErr w:type="spellEnd"/>
      <w:r w:rsidRPr="00322A32">
        <w:rPr>
          <w:rFonts w:ascii="Arial" w:hAnsi="Arial" w:cs="Arial"/>
        </w:rPr>
        <w:t xml:space="preserve"> </w:t>
      </w:r>
      <w:proofErr w:type="spellStart"/>
      <w:r w:rsidRPr="00322A32">
        <w:rPr>
          <w:rFonts w:ascii="Arial" w:hAnsi="Arial" w:cs="Arial"/>
        </w:rPr>
        <w:t>Variabel</w:t>
      </w:r>
      <w:proofErr w:type="spellEnd"/>
      <w:r w:rsidRPr="00322A32">
        <w:rPr>
          <w:rFonts w:ascii="Arial" w:hAnsi="Arial" w:cs="Arial"/>
          <w:spacing w:val="-1"/>
        </w:rPr>
        <w:t xml:space="preserve"> </w:t>
      </w:r>
      <w:r w:rsidRPr="00322A32">
        <w:rPr>
          <w:rFonts w:ascii="Arial" w:hAnsi="Arial" w:cs="Arial"/>
        </w:rPr>
        <w:t>Moderating (</w:t>
      </w:r>
      <w:proofErr w:type="spellStart"/>
      <w:r w:rsidRPr="00322A32">
        <w:rPr>
          <w:rFonts w:ascii="Arial" w:hAnsi="Arial" w:cs="Arial"/>
        </w:rPr>
        <w:t>Studi</w:t>
      </w:r>
      <w:proofErr w:type="spellEnd"/>
      <w:r w:rsidRPr="00322A32">
        <w:rPr>
          <w:rFonts w:ascii="Arial" w:hAnsi="Arial" w:cs="Arial"/>
        </w:rPr>
        <w:t xml:space="preserve"> pada Perusahaan</w:t>
      </w:r>
      <w:r w:rsidRPr="00322A32">
        <w:rPr>
          <w:rFonts w:ascii="Arial" w:hAnsi="Arial" w:cs="Arial"/>
          <w:spacing w:val="-15"/>
        </w:rPr>
        <w:t xml:space="preserve"> </w:t>
      </w:r>
      <w:proofErr w:type="spellStart"/>
      <w:r w:rsidRPr="00322A32">
        <w:rPr>
          <w:rFonts w:ascii="Arial" w:hAnsi="Arial" w:cs="Arial"/>
        </w:rPr>
        <w:t>Manufaktur</w:t>
      </w:r>
      <w:proofErr w:type="spellEnd"/>
      <w:r w:rsidRPr="00322A32">
        <w:rPr>
          <w:rFonts w:ascii="Arial" w:hAnsi="Arial" w:cs="Arial"/>
          <w:spacing w:val="-15"/>
        </w:rPr>
        <w:t xml:space="preserve"> </w:t>
      </w:r>
      <w:r w:rsidRPr="00322A32">
        <w:rPr>
          <w:rFonts w:ascii="Arial" w:hAnsi="Arial" w:cs="Arial"/>
        </w:rPr>
        <w:t>yang</w:t>
      </w:r>
      <w:r w:rsidRPr="00322A32">
        <w:rPr>
          <w:rFonts w:ascii="Arial" w:hAnsi="Arial" w:cs="Arial"/>
          <w:spacing w:val="-15"/>
        </w:rPr>
        <w:t xml:space="preserve"> </w:t>
      </w:r>
      <w:proofErr w:type="spellStart"/>
      <w:r w:rsidRPr="00322A32">
        <w:rPr>
          <w:rFonts w:ascii="Arial" w:hAnsi="Arial" w:cs="Arial"/>
        </w:rPr>
        <w:t>Terdaftar</w:t>
      </w:r>
      <w:proofErr w:type="spellEnd"/>
      <w:r w:rsidRPr="00322A32">
        <w:rPr>
          <w:rFonts w:ascii="Arial" w:hAnsi="Arial" w:cs="Arial"/>
          <w:spacing w:val="-15"/>
        </w:rPr>
        <w:t xml:space="preserve"> </w:t>
      </w:r>
      <w:r w:rsidRPr="00322A32">
        <w:rPr>
          <w:rFonts w:ascii="Arial" w:hAnsi="Arial" w:cs="Arial"/>
        </w:rPr>
        <w:t>di</w:t>
      </w:r>
      <w:r w:rsidRPr="00322A32">
        <w:rPr>
          <w:rFonts w:ascii="Arial" w:hAnsi="Arial" w:cs="Arial"/>
          <w:spacing w:val="-15"/>
        </w:rPr>
        <w:t xml:space="preserve"> </w:t>
      </w:r>
      <w:r w:rsidRPr="00322A32">
        <w:rPr>
          <w:rFonts w:ascii="Arial" w:hAnsi="Arial" w:cs="Arial"/>
        </w:rPr>
        <w:t>BEI</w:t>
      </w:r>
      <w:r w:rsidRPr="00322A32">
        <w:rPr>
          <w:rFonts w:ascii="Arial" w:hAnsi="Arial" w:cs="Arial"/>
          <w:spacing w:val="-15"/>
        </w:rPr>
        <w:t xml:space="preserve"> </w:t>
      </w:r>
      <w:proofErr w:type="spellStart"/>
      <w:r w:rsidRPr="00322A32">
        <w:rPr>
          <w:rFonts w:ascii="Arial" w:hAnsi="Arial" w:cs="Arial"/>
        </w:rPr>
        <w:t>Periode</w:t>
      </w:r>
      <w:proofErr w:type="spellEnd"/>
      <w:r w:rsidRPr="00322A32">
        <w:rPr>
          <w:rFonts w:ascii="Arial" w:hAnsi="Arial" w:cs="Arial"/>
          <w:spacing w:val="-15"/>
        </w:rPr>
        <w:t xml:space="preserve"> </w:t>
      </w:r>
      <w:r w:rsidRPr="00322A32">
        <w:rPr>
          <w:rFonts w:ascii="Arial" w:hAnsi="Arial" w:cs="Arial"/>
        </w:rPr>
        <w:t>2018-20.</w:t>
      </w:r>
      <w:r w:rsidRPr="00322A32">
        <w:rPr>
          <w:rFonts w:ascii="Arial" w:hAnsi="Arial" w:cs="Arial"/>
          <w:spacing w:val="-15"/>
        </w:rPr>
        <w:t xml:space="preserve"> </w:t>
      </w:r>
      <w:r w:rsidRPr="00322A32">
        <w:rPr>
          <w:rFonts w:ascii="Arial" w:hAnsi="Arial" w:cs="Arial"/>
        </w:rPr>
        <w:t>02(02),</w:t>
      </w:r>
      <w:r w:rsidRPr="00322A32">
        <w:rPr>
          <w:rFonts w:ascii="Arial" w:hAnsi="Arial" w:cs="Arial"/>
          <w:spacing w:val="-15"/>
        </w:rPr>
        <w:t xml:space="preserve"> </w:t>
      </w:r>
      <w:r w:rsidRPr="00322A32">
        <w:rPr>
          <w:rFonts w:ascii="Arial" w:hAnsi="Arial" w:cs="Arial"/>
        </w:rPr>
        <w:t xml:space="preserve">377– </w:t>
      </w:r>
      <w:r w:rsidRPr="00322A32">
        <w:rPr>
          <w:rFonts w:ascii="Arial" w:hAnsi="Arial" w:cs="Arial"/>
          <w:spacing w:val="-4"/>
        </w:rPr>
        <w:t>385.</w:t>
      </w:r>
    </w:p>
    <w:p w14:paraId="04B91A8A" w14:textId="4887CE2C" w:rsidR="00316EC7" w:rsidRPr="00322A32" w:rsidRDefault="00316EC7" w:rsidP="00316EC7">
      <w:pPr>
        <w:ind w:left="567" w:hanging="567"/>
        <w:jc w:val="both"/>
        <w:rPr>
          <w:rFonts w:ascii="Arial" w:hAnsi="Arial" w:cs="Arial"/>
        </w:rPr>
      </w:pPr>
      <w:proofErr w:type="spellStart"/>
      <w:r w:rsidRPr="00322A32">
        <w:rPr>
          <w:rFonts w:ascii="Arial" w:hAnsi="Arial" w:cs="Arial"/>
        </w:rPr>
        <w:t>Yuniarti</w:t>
      </w:r>
      <w:proofErr w:type="spellEnd"/>
      <w:r w:rsidRPr="00322A32">
        <w:rPr>
          <w:rFonts w:ascii="Arial" w:hAnsi="Arial" w:cs="Arial"/>
        </w:rPr>
        <w:t xml:space="preserve">, </w:t>
      </w:r>
      <w:proofErr w:type="spellStart"/>
      <w:r w:rsidRPr="00322A32">
        <w:rPr>
          <w:rFonts w:ascii="Arial" w:hAnsi="Arial" w:cs="Arial"/>
        </w:rPr>
        <w:t>Mustaruddin</w:t>
      </w:r>
      <w:proofErr w:type="spellEnd"/>
      <w:r w:rsidRPr="00322A32">
        <w:rPr>
          <w:rFonts w:ascii="Arial" w:hAnsi="Arial" w:cs="Arial"/>
        </w:rPr>
        <w:t>, &amp; Malini, H. (2025). From Reputation to Value: The Strategic Role of CSR in Enhancing Firm Performance in Indonesia. Asian Journal of Economics, Business and Accounting, 25(11), 259–266.</w:t>
      </w:r>
      <w:r>
        <w:rPr>
          <w:rFonts w:ascii="Arial" w:hAnsi="Arial" w:cs="Arial"/>
        </w:rPr>
        <w:t xml:space="preserve"> </w:t>
      </w:r>
      <w:hyperlink r:id="rId80" w:history="1">
        <w:r w:rsidRPr="00322A32">
          <w:rPr>
            <w:rStyle w:val="Hyperlink"/>
            <w:rFonts w:ascii="Arial" w:hAnsi="Arial" w:cs="Arial"/>
            <w:color w:val="auto"/>
          </w:rPr>
          <w:t>https://doi.org/10.9734/ajeba/2025/v25i112050</w:t>
        </w:r>
      </w:hyperlink>
    </w:p>
    <w:p w14:paraId="4C3BE3F1" w14:textId="77777777" w:rsidR="00316EC7" w:rsidRPr="00322A32" w:rsidRDefault="00316EC7" w:rsidP="00316EC7">
      <w:pPr>
        <w:ind w:left="567" w:hanging="567"/>
        <w:jc w:val="both"/>
        <w:rPr>
          <w:rFonts w:ascii="Arial" w:hAnsi="Arial" w:cs="Arial"/>
        </w:rPr>
      </w:pPr>
      <w:r w:rsidRPr="00322A32">
        <w:rPr>
          <w:rFonts w:ascii="Arial" w:hAnsi="Arial" w:cs="Arial"/>
        </w:rPr>
        <w:t xml:space="preserve">Yuvianita, M., Ahmar, N., Rizky, Y., &amp; </w:t>
      </w:r>
      <w:proofErr w:type="spellStart"/>
      <w:r w:rsidRPr="00322A32">
        <w:rPr>
          <w:rFonts w:ascii="Arial" w:hAnsi="Arial" w:cs="Arial"/>
        </w:rPr>
        <w:t>Mandagie</w:t>
      </w:r>
      <w:proofErr w:type="spellEnd"/>
      <w:r w:rsidRPr="00322A32">
        <w:rPr>
          <w:rFonts w:ascii="Arial" w:hAnsi="Arial" w:cs="Arial"/>
        </w:rPr>
        <w:t xml:space="preserve">, O. (2022). </w:t>
      </w:r>
      <w:proofErr w:type="spellStart"/>
      <w:r w:rsidRPr="00322A32">
        <w:rPr>
          <w:rFonts w:ascii="Arial" w:hAnsi="Arial" w:cs="Arial"/>
        </w:rPr>
        <w:t>Pengaruh</w:t>
      </w:r>
      <w:proofErr w:type="spellEnd"/>
      <w:r w:rsidRPr="00322A32">
        <w:rPr>
          <w:rFonts w:ascii="Arial" w:hAnsi="Arial" w:cs="Arial"/>
        </w:rPr>
        <w:t xml:space="preserve"> </w:t>
      </w:r>
      <w:proofErr w:type="spellStart"/>
      <w:r w:rsidRPr="00322A32">
        <w:rPr>
          <w:rFonts w:ascii="Arial" w:hAnsi="Arial" w:cs="Arial"/>
        </w:rPr>
        <w:t>Pengungkapan</w:t>
      </w:r>
      <w:proofErr w:type="spellEnd"/>
      <w:r w:rsidRPr="00322A32">
        <w:rPr>
          <w:rFonts w:ascii="Arial" w:hAnsi="Arial" w:cs="Arial"/>
        </w:rPr>
        <w:t xml:space="preserve"> Corporate Social Responsibility Dan </w:t>
      </w:r>
      <w:proofErr w:type="spellStart"/>
      <w:r w:rsidRPr="00322A32">
        <w:rPr>
          <w:rFonts w:ascii="Arial" w:hAnsi="Arial" w:cs="Arial"/>
        </w:rPr>
        <w:t>Profitabilitas</w:t>
      </w:r>
      <w:proofErr w:type="spellEnd"/>
      <w:r w:rsidRPr="00322A32">
        <w:rPr>
          <w:rFonts w:ascii="Arial" w:hAnsi="Arial" w:cs="Arial"/>
        </w:rPr>
        <w:t xml:space="preserve"> </w:t>
      </w:r>
      <w:proofErr w:type="spellStart"/>
      <w:r w:rsidRPr="00322A32">
        <w:rPr>
          <w:rFonts w:ascii="Arial" w:hAnsi="Arial" w:cs="Arial"/>
        </w:rPr>
        <w:t>Terhadap</w:t>
      </w:r>
      <w:proofErr w:type="spellEnd"/>
      <w:r w:rsidRPr="00322A32">
        <w:rPr>
          <w:rFonts w:ascii="Arial" w:hAnsi="Arial" w:cs="Arial"/>
        </w:rPr>
        <w:t xml:space="preserve"> Nilai</w:t>
      </w:r>
      <w:r w:rsidRPr="00322A32">
        <w:rPr>
          <w:rFonts w:ascii="Arial" w:hAnsi="Arial" w:cs="Arial"/>
          <w:spacing w:val="-1"/>
        </w:rPr>
        <w:t xml:space="preserve"> </w:t>
      </w:r>
      <w:r w:rsidRPr="00322A32">
        <w:rPr>
          <w:rFonts w:ascii="Arial" w:hAnsi="Arial" w:cs="Arial"/>
        </w:rPr>
        <w:t>Perusahaan</w:t>
      </w:r>
      <w:r w:rsidRPr="00322A32">
        <w:rPr>
          <w:rFonts w:ascii="Arial" w:hAnsi="Arial" w:cs="Arial"/>
          <w:spacing w:val="-1"/>
        </w:rPr>
        <w:t xml:space="preserve"> </w:t>
      </w:r>
      <w:proofErr w:type="gramStart"/>
      <w:r w:rsidRPr="00322A32">
        <w:rPr>
          <w:rFonts w:ascii="Arial" w:hAnsi="Arial" w:cs="Arial"/>
        </w:rPr>
        <w:t>(</w:t>
      </w:r>
      <w:r w:rsidRPr="00322A32">
        <w:rPr>
          <w:rFonts w:ascii="Arial" w:hAnsi="Arial" w:cs="Arial"/>
          <w:spacing w:val="-2"/>
        </w:rPr>
        <w:t xml:space="preserve"> </w:t>
      </w:r>
      <w:proofErr w:type="spellStart"/>
      <w:r w:rsidRPr="00322A32">
        <w:rPr>
          <w:rFonts w:ascii="Arial" w:hAnsi="Arial" w:cs="Arial"/>
        </w:rPr>
        <w:t>Studi</w:t>
      </w:r>
      <w:proofErr w:type="spellEnd"/>
      <w:proofErr w:type="gramEnd"/>
      <w:r w:rsidRPr="00322A32">
        <w:rPr>
          <w:rFonts w:ascii="Arial" w:hAnsi="Arial" w:cs="Arial"/>
          <w:spacing w:val="-1"/>
        </w:rPr>
        <w:t xml:space="preserve"> </w:t>
      </w:r>
      <w:proofErr w:type="spellStart"/>
      <w:r w:rsidRPr="00322A32">
        <w:rPr>
          <w:rFonts w:ascii="Arial" w:hAnsi="Arial" w:cs="Arial"/>
        </w:rPr>
        <w:t>Empiris</w:t>
      </w:r>
      <w:proofErr w:type="spellEnd"/>
      <w:r w:rsidRPr="00322A32">
        <w:rPr>
          <w:rFonts w:ascii="Arial" w:hAnsi="Arial" w:cs="Arial"/>
          <w:spacing w:val="-1"/>
        </w:rPr>
        <w:t xml:space="preserve"> </w:t>
      </w:r>
      <w:r w:rsidRPr="00322A32">
        <w:rPr>
          <w:rFonts w:ascii="Arial" w:hAnsi="Arial" w:cs="Arial"/>
        </w:rPr>
        <w:t>Pada</w:t>
      </w:r>
      <w:r w:rsidRPr="00322A32">
        <w:rPr>
          <w:rFonts w:ascii="Arial" w:hAnsi="Arial" w:cs="Arial"/>
          <w:spacing w:val="-2"/>
        </w:rPr>
        <w:t xml:space="preserve"> </w:t>
      </w:r>
      <w:r w:rsidRPr="00322A32">
        <w:rPr>
          <w:rFonts w:ascii="Arial" w:hAnsi="Arial" w:cs="Arial"/>
        </w:rPr>
        <w:t>Perusahaan</w:t>
      </w:r>
      <w:r w:rsidRPr="00322A32">
        <w:rPr>
          <w:rFonts w:ascii="Arial" w:hAnsi="Arial" w:cs="Arial"/>
          <w:spacing w:val="-1"/>
        </w:rPr>
        <w:t xml:space="preserve"> </w:t>
      </w:r>
      <w:proofErr w:type="spellStart"/>
      <w:r w:rsidRPr="00322A32">
        <w:rPr>
          <w:rFonts w:ascii="Arial" w:hAnsi="Arial" w:cs="Arial"/>
        </w:rPr>
        <w:t>Bumn</w:t>
      </w:r>
      <w:proofErr w:type="spellEnd"/>
      <w:r w:rsidRPr="00322A32">
        <w:rPr>
          <w:rFonts w:ascii="Arial" w:hAnsi="Arial" w:cs="Arial"/>
        </w:rPr>
        <w:t xml:space="preserve"> yang </w:t>
      </w:r>
      <w:proofErr w:type="spellStart"/>
      <w:r w:rsidRPr="00322A32">
        <w:rPr>
          <w:rFonts w:ascii="Arial" w:hAnsi="Arial" w:cs="Arial"/>
        </w:rPr>
        <w:t>Terdaftar</w:t>
      </w:r>
      <w:proofErr w:type="spellEnd"/>
      <w:r w:rsidRPr="00322A32">
        <w:rPr>
          <w:rFonts w:ascii="Arial" w:hAnsi="Arial" w:cs="Arial"/>
          <w:spacing w:val="-1"/>
        </w:rPr>
        <w:t xml:space="preserve"> </w:t>
      </w:r>
      <w:r w:rsidRPr="00322A32">
        <w:rPr>
          <w:rFonts w:ascii="Arial" w:hAnsi="Arial" w:cs="Arial"/>
        </w:rPr>
        <w:t xml:space="preserve">Di Bursa </w:t>
      </w:r>
      <w:proofErr w:type="spellStart"/>
      <w:r w:rsidRPr="00322A32">
        <w:rPr>
          <w:rFonts w:ascii="Arial" w:hAnsi="Arial" w:cs="Arial"/>
        </w:rPr>
        <w:t>Efek</w:t>
      </w:r>
      <w:proofErr w:type="spellEnd"/>
      <w:r w:rsidRPr="00322A32">
        <w:rPr>
          <w:rFonts w:ascii="Arial" w:hAnsi="Arial" w:cs="Arial"/>
        </w:rPr>
        <w:t xml:space="preserve"> Indonesia </w:t>
      </w:r>
      <w:proofErr w:type="spellStart"/>
      <w:r w:rsidRPr="00322A32">
        <w:rPr>
          <w:rFonts w:ascii="Arial" w:hAnsi="Arial" w:cs="Arial"/>
        </w:rPr>
        <w:t>Periode</w:t>
      </w:r>
      <w:proofErr w:type="spellEnd"/>
      <w:r w:rsidRPr="00322A32">
        <w:rPr>
          <w:rFonts w:ascii="Arial" w:hAnsi="Arial" w:cs="Arial"/>
        </w:rPr>
        <w:t xml:space="preserve"> 2017-2020 ). 2(September), 138–150. </w:t>
      </w:r>
      <w:hyperlink r:id="rId81">
        <w:r w:rsidRPr="00322A32">
          <w:rPr>
            <w:rFonts w:ascii="Arial" w:hAnsi="Arial" w:cs="Arial"/>
            <w:spacing w:val="-2"/>
          </w:rPr>
          <w:t>http://journal.univpancasila.ac.id/index.php/JIAP/%0</w:t>
        </w:r>
      </w:hyperlink>
    </w:p>
    <w:p w14:paraId="0B536930" w14:textId="77777777" w:rsidR="002F1BEE" w:rsidRDefault="002F1BEE">
      <w:pPr>
        <w:pBdr>
          <w:top w:val="nil"/>
          <w:left w:val="nil"/>
          <w:bottom w:val="nil"/>
          <w:right w:val="nil"/>
          <w:between w:val="nil"/>
        </w:pBdr>
        <w:jc w:val="both"/>
        <w:rPr>
          <w:rFonts w:ascii="Arial" w:eastAsia="Arial" w:hAnsi="Arial" w:cs="Arial"/>
          <w:color w:val="000000"/>
        </w:rPr>
      </w:pPr>
    </w:p>
    <w:p w14:paraId="19F70FC3" w14:textId="1D3DE716" w:rsidR="002F1BEE" w:rsidRDefault="002F1BEE">
      <w:pPr>
        <w:keepNext/>
        <w:pBdr>
          <w:top w:val="nil"/>
          <w:left w:val="nil"/>
          <w:bottom w:val="nil"/>
          <w:right w:val="nil"/>
          <w:between w:val="nil"/>
        </w:pBdr>
        <w:jc w:val="both"/>
        <w:rPr>
          <w:rFonts w:ascii="Arial" w:eastAsia="Arial" w:hAnsi="Arial" w:cs="Arial"/>
          <w:smallCaps/>
          <w:color w:val="000000"/>
          <w:sz w:val="22"/>
          <w:szCs w:val="22"/>
        </w:rPr>
        <w:sectPr w:rsidR="002F1BEE" w:rsidSect="00FE58AF">
          <w:headerReference w:type="even" r:id="rId82"/>
          <w:headerReference w:type="default" r:id="rId83"/>
          <w:footerReference w:type="default" r:id="rId84"/>
          <w:headerReference w:type="first" r:id="rId85"/>
          <w:type w:val="continuous"/>
          <w:pgSz w:w="12240" w:h="15840"/>
          <w:pgMar w:top="1440" w:right="2016" w:bottom="2016" w:left="2016" w:header="720" w:footer="1123" w:gutter="0"/>
          <w:cols w:space="720"/>
          <w:docGrid w:linePitch="272"/>
        </w:sectPr>
      </w:pPr>
    </w:p>
    <w:p w14:paraId="36245D98" w14:textId="77777777" w:rsidR="002F1BEE" w:rsidRDefault="002F1BEE">
      <w:pPr>
        <w:keepNext/>
        <w:pBdr>
          <w:top w:val="nil"/>
          <w:left w:val="nil"/>
          <w:bottom w:val="nil"/>
          <w:right w:val="nil"/>
          <w:between w:val="nil"/>
        </w:pBdr>
        <w:jc w:val="both"/>
        <w:rPr>
          <w:rFonts w:ascii="Arial" w:eastAsia="Arial" w:hAnsi="Arial" w:cs="Arial"/>
          <w:smallCaps/>
          <w:color w:val="000000"/>
          <w:sz w:val="22"/>
          <w:szCs w:val="22"/>
        </w:rPr>
      </w:pPr>
    </w:p>
    <w:sectPr w:rsidR="002F1BEE" w:rsidSect="00FE58AF">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871A1" w14:textId="77777777" w:rsidR="00DA2D3B" w:rsidRDefault="00DA2D3B">
      <w:r>
        <w:separator/>
      </w:r>
    </w:p>
  </w:endnote>
  <w:endnote w:type="continuationSeparator" w:id="0">
    <w:p w14:paraId="5F0DFDB4" w14:textId="77777777" w:rsidR="00DA2D3B" w:rsidRDefault="00DA2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C12829B6-C46B-48B1-B348-20C39381EC64}"/>
    <w:embedBold r:id="rId2" w:fontKey="{F966AEC5-A32B-4EAF-87B0-2389F1FD882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FC1F3898-53C1-4F23-8DAE-7F0F9C242289}"/>
  </w:font>
  <w:font w:name="Helvetica">
    <w:panose1 w:val="020B0604020202020204"/>
    <w:charset w:val="00"/>
    <w:family w:val="swiss"/>
    <w:pitch w:val="variable"/>
    <w:sig w:usb0="E0002EFF" w:usb1="C000785B" w:usb2="00000009" w:usb3="00000000" w:csb0="000001FF" w:csb1="00000000"/>
    <w:embedRegular r:id="rId4" w:fontKey="{F3774C90-7A34-49FD-ACD9-A0D1FBB07232}"/>
  </w:font>
  <w:font w:name="Tahoma">
    <w:panose1 w:val="020B0604030504040204"/>
    <w:charset w:val="00"/>
    <w:family w:val="swiss"/>
    <w:pitch w:val="variable"/>
    <w:sig w:usb0="E1002EFF" w:usb1="C000605B" w:usb2="00000029" w:usb3="00000000" w:csb0="000101FF" w:csb1="00000000"/>
    <w:embedRegular r:id="rId5" w:fontKey="{42CB6D01-C663-4EEB-909F-1A6BC94D46EF}"/>
  </w:font>
  <w:font w:name="Georgia">
    <w:panose1 w:val="02040502050405020303"/>
    <w:charset w:val="00"/>
    <w:family w:val="roman"/>
    <w:pitch w:val="variable"/>
    <w:sig w:usb0="00000287" w:usb1="00000000" w:usb2="00000000" w:usb3="00000000" w:csb0="0000009F" w:csb1="00000000"/>
    <w:embedItalic r:id="rId6" w:fontKey="{0EBD0D41-9DB5-4FA4-AE59-4943723B1694}"/>
  </w:font>
  <w:font w:name="Cambria Math">
    <w:panose1 w:val="02040503050406030204"/>
    <w:charset w:val="00"/>
    <w:family w:val="roman"/>
    <w:pitch w:val="variable"/>
    <w:sig w:usb0="E00006FF" w:usb1="420024FF" w:usb2="02000000" w:usb3="00000000" w:csb0="0000019F" w:csb1="00000000"/>
    <w:embedRegular r:id="rId7" w:fontKey="{652702B2-3D67-4A81-826C-5FFC3453A58C}"/>
  </w:font>
  <w:font w:name="Roboto">
    <w:charset w:val="00"/>
    <w:family w:val="auto"/>
    <w:pitch w:val="variable"/>
    <w:sig w:usb0="E0000AFF" w:usb1="5000217F" w:usb2="00000021" w:usb3="00000000" w:csb0="0000019F" w:csb1="00000000"/>
    <w:embedRegular r:id="rId8" w:fontKey="{E4B5287F-7551-4281-BFF7-5E401EED76E0}"/>
  </w:font>
  <w:font w:name="Cambria">
    <w:panose1 w:val="02040503050406030204"/>
    <w:charset w:val="00"/>
    <w:family w:val="roman"/>
    <w:pitch w:val="variable"/>
    <w:sig w:usb0="E00006FF" w:usb1="420024FF" w:usb2="02000000" w:usb3="00000000" w:csb0="0000019F" w:csb1="00000000"/>
    <w:embedRegular r:id="rId9" w:fontKey="{94761782-E7FF-4B74-B98F-C151B38CD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9F2A0" w14:textId="77777777" w:rsidR="002F1BEE" w:rsidRDefault="002F1BE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D2BDF" w14:textId="77777777" w:rsidR="00FE58AF" w:rsidRDefault="00FE58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E2BBE" w14:textId="396A13C9" w:rsidR="002F1BEE" w:rsidRPr="006D28C8" w:rsidRDefault="002F1BEE" w:rsidP="006D28C8">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14D40" w14:textId="77777777" w:rsidR="002F1BEE" w:rsidRDefault="002F1BE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487C6" w14:textId="77777777" w:rsidR="00DA2D3B" w:rsidRDefault="00DA2D3B">
      <w:r>
        <w:separator/>
      </w:r>
    </w:p>
  </w:footnote>
  <w:footnote w:type="continuationSeparator" w:id="0">
    <w:p w14:paraId="6845F419" w14:textId="77777777" w:rsidR="00DA2D3B" w:rsidRDefault="00DA2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A4F39" w14:textId="42AEBDF7" w:rsidR="002F1BEE" w:rsidRDefault="00FE58AF">
    <w:pPr>
      <w:pBdr>
        <w:top w:val="nil"/>
        <w:left w:val="nil"/>
        <w:bottom w:val="nil"/>
        <w:right w:val="nil"/>
        <w:between w:val="nil"/>
      </w:pBdr>
      <w:tabs>
        <w:tab w:val="center" w:pos="4320"/>
        <w:tab w:val="right" w:pos="8640"/>
      </w:tabs>
      <w:rPr>
        <w:color w:val="000000"/>
      </w:rPr>
    </w:pPr>
    <w:r>
      <w:rPr>
        <w:noProof/>
      </w:rPr>
      <w:pict w14:anchorId="4697A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7BDE4" w14:textId="7E0624A3" w:rsidR="002F1BEE" w:rsidRDefault="00FE58AF">
    <w:pPr>
      <w:pBdr>
        <w:top w:val="nil"/>
        <w:left w:val="nil"/>
        <w:bottom w:val="nil"/>
        <w:right w:val="nil"/>
        <w:between w:val="nil"/>
      </w:pBdr>
      <w:tabs>
        <w:tab w:val="center" w:pos="4320"/>
        <w:tab w:val="right" w:pos="8640"/>
      </w:tabs>
      <w:rPr>
        <w:color w:val="000000"/>
      </w:rPr>
    </w:pPr>
    <w:r>
      <w:rPr>
        <w:noProof/>
      </w:rPr>
      <w:pict w14:anchorId="4A782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D560" w14:textId="40E1FF60" w:rsidR="002F1BEE" w:rsidRDefault="00FE58AF">
    <w:pPr>
      <w:ind w:left="2160"/>
      <w:jc w:val="center"/>
      <w:rPr>
        <w:rFonts w:ascii="Times New Roman" w:eastAsia="Times New Roman" w:hAnsi="Times New Roman" w:cs="Times New Roman"/>
        <w:i/>
        <w:iCs/>
        <w:sz w:val="18"/>
        <w:szCs w:val="18"/>
      </w:rPr>
    </w:pPr>
    <w:r>
      <w:rPr>
        <w:noProof/>
      </w:rPr>
      <w:pict w14:anchorId="28A79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B889D6B" w14:textId="77777777" w:rsidR="002F1BEE" w:rsidRDefault="005A24ED">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30BC7AC" w14:textId="77777777" w:rsidR="002F1BEE" w:rsidRDefault="005A24E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45F7D4FF" w14:textId="77777777" w:rsidR="002F1BEE" w:rsidRDefault="005A24ED">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4FB3075D" w14:textId="77777777" w:rsidR="002F1BEE" w:rsidRDefault="005A24E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22E54A0" w14:textId="77777777" w:rsidR="002F1BEE" w:rsidRDefault="005A24ED">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6714FCB" w14:textId="77777777" w:rsidR="002F1BEE" w:rsidRDefault="005A24E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5A600" w14:textId="7A47AB03" w:rsidR="00FE58AF" w:rsidRDefault="00FE58AF">
    <w:pPr>
      <w:pStyle w:val="Header"/>
    </w:pPr>
    <w:r>
      <w:rPr>
        <w:noProof/>
      </w:rPr>
      <w:pict w14:anchorId="3EA92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3C306" w14:textId="141A1699" w:rsidR="00FE58AF" w:rsidRDefault="00FE58AF">
    <w:pPr>
      <w:pStyle w:val="Header"/>
    </w:pPr>
    <w:r>
      <w:rPr>
        <w:noProof/>
      </w:rPr>
      <w:pict w14:anchorId="235BC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0A607" w14:textId="4FC65CE0" w:rsidR="00FE58AF" w:rsidRDefault="00FE58AF">
    <w:pPr>
      <w:pStyle w:val="Header"/>
    </w:pPr>
    <w:r>
      <w:rPr>
        <w:noProof/>
      </w:rPr>
      <w:pict w14:anchorId="7929B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C73C5"/>
    <w:multiLevelType w:val="multilevel"/>
    <w:tmpl w:val="2B70DF4C"/>
    <w:lvl w:ilvl="0">
      <w:start w:val="1"/>
      <w:numFmt w:val="lowerLetter"/>
      <w:pStyle w:val="Reference"/>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C7A2827"/>
    <w:multiLevelType w:val="multilevel"/>
    <w:tmpl w:val="18D62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BEE"/>
    <w:rsid w:val="000172AF"/>
    <w:rsid w:val="000420FB"/>
    <w:rsid w:val="00206773"/>
    <w:rsid w:val="002864EC"/>
    <w:rsid w:val="002A2697"/>
    <w:rsid w:val="002F1BEE"/>
    <w:rsid w:val="00316EC7"/>
    <w:rsid w:val="004B252E"/>
    <w:rsid w:val="00560DDF"/>
    <w:rsid w:val="00570735"/>
    <w:rsid w:val="005A24ED"/>
    <w:rsid w:val="005B748B"/>
    <w:rsid w:val="006D28C8"/>
    <w:rsid w:val="00824742"/>
    <w:rsid w:val="008731C0"/>
    <w:rsid w:val="008845E9"/>
    <w:rsid w:val="009E79AB"/>
    <w:rsid w:val="00AB1B53"/>
    <w:rsid w:val="00AF0B37"/>
    <w:rsid w:val="00B94550"/>
    <w:rsid w:val="00D2052E"/>
    <w:rsid w:val="00DA2D3B"/>
    <w:rsid w:val="00EE7C18"/>
    <w:rsid w:val="00F0757C"/>
    <w:rsid w:val="00FE58A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101B4D"/>
  <w15:docId w15:val="{7AA41EF8-894B-4B3D-889C-5F18E96DD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B4F9A"/>
    <w:pPr>
      <w:ind w:left="720"/>
      <w:contextualSpacing/>
    </w:pPr>
  </w:style>
  <w:style w:type="paragraph" w:customStyle="1" w:styleId="TableParagraph">
    <w:name w:val="Table Paragraph"/>
    <w:basedOn w:val="Normal"/>
    <w:uiPriority w:val="1"/>
    <w:qFormat/>
    <w:rsid w:val="008616F1"/>
    <w:pPr>
      <w:widowControl w:val="0"/>
      <w:autoSpaceDE w:val="0"/>
      <w:autoSpaceDN w:val="0"/>
      <w:spacing w:line="275" w:lineRule="exact"/>
      <w:ind w:left="108"/>
    </w:pPr>
    <w:rPr>
      <w:rFonts w:ascii="Times New Roman" w:eastAsia="Times New Roman" w:hAnsi="Times New Roman" w:cs="Times New Roman"/>
      <w:sz w:val="22"/>
      <w:szCs w:val="22"/>
      <w:lang w:val="id"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9E7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02/mar.21940" TargetMode="External"/><Relationship Id="rId21" Type="http://schemas.openxmlformats.org/officeDocument/2006/relationships/hyperlink" Target="http://dx.doi.org/10.25105/jet.v3i1.16424" TargetMode="External"/><Relationship Id="rId42" Type="http://schemas.openxmlformats.org/officeDocument/2006/relationships/hyperlink" Target="https://doi.org/10.2308/ajpt-18-092" TargetMode="External"/><Relationship Id="rId47" Type="http://schemas.openxmlformats.org/officeDocument/2006/relationships/hyperlink" Target="https://doi.org/10.1016/j.jbusres.2025.115218" TargetMode="External"/><Relationship Id="rId63" Type="http://schemas.openxmlformats.org/officeDocument/2006/relationships/hyperlink" Target="https://doi.org/10.35609/gjbssr.2017.5.2(12)" TargetMode="External"/><Relationship Id="rId68" Type="http://schemas.openxmlformats.org/officeDocument/2006/relationships/hyperlink" Target="https://doi.org/10.1016/b978-0-12-214850-7.50025-5" TargetMode="External"/><Relationship Id="rId84" Type="http://schemas.openxmlformats.org/officeDocument/2006/relationships/footer" Target="footer4.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hyperlink" Target="https://doi.org/10.33476/jamer.v4i1.300" TargetMode="External"/><Relationship Id="rId37" Type="http://schemas.openxmlformats.org/officeDocument/2006/relationships/hyperlink" Target="https://doi.org/https://doi.org/10.32479/ijeep.15913" TargetMode="External"/><Relationship Id="rId53" Type="http://schemas.openxmlformats.org/officeDocument/2006/relationships/hyperlink" Target="http://www.jstor.org/stable/2351143" TargetMode="External"/><Relationship Id="rId58" Type="http://schemas.openxmlformats.org/officeDocument/2006/relationships/hyperlink" Target="https://doi.org/10.20414/jed.v6i1.8462" TargetMode="External"/><Relationship Id="rId74" Type="http://schemas.openxmlformats.org/officeDocument/2006/relationships/hyperlink" Target="https://doi.org/10.3390/jrfm17120570" TargetMode="External"/><Relationship Id="rId79" Type="http://schemas.openxmlformats.org/officeDocument/2006/relationships/hyperlink" Target="https://doi.org/10.1016/j.jhtm.2018.10.005" TargetMode="External"/><Relationship Id="rId5" Type="http://schemas.openxmlformats.org/officeDocument/2006/relationships/webSettings" Target="webSettings.xml"/><Relationship Id="rId19" Type="http://schemas.openxmlformats.org/officeDocument/2006/relationships/hyperlink" Target="https://doi.org/10.33395/owner.v6i3.956" TargetMode="External"/><Relationship Id="rId14" Type="http://schemas.openxmlformats.org/officeDocument/2006/relationships/image" Target="media/image2.png"/><Relationship Id="rId22" Type="http://schemas.openxmlformats.org/officeDocument/2006/relationships/hyperlink" Target="https://doi.org/10.33423/jabe.v25i6.6576" TargetMode="External"/><Relationship Id="rId27" Type="http://schemas.openxmlformats.org/officeDocument/2006/relationships/hyperlink" Target="https://doi.org/10.1177/03128962241251498" TargetMode="External"/><Relationship Id="rId30" Type="http://schemas.openxmlformats.org/officeDocument/2006/relationships/hyperlink" Target="https://doi.org/10.35448/jrat.v18i2.31917" TargetMode="External"/><Relationship Id="rId35" Type="http://schemas.openxmlformats.org/officeDocument/2006/relationships/hyperlink" Target="https://doi.org/10.33633/jpeb.v9i1.8154" TargetMode="External"/><Relationship Id="rId43" Type="http://schemas.openxmlformats.org/officeDocument/2006/relationships/hyperlink" Target="https://doi.org/10.37641/jimkes.v13i6.4206" TargetMode="External"/><Relationship Id="rId48" Type="http://schemas.openxmlformats.org/officeDocument/2006/relationships/hyperlink" Target="https://doi.org/10.1016/j.jbusres.2020.11.063" TargetMode="External"/><Relationship Id="rId56" Type="http://schemas.openxmlformats.org/officeDocument/2006/relationships/hyperlink" Target="https://doi.org/10.38142/ijesss.v3i3.271" TargetMode="External"/><Relationship Id="rId64" Type="http://schemas.openxmlformats.org/officeDocument/2006/relationships/hyperlink" Target="https://doi.org/10.20885/jsb.vol30.iss1.art1" TargetMode="External"/><Relationship Id="rId69" Type="http://schemas.openxmlformats.org/officeDocument/2006/relationships/hyperlink" Target="https://doi.org/10.30574/ijsra.2024.13.1.1869" TargetMode="External"/><Relationship Id="rId77" Type="http://schemas.openxmlformats.org/officeDocument/2006/relationships/hyperlink" Target="https://doi.org/10.32497/keunis.v14i1.6742" TargetMode="External"/><Relationship Id="rId8" Type="http://schemas.openxmlformats.org/officeDocument/2006/relationships/header" Target="header1.xml"/><Relationship Id="rId51" Type="http://schemas.openxmlformats.org/officeDocument/2006/relationships/hyperlink" Target="https://doi.org/10.7441/joc.2021.01.07" TargetMode="External"/><Relationship Id="rId72" Type="http://schemas.openxmlformats.org/officeDocument/2006/relationships/hyperlink" Target="https://doi.org/https://doi.org/10.21776/ub.jamp.2019.010.02.18" TargetMode="External"/><Relationship Id="rId80" Type="http://schemas.openxmlformats.org/officeDocument/2006/relationships/hyperlink" Target="https://doi.org/10.9734/ajeba/2025/v25i112050" TargetMode="Externa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2/csr.2446" TargetMode="External"/><Relationship Id="rId33" Type="http://schemas.openxmlformats.org/officeDocument/2006/relationships/hyperlink" Target="https://doi.org/10.21002/jaki.2024.11" TargetMode="External"/><Relationship Id="rId38" Type="http://schemas.openxmlformats.org/officeDocument/2006/relationships/hyperlink" Target="https://doi.org/10.1002/csr.1724" TargetMode="External"/><Relationship Id="rId46" Type="http://schemas.openxmlformats.org/officeDocument/2006/relationships/hyperlink" Target="https://doi.org/10.24912/je.v25i2.669" TargetMode="External"/><Relationship Id="rId59" Type="http://schemas.openxmlformats.org/officeDocument/2006/relationships/hyperlink" Target="https://doi.org/10.24912/je.v30i1.2645" TargetMode="External"/><Relationship Id="rId67" Type="http://schemas.openxmlformats.org/officeDocument/2006/relationships/hyperlink" Target="https://doi.org/10.23969/jrak.v15i1.6745" TargetMode="External"/><Relationship Id="rId20" Type="http://schemas.openxmlformats.org/officeDocument/2006/relationships/hyperlink" Target="https://doi.org/10.31575/jp.v5i1.342" TargetMode="External"/><Relationship Id="rId41" Type="http://schemas.openxmlformats.org/officeDocument/2006/relationships/hyperlink" Target="https://doi.org/10.26668/businessreview/2023.v8i2.625" TargetMode="External"/><Relationship Id="rId54" Type="http://schemas.openxmlformats.org/officeDocument/2006/relationships/hyperlink" Target="https://doi.org/10.1007/s10997-025-09746-y" TargetMode="External"/><Relationship Id="rId62" Type="http://schemas.openxmlformats.org/officeDocument/2006/relationships/hyperlink" Target="https://doi.org/10.61656/sbamr.v6i2.213" TargetMode="External"/><Relationship Id="rId70" Type="http://schemas.openxmlformats.org/officeDocument/2006/relationships/hyperlink" Target="https://doi.org/10.1080/23311975.2024.2381087" TargetMode="External"/><Relationship Id="rId75" Type="http://schemas.openxmlformats.org/officeDocument/2006/relationships/hyperlink" Target="https://doi.org/10.24912/ijaeb.v2i2.3510-3517"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doi.org/10.1016/0007-6813(91)90005-g" TargetMode="External"/><Relationship Id="rId28" Type="http://schemas.openxmlformats.org/officeDocument/2006/relationships/hyperlink" Target="https://doi.org/10.1177/21582440241259479" TargetMode="External"/><Relationship Id="rId36" Type="http://schemas.openxmlformats.org/officeDocument/2006/relationships/hyperlink" Target="https://doi.org/10.61132/ijema.v2i4.853" TargetMode="External"/><Relationship Id="rId49" Type="http://schemas.openxmlformats.org/officeDocument/2006/relationships/hyperlink" Target="https://doi.org/10.29040/ijebar.v7i1.8414" TargetMode="External"/><Relationship Id="rId57" Type="http://schemas.openxmlformats.org/officeDocument/2006/relationships/hyperlink" Target="https://doi.org/10.29244/mikm.20.2.167-179" TargetMode="External"/><Relationship Id="rId10" Type="http://schemas.openxmlformats.org/officeDocument/2006/relationships/footer" Target="footer1.xml"/><Relationship Id="rId31" Type="http://schemas.openxmlformats.org/officeDocument/2006/relationships/hyperlink" Target="https://doi.org/10.1080/23322039.2024.2445147" TargetMode="External"/><Relationship Id="rId44" Type="http://schemas.openxmlformats.org/officeDocument/2006/relationships/hyperlink" Target="https://doi.org/10.30741/assets.v9i2.1667" TargetMode="External"/><Relationship Id="rId52" Type="http://schemas.openxmlformats.org/officeDocument/2006/relationships/hyperlink" Target="https://doi.org/10.70895/jemba.v1i1.2" TargetMode="External"/><Relationship Id="rId60" Type="http://schemas.openxmlformats.org/officeDocument/2006/relationships/hyperlink" Target="https://doi.org/10.1016/j.jbusres.2014.06.024" TargetMode="External"/><Relationship Id="rId65" Type="http://schemas.openxmlformats.org/officeDocument/2006/relationships/hyperlink" Target="https://doi.org/10.1080/1331677X.2018.1547202" TargetMode="External"/><Relationship Id="rId73" Type="http://schemas.openxmlformats.org/officeDocument/2006/relationships/hyperlink" Target="https://ijabr.polban.ac.id/ijabr/article/view/422" TargetMode="External"/><Relationship Id="rId78" Type="http://schemas.openxmlformats.org/officeDocument/2006/relationships/hyperlink" Target="https://doi.org/10.1155/2023/7249799" TargetMode="External"/><Relationship Id="rId81" Type="http://schemas.openxmlformats.org/officeDocument/2006/relationships/hyperlink" Target="http://journal.univpancasila.ac.id/index.php/JIAP/%250"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1177/21582440211040113" TargetMode="External"/><Relationship Id="rId39" Type="http://schemas.openxmlformats.org/officeDocument/2006/relationships/hyperlink" Target="https://doi.org/10.1016/j.jclepro.2022.131798" TargetMode="External"/><Relationship Id="rId34" Type="http://schemas.openxmlformats.org/officeDocument/2006/relationships/hyperlink" Target="https://doi.org/10.1016/j.intaccaudtax.2023.100579" TargetMode="External"/><Relationship Id="rId50" Type="http://schemas.openxmlformats.org/officeDocument/2006/relationships/hyperlink" Target="https://doi.org/10.1108/S1574-07652023003" TargetMode="External"/><Relationship Id="rId55" Type="http://schemas.openxmlformats.org/officeDocument/2006/relationships/hyperlink" Target="https://doi.org/https://doi.org/10.32508/stdjelm.v6i3.1057" TargetMode="External"/><Relationship Id="rId76" Type="http://schemas.openxmlformats.org/officeDocument/2006/relationships/hyperlink" Target="https://doi.org/10.35384/jime.v16i1.511" TargetMode="External"/><Relationship Id="rId7" Type="http://schemas.openxmlformats.org/officeDocument/2006/relationships/endnotes" Target="endnotes.xml"/><Relationship Id="rId71" Type="http://schemas.openxmlformats.org/officeDocument/2006/relationships/hyperlink" Target="https://doi.org/10.20414/jed.v7i2.13447" TargetMode="External"/><Relationship Id="rId2" Type="http://schemas.openxmlformats.org/officeDocument/2006/relationships/numbering" Target="numbering.xml"/><Relationship Id="rId29" Type="http://schemas.openxmlformats.org/officeDocument/2006/relationships/hyperlink" Target="https://doi.org/10.1016/j.jik.2025.100899" TargetMode="External"/><Relationship Id="rId24" Type="http://schemas.openxmlformats.org/officeDocument/2006/relationships/hyperlink" Target="https://doi.org/10.47153/afs51.13032025" TargetMode="External"/><Relationship Id="rId40" Type="http://schemas.openxmlformats.org/officeDocument/2006/relationships/hyperlink" Target="https://doi.org/10.15549/jeecar.v9i4.940" TargetMode="External"/><Relationship Id="rId45" Type="http://schemas.openxmlformats.org/officeDocument/2006/relationships/hyperlink" Target="https://doi.org/10.47191/jefms/v7-i2-58" TargetMode="External"/><Relationship Id="rId66" Type="http://schemas.openxmlformats.org/officeDocument/2006/relationships/hyperlink" Target="https://doi.org/10.22495/jgrv14i2siart7" TargetMode="External"/><Relationship Id="rId87" Type="http://schemas.openxmlformats.org/officeDocument/2006/relationships/theme" Target="theme/theme1.xml"/><Relationship Id="rId61" Type="http://schemas.openxmlformats.org/officeDocument/2006/relationships/hyperlink" Target="https://doi.org/10.24912/ijaeb.v3i2.812-822" TargetMode="External"/><Relationship Id="rId8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XDpjKT8XpJaVo49Bxaw+MUiSww==">CgMxLjA4AHIhMWo5ejFZam1fbDZGcWl0YUhJbEt6YnozaUZuam9EdjhR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21</Pages>
  <Words>10938</Words>
  <Characters>62352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17</cp:revision>
  <dcterms:created xsi:type="dcterms:W3CDTF">2014-10-25T14:34:00Z</dcterms:created>
  <dcterms:modified xsi:type="dcterms:W3CDTF">2026-01-21T11:05:00Z</dcterms:modified>
</cp:coreProperties>
</file>