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DAB2ED" w14:textId="2573991B" w:rsidR="00365F3E" w:rsidRPr="00365F3E" w:rsidRDefault="00365F3E" w:rsidP="00365F3E">
      <w:pPr>
        <w:pStyle w:val="Author"/>
        <w:spacing w:line="240" w:lineRule="auto"/>
        <w:jc w:val="left"/>
        <w:rPr>
          <w:rFonts w:ascii="Arial" w:hAnsi="Arial" w:cs="Arial"/>
          <w:bCs/>
          <w:iCs/>
          <w:kern w:val="28"/>
          <w:sz w:val="36"/>
          <w:u w:val="single"/>
        </w:rPr>
      </w:pPr>
      <w:r w:rsidRPr="00365F3E">
        <w:rPr>
          <w:rFonts w:ascii="Arial" w:hAnsi="Arial" w:cs="Arial"/>
          <w:bCs/>
          <w:iCs/>
          <w:kern w:val="28"/>
          <w:sz w:val="36"/>
          <w:u w:val="single"/>
        </w:rPr>
        <w:t>Original Research Article</w:t>
      </w:r>
    </w:p>
    <w:p w14:paraId="7C9AC972" w14:textId="77777777" w:rsidR="00365F3E" w:rsidRDefault="00365F3E" w:rsidP="008E7ED6">
      <w:pPr>
        <w:pStyle w:val="Author"/>
        <w:spacing w:line="240" w:lineRule="auto"/>
        <w:rPr>
          <w:rFonts w:ascii="Arial" w:hAnsi="Arial" w:cs="Arial"/>
          <w:bCs/>
          <w:iCs/>
          <w:kern w:val="28"/>
          <w:sz w:val="36"/>
        </w:rPr>
      </w:pPr>
    </w:p>
    <w:p w14:paraId="6DF3F42A" w14:textId="028327CE" w:rsidR="00A258C3" w:rsidRPr="00790ADA" w:rsidRDefault="00B22072" w:rsidP="008E7ED6">
      <w:pPr>
        <w:pStyle w:val="Author"/>
        <w:spacing w:line="240" w:lineRule="auto"/>
        <w:rPr>
          <w:rFonts w:ascii="Arial" w:hAnsi="Arial" w:cs="Arial"/>
          <w:sz w:val="36"/>
        </w:rPr>
      </w:pPr>
      <w:r>
        <w:rPr>
          <w:rFonts w:ascii="Arial" w:hAnsi="Arial" w:cs="Arial"/>
          <w:bCs/>
          <w:iCs/>
          <w:kern w:val="28"/>
          <w:sz w:val="36"/>
        </w:rPr>
        <w:t>OPERATIONAL RISK MANAGEMENT PRACTICES AND RESILIENCE OF SELECTED HIGHER EDUCATIONAL INSTITUTIONS IN THE PHILIPPINES</w:t>
      </w:r>
    </w:p>
    <w:p w14:paraId="4F84EB29" w14:textId="77777777" w:rsidR="006D7B89" w:rsidRDefault="006D7B89" w:rsidP="00441B6F">
      <w:pPr>
        <w:pStyle w:val="Author"/>
        <w:spacing w:line="240" w:lineRule="auto"/>
        <w:rPr>
          <w:rFonts w:ascii="Arial" w:hAnsi="Arial" w:cs="Arial"/>
        </w:rPr>
      </w:pPr>
    </w:p>
    <w:p w14:paraId="71406BA0" w14:textId="77777777" w:rsidR="006D7B89" w:rsidRPr="00DD4DB0" w:rsidRDefault="006D7B89" w:rsidP="00DD4DB0">
      <w:pPr>
        <w:pStyle w:val="Affiliation"/>
        <w:spacing w:after="0" w:line="240" w:lineRule="auto"/>
        <w:rPr>
          <w:rFonts w:ascii="Arial" w:hAnsi="Arial" w:cs="Arial"/>
          <w:sz w:val="24"/>
          <w:szCs w:val="24"/>
        </w:rPr>
      </w:pPr>
    </w:p>
    <w:p w14:paraId="313E17D8" w14:textId="77777777" w:rsidR="002C57D2" w:rsidRPr="00FB3A86" w:rsidRDefault="002C57D2" w:rsidP="00441B6F">
      <w:pPr>
        <w:pStyle w:val="Affiliation"/>
        <w:spacing w:after="0" w:line="240" w:lineRule="auto"/>
        <w:jc w:val="both"/>
        <w:rPr>
          <w:rFonts w:ascii="Arial" w:hAnsi="Arial" w:cs="Arial"/>
        </w:rPr>
      </w:pPr>
    </w:p>
    <w:p w14:paraId="36257BC8" w14:textId="2A32136A" w:rsidR="00B01FCD" w:rsidRPr="00FB3A86" w:rsidRDefault="00142FB4" w:rsidP="00441B6F">
      <w:pPr>
        <w:pStyle w:val="Copyright"/>
        <w:spacing w:after="0" w:line="240" w:lineRule="auto"/>
        <w:jc w:val="both"/>
        <w:rPr>
          <w:rFonts w:ascii="Arial" w:hAnsi="Arial" w:cs="Arial"/>
        </w:rPr>
        <w:sectPr w:rsidR="00B01FCD" w:rsidRPr="00FB3A86" w:rsidSect="0027027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09A9A21" wp14:editId="41BA7BF4">
                <wp:extent cx="5303520" cy="635"/>
                <wp:effectExtent l="13335" t="13335" r="17145" b="15240"/>
                <wp:docPr id="33836981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C666E9E"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570A77FA" w14:textId="3A4E001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7A9A73C"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7713104B" w14:textId="77777777" w:rsidTr="001E44FE">
        <w:tc>
          <w:tcPr>
            <w:tcW w:w="9576" w:type="dxa"/>
            <w:shd w:val="clear" w:color="auto" w:fill="F2F2F2"/>
          </w:tcPr>
          <w:p w14:paraId="531C3D4B" w14:textId="688C1892" w:rsidR="00660429" w:rsidRPr="00660429" w:rsidRDefault="00660429" w:rsidP="00660429">
            <w:pPr>
              <w:pStyle w:val="Body"/>
              <w:spacing w:after="0"/>
              <w:rPr>
                <w:rFonts w:ascii="Arial" w:eastAsia="Calibri" w:hAnsi="Arial" w:cs="Arial"/>
              </w:rPr>
            </w:pPr>
            <w:r w:rsidRPr="00660429">
              <w:rPr>
                <w:rFonts w:ascii="Arial" w:eastAsia="Calibri" w:hAnsi="Arial" w:cs="Arial"/>
                <w:b/>
              </w:rPr>
              <w:t xml:space="preserve">Aims: </w:t>
            </w:r>
            <w:r w:rsidR="00B22072">
              <w:rPr>
                <w:rFonts w:ascii="Arial" w:eastAsia="Calibri" w:hAnsi="Arial" w:cs="Arial"/>
              </w:rPr>
              <w:t>This study aimed to determine the extent of operational risk management practices and degree of resilience of selected higher educational institutions in the Philippines.</w:t>
            </w:r>
          </w:p>
          <w:p w14:paraId="7D684B65" w14:textId="7BC93C39" w:rsidR="00660429" w:rsidRPr="00660429" w:rsidRDefault="00660429" w:rsidP="00660429">
            <w:pPr>
              <w:pStyle w:val="Body"/>
              <w:spacing w:after="0"/>
              <w:rPr>
                <w:rFonts w:ascii="Arial" w:eastAsia="Calibri" w:hAnsi="Arial" w:cs="Arial"/>
              </w:rPr>
            </w:pPr>
            <w:r w:rsidRPr="00660429">
              <w:rPr>
                <w:rFonts w:ascii="Arial" w:eastAsia="Calibri" w:hAnsi="Arial" w:cs="Arial"/>
                <w:b/>
              </w:rPr>
              <w:t>Study design:</w:t>
            </w:r>
            <w:r w:rsidRPr="00660429">
              <w:rPr>
                <w:rFonts w:ascii="Arial" w:eastAsia="Calibri" w:hAnsi="Arial" w:cs="Arial"/>
              </w:rPr>
              <w:t xml:space="preserve"> This study</w:t>
            </w:r>
            <w:r w:rsidR="00B22072">
              <w:rPr>
                <w:rFonts w:ascii="Arial" w:eastAsia="Calibri" w:hAnsi="Arial" w:cs="Arial"/>
              </w:rPr>
              <w:t xml:space="preserve"> utilized the quantitative approach using descriptive, comparative, and correlational designs.</w:t>
            </w:r>
            <w:r w:rsidRPr="00660429">
              <w:rPr>
                <w:rFonts w:ascii="Arial" w:eastAsia="Calibri" w:hAnsi="Arial" w:cs="Arial"/>
              </w:rPr>
              <w:t xml:space="preserve">  </w:t>
            </w:r>
          </w:p>
          <w:p w14:paraId="25216A23" w14:textId="493D1E45" w:rsidR="00660429" w:rsidRPr="00660429" w:rsidRDefault="00660429" w:rsidP="00660429">
            <w:pPr>
              <w:pStyle w:val="Body"/>
              <w:spacing w:after="0"/>
              <w:rPr>
                <w:rFonts w:ascii="Arial" w:eastAsia="Calibri" w:hAnsi="Arial" w:cs="Arial"/>
              </w:rPr>
            </w:pPr>
            <w:r w:rsidRPr="00660429">
              <w:rPr>
                <w:rFonts w:ascii="Arial" w:eastAsia="Calibri" w:hAnsi="Arial" w:cs="Arial"/>
                <w:b/>
              </w:rPr>
              <w:t>Place and Duration of Study:</w:t>
            </w:r>
            <w:r w:rsidRPr="00660429">
              <w:rPr>
                <w:rFonts w:ascii="Arial" w:eastAsia="Calibri" w:hAnsi="Arial" w:cs="Arial"/>
              </w:rPr>
              <w:t xml:space="preserve"> </w:t>
            </w:r>
            <w:r w:rsidR="00B22072">
              <w:rPr>
                <w:rFonts w:ascii="Arial" w:eastAsia="Calibri" w:hAnsi="Arial" w:cs="Arial"/>
              </w:rPr>
              <w:t>This study was conducted at selected higher educational institutions in the Philippines, specifically Bacolod City, Manila, Cebu City, and Cavite City, from January to June 2025.</w:t>
            </w:r>
          </w:p>
          <w:p w14:paraId="122F76AD" w14:textId="098C04C0" w:rsidR="0009181C" w:rsidRDefault="0009181C" w:rsidP="00660429">
            <w:pPr>
              <w:pStyle w:val="Head1"/>
              <w:spacing w:after="0"/>
              <w:jc w:val="both"/>
              <w:rPr>
                <w:rFonts w:ascii="Arial" w:eastAsia="Calibri" w:hAnsi="Arial" w:cs="Arial"/>
                <w:b w:val="0"/>
                <w:caps w:val="0"/>
                <w:sz w:val="20"/>
              </w:rPr>
            </w:pPr>
            <w:r w:rsidRPr="00660429">
              <w:rPr>
                <w:rFonts w:ascii="Arial" w:eastAsia="Calibri" w:hAnsi="Arial" w:cs="Arial"/>
                <w:bCs/>
                <w:caps w:val="0"/>
              </w:rPr>
              <w:t>Methodology:</w:t>
            </w:r>
            <w:r w:rsidR="00660429" w:rsidRPr="00660429">
              <w:rPr>
                <w:rFonts w:ascii="Arial" w:eastAsia="Calibri" w:hAnsi="Arial" w:cs="Arial"/>
              </w:rPr>
              <w:t xml:space="preserve"> </w:t>
            </w:r>
            <w:r w:rsidRPr="0009181C">
              <w:rPr>
                <w:rFonts w:ascii="Arial" w:eastAsia="Calibri" w:hAnsi="Arial" w:cs="Arial"/>
                <w:b w:val="0"/>
                <w:caps w:val="0"/>
                <w:sz w:val="20"/>
              </w:rPr>
              <w:t>This study employed a quantitative approach to determine the extent of operational risk management practices and degree of resilience of selected higher educational institutions in the Philippines as assessed by the administrators when the schools are taken as a whole and grouped according to student population, number of employees, annual operational budget, number of accredited programs, and years of existence.  The comparative design was utilized to determine whether a significant difference exists in the extent of operational risk management practices and in the degree of resilience of the selected higher educational institutions when they are grouped according to institutional variables while the correlational design was used to assess whether a significant relationship exists between operational risk management practices and school resilience.  Stratified random sampling was used to determine the administrators of the selected higher educational institutions in the Philippines located in Cebu, Bacolod, Manila, and Cavite who would participate in the study.  Descriptive, comparative, and correlational analyses were employed to answer the specific problems of this study.  The Mann-Whitney U test was used to test significant differences while Spearman rank correlation was employed to determine the relationship between operational risk management practices and resilience.</w:t>
            </w:r>
          </w:p>
          <w:p w14:paraId="076FDA86" w14:textId="29F7C96C" w:rsidR="00660429" w:rsidRPr="00660429" w:rsidRDefault="00660429" w:rsidP="00660429">
            <w:pPr>
              <w:pStyle w:val="Head1"/>
              <w:spacing w:after="0"/>
              <w:jc w:val="both"/>
              <w:rPr>
                <w:rFonts w:ascii="Arial" w:hAnsi="Arial" w:cs="Arial"/>
                <w:b w:val="0"/>
                <w:bCs/>
                <w:sz w:val="20"/>
              </w:rPr>
            </w:pPr>
            <w:r w:rsidRPr="00660429">
              <w:rPr>
                <w:rFonts w:ascii="Arial" w:eastAsia="Calibri" w:hAnsi="Arial" w:cs="Arial"/>
                <w:bCs/>
                <w:caps w:val="0"/>
                <w:sz w:val="20"/>
              </w:rPr>
              <w:t>Results:</w:t>
            </w:r>
            <w:r w:rsidRPr="00660429">
              <w:rPr>
                <w:rFonts w:ascii="Arial" w:eastAsia="Calibri" w:hAnsi="Arial" w:cs="Arial"/>
                <w:sz w:val="20"/>
              </w:rPr>
              <w:t xml:space="preserve"> </w:t>
            </w:r>
            <w:r w:rsidR="0009181C">
              <w:rPr>
                <w:rFonts w:ascii="Arial" w:eastAsia="Calibri" w:hAnsi="Arial" w:cs="Arial"/>
                <w:b w:val="0"/>
                <w:bCs/>
                <w:caps w:val="0"/>
                <w:sz w:val="20"/>
              </w:rPr>
              <w:t>T</w:t>
            </w:r>
            <w:r w:rsidR="0009181C" w:rsidRPr="0009181C">
              <w:rPr>
                <w:rFonts w:ascii="Arial" w:eastAsia="Calibri" w:hAnsi="Arial" w:cs="Arial"/>
                <w:b w:val="0"/>
                <w:bCs/>
                <w:caps w:val="0"/>
                <w:sz w:val="20"/>
              </w:rPr>
              <w:t xml:space="preserve">here is a great extent of operational risk management practices across selected higher educational institutions in terms of risk identification, risk assessment, risk measurement and mitigation, and risk monitoring and reporting.  There is a higher-than-average degree of resilience across the said institutions in terms of continuous improvement, leadership involvement, resource management, and process standardization and flexibility.  The results further showed that there is no significant difference in the extent of operational risk management practices and degree of resilience of the schools when they are grouped according to student population, number of employees, annual operational budget, number of accredited programs, and years of existence.  However, there is a </w:t>
            </w:r>
            <w:r w:rsidR="0009181C" w:rsidRPr="0009181C">
              <w:rPr>
                <w:rFonts w:ascii="Arial" w:eastAsia="Calibri" w:hAnsi="Arial" w:cs="Arial"/>
                <w:b w:val="0"/>
                <w:bCs/>
                <w:caps w:val="0"/>
                <w:sz w:val="20"/>
              </w:rPr>
              <w:lastRenderedPageBreak/>
              <w:t xml:space="preserve">significant relationship between operational risk management practices and school resilience.  </w:t>
            </w:r>
          </w:p>
          <w:p w14:paraId="462E3E26" w14:textId="7A7CE133" w:rsidR="0060081E" w:rsidRPr="00660429" w:rsidRDefault="00660429" w:rsidP="00660429">
            <w:pPr>
              <w:pStyle w:val="Body"/>
              <w:rPr>
                <w:rFonts w:ascii="Arial" w:hAnsi="Arial" w:cs="Arial"/>
                <w:sz w:val="22"/>
                <w:szCs w:val="22"/>
              </w:rPr>
            </w:pPr>
            <w:r w:rsidRPr="00660429">
              <w:rPr>
                <w:rFonts w:ascii="Arial" w:eastAsia="Calibri" w:hAnsi="Arial" w:cs="Arial"/>
                <w:b/>
                <w:bCs/>
              </w:rPr>
              <w:t>Conclusion:</w:t>
            </w:r>
            <w:r w:rsidRPr="00660429">
              <w:rPr>
                <w:rFonts w:ascii="Arial" w:eastAsia="Calibri" w:hAnsi="Arial" w:cs="Arial"/>
              </w:rPr>
              <w:t xml:space="preserve"> </w:t>
            </w:r>
            <w:r w:rsidR="0009181C">
              <w:rPr>
                <w:rFonts w:ascii="Arial" w:hAnsi="Arial" w:cs="Arial"/>
              </w:rPr>
              <w:t>H</w:t>
            </w:r>
            <w:r w:rsidR="0009181C" w:rsidRPr="0009181C">
              <w:rPr>
                <w:rFonts w:ascii="Arial" w:hAnsi="Arial" w:cs="Arial"/>
              </w:rPr>
              <w:t xml:space="preserve">igher education institutions in the study demonstrate a generally high level of resilience across key areas such as leadership involvement, continuous improvement, resource management, and process standardization. </w:t>
            </w:r>
            <w:r w:rsidR="0009181C">
              <w:rPr>
                <w:rFonts w:ascii="Arial" w:hAnsi="Arial" w:cs="Arial"/>
              </w:rPr>
              <w:t>D</w:t>
            </w:r>
            <w:r w:rsidR="0009181C" w:rsidRPr="0009181C">
              <w:rPr>
                <w:rFonts w:ascii="Arial" w:hAnsi="Arial" w:cs="Arial"/>
              </w:rPr>
              <w:t>ata</w:t>
            </w:r>
            <w:r w:rsidR="00EC7571">
              <w:rPr>
                <w:rFonts w:ascii="Arial" w:hAnsi="Arial" w:cs="Arial"/>
              </w:rPr>
              <w:t xml:space="preserve"> further</w:t>
            </w:r>
            <w:r w:rsidR="0009181C" w:rsidRPr="0009181C">
              <w:rPr>
                <w:rFonts w:ascii="Arial" w:hAnsi="Arial" w:cs="Arial"/>
              </w:rPr>
              <w:t xml:space="preserve"> reveal</w:t>
            </w:r>
            <w:r w:rsidR="0009181C">
              <w:rPr>
                <w:rFonts w:ascii="Arial" w:hAnsi="Arial" w:cs="Arial"/>
              </w:rPr>
              <w:t>ed</w:t>
            </w:r>
            <w:r w:rsidR="0009181C" w:rsidRPr="0009181C">
              <w:rPr>
                <w:rFonts w:ascii="Arial" w:hAnsi="Arial" w:cs="Arial"/>
              </w:rPr>
              <w:t xml:space="preserve"> that leadership engagement and organizational capacity—measured through variables like institutional age, size, student population, and financial resources—are significant factors contributing to resilience and effective continuous improvement practices. Larger and more established institutions tend to excel due to their formalized processes, broader human resources, and richer infrastructural assets.  Notably, institutions with limited resources can still achieve high resilience through strategic leadership, adaptive cultures, and innovative practices. Younger institutions, while performing well, have room to accelerate their development by formalizing processes and building institutional memory, akin to their legacy counterparts.  </w:t>
            </w:r>
          </w:p>
        </w:tc>
      </w:tr>
    </w:tbl>
    <w:p w14:paraId="3164FAF1" w14:textId="77777777" w:rsidR="00636EB2" w:rsidRDefault="00636EB2" w:rsidP="00441B6F">
      <w:pPr>
        <w:pStyle w:val="Body"/>
        <w:spacing w:after="0"/>
        <w:rPr>
          <w:rFonts w:ascii="Arial" w:hAnsi="Arial" w:cs="Arial"/>
          <w:i/>
        </w:rPr>
      </w:pPr>
    </w:p>
    <w:p w14:paraId="09FBC665" w14:textId="5B1C481B" w:rsidR="00A24E7E" w:rsidRDefault="00A24E7E" w:rsidP="00441B6F">
      <w:pPr>
        <w:pStyle w:val="Body"/>
        <w:spacing w:after="0"/>
        <w:rPr>
          <w:rFonts w:ascii="Arial" w:hAnsi="Arial" w:cs="Arial"/>
          <w:i/>
        </w:rPr>
      </w:pPr>
      <w:r>
        <w:rPr>
          <w:rFonts w:ascii="Arial" w:hAnsi="Arial" w:cs="Arial"/>
          <w:i/>
        </w:rPr>
        <w:t xml:space="preserve">Keywords: </w:t>
      </w:r>
      <w:r w:rsidR="00EC7571">
        <w:rPr>
          <w:rFonts w:ascii="Arial" w:hAnsi="Arial" w:cs="Arial"/>
          <w:i/>
        </w:rPr>
        <w:t>operational risk management, school resilience, quantitative-descriptive, comparative, &amp; correlational, higher educational institutions, Philippines</w:t>
      </w:r>
    </w:p>
    <w:p w14:paraId="1AF6D82D" w14:textId="77777777" w:rsidR="00790ADA" w:rsidRDefault="00790ADA" w:rsidP="00441B6F">
      <w:pPr>
        <w:pStyle w:val="Body"/>
        <w:spacing w:after="0"/>
        <w:rPr>
          <w:rFonts w:ascii="Arial" w:hAnsi="Arial" w:cs="Arial"/>
          <w:i/>
        </w:rPr>
      </w:pPr>
    </w:p>
    <w:p w14:paraId="79586252" w14:textId="77777777" w:rsidR="0024282C" w:rsidRDefault="0024282C" w:rsidP="00441B6F">
      <w:pPr>
        <w:pStyle w:val="Body"/>
        <w:spacing w:after="0"/>
        <w:rPr>
          <w:rFonts w:ascii="Arial" w:hAnsi="Arial" w:cs="Arial"/>
          <w:i/>
          <w:sz w:val="18"/>
        </w:rPr>
      </w:pPr>
    </w:p>
    <w:p w14:paraId="5A4A89C2" w14:textId="5D7FF186"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893C445" w14:textId="77777777" w:rsidR="00790ADA" w:rsidRPr="00FB3A86" w:rsidRDefault="00790ADA" w:rsidP="00441B6F">
      <w:pPr>
        <w:pStyle w:val="AbstHead"/>
        <w:spacing w:after="0"/>
        <w:jc w:val="both"/>
        <w:rPr>
          <w:rFonts w:ascii="Arial" w:hAnsi="Arial" w:cs="Arial"/>
        </w:rPr>
      </w:pPr>
    </w:p>
    <w:p w14:paraId="1BB548DF" w14:textId="77777777" w:rsidR="0009181C" w:rsidRPr="0009181C" w:rsidRDefault="0009181C" w:rsidP="0009181C">
      <w:pPr>
        <w:pStyle w:val="Body"/>
        <w:rPr>
          <w:rFonts w:ascii="Arial" w:hAnsi="Arial" w:cs="Arial"/>
        </w:rPr>
      </w:pPr>
      <w:r w:rsidRPr="0009181C">
        <w:rPr>
          <w:rFonts w:ascii="Arial" w:hAnsi="Arial" w:cs="Arial"/>
        </w:rPr>
        <w:t>Operational risk management and resilience are closely intertwined and are crucial for organizations seeking to thrive in an increasingly uncertain and volatile business landscape (Goh, 2023).  Operational risk management has evolved as the management process to mitigate threats posed by operational risks that businesses face from ineffective or failed internal processes, people, systems, or external events that can lead to serious losses (James, 2023).  In schools, risk management is important to keep the students, faculty, and finances safe from any harm, while also protecting financial assets and lowering legal liabilities (Curacubby, 2023).  Meanwhile, school resilience is regarded as the ability to be efficient while functioning in unfavorable conditions (</w:t>
      </w:r>
      <w:proofErr w:type="spellStart"/>
      <w:r w:rsidRPr="0009181C">
        <w:rPr>
          <w:rFonts w:ascii="Arial" w:hAnsi="Arial" w:cs="Arial"/>
        </w:rPr>
        <w:t>Pinskaya</w:t>
      </w:r>
      <w:proofErr w:type="spellEnd"/>
      <w:r w:rsidRPr="0009181C">
        <w:rPr>
          <w:rFonts w:ascii="Arial" w:hAnsi="Arial" w:cs="Arial"/>
        </w:rPr>
        <w:t xml:space="preserve"> et al., 2018; Subedi &amp; Subedi, 2020 in Vinogradov et al., 2022).  The resilience of the educational communities and the school infrastructure is of paramount importance to protect children from the various natural and man-made threats and to recover from the post-disaster trauma (Parajuli et al., 2020).</w:t>
      </w:r>
    </w:p>
    <w:p w14:paraId="14B9612A" w14:textId="77777777" w:rsidR="0009181C" w:rsidRPr="0009181C" w:rsidRDefault="0009181C" w:rsidP="0009181C">
      <w:pPr>
        <w:pStyle w:val="Body"/>
        <w:rPr>
          <w:rFonts w:ascii="Arial" w:hAnsi="Arial" w:cs="Arial"/>
        </w:rPr>
      </w:pPr>
      <w:r w:rsidRPr="0009181C">
        <w:rPr>
          <w:rFonts w:ascii="Arial" w:hAnsi="Arial" w:cs="Arial"/>
        </w:rPr>
        <w:t xml:space="preserve">In Asia, education is a key vehicle for individual’s social mobility, and factors from the school, home, and community may increase students’ chances of success by buffering the effect of some of the stressors from family on academic and personal success (Yeung &amp; Li, 2021).  In Japan, long-term school closures, as a response to the COVID-19 pandemic, have led to an unprecedented risk associated with children's education, protection, and well-being (Ichinose &amp; Oda, 2022).  In China, risk management is a growing discipline; hence, a university in economics has been establishing a network of risk management academics across China and Taiwan and has organized some of the first academic conferences on the subject in the region (Institute of Risk Management [IRM], 2019).    On the other hand, as disruptions are likely to become more frequent and severe, effective strategies to build resilient education systems are needed where learning continues, students and education personnel receive mental health and social support, and support is provided for more vulnerable students (Asian Development Bank [ADB], 2023).  </w:t>
      </w:r>
    </w:p>
    <w:p w14:paraId="26D14D0B" w14:textId="2487EB40" w:rsidR="0009181C" w:rsidRPr="0009181C" w:rsidRDefault="0009181C" w:rsidP="0009181C">
      <w:pPr>
        <w:pStyle w:val="Body"/>
        <w:rPr>
          <w:rFonts w:ascii="Arial" w:hAnsi="Arial" w:cs="Arial"/>
        </w:rPr>
      </w:pPr>
      <w:r w:rsidRPr="0009181C">
        <w:rPr>
          <w:rFonts w:ascii="Arial" w:hAnsi="Arial" w:cs="Arial"/>
        </w:rPr>
        <w:t xml:space="preserve">In the Philippines, schools, colleges, and universities continue to seek accreditations and/or certifications from prestigious accrediting bodies for continual improvement of their standards of quality education.  The Philippine Accrediting Association of Schools, Colleges, and Universities (PAASCU), one of accrediting bodies, has included risk management as one of the new standards of quality practice under the area of Leadership and Governance.  This </w:t>
      </w:r>
      <w:r w:rsidRPr="0009181C">
        <w:rPr>
          <w:rFonts w:ascii="Arial" w:hAnsi="Arial" w:cs="Arial"/>
        </w:rPr>
        <w:lastRenderedPageBreak/>
        <w:t>specific standard requires that a risk management system is in place to ensure that the institution is aware of and manages present and future risks (PAASCU, 2021).  Also, the International Organization for Standardization (ISO) has introduced ISO 31000, an international standard that provides principles and guidelines for risk management from identifying, analyzing, evaluating, treating, monitoring and communicating risks across an organization (ISO, 2023).  These are in consonance with the Commission on Higher Education (CHED) Memorandum Order No. 04 Series 2020 on the implementation of flexible learning.   The health crisis in 2020 significantly impacted Philippine higher education, necessitating the immediate suspension of face-to-face classes due to community quarantines. This urgent situation drove the need for innovative learning modalities to transition from traditional instruction to flexible options that accommodate diverse learners' needs for time, pace, and place, ultimately offering students a choice in their preferred delivery method upon enrollment, thus suggesting an approach to manage risks in higher education institutions (CHED, 2020).</w:t>
      </w:r>
    </w:p>
    <w:p w14:paraId="46856F18" w14:textId="73AA4DB3" w:rsidR="0009181C" w:rsidRPr="0009181C" w:rsidRDefault="0009181C" w:rsidP="0009181C">
      <w:pPr>
        <w:pStyle w:val="Body"/>
        <w:rPr>
          <w:rFonts w:ascii="Arial" w:hAnsi="Arial" w:cs="Arial"/>
        </w:rPr>
      </w:pPr>
      <w:r w:rsidRPr="0009181C">
        <w:rPr>
          <w:rFonts w:ascii="Arial" w:hAnsi="Arial" w:cs="Arial"/>
        </w:rPr>
        <w:t>Within the context of the selected higher educational institutions, which are run by a religious congregation, the rising frequency of natural disasters like typhoons, earthquakes, and volcanic eruptions, alongside health crises, necessitates a focus on operational risk management and resilience due to threats to infrastructure and safety.  Furthermore, the complexities of managing large student bodies and securing digital infrastructures against increasing cyber threats emphasize the critical need for thorough studies to strengthen operational frameworks, ensuring these institutions can effectively endure and quickly recover from diverse disruptions.</w:t>
      </w:r>
      <w:r w:rsidRPr="0009181C">
        <w:rPr>
          <w:rFonts w:ascii="Arial" w:hAnsi="Arial" w:cs="Arial"/>
        </w:rPr>
        <w:tab/>
      </w:r>
    </w:p>
    <w:p w14:paraId="0803CC3B" w14:textId="77777777" w:rsidR="0009181C" w:rsidRPr="0009181C" w:rsidRDefault="0009181C" w:rsidP="0009181C">
      <w:pPr>
        <w:pStyle w:val="Body"/>
        <w:rPr>
          <w:rFonts w:ascii="Arial" w:hAnsi="Arial" w:cs="Arial"/>
        </w:rPr>
      </w:pPr>
      <w:r w:rsidRPr="0009181C">
        <w:rPr>
          <w:rFonts w:ascii="Arial" w:hAnsi="Arial" w:cs="Arial"/>
        </w:rPr>
        <w:t>Several studies have been conducted to assess the operational risk management practices of schools as well as their resilience.  Studies on operational risk management in schools include those of Porras (2021), Molchanova (2023), and Wang et al. (2020).  Meanwhile, several studies were also conducted on school resilience: Parajuli et al. (2020), San Miguel and Pascual (2021), Li and Yeung (2017), and Amos et al. (2021).  Of the studies mentioned above, only a few attempted to correlate operational risk management practices and school resilience specifically in the context of the selected Catholic higher educational institutions, a gap which this study purported to address.</w:t>
      </w:r>
    </w:p>
    <w:p w14:paraId="14BEA51D" w14:textId="3CCDF935" w:rsidR="0009181C" w:rsidRPr="0009181C" w:rsidRDefault="0009181C" w:rsidP="0009181C">
      <w:pPr>
        <w:pStyle w:val="Body"/>
        <w:rPr>
          <w:rFonts w:ascii="Arial" w:hAnsi="Arial" w:cs="Arial"/>
        </w:rPr>
      </w:pPr>
      <w:r w:rsidRPr="0009181C">
        <w:rPr>
          <w:rFonts w:ascii="Arial" w:hAnsi="Arial" w:cs="Arial"/>
        </w:rPr>
        <w:t>This study was conducted not only to address the scarcity of studies correlating operational risk management practices and school resilience but also to identify the extent to which the selected higher education institutions apply operational risk management practices and the degree of resilience of these schools.  Findings of the study guided the researcher in the preparation of the Operational Risk Management Plan for</w:t>
      </w:r>
      <w:r>
        <w:rPr>
          <w:rFonts w:ascii="Arial" w:hAnsi="Arial" w:cs="Arial"/>
        </w:rPr>
        <w:t xml:space="preserve"> </w:t>
      </w:r>
      <w:r w:rsidRPr="0009181C">
        <w:rPr>
          <w:rFonts w:ascii="Arial" w:hAnsi="Arial" w:cs="Arial"/>
        </w:rPr>
        <w:t xml:space="preserve">higher educational institutions in the Philippines.  </w:t>
      </w:r>
    </w:p>
    <w:p w14:paraId="1AB90887" w14:textId="36A06658"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4788E79A" w14:textId="77777777" w:rsidR="00790ADA" w:rsidRPr="00FB3A86" w:rsidRDefault="00790ADA" w:rsidP="00441B6F">
      <w:pPr>
        <w:pStyle w:val="AbstHead"/>
        <w:spacing w:after="0"/>
        <w:jc w:val="both"/>
        <w:rPr>
          <w:rFonts w:ascii="Arial" w:hAnsi="Arial" w:cs="Arial"/>
        </w:rPr>
      </w:pPr>
    </w:p>
    <w:p w14:paraId="51A7BE36" w14:textId="73CEFA69" w:rsidR="0009181C" w:rsidRPr="0009181C" w:rsidRDefault="0009181C" w:rsidP="0009181C">
      <w:pPr>
        <w:pStyle w:val="Body"/>
        <w:rPr>
          <w:rFonts w:ascii="Arial" w:hAnsi="Arial" w:cs="Arial"/>
          <w:lang w:val="en-PH"/>
        </w:rPr>
      </w:pPr>
      <w:r>
        <w:rPr>
          <w:rFonts w:ascii="Arial" w:hAnsi="Arial" w:cs="Arial"/>
          <w:lang w:val="en-PH"/>
        </w:rPr>
        <w:t xml:space="preserve">This study used the </w:t>
      </w:r>
      <w:r w:rsidRPr="0009181C">
        <w:rPr>
          <w:rFonts w:ascii="Arial" w:hAnsi="Arial" w:cs="Arial"/>
          <w:lang w:val="en-PH"/>
        </w:rPr>
        <w:t xml:space="preserve">quantitative approach, </w:t>
      </w:r>
      <w:r>
        <w:rPr>
          <w:rFonts w:ascii="Arial" w:hAnsi="Arial" w:cs="Arial"/>
          <w:lang w:val="en-PH"/>
        </w:rPr>
        <w:t xml:space="preserve">specifically </w:t>
      </w:r>
      <w:r w:rsidRPr="0009181C">
        <w:rPr>
          <w:rFonts w:ascii="Arial" w:hAnsi="Arial" w:cs="Arial"/>
          <w:lang w:val="en-PH"/>
        </w:rPr>
        <w:t xml:space="preserve">the descriptive, comparative, and correlational research design.  The descriptive design describes a situation or state of affairs regarding the specified variables (Creswell &amp; Creswell, 2018).  It was used to determine the extent of operational risk management practices and degree of resilience of selected higher educational institutions in the Philippines as assessed by the administrators when the schools are taken as a whole and grouped according to student population, number of employees, annual operational budget, number of accredited programs, and years of existence. </w:t>
      </w:r>
    </w:p>
    <w:p w14:paraId="45C19AEC" w14:textId="4224D78C" w:rsidR="0009181C" w:rsidRPr="0009181C" w:rsidRDefault="0009181C" w:rsidP="0009181C">
      <w:pPr>
        <w:pStyle w:val="Body"/>
        <w:rPr>
          <w:rFonts w:ascii="Arial" w:hAnsi="Arial" w:cs="Arial"/>
          <w:lang w:val="en-PH"/>
        </w:rPr>
      </w:pPr>
      <w:r w:rsidRPr="0009181C">
        <w:rPr>
          <w:rFonts w:ascii="Arial" w:hAnsi="Arial" w:cs="Arial"/>
          <w:lang w:val="en-PH"/>
        </w:rPr>
        <w:t xml:space="preserve">Meanwhile, the comparative design was utilized to determine whether a significant difference exists in the extent of operational risk management practices and in the degree of resilience of the selected higher educational institutions in the Philippines when they are grouped according to student population, number of employees, annual operational budget, number of </w:t>
      </w:r>
      <w:r w:rsidRPr="0009181C">
        <w:rPr>
          <w:rFonts w:ascii="Arial" w:hAnsi="Arial" w:cs="Arial"/>
          <w:lang w:val="en-PH"/>
        </w:rPr>
        <w:lastRenderedPageBreak/>
        <w:t xml:space="preserve">accredited programs, and years of existence. </w:t>
      </w:r>
      <w:r>
        <w:rPr>
          <w:rFonts w:ascii="Arial" w:hAnsi="Arial" w:cs="Arial"/>
          <w:lang w:val="en-PH"/>
        </w:rPr>
        <w:t xml:space="preserve"> </w:t>
      </w:r>
      <w:r w:rsidRPr="0009181C">
        <w:rPr>
          <w:rFonts w:ascii="Arial" w:hAnsi="Arial" w:cs="Arial"/>
          <w:lang w:val="en-PH"/>
        </w:rPr>
        <w:t>Moreover, the correlational design was used to assess whether a significant relationship exists between operational risk management practices and school resilience.</w:t>
      </w:r>
    </w:p>
    <w:p w14:paraId="2F61308B" w14:textId="45DE25F1" w:rsidR="0009181C" w:rsidRPr="0009181C" w:rsidRDefault="0009181C" w:rsidP="0009181C">
      <w:pPr>
        <w:pStyle w:val="Body"/>
        <w:rPr>
          <w:rFonts w:ascii="Arial" w:hAnsi="Arial" w:cs="Arial"/>
          <w:lang w:val="en-PH"/>
        </w:rPr>
      </w:pPr>
      <w:r>
        <w:rPr>
          <w:rFonts w:ascii="Arial" w:hAnsi="Arial" w:cs="Arial"/>
          <w:lang w:val="en-PH"/>
        </w:rPr>
        <w:t>For the respondents, s</w:t>
      </w:r>
      <w:r w:rsidRPr="0009181C">
        <w:rPr>
          <w:rFonts w:ascii="Arial" w:hAnsi="Arial" w:cs="Arial"/>
          <w:lang w:val="en-PH"/>
        </w:rPr>
        <w:t xml:space="preserve">tratified random sampling was used to determine the religious and lay administrator respondents of the selected higher educational institutions in the Philippines, run by a religious order and located in Cebu, Bacolod, Manila, and Cavite, who would participate in the study.  </w:t>
      </w:r>
      <w:r>
        <w:rPr>
          <w:rFonts w:ascii="Arial" w:hAnsi="Arial" w:cs="Arial"/>
          <w:lang w:val="en-PH"/>
        </w:rPr>
        <w:t>A total of 96 administrators participated in the study.</w:t>
      </w:r>
    </w:p>
    <w:p w14:paraId="2951A590" w14:textId="14B1DC55" w:rsidR="0009181C" w:rsidRPr="0009181C" w:rsidRDefault="0009181C" w:rsidP="0009181C">
      <w:pPr>
        <w:pStyle w:val="Body"/>
        <w:rPr>
          <w:rFonts w:ascii="Arial" w:hAnsi="Arial" w:cs="Arial"/>
          <w:lang w:val="en-PH"/>
        </w:rPr>
      </w:pPr>
      <w:r w:rsidRPr="0009181C">
        <w:rPr>
          <w:rFonts w:ascii="Arial" w:hAnsi="Arial" w:cs="Arial"/>
          <w:lang w:val="en-PH"/>
        </w:rPr>
        <w:t>A researcher-made instrument was utilized to gather data</w:t>
      </w:r>
      <w:r>
        <w:rPr>
          <w:rFonts w:ascii="Arial" w:hAnsi="Arial" w:cs="Arial"/>
          <w:lang w:val="en-PH"/>
        </w:rPr>
        <w:t xml:space="preserve">.  </w:t>
      </w:r>
      <w:r w:rsidRPr="0009181C">
        <w:rPr>
          <w:rFonts w:ascii="Arial" w:hAnsi="Arial" w:cs="Arial"/>
          <w:lang w:val="en-PH"/>
        </w:rPr>
        <w:t>The instrument was divided into three parts.  Part I is for the profile of the school (student population, number of employees, annual operational budget, number of accredited programs, and years of existence).  Part II contains Likert-type statements that assess the extent of operational risk management practices of the HEI while Part III also contain</w:t>
      </w:r>
      <w:r>
        <w:rPr>
          <w:rFonts w:ascii="Arial" w:hAnsi="Arial" w:cs="Arial"/>
          <w:lang w:val="en-PH"/>
        </w:rPr>
        <w:t>s</w:t>
      </w:r>
      <w:r w:rsidRPr="0009181C">
        <w:rPr>
          <w:rFonts w:ascii="Arial" w:hAnsi="Arial" w:cs="Arial"/>
          <w:lang w:val="en-PH"/>
        </w:rPr>
        <w:t xml:space="preserve"> Likert-type statements that measure the degree of school resilience.  Items in the instrument have been culled from different concepts encountered in the related literature.</w:t>
      </w:r>
      <w:r>
        <w:rPr>
          <w:rFonts w:ascii="Arial" w:hAnsi="Arial" w:cs="Arial"/>
          <w:lang w:val="en-PH"/>
        </w:rPr>
        <w:t xml:space="preserve">  </w:t>
      </w:r>
      <w:r w:rsidRPr="0009181C">
        <w:rPr>
          <w:rFonts w:ascii="Arial" w:hAnsi="Arial" w:cs="Arial"/>
          <w:lang w:val="en-PH"/>
        </w:rPr>
        <w:t>Since the instrument is researcher-made, it underwent undergo the necessary content validation and reliability testing procedures.  For content validation, the instrument was submitted to school administrators with background in operational risk management.  Validity was tested using Lawshe’s Content Validity Ratio (CVR); the instrument scored 0.95, indicating very high level of validity.</w:t>
      </w:r>
      <w:r>
        <w:rPr>
          <w:rFonts w:ascii="Arial" w:hAnsi="Arial" w:cs="Arial"/>
          <w:lang w:val="en-PH"/>
        </w:rPr>
        <w:t xml:space="preserve">  </w:t>
      </w:r>
      <w:r w:rsidRPr="0009181C">
        <w:rPr>
          <w:rFonts w:ascii="Arial" w:hAnsi="Arial" w:cs="Arial"/>
          <w:lang w:val="en-PH"/>
        </w:rPr>
        <w:t>Meanwhile, a pilot-testing was conducted among school administrators to establish the reliability of the instruments.  The school administrators who participated in the pilot-testing were excluded from the actual study.  Cronbach’s alpha was used to generate the reliability index of the instrument; the instruments yielded a reliability index of 0.991, indicating excellent reliability.</w:t>
      </w:r>
    </w:p>
    <w:p w14:paraId="1D010A0E" w14:textId="5816F473" w:rsidR="0009181C" w:rsidRPr="0009181C" w:rsidRDefault="0009181C" w:rsidP="0009181C">
      <w:pPr>
        <w:pStyle w:val="Body"/>
        <w:rPr>
          <w:rFonts w:ascii="Arial" w:hAnsi="Arial" w:cs="Arial"/>
          <w:lang w:val="en-PH"/>
        </w:rPr>
      </w:pPr>
      <w:r w:rsidRPr="0009181C">
        <w:rPr>
          <w:rFonts w:ascii="Arial" w:hAnsi="Arial" w:cs="Arial"/>
          <w:lang w:val="en-PH"/>
        </w:rPr>
        <w:t>The data-collection procedure commenced with a letter seeking approval from the selected higher educational institution presidents to conduct the study.  Upon approval, the researcher determined an enumerator from every school to assist her in disseminating the information about the survey that will be conducted online and in securing the list of administrators with their email addresses.  An online orientation was conducted among the enumerators to ensure that the nature and procedure employed in the study are clearly understood.</w:t>
      </w:r>
      <w:r>
        <w:rPr>
          <w:rFonts w:ascii="Arial" w:hAnsi="Arial" w:cs="Arial"/>
          <w:lang w:val="en-PH"/>
        </w:rPr>
        <w:t xml:space="preserve">  </w:t>
      </w:r>
      <w:r w:rsidRPr="0009181C">
        <w:rPr>
          <w:rFonts w:ascii="Arial" w:hAnsi="Arial" w:cs="Arial"/>
          <w:lang w:val="en-PH"/>
        </w:rPr>
        <w:t>Individual letters were sent with attached informed consent and survey material.  Upon the approval of the administrator to participate in the study, he or she was asked to sign electronically the informed consent and answer the survey and submit the same online.  Constant follow-up was done by the researcher to ensure that the survey materials are responded to and submitted to her at the soonest time possible.  For those who answered the survey physically, the researcher ensured that protocols for data collection were observed.</w:t>
      </w:r>
      <w:r>
        <w:rPr>
          <w:rFonts w:ascii="Arial" w:hAnsi="Arial" w:cs="Arial"/>
          <w:lang w:val="en-PH"/>
        </w:rPr>
        <w:t xml:space="preserve">  </w:t>
      </w:r>
      <w:r w:rsidRPr="0009181C">
        <w:rPr>
          <w:rFonts w:ascii="Arial" w:hAnsi="Arial" w:cs="Arial"/>
          <w:lang w:val="en-PH"/>
        </w:rPr>
        <w:t xml:space="preserve">As soon as all the survey materials have been retrieved, the responses were tabulated and submitted to an accredited statistician for analysis.   </w:t>
      </w:r>
    </w:p>
    <w:p w14:paraId="2641AAD8" w14:textId="18DE64F3" w:rsidR="0009181C" w:rsidRPr="0009181C" w:rsidRDefault="0009181C" w:rsidP="0009181C">
      <w:pPr>
        <w:pStyle w:val="Body"/>
        <w:rPr>
          <w:rFonts w:ascii="Arial" w:hAnsi="Arial" w:cs="Arial"/>
          <w:lang w:val="en-PH"/>
        </w:rPr>
      </w:pPr>
      <w:r w:rsidRPr="0009181C">
        <w:rPr>
          <w:rFonts w:ascii="Arial" w:hAnsi="Arial" w:cs="Arial"/>
          <w:lang w:val="en-PH"/>
        </w:rPr>
        <w:t xml:space="preserve">Descriptive, comparative, and correlational analyses were employed to answer the specific problems of this study.  Descriptive analysis was employed to analyze the data as to the extent of operational risk management practices and the degree of resilience of the selected </w:t>
      </w:r>
      <w:r>
        <w:rPr>
          <w:rFonts w:ascii="Arial" w:hAnsi="Arial" w:cs="Arial"/>
          <w:lang w:val="en-PH"/>
        </w:rPr>
        <w:t>h</w:t>
      </w:r>
      <w:r w:rsidRPr="0009181C">
        <w:rPr>
          <w:rFonts w:ascii="Arial" w:hAnsi="Arial" w:cs="Arial"/>
          <w:lang w:val="en-PH"/>
        </w:rPr>
        <w:t>igher educational institutions when they are taken as a whole and grouped according to student population, number of employees, annual operational budget, number of accredited programs, and years of existence.</w:t>
      </w:r>
      <w:r>
        <w:rPr>
          <w:rFonts w:ascii="Arial" w:hAnsi="Arial" w:cs="Arial"/>
          <w:lang w:val="en-PH"/>
        </w:rPr>
        <w:t xml:space="preserve">  </w:t>
      </w:r>
      <w:r w:rsidRPr="0009181C">
        <w:rPr>
          <w:rFonts w:ascii="Arial" w:hAnsi="Arial" w:cs="Arial"/>
          <w:lang w:val="en-PH"/>
        </w:rPr>
        <w:t>According to the results of the Shapiro-Wilk test, neither operational risk management practices nor the degree of resilience followed a normal distribution. For operational risk management practices, the test indicated a significant result (W=0.960, p=0.007), whereas, for the degree of resilience, it also exhibited a significant deviation from normality (W=0.966, p=0.018). Since both p-values are lower than the 0.05 alpha level, these results indicate that both variables' data were not normally distributed and will, therefore, be better analyzed with the use of non-parametric statistical methods.</w:t>
      </w:r>
    </w:p>
    <w:p w14:paraId="7D7726F0" w14:textId="0A397658" w:rsidR="0060081E" w:rsidRPr="0060081E" w:rsidRDefault="0009181C" w:rsidP="0009181C">
      <w:pPr>
        <w:pStyle w:val="Body"/>
        <w:rPr>
          <w:rFonts w:ascii="Arial" w:hAnsi="Arial" w:cs="Arial"/>
          <w:lang w:val="en-PH"/>
        </w:rPr>
      </w:pPr>
      <w:r w:rsidRPr="00794797">
        <w:rPr>
          <w:rFonts w:ascii="Arial" w:hAnsi="Arial" w:cs="Arial"/>
          <w:sz w:val="22"/>
          <w:szCs w:val="22"/>
          <w:lang w:val="en-PH"/>
        </w:rPr>
        <w:lastRenderedPageBreak/>
        <w:t xml:space="preserve">Comparative analysis was utilized to analyze the significant difference in the extent of </w:t>
      </w:r>
      <w:r w:rsidRPr="0009181C">
        <w:rPr>
          <w:rFonts w:ascii="Arial" w:hAnsi="Arial" w:cs="Arial"/>
          <w:lang w:val="en-PH"/>
        </w:rPr>
        <w:t>operational risk management practices and in the degree of resilience of the selected higher educational institutions when they are grouped according to student population, number of employees, annual operational budget, number of accredited programs, and years of existence.  The Mann-Whitney U test established that operational risk management practices significantly differed when grouped according to institutional profile variables because data on extent of operational risk management practices and degree of resilience did not follow a normal distribution.</w:t>
      </w:r>
      <w:r>
        <w:rPr>
          <w:rFonts w:ascii="Arial" w:hAnsi="Arial" w:cs="Arial"/>
          <w:lang w:val="en-PH"/>
        </w:rPr>
        <w:t xml:space="preserve">  </w:t>
      </w:r>
      <w:r w:rsidRPr="0009181C">
        <w:rPr>
          <w:rFonts w:ascii="Arial" w:hAnsi="Arial" w:cs="Arial"/>
          <w:lang w:val="en-PH"/>
        </w:rPr>
        <w:t>On the other hand, correlational analysis was used for data testing the significant relationship between operational risk management practices and school resilience. Since the data did not follow a normal distribution, Spearman rank correlation was employed to determine the relationship between operational risk management practices and the resilience level assessed by the administering respondents.</w:t>
      </w:r>
    </w:p>
    <w:p w14:paraId="15D1B7A5" w14:textId="77777777" w:rsidR="00790ADA" w:rsidRPr="00FB3A86" w:rsidRDefault="00790ADA" w:rsidP="00441B6F">
      <w:pPr>
        <w:pStyle w:val="Body"/>
        <w:spacing w:after="0"/>
        <w:rPr>
          <w:rFonts w:ascii="Arial" w:hAnsi="Arial" w:cs="Arial"/>
        </w:rPr>
      </w:pPr>
    </w:p>
    <w:p w14:paraId="3327CC35"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6D3C43C" w14:textId="77777777" w:rsidR="00B33001" w:rsidRDefault="00B33001" w:rsidP="00441B6F">
      <w:pPr>
        <w:pStyle w:val="Head1"/>
        <w:spacing w:after="0"/>
        <w:jc w:val="both"/>
        <w:rPr>
          <w:rFonts w:ascii="Arial" w:hAnsi="Arial" w:cs="Arial"/>
        </w:rPr>
      </w:pPr>
    </w:p>
    <w:p w14:paraId="2E535B2E" w14:textId="5BA293EC" w:rsidR="00B33001" w:rsidRDefault="00B33001" w:rsidP="00441B6F">
      <w:pPr>
        <w:pStyle w:val="Head1"/>
        <w:spacing w:after="0"/>
        <w:jc w:val="both"/>
        <w:rPr>
          <w:rFonts w:ascii="Arial" w:hAnsi="Arial" w:cs="Arial"/>
        </w:rPr>
      </w:pPr>
      <w:bookmarkStart w:id="1" w:name="_Hlk194394361"/>
      <w:r>
        <w:rPr>
          <w:rFonts w:ascii="Arial" w:hAnsi="Arial" w:cs="Arial"/>
        </w:rPr>
        <w:t xml:space="preserve">3.1 </w:t>
      </w:r>
      <w:r w:rsidR="00794797">
        <w:rPr>
          <w:rFonts w:ascii="Arial" w:hAnsi="Arial" w:cs="Arial"/>
          <w:caps w:val="0"/>
        </w:rPr>
        <w:t>Extent of O</w:t>
      </w:r>
      <w:r w:rsidR="006B2353">
        <w:rPr>
          <w:rFonts w:ascii="Arial" w:hAnsi="Arial" w:cs="Arial"/>
          <w:caps w:val="0"/>
        </w:rPr>
        <w:t>perational Risk Management Practices of Selected Higher Educational Institutions</w:t>
      </w:r>
      <w:r>
        <w:rPr>
          <w:rFonts w:ascii="Arial" w:hAnsi="Arial" w:cs="Arial"/>
        </w:rPr>
        <w:t xml:space="preserve">  </w:t>
      </w:r>
    </w:p>
    <w:p w14:paraId="756B3308" w14:textId="77777777" w:rsidR="006B2353" w:rsidRDefault="006B2353" w:rsidP="00441B6F">
      <w:pPr>
        <w:pStyle w:val="Head1"/>
        <w:spacing w:after="0"/>
        <w:jc w:val="both"/>
        <w:rPr>
          <w:rFonts w:ascii="Arial" w:hAnsi="Arial" w:cs="Arial"/>
        </w:rPr>
      </w:pPr>
    </w:p>
    <w:tbl>
      <w:tblPr>
        <w:tblW w:w="5000" w:type="pct"/>
        <w:tblLook w:val="04A0" w:firstRow="1" w:lastRow="0" w:firstColumn="1" w:lastColumn="0" w:noHBand="0" w:noVBand="1"/>
      </w:tblPr>
      <w:tblGrid>
        <w:gridCol w:w="1757"/>
        <w:gridCol w:w="408"/>
        <w:gridCol w:w="408"/>
        <w:gridCol w:w="474"/>
        <w:gridCol w:w="408"/>
        <w:gridCol w:w="408"/>
        <w:gridCol w:w="474"/>
        <w:gridCol w:w="408"/>
        <w:gridCol w:w="408"/>
        <w:gridCol w:w="474"/>
        <w:gridCol w:w="408"/>
        <w:gridCol w:w="408"/>
        <w:gridCol w:w="474"/>
        <w:gridCol w:w="408"/>
        <w:gridCol w:w="409"/>
        <w:gridCol w:w="474"/>
      </w:tblGrid>
      <w:tr w:rsidR="00794797" w:rsidRPr="00794797" w14:paraId="0D261C85" w14:textId="77777777" w:rsidTr="008011CF">
        <w:trPr>
          <w:trHeight w:val="144"/>
        </w:trPr>
        <w:tc>
          <w:tcPr>
            <w:tcW w:w="5000" w:type="pct"/>
            <w:gridSpan w:val="16"/>
            <w:tcBorders>
              <w:top w:val="nil"/>
              <w:left w:val="nil"/>
              <w:bottom w:val="nil"/>
              <w:right w:val="nil"/>
            </w:tcBorders>
            <w:noWrap/>
            <w:vAlign w:val="center"/>
            <w:hideMark/>
          </w:tcPr>
          <w:p w14:paraId="12B03677" w14:textId="6FCE5132" w:rsidR="00794797" w:rsidRPr="00794797" w:rsidRDefault="00794797" w:rsidP="00794797">
            <w:pPr>
              <w:rPr>
                <w:rFonts w:ascii="Arial Narrow" w:hAnsi="Arial Narrow"/>
                <w:b/>
                <w:bCs/>
                <w:sz w:val="12"/>
                <w:szCs w:val="12"/>
              </w:rPr>
            </w:pPr>
            <w:r w:rsidRPr="00794797">
              <w:rPr>
                <w:rFonts w:ascii="Arial Narrow" w:hAnsi="Arial Narrow"/>
                <w:b/>
                <w:bCs/>
                <w:sz w:val="12"/>
                <w:szCs w:val="12"/>
              </w:rPr>
              <w:t xml:space="preserve">Table </w:t>
            </w:r>
            <w:r w:rsidR="00045F8B">
              <w:rPr>
                <w:rFonts w:ascii="Arial Narrow" w:hAnsi="Arial Narrow"/>
                <w:b/>
                <w:bCs/>
                <w:sz w:val="12"/>
                <w:szCs w:val="12"/>
              </w:rPr>
              <w:t>1</w:t>
            </w:r>
            <w:r w:rsidRPr="00794797">
              <w:rPr>
                <w:rFonts w:ascii="Arial Narrow" w:hAnsi="Arial Narrow"/>
                <w:b/>
                <w:bCs/>
                <w:sz w:val="12"/>
                <w:szCs w:val="12"/>
              </w:rPr>
              <w:t>. Extent of Operational Risk Management Practices as Assessed by the Administrator Respondents</w:t>
            </w:r>
          </w:p>
        </w:tc>
      </w:tr>
      <w:tr w:rsidR="00794797" w:rsidRPr="00794797" w14:paraId="615FC6D3" w14:textId="77777777" w:rsidTr="00794797">
        <w:trPr>
          <w:trHeight w:val="144"/>
        </w:trPr>
        <w:tc>
          <w:tcPr>
            <w:tcW w:w="1071" w:type="pct"/>
            <w:vMerge w:val="restart"/>
            <w:tcBorders>
              <w:top w:val="single" w:sz="4" w:space="0" w:color="auto"/>
              <w:left w:val="nil"/>
              <w:bottom w:val="single" w:sz="4" w:space="0" w:color="000000"/>
              <w:right w:val="nil"/>
            </w:tcBorders>
            <w:noWrap/>
            <w:vAlign w:val="center"/>
            <w:hideMark/>
          </w:tcPr>
          <w:p w14:paraId="0A20D105" w14:textId="77777777" w:rsidR="00794797" w:rsidRPr="00794797" w:rsidRDefault="00794797" w:rsidP="00794797">
            <w:pPr>
              <w:rPr>
                <w:rFonts w:ascii="Arial Narrow" w:hAnsi="Arial Narrow"/>
                <w:b/>
                <w:bCs/>
                <w:color w:val="000000"/>
                <w:sz w:val="12"/>
                <w:szCs w:val="12"/>
              </w:rPr>
            </w:pPr>
            <w:r w:rsidRPr="00794797">
              <w:rPr>
                <w:rFonts w:ascii="Arial Narrow" w:hAnsi="Arial Narrow"/>
                <w:b/>
                <w:bCs/>
                <w:color w:val="000000"/>
                <w:sz w:val="12"/>
                <w:szCs w:val="12"/>
              </w:rPr>
              <w:t>Variable</w:t>
            </w:r>
          </w:p>
        </w:tc>
        <w:tc>
          <w:tcPr>
            <w:tcW w:w="786" w:type="pct"/>
            <w:gridSpan w:val="3"/>
            <w:tcBorders>
              <w:top w:val="single" w:sz="4" w:space="0" w:color="auto"/>
              <w:left w:val="nil"/>
              <w:bottom w:val="nil"/>
              <w:right w:val="nil"/>
            </w:tcBorders>
            <w:noWrap/>
            <w:vAlign w:val="center"/>
            <w:hideMark/>
          </w:tcPr>
          <w:p w14:paraId="27FF50DC" w14:textId="77777777" w:rsidR="00794797" w:rsidRPr="00794797" w:rsidRDefault="00794797" w:rsidP="00794797">
            <w:pPr>
              <w:jc w:val="center"/>
              <w:rPr>
                <w:rFonts w:ascii="Arial Narrow" w:hAnsi="Arial Narrow"/>
                <w:b/>
                <w:bCs/>
                <w:color w:val="000000"/>
                <w:sz w:val="12"/>
                <w:szCs w:val="12"/>
              </w:rPr>
            </w:pPr>
            <w:r w:rsidRPr="00794797">
              <w:rPr>
                <w:rFonts w:ascii="Arial Narrow" w:hAnsi="Arial Narrow"/>
                <w:b/>
                <w:bCs/>
                <w:color w:val="000000"/>
                <w:sz w:val="12"/>
                <w:szCs w:val="12"/>
              </w:rPr>
              <w:t xml:space="preserve">Risk </w:t>
            </w:r>
          </w:p>
          <w:p w14:paraId="08CDC990" w14:textId="77777777" w:rsidR="00794797" w:rsidRPr="00794797" w:rsidRDefault="00794797" w:rsidP="00794797">
            <w:pPr>
              <w:jc w:val="center"/>
              <w:rPr>
                <w:rFonts w:ascii="Arial Narrow" w:hAnsi="Arial Narrow"/>
                <w:b/>
                <w:bCs/>
                <w:color w:val="000000"/>
                <w:sz w:val="12"/>
                <w:szCs w:val="12"/>
              </w:rPr>
            </w:pPr>
            <w:r w:rsidRPr="00794797">
              <w:rPr>
                <w:rFonts w:ascii="Arial Narrow" w:hAnsi="Arial Narrow"/>
                <w:b/>
                <w:bCs/>
                <w:color w:val="000000"/>
                <w:sz w:val="12"/>
                <w:szCs w:val="12"/>
              </w:rPr>
              <w:t>Identification</w:t>
            </w:r>
          </w:p>
        </w:tc>
        <w:tc>
          <w:tcPr>
            <w:tcW w:w="786" w:type="pct"/>
            <w:gridSpan w:val="3"/>
            <w:tcBorders>
              <w:top w:val="single" w:sz="4" w:space="0" w:color="auto"/>
              <w:left w:val="nil"/>
              <w:bottom w:val="nil"/>
              <w:right w:val="nil"/>
            </w:tcBorders>
            <w:noWrap/>
            <w:vAlign w:val="center"/>
            <w:hideMark/>
          </w:tcPr>
          <w:p w14:paraId="59BA5148" w14:textId="77777777" w:rsidR="00794797" w:rsidRPr="00794797" w:rsidRDefault="00794797" w:rsidP="00794797">
            <w:pPr>
              <w:jc w:val="center"/>
              <w:rPr>
                <w:rFonts w:ascii="Arial Narrow" w:hAnsi="Arial Narrow"/>
                <w:b/>
                <w:bCs/>
                <w:color w:val="000000"/>
                <w:sz w:val="12"/>
                <w:szCs w:val="12"/>
              </w:rPr>
            </w:pPr>
            <w:r w:rsidRPr="00794797">
              <w:rPr>
                <w:rFonts w:ascii="Arial Narrow" w:hAnsi="Arial Narrow"/>
                <w:b/>
                <w:bCs/>
                <w:color w:val="000000"/>
                <w:sz w:val="12"/>
                <w:szCs w:val="12"/>
              </w:rPr>
              <w:t xml:space="preserve">Risk </w:t>
            </w:r>
          </w:p>
          <w:p w14:paraId="5BCD2B4B" w14:textId="77777777" w:rsidR="00794797" w:rsidRPr="00794797" w:rsidRDefault="00794797" w:rsidP="00794797">
            <w:pPr>
              <w:jc w:val="center"/>
              <w:rPr>
                <w:rFonts w:ascii="Arial Narrow" w:hAnsi="Arial Narrow"/>
                <w:b/>
                <w:bCs/>
                <w:color w:val="000000"/>
                <w:sz w:val="12"/>
                <w:szCs w:val="12"/>
              </w:rPr>
            </w:pPr>
            <w:r w:rsidRPr="00794797">
              <w:rPr>
                <w:rFonts w:ascii="Arial Narrow" w:hAnsi="Arial Narrow"/>
                <w:b/>
                <w:bCs/>
                <w:color w:val="000000"/>
                <w:sz w:val="12"/>
                <w:szCs w:val="12"/>
              </w:rPr>
              <w:t>Assessment</w:t>
            </w:r>
          </w:p>
        </w:tc>
        <w:tc>
          <w:tcPr>
            <w:tcW w:w="786" w:type="pct"/>
            <w:gridSpan w:val="3"/>
            <w:tcBorders>
              <w:top w:val="single" w:sz="4" w:space="0" w:color="auto"/>
              <w:left w:val="nil"/>
              <w:bottom w:val="nil"/>
              <w:right w:val="nil"/>
            </w:tcBorders>
            <w:noWrap/>
            <w:vAlign w:val="center"/>
            <w:hideMark/>
          </w:tcPr>
          <w:p w14:paraId="6902CAEA" w14:textId="77777777" w:rsidR="00794797" w:rsidRPr="00794797" w:rsidRDefault="00794797" w:rsidP="00794797">
            <w:pPr>
              <w:jc w:val="center"/>
              <w:rPr>
                <w:rFonts w:ascii="Arial Narrow" w:hAnsi="Arial Narrow"/>
                <w:b/>
                <w:bCs/>
                <w:color w:val="000000"/>
                <w:sz w:val="12"/>
                <w:szCs w:val="12"/>
              </w:rPr>
            </w:pPr>
            <w:r w:rsidRPr="00794797">
              <w:rPr>
                <w:rFonts w:ascii="Arial Narrow" w:hAnsi="Arial Narrow"/>
                <w:b/>
                <w:bCs/>
                <w:color w:val="000000"/>
                <w:sz w:val="12"/>
                <w:szCs w:val="12"/>
              </w:rPr>
              <w:t xml:space="preserve">Risk </w:t>
            </w:r>
          </w:p>
          <w:p w14:paraId="2B2F57B7" w14:textId="77777777" w:rsidR="00794797" w:rsidRPr="00794797" w:rsidRDefault="00794797" w:rsidP="00794797">
            <w:pPr>
              <w:jc w:val="center"/>
              <w:rPr>
                <w:rFonts w:ascii="Arial Narrow" w:hAnsi="Arial Narrow"/>
                <w:b/>
                <w:bCs/>
                <w:color w:val="000000"/>
                <w:sz w:val="12"/>
                <w:szCs w:val="12"/>
              </w:rPr>
            </w:pPr>
            <w:r w:rsidRPr="00794797">
              <w:rPr>
                <w:rFonts w:ascii="Arial Narrow" w:hAnsi="Arial Narrow"/>
                <w:b/>
                <w:bCs/>
                <w:color w:val="000000"/>
                <w:sz w:val="12"/>
                <w:szCs w:val="12"/>
              </w:rPr>
              <w:t xml:space="preserve">Measurement </w:t>
            </w:r>
          </w:p>
          <w:p w14:paraId="5244BFC0" w14:textId="77777777" w:rsidR="00794797" w:rsidRPr="00794797" w:rsidRDefault="00794797" w:rsidP="00794797">
            <w:pPr>
              <w:jc w:val="center"/>
              <w:rPr>
                <w:rFonts w:ascii="Arial Narrow" w:hAnsi="Arial Narrow"/>
                <w:b/>
                <w:bCs/>
                <w:color w:val="000000"/>
                <w:sz w:val="12"/>
                <w:szCs w:val="12"/>
              </w:rPr>
            </w:pPr>
            <w:r w:rsidRPr="00794797">
              <w:rPr>
                <w:rFonts w:ascii="Arial Narrow" w:hAnsi="Arial Narrow"/>
                <w:b/>
                <w:bCs/>
                <w:color w:val="000000"/>
                <w:sz w:val="12"/>
                <w:szCs w:val="12"/>
              </w:rPr>
              <w:t>and Mitigation</w:t>
            </w:r>
          </w:p>
        </w:tc>
        <w:tc>
          <w:tcPr>
            <w:tcW w:w="786" w:type="pct"/>
            <w:gridSpan w:val="3"/>
            <w:tcBorders>
              <w:top w:val="single" w:sz="4" w:space="0" w:color="auto"/>
              <w:left w:val="nil"/>
              <w:bottom w:val="nil"/>
              <w:right w:val="nil"/>
            </w:tcBorders>
            <w:noWrap/>
            <w:vAlign w:val="center"/>
            <w:hideMark/>
          </w:tcPr>
          <w:p w14:paraId="327D1266" w14:textId="77777777" w:rsidR="00794797" w:rsidRPr="00794797" w:rsidRDefault="00794797" w:rsidP="00794797">
            <w:pPr>
              <w:jc w:val="center"/>
              <w:rPr>
                <w:rFonts w:ascii="Arial Narrow" w:hAnsi="Arial Narrow"/>
                <w:b/>
                <w:bCs/>
                <w:color w:val="000000"/>
                <w:sz w:val="12"/>
                <w:szCs w:val="12"/>
              </w:rPr>
            </w:pPr>
            <w:r w:rsidRPr="00794797">
              <w:rPr>
                <w:rFonts w:ascii="Arial Narrow" w:hAnsi="Arial Narrow"/>
                <w:b/>
                <w:bCs/>
                <w:color w:val="000000"/>
                <w:sz w:val="12"/>
                <w:szCs w:val="12"/>
              </w:rPr>
              <w:t xml:space="preserve"> Monitoring </w:t>
            </w:r>
          </w:p>
          <w:p w14:paraId="0337B13E" w14:textId="77777777" w:rsidR="00794797" w:rsidRPr="00794797" w:rsidRDefault="00794797" w:rsidP="00794797">
            <w:pPr>
              <w:jc w:val="center"/>
              <w:rPr>
                <w:rFonts w:ascii="Arial Narrow" w:hAnsi="Arial Narrow"/>
                <w:b/>
                <w:bCs/>
                <w:color w:val="000000"/>
                <w:sz w:val="12"/>
                <w:szCs w:val="12"/>
              </w:rPr>
            </w:pPr>
            <w:r w:rsidRPr="00794797">
              <w:rPr>
                <w:rFonts w:ascii="Arial Narrow" w:hAnsi="Arial Narrow"/>
                <w:b/>
                <w:bCs/>
                <w:color w:val="000000"/>
                <w:sz w:val="12"/>
                <w:szCs w:val="12"/>
              </w:rPr>
              <w:t>and Reporting</w:t>
            </w:r>
          </w:p>
        </w:tc>
        <w:tc>
          <w:tcPr>
            <w:tcW w:w="786" w:type="pct"/>
            <w:gridSpan w:val="3"/>
            <w:tcBorders>
              <w:top w:val="single" w:sz="4" w:space="0" w:color="auto"/>
              <w:left w:val="nil"/>
              <w:bottom w:val="nil"/>
              <w:right w:val="nil"/>
            </w:tcBorders>
            <w:noWrap/>
            <w:vAlign w:val="center"/>
            <w:hideMark/>
          </w:tcPr>
          <w:p w14:paraId="0A97575E" w14:textId="77777777" w:rsidR="00794797" w:rsidRPr="00794797" w:rsidRDefault="00794797" w:rsidP="00794797">
            <w:pPr>
              <w:jc w:val="center"/>
              <w:rPr>
                <w:rFonts w:ascii="Arial Narrow" w:hAnsi="Arial Narrow"/>
                <w:b/>
                <w:bCs/>
                <w:color w:val="000000"/>
                <w:sz w:val="12"/>
                <w:szCs w:val="12"/>
              </w:rPr>
            </w:pPr>
            <w:r w:rsidRPr="00794797">
              <w:rPr>
                <w:rFonts w:ascii="Arial Narrow" w:hAnsi="Arial Narrow"/>
                <w:b/>
                <w:bCs/>
                <w:color w:val="000000"/>
                <w:sz w:val="12"/>
                <w:szCs w:val="12"/>
              </w:rPr>
              <w:t xml:space="preserve">Operational Risk </w:t>
            </w:r>
          </w:p>
          <w:p w14:paraId="6AFF5B55" w14:textId="77777777" w:rsidR="00794797" w:rsidRPr="00794797" w:rsidRDefault="00794797" w:rsidP="00794797">
            <w:pPr>
              <w:jc w:val="center"/>
              <w:rPr>
                <w:rFonts w:ascii="Arial Narrow" w:hAnsi="Arial Narrow"/>
                <w:b/>
                <w:bCs/>
                <w:color w:val="000000"/>
                <w:sz w:val="12"/>
                <w:szCs w:val="12"/>
              </w:rPr>
            </w:pPr>
            <w:r w:rsidRPr="00794797">
              <w:rPr>
                <w:rFonts w:ascii="Arial Narrow" w:hAnsi="Arial Narrow"/>
                <w:b/>
                <w:bCs/>
                <w:color w:val="000000"/>
                <w:sz w:val="12"/>
                <w:szCs w:val="12"/>
              </w:rPr>
              <w:t>Management Practices</w:t>
            </w:r>
          </w:p>
        </w:tc>
      </w:tr>
      <w:tr w:rsidR="00794797" w:rsidRPr="00794797" w14:paraId="454C033A" w14:textId="77777777" w:rsidTr="00794797">
        <w:trPr>
          <w:trHeight w:val="144"/>
        </w:trPr>
        <w:tc>
          <w:tcPr>
            <w:tcW w:w="1071" w:type="pct"/>
            <w:vMerge/>
            <w:tcBorders>
              <w:top w:val="single" w:sz="4" w:space="0" w:color="auto"/>
              <w:left w:val="nil"/>
              <w:bottom w:val="single" w:sz="4" w:space="0" w:color="000000"/>
              <w:right w:val="nil"/>
            </w:tcBorders>
            <w:vAlign w:val="center"/>
            <w:hideMark/>
          </w:tcPr>
          <w:p w14:paraId="325B806B" w14:textId="77777777" w:rsidR="00794797" w:rsidRPr="00794797" w:rsidRDefault="00794797" w:rsidP="00794797">
            <w:pPr>
              <w:rPr>
                <w:rFonts w:ascii="Arial Narrow" w:hAnsi="Arial Narrow"/>
                <w:b/>
                <w:bCs/>
                <w:color w:val="000000"/>
                <w:sz w:val="12"/>
                <w:szCs w:val="12"/>
              </w:rPr>
            </w:pPr>
          </w:p>
        </w:tc>
        <w:tc>
          <w:tcPr>
            <w:tcW w:w="249" w:type="pct"/>
            <w:tcBorders>
              <w:top w:val="nil"/>
              <w:left w:val="nil"/>
              <w:bottom w:val="single" w:sz="4" w:space="0" w:color="auto"/>
              <w:right w:val="nil"/>
            </w:tcBorders>
            <w:noWrap/>
            <w:vAlign w:val="center"/>
            <w:hideMark/>
          </w:tcPr>
          <w:p w14:paraId="7B5A54B2" w14:textId="77777777" w:rsidR="00794797" w:rsidRPr="00794797" w:rsidRDefault="00794797" w:rsidP="00794797">
            <w:pPr>
              <w:jc w:val="center"/>
              <w:rPr>
                <w:rFonts w:ascii="Arial Narrow" w:hAnsi="Arial Narrow"/>
                <w:b/>
                <w:bCs/>
                <w:color w:val="000000"/>
                <w:sz w:val="12"/>
                <w:szCs w:val="12"/>
              </w:rPr>
            </w:pPr>
            <w:r w:rsidRPr="00794797">
              <w:rPr>
                <w:rFonts w:ascii="Arial Narrow" w:hAnsi="Arial Narrow"/>
                <w:b/>
                <w:bCs/>
                <w:color w:val="000000"/>
                <w:sz w:val="12"/>
                <w:szCs w:val="12"/>
              </w:rPr>
              <w:t>M</w:t>
            </w:r>
          </w:p>
        </w:tc>
        <w:tc>
          <w:tcPr>
            <w:tcW w:w="249" w:type="pct"/>
            <w:tcBorders>
              <w:top w:val="nil"/>
              <w:left w:val="nil"/>
              <w:bottom w:val="single" w:sz="4" w:space="0" w:color="auto"/>
              <w:right w:val="nil"/>
            </w:tcBorders>
            <w:noWrap/>
            <w:vAlign w:val="center"/>
            <w:hideMark/>
          </w:tcPr>
          <w:p w14:paraId="537029F9" w14:textId="77777777" w:rsidR="00794797" w:rsidRPr="00794797" w:rsidRDefault="00794797" w:rsidP="00794797">
            <w:pPr>
              <w:jc w:val="center"/>
              <w:rPr>
                <w:rFonts w:ascii="Arial Narrow" w:hAnsi="Arial Narrow"/>
                <w:b/>
                <w:bCs/>
                <w:color w:val="000000"/>
                <w:sz w:val="12"/>
                <w:szCs w:val="12"/>
              </w:rPr>
            </w:pPr>
            <w:r w:rsidRPr="00794797">
              <w:rPr>
                <w:rFonts w:ascii="Arial Narrow" w:hAnsi="Arial Narrow"/>
                <w:b/>
                <w:bCs/>
                <w:color w:val="000000"/>
                <w:sz w:val="12"/>
                <w:szCs w:val="12"/>
              </w:rPr>
              <w:t>SD</w:t>
            </w:r>
          </w:p>
        </w:tc>
        <w:tc>
          <w:tcPr>
            <w:tcW w:w="289" w:type="pct"/>
            <w:tcBorders>
              <w:top w:val="nil"/>
              <w:left w:val="nil"/>
              <w:bottom w:val="single" w:sz="4" w:space="0" w:color="auto"/>
              <w:right w:val="nil"/>
            </w:tcBorders>
            <w:noWrap/>
            <w:vAlign w:val="center"/>
            <w:hideMark/>
          </w:tcPr>
          <w:p w14:paraId="1107124C" w14:textId="77777777" w:rsidR="00794797" w:rsidRPr="00794797" w:rsidRDefault="00794797" w:rsidP="00794797">
            <w:pPr>
              <w:jc w:val="center"/>
              <w:rPr>
                <w:rFonts w:ascii="Arial Narrow" w:hAnsi="Arial Narrow"/>
                <w:b/>
                <w:bCs/>
                <w:color w:val="000000"/>
                <w:sz w:val="12"/>
                <w:szCs w:val="12"/>
              </w:rPr>
            </w:pPr>
            <w:r w:rsidRPr="00794797">
              <w:rPr>
                <w:rFonts w:ascii="Arial Narrow" w:hAnsi="Arial Narrow"/>
                <w:b/>
                <w:bCs/>
                <w:color w:val="000000"/>
                <w:sz w:val="12"/>
                <w:szCs w:val="12"/>
              </w:rPr>
              <w:t>Int</w:t>
            </w:r>
          </w:p>
        </w:tc>
        <w:tc>
          <w:tcPr>
            <w:tcW w:w="249" w:type="pct"/>
            <w:tcBorders>
              <w:top w:val="nil"/>
              <w:left w:val="nil"/>
              <w:bottom w:val="single" w:sz="4" w:space="0" w:color="auto"/>
              <w:right w:val="nil"/>
            </w:tcBorders>
            <w:noWrap/>
            <w:vAlign w:val="center"/>
            <w:hideMark/>
          </w:tcPr>
          <w:p w14:paraId="5755A31B" w14:textId="77777777" w:rsidR="00794797" w:rsidRPr="00794797" w:rsidRDefault="00794797" w:rsidP="00794797">
            <w:pPr>
              <w:jc w:val="center"/>
              <w:rPr>
                <w:rFonts w:ascii="Arial Narrow" w:hAnsi="Arial Narrow"/>
                <w:b/>
                <w:bCs/>
                <w:color w:val="000000"/>
                <w:sz w:val="12"/>
                <w:szCs w:val="12"/>
              </w:rPr>
            </w:pPr>
            <w:r w:rsidRPr="00794797">
              <w:rPr>
                <w:rFonts w:ascii="Arial Narrow" w:hAnsi="Arial Narrow"/>
                <w:b/>
                <w:bCs/>
                <w:color w:val="000000"/>
                <w:sz w:val="12"/>
                <w:szCs w:val="12"/>
              </w:rPr>
              <w:t>M</w:t>
            </w:r>
          </w:p>
        </w:tc>
        <w:tc>
          <w:tcPr>
            <w:tcW w:w="249" w:type="pct"/>
            <w:tcBorders>
              <w:top w:val="nil"/>
              <w:left w:val="nil"/>
              <w:bottom w:val="single" w:sz="4" w:space="0" w:color="auto"/>
              <w:right w:val="nil"/>
            </w:tcBorders>
            <w:noWrap/>
            <w:vAlign w:val="center"/>
            <w:hideMark/>
          </w:tcPr>
          <w:p w14:paraId="0B5F372D" w14:textId="77777777" w:rsidR="00794797" w:rsidRPr="00794797" w:rsidRDefault="00794797" w:rsidP="00794797">
            <w:pPr>
              <w:jc w:val="center"/>
              <w:rPr>
                <w:rFonts w:ascii="Arial Narrow" w:hAnsi="Arial Narrow"/>
                <w:b/>
                <w:bCs/>
                <w:color w:val="000000"/>
                <w:sz w:val="12"/>
                <w:szCs w:val="12"/>
              </w:rPr>
            </w:pPr>
            <w:r w:rsidRPr="00794797">
              <w:rPr>
                <w:rFonts w:ascii="Arial Narrow" w:hAnsi="Arial Narrow"/>
                <w:b/>
                <w:bCs/>
                <w:color w:val="000000"/>
                <w:sz w:val="12"/>
                <w:szCs w:val="12"/>
              </w:rPr>
              <w:t>SD</w:t>
            </w:r>
          </w:p>
        </w:tc>
        <w:tc>
          <w:tcPr>
            <w:tcW w:w="289" w:type="pct"/>
            <w:tcBorders>
              <w:top w:val="nil"/>
              <w:left w:val="nil"/>
              <w:bottom w:val="single" w:sz="4" w:space="0" w:color="auto"/>
              <w:right w:val="nil"/>
            </w:tcBorders>
            <w:noWrap/>
            <w:vAlign w:val="center"/>
            <w:hideMark/>
          </w:tcPr>
          <w:p w14:paraId="5ED47032" w14:textId="77777777" w:rsidR="00794797" w:rsidRPr="00794797" w:rsidRDefault="00794797" w:rsidP="00794797">
            <w:pPr>
              <w:jc w:val="center"/>
              <w:rPr>
                <w:rFonts w:ascii="Arial Narrow" w:hAnsi="Arial Narrow"/>
                <w:b/>
                <w:bCs/>
                <w:color w:val="000000"/>
                <w:sz w:val="12"/>
                <w:szCs w:val="12"/>
              </w:rPr>
            </w:pPr>
            <w:r w:rsidRPr="00794797">
              <w:rPr>
                <w:rFonts w:ascii="Arial Narrow" w:hAnsi="Arial Narrow"/>
                <w:b/>
                <w:bCs/>
                <w:color w:val="000000"/>
                <w:sz w:val="12"/>
                <w:szCs w:val="12"/>
              </w:rPr>
              <w:t>Int</w:t>
            </w:r>
          </w:p>
        </w:tc>
        <w:tc>
          <w:tcPr>
            <w:tcW w:w="249" w:type="pct"/>
            <w:tcBorders>
              <w:top w:val="nil"/>
              <w:left w:val="nil"/>
              <w:bottom w:val="single" w:sz="4" w:space="0" w:color="auto"/>
              <w:right w:val="nil"/>
            </w:tcBorders>
            <w:noWrap/>
            <w:vAlign w:val="center"/>
            <w:hideMark/>
          </w:tcPr>
          <w:p w14:paraId="16E10682" w14:textId="77777777" w:rsidR="00794797" w:rsidRPr="00794797" w:rsidRDefault="00794797" w:rsidP="00794797">
            <w:pPr>
              <w:jc w:val="center"/>
              <w:rPr>
                <w:rFonts w:ascii="Arial Narrow" w:hAnsi="Arial Narrow"/>
                <w:b/>
                <w:bCs/>
                <w:color w:val="000000"/>
                <w:sz w:val="12"/>
                <w:szCs w:val="12"/>
              </w:rPr>
            </w:pPr>
            <w:r w:rsidRPr="00794797">
              <w:rPr>
                <w:rFonts w:ascii="Arial Narrow" w:hAnsi="Arial Narrow"/>
                <w:b/>
                <w:bCs/>
                <w:color w:val="000000"/>
                <w:sz w:val="12"/>
                <w:szCs w:val="12"/>
              </w:rPr>
              <w:t>M</w:t>
            </w:r>
          </w:p>
        </w:tc>
        <w:tc>
          <w:tcPr>
            <w:tcW w:w="249" w:type="pct"/>
            <w:tcBorders>
              <w:top w:val="nil"/>
              <w:left w:val="nil"/>
              <w:bottom w:val="single" w:sz="4" w:space="0" w:color="auto"/>
              <w:right w:val="nil"/>
            </w:tcBorders>
            <w:noWrap/>
            <w:vAlign w:val="center"/>
            <w:hideMark/>
          </w:tcPr>
          <w:p w14:paraId="51C3629F" w14:textId="77777777" w:rsidR="00794797" w:rsidRPr="00794797" w:rsidRDefault="00794797" w:rsidP="00794797">
            <w:pPr>
              <w:jc w:val="center"/>
              <w:rPr>
                <w:rFonts w:ascii="Arial Narrow" w:hAnsi="Arial Narrow"/>
                <w:b/>
                <w:bCs/>
                <w:color w:val="000000"/>
                <w:sz w:val="12"/>
                <w:szCs w:val="12"/>
              </w:rPr>
            </w:pPr>
            <w:r w:rsidRPr="00794797">
              <w:rPr>
                <w:rFonts w:ascii="Arial Narrow" w:hAnsi="Arial Narrow"/>
                <w:b/>
                <w:bCs/>
                <w:color w:val="000000"/>
                <w:sz w:val="12"/>
                <w:szCs w:val="12"/>
              </w:rPr>
              <w:t>SD</w:t>
            </w:r>
          </w:p>
        </w:tc>
        <w:tc>
          <w:tcPr>
            <w:tcW w:w="289" w:type="pct"/>
            <w:tcBorders>
              <w:top w:val="nil"/>
              <w:left w:val="nil"/>
              <w:bottom w:val="single" w:sz="4" w:space="0" w:color="auto"/>
              <w:right w:val="nil"/>
            </w:tcBorders>
            <w:noWrap/>
            <w:vAlign w:val="center"/>
            <w:hideMark/>
          </w:tcPr>
          <w:p w14:paraId="4FAB4CD8" w14:textId="77777777" w:rsidR="00794797" w:rsidRPr="00794797" w:rsidRDefault="00794797" w:rsidP="00794797">
            <w:pPr>
              <w:jc w:val="center"/>
              <w:rPr>
                <w:rFonts w:ascii="Arial Narrow" w:hAnsi="Arial Narrow"/>
                <w:b/>
                <w:bCs/>
                <w:color w:val="000000"/>
                <w:sz w:val="12"/>
                <w:szCs w:val="12"/>
              </w:rPr>
            </w:pPr>
            <w:r w:rsidRPr="00794797">
              <w:rPr>
                <w:rFonts w:ascii="Arial Narrow" w:hAnsi="Arial Narrow"/>
                <w:b/>
                <w:bCs/>
                <w:color w:val="000000"/>
                <w:sz w:val="12"/>
                <w:szCs w:val="12"/>
              </w:rPr>
              <w:t>Int</w:t>
            </w:r>
          </w:p>
        </w:tc>
        <w:tc>
          <w:tcPr>
            <w:tcW w:w="249" w:type="pct"/>
            <w:tcBorders>
              <w:top w:val="nil"/>
              <w:left w:val="nil"/>
              <w:bottom w:val="single" w:sz="4" w:space="0" w:color="auto"/>
              <w:right w:val="nil"/>
            </w:tcBorders>
            <w:noWrap/>
            <w:vAlign w:val="center"/>
            <w:hideMark/>
          </w:tcPr>
          <w:p w14:paraId="79AFE790" w14:textId="77777777" w:rsidR="00794797" w:rsidRPr="00794797" w:rsidRDefault="00794797" w:rsidP="00794797">
            <w:pPr>
              <w:jc w:val="center"/>
              <w:rPr>
                <w:rFonts w:ascii="Arial Narrow" w:hAnsi="Arial Narrow"/>
                <w:b/>
                <w:bCs/>
                <w:color w:val="000000"/>
                <w:sz w:val="12"/>
                <w:szCs w:val="12"/>
              </w:rPr>
            </w:pPr>
            <w:r w:rsidRPr="00794797">
              <w:rPr>
                <w:rFonts w:ascii="Arial Narrow" w:hAnsi="Arial Narrow"/>
                <w:b/>
                <w:bCs/>
                <w:color w:val="000000"/>
                <w:sz w:val="12"/>
                <w:szCs w:val="12"/>
              </w:rPr>
              <w:t>M</w:t>
            </w:r>
          </w:p>
        </w:tc>
        <w:tc>
          <w:tcPr>
            <w:tcW w:w="249" w:type="pct"/>
            <w:tcBorders>
              <w:top w:val="nil"/>
              <w:left w:val="nil"/>
              <w:bottom w:val="single" w:sz="4" w:space="0" w:color="auto"/>
              <w:right w:val="nil"/>
            </w:tcBorders>
            <w:noWrap/>
            <w:vAlign w:val="center"/>
            <w:hideMark/>
          </w:tcPr>
          <w:p w14:paraId="6C536B22" w14:textId="77777777" w:rsidR="00794797" w:rsidRPr="00794797" w:rsidRDefault="00794797" w:rsidP="00794797">
            <w:pPr>
              <w:jc w:val="center"/>
              <w:rPr>
                <w:rFonts w:ascii="Arial Narrow" w:hAnsi="Arial Narrow"/>
                <w:b/>
                <w:bCs/>
                <w:color w:val="000000"/>
                <w:sz w:val="12"/>
                <w:szCs w:val="12"/>
              </w:rPr>
            </w:pPr>
            <w:r w:rsidRPr="00794797">
              <w:rPr>
                <w:rFonts w:ascii="Arial Narrow" w:hAnsi="Arial Narrow"/>
                <w:b/>
                <w:bCs/>
                <w:color w:val="000000"/>
                <w:sz w:val="12"/>
                <w:szCs w:val="12"/>
              </w:rPr>
              <w:t>SD</w:t>
            </w:r>
          </w:p>
        </w:tc>
        <w:tc>
          <w:tcPr>
            <w:tcW w:w="289" w:type="pct"/>
            <w:tcBorders>
              <w:top w:val="nil"/>
              <w:left w:val="nil"/>
              <w:bottom w:val="single" w:sz="4" w:space="0" w:color="auto"/>
              <w:right w:val="nil"/>
            </w:tcBorders>
            <w:noWrap/>
            <w:vAlign w:val="center"/>
            <w:hideMark/>
          </w:tcPr>
          <w:p w14:paraId="5741DFE0" w14:textId="77777777" w:rsidR="00794797" w:rsidRPr="00794797" w:rsidRDefault="00794797" w:rsidP="00794797">
            <w:pPr>
              <w:jc w:val="center"/>
              <w:rPr>
                <w:rFonts w:ascii="Arial Narrow" w:hAnsi="Arial Narrow"/>
                <w:b/>
                <w:bCs/>
                <w:color w:val="000000"/>
                <w:sz w:val="12"/>
                <w:szCs w:val="12"/>
              </w:rPr>
            </w:pPr>
            <w:r w:rsidRPr="00794797">
              <w:rPr>
                <w:rFonts w:ascii="Arial Narrow" w:hAnsi="Arial Narrow"/>
                <w:b/>
                <w:bCs/>
                <w:color w:val="000000"/>
                <w:sz w:val="12"/>
                <w:szCs w:val="12"/>
              </w:rPr>
              <w:t>Int</w:t>
            </w:r>
          </w:p>
        </w:tc>
        <w:tc>
          <w:tcPr>
            <w:tcW w:w="249" w:type="pct"/>
            <w:tcBorders>
              <w:top w:val="nil"/>
              <w:left w:val="nil"/>
              <w:bottom w:val="single" w:sz="4" w:space="0" w:color="auto"/>
              <w:right w:val="nil"/>
            </w:tcBorders>
            <w:noWrap/>
            <w:vAlign w:val="center"/>
            <w:hideMark/>
          </w:tcPr>
          <w:p w14:paraId="15367D34" w14:textId="77777777" w:rsidR="00794797" w:rsidRPr="00794797" w:rsidRDefault="00794797" w:rsidP="00794797">
            <w:pPr>
              <w:jc w:val="center"/>
              <w:rPr>
                <w:rFonts w:ascii="Arial Narrow" w:hAnsi="Arial Narrow"/>
                <w:b/>
                <w:bCs/>
                <w:color w:val="000000"/>
                <w:sz w:val="12"/>
                <w:szCs w:val="12"/>
              </w:rPr>
            </w:pPr>
            <w:r w:rsidRPr="00794797">
              <w:rPr>
                <w:rFonts w:ascii="Arial Narrow" w:hAnsi="Arial Narrow"/>
                <w:b/>
                <w:bCs/>
                <w:color w:val="000000"/>
                <w:sz w:val="12"/>
                <w:szCs w:val="12"/>
              </w:rPr>
              <w:t>M</w:t>
            </w:r>
          </w:p>
        </w:tc>
        <w:tc>
          <w:tcPr>
            <w:tcW w:w="249" w:type="pct"/>
            <w:tcBorders>
              <w:top w:val="nil"/>
              <w:left w:val="nil"/>
              <w:bottom w:val="single" w:sz="4" w:space="0" w:color="auto"/>
              <w:right w:val="nil"/>
            </w:tcBorders>
            <w:noWrap/>
            <w:vAlign w:val="center"/>
            <w:hideMark/>
          </w:tcPr>
          <w:p w14:paraId="666DEBC9" w14:textId="77777777" w:rsidR="00794797" w:rsidRPr="00794797" w:rsidRDefault="00794797" w:rsidP="00794797">
            <w:pPr>
              <w:jc w:val="center"/>
              <w:rPr>
                <w:rFonts w:ascii="Arial Narrow" w:hAnsi="Arial Narrow"/>
                <w:b/>
                <w:bCs/>
                <w:color w:val="000000"/>
                <w:sz w:val="12"/>
                <w:szCs w:val="12"/>
              </w:rPr>
            </w:pPr>
            <w:r w:rsidRPr="00794797">
              <w:rPr>
                <w:rFonts w:ascii="Arial Narrow" w:hAnsi="Arial Narrow"/>
                <w:b/>
                <w:bCs/>
                <w:color w:val="000000"/>
                <w:sz w:val="12"/>
                <w:szCs w:val="12"/>
              </w:rPr>
              <w:t>SD</w:t>
            </w:r>
          </w:p>
        </w:tc>
        <w:tc>
          <w:tcPr>
            <w:tcW w:w="289" w:type="pct"/>
            <w:tcBorders>
              <w:top w:val="nil"/>
              <w:left w:val="nil"/>
              <w:bottom w:val="single" w:sz="4" w:space="0" w:color="auto"/>
              <w:right w:val="nil"/>
            </w:tcBorders>
            <w:noWrap/>
            <w:vAlign w:val="center"/>
            <w:hideMark/>
          </w:tcPr>
          <w:p w14:paraId="21FB6B31" w14:textId="77777777" w:rsidR="00794797" w:rsidRPr="00794797" w:rsidRDefault="00794797" w:rsidP="00794797">
            <w:pPr>
              <w:jc w:val="center"/>
              <w:rPr>
                <w:rFonts w:ascii="Arial Narrow" w:hAnsi="Arial Narrow"/>
                <w:b/>
                <w:bCs/>
                <w:color w:val="000000"/>
                <w:sz w:val="12"/>
                <w:szCs w:val="12"/>
              </w:rPr>
            </w:pPr>
            <w:r w:rsidRPr="00794797">
              <w:rPr>
                <w:rFonts w:ascii="Arial Narrow" w:hAnsi="Arial Narrow"/>
                <w:b/>
                <w:bCs/>
                <w:color w:val="000000"/>
                <w:sz w:val="12"/>
                <w:szCs w:val="12"/>
              </w:rPr>
              <w:t>Int</w:t>
            </w:r>
          </w:p>
        </w:tc>
      </w:tr>
      <w:tr w:rsidR="00794797" w:rsidRPr="00794797" w14:paraId="3D9457FB" w14:textId="77777777" w:rsidTr="00794797">
        <w:trPr>
          <w:trHeight w:val="144"/>
        </w:trPr>
        <w:tc>
          <w:tcPr>
            <w:tcW w:w="1071" w:type="pct"/>
            <w:tcBorders>
              <w:top w:val="nil"/>
              <w:left w:val="nil"/>
              <w:bottom w:val="nil"/>
              <w:right w:val="nil"/>
            </w:tcBorders>
            <w:noWrap/>
            <w:vAlign w:val="center"/>
            <w:hideMark/>
          </w:tcPr>
          <w:p w14:paraId="1024AC67" w14:textId="77777777" w:rsidR="00794797" w:rsidRPr="00794797" w:rsidRDefault="00794797" w:rsidP="00794797">
            <w:pPr>
              <w:rPr>
                <w:rFonts w:ascii="Arial Narrow" w:hAnsi="Arial Narrow"/>
                <w:color w:val="000000"/>
                <w:sz w:val="12"/>
                <w:szCs w:val="12"/>
              </w:rPr>
            </w:pPr>
            <w:r w:rsidRPr="00794797">
              <w:rPr>
                <w:rFonts w:ascii="Arial Narrow" w:hAnsi="Arial Narrow"/>
                <w:color w:val="000000"/>
                <w:sz w:val="12"/>
                <w:szCs w:val="12"/>
              </w:rPr>
              <w:t>Student Population</w:t>
            </w:r>
          </w:p>
        </w:tc>
        <w:tc>
          <w:tcPr>
            <w:tcW w:w="249" w:type="pct"/>
            <w:tcBorders>
              <w:top w:val="nil"/>
              <w:left w:val="nil"/>
              <w:bottom w:val="nil"/>
              <w:right w:val="nil"/>
            </w:tcBorders>
            <w:noWrap/>
            <w:vAlign w:val="center"/>
            <w:hideMark/>
          </w:tcPr>
          <w:p w14:paraId="69F6A735" w14:textId="77777777" w:rsidR="00794797" w:rsidRPr="00794797" w:rsidRDefault="00794797" w:rsidP="00794797">
            <w:pPr>
              <w:rPr>
                <w:rFonts w:ascii="Arial Narrow" w:hAnsi="Arial Narrow"/>
                <w:color w:val="000000"/>
                <w:sz w:val="12"/>
                <w:szCs w:val="12"/>
              </w:rPr>
            </w:pPr>
          </w:p>
        </w:tc>
        <w:tc>
          <w:tcPr>
            <w:tcW w:w="249" w:type="pct"/>
            <w:tcBorders>
              <w:top w:val="nil"/>
              <w:left w:val="nil"/>
              <w:bottom w:val="nil"/>
              <w:right w:val="nil"/>
            </w:tcBorders>
            <w:noWrap/>
            <w:vAlign w:val="center"/>
            <w:hideMark/>
          </w:tcPr>
          <w:p w14:paraId="36799A82" w14:textId="77777777" w:rsidR="00794797" w:rsidRPr="00794797" w:rsidRDefault="00794797" w:rsidP="00794797">
            <w:pPr>
              <w:jc w:val="center"/>
              <w:rPr>
                <w:rFonts w:ascii="Arial Narrow" w:hAnsi="Arial Narrow"/>
                <w:sz w:val="12"/>
                <w:szCs w:val="12"/>
              </w:rPr>
            </w:pPr>
          </w:p>
        </w:tc>
        <w:tc>
          <w:tcPr>
            <w:tcW w:w="289" w:type="pct"/>
            <w:tcBorders>
              <w:top w:val="nil"/>
              <w:left w:val="nil"/>
              <w:bottom w:val="nil"/>
              <w:right w:val="nil"/>
            </w:tcBorders>
            <w:noWrap/>
            <w:vAlign w:val="center"/>
            <w:hideMark/>
          </w:tcPr>
          <w:p w14:paraId="72294989" w14:textId="77777777" w:rsidR="00794797" w:rsidRPr="00794797" w:rsidRDefault="00794797" w:rsidP="00794797">
            <w:pPr>
              <w:jc w:val="center"/>
              <w:rPr>
                <w:rFonts w:ascii="Arial Narrow" w:hAnsi="Arial Narrow"/>
                <w:sz w:val="12"/>
                <w:szCs w:val="12"/>
              </w:rPr>
            </w:pPr>
          </w:p>
        </w:tc>
        <w:tc>
          <w:tcPr>
            <w:tcW w:w="249" w:type="pct"/>
            <w:tcBorders>
              <w:top w:val="nil"/>
              <w:left w:val="nil"/>
              <w:bottom w:val="nil"/>
              <w:right w:val="nil"/>
            </w:tcBorders>
            <w:noWrap/>
            <w:vAlign w:val="center"/>
            <w:hideMark/>
          </w:tcPr>
          <w:p w14:paraId="34F70495" w14:textId="77777777" w:rsidR="00794797" w:rsidRPr="00794797" w:rsidRDefault="00794797" w:rsidP="00794797">
            <w:pPr>
              <w:jc w:val="center"/>
              <w:rPr>
                <w:rFonts w:ascii="Arial Narrow" w:hAnsi="Arial Narrow"/>
                <w:sz w:val="12"/>
                <w:szCs w:val="12"/>
              </w:rPr>
            </w:pPr>
          </w:p>
        </w:tc>
        <w:tc>
          <w:tcPr>
            <w:tcW w:w="249" w:type="pct"/>
            <w:tcBorders>
              <w:top w:val="nil"/>
              <w:left w:val="nil"/>
              <w:bottom w:val="nil"/>
              <w:right w:val="nil"/>
            </w:tcBorders>
            <w:noWrap/>
            <w:vAlign w:val="center"/>
            <w:hideMark/>
          </w:tcPr>
          <w:p w14:paraId="03778CB1" w14:textId="77777777" w:rsidR="00794797" w:rsidRPr="00794797" w:rsidRDefault="00794797" w:rsidP="00794797">
            <w:pPr>
              <w:jc w:val="center"/>
              <w:rPr>
                <w:rFonts w:ascii="Arial Narrow" w:hAnsi="Arial Narrow"/>
                <w:sz w:val="12"/>
                <w:szCs w:val="12"/>
              </w:rPr>
            </w:pPr>
          </w:p>
        </w:tc>
        <w:tc>
          <w:tcPr>
            <w:tcW w:w="289" w:type="pct"/>
            <w:tcBorders>
              <w:top w:val="nil"/>
              <w:left w:val="nil"/>
              <w:bottom w:val="nil"/>
              <w:right w:val="nil"/>
            </w:tcBorders>
            <w:noWrap/>
            <w:vAlign w:val="center"/>
            <w:hideMark/>
          </w:tcPr>
          <w:p w14:paraId="1C5D1D7F" w14:textId="77777777" w:rsidR="00794797" w:rsidRPr="00794797" w:rsidRDefault="00794797" w:rsidP="00794797">
            <w:pPr>
              <w:jc w:val="center"/>
              <w:rPr>
                <w:rFonts w:ascii="Arial Narrow" w:hAnsi="Arial Narrow"/>
                <w:sz w:val="12"/>
                <w:szCs w:val="12"/>
              </w:rPr>
            </w:pPr>
          </w:p>
        </w:tc>
        <w:tc>
          <w:tcPr>
            <w:tcW w:w="249" w:type="pct"/>
            <w:tcBorders>
              <w:top w:val="nil"/>
              <w:left w:val="nil"/>
              <w:bottom w:val="nil"/>
              <w:right w:val="nil"/>
            </w:tcBorders>
            <w:noWrap/>
            <w:vAlign w:val="center"/>
            <w:hideMark/>
          </w:tcPr>
          <w:p w14:paraId="3B4157A5" w14:textId="77777777" w:rsidR="00794797" w:rsidRPr="00794797" w:rsidRDefault="00794797" w:rsidP="00794797">
            <w:pPr>
              <w:jc w:val="center"/>
              <w:rPr>
                <w:rFonts w:ascii="Arial Narrow" w:hAnsi="Arial Narrow"/>
                <w:sz w:val="12"/>
                <w:szCs w:val="12"/>
              </w:rPr>
            </w:pPr>
          </w:p>
        </w:tc>
        <w:tc>
          <w:tcPr>
            <w:tcW w:w="249" w:type="pct"/>
            <w:tcBorders>
              <w:top w:val="nil"/>
              <w:left w:val="nil"/>
              <w:bottom w:val="nil"/>
              <w:right w:val="nil"/>
            </w:tcBorders>
            <w:noWrap/>
            <w:vAlign w:val="center"/>
            <w:hideMark/>
          </w:tcPr>
          <w:p w14:paraId="54CC2BDB" w14:textId="77777777" w:rsidR="00794797" w:rsidRPr="00794797" w:rsidRDefault="00794797" w:rsidP="00794797">
            <w:pPr>
              <w:jc w:val="center"/>
              <w:rPr>
                <w:rFonts w:ascii="Arial Narrow" w:hAnsi="Arial Narrow"/>
                <w:sz w:val="12"/>
                <w:szCs w:val="12"/>
              </w:rPr>
            </w:pPr>
          </w:p>
        </w:tc>
        <w:tc>
          <w:tcPr>
            <w:tcW w:w="289" w:type="pct"/>
            <w:tcBorders>
              <w:top w:val="nil"/>
              <w:left w:val="nil"/>
              <w:bottom w:val="nil"/>
              <w:right w:val="nil"/>
            </w:tcBorders>
            <w:noWrap/>
            <w:vAlign w:val="center"/>
            <w:hideMark/>
          </w:tcPr>
          <w:p w14:paraId="37BB655F" w14:textId="77777777" w:rsidR="00794797" w:rsidRPr="00794797" w:rsidRDefault="00794797" w:rsidP="00794797">
            <w:pPr>
              <w:jc w:val="center"/>
              <w:rPr>
                <w:rFonts w:ascii="Arial Narrow" w:hAnsi="Arial Narrow"/>
                <w:sz w:val="12"/>
                <w:szCs w:val="12"/>
              </w:rPr>
            </w:pPr>
          </w:p>
        </w:tc>
        <w:tc>
          <w:tcPr>
            <w:tcW w:w="249" w:type="pct"/>
            <w:tcBorders>
              <w:top w:val="nil"/>
              <w:left w:val="nil"/>
              <w:bottom w:val="nil"/>
              <w:right w:val="nil"/>
            </w:tcBorders>
            <w:noWrap/>
            <w:vAlign w:val="center"/>
            <w:hideMark/>
          </w:tcPr>
          <w:p w14:paraId="2B2CCE2C" w14:textId="77777777" w:rsidR="00794797" w:rsidRPr="00794797" w:rsidRDefault="00794797" w:rsidP="00794797">
            <w:pPr>
              <w:jc w:val="center"/>
              <w:rPr>
                <w:rFonts w:ascii="Arial Narrow" w:hAnsi="Arial Narrow"/>
                <w:sz w:val="12"/>
                <w:szCs w:val="12"/>
              </w:rPr>
            </w:pPr>
          </w:p>
        </w:tc>
        <w:tc>
          <w:tcPr>
            <w:tcW w:w="249" w:type="pct"/>
            <w:tcBorders>
              <w:top w:val="nil"/>
              <w:left w:val="nil"/>
              <w:bottom w:val="nil"/>
              <w:right w:val="nil"/>
            </w:tcBorders>
            <w:noWrap/>
            <w:vAlign w:val="center"/>
            <w:hideMark/>
          </w:tcPr>
          <w:p w14:paraId="70EE2D99" w14:textId="77777777" w:rsidR="00794797" w:rsidRPr="00794797" w:rsidRDefault="00794797" w:rsidP="00794797">
            <w:pPr>
              <w:jc w:val="center"/>
              <w:rPr>
                <w:rFonts w:ascii="Arial Narrow" w:hAnsi="Arial Narrow"/>
                <w:sz w:val="12"/>
                <w:szCs w:val="12"/>
              </w:rPr>
            </w:pPr>
          </w:p>
        </w:tc>
        <w:tc>
          <w:tcPr>
            <w:tcW w:w="289" w:type="pct"/>
            <w:tcBorders>
              <w:top w:val="nil"/>
              <w:left w:val="nil"/>
              <w:bottom w:val="nil"/>
              <w:right w:val="nil"/>
            </w:tcBorders>
            <w:noWrap/>
            <w:vAlign w:val="center"/>
            <w:hideMark/>
          </w:tcPr>
          <w:p w14:paraId="7C582896" w14:textId="77777777" w:rsidR="00794797" w:rsidRPr="00794797" w:rsidRDefault="00794797" w:rsidP="00794797">
            <w:pPr>
              <w:jc w:val="center"/>
              <w:rPr>
                <w:rFonts w:ascii="Arial Narrow" w:hAnsi="Arial Narrow"/>
                <w:sz w:val="12"/>
                <w:szCs w:val="12"/>
              </w:rPr>
            </w:pPr>
          </w:p>
        </w:tc>
        <w:tc>
          <w:tcPr>
            <w:tcW w:w="249" w:type="pct"/>
            <w:tcBorders>
              <w:top w:val="nil"/>
              <w:left w:val="nil"/>
              <w:bottom w:val="nil"/>
              <w:right w:val="nil"/>
            </w:tcBorders>
            <w:noWrap/>
            <w:vAlign w:val="center"/>
            <w:hideMark/>
          </w:tcPr>
          <w:p w14:paraId="5D19F2CF" w14:textId="77777777" w:rsidR="00794797" w:rsidRPr="00794797" w:rsidRDefault="00794797" w:rsidP="00794797">
            <w:pPr>
              <w:jc w:val="center"/>
              <w:rPr>
                <w:rFonts w:ascii="Arial Narrow" w:hAnsi="Arial Narrow"/>
                <w:sz w:val="12"/>
                <w:szCs w:val="12"/>
              </w:rPr>
            </w:pPr>
          </w:p>
        </w:tc>
        <w:tc>
          <w:tcPr>
            <w:tcW w:w="249" w:type="pct"/>
            <w:tcBorders>
              <w:top w:val="nil"/>
              <w:left w:val="nil"/>
              <w:bottom w:val="nil"/>
              <w:right w:val="nil"/>
            </w:tcBorders>
            <w:noWrap/>
            <w:vAlign w:val="center"/>
            <w:hideMark/>
          </w:tcPr>
          <w:p w14:paraId="4784D3D4" w14:textId="77777777" w:rsidR="00794797" w:rsidRPr="00794797" w:rsidRDefault="00794797" w:rsidP="00794797">
            <w:pPr>
              <w:jc w:val="center"/>
              <w:rPr>
                <w:rFonts w:ascii="Arial Narrow" w:hAnsi="Arial Narrow"/>
                <w:sz w:val="12"/>
                <w:szCs w:val="12"/>
              </w:rPr>
            </w:pPr>
          </w:p>
        </w:tc>
        <w:tc>
          <w:tcPr>
            <w:tcW w:w="289" w:type="pct"/>
            <w:tcBorders>
              <w:top w:val="nil"/>
              <w:left w:val="nil"/>
              <w:bottom w:val="nil"/>
              <w:right w:val="nil"/>
            </w:tcBorders>
            <w:noWrap/>
            <w:vAlign w:val="center"/>
            <w:hideMark/>
          </w:tcPr>
          <w:p w14:paraId="4DBF43AE" w14:textId="77777777" w:rsidR="00794797" w:rsidRPr="00794797" w:rsidRDefault="00794797" w:rsidP="00794797">
            <w:pPr>
              <w:jc w:val="center"/>
              <w:rPr>
                <w:rFonts w:ascii="Arial Narrow" w:hAnsi="Arial Narrow"/>
                <w:sz w:val="12"/>
                <w:szCs w:val="12"/>
              </w:rPr>
            </w:pPr>
          </w:p>
        </w:tc>
      </w:tr>
      <w:tr w:rsidR="00794797" w:rsidRPr="00794797" w14:paraId="4C8D4D74" w14:textId="77777777" w:rsidTr="00794797">
        <w:trPr>
          <w:trHeight w:val="144"/>
        </w:trPr>
        <w:tc>
          <w:tcPr>
            <w:tcW w:w="1071" w:type="pct"/>
            <w:tcBorders>
              <w:top w:val="nil"/>
              <w:left w:val="nil"/>
              <w:bottom w:val="nil"/>
              <w:right w:val="nil"/>
            </w:tcBorders>
            <w:noWrap/>
            <w:vAlign w:val="center"/>
            <w:hideMark/>
          </w:tcPr>
          <w:p w14:paraId="7F0015FE" w14:textId="77777777" w:rsidR="00794797" w:rsidRPr="00794797" w:rsidRDefault="00794797" w:rsidP="00794797">
            <w:pPr>
              <w:rPr>
                <w:rFonts w:ascii="Arial Narrow" w:hAnsi="Arial Narrow"/>
                <w:color w:val="000000"/>
                <w:sz w:val="12"/>
                <w:szCs w:val="12"/>
              </w:rPr>
            </w:pPr>
            <w:r w:rsidRPr="00794797">
              <w:rPr>
                <w:rFonts w:ascii="Arial Narrow" w:hAnsi="Arial Narrow"/>
                <w:color w:val="000000"/>
                <w:sz w:val="12"/>
                <w:szCs w:val="12"/>
              </w:rPr>
              <w:t xml:space="preserve">   Smaller Student Body</w:t>
            </w:r>
          </w:p>
        </w:tc>
        <w:tc>
          <w:tcPr>
            <w:tcW w:w="249" w:type="pct"/>
            <w:tcBorders>
              <w:top w:val="nil"/>
              <w:left w:val="nil"/>
              <w:bottom w:val="nil"/>
              <w:right w:val="nil"/>
            </w:tcBorders>
            <w:noWrap/>
            <w:vAlign w:val="center"/>
            <w:hideMark/>
          </w:tcPr>
          <w:p w14:paraId="41589AFF"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2.58</w:t>
            </w:r>
          </w:p>
        </w:tc>
        <w:tc>
          <w:tcPr>
            <w:tcW w:w="249" w:type="pct"/>
            <w:tcBorders>
              <w:top w:val="nil"/>
              <w:left w:val="nil"/>
              <w:bottom w:val="nil"/>
              <w:right w:val="nil"/>
            </w:tcBorders>
            <w:noWrap/>
            <w:vAlign w:val="center"/>
            <w:hideMark/>
          </w:tcPr>
          <w:p w14:paraId="7F3F0DDC"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0.77</w:t>
            </w:r>
          </w:p>
        </w:tc>
        <w:tc>
          <w:tcPr>
            <w:tcW w:w="289" w:type="pct"/>
            <w:tcBorders>
              <w:top w:val="nil"/>
              <w:left w:val="nil"/>
              <w:bottom w:val="nil"/>
              <w:right w:val="nil"/>
            </w:tcBorders>
            <w:noWrap/>
            <w:vAlign w:val="center"/>
            <w:hideMark/>
          </w:tcPr>
          <w:p w14:paraId="3103C056"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Great</w:t>
            </w:r>
          </w:p>
        </w:tc>
        <w:tc>
          <w:tcPr>
            <w:tcW w:w="249" w:type="pct"/>
            <w:tcBorders>
              <w:top w:val="nil"/>
              <w:left w:val="nil"/>
              <w:bottom w:val="nil"/>
              <w:right w:val="nil"/>
            </w:tcBorders>
            <w:noWrap/>
            <w:vAlign w:val="center"/>
            <w:hideMark/>
          </w:tcPr>
          <w:p w14:paraId="77F67031"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2.58</w:t>
            </w:r>
          </w:p>
        </w:tc>
        <w:tc>
          <w:tcPr>
            <w:tcW w:w="249" w:type="pct"/>
            <w:tcBorders>
              <w:top w:val="nil"/>
              <w:left w:val="nil"/>
              <w:bottom w:val="nil"/>
              <w:right w:val="nil"/>
            </w:tcBorders>
            <w:noWrap/>
            <w:vAlign w:val="center"/>
            <w:hideMark/>
          </w:tcPr>
          <w:p w14:paraId="443AF68B"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0.91</w:t>
            </w:r>
          </w:p>
        </w:tc>
        <w:tc>
          <w:tcPr>
            <w:tcW w:w="289" w:type="pct"/>
            <w:tcBorders>
              <w:top w:val="nil"/>
              <w:left w:val="nil"/>
              <w:bottom w:val="nil"/>
              <w:right w:val="nil"/>
            </w:tcBorders>
            <w:noWrap/>
            <w:vAlign w:val="center"/>
            <w:hideMark/>
          </w:tcPr>
          <w:p w14:paraId="25111E52"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Great</w:t>
            </w:r>
          </w:p>
        </w:tc>
        <w:tc>
          <w:tcPr>
            <w:tcW w:w="249" w:type="pct"/>
            <w:tcBorders>
              <w:top w:val="nil"/>
              <w:left w:val="nil"/>
              <w:bottom w:val="nil"/>
              <w:right w:val="nil"/>
            </w:tcBorders>
            <w:noWrap/>
            <w:vAlign w:val="center"/>
            <w:hideMark/>
          </w:tcPr>
          <w:p w14:paraId="1CC4F1E1"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2.59</w:t>
            </w:r>
          </w:p>
        </w:tc>
        <w:tc>
          <w:tcPr>
            <w:tcW w:w="249" w:type="pct"/>
            <w:tcBorders>
              <w:top w:val="nil"/>
              <w:left w:val="nil"/>
              <w:bottom w:val="nil"/>
              <w:right w:val="nil"/>
            </w:tcBorders>
            <w:noWrap/>
            <w:vAlign w:val="center"/>
            <w:hideMark/>
          </w:tcPr>
          <w:p w14:paraId="4A800028"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0.90</w:t>
            </w:r>
          </w:p>
        </w:tc>
        <w:tc>
          <w:tcPr>
            <w:tcW w:w="289" w:type="pct"/>
            <w:tcBorders>
              <w:top w:val="nil"/>
              <w:left w:val="nil"/>
              <w:bottom w:val="nil"/>
              <w:right w:val="nil"/>
            </w:tcBorders>
            <w:noWrap/>
            <w:vAlign w:val="center"/>
            <w:hideMark/>
          </w:tcPr>
          <w:p w14:paraId="2B92D9F2"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Great</w:t>
            </w:r>
          </w:p>
        </w:tc>
        <w:tc>
          <w:tcPr>
            <w:tcW w:w="249" w:type="pct"/>
            <w:tcBorders>
              <w:top w:val="nil"/>
              <w:left w:val="nil"/>
              <w:bottom w:val="nil"/>
              <w:right w:val="nil"/>
            </w:tcBorders>
            <w:noWrap/>
            <w:vAlign w:val="center"/>
            <w:hideMark/>
          </w:tcPr>
          <w:p w14:paraId="3BBFE378"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2.46</w:t>
            </w:r>
          </w:p>
        </w:tc>
        <w:tc>
          <w:tcPr>
            <w:tcW w:w="249" w:type="pct"/>
            <w:tcBorders>
              <w:top w:val="nil"/>
              <w:left w:val="nil"/>
              <w:bottom w:val="nil"/>
              <w:right w:val="nil"/>
            </w:tcBorders>
            <w:noWrap/>
            <w:vAlign w:val="center"/>
            <w:hideMark/>
          </w:tcPr>
          <w:p w14:paraId="4B86422B"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0.93</w:t>
            </w:r>
          </w:p>
        </w:tc>
        <w:tc>
          <w:tcPr>
            <w:tcW w:w="289" w:type="pct"/>
            <w:tcBorders>
              <w:top w:val="nil"/>
              <w:left w:val="nil"/>
              <w:bottom w:val="nil"/>
              <w:right w:val="nil"/>
            </w:tcBorders>
            <w:noWrap/>
            <w:vAlign w:val="center"/>
            <w:hideMark/>
          </w:tcPr>
          <w:p w14:paraId="78A541B6"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Poor</w:t>
            </w:r>
          </w:p>
        </w:tc>
        <w:tc>
          <w:tcPr>
            <w:tcW w:w="249" w:type="pct"/>
            <w:tcBorders>
              <w:top w:val="nil"/>
              <w:left w:val="nil"/>
              <w:bottom w:val="nil"/>
              <w:right w:val="nil"/>
            </w:tcBorders>
            <w:noWrap/>
            <w:vAlign w:val="center"/>
            <w:hideMark/>
          </w:tcPr>
          <w:p w14:paraId="76D6D801"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2.55</w:t>
            </w:r>
          </w:p>
        </w:tc>
        <w:tc>
          <w:tcPr>
            <w:tcW w:w="249" w:type="pct"/>
            <w:tcBorders>
              <w:top w:val="nil"/>
              <w:left w:val="nil"/>
              <w:bottom w:val="nil"/>
              <w:right w:val="nil"/>
            </w:tcBorders>
            <w:noWrap/>
            <w:vAlign w:val="center"/>
            <w:hideMark/>
          </w:tcPr>
          <w:p w14:paraId="2B2985FE"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0.86</w:t>
            </w:r>
          </w:p>
        </w:tc>
        <w:tc>
          <w:tcPr>
            <w:tcW w:w="289" w:type="pct"/>
            <w:tcBorders>
              <w:top w:val="nil"/>
              <w:left w:val="nil"/>
              <w:bottom w:val="nil"/>
              <w:right w:val="nil"/>
            </w:tcBorders>
            <w:noWrap/>
            <w:vAlign w:val="center"/>
            <w:hideMark/>
          </w:tcPr>
          <w:p w14:paraId="73061CD7"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Great</w:t>
            </w:r>
          </w:p>
        </w:tc>
      </w:tr>
      <w:tr w:rsidR="00794797" w:rsidRPr="00794797" w14:paraId="02CD1774" w14:textId="77777777" w:rsidTr="00794797">
        <w:trPr>
          <w:trHeight w:val="144"/>
        </w:trPr>
        <w:tc>
          <w:tcPr>
            <w:tcW w:w="1071" w:type="pct"/>
            <w:tcBorders>
              <w:top w:val="nil"/>
              <w:left w:val="nil"/>
              <w:bottom w:val="nil"/>
              <w:right w:val="nil"/>
            </w:tcBorders>
            <w:noWrap/>
            <w:vAlign w:val="center"/>
            <w:hideMark/>
          </w:tcPr>
          <w:p w14:paraId="63E143F7" w14:textId="77777777" w:rsidR="00794797" w:rsidRPr="00794797" w:rsidRDefault="00794797" w:rsidP="00794797">
            <w:pPr>
              <w:rPr>
                <w:rFonts w:ascii="Arial Narrow" w:hAnsi="Arial Narrow"/>
                <w:color w:val="000000"/>
                <w:sz w:val="12"/>
                <w:szCs w:val="12"/>
              </w:rPr>
            </w:pPr>
            <w:r w:rsidRPr="00794797">
              <w:rPr>
                <w:rFonts w:ascii="Arial Narrow" w:hAnsi="Arial Narrow"/>
                <w:color w:val="000000"/>
                <w:sz w:val="12"/>
                <w:szCs w:val="12"/>
              </w:rPr>
              <w:t xml:space="preserve">   Larger Student Body</w:t>
            </w:r>
          </w:p>
        </w:tc>
        <w:tc>
          <w:tcPr>
            <w:tcW w:w="249" w:type="pct"/>
            <w:tcBorders>
              <w:top w:val="nil"/>
              <w:left w:val="nil"/>
              <w:bottom w:val="nil"/>
              <w:right w:val="nil"/>
            </w:tcBorders>
            <w:noWrap/>
            <w:vAlign w:val="center"/>
            <w:hideMark/>
          </w:tcPr>
          <w:p w14:paraId="53F938FD"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2.78</w:t>
            </w:r>
          </w:p>
        </w:tc>
        <w:tc>
          <w:tcPr>
            <w:tcW w:w="249" w:type="pct"/>
            <w:tcBorders>
              <w:top w:val="nil"/>
              <w:left w:val="nil"/>
              <w:bottom w:val="nil"/>
              <w:right w:val="nil"/>
            </w:tcBorders>
            <w:noWrap/>
            <w:vAlign w:val="center"/>
            <w:hideMark/>
          </w:tcPr>
          <w:p w14:paraId="1B0C2F15"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0.82</w:t>
            </w:r>
          </w:p>
        </w:tc>
        <w:tc>
          <w:tcPr>
            <w:tcW w:w="289" w:type="pct"/>
            <w:tcBorders>
              <w:top w:val="nil"/>
              <w:left w:val="nil"/>
              <w:bottom w:val="nil"/>
              <w:right w:val="nil"/>
            </w:tcBorders>
            <w:noWrap/>
            <w:vAlign w:val="center"/>
            <w:hideMark/>
          </w:tcPr>
          <w:p w14:paraId="3D77050E"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Great</w:t>
            </w:r>
          </w:p>
        </w:tc>
        <w:tc>
          <w:tcPr>
            <w:tcW w:w="249" w:type="pct"/>
            <w:tcBorders>
              <w:top w:val="nil"/>
              <w:left w:val="nil"/>
              <w:bottom w:val="nil"/>
              <w:right w:val="nil"/>
            </w:tcBorders>
            <w:noWrap/>
            <w:vAlign w:val="center"/>
            <w:hideMark/>
          </w:tcPr>
          <w:p w14:paraId="1A09CE6B"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2.73</w:t>
            </w:r>
          </w:p>
        </w:tc>
        <w:tc>
          <w:tcPr>
            <w:tcW w:w="249" w:type="pct"/>
            <w:tcBorders>
              <w:top w:val="nil"/>
              <w:left w:val="nil"/>
              <w:bottom w:val="nil"/>
              <w:right w:val="nil"/>
            </w:tcBorders>
            <w:noWrap/>
            <w:vAlign w:val="center"/>
            <w:hideMark/>
          </w:tcPr>
          <w:p w14:paraId="05409AAB"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0.88</w:t>
            </w:r>
          </w:p>
        </w:tc>
        <w:tc>
          <w:tcPr>
            <w:tcW w:w="289" w:type="pct"/>
            <w:tcBorders>
              <w:top w:val="nil"/>
              <w:left w:val="nil"/>
              <w:bottom w:val="nil"/>
              <w:right w:val="nil"/>
            </w:tcBorders>
            <w:noWrap/>
            <w:vAlign w:val="center"/>
            <w:hideMark/>
          </w:tcPr>
          <w:p w14:paraId="1A7A43A7"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Great</w:t>
            </w:r>
          </w:p>
        </w:tc>
        <w:tc>
          <w:tcPr>
            <w:tcW w:w="249" w:type="pct"/>
            <w:tcBorders>
              <w:top w:val="nil"/>
              <w:left w:val="nil"/>
              <w:bottom w:val="nil"/>
              <w:right w:val="nil"/>
            </w:tcBorders>
            <w:noWrap/>
            <w:vAlign w:val="center"/>
            <w:hideMark/>
          </w:tcPr>
          <w:p w14:paraId="5F82139D"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2.65</w:t>
            </w:r>
          </w:p>
        </w:tc>
        <w:tc>
          <w:tcPr>
            <w:tcW w:w="249" w:type="pct"/>
            <w:tcBorders>
              <w:top w:val="nil"/>
              <w:left w:val="nil"/>
              <w:bottom w:val="nil"/>
              <w:right w:val="nil"/>
            </w:tcBorders>
            <w:noWrap/>
            <w:vAlign w:val="center"/>
            <w:hideMark/>
          </w:tcPr>
          <w:p w14:paraId="1C3765D9"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0.91</w:t>
            </w:r>
          </w:p>
        </w:tc>
        <w:tc>
          <w:tcPr>
            <w:tcW w:w="289" w:type="pct"/>
            <w:tcBorders>
              <w:top w:val="nil"/>
              <w:left w:val="nil"/>
              <w:bottom w:val="nil"/>
              <w:right w:val="nil"/>
            </w:tcBorders>
            <w:noWrap/>
            <w:vAlign w:val="center"/>
            <w:hideMark/>
          </w:tcPr>
          <w:p w14:paraId="144AFA52"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Great</w:t>
            </w:r>
          </w:p>
        </w:tc>
        <w:tc>
          <w:tcPr>
            <w:tcW w:w="249" w:type="pct"/>
            <w:tcBorders>
              <w:top w:val="nil"/>
              <w:left w:val="nil"/>
              <w:bottom w:val="nil"/>
              <w:right w:val="nil"/>
            </w:tcBorders>
            <w:noWrap/>
            <w:vAlign w:val="center"/>
            <w:hideMark/>
          </w:tcPr>
          <w:p w14:paraId="1B71D004"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2.63</w:t>
            </w:r>
          </w:p>
        </w:tc>
        <w:tc>
          <w:tcPr>
            <w:tcW w:w="249" w:type="pct"/>
            <w:tcBorders>
              <w:top w:val="nil"/>
              <w:left w:val="nil"/>
              <w:bottom w:val="nil"/>
              <w:right w:val="nil"/>
            </w:tcBorders>
            <w:noWrap/>
            <w:vAlign w:val="center"/>
            <w:hideMark/>
          </w:tcPr>
          <w:p w14:paraId="7845F414"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0.91</w:t>
            </w:r>
          </w:p>
        </w:tc>
        <w:tc>
          <w:tcPr>
            <w:tcW w:w="289" w:type="pct"/>
            <w:tcBorders>
              <w:top w:val="nil"/>
              <w:left w:val="nil"/>
              <w:bottom w:val="nil"/>
              <w:right w:val="nil"/>
            </w:tcBorders>
            <w:noWrap/>
            <w:vAlign w:val="center"/>
            <w:hideMark/>
          </w:tcPr>
          <w:p w14:paraId="2EB1A02C"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Great</w:t>
            </w:r>
          </w:p>
        </w:tc>
        <w:tc>
          <w:tcPr>
            <w:tcW w:w="249" w:type="pct"/>
            <w:tcBorders>
              <w:top w:val="nil"/>
              <w:left w:val="nil"/>
              <w:bottom w:val="nil"/>
              <w:right w:val="nil"/>
            </w:tcBorders>
            <w:noWrap/>
            <w:vAlign w:val="center"/>
            <w:hideMark/>
          </w:tcPr>
          <w:p w14:paraId="6F5A8A07"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2.70</w:t>
            </w:r>
          </w:p>
        </w:tc>
        <w:tc>
          <w:tcPr>
            <w:tcW w:w="249" w:type="pct"/>
            <w:tcBorders>
              <w:top w:val="nil"/>
              <w:left w:val="nil"/>
              <w:bottom w:val="nil"/>
              <w:right w:val="nil"/>
            </w:tcBorders>
            <w:noWrap/>
            <w:vAlign w:val="center"/>
            <w:hideMark/>
          </w:tcPr>
          <w:p w14:paraId="7F6E2AC5"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0.86</w:t>
            </w:r>
          </w:p>
        </w:tc>
        <w:tc>
          <w:tcPr>
            <w:tcW w:w="289" w:type="pct"/>
            <w:tcBorders>
              <w:top w:val="nil"/>
              <w:left w:val="nil"/>
              <w:bottom w:val="nil"/>
              <w:right w:val="nil"/>
            </w:tcBorders>
            <w:noWrap/>
            <w:vAlign w:val="center"/>
            <w:hideMark/>
          </w:tcPr>
          <w:p w14:paraId="406BCE10"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Great</w:t>
            </w:r>
          </w:p>
        </w:tc>
      </w:tr>
      <w:tr w:rsidR="00794797" w:rsidRPr="00794797" w14:paraId="05032A6E" w14:textId="77777777" w:rsidTr="00794797">
        <w:trPr>
          <w:trHeight w:val="144"/>
        </w:trPr>
        <w:tc>
          <w:tcPr>
            <w:tcW w:w="1071" w:type="pct"/>
            <w:tcBorders>
              <w:top w:val="nil"/>
              <w:left w:val="nil"/>
              <w:bottom w:val="nil"/>
              <w:right w:val="nil"/>
            </w:tcBorders>
            <w:noWrap/>
            <w:vAlign w:val="center"/>
            <w:hideMark/>
          </w:tcPr>
          <w:p w14:paraId="1109763D" w14:textId="77777777" w:rsidR="00794797" w:rsidRPr="00794797" w:rsidRDefault="00794797" w:rsidP="00794797">
            <w:pPr>
              <w:rPr>
                <w:rFonts w:ascii="Arial Narrow" w:hAnsi="Arial Narrow"/>
                <w:color w:val="000000"/>
                <w:sz w:val="12"/>
                <w:szCs w:val="12"/>
              </w:rPr>
            </w:pPr>
            <w:r w:rsidRPr="00794797">
              <w:rPr>
                <w:rFonts w:ascii="Arial Narrow" w:hAnsi="Arial Narrow"/>
                <w:color w:val="000000"/>
                <w:sz w:val="12"/>
                <w:szCs w:val="12"/>
              </w:rPr>
              <w:t>Number of Employees</w:t>
            </w:r>
          </w:p>
        </w:tc>
        <w:tc>
          <w:tcPr>
            <w:tcW w:w="249" w:type="pct"/>
            <w:tcBorders>
              <w:top w:val="nil"/>
              <w:left w:val="nil"/>
              <w:bottom w:val="nil"/>
              <w:right w:val="nil"/>
            </w:tcBorders>
            <w:noWrap/>
            <w:vAlign w:val="center"/>
            <w:hideMark/>
          </w:tcPr>
          <w:p w14:paraId="3309C560"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 xml:space="preserve"> </w:t>
            </w:r>
          </w:p>
        </w:tc>
        <w:tc>
          <w:tcPr>
            <w:tcW w:w="249" w:type="pct"/>
            <w:tcBorders>
              <w:top w:val="nil"/>
              <w:left w:val="nil"/>
              <w:bottom w:val="nil"/>
              <w:right w:val="nil"/>
            </w:tcBorders>
            <w:noWrap/>
            <w:vAlign w:val="center"/>
            <w:hideMark/>
          </w:tcPr>
          <w:p w14:paraId="18E5BBBC"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 xml:space="preserve"> </w:t>
            </w:r>
          </w:p>
        </w:tc>
        <w:tc>
          <w:tcPr>
            <w:tcW w:w="289" w:type="pct"/>
            <w:tcBorders>
              <w:top w:val="nil"/>
              <w:left w:val="nil"/>
              <w:bottom w:val="nil"/>
              <w:right w:val="nil"/>
            </w:tcBorders>
            <w:noWrap/>
            <w:vAlign w:val="center"/>
            <w:hideMark/>
          </w:tcPr>
          <w:p w14:paraId="405FD631"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 xml:space="preserve"> </w:t>
            </w:r>
          </w:p>
        </w:tc>
        <w:tc>
          <w:tcPr>
            <w:tcW w:w="249" w:type="pct"/>
            <w:tcBorders>
              <w:top w:val="nil"/>
              <w:left w:val="nil"/>
              <w:bottom w:val="nil"/>
              <w:right w:val="nil"/>
            </w:tcBorders>
            <w:noWrap/>
            <w:vAlign w:val="center"/>
            <w:hideMark/>
          </w:tcPr>
          <w:p w14:paraId="37A8E6CD"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 xml:space="preserve"> </w:t>
            </w:r>
          </w:p>
        </w:tc>
        <w:tc>
          <w:tcPr>
            <w:tcW w:w="249" w:type="pct"/>
            <w:tcBorders>
              <w:top w:val="nil"/>
              <w:left w:val="nil"/>
              <w:bottom w:val="nil"/>
              <w:right w:val="nil"/>
            </w:tcBorders>
            <w:noWrap/>
            <w:vAlign w:val="center"/>
            <w:hideMark/>
          </w:tcPr>
          <w:p w14:paraId="65AB0782"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 xml:space="preserve"> </w:t>
            </w:r>
          </w:p>
        </w:tc>
        <w:tc>
          <w:tcPr>
            <w:tcW w:w="289" w:type="pct"/>
            <w:tcBorders>
              <w:top w:val="nil"/>
              <w:left w:val="nil"/>
              <w:bottom w:val="nil"/>
              <w:right w:val="nil"/>
            </w:tcBorders>
            <w:noWrap/>
            <w:vAlign w:val="center"/>
            <w:hideMark/>
          </w:tcPr>
          <w:p w14:paraId="6D4BF98A"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 xml:space="preserve"> </w:t>
            </w:r>
          </w:p>
        </w:tc>
        <w:tc>
          <w:tcPr>
            <w:tcW w:w="249" w:type="pct"/>
            <w:tcBorders>
              <w:top w:val="nil"/>
              <w:left w:val="nil"/>
              <w:bottom w:val="nil"/>
              <w:right w:val="nil"/>
            </w:tcBorders>
            <w:noWrap/>
            <w:vAlign w:val="center"/>
            <w:hideMark/>
          </w:tcPr>
          <w:p w14:paraId="16B111E1"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 xml:space="preserve"> </w:t>
            </w:r>
          </w:p>
        </w:tc>
        <w:tc>
          <w:tcPr>
            <w:tcW w:w="249" w:type="pct"/>
            <w:tcBorders>
              <w:top w:val="nil"/>
              <w:left w:val="nil"/>
              <w:bottom w:val="nil"/>
              <w:right w:val="nil"/>
            </w:tcBorders>
            <w:noWrap/>
            <w:vAlign w:val="center"/>
            <w:hideMark/>
          </w:tcPr>
          <w:p w14:paraId="2207AA33"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 xml:space="preserve"> </w:t>
            </w:r>
          </w:p>
        </w:tc>
        <w:tc>
          <w:tcPr>
            <w:tcW w:w="289" w:type="pct"/>
            <w:tcBorders>
              <w:top w:val="nil"/>
              <w:left w:val="nil"/>
              <w:bottom w:val="nil"/>
              <w:right w:val="nil"/>
            </w:tcBorders>
            <w:noWrap/>
            <w:vAlign w:val="center"/>
            <w:hideMark/>
          </w:tcPr>
          <w:p w14:paraId="1B19289E"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 xml:space="preserve"> </w:t>
            </w:r>
          </w:p>
        </w:tc>
        <w:tc>
          <w:tcPr>
            <w:tcW w:w="249" w:type="pct"/>
            <w:tcBorders>
              <w:top w:val="nil"/>
              <w:left w:val="nil"/>
              <w:bottom w:val="nil"/>
              <w:right w:val="nil"/>
            </w:tcBorders>
            <w:noWrap/>
            <w:vAlign w:val="center"/>
            <w:hideMark/>
          </w:tcPr>
          <w:p w14:paraId="2F37F0D1"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 xml:space="preserve"> </w:t>
            </w:r>
          </w:p>
        </w:tc>
        <w:tc>
          <w:tcPr>
            <w:tcW w:w="249" w:type="pct"/>
            <w:tcBorders>
              <w:top w:val="nil"/>
              <w:left w:val="nil"/>
              <w:bottom w:val="nil"/>
              <w:right w:val="nil"/>
            </w:tcBorders>
            <w:noWrap/>
            <w:vAlign w:val="center"/>
            <w:hideMark/>
          </w:tcPr>
          <w:p w14:paraId="101E5D57"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 xml:space="preserve"> </w:t>
            </w:r>
          </w:p>
        </w:tc>
        <w:tc>
          <w:tcPr>
            <w:tcW w:w="289" w:type="pct"/>
            <w:tcBorders>
              <w:top w:val="nil"/>
              <w:left w:val="nil"/>
              <w:bottom w:val="nil"/>
              <w:right w:val="nil"/>
            </w:tcBorders>
            <w:noWrap/>
            <w:vAlign w:val="center"/>
            <w:hideMark/>
          </w:tcPr>
          <w:p w14:paraId="77EF9D28"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 xml:space="preserve"> </w:t>
            </w:r>
          </w:p>
        </w:tc>
        <w:tc>
          <w:tcPr>
            <w:tcW w:w="249" w:type="pct"/>
            <w:tcBorders>
              <w:top w:val="nil"/>
              <w:left w:val="nil"/>
              <w:bottom w:val="nil"/>
              <w:right w:val="nil"/>
            </w:tcBorders>
            <w:noWrap/>
            <w:vAlign w:val="center"/>
            <w:hideMark/>
          </w:tcPr>
          <w:p w14:paraId="3E6CFD78"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 xml:space="preserve"> </w:t>
            </w:r>
          </w:p>
        </w:tc>
        <w:tc>
          <w:tcPr>
            <w:tcW w:w="249" w:type="pct"/>
            <w:tcBorders>
              <w:top w:val="nil"/>
              <w:left w:val="nil"/>
              <w:bottom w:val="nil"/>
              <w:right w:val="nil"/>
            </w:tcBorders>
            <w:noWrap/>
            <w:vAlign w:val="center"/>
            <w:hideMark/>
          </w:tcPr>
          <w:p w14:paraId="7644BAD5"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 xml:space="preserve"> </w:t>
            </w:r>
          </w:p>
        </w:tc>
        <w:tc>
          <w:tcPr>
            <w:tcW w:w="289" w:type="pct"/>
            <w:tcBorders>
              <w:top w:val="nil"/>
              <w:left w:val="nil"/>
              <w:bottom w:val="nil"/>
              <w:right w:val="nil"/>
            </w:tcBorders>
            <w:noWrap/>
            <w:vAlign w:val="center"/>
            <w:hideMark/>
          </w:tcPr>
          <w:p w14:paraId="45C08034"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 xml:space="preserve"> </w:t>
            </w:r>
          </w:p>
        </w:tc>
      </w:tr>
      <w:tr w:rsidR="00794797" w:rsidRPr="00794797" w14:paraId="06748B0E" w14:textId="77777777" w:rsidTr="00794797">
        <w:trPr>
          <w:trHeight w:val="144"/>
        </w:trPr>
        <w:tc>
          <w:tcPr>
            <w:tcW w:w="1071" w:type="pct"/>
            <w:tcBorders>
              <w:top w:val="nil"/>
              <w:left w:val="nil"/>
              <w:bottom w:val="nil"/>
              <w:right w:val="nil"/>
            </w:tcBorders>
            <w:noWrap/>
            <w:vAlign w:val="center"/>
            <w:hideMark/>
          </w:tcPr>
          <w:p w14:paraId="657F61C6" w14:textId="77777777" w:rsidR="00794797" w:rsidRPr="00794797" w:rsidRDefault="00794797" w:rsidP="00794797">
            <w:pPr>
              <w:rPr>
                <w:rFonts w:ascii="Arial Narrow" w:hAnsi="Arial Narrow"/>
                <w:color w:val="000000"/>
                <w:sz w:val="12"/>
                <w:szCs w:val="12"/>
              </w:rPr>
            </w:pPr>
            <w:r w:rsidRPr="00794797">
              <w:rPr>
                <w:rFonts w:ascii="Arial Narrow" w:hAnsi="Arial Narrow"/>
                <w:color w:val="000000"/>
                <w:sz w:val="12"/>
                <w:szCs w:val="12"/>
              </w:rPr>
              <w:t xml:space="preserve">   Smaller Workforce</w:t>
            </w:r>
          </w:p>
        </w:tc>
        <w:tc>
          <w:tcPr>
            <w:tcW w:w="249" w:type="pct"/>
            <w:tcBorders>
              <w:top w:val="nil"/>
              <w:left w:val="nil"/>
              <w:bottom w:val="nil"/>
              <w:right w:val="nil"/>
            </w:tcBorders>
            <w:noWrap/>
            <w:vAlign w:val="center"/>
            <w:hideMark/>
          </w:tcPr>
          <w:p w14:paraId="62D6E263"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2.58</w:t>
            </w:r>
          </w:p>
        </w:tc>
        <w:tc>
          <w:tcPr>
            <w:tcW w:w="249" w:type="pct"/>
            <w:tcBorders>
              <w:top w:val="nil"/>
              <w:left w:val="nil"/>
              <w:bottom w:val="nil"/>
              <w:right w:val="nil"/>
            </w:tcBorders>
            <w:noWrap/>
            <w:vAlign w:val="center"/>
            <w:hideMark/>
          </w:tcPr>
          <w:p w14:paraId="68B7DAA9"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0.77</w:t>
            </w:r>
          </w:p>
        </w:tc>
        <w:tc>
          <w:tcPr>
            <w:tcW w:w="289" w:type="pct"/>
            <w:tcBorders>
              <w:top w:val="nil"/>
              <w:left w:val="nil"/>
              <w:bottom w:val="nil"/>
              <w:right w:val="nil"/>
            </w:tcBorders>
            <w:noWrap/>
            <w:vAlign w:val="center"/>
            <w:hideMark/>
          </w:tcPr>
          <w:p w14:paraId="704C7868"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Great</w:t>
            </w:r>
          </w:p>
        </w:tc>
        <w:tc>
          <w:tcPr>
            <w:tcW w:w="249" w:type="pct"/>
            <w:tcBorders>
              <w:top w:val="nil"/>
              <w:left w:val="nil"/>
              <w:bottom w:val="nil"/>
              <w:right w:val="nil"/>
            </w:tcBorders>
            <w:noWrap/>
            <w:vAlign w:val="center"/>
            <w:hideMark/>
          </w:tcPr>
          <w:p w14:paraId="40B42704"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2.58</w:t>
            </w:r>
          </w:p>
        </w:tc>
        <w:tc>
          <w:tcPr>
            <w:tcW w:w="249" w:type="pct"/>
            <w:tcBorders>
              <w:top w:val="nil"/>
              <w:left w:val="nil"/>
              <w:bottom w:val="nil"/>
              <w:right w:val="nil"/>
            </w:tcBorders>
            <w:noWrap/>
            <w:vAlign w:val="center"/>
            <w:hideMark/>
          </w:tcPr>
          <w:p w14:paraId="5A499A65"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0.91</w:t>
            </w:r>
          </w:p>
        </w:tc>
        <w:tc>
          <w:tcPr>
            <w:tcW w:w="289" w:type="pct"/>
            <w:tcBorders>
              <w:top w:val="nil"/>
              <w:left w:val="nil"/>
              <w:bottom w:val="nil"/>
              <w:right w:val="nil"/>
            </w:tcBorders>
            <w:noWrap/>
            <w:vAlign w:val="center"/>
            <w:hideMark/>
          </w:tcPr>
          <w:p w14:paraId="54B4FBA4"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Great</w:t>
            </w:r>
          </w:p>
        </w:tc>
        <w:tc>
          <w:tcPr>
            <w:tcW w:w="249" w:type="pct"/>
            <w:tcBorders>
              <w:top w:val="nil"/>
              <w:left w:val="nil"/>
              <w:bottom w:val="nil"/>
              <w:right w:val="nil"/>
            </w:tcBorders>
            <w:noWrap/>
            <w:vAlign w:val="center"/>
            <w:hideMark/>
          </w:tcPr>
          <w:p w14:paraId="3E26B272"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2.59</w:t>
            </w:r>
          </w:p>
        </w:tc>
        <w:tc>
          <w:tcPr>
            <w:tcW w:w="249" w:type="pct"/>
            <w:tcBorders>
              <w:top w:val="nil"/>
              <w:left w:val="nil"/>
              <w:bottom w:val="nil"/>
              <w:right w:val="nil"/>
            </w:tcBorders>
            <w:noWrap/>
            <w:vAlign w:val="center"/>
            <w:hideMark/>
          </w:tcPr>
          <w:p w14:paraId="6D98A085"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0.90</w:t>
            </w:r>
          </w:p>
        </w:tc>
        <w:tc>
          <w:tcPr>
            <w:tcW w:w="289" w:type="pct"/>
            <w:tcBorders>
              <w:top w:val="nil"/>
              <w:left w:val="nil"/>
              <w:bottom w:val="nil"/>
              <w:right w:val="nil"/>
            </w:tcBorders>
            <w:noWrap/>
            <w:vAlign w:val="center"/>
            <w:hideMark/>
          </w:tcPr>
          <w:p w14:paraId="1352F7BE"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Great</w:t>
            </w:r>
          </w:p>
        </w:tc>
        <w:tc>
          <w:tcPr>
            <w:tcW w:w="249" w:type="pct"/>
            <w:tcBorders>
              <w:top w:val="nil"/>
              <w:left w:val="nil"/>
              <w:bottom w:val="nil"/>
              <w:right w:val="nil"/>
            </w:tcBorders>
            <w:noWrap/>
            <w:vAlign w:val="center"/>
            <w:hideMark/>
          </w:tcPr>
          <w:p w14:paraId="70F6FD60"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2.46</w:t>
            </w:r>
          </w:p>
        </w:tc>
        <w:tc>
          <w:tcPr>
            <w:tcW w:w="249" w:type="pct"/>
            <w:tcBorders>
              <w:top w:val="nil"/>
              <w:left w:val="nil"/>
              <w:bottom w:val="nil"/>
              <w:right w:val="nil"/>
            </w:tcBorders>
            <w:noWrap/>
            <w:vAlign w:val="center"/>
            <w:hideMark/>
          </w:tcPr>
          <w:p w14:paraId="4E634568"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0.93</w:t>
            </w:r>
          </w:p>
        </w:tc>
        <w:tc>
          <w:tcPr>
            <w:tcW w:w="289" w:type="pct"/>
            <w:tcBorders>
              <w:top w:val="nil"/>
              <w:left w:val="nil"/>
              <w:bottom w:val="nil"/>
              <w:right w:val="nil"/>
            </w:tcBorders>
            <w:noWrap/>
            <w:vAlign w:val="center"/>
            <w:hideMark/>
          </w:tcPr>
          <w:p w14:paraId="516A9899"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Poor</w:t>
            </w:r>
          </w:p>
        </w:tc>
        <w:tc>
          <w:tcPr>
            <w:tcW w:w="249" w:type="pct"/>
            <w:tcBorders>
              <w:top w:val="nil"/>
              <w:left w:val="nil"/>
              <w:bottom w:val="nil"/>
              <w:right w:val="nil"/>
            </w:tcBorders>
            <w:noWrap/>
            <w:vAlign w:val="center"/>
            <w:hideMark/>
          </w:tcPr>
          <w:p w14:paraId="016CFC0E"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2.55</w:t>
            </w:r>
          </w:p>
        </w:tc>
        <w:tc>
          <w:tcPr>
            <w:tcW w:w="249" w:type="pct"/>
            <w:tcBorders>
              <w:top w:val="nil"/>
              <w:left w:val="nil"/>
              <w:bottom w:val="nil"/>
              <w:right w:val="nil"/>
            </w:tcBorders>
            <w:noWrap/>
            <w:vAlign w:val="center"/>
            <w:hideMark/>
          </w:tcPr>
          <w:p w14:paraId="4D0E49BA"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0.86</w:t>
            </w:r>
          </w:p>
        </w:tc>
        <w:tc>
          <w:tcPr>
            <w:tcW w:w="289" w:type="pct"/>
            <w:tcBorders>
              <w:top w:val="nil"/>
              <w:left w:val="nil"/>
              <w:bottom w:val="nil"/>
              <w:right w:val="nil"/>
            </w:tcBorders>
            <w:noWrap/>
            <w:vAlign w:val="center"/>
            <w:hideMark/>
          </w:tcPr>
          <w:p w14:paraId="382F3798"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Great</w:t>
            </w:r>
          </w:p>
        </w:tc>
      </w:tr>
      <w:tr w:rsidR="00794797" w:rsidRPr="00794797" w14:paraId="4CAEB124" w14:textId="77777777" w:rsidTr="00794797">
        <w:trPr>
          <w:trHeight w:val="144"/>
        </w:trPr>
        <w:tc>
          <w:tcPr>
            <w:tcW w:w="1071" w:type="pct"/>
            <w:tcBorders>
              <w:top w:val="nil"/>
              <w:left w:val="nil"/>
              <w:bottom w:val="nil"/>
              <w:right w:val="nil"/>
            </w:tcBorders>
            <w:noWrap/>
            <w:vAlign w:val="center"/>
            <w:hideMark/>
          </w:tcPr>
          <w:p w14:paraId="40073A7A" w14:textId="77777777" w:rsidR="00794797" w:rsidRPr="00794797" w:rsidRDefault="00794797" w:rsidP="00794797">
            <w:pPr>
              <w:rPr>
                <w:rFonts w:ascii="Arial Narrow" w:hAnsi="Arial Narrow"/>
                <w:color w:val="000000"/>
                <w:sz w:val="12"/>
                <w:szCs w:val="12"/>
              </w:rPr>
            </w:pPr>
            <w:r w:rsidRPr="00794797">
              <w:rPr>
                <w:rFonts w:ascii="Arial Narrow" w:hAnsi="Arial Narrow"/>
                <w:color w:val="000000"/>
                <w:sz w:val="12"/>
                <w:szCs w:val="12"/>
              </w:rPr>
              <w:t xml:space="preserve">   Larger Workforce</w:t>
            </w:r>
          </w:p>
        </w:tc>
        <w:tc>
          <w:tcPr>
            <w:tcW w:w="249" w:type="pct"/>
            <w:tcBorders>
              <w:top w:val="nil"/>
              <w:left w:val="nil"/>
              <w:bottom w:val="nil"/>
              <w:right w:val="nil"/>
            </w:tcBorders>
            <w:noWrap/>
            <w:vAlign w:val="center"/>
            <w:hideMark/>
          </w:tcPr>
          <w:p w14:paraId="705B4278"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2.78</w:t>
            </w:r>
          </w:p>
        </w:tc>
        <w:tc>
          <w:tcPr>
            <w:tcW w:w="249" w:type="pct"/>
            <w:tcBorders>
              <w:top w:val="nil"/>
              <w:left w:val="nil"/>
              <w:bottom w:val="nil"/>
              <w:right w:val="nil"/>
            </w:tcBorders>
            <w:noWrap/>
            <w:vAlign w:val="center"/>
            <w:hideMark/>
          </w:tcPr>
          <w:p w14:paraId="7811E1DD"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0.82</w:t>
            </w:r>
          </w:p>
        </w:tc>
        <w:tc>
          <w:tcPr>
            <w:tcW w:w="289" w:type="pct"/>
            <w:tcBorders>
              <w:top w:val="nil"/>
              <w:left w:val="nil"/>
              <w:bottom w:val="nil"/>
              <w:right w:val="nil"/>
            </w:tcBorders>
            <w:noWrap/>
            <w:vAlign w:val="center"/>
            <w:hideMark/>
          </w:tcPr>
          <w:p w14:paraId="6112C741"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Great</w:t>
            </w:r>
          </w:p>
        </w:tc>
        <w:tc>
          <w:tcPr>
            <w:tcW w:w="249" w:type="pct"/>
            <w:tcBorders>
              <w:top w:val="nil"/>
              <w:left w:val="nil"/>
              <w:bottom w:val="nil"/>
              <w:right w:val="nil"/>
            </w:tcBorders>
            <w:noWrap/>
            <w:vAlign w:val="center"/>
            <w:hideMark/>
          </w:tcPr>
          <w:p w14:paraId="2872FF14"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2.73</w:t>
            </w:r>
          </w:p>
        </w:tc>
        <w:tc>
          <w:tcPr>
            <w:tcW w:w="249" w:type="pct"/>
            <w:tcBorders>
              <w:top w:val="nil"/>
              <w:left w:val="nil"/>
              <w:bottom w:val="nil"/>
              <w:right w:val="nil"/>
            </w:tcBorders>
            <w:noWrap/>
            <w:vAlign w:val="center"/>
            <w:hideMark/>
          </w:tcPr>
          <w:p w14:paraId="5EB05C69"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0.88</w:t>
            </w:r>
          </w:p>
        </w:tc>
        <w:tc>
          <w:tcPr>
            <w:tcW w:w="289" w:type="pct"/>
            <w:tcBorders>
              <w:top w:val="nil"/>
              <w:left w:val="nil"/>
              <w:bottom w:val="nil"/>
              <w:right w:val="nil"/>
            </w:tcBorders>
            <w:noWrap/>
            <w:vAlign w:val="center"/>
            <w:hideMark/>
          </w:tcPr>
          <w:p w14:paraId="2ED60030"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Great</w:t>
            </w:r>
          </w:p>
        </w:tc>
        <w:tc>
          <w:tcPr>
            <w:tcW w:w="249" w:type="pct"/>
            <w:tcBorders>
              <w:top w:val="nil"/>
              <w:left w:val="nil"/>
              <w:bottom w:val="nil"/>
              <w:right w:val="nil"/>
            </w:tcBorders>
            <w:noWrap/>
            <w:vAlign w:val="center"/>
            <w:hideMark/>
          </w:tcPr>
          <w:p w14:paraId="62D1F552"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2.65</w:t>
            </w:r>
          </w:p>
        </w:tc>
        <w:tc>
          <w:tcPr>
            <w:tcW w:w="249" w:type="pct"/>
            <w:tcBorders>
              <w:top w:val="nil"/>
              <w:left w:val="nil"/>
              <w:bottom w:val="nil"/>
              <w:right w:val="nil"/>
            </w:tcBorders>
            <w:noWrap/>
            <w:vAlign w:val="center"/>
            <w:hideMark/>
          </w:tcPr>
          <w:p w14:paraId="2BBD3A5C"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0.91</w:t>
            </w:r>
          </w:p>
        </w:tc>
        <w:tc>
          <w:tcPr>
            <w:tcW w:w="289" w:type="pct"/>
            <w:tcBorders>
              <w:top w:val="nil"/>
              <w:left w:val="nil"/>
              <w:bottom w:val="nil"/>
              <w:right w:val="nil"/>
            </w:tcBorders>
            <w:noWrap/>
            <w:vAlign w:val="center"/>
            <w:hideMark/>
          </w:tcPr>
          <w:p w14:paraId="1574A0A9"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Great</w:t>
            </w:r>
          </w:p>
        </w:tc>
        <w:tc>
          <w:tcPr>
            <w:tcW w:w="249" w:type="pct"/>
            <w:tcBorders>
              <w:top w:val="nil"/>
              <w:left w:val="nil"/>
              <w:bottom w:val="nil"/>
              <w:right w:val="nil"/>
            </w:tcBorders>
            <w:noWrap/>
            <w:vAlign w:val="center"/>
            <w:hideMark/>
          </w:tcPr>
          <w:p w14:paraId="36442094"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2.63</w:t>
            </w:r>
          </w:p>
        </w:tc>
        <w:tc>
          <w:tcPr>
            <w:tcW w:w="249" w:type="pct"/>
            <w:tcBorders>
              <w:top w:val="nil"/>
              <w:left w:val="nil"/>
              <w:bottom w:val="nil"/>
              <w:right w:val="nil"/>
            </w:tcBorders>
            <w:noWrap/>
            <w:vAlign w:val="center"/>
            <w:hideMark/>
          </w:tcPr>
          <w:p w14:paraId="6EA2958B"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0.91</w:t>
            </w:r>
          </w:p>
        </w:tc>
        <w:tc>
          <w:tcPr>
            <w:tcW w:w="289" w:type="pct"/>
            <w:tcBorders>
              <w:top w:val="nil"/>
              <w:left w:val="nil"/>
              <w:bottom w:val="nil"/>
              <w:right w:val="nil"/>
            </w:tcBorders>
            <w:noWrap/>
            <w:vAlign w:val="center"/>
            <w:hideMark/>
          </w:tcPr>
          <w:p w14:paraId="6E4FF625"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Great</w:t>
            </w:r>
          </w:p>
        </w:tc>
        <w:tc>
          <w:tcPr>
            <w:tcW w:w="249" w:type="pct"/>
            <w:tcBorders>
              <w:top w:val="nil"/>
              <w:left w:val="nil"/>
              <w:bottom w:val="nil"/>
              <w:right w:val="nil"/>
            </w:tcBorders>
            <w:noWrap/>
            <w:vAlign w:val="center"/>
            <w:hideMark/>
          </w:tcPr>
          <w:p w14:paraId="0CA2E500"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2.70</w:t>
            </w:r>
          </w:p>
        </w:tc>
        <w:tc>
          <w:tcPr>
            <w:tcW w:w="249" w:type="pct"/>
            <w:tcBorders>
              <w:top w:val="nil"/>
              <w:left w:val="nil"/>
              <w:bottom w:val="nil"/>
              <w:right w:val="nil"/>
            </w:tcBorders>
            <w:noWrap/>
            <w:vAlign w:val="center"/>
            <w:hideMark/>
          </w:tcPr>
          <w:p w14:paraId="6037F8B4"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0.86</w:t>
            </w:r>
          </w:p>
        </w:tc>
        <w:tc>
          <w:tcPr>
            <w:tcW w:w="289" w:type="pct"/>
            <w:tcBorders>
              <w:top w:val="nil"/>
              <w:left w:val="nil"/>
              <w:bottom w:val="nil"/>
              <w:right w:val="nil"/>
            </w:tcBorders>
            <w:noWrap/>
            <w:vAlign w:val="center"/>
            <w:hideMark/>
          </w:tcPr>
          <w:p w14:paraId="5E4D0B13"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Great</w:t>
            </w:r>
          </w:p>
        </w:tc>
      </w:tr>
      <w:tr w:rsidR="00794797" w:rsidRPr="00794797" w14:paraId="476CEE80" w14:textId="77777777" w:rsidTr="00794797">
        <w:trPr>
          <w:trHeight w:val="144"/>
        </w:trPr>
        <w:tc>
          <w:tcPr>
            <w:tcW w:w="1071" w:type="pct"/>
            <w:tcBorders>
              <w:top w:val="nil"/>
              <w:left w:val="nil"/>
              <w:bottom w:val="nil"/>
              <w:right w:val="nil"/>
            </w:tcBorders>
            <w:noWrap/>
            <w:vAlign w:val="center"/>
            <w:hideMark/>
          </w:tcPr>
          <w:p w14:paraId="64CE98BA" w14:textId="77777777" w:rsidR="00794797" w:rsidRPr="00794797" w:rsidRDefault="00794797" w:rsidP="00794797">
            <w:pPr>
              <w:rPr>
                <w:rFonts w:ascii="Arial Narrow" w:hAnsi="Arial Narrow"/>
                <w:color w:val="000000"/>
                <w:sz w:val="12"/>
                <w:szCs w:val="12"/>
              </w:rPr>
            </w:pPr>
            <w:r w:rsidRPr="00794797">
              <w:rPr>
                <w:rFonts w:ascii="Arial Narrow" w:hAnsi="Arial Narrow"/>
                <w:color w:val="000000"/>
                <w:sz w:val="12"/>
                <w:szCs w:val="12"/>
              </w:rPr>
              <w:t>Annual Operational Budget</w:t>
            </w:r>
          </w:p>
        </w:tc>
        <w:tc>
          <w:tcPr>
            <w:tcW w:w="249" w:type="pct"/>
            <w:tcBorders>
              <w:top w:val="nil"/>
              <w:left w:val="nil"/>
              <w:bottom w:val="nil"/>
              <w:right w:val="nil"/>
            </w:tcBorders>
            <w:noWrap/>
            <w:vAlign w:val="center"/>
            <w:hideMark/>
          </w:tcPr>
          <w:p w14:paraId="64C611ED"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 xml:space="preserve"> </w:t>
            </w:r>
          </w:p>
        </w:tc>
        <w:tc>
          <w:tcPr>
            <w:tcW w:w="249" w:type="pct"/>
            <w:tcBorders>
              <w:top w:val="nil"/>
              <w:left w:val="nil"/>
              <w:bottom w:val="nil"/>
              <w:right w:val="nil"/>
            </w:tcBorders>
            <w:noWrap/>
            <w:vAlign w:val="center"/>
            <w:hideMark/>
          </w:tcPr>
          <w:p w14:paraId="1DAAA2B1"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 xml:space="preserve"> </w:t>
            </w:r>
          </w:p>
        </w:tc>
        <w:tc>
          <w:tcPr>
            <w:tcW w:w="289" w:type="pct"/>
            <w:tcBorders>
              <w:top w:val="nil"/>
              <w:left w:val="nil"/>
              <w:bottom w:val="nil"/>
              <w:right w:val="nil"/>
            </w:tcBorders>
            <w:noWrap/>
            <w:vAlign w:val="center"/>
            <w:hideMark/>
          </w:tcPr>
          <w:p w14:paraId="363021DD"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 xml:space="preserve"> </w:t>
            </w:r>
          </w:p>
        </w:tc>
        <w:tc>
          <w:tcPr>
            <w:tcW w:w="249" w:type="pct"/>
            <w:tcBorders>
              <w:top w:val="nil"/>
              <w:left w:val="nil"/>
              <w:bottom w:val="nil"/>
              <w:right w:val="nil"/>
            </w:tcBorders>
            <w:noWrap/>
            <w:vAlign w:val="center"/>
            <w:hideMark/>
          </w:tcPr>
          <w:p w14:paraId="6F8FF2A6"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 xml:space="preserve"> </w:t>
            </w:r>
          </w:p>
        </w:tc>
        <w:tc>
          <w:tcPr>
            <w:tcW w:w="249" w:type="pct"/>
            <w:tcBorders>
              <w:top w:val="nil"/>
              <w:left w:val="nil"/>
              <w:bottom w:val="nil"/>
              <w:right w:val="nil"/>
            </w:tcBorders>
            <w:noWrap/>
            <w:vAlign w:val="center"/>
            <w:hideMark/>
          </w:tcPr>
          <w:p w14:paraId="005CC292"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 xml:space="preserve"> </w:t>
            </w:r>
          </w:p>
        </w:tc>
        <w:tc>
          <w:tcPr>
            <w:tcW w:w="289" w:type="pct"/>
            <w:tcBorders>
              <w:top w:val="nil"/>
              <w:left w:val="nil"/>
              <w:bottom w:val="nil"/>
              <w:right w:val="nil"/>
            </w:tcBorders>
            <w:noWrap/>
            <w:vAlign w:val="center"/>
            <w:hideMark/>
          </w:tcPr>
          <w:p w14:paraId="01A0FCB0"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 xml:space="preserve"> </w:t>
            </w:r>
          </w:p>
        </w:tc>
        <w:tc>
          <w:tcPr>
            <w:tcW w:w="249" w:type="pct"/>
            <w:tcBorders>
              <w:top w:val="nil"/>
              <w:left w:val="nil"/>
              <w:bottom w:val="nil"/>
              <w:right w:val="nil"/>
            </w:tcBorders>
            <w:noWrap/>
            <w:vAlign w:val="center"/>
            <w:hideMark/>
          </w:tcPr>
          <w:p w14:paraId="180A8E69"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 xml:space="preserve"> </w:t>
            </w:r>
          </w:p>
        </w:tc>
        <w:tc>
          <w:tcPr>
            <w:tcW w:w="249" w:type="pct"/>
            <w:tcBorders>
              <w:top w:val="nil"/>
              <w:left w:val="nil"/>
              <w:bottom w:val="nil"/>
              <w:right w:val="nil"/>
            </w:tcBorders>
            <w:noWrap/>
            <w:vAlign w:val="center"/>
            <w:hideMark/>
          </w:tcPr>
          <w:p w14:paraId="680602E8"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 xml:space="preserve"> </w:t>
            </w:r>
          </w:p>
        </w:tc>
        <w:tc>
          <w:tcPr>
            <w:tcW w:w="289" w:type="pct"/>
            <w:tcBorders>
              <w:top w:val="nil"/>
              <w:left w:val="nil"/>
              <w:bottom w:val="nil"/>
              <w:right w:val="nil"/>
            </w:tcBorders>
            <w:noWrap/>
            <w:vAlign w:val="center"/>
            <w:hideMark/>
          </w:tcPr>
          <w:p w14:paraId="49AA7C9C"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 xml:space="preserve"> </w:t>
            </w:r>
          </w:p>
        </w:tc>
        <w:tc>
          <w:tcPr>
            <w:tcW w:w="249" w:type="pct"/>
            <w:tcBorders>
              <w:top w:val="nil"/>
              <w:left w:val="nil"/>
              <w:bottom w:val="nil"/>
              <w:right w:val="nil"/>
            </w:tcBorders>
            <w:noWrap/>
            <w:vAlign w:val="center"/>
            <w:hideMark/>
          </w:tcPr>
          <w:p w14:paraId="2C7B4FF4"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 xml:space="preserve"> </w:t>
            </w:r>
          </w:p>
        </w:tc>
        <w:tc>
          <w:tcPr>
            <w:tcW w:w="249" w:type="pct"/>
            <w:tcBorders>
              <w:top w:val="nil"/>
              <w:left w:val="nil"/>
              <w:bottom w:val="nil"/>
              <w:right w:val="nil"/>
            </w:tcBorders>
            <w:noWrap/>
            <w:vAlign w:val="center"/>
            <w:hideMark/>
          </w:tcPr>
          <w:p w14:paraId="11B710F8"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 xml:space="preserve"> </w:t>
            </w:r>
          </w:p>
        </w:tc>
        <w:tc>
          <w:tcPr>
            <w:tcW w:w="289" w:type="pct"/>
            <w:tcBorders>
              <w:top w:val="nil"/>
              <w:left w:val="nil"/>
              <w:bottom w:val="nil"/>
              <w:right w:val="nil"/>
            </w:tcBorders>
            <w:noWrap/>
            <w:vAlign w:val="center"/>
            <w:hideMark/>
          </w:tcPr>
          <w:p w14:paraId="3712BEF4"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 xml:space="preserve"> </w:t>
            </w:r>
          </w:p>
        </w:tc>
        <w:tc>
          <w:tcPr>
            <w:tcW w:w="249" w:type="pct"/>
            <w:tcBorders>
              <w:top w:val="nil"/>
              <w:left w:val="nil"/>
              <w:bottom w:val="nil"/>
              <w:right w:val="nil"/>
            </w:tcBorders>
            <w:noWrap/>
            <w:vAlign w:val="center"/>
            <w:hideMark/>
          </w:tcPr>
          <w:p w14:paraId="65346DB5"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 xml:space="preserve"> </w:t>
            </w:r>
          </w:p>
        </w:tc>
        <w:tc>
          <w:tcPr>
            <w:tcW w:w="249" w:type="pct"/>
            <w:tcBorders>
              <w:top w:val="nil"/>
              <w:left w:val="nil"/>
              <w:bottom w:val="nil"/>
              <w:right w:val="nil"/>
            </w:tcBorders>
            <w:noWrap/>
            <w:vAlign w:val="center"/>
            <w:hideMark/>
          </w:tcPr>
          <w:p w14:paraId="27619524"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 xml:space="preserve"> </w:t>
            </w:r>
          </w:p>
        </w:tc>
        <w:tc>
          <w:tcPr>
            <w:tcW w:w="289" w:type="pct"/>
            <w:tcBorders>
              <w:top w:val="nil"/>
              <w:left w:val="nil"/>
              <w:bottom w:val="nil"/>
              <w:right w:val="nil"/>
            </w:tcBorders>
            <w:noWrap/>
            <w:vAlign w:val="center"/>
            <w:hideMark/>
          </w:tcPr>
          <w:p w14:paraId="65A35E7E"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 xml:space="preserve"> </w:t>
            </w:r>
          </w:p>
        </w:tc>
      </w:tr>
      <w:tr w:rsidR="00794797" w:rsidRPr="00794797" w14:paraId="5C383B1B" w14:textId="77777777" w:rsidTr="00794797">
        <w:trPr>
          <w:trHeight w:val="144"/>
        </w:trPr>
        <w:tc>
          <w:tcPr>
            <w:tcW w:w="1071" w:type="pct"/>
            <w:tcBorders>
              <w:top w:val="nil"/>
              <w:left w:val="nil"/>
              <w:bottom w:val="nil"/>
              <w:right w:val="nil"/>
            </w:tcBorders>
            <w:noWrap/>
            <w:vAlign w:val="center"/>
            <w:hideMark/>
          </w:tcPr>
          <w:p w14:paraId="39067F77" w14:textId="77777777" w:rsidR="00794797" w:rsidRPr="00794797" w:rsidRDefault="00794797" w:rsidP="00794797">
            <w:pPr>
              <w:rPr>
                <w:rFonts w:ascii="Arial Narrow" w:hAnsi="Arial Narrow"/>
                <w:color w:val="000000"/>
                <w:sz w:val="12"/>
                <w:szCs w:val="12"/>
              </w:rPr>
            </w:pPr>
            <w:r w:rsidRPr="00794797">
              <w:rPr>
                <w:rFonts w:ascii="Arial Narrow" w:hAnsi="Arial Narrow"/>
                <w:color w:val="000000"/>
                <w:sz w:val="12"/>
                <w:szCs w:val="12"/>
              </w:rPr>
              <w:t xml:space="preserve">   Lower Budget Capacity</w:t>
            </w:r>
          </w:p>
        </w:tc>
        <w:tc>
          <w:tcPr>
            <w:tcW w:w="249" w:type="pct"/>
            <w:tcBorders>
              <w:top w:val="nil"/>
              <w:left w:val="nil"/>
              <w:bottom w:val="nil"/>
              <w:right w:val="nil"/>
            </w:tcBorders>
            <w:noWrap/>
            <w:vAlign w:val="center"/>
            <w:hideMark/>
          </w:tcPr>
          <w:p w14:paraId="4954BF56"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2.64</w:t>
            </w:r>
          </w:p>
        </w:tc>
        <w:tc>
          <w:tcPr>
            <w:tcW w:w="249" w:type="pct"/>
            <w:tcBorders>
              <w:top w:val="nil"/>
              <w:left w:val="nil"/>
              <w:bottom w:val="nil"/>
              <w:right w:val="nil"/>
            </w:tcBorders>
            <w:noWrap/>
            <w:vAlign w:val="center"/>
            <w:hideMark/>
          </w:tcPr>
          <w:p w14:paraId="533D2E8B"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0.82</w:t>
            </w:r>
          </w:p>
        </w:tc>
        <w:tc>
          <w:tcPr>
            <w:tcW w:w="289" w:type="pct"/>
            <w:tcBorders>
              <w:top w:val="nil"/>
              <w:left w:val="nil"/>
              <w:bottom w:val="nil"/>
              <w:right w:val="nil"/>
            </w:tcBorders>
            <w:noWrap/>
            <w:vAlign w:val="center"/>
            <w:hideMark/>
          </w:tcPr>
          <w:p w14:paraId="6D2F5E57"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Great</w:t>
            </w:r>
          </w:p>
        </w:tc>
        <w:tc>
          <w:tcPr>
            <w:tcW w:w="249" w:type="pct"/>
            <w:tcBorders>
              <w:top w:val="nil"/>
              <w:left w:val="nil"/>
              <w:bottom w:val="nil"/>
              <w:right w:val="nil"/>
            </w:tcBorders>
            <w:noWrap/>
            <w:vAlign w:val="center"/>
            <w:hideMark/>
          </w:tcPr>
          <w:p w14:paraId="4D431342"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2.62</w:t>
            </w:r>
          </w:p>
        </w:tc>
        <w:tc>
          <w:tcPr>
            <w:tcW w:w="249" w:type="pct"/>
            <w:tcBorders>
              <w:top w:val="nil"/>
              <w:left w:val="nil"/>
              <w:bottom w:val="nil"/>
              <w:right w:val="nil"/>
            </w:tcBorders>
            <w:noWrap/>
            <w:vAlign w:val="center"/>
            <w:hideMark/>
          </w:tcPr>
          <w:p w14:paraId="2146BB4C"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0.92</w:t>
            </w:r>
          </w:p>
        </w:tc>
        <w:tc>
          <w:tcPr>
            <w:tcW w:w="289" w:type="pct"/>
            <w:tcBorders>
              <w:top w:val="nil"/>
              <w:left w:val="nil"/>
              <w:bottom w:val="nil"/>
              <w:right w:val="nil"/>
            </w:tcBorders>
            <w:noWrap/>
            <w:vAlign w:val="center"/>
            <w:hideMark/>
          </w:tcPr>
          <w:p w14:paraId="318C10CD"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Great</w:t>
            </w:r>
          </w:p>
        </w:tc>
        <w:tc>
          <w:tcPr>
            <w:tcW w:w="249" w:type="pct"/>
            <w:tcBorders>
              <w:top w:val="nil"/>
              <w:left w:val="nil"/>
              <w:bottom w:val="nil"/>
              <w:right w:val="nil"/>
            </w:tcBorders>
            <w:noWrap/>
            <w:vAlign w:val="center"/>
            <w:hideMark/>
          </w:tcPr>
          <w:p w14:paraId="656D592B"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2.58</w:t>
            </w:r>
          </w:p>
        </w:tc>
        <w:tc>
          <w:tcPr>
            <w:tcW w:w="249" w:type="pct"/>
            <w:tcBorders>
              <w:top w:val="nil"/>
              <w:left w:val="nil"/>
              <w:bottom w:val="nil"/>
              <w:right w:val="nil"/>
            </w:tcBorders>
            <w:noWrap/>
            <w:vAlign w:val="center"/>
            <w:hideMark/>
          </w:tcPr>
          <w:p w14:paraId="2F02B883"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0.92</w:t>
            </w:r>
          </w:p>
        </w:tc>
        <w:tc>
          <w:tcPr>
            <w:tcW w:w="289" w:type="pct"/>
            <w:tcBorders>
              <w:top w:val="nil"/>
              <w:left w:val="nil"/>
              <w:bottom w:val="nil"/>
              <w:right w:val="nil"/>
            </w:tcBorders>
            <w:noWrap/>
            <w:vAlign w:val="center"/>
            <w:hideMark/>
          </w:tcPr>
          <w:p w14:paraId="166D5707"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Great</w:t>
            </w:r>
          </w:p>
        </w:tc>
        <w:tc>
          <w:tcPr>
            <w:tcW w:w="249" w:type="pct"/>
            <w:tcBorders>
              <w:top w:val="nil"/>
              <w:left w:val="nil"/>
              <w:bottom w:val="nil"/>
              <w:right w:val="nil"/>
            </w:tcBorders>
            <w:noWrap/>
            <w:vAlign w:val="center"/>
            <w:hideMark/>
          </w:tcPr>
          <w:p w14:paraId="7BB06E6C"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2.49</w:t>
            </w:r>
          </w:p>
        </w:tc>
        <w:tc>
          <w:tcPr>
            <w:tcW w:w="249" w:type="pct"/>
            <w:tcBorders>
              <w:top w:val="nil"/>
              <w:left w:val="nil"/>
              <w:bottom w:val="nil"/>
              <w:right w:val="nil"/>
            </w:tcBorders>
            <w:noWrap/>
            <w:vAlign w:val="center"/>
            <w:hideMark/>
          </w:tcPr>
          <w:p w14:paraId="3A891EFE"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0.92</w:t>
            </w:r>
          </w:p>
        </w:tc>
        <w:tc>
          <w:tcPr>
            <w:tcW w:w="289" w:type="pct"/>
            <w:tcBorders>
              <w:top w:val="nil"/>
              <w:left w:val="nil"/>
              <w:bottom w:val="nil"/>
              <w:right w:val="nil"/>
            </w:tcBorders>
            <w:noWrap/>
            <w:vAlign w:val="center"/>
            <w:hideMark/>
          </w:tcPr>
          <w:p w14:paraId="3976D68F"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Poor</w:t>
            </w:r>
          </w:p>
        </w:tc>
        <w:tc>
          <w:tcPr>
            <w:tcW w:w="249" w:type="pct"/>
            <w:tcBorders>
              <w:top w:val="nil"/>
              <w:left w:val="nil"/>
              <w:bottom w:val="nil"/>
              <w:right w:val="nil"/>
            </w:tcBorders>
            <w:noWrap/>
            <w:vAlign w:val="center"/>
            <w:hideMark/>
          </w:tcPr>
          <w:p w14:paraId="1F11EF16"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2.58</w:t>
            </w:r>
          </w:p>
        </w:tc>
        <w:tc>
          <w:tcPr>
            <w:tcW w:w="249" w:type="pct"/>
            <w:tcBorders>
              <w:top w:val="nil"/>
              <w:left w:val="nil"/>
              <w:bottom w:val="nil"/>
              <w:right w:val="nil"/>
            </w:tcBorders>
            <w:noWrap/>
            <w:vAlign w:val="center"/>
            <w:hideMark/>
          </w:tcPr>
          <w:p w14:paraId="0E0DEF3E"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0.87</w:t>
            </w:r>
          </w:p>
        </w:tc>
        <w:tc>
          <w:tcPr>
            <w:tcW w:w="289" w:type="pct"/>
            <w:tcBorders>
              <w:top w:val="nil"/>
              <w:left w:val="nil"/>
              <w:bottom w:val="nil"/>
              <w:right w:val="nil"/>
            </w:tcBorders>
            <w:noWrap/>
            <w:vAlign w:val="center"/>
            <w:hideMark/>
          </w:tcPr>
          <w:p w14:paraId="479FE59B"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Great</w:t>
            </w:r>
          </w:p>
        </w:tc>
      </w:tr>
      <w:tr w:rsidR="00794797" w:rsidRPr="00794797" w14:paraId="14921927" w14:textId="77777777" w:rsidTr="00794797">
        <w:trPr>
          <w:trHeight w:val="144"/>
        </w:trPr>
        <w:tc>
          <w:tcPr>
            <w:tcW w:w="1071" w:type="pct"/>
            <w:tcBorders>
              <w:top w:val="nil"/>
              <w:left w:val="nil"/>
              <w:bottom w:val="nil"/>
              <w:right w:val="nil"/>
            </w:tcBorders>
            <w:noWrap/>
            <w:vAlign w:val="center"/>
            <w:hideMark/>
          </w:tcPr>
          <w:p w14:paraId="744065CE" w14:textId="77777777" w:rsidR="00794797" w:rsidRPr="00794797" w:rsidRDefault="00794797" w:rsidP="00794797">
            <w:pPr>
              <w:rPr>
                <w:rFonts w:ascii="Arial Narrow" w:hAnsi="Arial Narrow"/>
                <w:color w:val="000000"/>
                <w:sz w:val="12"/>
                <w:szCs w:val="12"/>
              </w:rPr>
            </w:pPr>
            <w:r w:rsidRPr="00794797">
              <w:rPr>
                <w:rFonts w:ascii="Arial Narrow" w:hAnsi="Arial Narrow"/>
                <w:color w:val="000000"/>
                <w:sz w:val="12"/>
                <w:szCs w:val="12"/>
              </w:rPr>
              <w:t xml:space="preserve">   Higher Budget Capacity</w:t>
            </w:r>
          </w:p>
        </w:tc>
        <w:tc>
          <w:tcPr>
            <w:tcW w:w="249" w:type="pct"/>
            <w:tcBorders>
              <w:top w:val="nil"/>
              <w:left w:val="nil"/>
              <w:bottom w:val="nil"/>
              <w:right w:val="nil"/>
            </w:tcBorders>
            <w:noWrap/>
            <w:vAlign w:val="center"/>
            <w:hideMark/>
          </w:tcPr>
          <w:p w14:paraId="658E785C"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2.88</w:t>
            </w:r>
          </w:p>
        </w:tc>
        <w:tc>
          <w:tcPr>
            <w:tcW w:w="249" w:type="pct"/>
            <w:tcBorders>
              <w:top w:val="nil"/>
              <w:left w:val="nil"/>
              <w:bottom w:val="nil"/>
              <w:right w:val="nil"/>
            </w:tcBorders>
            <w:noWrap/>
            <w:vAlign w:val="center"/>
            <w:hideMark/>
          </w:tcPr>
          <w:p w14:paraId="25AC4A40"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0.75</w:t>
            </w:r>
          </w:p>
        </w:tc>
        <w:tc>
          <w:tcPr>
            <w:tcW w:w="289" w:type="pct"/>
            <w:tcBorders>
              <w:top w:val="nil"/>
              <w:left w:val="nil"/>
              <w:bottom w:val="nil"/>
              <w:right w:val="nil"/>
            </w:tcBorders>
            <w:noWrap/>
            <w:vAlign w:val="center"/>
            <w:hideMark/>
          </w:tcPr>
          <w:p w14:paraId="5DA93125"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Great</w:t>
            </w:r>
          </w:p>
        </w:tc>
        <w:tc>
          <w:tcPr>
            <w:tcW w:w="249" w:type="pct"/>
            <w:tcBorders>
              <w:top w:val="nil"/>
              <w:left w:val="nil"/>
              <w:bottom w:val="nil"/>
              <w:right w:val="nil"/>
            </w:tcBorders>
            <w:noWrap/>
            <w:vAlign w:val="center"/>
            <w:hideMark/>
          </w:tcPr>
          <w:p w14:paraId="3ECF459D"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2.81</w:t>
            </w:r>
          </w:p>
        </w:tc>
        <w:tc>
          <w:tcPr>
            <w:tcW w:w="249" w:type="pct"/>
            <w:tcBorders>
              <w:top w:val="nil"/>
              <w:left w:val="nil"/>
              <w:bottom w:val="nil"/>
              <w:right w:val="nil"/>
            </w:tcBorders>
            <w:noWrap/>
            <w:vAlign w:val="center"/>
            <w:hideMark/>
          </w:tcPr>
          <w:p w14:paraId="30AE6477"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0.80</w:t>
            </w:r>
          </w:p>
        </w:tc>
        <w:tc>
          <w:tcPr>
            <w:tcW w:w="289" w:type="pct"/>
            <w:tcBorders>
              <w:top w:val="nil"/>
              <w:left w:val="nil"/>
              <w:bottom w:val="nil"/>
              <w:right w:val="nil"/>
            </w:tcBorders>
            <w:noWrap/>
            <w:vAlign w:val="center"/>
            <w:hideMark/>
          </w:tcPr>
          <w:p w14:paraId="2D50E733"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Great</w:t>
            </w:r>
          </w:p>
        </w:tc>
        <w:tc>
          <w:tcPr>
            <w:tcW w:w="249" w:type="pct"/>
            <w:tcBorders>
              <w:top w:val="nil"/>
              <w:left w:val="nil"/>
              <w:bottom w:val="nil"/>
              <w:right w:val="nil"/>
            </w:tcBorders>
            <w:noWrap/>
            <w:vAlign w:val="center"/>
            <w:hideMark/>
          </w:tcPr>
          <w:p w14:paraId="13C24B53"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2.76</w:t>
            </w:r>
          </w:p>
        </w:tc>
        <w:tc>
          <w:tcPr>
            <w:tcW w:w="249" w:type="pct"/>
            <w:tcBorders>
              <w:top w:val="nil"/>
              <w:left w:val="nil"/>
              <w:bottom w:val="nil"/>
              <w:right w:val="nil"/>
            </w:tcBorders>
            <w:noWrap/>
            <w:vAlign w:val="center"/>
            <w:hideMark/>
          </w:tcPr>
          <w:p w14:paraId="1FD060AF"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0.86</w:t>
            </w:r>
          </w:p>
        </w:tc>
        <w:tc>
          <w:tcPr>
            <w:tcW w:w="289" w:type="pct"/>
            <w:tcBorders>
              <w:top w:val="nil"/>
              <w:left w:val="nil"/>
              <w:bottom w:val="nil"/>
              <w:right w:val="nil"/>
            </w:tcBorders>
            <w:noWrap/>
            <w:vAlign w:val="center"/>
            <w:hideMark/>
          </w:tcPr>
          <w:p w14:paraId="1819CF86"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Great</w:t>
            </w:r>
          </w:p>
        </w:tc>
        <w:tc>
          <w:tcPr>
            <w:tcW w:w="249" w:type="pct"/>
            <w:tcBorders>
              <w:top w:val="nil"/>
              <w:left w:val="nil"/>
              <w:bottom w:val="nil"/>
              <w:right w:val="nil"/>
            </w:tcBorders>
            <w:noWrap/>
            <w:vAlign w:val="center"/>
            <w:hideMark/>
          </w:tcPr>
          <w:p w14:paraId="313B1921"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2.77</w:t>
            </w:r>
          </w:p>
        </w:tc>
        <w:tc>
          <w:tcPr>
            <w:tcW w:w="249" w:type="pct"/>
            <w:tcBorders>
              <w:top w:val="nil"/>
              <w:left w:val="nil"/>
              <w:bottom w:val="nil"/>
              <w:right w:val="nil"/>
            </w:tcBorders>
            <w:noWrap/>
            <w:vAlign w:val="center"/>
            <w:hideMark/>
          </w:tcPr>
          <w:p w14:paraId="433FCB79"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0.88</w:t>
            </w:r>
          </w:p>
        </w:tc>
        <w:tc>
          <w:tcPr>
            <w:tcW w:w="289" w:type="pct"/>
            <w:tcBorders>
              <w:top w:val="nil"/>
              <w:left w:val="nil"/>
              <w:bottom w:val="nil"/>
              <w:right w:val="nil"/>
            </w:tcBorders>
            <w:noWrap/>
            <w:vAlign w:val="center"/>
            <w:hideMark/>
          </w:tcPr>
          <w:p w14:paraId="016DBB8D"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Great</w:t>
            </w:r>
          </w:p>
        </w:tc>
        <w:tc>
          <w:tcPr>
            <w:tcW w:w="249" w:type="pct"/>
            <w:tcBorders>
              <w:top w:val="nil"/>
              <w:left w:val="nil"/>
              <w:bottom w:val="nil"/>
              <w:right w:val="nil"/>
            </w:tcBorders>
            <w:noWrap/>
            <w:vAlign w:val="center"/>
            <w:hideMark/>
          </w:tcPr>
          <w:p w14:paraId="69C0B47C"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2.81</w:t>
            </w:r>
          </w:p>
        </w:tc>
        <w:tc>
          <w:tcPr>
            <w:tcW w:w="249" w:type="pct"/>
            <w:tcBorders>
              <w:top w:val="nil"/>
              <w:left w:val="nil"/>
              <w:bottom w:val="nil"/>
              <w:right w:val="nil"/>
            </w:tcBorders>
            <w:noWrap/>
            <w:vAlign w:val="center"/>
            <w:hideMark/>
          </w:tcPr>
          <w:p w14:paraId="20D8F5F5"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0.81</w:t>
            </w:r>
          </w:p>
        </w:tc>
        <w:tc>
          <w:tcPr>
            <w:tcW w:w="289" w:type="pct"/>
            <w:tcBorders>
              <w:top w:val="nil"/>
              <w:left w:val="nil"/>
              <w:bottom w:val="nil"/>
              <w:right w:val="nil"/>
            </w:tcBorders>
            <w:noWrap/>
            <w:vAlign w:val="center"/>
            <w:hideMark/>
          </w:tcPr>
          <w:p w14:paraId="3E606F14"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Great</w:t>
            </w:r>
          </w:p>
        </w:tc>
      </w:tr>
      <w:tr w:rsidR="00794797" w:rsidRPr="00794797" w14:paraId="41EA4ABF" w14:textId="77777777" w:rsidTr="00794797">
        <w:trPr>
          <w:trHeight w:val="144"/>
        </w:trPr>
        <w:tc>
          <w:tcPr>
            <w:tcW w:w="1071" w:type="pct"/>
            <w:tcBorders>
              <w:top w:val="nil"/>
              <w:left w:val="nil"/>
              <w:bottom w:val="nil"/>
              <w:right w:val="nil"/>
            </w:tcBorders>
            <w:noWrap/>
            <w:vAlign w:val="center"/>
            <w:hideMark/>
          </w:tcPr>
          <w:p w14:paraId="43DB9A33" w14:textId="77777777" w:rsidR="00794797" w:rsidRPr="00794797" w:rsidRDefault="00794797" w:rsidP="00794797">
            <w:pPr>
              <w:rPr>
                <w:rFonts w:ascii="Arial Narrow" w:hAnsi="Arial Narrow"/>
                <w:color w:val="000000"/>
                <w:sz w:val="12"/>
                <w:szCs w:val="12"/>
              </w:rPr>
            </w:pPr>
            <w:r w:rsidRPr="00794797">
              <w:rPr>
                <w:rFonts w:ascii="Arial Narrow" w:hAnsi="Arial Narrow"/>
                <w:color w:val="000000"/>
                <w:sz w:val="12"/>
                <w:szCs w:val="12"/>
              </w:rPr>
              <w:t>Number of Accredited Programs</w:t>
            </w:r>
          </w:p>
        </w:tc>
        <w:tc>
          <w:tcPr>
            <w:tcW w:w="249" w:type="pct"/>
            <w:tcBorders>
              <w:top w:val="nil"/>
              <w:left w:val="nil"/>
              <w:bottom w:val="nil"/>
              <w:right w:val="nil"/>
            </w:tcBorders>
            <w:noWrap/>
            <w:vAlign w:val="center"/>
            <w:hideMark/>
          </w:tcPr>
          <w:p w14:paraId="5AB776BC"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 xml:space="preserve"> </w:t>
            </w:r>
          </w:p>
        </w:tc>
        <w:tc>
          <w:tcPr>
            <w:tcW w:w="249" w:type="pct"/>
            <w:tcBorders>
              <w:top w:val="nil"/>
              <w:left w:val="nil"/>
              <w:bottom w:val="nil"/>
              <w:right w:val="nil"/>
            </w:tcBorders>
            <w:noWrap/>
            <w:vAlign w:val="center"/>
            <w:hideMark/>
          </w:tcPr>
          <w:p w14:paraId="4B52ECD4"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 xml:space="preserve"> </w:t>
            </w:r>
          </w:p>
        </w:tc>
        <w:tc>
          <w:tcPr>
            <w:tcW w:w="289" w:type="pct"/>
            <w:tcBorders>
              <w:top w:val="nil"/>
              <w:left w:val="nil"/>
              <w:bottom w:val="nil"/>
              <w:right w:val="nil"/>
            </w:tcBorders>
            <w:noWrap/>
            <w:vAlign w:val="center"/>
            <w:hideMark/>
          </w:tcPr>
          <w:p w14:paraId="47545562"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 xml:space="preserve"> </w:t>
            </w:r>
          </w:p>
        </w:tc>
        <w:tc>
          <w:tcPr>
            <w:tcW w:w="249" w:type="pct"/>
            <w:tcBorders>
              <w:top w:val="nil"/>
              <w:left w:val="nil"/>
              <w:bottom w:val="nil"/>
              <w:right w:val="nil"/>
            </w:tcBorders>
            <w:noWrap/>
            <w:vAlign w:val="center"/>
            <w:hideMark/>
          </w:tcPr>
          <w:p w14:paraId="095C7EAD"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 xml:space="preserve"> </w:t>
            </w:r>
          </w:p>
        </w:tc>
        <w:tc>
          <w:tcPr>
            <w:tcW w:w="249" w:type="pct"/>
            <w:tcBorders>
              <w:top w:val="nil"/>
              <w:left w:val="nil"/>
              <w:bottom w:val="nil"/>
              <w:right w:val="nil"/>
            </w:tcBorders>
            <w:noWrap/>
            <w:vAlign w:val="center"/>
            <w:hideMark/>
          </w:tcPr>
          <w:p w14:paraId="3C745FCE"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 xml:space="preserve"> </w:t>
            </w:r>
          </w:p>
        </w:tc>
        <w:tc>
          <w:tcPr>
            <w:tcW w:w="289" w:type="pct"/>
            <w:tcBorders>
              <w:top w:val="nil"/>
              <w:left w:val="nil"/>
              <w:bottom w:val="nil"/>
              <w:right w:val="nil"/>
            </w:tcBorders>
            <w:noWrap/>
            <w:vAlign w:val="center"/>
            <w:hideMark/>
          </w:tcPr>
          <w:p w14:paraId="578C3B13"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 xml:space="preserve"> </w:t>
            </w:r>
          </w:p>
        </w:tc>
        <w:tc>
          <w:tcPr>
            <w:tcW w:w="249" w:type="pct"/>
            <w:tcBorders>
              <w:top w:val="nil"/>
              <w:left w:val="nil"/>
              <w:bottom w:val="nil"/>
              <w:right w:val="nil"/>
            </w:tcBorders>
            <w:noWrap/>
            <w:vAlign w:val="center"/>
            <w:hideMark/>
          </w:tcPr>
          <w:p w14:paraId="39C32E8E"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 xml:space="preserve"> </w:t>
            </w:r>
          </w:p>
        </w:tc>
        <w:tc>
          <w:tcPr>
            <w:tcW w:w="249" w:type="pct"/>
            <w:tcBorders>
              <w:top w:val="nil"/>
              <w:left w:val="nil"/>
              <w:bottom w:val="nil"/>
              <w:right w:val="nil"/>
            </w:tcBorders>
            <w:noWrap/>
            <w:vAlign w:val="center"/>
            <w:hideMark/>
          </w:tcPr>
          <w:p w14:paraId="0FDDD195"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 xml:space="preserve"> </w:t>
            </w:r>
          </w:p>
        </w:tc>
        <w:tc>
          <w:tcPr>
            <w:tcW w:w="289" w:type="pct"/>
            <w:tcBorders>
              <w:top w:val="nil"/>
              <w:left w:val="nil"/>
              <w:bottom w:val="nil"/>
              <w:right w:val="nil"/>
            </w:tcBorders>
            <w:noWrap/>
            <w:vAlign w:val="center"/>
            <w:hideMark/>
          </w:tcPr>
          <w:p w14:paraId="4BBE0C5B"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 xml:space="preserve"> </w:t>
            </w:r>
          </w:p>
        </w:tc>
        <w:tc>
          <w:tcPr>
            <w:tcW w:w="249" w:type="pct"/>
            <w:tcBorders>
              <w:top w:val="nil"/>
              <w:left w:val="nil"/>
              <w:bottom w:val="nil"/>
              <w:right w:val="nil"/>
            </w:tcBorders>
            <w:noWrap/>
            <w:vAlign w:val="center"/>
            <w:hideMark/>
          </w:tcPr>
          <w:p w14:paraId="54ECE6FC"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 xml:space="preserve"> </w:t>
            </w:r>
          </w:p>
        </w:tc>
        <w:tc>
          <w:tcPr>
            <w:tcW w:w="249" w:type="pct"/>
            <w:tcBorders>
              <w:top w:val="nil"/>
              <w:left w:val="nil"/>
              <w:bottom w:val="nil"/>
              <w:right w:val="nil"/>
            </w:tcBorders>
            <w:noWrap/>
            <w:vAlign w:val="center"/>
            <w:hideMark/>
          </w:tcPr>
          <w:p w14:paraId="1F6628EA"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 xml:space="preserve"> </w:t>
            </w:r>
          </w:p>
        </w:tc>
        <w:tc>
          <w:tcPr>
            <w:tcW w:w="289" w:type="pct"/>
            <w:tcBorders>
              <w:top w:val="nil"/>
              <w:left w:val="nil"/>
              <w:bottom w:val="nil"/>
              <w:right w:val="nil"/>
            </w:tcBorders>
            <w:noWrap/>
            <w:vAlign w:val="center"/>
            <w:hideMark/>
          </w:tcPr>
          <w:p w14:paraId="2D3C6AE8"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 xml:space="preserve"> </w:t>
            </w:r>
          </w:p>
        </w:tc>
        <w:tc>
          <w:tcPr>
            <w:tcW w:w="249" w:type="pct"/>
            <w:tcBorders>
              <w:top w:val="nil"/>
              <w:left w:val="nil"/>
              <w:bottom w:val="nil"/>
              <w:right w:val="nil"/>
            </w:tcBorders>
            <w:noWrap/>
            <w:vAlign w:val="center"/>
            <w:hideMark/>
          </w:tcPr>
          <w:p w14:paraId="01DE0E37"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 xml:space="preserve"> </w:t>
            </w:r>
          </w:p>
        </w:tc>
        <w:tc>
          <w:tcPr>
            <w:tcW w:w="249" w:type="pct"/>
            <w:tcBorders>
              <w:top w:val="nil"/>
              <w:left w:val="nil"/>
              <w:bottom w:val="nil"/>
              <w:right w:val="nil"/>
            </w:tcBorders>
            <w:noWrap/>
            <w:vAlign w:val="center"/>
            <w:hideMark/>
          </w:tcPr>
          <w:p w14:paraId="3ED415D8"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 xml:space="preserve"> </w:t>
            </w:r>
          </w:p>
        </w:tc>
        <w:tc>
          <w:tcPr>
            <w:tcW w:w="289" w:type="pct"/>
            <w:tcBorders>
              <w:top w:val="nil"/>
              <w:left w:val="nil"/>
              <w:bottom w:val="nil"/>
              <w:right w:val="nil"/>
            </w:tcBorders>
            <w:noWrap/>
            <w:vAlign w:val="center"/>
            <w:hideMark/>
          </w:tcPr>
          <w:p w14:paraId="6956CC58"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 xml:space="preserve"> </w:t>
            </w:r>
          </w:p>
        </w:tc>
      </w:tr>
      <w:tr w:rsidR="00794797" w:rsidRPr="00794797" w14:paraId="52EC88D4" w14:textId="77777777" w:rsidTr="00794797">
        <w:trPr>
          <w:trHeight w:val="144"/>
        </w:trPr>
        <w:tc>
          <w:tcPr>
            <w:tcW w:w="1071" w:type="pct"/>
            <w:tcBorders>
              <w:top w:val="nil"/>
              <w:left w:val="nil"/>
              <w:bottom w:val="nil"/>
              <w:right w:val="nil"/>
            </w:tcBorders>
            <w:noWrap/>
            <w:vAlign w:val="center"/>
            <w:hideMark/>
          </w:tcPr>
          <w:p w14:paraId="5442681D" w14:textId="77777777" w:rsidR="00794797" w:rsidRPr="00794797" w:rsidRDefault="00794797" w:rsidP="00794797">
            <w:pPr>
              <w:rPr>
                <w:rFonts w:ascii="Arial Narrow" w:hAnsi="Arial Narrow"/>
                <w:color w:val="000000"/>
                <w:sz w:val="12"/>
                <w:szCs w:val="12"/>
              </w:rPr>
            </w:pPr>
            <w:r w:rsidRPr="00794797">
              <w:rPr>
                <w:rFonts w:ascii="Arial Narrow" w:hAnsi="Arial Narrow"/>
                <w:color w:val="000000"/>
                <w:sz w:val="12"/>
                <w:szCs w:val="12"/>
              </w:rPr>
              <w:t xml:space="preserve">   Fewer Accredited Programs</w:t>
            </w:r>
          </w:p>
        </w:tc>
        <w:tc>
          <w:tcPr>
            <w:tcW w:w="249" w:type="pct"/>
            <w:tcBorders>
              <w:top w:val="nil"/>
              <w:left w:val="nil"/>
              <w:bottom w:val="nil"/>
              <w:right w:val="nil"/>
            </w:tcBorders>
            <w:noWrap/>
            <w:vAlign w:val="center"/>
            <w:hideMark/>
          </w:tcPr>
          <w:p w14:paraId="12A0FB80"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2.64</w:t>
            </w:r>
          </w:p>
        </w:tc>
        <w:tc>
          <w:tcPr>
            <w:tcW w:w="249" w:type="pct"/>
            <w:tcBorders>
              <w:top w:val="nil"/>
              <w:left w:val="nil"/>
              <w:bottom w:val="nil"/>
              <w:right w:val="nil"/>
            </w:tcBorders>
            <w:noWrap/>
            <w:vAlign w:val="center"/>
            <w:hideMark/>
          </w:tcPr>
          <w:p w14:paraId="44DD249B"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0.82</w:t>
            </w:r>
          </w:p>
        </w:tc>
        <w:tc>
          <w:tcPr>
            <w:tcW w:w="289" w:type="pct"/>
            <w:tcBorders>
              <w:top w:val="nil"/>
              <w:left w:val="nil"/>
              <w:bottom w:val="nil"/>
              <w:right w:val="nil"/>
            </w:tcBorders>
            <w:noWrap/>
            <w:vAlign w:val="center"/>
            <w:hideMark/>
          </w:tcPr>
          <w:p w14:paraId="72D2369B"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Great</w:t>
            </w:r>
          </w:p>
        </w:tc>
        <w:tc>
          <w:tcPr>
            <w:tcW w:w="249" w:type="pct"/>
            <w:tcBorders>
              <w:top w:val="nil"/>
              <w:left w:val="nil"/>
              <w:bottom w:val="nil"/>
              <w:right w:val="nil"/>
            </w:tcBorders>
            <w:noWrap/>
            <w:vAlign w:val="center"/>
            <w:hideMark/>
          </w:tcPr>
          <w:p w14:paraId="0585D285"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2.62</w:t>
            </w:r>
          </w:p>
        </w:tc>
        <w:tc>
          <w:tcPr>
            <w:tcW w:w="249" w:type="pct"/>
            <w:tcBorders>
              <w:top w:val="nil"/>
              <w:left w:val="nil"/>
              <w:bottom w:val="nil"/>
              <w:right w:val="nil"/>
            </w:tcBorders>
            <w:noWrap/>
            <w:vAlign w:val="center"/>
            <w:hideMark/>
          </w:tcPr>
          <w:p w14:paraId="79E9F5AE"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0.92</w:t>
            </w:r>
          </w:p>
        </w:tc>
        <w:tc>
          <w:tcPr>
            <w:tcW w:w="289" w:type="pct"/>
            <w:tcBorders>
              <w:top w:val="nil"/>
              <w:left w:val="nil"/>
              <w:bottom w:val="nil"/>
              <w:right w:val="nil"/>
            </w:tcBorders>
            <w:noWrap/>
            <w:vAlign w:val="center"/>
            <w:hideMark/>
          </w:tcPr>
          <w:p w14:paraId="1F830B59"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Great</w:t>
            </w:r>
          </w:p>
        </w:tc>
        <w:tc>
          <w:tcPr>
            <w:tcW w:w="249" w:type="pct"/>
            <w:tcBorders>
              <w:top w:val="nil"/>
              <w:left w:val="nil"/>
              <w:bottom w:val="nil"/>
              <w:right w:val="nil"/>
            </w:tcBorders>
            <w:noWrap/>
            <w:vAlign w:val="center"/>
            <w:hideMark/>
          </w:tcPr>
          <w:p w14:paraId="015727FB"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2.58</w:t>
            </w:r>
          </w:p>
        </w:tc>
        <w:tc>
          <w:tcPr>
            <w:tcW w:w="249" w:type="pct"/>
            <w:tcBorders>
              <w:top w:val="nil"/>
              <w:left w:val="nil"/>
              <w:bottom w:val="nil"/>
              <w:right w:val="nil"/>
            </w:tcBorders>
            <w:noWrap/>
            <w:vAlign w:val="center"/>
            <w:hideMark/>
          </w:tcPr>
          <w:p w14:paraId="07A58913"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0.92</w:t>
            </w:r>
          </w:p>
        </w:tc>
        <w:tc>
          <w:tcPr>
            <w:tcW w:w="289" w:type="pct"/>
            <w:tcBorders>
              <w:top w:val="nil"/>
              <w:left w:val="nil"/>
              <w:bottom w:val="nil"/>
              <w:right w:val="nil"/>
            </w:tcBorders>
            <w:noWrap/>
            <w:vAlign w:val="center"/>
            <w:hideMark/>
          </w:tcPr>
          <w:p w14:paraId="74885CEA"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Great</w:t>
            </w:r>
          </w:p>
        </w:tc>
        <w:tc>
          <w:tcPr>
            <w:tcW w:w="249" w:type="pct"/>
            <w:tcBorders>
              <w:top w:val="nil"/>
              <w:left w:val="nil"/>
              <w:bottom w:val="nil"/>
              <w:right w:val="nil"/>
            </w:tcBorders>
            <w:noWrap/>
            <w:vAlign w:val="center"/>
            <w:hideMark/>
          </w:tcPr>
          <w:p w14:paraId="2E617F7F"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2.49</w:t>
            </w:r>
          </w:p>
        </w:tc>
        <w:tc>
          <w:tcPr>
            <w:tcW w:w="249" w:type="pct"/>
            <w:tcBorders>
              <w:top w:val="nil"/>
              <w:left w:val="nil"/>
              <w:bottom w:val="nil"/>
              <w:right w:val="nil"/>
            </w:tcBorders>
            <w:noWrap/>
            <w:vAlign w:val="center"/>
            <w:hideMark/>
          </w:tcPr>
          <w:p w14:paraId="6D64FE61"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0.92</w:t>
            </w:r>
          </w:p>
        </w:tc>
        <w:tc>
          <w:tcPr>
            <w:tcW w:w="289" w:type="pct"/>
            <w:tcBorders>
              <w:top w:val="nil"/>
              <w:left w:val="nil"/>
              <w:bottom w:val="nil"/>
              <w:right w:val="nil"/>
            </w:tcBorders>
            <w:noWrap/>
            <w:vAlign w:val="center"/>
            <w:hideMark/>
          </w:tcPr>
          <w:p w14:paraId="567FC7DF"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Poor</w:t>
            </w:r>
          </w:p>
        </w:tc>
        <w:tc>
          <w:tcPr>
            <w:tcW w:w="249" w:type="pct"/>
            <w:tcBorders>
              <w:top w:val="nil"/>
              <w:left w:val="nil"/>
              <w:bottom w:val="nil"/>
              <w:right w:val="nil"/>
            </w:tcBorders>
            <w:noWrap/>
            <w:vAlign w:val="center"/>
            <w:hideMark/>
          </w:tcPr>
          <w:p w14:paraId="7F23A0EE"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2.58</w:t>
            </w:r>
          </w:p>
        </w:tc>
        <w:tc>
          <w:tcPr>
            <w:tcW w:w="249" w:type="pct"/>
            <w:tcBorders>
              <w:top w:val="nil"/>
              <w:left w:val="nil"/>
              <w:bottom w:val="nil"/>
              <w:right w:val="nil"/>
            </w:tcBorders>
            <w:noWrap/>
            <w:vAlign w:val="center"/>
            <w:hideMark/>
          </w:tcPr>
          <w:p w14:paraId="14E1D262"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0.87</w:t>
            </w:r>
          </w:p>
        </w:tc>
        <w:tc>
          <w:tcPr>
            <w:tcW w:w="289" w:type="pct"/>
            <w:tcBorders>
              <w:top w:val="nil"/>
              <w:left w:val="nil"/>
              <w:bottom w:val="nil"/>
              <w:right w:val="nil"/>
            </w:tcBorders>
            <w:noWrap/>
            <w:vAlign w:val="center"/>
            <w:hideMark/>
          </w:tcPr>
          <w:p w14:paraId="3650C043"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Great</w:t>
            </w:r>
          </w:p>
        </w:tc>
      </w:tr>
      <w:tr w:rsidR="00794797" w:rsidRPr="00794797" w14:paraId="0B50D723" w14:textId="77777777" w:rsidTr="00794797">
        <w:trPr>
          <w:trHeight w:val="144"/>
        </w:trPr>
        <w:tc>
          <w:tcPr>
            <w:tcW w:w="1071" w:type="pct"/>
            <w:tcBorders>
              <w:top w:val="nil"/>
              <w:left w:val="nil"/>
              <w:bottom w:val="nil"/>
              <w:right w:val="nil"/>
            </w:tcBorders>
            <w:noWrap/>
            <w:vAlign w:val="center"/>
            <w:hideMark/>
          </w:tcPr>
          <w:p w14:paraId="574A1996" w14:textId="77777777" w:rsidR="00794797" w:rsidRPr="00794797" w:rsidRDefault="00794797" w:rsidP="00794797">
            <w:pPr>
              <w:rPr>
                <w:rFonts w:ascii="Arial Narrow" w:hAnsi="Arial Narrow"/>
                <w:color w:val="000000"/>
                <w:sz w:val="12"/>
                <w:szCs w:val="12"/>
              </w:rPr>
            </w:pPr>
            <w:r w:rsidRPr="00794797">
              <w:rPr>
                <w:rFonts w:ascii="Arial Narrow" w:hAnsi="Arial Narrow"/>
                <w:color w:val="000000"/>
                <w:sz w:val="12"/>
                <w:szCs w:val="12"/>
              </w:rPr>
              <w:t xml:space="preserve">   More Accredited Programs</w:t>
            </w:r>
          </w:p>
        </w:tc>
        <w:tc>
          <w:tcPr>
            <w:tcW w:w="249" w:type="pct"/>
            <w:tcBorders>
              <w:top w:val="nil"/>
              <w:left w:val="nil"/>
              <w:bottom w:val="nil"/>
              <w:right w:val="nil"/>
            </w:tcBorders>
            <w:noWrap/>
            <w:vAlign w:val="center"/>
            <w:hideMark/>
          </w:tcPr>
          <w:p w14:paraId="50C470E6"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2.88</w:t>
            </w:r>
          </w:p>
        </w:tc>
        <w:tc>
          <w:tcPr>
            <w:tcW w:w="249" w:type="pct"/>
            <w:tcBorders>
              <w:top w:val="nil"/>
              <w:left w:val="nil"/>
              <w:bottom w:val="nil"/>
              <w:right w:val="nil"/>
            </w:tcBorders>
            <w:noWrap/>
            <w:vAlign w:val="center"/>
            <w:hideMark/>
          </w:tcPr>
          <w:p w14:paraId="1B2C067E"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0.75</w:t>
            </w:r>
          </w:p>
        </w:tc>
        <w:tc>
          <w:tcPr>
            <w:tcW w:w="289" w:type="pct"/>
            <w:tcBorders>
              <w:top w:val="nil"/>
              <w:left w:val="nil"/>
              <w:bottom w:val="nil"/>
              <w:right w:val="nil"/>
            </w:tcBorders>
            <w:noWrap/>
            <w:vAlign w:val="center"/>
            <w:hideMark/>
          </w:tcPr>
          <w:p w14:paraId="0301C893"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Great</w:t>
            </w:r>
          </w:p>
        </w:tc>
        <w:tc>
          <w:tcPr>
            <w:tcW w:w="249" w:type="pct"/>
            <w:tcBorders>
              <w:top w:val="nil"/>
              <w:left w:val="nil"/>
              <w:bottom w:val="nil"/>
              <w:right w:val="nil"/>
            </w:tcBorders>
            <w:noWrap/>
            <w:vAlign w:val="center"/>
            <w:hideMark/>
          </w:tcPr>
          <w:p w14:paraId="767856BD"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2.81</w:t>
            </w:r>
          </w:p>
        </w:tc>
        <w:tc>
          <w:tcPr>
            <w:tcW w:w="249" w:type="pct"/>
            <w:tcBorders>
              <w:top w:val="nil"/>
              <w:left w:val="nil"/>
              <w:bottom w:val="nil"/>
              <w:right w:val="nil"/>
            </w:tcBorders>
            <w:noWrap/>
            <w:vAlign w:val="center"/>
            <w:hideMark/>
          </w:tcPr>
          <w:p w14:paraId="01A4785E"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0.80</w:t>
            </w:r>
          </w:p>
        </w:tc>
        <w:tc>
          <w:tcPr>
            <w:tcW w:w="289" w:type="pct"/>
            <w:tcBorders>
              <w:top w:val="nil"/>
              <w:left w:val="nil"/>
              <w:bottom w:val="nil"/>
              <w:right w:val="nil"/>
            </w:tcBorders>
            <w:noWrap/>
            <w:vAlign w:val="center"/>
            <w:hideMark/>
          </w:tcPr>
          <w:p w14:paraId="1DAA6154"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Great</w:t>
            </w:r>
          </w:p>
        </w:tc>
        <w:tc>
          <w:tcPr>
            <w:tcW w:w="249" w:type="pct"/>
            <w:tcBorders>
              <w:top w:val="nil"/>
              <w:left w:val="nil"/>
              <w:bottom w:val="nil"/>
              <w:right w:val="nil"/>
            </w:tcBorders>
            <w:noWrap/>
            <w:vAlign w:val="center"/>
            <w:hideMark/>
          </w:tcPr>
          <w:p w14:paraId="2C648951"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2.76</w:t>
            </w:r>
          </w:p>
        </w:tc>
        <w:tc>
          <w:tcPr>
            <w:tcW w:w="249" w:type="pct"/>
            <w:tcBorders>
              <w:top w:val="nil"/>
              <w:left w:val="nil"/>
              <w:bottom w:val="nil"/>
              <w:right w:val="nil"/>
            </w:tcBorders>
            <w:noWrap/>
            <w:vAlign w:val="center"/>
            <w:hideMark/>
          </w:tcPr>
          <w:p w14:paraId="27F4B771"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0.86</w:t>
            </w:r>
          </w:p>
        </w:tc>
        <w:tc>
          <w:tcPr>
            <w:tcW w:w="289" w:type="pct"/>
            <w:tcBorders>
              <w:top w:val="nil"/>
              <w:left w:val="nil"/>
              <w:bottom w:val="nil"/>
              <w:right w:val="nil"/>
            </w:tcBorders>
            <w:noWrap/>
            <w:vAlign w:val="center"/>
            <w:hideMark/>
          </w:tcPr>
          <w:p w14:paraId="722E1F0F"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Great</w:t>
            </w:r>
          </w:p>
        </w:tc>
        <w:tc>
          <w:tcPr>
            <w:tcW w:w="249" w:type="pct"/>
            <w:tcBorders>
              <w:top w:val="nil"/>
              <w:left w:val="nil"/>
              <w:bottom w:val="nil"/>
              <w:right w:val="nil"/>
            </w:tcBorders>
            <w:noWrap/>
            <w:vAlign w:val="center"/>
            <w:hideMark/>
          </w:tcPr>
          <w:p w14:paraId="6E6A8310"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2.77</w:t>
            </w:r>
          </w:p>
        </w:tc>
        <w:tc>
          <w:tcPr>
            <w:tcW w:w="249" w:type="pct"/>
            <w:tcBorders>
              <w:top w:val="nil"/>
              <w:left w:val="nil"/>
              <w:bottom w:val="nil"/>
              <w:right w:val="nil"/>
            </w:tcBorders>
            <w:noWrap/>
            <w:vAlign w:val="center"/>
            <w:hideMark/>
          </w:tcPr>
          <w:p w14:paraId="0732E1BF"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0.88</w:t>
            </w:r>
          </w:p>
        </w:tc>
        <w:tc>
          <w:tcPr>
            <w:tcW w:w="289" w:type="pct"/>
            <w:tcBorders>
              <w:top w:val="nil"/>
              <w:left w:val="nil"/>
              <w:bottom w:val="nil"/>
              <w:right w:val="nil"/>
            </w:tcBorders>
            <w:noWrap/>
            <w:vAlign w:val="center"/>
            <w:hideMark/>
          </w:tcPr>
          <w:p w14:paraId="460B0346"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Great</w:t>
            </w:r>
          </w:p>
        </w:tc>
        <w:tc>
          <w:tcPr>
            <w:tcW w:w="249" w:type="pct"/>
            <w:tcBorders>
              <w:top w:val="nil"/>
              <w:left w:val="nil"/>
              <w:bottom w:val="nil"/>
              <w:right w:val="nil"/>
            </w:tcBorders>
            <w:noWrap/>
            <w:vAlign w:val="center"/>
            <w:hideMark/>
          </w:tcPr>
          <w:p w14:paraId="2F8978AF"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2.81</w:t>
            </w:r>
          </w:p>
        </w:tc>
        <w:tc>
          <w:tcPr>
            <w:tcW w:w="249" w:type="pct"/>
            <w:tcBorders>
              <w:top w:val="nil"/>
              <w:left w:val="nil"/>
              <w:bottom w:val="nil"/>
              <w:right w:val="nil"/>
            </w:tcBorders>
            <w:noWrap/>
            <w:vAlign w:val="center"/>
            <w:hideMark/>
          </w:tcPr>
          <w:p w14:paraId="47E7ACC3"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0.81</w:t>
            </w:r>
          </w:p>
        </w:tc>
        <w:tc>
          <w:tcPr>
            <w:tcW w:w="289" w:type="pct"/>
            <w:tcBorders>
              <w:top w:val="nil"/>
              <w:left w:val="nil"/>
              <w:bottom w:val="nil"/>
              <w:right w:val="nil"/>
            </w:tcBorders>
            <w:noWrap/>
            <w:vAlign w:val="center"/>
            <w:hideMark/>
          </w:tcPr>
          <w:p w14:paraId="1DDB90DB"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Great</w:t>
            </w:r>
          </w:p>
        </w:tc>
      </w:tr>
      <w:tr w:rsidR="00794797" w:rsidRPr="00794797" w14:paraId="3BE69CD3" w14:textId="77777777" w:rsidTr="00794797">
        <w:trPr>
          <w:trHeight w:val="144"/>
        </w:trPr>
        <w:tc>
          <w:tcPr>
            <w:tcW w:w="1071" w:type="pct"/>
            <w:tcBorders>
              <w:top w:val="nil"/>
              <w:left w:val="nil"/>
              <w:bottom w:val="nil"/>
              <w:right w:val="nil"/>
            </w:tcBorders>
            <w:noWrap/>
            <w:vAlign w:val="center"/>
            <w:hideMark/>
          </w:tcPr>
          <w:p w14:paraId="375A0852" w14:textId="77777777" w:rsidR="00794797" w:rsidRPr="00794797" w:rsidRDefault="00794797" w:rsidP="00794797">
            <w:pPr>
              <w:rPr>
                <w:rFonts w:ascii="Arial Narrow" w:hAnsi="Arial Narrow"/>
                <w:color w:val="000000"/>
                <w:sz w:val="12"/>
                <w:szCs w:val="12"/>
              </w:rPr>
            </w:pPr>
            <w:r w:rsidRPr="00794797">
              <w:rPr>
                <w:rFonts w:ascii="Arial Narrow" w:hAnsi="Arial Narrow"/>
                <w:color w:val="000000"/>
                <w:sz w:val="12"/>
                <w:szCs w:val="12"/>
              </w:rPr>
              <w:t>Years of Existence</w:t>
            </w:r>
          </w:p>
        </w:tc>
        <w:tc>
          <w:tcPr>
            <w:tcW w:w="249" w:type="pct"/>
            <w:tcBorders>
              <w:top w:val="nil"/>
              <w:left w:val="nil"/>
              <w:bottom w:val="nil"/>
              <w:right w:val="nil"/>
            </w:tcBorders>
            <w:noWrap/>
            <w:vAlign w:val="center"/>
            <w:hideMark/>
          </w:tcPr>
          <w:p w14:paraId="13FE0AE2"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 xml:space="preserve"> </w:t>
            </w:r>
          </w:p>
        </w:tc>
        <w:tc>
          <w:tcPr>
            <w:tcW w:w="249" w:type="pct"/>
            <w:tcBorders>
              <w:top w:val="nil"/>
              <w:left w:val="nil"/>
              <w:bottom w:val="nil"/>
              <w:right w:val="nil"/>
            </w:tcBorders>
            <w:noWrap/>
            <w:vAlign w:val="center"/>
            <w:hideMark/>
          </w:tcPr>
          <w:p w14:paraId="13F43275"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 xml:space="preserve"> </w:t>
            </w:r>
          </w:p>
        </w:tc>
        <w:tc>
          <w:tcPr>
            <w:tcW w:w="289" w:type="pct"/>
            <w:tcBorders>
              <w:top w:val="nil"/>
              <w:left w:val="nil"/>
              <w:bottom w:val="nil"/>
              <w:right w:val="nil"/>
            </w:tcBorders>
            <w:noWrap/>
            <w:vAlign w:val="center"/>
            <w:hideMark/>
          </w:tcPr>
          <w:p w14:paraId="1A406861"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 xml:space="preserve"> </w:t>
            </w:r>
          </w:p>
        </w:tc>
        <w:tc>
          <w:tcPr>
            <w:tcW w:w="249" w:type="pct"/>
            <w:tcBorders>
              <w:top w:val="nil"/>
              <w:left w:val="nil"/>
              <w:bottom w:val="nil"/>
              <w:right w:val="nil"/>
            </w:tcBorders>
            <w:noWrap/>
            <w:vAlign w:val="center"/>
            <w:hideMark/>
          </w:tcPr>
          <w:p w14:paraId="33F11BB8"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 xml:space="preserve"> </w:t>
            </w:r>
          </w:p>
        </w:tc>
        <w:tc>
          <w:tcPr>
            <w:tcW w:w="249" w:type="pct"/>
            <w:tcBorders>
              <w:top w:val="nil"/>
              <w:left w:val="nil"/>
              <w:bottom w:val="nil"/>
              <w:right w:val="nil"/>
            </w:tcBorders>
            <w:noWrap/>
            <w:vAlign w:val="center"/>
            <w:hideMark/>
          </w:tcPr>
          <w:p w14:paraId="43C12A73"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 xml:space="preserve"> </w:t>
            </w:r>
          </w:p>
        </w:tc>
        <w:tc>
          <w:tcPr>
            <w:tcW w:w="289" w:type="pct"/>
            <w:tcBorders>
              <w:top w:val="nil"/>
              <w:left w:val="nil"/>
              <w:bottom w:val="nil"/>
              <w:right w:val="nil"/>
            </w:tcBorders>
            <w:noWrap/>
            <w:vAlign w:val="center"/>
            <w:hideMark/>
          </w:tcPr>
          <w:p w14:paraId="648657FD"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 xml:space="preserve"> </w:t>
            </w:r>
          </w:p>
        </w:tc>
        <w:tc>
          <w:tcPr>
            <w:tcW w:w="249" w:type="pct"/>
            <w:tcBorders>
              <w:top w:val="nil"/>
              <w:left w:val="nil"/>
              <w:bottom w:val="nil"/>
              <w:right w:val="nil"/>
            </w:tcBorders>
            <w:noWrap/>
            <w:vAlign w:val="center"/>
            <w:hideMark/>
          </w:tcPr>
          <w:p w14:paraId="10EA796D"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 xml:space="preserve"> </w:t>
            </w:r>
          </w:p>
        </w:tc>
        <w:tc>
          <w:tcPr>
            <w:tcW w:w="249" w:type="pct"/>
            <w:tcBorders>
              <w:top w:val="nil"/>
              <w:left w:val="nil"/>
              <w:bottom w:val="nil"/>
              <w:right w:val="nil"/>
            </w:tcBorders>
            <w:noWrap/>
            <w:vAlign w:val="center"/>
            <w:hideMark/>
          </w:tcPr>
          <w:p w14:paraId="0E410F63"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 xml:space="preserve"> </w:t>
            </w:r>
          </w:p>
        </w:tc>
        <w:tc>
          <w:tcPr>
            <w:tcW w:w="289" w:type="pct"/>
            <w:tcBorders>
              <w:top w:val="nil"/>
              <w:left w:val="nil"/>
              <w:bottom w:val="nil"/>
              <w:right w:val="nil"/>
            </w:tcBorders>
            <w:noWrap/>
            <w:vAlign w:val="center"/>
            <w:hideMark/>
          </w:tcPr>
          <w:p w14:paraId="70F7F2B2"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 xml:space="preserve"> </w:t>
            </w:r>
          </w:p>
        </w:tc>
        <w:tc>
          <w:tcPr>
            <w:tcW w:w="249" w:type="pct"/>
            <w:tcBorders>
              <w:top w:val="nil"/>
              <w:left w:val="nil"/>
              <w:bottom w:val="nil"/>
              <w:right w:val="nil"/>
            </w:tcBorders>
            <w:noWrap/>
            <w:vAlign w:val="center"/>
            <w:hideMark/>
          </w:tcPr>
          <w:p w14:paraId="73269D88"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 xml:space="preserve"> </w:t>
            </w:r>
          </w:p>
        </w:tc>
        <w:tc>
          <w:tcPr>
            <w:tcW w:w="249" w:type="pct"/>
            <w:tcBorders>
              <w:top w:val="nil"/>
              <w:left w:val="nil"/>
              <w:bottom w:val="nil"/>
              <w:right w:val="nil"/>
            </w:tcBorders>
            <w:noWrap/>
            <w:vAlign w:val="center"/>
            <w:hideMark/>
          </w:tcPr>
          <w:p w14:paraId="2B7668D0"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 xml:space="preserve"> </w:t>
            </w:r>
          </w:p>
        </w:tc>
        <w:tc>
          <w:tcPr>
            <w:tcW w:w="289" w:type="pct"/>
            <w:tcBorders>
              <w:top w:val="nil"/>
              <w:left w:val="nil"/>
              <w:bottom w:val="nil"/>
              <w:right w:val="nil"/>
            </w:tcBorders>
            <w:noWrap/>
            <w:vAlign w:val="center"/>
            <w:hideMark/>
          </w:tcPr>
          <w:p w14:paraId="789FB785"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 xml:space="preserve"> </w:t>
            </w:r>
          </w:p>
        </w:tc>
        <w:tc>
          <w:tcPr>
            <w:tcW w:w="249" w:type="pct"/>
            <w:tcBorders>
              <w:top w:val="nil"/>
              <w:left w:val="nil"/>
              <w:bottom w:val="nil"/>
              <w:right w:val="nil"/>
            </w:tcBorders>
            <w:noWrap/>
            <w:vAlign w:val="center"/>
            <w:hideMark/>
          </w:tcPr>
          <w:p w14:paraId="22505FDB"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 xml:space="preserve"> </w:t>
            </w:r>
          </w:p>
        </w:tc>
        <w:tc>
          <w:tcPr>
            <w:tcW w:w="249" w:type="pct"/>
            <w:tcBorders>
              <w:top w:val="nil"/>
              <w:left w:val="nil"/>
              <w:bottom w:val="nil"/>
              <w:right w:val="nil"/>
            </w:tcBorders>
            <w:noWrap/>
            <w:vAlign w:val="center"/>
            <w:hideMark/>
          </w:tcPr>
          <w:p w14:paraId="007A15D3"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 xml:space="preserve"> </w:t>
            </w:r>
          </w:p>
        </w:tc>
        <w:tc>
          <w:tcPr>
            <w:tcW w:w="289" w:type="pct"/>
            <w:tcBorders>
              <w:top w:val="nil"/>
              <w:left w:val="nil"/>
              <w:bottom w:val="nil"/>
              <w:right w:val="nil"/>
            </w:tcBorders>
            <w:noWrap/>
            <w:vAlign w:val="center"/>
            <w:hideMark/>
          </w:tcPr>
          <w:p w14:paraId="66A3FB25"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 xml:space="preserve"> </w:t>
            </w:r>
          </w:p>
        </w:tc>
      </w:tr>
      <w:tr w:rsidR="00794797" w:rsidRPr="00794797" w14:paraId="3B3D8BE3" w14:textId="77777777" w:rsidTr="00794797">
        <w:trPr>
          <w:trHeight w:val="144"/>
        </w:trPr>
        <w:tc>
          <w:tcPr>
            <w:tcW w:w="1071" w:type="pct"/>
            <w:tcBorders>
              <w:top w:val="nil"/>
              <w:left w:val="nil"/>
              <w:bottom w:val="nil"/>
              <w:right w:val="nil"/>
            </w:tcBorders>
            <w:noWrap/>
            <w:vAlign w:val="center"/>
            <w:hideMark/>
          </w:tcPr>
          <w:p w14:paraId="191B1C8D" w14:textId="77777777" w:rsidR="00794797" w:rsidRPr="00794797" w:rsidRDefault="00794797" w:rsidP="00794797">
            <w:pPr>
              <w:rPr>
                <w:rFonts w:ascii="Arial Narrow" w:hAnsi="Arial Narrow"/>
                <w:color w:val="000000"/>
                <w:sz w:val="12"/>
                <w:szCs w:val="12"/>
              </w:rPr>
            </w:pPr>
            <w:r w:rsidRPr="00794797">
              <w:rPr>
                <w:rFonts w:ascii="Arial Narrow" w:hAnsi="Arial Narrow"/>
                <w:color w:val="000000"/>
                <w:sz w:val="12"/>
                <w:szCs w:val="12"/>
              </w:rPr>
              <w:t xml:space="preserve">   Younger Institutions</w:t>
            </w:r>
          </w:p>
        </w:tc>
        <w:tc>
          <w:tcPr>
            <w:tcW w:w="249" w:type="pct"/>
            <w:tcBorders>
              <w:top w:val="nil"/>
              <w:left w:val="nil"/>
              <w:bottom w:val="nil"/>
              <w:right w:val="nil"/>
            </w:tcBorders>
            <w:noWrap/>
            <w:vAlign w:val="center"/>
            <w:hideMark/>
          </w:tcPr>
          <w:p w14:paraId="40231527"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2.63</w:t>
            </w:r>
          </w:p>
        </w:tc>
        <w:tc>
          <w:tcPr>
            <w:tcW w:w="249" w:type="pct"/>
            <w:tcBorders>
              <w:top w:val="nil"/>
              <w:left w:val="nil"/>
              <w:bottom w:val="nil"/>
              <w:right w:val="nil"/>
            </w:tcBorders>
            <w:noWrap/>
            <w:vAlign w:val="center"/>
            <w:hideMark/>
          </w:tcPr>
          <w:p w14:paraId="1CEF6165"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0.81</w:t>
            </w:r>
          </w:p>
        </w:tc>
        <w:tc>
          <w:tcPr>
            <w:tcW w:w="289" w:type="pct"/>
            <w:tcBorders>
              <w:top w:val="nil"/>
              <w:left w:val="nil"/>
              <w:bottom w:val="nil"/>
              <w:right w:val="nil"/>
            </w:tcBorders>
            <w:noWrap/>
            <w:vAlign w:val="center"/>
            <w:hideMark/>
          </w:tcPr>
          <w:p w14:paraId="26782C92"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Great</w:t>
            </w:r>
          </w:p>
        </w:tc>
        <w:tc>
          <w:tcPr>
            <w:tcW w:w="249" w:type="pct"/>
            <w:tcBorders>
              <w:top w:val="nil"/>
              <w:left w:val="nil"/>
              <w:bottom w:val="nil"/>
              <w:right w:val="nil"/>
            </w:tcBorders>
            <w:noWrap/>
            <w:vAlign w:val="center"/>
            <w:hideMark/>
          </w:tcPr>
          <w:p w14:paraId="6B529E73"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2.62</w:t>
            </w:r>
          </w:p>
        </w:tc>
        <w:tc>
          <w:tcPr>
            <w:tcW w:w="249" w:type="pct"/>
            <w:tcBorders>
              <w:top w:val="nil"/>
              <w:left w:val="nil"/>
              <w:bottom w:val="nil"/>
              <w:right w:val="nil"/>
            </w:tcBorders>
            <w:noWrap/>
            <w:vAlign w:val="center"/>
            <w:hideMark/>
          </w:tcPr>
          <w:p w14:paraId="5B959192"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1.00</w:t>
            </w:r>
          </w:p>
        </w:tc>
        <w:tc>
          <w:tcPr>
            <w:tcW w:w="289" w:type="pct"/>
            <w:tcBorders>
              <w:top w:val="nil"/>
              <w:left w:val="nil"/>
              <w:bottom w:val="nil"/>
              <w:right w:val="nil"/>
            </w:tcBorders>
            <w:noWrap/>
            <w:vAlign w:val="center"/>
            <w:hideMark/>
          </w:tcPr>
          <w:p w14:paraId="13FE682E"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Great</w:t>
            </w:r>
          </w:p>
        </w:tc>
        <w:tc>
          <w:tcPr>
            <w:tcW w:w="249" w:type="pct"/>
            <w:tcBorders>
              <w:top w:val="nil"/>
              <w:left w:val="nil"/>
              <w:bottom w:val="nil"/>
              <w:right w:val="nil"/>
            </w:tcBorders>
            <w:noWrap/>
            <w:vAlign w:val="center"/>
            <w:hideMark/>
          </w:tcPr>
          <w:p w14:paraId="21EF73E5"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2.63</w:t>
            </w:r>
          </w:p>
        </w:tc>
        <w:tc>
          <w:tcPr>
            <w:tcW w:w="249" w:type="pct"/>
            <w:tcBorders>
              <w:top w:val="nil"/>
              <w:left w:val="nil"/>
              <w:bottom w:val="nil"/>
              <w:right w:val="nil"/>
            </w:tcBorders>
            <w:noWrap/>
            <w:vAlign w:val="center"/>
            <w:hideMark/>
          </w:tcPr>
          <w:p w14:paraId="7A3DE118"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0.99</w:t>
            </w:r>
          </w:p>
        </w:tc>
        <w:tc>
          <w:tcPr>
            <w:tcW w:w="289" w:type="pct"/>
            <w:tcBorders>
              <w:top w:val="nil"/>
              <w:left w:val="nil"/>
              <w:bottom w:val="nil"/>
              <w:right w:val="nil"/>
            </w:tcBorders>
            <w:noWrap/>
            <w:vAlign w:val="center"/>
            <w:hideMark/>
          </w:tcPr>
          <w:p w14:paraId="32F14BCF"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Great</w:t>
            </w:r>
          </w:p>
        </w:tc>
        <w:tc>
          <w:tcPr>
            <w:tcW w:w="249" w:type="pct"/>
            <w:tcBorders>
              <w:top w:val="nil"/>
              <w:left w:val="nil"/>
              <w:bottom w:val="nil"/>
              <w:right w:val="nil"/>
            </w:tcBorders>
            <w:noWrap/>
            <w:vAlign w:val="center"/>
            <w:hideMark/>
          </w:tcPr>
          <w:p w14:paraId="6DF601DD"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2.52</w:t>
            </w:r>
          </w:p>
        </w:tc>
        <w:tc>
          <w:tcPr>
            <w:tcW w:w="249" w:type="pct"/>
            <w:tcBorders>
              <w:top w:val="nil"/>
              <w:left w:val="nil"/>
              <w:bottom w:val="nil"/>
              <w:right w:val="nil"/>
            </w:tcBorders>
            <w:noWrap/>
            <w:vAlign w:val="center"/>
            <w:hideMark/>
          </w:tcPr>
          <w:p w14:paraId="11B267EF"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1.00</w:t>
            </w:r>
          </w:p>
        </w:tc>
        <w:tc>
          <w:tcPr>
            <w:tcW w:w="289" w:type="pct"/>
            <w:tcBorders>
              <w:top w:val="nil"/>
              <w:left w:val="nil"/>
              <w:bottom w:val="nil"/>
              <w:right w:val="nil"/>
            </w:tcBorders>
            <w:noWrap/>
            <w:vAlign w:val="center"/>
            <w:hideMark/>
          </w:tcPr>
          <w:p w14:paraId="0449FDFD"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Great</w:t>
            </w:r>
          </w:p>
        </w:tc>
        <w:tc>
          <w:tcPr>
            <w:tcW w:w="249" w:type="pct"/>
            <w:tcBorders>
              <w:top w:val="nil"/>
              <w:left w:val="nil"/>
              <w:bottom w:val="nil"/>
              <w:right w:val="nil"/>
            </w:tcBorders>
            <w:noWrap/>
            <w:vAlign w:val="center"/>
            <w:hideMark/>
          </w:tcPr>
          <w:p w14:paraId="25A1954C"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2.60</w:t>
            </w:r>
          </w:p>
        </w:tc>
        <w:tc>
          <w:tcPr>
            <w:tcW w:w="249" w:type="pct"/>
            <w:tcBorders>
              <w:top w:val="nil"/>
              <w:left w:val="nil"/>
              <w:bottom w:val="nil"/>
              <w:right w:val="nil"/>
            </w:tcBorders>
            <w:noWrap/>
            <w:vAlign w:val="center"/>
            <w:hideMark/>
          </w:tcPr>
          <w:p w14:paraId="42E95BE7"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0.92</w:t>
            </w:r>
          </w:p>
        </w:tc>
        <w:tc>
          <w:tcPr>
            <w:tcW w:w="289" w:type="pct"/>
            <w:tcBorders>
              <w:top w:val="nil"/>
              <w:left w:val="nil"/>
              <w:bottom w:val="nil"/>
              <w:right w:val="nil"/>
            </w:tcBorders>
            <w:noWrap/>
            <w:vAlign w:val="center"/>
            <w:hideMark/>
          </w:tcPr>
          <w:p w14:paraId="0D7777DA"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Great</w:t>
            </w:r>
          </w:p>
        </w:tc>
      </w:tr>
      <w:tr w:rsidR="00794797" w:rsidRPr="00794797" w14:paraId="76780D2C" w14:textId="77777777" w:rsidTr="00794797">
        <w:trPr>
          <w:trHeight w:val="144"/>
        </w:trPr>
        <w:tc>
          <w:tcPr>
            <w:tcW w:w="1071" w:type="pct"/>
            <w:tcBorders>
              <w:top w:val="nil"/>
              <w:left w:val="nil"/>
              <w:bottom w:val="nil"/>
              <w:right w:val="nil"/>
            </w:tcBorders>
            <w:noWrap/>
            <w:vAlign w:val="center"/>
            <w:hideMark/>
          </w:tcPr>
          <w:p w14:paraId="432C44F4" w14:textId="77777777" w:rsidR="00794797" w:rsidRPr="00794797" w:rsidRDefault="00794797" w:rsidP="00794797">
            <w:pPr>
              <w:rPr>
                <w:rFonts w:ascii="Arial Narrow" w:hAnsi="Arial Narrow"/>
                <w:color w:val="000000"/>
                <w:sz w:val="12"/>
                <w:szCs w:val="12"/>
              </w:rPr>
            </w:pPr>
            <w:r w:rsidRPr="00794797">
              <w:rPr>
                <w:rFonts w:ascii="Arial Narrow" w:hAnsi="Arial Narrow"/>
                <w:color w:val="000000"/>
                <w:sz w:val="12"/>
                <w:szCs w:val="12"/>
              </w:rPr>
              <w:t xml:space="preserve">   Legacy Institutions</w:t>
            </w:r>
          </w:p>
        </w:tc>
        <w:tc>
          <w:tcPr>
            <w:tcW w:w="249" w:type="pct"/>
            <w:tcBorders>
              <w:top w:val="nil"/>
              <w:left w:val="nil"/>
              <w:bottom w:val="nil"/>
              <w:right w:val="nil"/>
            </w:tcBorders>
            <w:noWrap/>
            <w:vAlign w:val="center"/>
            <w:hideMark/>
          </w:tcPr>
          <w:p w14:paraId="145E150B"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2.73</w:t>
            </w:r>
          </w:p>
        </w:tc>
        <w:tc>
          <w:tcPr>
            <w:tcW w:w="249" w:type="pct"/>
            <w:tcBorders>
              <w:top w:val="nil"/>
              <w:left w:val="nil"/>
              <w:bottom w:val="nil"/>
              <w:right w:val="nil"/>
            </w:tcBorders>
            <w:noWrap/>
            <w:vAlign w:val="center"/>
            <w:hideMark/>
          </w:tcPr>
          <w:p w14:paraId="7859F6A6"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0.81</w:t>
            </w:r>
          </w:p>
        </w:tc>
        <w:tc>
          <w:tcPr>
            <w:tcW w:w="289" w:type="pct"/>
            <w:tcBorders>
              <w:top w:val="nil"/>
              <w:left w:val="nil"/>
              <w:bottom w:val="nil"/>
              <w:right w:val="nil"/>
            </w:tcBorders>
            <w:noWrap/>
            <w:vAlign w:val="center"/>
            <w:hideMark/>
          </w:tcPr>
          <w:p w14:paraId="2E582C3A"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Great</w:t>
            </w:r>
          </w:p>
        </w:tc>
        <w:tc>
          <w:tcPr>
            <w:tcW w:w="249" w:type="pct"/>
            <w:tcBorders>
              <w:top w:val="nil"/>
              <w:left w:val="nil"/>
              <w:bottom w:val="nil"/>
              <w:right w:val="nil"/>
            </w:tcBorders>
            <w:noWrap/>
            <w:vAlign w:val="center"/>
            <w:hideMark/>
          </w:tcPr>
          <w:p w14:paraId="07A57288"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2.69</w:t>
            </w:r>
          </w:p>
        </w:tc>
        <w:tc>
          <w:tcPr>
            <w:tcW w:w="249" w:type="pct"/>
            <w:tcBorders>
              <w:top w:val="nil"/>
              <w:left w:val="nil"/>
              <w:bottom w:val="nil"/>
              <w:right w:val="nil"/>
            </w:tcBorders>
            <w:noWrap/>
            <w:vAlign w:val="center"/>
            <w:hideMark/>
          </w:tcPr>
          <w:p w14:paraId="71278D7E"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0.87</w:t>
            </w:r>
          </w:p>
        </w:tc>
        <w:tc>
          <w:tcPr>
            <w:tcW w:w="289" w:type="pct"/>
            <w:tcBorders>
              <w:top w:val="nil"/>
              <w:left w:val="nil"/>
              <w:bottom w:val="nil"/>
              <w:right w:val="nil"/>
            </w:tcBorders>
            <w:noWrap/>
            <w:vAlign w:val="center"/>
            <w:hideMark/>
          </w:tcPr>
          <w:p w14:paraId="156BFC8F"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Great</w:t>
            </w:r>
          </w:p>
        </w:tc>
        <w:tc>
          <w:tcPr>
            <w:tcW w:w="249" w:type="pct"/>
            <w:tcBorders>
              <w:top w:val="nil"/>
              <w:left w:val="nil"/>
              <w:bottom w:val="nil"/>
              <w:right w:val="nil"/>
            </w:tcBorders>
            <w:noWrap/>
            <w:vAlign w:val="center"/>
            <w:hideMark/>
          </w:tcPr>
          <w:p w14:paraId="6AC4AF12"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2.63</w:t>
            </w:r>
          </w:p>
        </w:tc>
        <w:tc>
          <w:tcPr>
            <w:tcW w:w="249" w:type="pct"/>
            <w:tcBorders>
              <w:top w:val="nil"/>
              <w:left w:val="nil"/>
              <w:bottom w:val="nil"/>
              <w:right w:val="nil"/>
            </w:tcBorders>
            <w:noWrap/>
            <w:vAlign w:val="center"/>
            <w:hideMark/>
          </w:tcPr>
          <w:p w14:paraId="167D3D6D"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0.89</w:t>
            </w:r>
          </w:p>
        </w:tc>
        <w:tc>
          <w:tcPr>
            <w:tcW w:w="289" w:type="pct"/>
            <w:tcBorders>
              <w:top w:val="nil"/>
              <w:left w:val="nil"/>
              <w:bottom w:val="nil"/>
              <w:right w:val="nil"/>
            </w:tcBorders>
            <w:noWrap/>
            <w:vAlign w:val="center"/>
            <w:hideMark/>
          </w:tcPr>
          <w:p w14:paraId="5DAA4A0D"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Great</w:t>
            </w:r>
          </w:p>
        </w:tc>
        <w:tc>
          <w:tcPr>
            <w:tcW w:w="249" w:type="pct"/>
            <w:tcBorders>
              <w:top w:val="nil"/>
              <w:left w:val="nil"/>
              <w:bottom w:val="nil"/>
              <w:right w:val="nil"/>
            </w:tcBorders>
            <w:noWrap/>
            <w:vAlign w:val="center"/>
            <w:hideMark/>
          </w:tcPr>
          <w:p w14:paraId="68E7AB30"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2.58</w:t>
            </w:r>
          </w:p>
        </w:tc>
        <w:tc>
          <w:tcPr>
            <w:tcW w:w="249" w:type="pct"/>
            <w:tcBorders>
              <w:top w:val="nil"/>
              <w:left w:val="nil"/>
              <w:bottom w:val="nil"/>
              <w:right w:val="nil"/>
            </w:tcBorders>
            <w:noWrap/>
            <w:vAlign w:val="center"/>
            <w:hideMark/>
          </w:tcPr>
          <w:p w14:paraId="1A9F41CE"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0.90</w:t>
            </w:r>
          </w:p>
        </w:tc>
        <w:tc>
          <w:tcPr>
            <w:tcW w:w="289" w:type="pct"/>
            <w:tcBorders>
              <w:top w:val="nil"/>
              <w:left w:val="nil"/>
              <w:bottom w:val="nil"/>
              <w:right w:val="nil"/>
            </w:tcBorders>
            <w:noWrap/>
            <w:vAlign w:val="center"/>
            <w:hideMark/>
          </w:tcPr>
          <w:p w14:paraId="6AAC4EDB"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Great</w:t>
            </w:r>
          </w:p>
        </w:tc>
        <w:tc>
          <w:tcPr>
            <w:tcW w:w="249" w:type="pct"/>
            <w:tcBorders>
              <w:top w:val="nil"/>
              <w:left w:val="nil"/>
              <w:bottom w:val="nil"/>
              <w:right w:val="nil"/>
            </w:tcBorders>
            <w:noWrap/>
            <w:vAlign w:val="center"/>
            <w:hideMark/>
          </w:tcPr>
          <w:p w14:paraId="6F5A0B49"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2.66</w:t>
            </w:r>
          </w:p>
        </w:tc>
        <w:tc>
          <w:tcPr>
            <w:tcW w:w="249" w:type="pct"/>
            <w:tcBorders>
              <w:top w:val="nil"/>
              <w:left w:val="nil"/>
              <w:bottom w:val="nil"/>
              <w:right w:val="nil"/>
            </w:tcBorders>
            <w:noWrap/>
            <w:vAlign w:val="center"/>
            <w:hideMark/>
          </w:tcPr>
          <w:p w14:paraId="6C6FE6A7"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0.85</w:t>
            </w:r>
          </w:p>
        </w:tc>
        <w:tc>
          <w:tcPr>
            <w:tcW w:w="289" w:type="pct"/>
            <w:tcBorders>
              <w:top w:val="nil"/>
              <w:left w:val="nil"/>
              <w:bottom w:val="nil"/>
              <w:right w:val="nil"/>
            </w:tcBorders>
            <w:noWrap/>
            <w:vAlign w:val="center"/>
            <w:hideMark/>
          </w:tcPr>
          <w:p w14:paraId="1BF08DAE"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Great</w:t>
            </w:r>
          </w:p>
        </w:tc>
      </w:tr>
      <w:tr w:rsidR="00794797" w:rsidRPr="00794797" w14:paraId="0210598A" w14:textId="77777777" w:rsidTr="00794797">
        <w:trPr>
          <w:trHeight w:val="144"/>
        </w:trPr>
        <w:tc>
          <w:tcPr>
            <w:tcW w:w="1071" w:type="pct"/>
            <w:tcBorders>
              <w:top w:val="nil"/>
              <w:left w:val="nil"/>
              <w:bottom w:val="single" w:sz="4" w:space="0" w:color="auto"/>
              <w:right w:val="nil"/>
            </w:tcBorders>
            <w:noWrap/>
            <w:vAlign w:val="center"/>
            <w:hideMark/>
          </w:tcPr>
          <w:p w14:paraId="769E3D54" w14:textId="77777777" w:rsidR="00794797" w:rsidRPr="00794797" w:rsidRDefault="00794797" w:rsidP="00794797">
            <w:pPr>
              <w:rPr>
                <w:rFonts w:ascii="Arial Narrow" w:hAnsi="Arial Narrow"/>
                <w:b/>
                <w:bCs/>
                <w:i/>
                <w:iCs/>
                <w:color w:val="000000"/>
                <w:sz w:val="12"/>
                <w:szCs w:val="12"/>
              </w:rPr>
            </w:pPr>
            <w:r w:rsidRPr="00794797">
              <w:rPr>
                <w:rFonts w:ascii="Arial Narrow" w:hAnsi="Arial Narrow"/>
                <w:b/>
                <w:bCs/>
                <w:i/>
                <w:iCs/>
                <w:color w:val="000000"/>
                <w:sz w:val="12"/>
                <w:szCs w:val="12"/>
              </w:rPr>
              <w:t>Whole</w:t>
            </w:r>
          </w:p>
        </w:tc>
        <w:tc>
          <w:tcPr>
            <w:tcW w:w="249" w:type="pct"/>
            <w:tcBorders>
              <w:top w:val="nil"/>
              <w:left w:val="nil"/>
              <w:bottom w:val="single" w:sz="4" w:space="0" w:color="auto"/>
              <w:right w:val="nil"/>
            </w:tcBorders>
            <w:noWrap/>
            <w:vAlign w:val="center"/>
            <w:hideMark/>
          </w:tcPr>
          <w:p w14:paraId="2FA3B288" w14:textId="77777777" w:rsidR="00794797" w:rsidRPr="00794797" w:rsidRDefault="00794797" w:rsidP="00794797">
            <w:pPr>
              <w:jc w:val="center"/>
              <w:rPr>
                <w:rFonts w:ascii="Arial Narrow" w:hAnsi="Arial Narrow"/>
                <w:b/>
                <w:bCs/>
                <w:i/>
                <w:iCs/>
                <w:color w:val="000000"/>
                <w:sz w:val="12"/>
                <w:szCs w:val="12"/>
              </w:rPr>
            </w:pPr>
            <w:r w:rsidRPr="00794797">
              <w:rPr>
                <w:rFonts w:ascii="Arial Narrow" w:hAnsi="Arial Narrow"/>
                <w:b/>
                <w:bCs/>
                <w:i/>
                <w:iCs/>
                <w:color w:val="000000"/>
                <w:sz w:val="12"/>
                <w:szCs w:val="12"/>
              </w:rPr>
              <w:t>2.71</w:t>
            </w:r>
          </w:p>
        </w:tc>
        <w:tc>
          <w:tcPr>
            <w:tcW w:w="249" w:type="pct"/>
            <w:tcBorders>
              <w:top w:val="nil"/>
              <w:left w:val="nil"/>
              <w:bottom w:val="single" w:sz="4" w:space="0" w:color="auto"/>
              <w:right w:val="nil"/>
            </w:tcBorders>
            <w:noWrap/>
            <w:vAlign w:val="center"/>
            <w:hideMark/>
          </w:tcPr>
          <w:p w14:paraId="3604DE5A" w14:textId="77777777" w:rsidR="00794797" w:rsidRPr="00794797" w:rsidRDefault="00794797" w:rsidP="00794797">
            <w:pPr>
              <w:jc w:val="center"/>
              <w:rPr>
                <w:rFonts w:ascii="Arial Narrow" w:hAnsi="Arial Narrow"/>
                <w:b/>
                <w:bCs/>
                <w:i/>
                <w:iCs/>
                <w:color w:val="000000"/>
                <w:sz w:val="12"/>
                <w:szCs w:val="12"/>
              </w:rPr>
            </w:pPr>
            <w:r w:rsidRPr="00794797">
              <w:rPr>
                <w:rFonts w:ascii="Arial Narrow" w:hAnsi="Arial Narrow"/>
                <w:b/>
                <w:bCs/>
                <w:i/>
                <w:iCs/>
                <w:color w:val="000000"/>
                <w:sz w:val="12"/>
                <w:szCs w:val="12"/>
              </w:rPr>
              <w:t>0.81</w:t>
            </w:r>
          </w:p>
        </w:tc>
        <w:tc>
          <w:tcPr>
            <w:tcW w:w="289" w:type="pct"/>
            <w:tcBorders>
              <w:top w:val="nil"/>
              <w:left w:val="nil"/>
              <w:bottom w:val="single" w:sz="4" w:space="0" w:color="auto"/>
              <w:right w:val="nil"/>
            </w:tcBorders>
            <w:noWrap/>
            <w:vAlign w:val="center"/>
            <w:hideMark/>
          </w:tcPr>
          <w:p w14:paraId="73D2FF74" w14:textId="77777777" w:rsidR="00794797" w:rsidRPr="00794797" w:rsidRDefault="00794797" w:rsidP="00794797">
            <w:pPr>
              <w:jc w:val="center"/>
              <w:rPr>
                <w:rFonts w:ascii="Arial Narrow" w:hAnsi="Arial Narrow"/>
                <w:b/>
                <w:bCs/>
                <w:i/>
                <w:iCs/>
                <w:color w:val="000000"/>
                <w:sz w:val="12"/>
                <w:szCs w:val="12"/>
              </w:rPr>
            </w:pPr>
            <w:r w:rsidRPr="00794797">
              <w:rPr>
                <w:rFonts w:ascii="Arial Narrow" w:hAnsi="Arial Narrow"/>
                <w:b/>
                <w:bCs/>
                <w:i/>
                <w:iCs/>
                <w:color w:val="000000"/>
                <w:sz w:val="12"/>
                <w:szCs w:val="12"/>
              </w:rPr>
              <w:t>Great</w:t>
            </w:r>
          </w:p>
        </w:tc>
        <w:tc>
          <w:tcPr>
            <w:tcW w:w="249" w:type="pct"/>
            <w:tcBorders>
              <w:top w:val="nil"/>
              <w:left w:val="nil"/>
              <w:bottom w:val="single" w:sz="4" w:space="0" w:color="auto"/>
              <w:right w:val="nil"/>
            </w:tcBorders>
            <w:noWrap/>
            <w:vAlign w:val="center"/>
            <w:hideMark/>
          </w:tcPr>
          <w:p w14:paraId="009F0067" w14:textId="77777777" w:rsidR="00794797" w:rsidRPr="00794797" w:rsidRDefault="00794797" w:rsidP="00794797">
            <w:pPr>
              <w:jc w:val="center"/>
              <w:rPr>
                <w:rFonts w:ascii="Arial Narrow" w:hAnsi="Arial Narrow"/>
                <w:b/>
                <w:bCs/>
                <w:i/>
                <w:iCs/>
                <w:color w:val="000000"/>
                <w:sz w:val="12"/>
                <w:szCs w:val="12"/>
              </w:rPr>
            </w:pPr>
            <w:r w:rsidRPr="00794797">
              <w:rPr>
                <w:rFonts w:ascii="Arial Narrow" w:hAnsi="Arial Narrow"/>
                <w:b/>
                <w:bCs/>
                <w:i/>
                <w:iCs/>
                <w:color w:val="000000"/>
                <w:sz w:val="12"/>
                <w:szCs w:val="12"/>
              </w:rPr>
              <w:t>2.68</w:t>
            </w:r>
          </w:p>
        </w:tc>
        <w:tc>
          <w:tcPr>
            <w:tcW w:w="249" w:type="pct"/>
            <w:tcBorders>
              <w:top w:val="nil"/>
              <w:left w:val="nil"/>
              <w:bottom w:val="single" w:sz="4" w:space="0" w:color="auto"/>
              <w:right w:val="nil"/>
            </w:tcBorders>
            <w:noWrap/>
            <w:vAlign w:val="center"/>
            <w:hideMark/>
          </w:tcPr>
          <w:p w14:paraId="6EDF1B40" w14:textId="77777777" w:rsidR="00794797" w:rsidRPr="00794797" w:rsidRDefault="00794797" w:rsidP="00794797">
            <w:pPr>
              <w:jc w:val="center"/>
              <w:rPr>
                <w:rFonts w:ascii="Arial Narrow" w:hAnsi="Arial Narrow"/>
                <w:b/>
                <w:bCs/>
                <w:i/>
                <w:iCs/>
                <w:color w:val="000000"/>
                <w:sz w:val="12"/>
                <w:szCs w:val="12"/>
              </w:rPr>
            </w:pPr>
            <w:r w:rsidRPr="00794797">
              <w:rPr>
                <w:rFonts w:ascii="Arial Narrow" w:hAnsi="Arial Narrow"/>
                <w:b/>
                <w:bCs/>
                <w:i/>
                <w:iCs/>
                <w:color w:val="000000"/>
                <w:sz w:val="12"/>
                <w:szCs w:val="12"/>
              </w:rPr>
              <w:t>0.89</w:t>
            </w:r>
          </w:p>
        </w:tc>
        <w:tc>
          <w:tcPr>
            <w:tcW w:w="289" w:type="pct"/>
            <w:tcBorders>
              <w:top w:val="nil"/>
              <w:left w:val="nil"/>
              <w:bottom w:val="single" w:sz="4" w:space="0" w:color="auto"/>
              <w:right w:val="nil"/>
            </w:tcBorders>
            <w:noWrap/>
            <w:vAlign w:val="center"/>
            <w:hideMark/>
          </w:tcPr>
          <w:p w14:paraId="00254A0F" w14:textId="77777777" w:rsidR="00794797" w:rsidRPr="00794797" w:rsidRDefault="00794797" w:rsidP="00794797">
            <w:pPr>
              <w:jc w:val="center"/>
              <w:rPr>
                <w:rFonts w:ascii="Arial Narrow" w:hAnsi="Arial Narrow"/>
                <w:b/>
                <w:bCs/>
                <w:i/>
                <w:iCs/>
                <w:color w:val="000000"/>
                <w:sz w:val="12"/>
                <w:szCs w:val="12"/>
              </w:rPr>
            </w:pPr>
            <w:r w:rsidRPr="00794797">
              <w:rPr>
                <w:rFonts w:ascii="Arial Narrow" w:hAnsi="Arial Narrow"/>
                <w:b/>
                <w:bCs/>
                <w:i/>
                <w:iCs/>
                <w:color w:val="000000"/>
                <w:sz w:val="12"/>
                <w:szCs w:val="12"/>
              </w:rPr>
              <w:t>Great</w:t>
            </w:r>
          </w:p>
        </w:tc>
        <w:tc>
          <w:tcPr>
            <w:tcW w:w="249" w:type="pct"/>
            <w:tcBorders>
              <w:top w:val="nil"/>
              <w:left w:val="nil"/>
              <w:bottom w:val="single" w:sz="4" w:space="0" w:color="auto"/>
              <w:right w:val="nil"/>
            </w:tcBorders>
            <w:noWrap/>
            <w:vAlign w:val="center"/>
            <w:hideMark/>
          </w:tcPr>
          <w:p w14:paraId="3196DE5E" w14:textId="77777777" w:rsidR="00794797" w:rsidRPr="00794797" w:rsidRDefault="00794797" w:rsidP="00794797">
            <w:pPr>
              <w:jc w:val="center"/>
              <w:rPr>
                <w:rFonts w:ascii="Arial Narrow" w:hAnsi="Arial Narrow"/>
                <w:b/>
                <w:bCs/>
                <w:i/>
                <w:iCs/>
                <w:color w:val="000000"/>
                <w:sz w:val="12"/>
                <w:szCs w:val="12"/>
              </w:rPr>
            </w:pPr>
            <w:r w:rsidRPr="00794797">
              <w:rPr>
                <w:rFonts w:ascii="Arial Narrow" w:hAnsi="Arial Narrow"/>
                <w:b/>
                <w:bCs/>
                <w:i/>
                <w:iCs/>
                <w:color w:val="000000"/>
                <w:sz w:val="12"/>
                <w:szCs w:val="12"/>
              </w:rPr>
              <w:t>2.63</w:t>
            </w:r>
          </w:p>
        </w:tc>
        <w:tc>
          <w:tcPr>
            <w:tcW w:w="249" w:type="pct"/>
            <w:tcBorders>
              <w:top w:val="nil"/>
              <w:left w:val="nil"/>
              <w:bottom w:val="single" w:sz="4" w:space="0" w:color="auto"/>
              <w:right w:val="nil"/>
            </w:tcBorders>
            <w:noWrap/>
            <w:vAlign w:val="center"/>
            <w:hideMark/>
          </w:tcPr>
          <w:p w14:paraId="03DD897B" w14:textId="77777777" w:rsidR="00794797" w:rsidRPr="00794797" w:rsidRDefault="00794797" w:rsidP="00794797">
            <w:pPr>
              <w:jc w:val="center"/>
              <w:rPr>
                <w:rFonts w:ascii="Arial Narrow" w:hAnsi="Arial Narrow"/>
                <w:b/>
                <w:bCs/>
                <w:i/>
                <w:iCs/>
                <w:color w:val="000000"/>
                <w:sz w:val="12"/>
                <w:szCs w:val="12"/>
              </w:rPr>
            </w:pPr>
            <w:r w:rsidRPr="00794797">
              <w:rPr>
                <w:rFonts w:ascii="Arial Narrow" w:hAnsi="Arial Narrow"/>
                <w:b/>
                <w:bCs/>
                <w:i/>
                <w:iCs/>
                <w:color w:val="000000"/>
                <w:sz w:val="12"/>
                <w:szCs w:val="12"/>
              </w:rPr>
              <w:t>0.90</w:t>
            </w:r>
          </w:p>
        </w:tc>
        <w:tc>
          <w:tcPr>
            <w:tcW w:w="289" w:type="pct"/>
            <w:tcBorders>
              <w:top w:val="nil"/>
              <w:left w:val="nil"/>
              <w:bottom w:val="single" w:sz="4" w:space="0" w:color="auto"/>
              <w:right w:val="nil"/>
            </w:tcBorders>
            <w:noWrap/>
            <w:vAlign w:val="center"/>
            <w:hideMark/>
          </w:tcPr>
          <w:p w14:paraId="64EFE090" w14:textId="77777777" w:rsidR="00794797" w:rsidRPr="00794797" w:rsidRDefault="00794797" w:rsidP="00794797">
            <w:pPr>
              <w:jc w:val="center"/>
              <w:rPr>
                <w:rFonts w:ascii="Arial Narrow" w:hAnsi="Arial Narrow"/>
                <w:b/>
                <w:bCs/>
                <w:i/>
                <w:iCs/>
                <w:color w:val="000000"/>
                <w:sz w:val="12"/>
                <w:szCs w:val="12"/>
              </w:rPr>
            </w:pPr>
            <w:r w:rsidRPr="00794797">
              <w:rPr>
                <w:rFonts w:ascii="Arial Narrow" w:hAnsi="Arial Narrow"/>
                <w:b/>
                <w:bCs/>
                <w:i/>
                <w:iCs/>
                <w:color w:val="000000"/>
                <w:sz w:val="12"/>
                <w:szCs w:val="12"/>
              </w:rPr>
              <w:t>Great</w:t>
            </w:r>
          </w:p>
        </w:tc>
        <w:tc>
          <w:tcPr>
            <w:tcW w:w="249" w:type="pct"/>
            <w:tcBorders>
              <w:top w:val="nil"/>
              <w:left w:val="nil"/>
              <w:bottom w:val="single" w:sz="4" w:space="0" w:color="auto"/>
              <w:right w:val="nil"/>
            </w:tcBorders>
            <w:noWrap/>
            <w:vAlign w:val="center"/>
            <w:hideMark/>
          </w:tcPr>
          <w:p w14:paraId="6186ECF2" w14:textId="77777777" w:rsidR="00794797" w:rsidRPr="00794797" w:rsidRDefault="00794797" w:rsidP="00794797">
            <w:pPr>
              <w:jc w:val="center"/>
              <w:rPr>
                <w:rFonts w:ascii="Arial Narrow" w:hAnsi="Arial Narrow"/>
                <w:b/>
                <w:bCs/>
                <w:i/>
                <w:iCs/>
                <w:color w:val="000000"/>
                <w:sz w:val="12"/>
                <w:szCs w:val="12"/>
              </w:rPr>
            </w:pPr>
            <w:r w:rsidRPr="00794797">
              <w:rPr>
                <w:rFonts w:ascii="Arial Narrow" w:hAnsi="Arial Narrow"/>
                <w:b/>
                <w:bCs/>
                <w:i/>
                <w:iCs/>
                <w:color w:val="000000"/>
                <w:sz w:val="12"/>
                <w:szCs w:val="12"/>
              </w:rPr>
              <w:t>2.57</w:t>
            </w:r>
          </w:p>
        </w:tc>
        <w:tc>
          <w:tcPr>
            <w:tcW w:w="249" w:type="pct"/>
            <w:tcBorders>
              <w:top w:val="nil"/>
              <w:left w:val="nil"/>
              <w:bottom w:val="single" w:sz="4" w:space="0" w:color="auto"/>
              <w:right w:val="nil"/>
            </w:tcBorders>
            <w:noWrap/>
            <w:vAlign w:val="center"/>
            <w:hideMark/>
          </w:tcPr>
          <w:p w14:paraId="103CEAB1" w14:textId="77777777" w:rsidR="00794797" w:rsidRPr="00794797" w:rsidRDefault="00794797" w:rsidP="00794797">
            <w:pPr>
              <w:jc w:val="center"/>
              <w:rPr>
                <w:rFonts w:ascii="Arial Narrow" w:hAnsi="Arial Narrow"/>
                <w:b/>
                <w:bCs/>
                <w:i/>
                <w:iCs/>
                <w:color w:val="000000"/>
                <w:sz w:val="12"/>
                <w:szCs w:val="12"/>
              </w:rPr>
            </w:pPr>
            <w:r w:rsidRPr="00794797">
              <w:rPr>
                <w:rFonts w:ascii="Arial Narrow" w:hAnsi="Arial Narrow"/>
                <w:b/>
                <w:bCs/>
                <w:i/>
                <w:iCs/>
                <w:color w:val="000000"/>
                <w:sz w:val="12"/>
                <w:szCs w:val="12"/>
              </w:rPr>
              <w:t>0.92</w:t>
            </w:r>
          </w:p>
        </w:tc>
        <w:tc>
          <w:tcPr>
            <w:tcW w:w="289" w:type="pct"/>
            <w:tcBorders>
              <w:top w:val="nil"/>
              <w:left w:val="nil"/>
              <w:bottom w:val="single" w:sz="4" w:space="0" w:color="auto"/>
              <w:right w:val="nil"/>
            </w:tcBorders>
            <w:noWrap/>
            <w:vAlign w:val="center"/>
            <w:hideMark/>
          </w:tcPr>
          <w:p w14:paraId="0C043590" w14:textId="77777777" w:rsidR="00794797" w:rsidRPr="00794797" w:rsidRDefault="00794797" w:rsidP="00794797">
            <w:pPr>
              <w:jc w:val="center"/>
              <w:rPr>
                <w:rFonts w:ascii="Arial Narrow" w:hAnsi="Arial Narrow"/>
                <w:b/>
                <w:bCs/>
                <w:i/>
                <w:iCs/>
                <w:color w:val="000000"/>
                <w:sz w:val="12"/>
                <w:szCs w:val="12"/>
              </w:rPr>
            </w:pPr>
            <w:r w:rsidRPr="00794797">
              <w:rPr>
                <w:rFonts w:ascii="Arial Narrow" w:hAnsi="Arial Narrow"/>
                <w:b/>
                <w:bCs/>
                <w:i/>
                <w:iCs/>
                <w:color w:val="000000"/>
                <w:sz w:val="12"/>
                <w:szCs w:val="12"/>
              </w:rPr>
              <w:t>Great</w:t>
            </w:r>
          </w:p>
        </w:tc>
        <w:tc>
          <w:tcPr>
            <w:tcW w:w="249" w:type="pct"/>
            <w:tcBorders>
              <w:top w:val="nil"/>
              <w:left w:val="nil"/>
              <w:bottom w:val="single" w:sz="4" w:space="0" w:color="auto"/>
              <w:right w:val="nil"/>
            </w:tcBorders>
            <w:noWrap/>
            <w:vAlign w:val="center"/>
            <w:hideMark/>
          </w:tcPr>
          <w:p w14:paraId="18877DB4" w14:textId="77777777" w:rsidR="00794797" w:rsidRPr="00794797" w:rsidRDefault="00794797" w:rsidP="00794797">
            <w:pPr>
              <w:jc w:val="center"/>
              <w:rPr>
                <w:rFonts w:ascii="Arial Narrow" w:hAnsi="Arial Narrow"/>
                <w:b/>
                <w:bCs/>
                <w:i/>
                <w:iCs/>
                <w:color w:val="000000"/>
                <w:sz w:val="12"/>
                <w:szCs w:val="12"/>
              </w:rPr>
            </w:pPr>
            <w:r w:rsidRPr="00794797">
              <w:rPr>
                <w:rFonts w:ascii="Arial Narrow" w:hAnsi="Arial Narrow"/>
                <w:b/>
                <w:bCs/>
                <w:i/>
                <w:iCs/>
                <w:color w:val="000000"/>
                <w:sz w:val="12"/>
                <w:szCs w:val="12"/>
              </w:rPr>
              <w:t>2.65</w:t>
            </w:r>
          </w:p>
        </w:tc>
        <w:tc>
          <w:tcPr>
            <w:tcW w:w="249" w:type="pct"/>
            <w:tcBorders>
              <w:top w:val="nil"/>
              <w:left w:val="nil"/>
              <w:bottom w:val="single" w:sz="4" w:space="0" w:color="auto"/>
              <w:right w:val="nil"/>
            </w:tcBorders>
            <w:noWrap/>
            <w:vAlign w:val="center"/>
            <w:hideMark/>
          </w:tcPr>
          <w:p w14:paraId="20EE1232" w14:textId="77777777" w:rsidR="00794797" w:rsidRPr="00794797" w:rsidRDefault="00794797" w:rsidP="00794797">
            <w:pPr>
              <w:jc w:val="center"/>
              <w:rPr>
                <w:rFonts w:ascii="Arial Narrow" w:hAnsi="Arial Narrow"/>
                <w:b/>
                <w:bCs/>
                <w:i/>
                <w:iCs/>
                <w:color w:val="000000"/>
                <w:sz w:val="12"/>
                <w:szCs w:val="12"/>
              </w:rPr>
            </w:pPr>
            <w:r w:rsidRPr="00794797">
              <w:rPr>
                <w:rFonts w:ascii="Arial Narrow" w:hAnsi="Arial Narrow"/>
                <w:b/>
                <w:bCs/>
                <w:i/>
                <w:iCs/>
                <w:color w:val="000000"/>
                <w:sz w:val="12"/>
                <w:szCs w:val="12"/>
              </w:rPr>
              <w:t>0.86</w:t>
            </w:r>
          </w:p>
        </w:tc>
        <w:tc>
          <w:tcPr>
            <w:tcW w:w="289" w:type="pct"/>
            <w:tcBorders>
              <w:top w:val="nil"/>
              <w:left w:val="nil"/>
              <w:bottom w:val="single" w:sz="4" w:space="0" w:color="auto"/>
              <w:right w:val="nil"/>
            </w:tcBorders>
            <w:noWrap/>
            <w:vAlign w:val="center"/>
            <w:hideMark/>
          </w:tcPr>
          <w:p w14:paraId="683CDDA8" w14:textId="77777777" w:rsidR="00794797" w:rsidRPr="00794797" w:rsidRDefault="00794797" w:rsidP="00794797">
            <w:pPr>
              <w:jc w:val="center"/>
              <w:rPr>
                <w:rFonts w:ascii="Arial Narrow" w:hAnsi="Arial Narrow"/>
                <w:b/>
                <w:bCs/>
                <w:i/>
                <w:iCs/>
                <w:color w:val="000000"/>
                <w:sz w:val="12"/>
                <w:szCs w:val="12"/>
              </w:rPr>
            </w:pPr>
            <w:r w:rsidRPr="00794797">
              <w:rPr>
                <w:rFonts w:ascii="Arial Narrow" w:hAnsi="Arial Narrow"/>
                <w:b/>
                <w:bCs/>
                <w:i/>
                <w:iCs/>
                <w:color w:val="000000"/>
                <w:sz w:val="12"/>
                <w:szCs w:val="12"/>
              </w:rPr>
              <w:t>Great</w:t>
            </w:r>
          </w:p>
        </w:tc>
      </w:tr>
      <w:tr w:rsidR="00794797" w:rsidRPr="00794797" w14:paraId="037741DE" w14:textId="77777777" w:rsidTr="008011CF">
        <w:trPr>
          <w:trHeight w:val="144"/>
        </w:trPr>
        <w:tc>
          <w:tcPr>
            <w:tcW w:w="5000" w:type="pct"/>
            <w:gridSpan w:val="16"/>
            <w:tcBorders>
              <w:top w:val="nil"/>
              <w:left w:val="nil"/>
              <w:bottom w:val="nil"/>
              <w:right w:val="nil"/>
            </w:tcBorders>
            <w:noWrap/>
            <w:vAlign w:val="center"/>
            <w:hideMark/>
          </w:tcPr>
          <w:p w14:paraId="4847BF00" w14:textId="77777777" w:rsidR="00794797" w:rsidRPr="00794797" w:rsidRDefault="00794797" w:rsidP="00794797">
            <w:pPr>
              <w:rPr>
                <w:rFonts w:ascii="Arial Narrow" w:hAnsi="Arial Narrow"/>
                <w:i/>
                <w:iCs/>
                <w:color w:val="000000"/>
                <w:sz w:val="12"/>
                <w:szCs w:val="12"/>
              </w:rPr>
            </w:pPr>
            <w:r w:rsidRPr="00794797">
              <w:rPr>
                <w:rFonts w:ascii="Arial Narrow" w:hAnsi="Arial Narrow"/>
                <w:i/>
                <w:iCs/>
                <w:color w:val="000000"/>
                <w:sz w:val="12"/>
                <w:szCs w:val="12"/>
              </w:rPr>
              <w:t>Mean Range: 1.00-1.75=Vey Poor, 1.76-2.50=Poor, 2.51-3.25=Great, 3.26-4.00=Very Great</w:t>
            </w:r>
          </w:p>
        </w:tc>
      </w:tr>
    </w:tbl>
    <w:p w14:paraId="60F38B04" w14:textId="733690ED" w:rsidR="00794797" w:rsidRPr="00794797" w:rsidRDefault="00794797" w:rsidP="00794797">
      <w:pPr>
        <w:pStyle w:val="Head1"/>
        <w:jc w:val="both"/>
        <w:rPr>
          <w:rFonts w:ascii="Arial" w:hAnsi="Arial" w:cs="Arial"/>
          <w:b w:val="0"/>
          <w:bCs/>
          <w:caps w:val="0"/>
        </w:rPr>
      </w:pPr>
      <w:r w:rsidRPr="00794797">
        <w:rPr>
          <w:rFonts w:ascii="Arial" w:hAnsi="Arial" w:cs="Arial"/>
          <w:b w:val="0"/>
          <w:bCs/>
          <w:caps w:val="0"/>
        </w:rPr>
        <w:t xml:space="preserve">Data on Table </w:t>
      </w:r>
      <w:r>
        <w:rPr>
          <w:rFonts w:ascii="Arial" w:hAnsi="Arial" w:cs="Arial"/>
          <w:b w:val="0"/>
          <w:bCs/>
          <w:caps w:val="0"/>
        </w:rPr>
        <w:t>1</w:t>
      </w:r>
      <w:r w:rsidRPr="00794797">
        <w:rPr>
          <w:rFonts w:ascii="Arial" w:hAnsi="Arial" w:cs="Arial"/>
          <w:b w:val="0"/>
          <w:bCs/>
          <w:caps w:val="0"/>
        </w:rPr>
        <w:t xml:space="preserve"> show that overall, the extent of operational risk management practices is great (M=2.65; SD=0.86).  Of the four areas of operational risk management practices, risk identification scored the highest (M=2.71; SD=0.81); risk assessment ranked second (M=2.68; SD=0.89); risk measurement and mitigation followed (M=2.63; SD=0.90); and monitoring and reporting placed last (M=2.57; SD=0.92).  This "great" extent of operational risk management practices means the organizations’ operational risk management practices are often observed and suggests that organizations are, on average, proactively and frequently engaged in managing operational risks.</w:t>
      </w:r>
    </w:p>
    <w:p w14:paraId="7A28F1EA" w14:textId="77777777" w:rsidR="00794797" w:rsidRPr="00794797" w:rsidRDefault="00794797" w:rsidP="00794797">
      <w:pPr>
        <w:pStyle w:val="Head1"/>
        <w:jc w:val="both"/>
        <w:rPr>
          <w:rFonts w:ascii="Arial" w:hAnsi="Arial" w:cs="Arial"/>
          <w:b w:val="0"/>
          <w:bCs/>
          <w:caps w:val="0"/>
        </w:rPr>
      </w:pPr>
      <w:r w:rsidRPr="00794797">
        <w:rPr>
          <w:rFonts w:ascii="Arial" w:hAnsi="Arial" w:cs="Arial"/>
          <w:b w:val="0"/>
          <w:bCs/>
          <w:caps w:val="0"/>
        </w:rPr>
        <w:t xml:space="preserve">The finding implies a strong commitment to stability and security within the higher education institutions, which means that the HEIs have a way to address risks as they arise.  However, while the overall trend is positive, it can be seen that some organizations are lagging behind their peers.  This means further that while some institutions demonstrate strong risk management, there is a clear opportunity for </w:t>
      </w:r>
      <w:r w:rsidRPr="00794797">
        <w:rPr>
          <w:rFonts w:ascii="Arial" w:hAnsi="Arial" w:cs="Arial"/>
          <w:b w:val="0"/>
          <w:bCs/>
          <w:caps w:val="0"/>
        </w:rPr>
        <w:lastRenderedPageBreak/>
        <w:t>younger organizations to improve their practices and for a deeper understanding of the factors that lead to this variability.</w:t>
      </w:r>
    </w:p>
    <w:p w14:paraId="0FD59991" w14:textId="77777777" w:rsidR="00794797" w:rsidRPr="00794797" w:rsidRDefault="00794797" w:rsidP="00794797">
      <w:pPr>
        <w:pStyle w:val="Head1"/>
        <w:jc w:val="both"/>
        <w:rPr>
          <w:rFonts w:ascii="Arial" w:hAnsi="Arial" w:cs="Arial"/>
          <w:b w:val="0"/>
          <w:bCs/>
          <w:caps w:val="0"/>
        </w:rPr>
      </w:pPr>
      <w:r w:rsidRPr="00794797">
        <w:rPr>
          <w:rFonts w:ascii="Arial" w:hAnsi="Arial" w:cs="Arial"/>
          <w:b w:val="0"/>
          <w:bCs/>
          <w:caps w:val="0"/>
        </w:rPr>
        <w:t xml:space="preserve">This finding is supported by Liboon (2017) who found that higher education institutions with greater risk management awareness tend to have more developed practices, particularly in risk identification and assessment, confirming that organizations often progressively develop their risk management maturity.  Kondić et al. (2020) also support this by stating that effective risk management involves systematic practices such as risk identification, assessment, measurement, and monitoring.  Likewise, Wessels and Sadler (2019) supported that an ISO 31000:2009-compliant risk management framework promotes systematic engagement in risk identification, assessment, and ongoing monitoring, which are indicative of organizational maturity.  Also, </w:t>
      </w:r>
      <w:proofErr w:type="spellStart"/>
      <w:r w:rsidRPr="00794797">
        <w:rPr>
          <w:rFonts w:ascii="Arial" w:hAnsi="Arial" w:cs="Arial"/>
          <w:b w:val="0"/>
          <w:bCs/>
          <w:caps w:val="0"/>
        </w:rPr>
        <w:t>Indarbaev</w:t>
      </w:r>
      <w:proofErr w:type="spellEnd"/>
      <w:r w:rsidRPr="00794797">
        <w:rPr>
          <w:rFonts w:ascii="Arial" w:hAnsi="Arial" w:cs="Arial"/>
          <w:b w:val="0"/>
          <w:bCs/>
          <w:caps w:val="0"/>
        </w:rPr>
        <w:t xml:space="preserve"> and </w:t>
      </w:r>
      <w:proofErr w:type="spellStart"/>
      <w:r w:rsidRPr="00794797">
        <w:rPr>
          <w:rFonts w:ascii="Arial" w:hAnsi="Arial" w:cs="Arial"/>
          <w:b w:val="0"/>
          <w:bCs/>
          <w:caps w:val="0"/>
        </w:rPr>
        <w:t>Kapustina</w:t>
      </w:r>
      <w:proofErr w:type="spellEnd"/>
      <w:r w:rsidRPr="00794797">
        <w:rPr>
          <w:rFonts w:ascii="Arial" w:hAnsi="Arial" w:cs="Arial"/>
          <w:b w:val="0"/>
          <w:bCs/>
          <w:caps w:val="0"/>
        </w:rPr>
        <w:t xml:space="preserve"> (2023) highlighted that operational risk management involves continuous assessment and monitoring, which correlates with the observed practice of activity in risk identification and assessment, reflecting a sector that is increasingly proactive.  Moreover, Syed et al. (2020) and Molchanova (2023) found that institutions progressing in operational risk management actively engage in identification and assessment, but often lag in monitoring and reporting, which matches the lower scoring in those areas and supports the idea of room for improvement.</w:t>
      </w:r>
    </w:p>
    <w:p w14:paraId="1E94CF59" w14:textId="77DDB956" w:rsidR="00794797" w:rsidRPr="00794797" w:rsidRDefault="00794797" w:rsidP="00794797">
      <w:pPr>
        <w:pStyle w:val="Head1"/>
        <w:jc w:val="both"/>
        <w:rPr>
          <w:rFonts w:ascii="Arial" w:hAnsi="Arial" w:cs="Arial"/>
          <w:caps w:val="0"/>
          <w:sz w:val="20"/>
          <w:szCs w:val="18"/>
        </w:rPr>
      </w:pPr>
      <w:r>
        <w:rPr>
          <w:rFonts w:ascii="Arial" w:hAnsi="Arial" w:cs="Arial"/>
          <w:caps w:val="0"/>
          <w:sz w:val="20"/>
          <w:szCs w:val="18"/>
        </w:rPr>
        <w:t xml:space="preserve">3.1.1 </w:t>
      </w:r>
      <w:r w:rsidRPr="00794797">
        <w:rPr>
          <w:rFonts w:ascii="Arial" w:hAnsi="Arial" w:cs="Arial"/>
          <w:caps w:val="0"/>
          <w:sz w:val="20"/>
          <w:szCs w:val="18"/>
        </w:rPr>
        <w:t xml:space="preserve">Operational </w:t>
      </w:r>
      <w:r>
        <w:rPr>
          <w:rFonts w:ascii="Arial" w:hAnsi="Arial" w:cs="Arial"/>
          <w:caps w:val="0"/>
          <w:sz w:val="20"/>
          <w:szCs w:val="18"/>
        </w:rPr>
        <w:t>R</w:t>
      </w:r>
      <w:r w:rsidRPr="00794797">
        <w:rPr>
          <w:rFonts w:ascii="Arial" w:hAnsi="Arial" w:cs="Arial"/>
          <w:caps w:val="0"/>
          <w:sz w:val="20"/>
          <w:szCs w:val="18"/>
        </w:rPr>
        <w:t xml:space="preserve">isk </w:t>
      </w:r>
      <w:r>
        <w:rPr>
          <w:rFonts w:ascii="Arial" w:hAnsi="Arial" w:cs="Arial"/>
          <w:caps w:val="0"/>
          <w:sz w:val="20"/>
          <w:szCs w:val="18"/>
        </w:rPr>
        <w:t>M</w:t>
      </w:r>
      <w:r w:rsidRPr="00794797">
        <w:rPr>
          <w:rFonts w:ascii="Arial" w:hAnsi="Arial" w:cs="Arial"/>
          <w:caps w:val="0"/>
          <w:sz w:val="20"/>
          <w:szCs w:val="18"/>
        </w:rPr>
        <w:t xml:space="preserve">anagement </w:t>
      </w:r>
      <w:r>
        <w:rPr>
          <w:rFonts w:ascii="Arial" w:hAnsi="Arial" w:cs="Arial"/>
          <w:caps w:val="0"/>
          <w:sz w:val="20"/>
          <w:szCs w:val="18"/>
        </w:rPr>
        <w:t>P</w:t>
      </w:r>
      <w:r w:rsidRPr="00794797">
        <w:rPr>
          <w:rFonts w:ascii="Arial" w:hAnsi="Arial" w:cs="Arial"/>
          <w:caps w:val="0"/>
          <w:sz w:val="20"/>
          <w:szCs w:val="18"/>
        </w:rPr>
        <w:t xml:space="preserve">ractices and </w:t>
      </w:r>
      <w:r>
        <w:rPr>
          <w:rFonts w:ascii="Arial" w:hAnsi="Arial" w:cs="Arial"/>
          <w:caps w:val="0"/>
          <w:sz w:val="20"/>
          <w:szCs w:val="18"/>
        </w:rPr>
        <w:t>S</w:t>
      </w:r>
      <w:r w:rsidRPr="00794797">
        <w:rPr>
          <w:rFonts w:ascii="Arial" w:hAnsi="Arial" w:cs="Arial"/>
          <w:caps w:val="0"/>
          <w:sz w:val="20"/>
          <w:szCs w:val="18"/>
        </w:rPr>
        <w:t xml:space="preserve">tudent </w:t>
      </w:r>
      <w:r>
        <w:rPr>
          <w:rFonts w:ascii="Arial" w:hAnsi="Arial" w:cs="Arial"/>
          <w:caps w:val="0"/>
          <w:sz w:val="20"/>
          <w:szCs w:val="18"/>
        </w:rPr>
        <w:t>P</w:t>
      </w:r>
      <w:r w:rsidRPr="00794797">
        <w:rPr>
          <w:rFonts w:ascii="Arial" w:hAnsi="Arial" w:cs="Arial"/>
          <w:caps w:val="0"/>
          <w:sz w:val="20"/>
          <w:szCs w:val="18"/>
        </w:rPr>
        <w:t>opulation</w:t>
      </w:r>
    </w:p>
    <w:p w14:paraId="10711763" w14:textId="1401A7F3" w:rsidR="00794797" w:rsidRPr="00794797" w:rsidRDefault="00794797" w:rsidP="00794797">
      <w:pPr>
        <w:pStyle w:val="Head1"/>
        <w:jc w:val="both"/>
        <w:rPr>
          <w:rFonts w:ascii="Arial" w:hAnsi="Arial" w:cs="Arial"/>
          <w:b w:val="0"/>
          <w:bCs/>
          <w:caps w:val="0"/>
        </w:rPr>
      </w:pPr>
      <w:r w:rsidRPr="00794797">
        <w:rPr>
          <w:rFonts w:ascii="Arial" w:hAnsi="Arial" w:cs="Arial"/>
          <w:b w:val="0"/>
          <w:bCs/>
          <w:caps w:val="0"/>
        </w:rPr>
        <w:t xml:space="preserve">When grouped according to student population, both groups gave mean scores interpreted as great although those with larger student body generated higher mean (M=2.70; SD=0.86) than those institutions with smaller student body (N=2.55; SD=0.86).  The finding indicates that institutions with a larger student population tend to have a higher extent of operational risk management practices, implying that larger student bodies, possibly due to more complex operations, greater resources, or a higher perceived risk profile, have developed more established risk management frameworks.  Hence, the more people, the greater the possibility of risk, requiring stronger and more intensified operational risk management practices to ensure a safe and secure environment for learning.  Meanwhile, schools with smaller student population tend to have simpler school operations, potentially leading to a lower need for formal risk management practices.  </w:t>
      </w:r>
    </w:p>
    <w:p w14:paraId="5D9ADDEC" w14:textId="77777777" w:rsidR="00794797" w:rsidRPr="00794797" w:rsidRDefault="00794797" w:rsidP="00794797">
      <w:pPr>
        <w:pStyle w:val="Head1"/>
        <w:jc w:val="both"/>
        <w:rPr>
          <w:rFonts w:ascii="Arial" w:hAnsi="Arial" w:cs="Arial"/>
          <w:b w:val="0"/>
          <w:bCs/>
          <w:caps w:val="0"/>
        </w:rPr>
      </w:pPr>
      <w:r w:rsidRPr="00794797">
        <w:rPr>
          <w:rFonts w:ascii="Arial" w:hAnsi="Arial" w:cs="Arial"/>
          <w:b w:val="0"/>
          <w:bCs/>
          <w:caps w:val="0"/>
        </w:rPr>
        <w:t xml:space="preserve">This finding is supported by </w:t>
      </w:r>
      <w:proofErr w:type="spellStart"/>
      <w:r w:rsidRPr="00794797">
        <w:rPr>
          <w:rFonts w:ascii="Arial" w:hAnsi="Arial" w:cs="Arial"/>
          <w:b w:val="0"/>
          <w:bCs/>
          <w:caps w:val="0"/>
        </w:rPr>
        <w:t>Odlin</w:t>
      </w:r>
      <w:proofErr w:type="spellEnd"/>
      <w:r w:rsidRPr="00794797">
        <w:rPr>
          <w:rFonts w:ascii="Arial" w:hAnsi="Arial" w:cs="Arial"/>
          <w:b w:val="0"/>
          <w:bCs/>
          <w:caps w:val="0"/>
        </w:rPr>
        <w:t xml:space="preserve"> et al. (2021) whose study emphasizes that institutions with expanded student placements and increased engagement—often correlating with larger student bodies—face more diverse and complex risks. To respond effectively, these institutions tend to develop more comprehensive risk management frameworks to address the varied operational challenges.  Also, Liboon (2017) found that employee risk management awareness and practices are positively correlated with institutional size and complexity.  Larger institutions, with more staff and students, tend to exhibit higher risk management awareness and more developed practices, reflecting a need for comprehensive risk oversight.  This also confirms the findings of Wessels and Sadler (2019) that institutions with larger operational scopes, including bigger student populations, are more likely to adopt formal, ISO 31000-compliant risk management frameworks, recognizing the necessity to manage a wider array of operational risks.  Moreover, Holtermann et al. (2021) found that larger </w:t>
      </w:r>
      <w:r w:rsidRPr="00794797">
        <w:rPr>
          <w:rFonts w:ascii="Arial" w:hAnsi="Arial" w:cs="Arial"/>
          <w:b w:val="0"/>
          <w:bCs/>
          <w:caps w:val="0"/>
        </w:rPr>
        <w:lastRenderedPageBreak/>
        <w:t>institutions with expanded student populations engaged more systematically in risk management practices, particularly in remote learning adaptation and health safety protocols, indicating a correlation between size and risk management maturity.</w:t>
      </w:r>
    </w:p>
    <w:p w14:paraId="4CAE03ED" w14:textId="77777777" w:rsidR="00794797" w:rsidRPr="00794797" w:rsidRDefault="00794797" w:rsidP="00794797">
      <w:pPr>
        <w:pStyle w:val="Head1"/>
        <w:jc w:val="both"/>
        <w:rPr>
          <w:rFonts w:ascii="Arial" w:hAnsi="Arial" w:cs="Arial"/>
          <w:caps w:val="0"/>
        </w:rPr>
      </w:pPr>
      <w:r w:rsidRPr="00794797">
        <w:rPr>
          <w:rFonts w:ascii="Arial" w:hAnsi="Arial" w:cs="Arial"/>
          <w:caps w:val="0"/>
        </w:rPr>
        <w:t xml:space="preserve">3.1.2 Operational Risk Management Practices and Number of Employees  </w:t>
      </w:r>
    </w:p>
    <w:p w14:paraId="19407FFA" w14:textId="535706D5" w:rsidR="00794797" w:rsidRPr="00794797" w:rsidRDefault="00794797" w:rsidP="00794797">
      <w:pPr>
        <w:pStyle w:val="Head1"/>
        <w:jc w:val="both"/>
        <w:rPr>
          <w:rFonts w:ascii="Arial" w:hAnsi="Arial" w:cs="Arial"/>
          <w:b w:val="0"/>
          <w:bCs/>
          <w:caps w:val="0"/>
        </w:rPr>
      </w:pPr>
      <w:r w:rsidRPr="00794797">
        <w:rPr>
          <w:rFonts w:ascii="Arial" w:hAnsi="Arial" w:cs="Arial"/>
          <w:b w:val="0"/>
          <w:bCs/>
          <w:caps w:val="0"/>
        </w:rPr>
        <w:t xml:space="preserve">When grouped according to the number of employees, those with larger workforce scored higher (M=2.70; SD=0.86) than those with smaller workforce (M=2.55; SD=0.86).  This means that organizations with more employees may have more resources, specialized personnel, or a more structured approach to managing their operations, leading to an intensive and active operational risk management practices.  Consequently, smaller organizations may have limited resources or less formal processes leading to less active operational risk management practices.  </w:t>
      </w:r>
    </w:p>
    <w:p w14:paraId="5A7A5A1C" w14:textId="77777777" w:rsidR="00794797" w:rsidRPr="00794797" w:rsidRDefault="00794797" w:rsidP="00794797">
      <w:pPr>
        <w:pStyle w:val="Head1"/>
        <w:jc w:val="both"/>
        <w:rPr>
          <w:rFonts w:ascii="Arial" w:hAnsi="Arial" w:cs="Arial"/>
          <w:b w:val="0"/>
          <w:bCs/>
          <w:caps w:val="0"/>
        </w:rPr>
      </w:pPr>
      <w:r w:rsidRPr="00794797">
        <w:rPr>
          <w:rFonts w:ascii="Arial" w:hAnsi="Arial" w:cs="Arial"/>
          <w:b w:val="0"/>
          <w:bCs/>
          <w:caps w:val="0"/>
        </w:rPr>
        <w:t xml:space="preserve">This finding is supported by Liboon (2017) who found that organizations with more employees generally possess heightened risk management awareness and practices; larger staff complements often facilitate specialization and the implementation of comprehensive risk policies, which leads to higher risk management scores.  Also, Holtermann et al. (2021) found that larger institutions with more employees effectively adopted detailed risk management processes during the COVID-19 pandemic, reflecting their capacity to allocate resources and personnel toward systematic risk mitigation strategies.  Moreover, </w:t>
      </w:r>
      <w:proofErr w:type="spellStart"/>
      <w:r w:rsidRPr="00794797">
        <w:rPr>
          <w:rFonts w:ascii="Arial" w:hAnsi="Arial" w:cs="Arial"/>
          <w:b w:val="0"/>
          <w:bCs/>
          <w:caps w:val="0"/>
        </w:rPr>
        <w:t>Odlin</w:t>
      </w:r>
      <w:proofErr w:type="spellEnd"/>
      <w:r w:rsidRPr="00794797">
        <w:rPr>
          <w:rFonts w:ascii="Arial" w:hAnsi="Arial" w:cs="Arial"/>
          <w:b w:val="0"/>
          <w:bCs/>
          <w:caps w:val="0"/>
        </w:rPr>
        <w:t xml:space="preserve"> et al. (2021) underscores that larger organizations with more employees are better positioned to execute formal risk assessment and mitigation practices, emphasizing their resource advantage, while Wessels and Sadler (2019) suggest that organizations with larger workforces are more likely to employ formalized risk management frameworks, such as ISO 31000, due to available expertise and resources.</w:t>
      </w:r>
    </w:p>
    <w:p w14:paraId="507048D0" w14:textId="77777777" w:rsidR="00794797" w:rsidRPr="00794797" w:rsidRDefault="00794797" w:rsidP="00794797">
      <w:pPr>
        <w:pStyle w:val="Head1"/>
        <w:jc w:val="both"/>
        <w:rPr>
          <w:rFonts w:ascii="Arial" w:hAnsi="Arial" w:cs="Arial"/>
          <w:caps w:val="0"/>
        </w:rPr>
      </w:pPr>
      <w:r w:rsidRPr="00794797">
        <w:rPr>
          <w:rFonts w:ascii="Arial" w:hAnsi="Arial" w:cs="Arial"/>
          <w:caps w:val="0"/>
        </w:rPr>
        <w:t>3.1.3 Operational Risk Management Practices and Annual Operational Budget</w:t>
      </w:r>
    </w:p>
    <w:p w14:paraId="22DFB82B" w14:textId="510F4259" w:rsidR="00794797" w:rsidRPr="00794797" w:rsidRDefault="00794797" w:rsidP="00794797">
      <w:pPr>
        <w:pStyle w:val="Head1"/>
        <w:jc w:val="both"/>
        <w:rPr>
          <w:rFonts w:ascii="Arial" w:hAnsi="Arial" w:cs="Arial"/>
          <w:b w:val="0"/>
          <w:bCs/>
          <w:caps w:val="0"/>
        </w:rPr>
      </w:pPr>
      <w:r w:rsidRPr="00794797">
        <w:rPr>
          <w:rFonts w:ascii="Arial" w:hAnsi="Arial" w:cs="Arial"/>
          <w:b w:val="0"/>
          <w:bCs/>
          <w:caps w:val="0"/>
        </w:rPr>
        <w:t xml:space="preserve">When grouped according to annual operational budget, those with higher budget capacity showed higher mean (M=2.81; SD=0.81) than those with lower budget capacity (M=2.58; SD=0.87).  This finding strongly implies that financial capacity is a key driver for the level of the measured practice.  Organizations with larger budgets likely have the resources to invest in specialized personnel, advanced technology, training, and more intensive systems, which are all essential for actively observing operational risk management practices. Conversely, organizations with lower budget capacity face a significant constraint that may limit their ability to implement operational risk management practices actively. </w:t>
      </w:r>
    </w:p>
    <w:p w14:paraId="7BA914D9" w14:textId="77777777" w:rsidR="00794797" w:rsidRPr="00794797" w:rsidRDefault="00794797" w:rsidP="00794797">
      <w:pPr>
        <w:pStyle w:val="Head1"/>
        <w:jc w:val="both"/>
        <w:rPr>
          <w:rFonts w:ascii="Arial" w:hAnsi="Arial" w:cs="Arial"/>
          <w:b w:val="0"/>
          <w:bCs/>
          <w:caps w:val="0"/>
        </w:rPr>
      </w:pPr>
      <w:r w:rsidRPr="00794797">
        <w:rPr>
          <w:rFonts w:ascii="Arial" w:hAnsi="Arial" w:cs="Arial"/>
          <w:b w:val="0"/>
          <w:bCs/>
          <w:caps w:val="0"/>
        </w:rPr>
        <w:t xml:space="preserve">This finding implies that a lack of financial resources is a major barrier for some organizations and highlights the need for targeted strategies, perhaps focusing on cost-effective solutions or resource allocation optimization, to help those with lower budgets improve their performance. </w:t>
      </w:r>
    </w:p>
    <w:p w14:paraId="2091B0C3" w14:textId="77777777" w:rsidR="00794797" w:rsidRPr="00794797" w:rsidRDefault="00794797" w:rsidP="00794797">
      <w:pPr>
        <w:pStyle w:val="Head1"/>
        <w:jc w:val="both"/>
        <w:rPr>
          <w:rFonts w:ascii="Arial" w:hAnsi="Arial" w:cs="Arial"/>
          <w:b w:val="0"/>
          <w:bCs/>
          <w:caps w:val="0"/>
        </w:rPr>
      </w:pPr>
      <w:r w:rsidRPr="00794797">
        <w:rPr>
          <w:rFonts w:ascii="Arial" w:hAnsi="Arial" w:cs="Arial"/>
          <w:b w:val="0"/>
          <w:bCs/>
          <w:caps w:val="0"/>
        </w:rPr>
        <w:t xml:space="preserve">This finding is supported by Mukherjee (2019) who emphasized that effective risk management in higher education institutions is closely linked to resource availability, including financial capacity; institutions with greater budgets can allocate more funds toward comprehensive risk mitigation strategies, training, and technological </w:t>
      </w:r>
      <w:r w:rsidRPr="00794797">
        <w:rPr>
          <w:rFonts w:ascii="Arial" w:hAnsi="Arial" w:cs="Arial"/>
          <w:b w:val="0"/>
          <w:bCs/>
          <w:caps w:val="0"/>
        </w:rPr>
        <w:lastRenderedPageBreak/>
        <w:t xml:space="preserve">infrastructure.  Zang’s (2022) research highlights that financial resources influence the ability of higher education institutions to implement financial management and early warning systems; larger budgets facilitate the adoption of advanced tools and practices that improve risk management performance.  Moreover, </w:t>
      </w:r>
      <w:proofErr w:type="spellStart"/>
      <w:r w:rsidRPr="00794797">
        <w:rPr>
          <w:rFonts w:ascii="Arial" w:hAnsi="Arial" w:cs="Arial"/>
          <w:b w:val="0"/>
          <w:bCs/>
          <w:caps w:val="0"/>
        </w:rPr>
        <w:t>Cotelnic</w:t>
      </w:r>
      <w:proofErr w:type="spellEnd"/>
      <w:r w:rsidRPr="00794797">
        <w:rPr>
          <w:rFonts w:ascii="Arial" w:hAnsi="Arial" w:cs="Arial"/>
          <w:b w:val="0"/>
          <w:bCs/>
          <w:caps w:val="0"/>
        </w:rPr>
        <w:t xml:space="preserve"> (2023) supports this by stressing on the importance of resource allocation in maintaining quality in higher education, implying that institutions with more substantial financial resources are better positioned to develop and sustain robust risk management practices.  The framework of Wessels and Sadler (2019) likewise suggests that organizations with greater financial resources can implement more sophisticated risk management standards, such as those aligned with ISO 31000, leading to higher practice scores.</w:t>
      </w:r>
    </w:p>
    <w:p w14:paraId="209C84AD" w14:textId="77777777" w:rsidR="00794797" w:rsidRPr="00794797" w:rsidRDefault="00794797" w:rsidP="00794797">
      <w:pPr>
        <w:pStyle w:val="Head1"/>
        <w:jc w:val="both"/>
        <w:rPr>
          <w:rFonts w:ascii="Arial" w:hAnsi="Arial" w:cs="Arial"/>
          <w:caps w:val="0"/>
        </w:rPr>
      </w:pPr>
      <w:r w:rsidRPr="00794797">
        <w:rPr>
          <w:rFonts w:ascii="Arial" w:hAnsi="Arial" w:cs="Arial"/>
          <w:caps w:val="0"/>
        </w:rPr>
        <w:t>3.1.4 Operational Risk Management Practices and Number of Accredited Programs</w:t>
      </w:r>
    </w:p>
    <w:p w14:paraId="1036D9EC" w14:textId="4BFBDCD7" w:rsidR="00794797" w:rsidRPr="00794797" w:rsidRDefault="00794797" w:rsidP="00794797">
      <w:pPr>
        <w:pStyle w:val="Head1"/>
        <w:jc w:val="both"/>
        <w:rPr>
          <w:rFonts w:ascii="Arial" w:hAnsi="Arial" w:cs="Arial"/>
          <w:b w:val="0"/>
          <w:bCs/>
          <w:caps w:val="0"/>
        </w:rPr>
      </w:pPr>
      <w:r w:rsidRPr="00794797">
        <w:rPr>
          <w:rFonts w:ascii="Arial" w:hAnsi="Arial" w:cs="Arial"/>
          <w:b w:val="0"/>
          <w:bCs/>
          <w:caps w:val="0"/>
        </w:rPr>
        <w:t xml:space="preserve">When grouped according to number of accredited programs, those with more accredited programs scored higher (M=2.81; SD=0.81) than those with fewer accredited programs (M=2.58; SD=0.87).  This finding suggests a strong link between accreditation and the level of the measured practice.  This implies that the rigorous standards and processes required for program accreditation may drive institutions to develop more systematic practices in other areas of their operations. The accreditation process itself likely encourages or even mandates a higher level of scrutiny, documentation, and quality assurance, which can positively influence overall institutional practices. </w:t>
      </w:r>
    </w:p>
    <w:p w14:paraId="2352E53D" w14:textId="77777777" w:rsidR="00794797" w:rsidRPr="00794797" w:rsidRDefault="00794797" w:rsidP="00794797">
      <w:pPr>
        <w:pStyle w:val="Head1"/>
        <w:jc w:val="both"/>
        <w:rPr>
          <w:rFonts w:ascii="Arial" w:hAnsi="Arial" w:cs="Arial"/>
          <w:b w:val="0"/>
          <w:bCs/>
          <w:caps w:val="0"/>
        </w:rPr>
      </w:pPr>
      <w:r w:rsidRPr="00794797">
        <w:rPr>
          <w:rFonts w:ascii="Arial" w:hAnsi="Arial" w:cs="Arial"/>
          <w:b w:val="0"/>
          <w:bCs/>
          <w:caps w:val="0"/>
        </w:rPr>
        <w:t xml:space="preserve">The finding suggests that institutions with fewer accredited programs may have less ORM practices in these areas and could benefit from emulating the structured approaches and high standards associated with the accreditation process to improve their own practices. </w:t>
      </w:r>
    </w:p>
    <w:p w14:paraId="3E3118F8" w14:textId="77777777" w:rsidR="00794797" w:rsidRPr="00794797" w:rsidRDefault="00794797" w:rsidP="00794797">
      <w:pPr>
        <w:pStyle w:val="Head1"/>
        <w:jc w:val="both"/>
        <w:rPr>
          <w:rFonts w:ascii="Arial" w:hAnsi="Arial" w:cs="Arial"/>
          <w:b w:val="0"/>
          <w:bCs/>
          <w:caps w:val="0"/>
        </w:rPr>
      </w:pPr>
      <w:r w:rsidRPr="00794797">
        <w:rPr>
          <w:rFonts w:ascii="Arial" w:hAnsi="Arial" w:cs="Arial"/>
          <w:b w:val="0"/>
          <w:bCs/>
          <w:caps w:val="0"/>
        </w:rPr>
        <w:t xml:space="preserve">This finding is supported by Machuca (2021) who emphasized the significance of evaluation, certification, and accreditation in fostering higher standards within educational institutions.  According to Machuca (2021), accreditation processes promote systematic practices, quality assurance, and continuous improvement, which are reflected in higher practice scores for institutions with more accredited programs.  </w:t>
      </w:r>
      <w:proofErr w:type="spellStart"/>
      <w:r w:rsidRPr="00794797">
        <w:rPr>
          <w:rFonts w:ascii="Arial" w:hAnsi="Arial" w:cs="Arial"/>
          <w:b w:val="0"/>
          <w:bCs/>
          <w:caps w:val="0"/>
        </w:rPr>
        <w:t>Hiên</w:t>
      </w:r>
      <w:proofErr w:type="spellEnd"/>
      <w:r w:rsidRPr="00794797">
        <w:rPr>
          <w:rFonts w:ascii="Arial" w:hAnsi="Arial" w:cs="Arial"/>
          <w:b w:val="0"/>
          <w:bCs/>
          <w:caps w:val="0"/>
        </w:rPr>
        <w:t xml:space="preserve"> et al. (2020) underscored the role of accreditation as a vital quality management tool that helps institutions monitor and enhance their practices; institutions with multiple accredited programs are likely to have adopted rigorous quality assurance measures aligned with accreditation standards.  Moreover, Parajuli et al. (2020) found that the development of a resilience assessment tool highlights the importance of structured indicators, which align with accreditation standards that emphasize documented, measurable practices.</w:t>
      </w:r>
    </w:p>
    <w:p w14:paraId="663EB597" w14:textId="77777777" w:rsidR="00794797" w:rsidRPr="00794797" w:rsidRDefault="00794797" w:rsidP="00794797">
      <w:pPr>
        <w:pStyle w:val="Head1"/>
        <w:jc w:val="both"/>
        <w:rPr>
          <w:rFonts w:ascii="Arial" w:hAnsi="Arial" w:cs="Arial"/>
          <w:caps w:val="0"/>
        </w:rPr>
      </w:pPr>
      <w:r w:rsidRPr="00794797">
        <w:rPr>
          <w:rFonts w:ascii="Arial" w:hAnsi="Arial" w:cs="Arial"/>
          <w:caps w:val="0"/>
        </w:rPr>
        <w:t>3.1.5 Operational Risk Management Practices and School’s Years of Existence</w:t>
      </w:r>
    </w:p>
    <w:p w14:paraId="7C97CAB1" w14:textId="61940928" w:rsidR="00794797" w:rsidRPr="00794797" w:rsidRDefault="00794797" w:rsidP="00794797">
      <w:pPr>
        <w:pStyle w:val="Head1"/>
        <w:jc w:val="both"/>
        <w:rPr>
          <w:rFonts w:ascii="Arial" w:hAnsi="Arial" w:cs="Arial"/>
          <w:b w:val="0"/>
          <w:bCs/>
          <w:caps w:val="0"/>
        </w:rPr>
      </w:pPr>
      <w:r w:rsidRPr="00794797">
        <w:rPr>
          <w:rFonts w:ascii="Arial" w:hAnsi="Arial" w:cs="Arial"/>
          <w:b w:val="0"/>
          <w:bCs/>
          <w:caps w:val="0"/>
        </w:rPr>
        <w:t xml:space="preserve">When grouped according to school’s years of existence, legacy institutions scored higher (M=2.66; SD=0.85) than younger institutions (M=2.60; SD=0.92).  This means that institutional age and experience may be a contributing factor to the level of the measured practice. Legacy institutions have had more time to establish and refine </w:t>
      </w:r>
      <w:r w:rsidRPr="00794797">
        <w:rPr>
          <w:rFonts w:ascii="Arial" w:hAnsi="Arial" w:cs="Arial"/>
          <w:b w:val="0"/>
          <w:bCs/>
          <w:caps w:val="0"/>
        </w:rPr>
        <w:lastRenderedPageBreak/>
        <w:t xml:space="preserve">their practices, build institutional memory, and learn from past experiences, which may lead to a more systematic approach. </w:t>
      </w:r>
    </w:p>
    <w:p w14:paraId="6647D804" w14:textId="77777777" w:rsidR="00794797" w:rsidRPr="00794797" w:rsidRDefault="00794797" w:rsidP="00794797">
      <w:pPr>
        <w:pStyle w:val="Head1"/>
        <w:jc w:val="both"/>
        <w:rPr>
          <w:rFonts w:ascii="Arial" w:hAnsi="Arial" w:cs="Arial"/>
          <w:b w:val="0"/>
          <w:bCs/>
          <w:caps w:val="0"/>
        </w:rPr>
      </w:pPr>
      <w:r w:rsidRPr="00794797">
        <w:rPr>
          <w:rFonts w:ascii="Arial" w:hAnsi="Arial" w:cs="Arial"/>
          <w:b w:val="0"/>
          <w:bCs/>
          <w:caps w:val="0"/>
        </w:rPr>
        <w:t>The implication for younger institutions is that they may be in an earlier stage of development and could benefit from accelerating the institutionalization of their practices to a level comparable to their more established counterparts.  While some may have highly developed practices, others are still in the foundational stages, creating an opportunity for them to learn from both legacy institutions and their more advanced peers.</w:t>
      </w:r>
    </w:p>
    <w:p w14:paraId="6D370B0F" w14:textId="77777777" w:rsidR="00794797" w:rsidRPr="00794797" w:rsidRDefault="00794797" w:rsidP="00794797">
      <w:pPr>
        <w:pStyle w:val="Head1"/>
        <w:jc w:val="both"/>
        <w:rPr>
          <w:rFonts w:ascii="Arial" w:hAnsi="Arial" w:cs="Arial"/>
          <w:b w:val="0"/>
          <w:bCs/>
          <w:caps w:val="0"/>
        </w:rPr>
      </w:pPr>
      <w:r w:rsidRPr="00794797">
        <w:rPr>
          <w:rFonts w:ascii="Arial" w:hAnsi="Arial" w:cs="Arial"/>
          <w:b w:val="0"/>
          <w:bCs/>
          <w:caps w:val="0"/>
        </w:rPr>
        <w:t>This finding is supported by Porras (2021) whose study highlights the importance of institutional experience and technological adaptation over time. While focusing on technology, it implies that institutions with longer operational histories have had more opportunities to develop and institutionalize effective practices.  Also, Machuca (2021) found that institutions with longer histories are more likely to have established systems, quality assurance mechanisms, and mature practices, as they have had more time for continuous improvement.  Alhamad’s (2021) study notes that more established institutions possess more developed frameworks and practices to manage financial and academic risks effectively, which are influenced by institutional experience and history.  Moreover, Wessels and Sadler’s (2019) analysis indicates that more mature institutions, with established processes and governance, are better equipped to implement risk and quality management practices, which are features of older, experienced institutions.</w:t>
      </w:r>
    </w:p>
    <w:p w14:paraId="29D126F6" w14:textId="06E510B0" w:rsidR="0077412F" w:rsidRDefault="0077412F" w:rsidP="0077412F">
      <w:pPr>
        <w:pStyle w:val="Head1"/>
        <w:spacing w:after="0"/>
        <w:jc w:val="both"/>
        <w:rPr>
          <w:rFonts w:ascii="Arial" w:hAnsi="Arial" w:cs="Arial"/>
        </w:rPr>
      </w:pPr>
      <w:r>
        <w:rPr>
          <w:rFonts w:ascii="Arial" w:hAnsi="Arial" w:cs="Arial"/>
        </w:rPr>
        <w:t xml:space="preserve">3.2 </w:t>
      </w:r>
      <w:r>
        <w:rPr>
          <w:rFonts w:ascii="Arial" w:hAnsi="Arial" w:cs="Arial"/>
          <w:caps w:val="0"/>
        </w:rPr>
        <w:t>Degree of Resilience of Selected Higher Educational Institutions</w:t>
      </w:r>
      <w:r>
        <w:rPr>
          <w:rFonts w:ascii="Arial" w:hAnsi="Arial" w:cs="Arial"/>
        </w:rPr>
        <w:t xml:space="preserve">  </w:t>
      </w:r>
    </w:p>
    <w:p w14:paraId="041C639B" w14:textId="150FAF1D" w:rsidR="00B33001" w:rsidRPr="00B33001" w:rsidRDefault="00B33001" w:rsidP="00441B6F">
      <w:pPr>
        <w:pStyle w:val="Head1"/>
        <w:spacing w:after="0"/>
        <w:jc w:val="both"/>
        <w:rPr>
          <w:rFonts w:ascii="Arial" w:hAnsi="Arial" w:cs="Arial"/>
          <w:sz w:val="20"/>
          <w:szCs w:val="18"/>
          <w:u w:val="single"/>
        </w:rPr>
      </w:pPr>
      <w:r>
        <w:rPr>
          <w:rFonts w:ascii="Arial" w:hAnsi="Arial" w:cs="Arial"/>
          <w:caps w:val="0"/>
          <w:sz w:val="20"/>
          <w:szCs w:val="18"/>
          <w:u w:val="single"/>
        </w:rPr>
        <w:t xml:space="preserve"> </w:t>
      </w:r>
    </w:p>
    <w:tbl>
      <w:tblPr>
        <w:tblW w:w="0" w:type="auto"/>
        <w:jc w:val="center"/>
        <w:tblLayout w:type="fixed"/>
        <w:tblLook w:val="04A0" w:firstRow="1" w:lastRow="0" w:firstColumn="1" w:lastColumn="0" w:noHBand="0" w:noVBand="1"/>
      </w:tblPr>
      <w:tblGrid>
        <w:gridCol w:w="1170"/>
        <w:gridCol w:w="619"/>
        <w:gridCol w:w="390"/>
        <w:gridCol w:w="633"/>
        <w:gridCol w:w="390"/>
        <w:gridCol w:w="391"/>
        <w:gridCol w:w="634"/>
        <w:gridCol w:w="391"/>
        <w:gridCol w:w="391"/>
        <w:gridCol w:w="415"/>
        <w:gridCol w:w="391"/>
        <w:gridCol w:w="391"/>
        <w:gridCol w:w="610"/>
        <w:gridCol w:w="391"/>
        <w:gridCol w:w="391"/>
        <w:gridCol w:w="610"/>
      </w:tblGrid>
      <w:tr w:rsidR="0077412F" w:rsidRPr="0077412F" w14:paraId="37174938" w14:textId="77777777" w:rsidTr="0077412F">
        <w:trPr>
          <w:trHeight w:val="144"/>
          <w:jc w:val="center"/>
        </w:trPr>
        <w:tc>
          <w:tcPr>
            <w:tcW w:w="8208" w:type="dxa"/>
            <w:gridSpan w:val="16"/>
            <w:tcBorders>
              <w:top w:val="nil"/>
              <w:left w:val="nil"/>
              <w:bottom w:val="nil"/>
              <w:right w:val="nil"/>
            </w:tcBorders>
            <w:noWrap/>
            <w:vAlign w:val="center"/>
            <w:hideMark/>
          </w:tcPr>
          <w:p w14:paraId="2F4CF9C8" w14:textId="7FF0D0C1" w:rsidR="0077412F" w:rsidRPr="0077412F" w:rsidRDefault="0077412F" w:rsidP="0077412F">
            <w:pPr>
              <w:rPr>
                <w:rFonts w:ascii="Arial Narrow" w:hAnsi="Arial Narrow"/>
                <w:b/>
                <w:bCs/>
                <w:sz w:val="12"/>
                <w:szCs w:val="12"/>
              </w:rPr>
            </w:pPr>
            <w:r w:rsidRPr="0077412F">
              <w:rPr>
                <w:rFonts w:ascii="Arial Narrow" w:hAnsi="Arial Narrow"/>
                <w:b/>
                <w:bCs/>
                <w:sz w:val="12"/>
                <w:szCs w:val="12"/>
              </w:rPr>
              <w:t>Table 2.  Degree of Resilience and Its Indicators as assessed by the Administrator Respondents</w:t>
            </w:r>
          </w:p>
        </w:tc>
      </w:tr>
      <w:tr w:rsidR="0077412F" w:rsidRPr="0077412F" w14:paraId="26CD2E88" w14:textId="77777777" w:rsidTr="0077412F">
        <w:trPr>
          <w:trHeight w:val="144"/>
          <w:jc w:val="center"/>
        </w:trPr>
        <w:tc>
          <w:tcPr>
            <w:tcW w:w="1170" w:type="dxa"/>
            <w:vMerge w:val="restart"/>
            <w:tcBorders>
              <w:top w:val="single" w:sz="4" w:space="0" w:color="auto"/>
              <w:left w:val="nil"/>
              <w:bottom w:val="single" w:sz="4" w:space="0" w:color="000000"/>
              <w:right w:val="nil"/>
            </w:tcBorders>
            <w:noWrap/>
            <w:vAlign w:val="center"/>
            <w:hideMark/>
          </w:tcPr>
          <w:p w14:paraId="1360C1D6" w14:textId="77777777" w:rsidR="0077412F" w:rsidRPr="0077412F" w:rsidRDefault="0077412F" w:rsidP="008011CF">
            <w:pPr>
              <w:rPr>
                <w:rFonts w:ascii="Arial Narrow" w:hAnsi="Arial Narrow"/>
                <w:b/>
                <w:bCs/>
                <w:color w:val="000000"/>
                <w:sz w:val="12"/>
                <w:szCs w:val="12"/>
              </w:rPr>
            </w:pPr>
            <w:r w:rsidRPr="0077412F">
              <w:rPr>
                <w:rFonts w:ascii="Arial Narrow" w:hAnsi="Arial Narrow"/>
                <w:b/>
                <w:bCs/>
                <w:color w:val="000000"/>
                <w:sz w:val="12"/>
                <w:szCs w:val="12"/>
              </w:rPr>
              <w:t>Variable</w:t>
            </w:r>
          </w:p>
        </w:tc>
        <w:tc>
          <w:tcPr>
            <w:tcW w:w="1642" w:type="dxa"/>
            <w:gridSpan w:val="3"/>
            <w:tcBorders>
              <w:top w:val="single" w:sz="4" w:space="0" w:color="auto"/>
              <w:left w:val="nil"/>
              <w:bottom w:val="nil"/>
              <w:right w:val="nil"/>
            </w:tcBorders>
            <w:noWrap/>
            <w:vAlign w:val="center"/>
            <w:hideMark/>
          </w:tcPr>
          <w:p w14:paraId="01F8F614" w14:textId="77777777" w:rsidR="0077412F" w:rsidRPr="0077412F" w:rsidRDefault="0077412F" w:rsidP="008011CF">
            <w:pPr>
              <w:jc w:val="center"/>
              <w:rPr>
                <w:rFonts w:ascii="Arial Narrow" w:hAnsi="Arial Narrow"/>
                <w:b/>
                <w:bCs/>
                <w:color w:val="000000"/>
                <w:sz w:val="12"/>
                <w:szCs w:val="12"/>
              </w:rPr>
            </w:pPr>
            <w:r w:rsidRPr="0077412F">
              <w:rPr>
                <w:rFonts w:ascii="Arial Narrow" w:hAnsi="Arial Narrow"/>
                <w:b/>
                <w:bCs/>
                <w:color w:val="000000"/>
                <w:sz w:val="12"/>
                <w:szCs w:val="12"/>
              </w:rPr>
              <w:t xml:space="preserve">Continuous </w:t>
            </w:r>
          </w:p>
          <w:p w14:paraId="47050DBE" w14:textId="77777777" w:rsidR="0077412F" w:rsidRPr="0077412F" w:rsidRDefault="0077412F" w:rsidP="008011CF">
            <w:pPr>
              <w:jc w:val="center"/>
              <w:rPr>
                <w:rFonts w:ascii="Arial Narrow" w:hAnsi="Arial Narrow"/>
                <w:b/>
                <w:bCs/>
                <w:color w:val="000000"/>
                <w:sz w:val="12"/>
                <w:szCs w:val="12"/>
              </w:rPr>
            </w:pPr>
            <w:r w:rsidRPr="0077412F">
              <w:rPr>
                <w:rFonts w:ascii="Arial Narrow" w:hAnsi="Arial Narrow"/>
                <w:b/>
                <w:bCs/>
                <w:color w:val="000000"/>
                <w:sz w:val="12"/>
                <w:szCs w:val="12"/>
              </w:rPr>
              <w:t>Improvement</w:t>
            </w:r>
          </w:p>
        </w:tc>
        <w:tc>
          <w:tcPr>
            <w:tcW w:w="1415" w:type="dxa"/>
            <w:gridSpan w:val="3"/>
            <w:tcBorders>
              <w:top w:val="single" w:sz="4" w:space="0" w:color="auto"/>
              <w:left w:val="nil"/>
              <w:bottom w:val="nil"/>
              <w:right w:val="nil"/>
            </w:tcBorders>
            <w:noWrap/>
            <w:vAlign w:val="center"/>
            <w:hideMark/>
          </w:tcPr>
          <w:p w14:paraId="27ED1FDF" w14:textId="77777777" w:rsidR="0077412F" w:rsidRPr="0077412F" w:rsidRDefault="0077412F" w:rsidP="008011CF">
            <w:pPr>
              <w:jc w:val="center"/>
              <w:rPr>
                <w:rFonts w:ascii="Arial Narrow" w:hAnsi="Arial Narrow"/>
                <w:b/>
                <w:bCs/>
                <w:color w:val="000000"/>
                <w:sz w:val="12"/>
                <w:szCs w:val="12"/>
              </w:rPr>
            </w:pPr>
            <w:r w:rsidRPr="0077412F">
              <w:rPr>
                <w:rFonts w:ascii="Arial Narrow" w:hAnsi="Arial Narrow"/>
                <w:b/>
                <w:bCs/>
                <w:color w:val="000000"/>
                <w:sz w:val="12"/>
                <w:szCs w:val="12"/>
              </w:rPr>
              <w:t xml:space="preserve">Leadership </w:t>
            </w:r>
          </w:p>
          <w:p w14:paraId="4EEC836E" w14:textId="77777777" w:rsidR="0077412F" w:rsidRPr="0077412F" w:rsidRDefault="0077412F" w:rsidP="008011CF">
            <w:pPr>
              <w:jc w:val="center"/>
              <w:rPr>
                <w:rFonts w:ascii="Arial Narrow" w:hAnsi="Arial Narrow"/>
                <w:b/>
                <w:bCs/>
                <w:color w:val="000000"/>
                <w:sz w:val="12"/>
                <w:szCs w:val="12"/>
              </w:rPr>
            </w:pPr>
            <w:r w:rsidRPr="0077412F">
              <w:rPr>
                <w:rFonts w:ascii="Arial Narrow" w:hAnsi="Arial Narrow"/>
                <w:b/>
                <w:bCs/>
                <w:color w:val="000000"/>
                <w:sz w:val="12"/>
                <w:szCs w:val="12"/>
              </w:rPr>
              <w:t>Involvement</w:t>
            </w:r>
          </w:p>
        </w:tc>
        <w:tc>
          <w:tcPr>
            <w:tcW w:w="1197" w:type="dxa"/>
            <w:gridSpan w:val="3"/>
            <w:tcBorders>
              <w:top w:val="single" w:sz="4" w:space="0" w:color="auto"/>
              <w:left w:val="nil"/>
              <w:bottom w:val="nil"/>
              <w:right w:val="nil"/>
            </w:tcBorders>
            <w:noWrap/>
            <w:vAlign w:val="center"/>
            <w:hideMark/>
          </w:tcPr>
          <w:p w14:paraId="627AEF7F" w14:textId="77777777" w:rsidR="0077412F" w:rsidRPr="0077412F" w:rsidRDefault="0077412F" w:rsidP="008011CF">
            <w:pPr>
              <w:jc w:val="center"/>
              <w:rPr>
                <w:rFonts w:ascii="Arial Narrow" w:hAnsi="Arial Narrow"/>
                <w:b/>
                <w:bCs/>
                <w:color w:val="000000"/>
                <w:sz w:val="12"/>
                <w:szCs w:val="12"/>
              </w:rPr>
            </w:pPr>
            <w:r w:rsidRPr="0077412F">
              <w:rPr>
                <w:rFonts w:ascii="Arial Narrow" w:hAnsi="Arial Narrow"/>
                <w:b/>
                <w:bCs/>
                <w:color w:val="000000"/>
                <w:sz w:val="12"/>
                <w:szCs w:val="12"/>
              </w:rPr>
              <w:t xml:space="preserve">Resource </w:t>
            </w:r>
          </w:p>
          <w:p w14:paraId="2142C17E" w14:textId="77777777" w:rsidR="0077412F" w:rsidRPr="0077412F" w:rsidRDefault="0077412F" w:rsidP="008011CF">
            <w:pPr>
              <w:jc w:val="center"/>
              <w:rPr>
                <w:rFonts w:ascii="Arial Narrow" w:hAnsi="Arial Narrow"/>
                <w:b/>
                <w:bCs/>
                <w:color w:val="000000"/>
                <w:sz w:val="12"/>
                <w:szCs w:val="12"/>
              </w:rPr>
            </w:pPr>
            <w:r w:rsidRPr="0077412F">
              <w:rPr>
                <w:rFonts w:ascii="Arial Narrow" w:hAnsi="Arial Narrow"/>
                <w:b/>
                <w:bCs/>
                <w:color w:val="000000"/>
                <w:sz w:val="12"/>
                <w:szCs w:val="12"/>
              </w:rPr>
              <w:t>Management</w:t>
            </w:r>
          </w:p>
        </w:tc>
        <w:tc>
          <w:tcPr>
            <w:tcW w:w="1392" w:type="dxa"/>
            <w:gridSpan w:val="3"/>
            <w:tcBorders>
              <w:top w:val="single" w:sz="4" w:space="0" w:color="auto"/>
              <w:left w:val="nil"/>
              <w:bottom w:val="nil"/>
              <w:right w:val="nil"/>
            </w:tcBorders>
            <w:noWrap/>
            <w:vAlign w:val="center"/>
            <w:hideMark/>
          </w:tcPr>
          <w:p w14:paraId="1905B6E6" w14:textId="77777777" w:rsidR="0077412F" w:rsidRPr="0077412F" w:rsidRDefault="0077412F" w:rsidP="008011CF">
            <w:pPr>
              <w:jc w:val="center"/>
              <w:rPr>
                <w:rFonts w:ascii="Arial Narrow" w:hAnsi="Arial Narrow"/>
                <w:b/>
                <w:bCs/>
                <w:color w:val="000000"/>
                <w:sz w:val="12"/>
                <w:szCs w:val="12"/>
              </w:rPr>
            </w:pPr>
            <w:r w:rsidRPr="0077412F">
              <w:rPr>
                <w:rFonts w:ascii="Arial Narrow" w:hAnsi="Arial Narrow"/>
                <w:b/>
                <w:bCs/>
                <w:color w:val="000000"/>
                <w:sz w:val="12"/>
                <w:szCs w:val="12"/>
              </w:rPr>
              <w:t xml:space="preserve">Process </w:t>
            </w:r>
          </w:p>
          <w:p w14:paraId="0B464AE8" w14:textId="77777777" w:rsidR="0077412F" w:rsidRPr="0077412F" w:rsidRDefault="0077412F" w:rsidP="008011CF">
            <w:pPr>
              <w:jc w:val="center"/>
              <w:rPr>
                <w:rFonts w:ascii="Arial Narrow" w:hAnsi="Arial Narrow"/>
                <w:b/>
                <w:bCs/>
                <w:color w:val="000000"/>
                <w:sz w:val="12"/>
                <w:szCs w:val="12"/>
              </w:rPr>
            </w:pPr>
            <w:r w:rsidRPr="0077412F">
              <w:rPr>
                <w:rFonts w:ascii="Arial Narrow" w:hAnsi="Arial Narrow"/>
                <w:b/>
                <w:bCs/>
                <w:color w:val="000000"/>
                <w:sz w:val="12"/>
                <w:szCs w:val="12"/>
              </w:rPr>
              <w:t xml:space="preserve">Standardization </w:t>
            </w:r>
          </w:p>
          <w:p w14:paraId="22B46659" w14:textId="77777777" w:rsidR="0077412F" w:rsidRPr="0077412F" w:rsidRDefault="0077412F" w:rsidP="008011CF">
            <w:pPr>
              <w:jc w:val="center"/>
              <w:rPr>
                <w:rFonts w:ascii="Arial Narrow" w:hAnsi="Arial Narrow"/>
                <w:b/>
                <w:bCs/>
                <w:color w:val="000000"/>
                <w:sz w:val="12"/>
                <w:szCs w:val="12"/>
              </w:rPr>
            </w:pPr>
            <w:r w:rsidRPr="0077412F">
              <w:rPr>
                <w:rFonts w:ascii="Arial Narrow" w:hAnsi="Arial Narrow"/>
                <w:b/>
                <w:bCs/>
                <w:color w:val="000000"/>
                <w:sz w:val="12"/>
                <w:szCs w:val="12"/>
              </w:rPr>
              <w:t>and Flexibility</w:t>
            </w:r>
          </w:p>
        </w:tc>
        <w:tc>
          <w:tcPr>
            <w:tcW w:w="1392" w:type="dxa"/>
            <w:gridSpan w:val="3"/>
            <w:tcBorders>
              <w:top w:val="single" w:sz="4" w:space="0" w:color="auto"/>
              <w:left w:val="nil"/>
              <w:bottom w:val="nil"/>
              <w:right w:val="nil"/>
            </w:tcBorders>
            <w:noWrap/>
            <w:vAlign w:val="center"/>
            <w:hideMark/>
          </w:tcPr>
          <w:p w14:paraId="7DC7236B" w14:textId="77777777" w:rsidR="0077412F" w:rsidRPr="0077412F" w:rsidRDefault="0077412F" w:rsidP="008011CF">
            <w:pPr>
              <w:jc w:val="center"/>
              <w:rPr>
                <w:rFonts w:ascii="Arial Narrow" w:hAnsi="Arial Narrow"/>
                <w:b/>
                <w:bCs/>
                <w:color w:val="000000"/>
                <w:sz w:val="12"/>
                <w:szCs w:val="12"/>
              </w:rPr>
            </w:pPr>
            <w:r w:rsidRPr="0077412F">
              <w:rPr>
                <w:rFonts w:ascii="Arial Narrow" w:hAnsi="Arial Narrow"/>
                <w:b/>
                <w:bCs/>
                <w:color w:val="000000"/>
                <w:sz w:val="12"/>
                <w:szCs w:val="12"/>
              </w:rPr>
              <w:t xml:space="preserve">Degree of </w:t>
            </w:r>
          </w:p>
          <w:p w14:paraId="5BA6BDD3" w14:textId="77777777" w:rsidR="0077412F" w:rsidRPr="0077412F" w:rsidRDefault="0077412F" w:rsidP="008011CF">
            <w:pPr>
              <w:jc w:val="center"/>
              <w:rPr>
                <w:rFonts w:ascii="Arial Narrow" w:hAnsi="Arial Narrow"/>
                <w:b/>
                <w:bCs/>
                <w:color w:val="000000"/>
                <w:sz w:val="12"/>
                <w:szCs w:val="12"/>
              </w:rPr>
            </w:pPr>
            <w:r w:rsidRPr="0077412F">
              <w:rPr>
                <w:rFonts w:ascii="Arial Narrow" w:hAnsi="Arial Narrow"/>
                <w:b/>
                <w:bCs/>
                <w:color w:val="000000"/>
                <w:sz w:val="12"/>
                <w:szCs w:val="12"/>
              </w:rPr>
              <w:t>Resilience</w:t>
            </w:r>
          </w:p>
        </w:tc>
      </w:tr>
      <w:tr w:rsidR="0077412F" w:rsidRPr="0077412F" w14:paraId="128288A9" w14:textId="77777777" w:rsidTr="0077412F">
        <w:trPr>
          <w:trHeight w:val="144"/>
          <w:jc w:val="center"/>
        </w:trPr>
        <w:tc>
          <w:tcPr>
            <w:tcW w:w="1170" w:type="dxa"/>
            <w:vMerge/>
            <w:tcBorders>
              <w:top w:val="single" w:sz="4" w:space="0" w:color="auto"/>
              <w:left w:val="nil"/>
              <w:bottom w:val="single" w:sz="4" w:space="0" w:color="000000"/>
              <w:right w:val="nil"/>
            </w:tcBorders>
            <w:vAlign w:val="center"/>
            <w:hideMark/>
          </w:tcPr>
          <w:p w14:paraId="287ED9F2" w14:textId="77777777" w:rsidR="0077412F" w:rsidRPr="0077412F" w:rsidRDefault="0077412F" w:rsidP="008011CF">
            <w:pPr>
              <w:rPr>
                <w:rFonts w:ascii="Arial Narrow" w:hAnsi="Arial Narrow"/>
                <w:b/>
                <w:bCs/>
                <w:color w:val="000000"/>
                <w:sz w:val="12"/>
                <w:szCs w:val="12"/>
              </w:rPr>
            </w:pPr>
          </w:p>
        </w:tc>
        <w:tc>
          <w:tcPr>
            <w:tcW w:w="619" w:type="dxa"/>
            <w:tcBorders>
              <w:top w:val="nil"/>
              <w:left w:val="nil"/>
              <w:bottom w:val="single" w:sz="4" w:space="0" w:color="auto"/>
              <w:right w:val="nil"/>
            </w:tcBorders>
            <w:noWrap/>
            <w:vAlign w:val="center"/>
            <w:hideMark/>
          </w:tcPr>
          <w:p w14:paraId="257BD7C8" w14:textId="77777777" w:rsidR="0077412F" w:rsidRPr="0077412F" w:rsidRDefault="0077412F" w:rsidP="008011CF">
            <w:pPr>
              <w:jc w:val="center"/>
              <w:rPr>
                <w:rFonts w:ascii="Arial Narrow" w:hAnsi="Arial Narrow"/>
                <w:b/>
                <w:bCs/>
                <w:color w:val="000000"/>
                <w:sz w:val="12"/>
                <w:szCs w:val="12"/>
              </w:rPr>
            </w:pPr>
            <w:r w:rsidRPr="0077412F">
              <w:rPr>
                <w:rFonts w:ascii="Arial Narrow" w:hAnsi="Arial Narrow"/>
                <w:b/>
                <w:bCs/>
                <w:color w:val="000000"/>
                <w:sz w:val="12"/>
                <w:szCs w:val="12"/>
              </w:rPr>
              <w:t>M</w:t>
            </w:r>
          </w:p>
        </w:tc>
        <w:tc>
          <w:tcPr>
            <w:tcW w:w="390" w:type="dxa"/>
            <w:tcBorders>
              <w:top w:val="nil"/>
              <w:left w:val="nil"/>
              <w:bottom w:val="single" w:sz="4" w:space="0" w:color="auto"/>
              <w:right w:val="nil"/>
            </w:tcBorders>
            <w:noWrap/>
            <w:vAlign w:val="center"/>
            <w:hideMark/>
          </w:tcPr>
          <w:p w14:paraId="1B11D658" w14:textId="77777777" w:rsidR="0077412F" w:rsidRPr="0077412F" w:rsidRDefault="0077412F" w:rsidP="008011CF">
            <w:pPr>
              <w:jc w:val="center"/>
              <w:rPr>
                <w:rFonts w:ascii="Arial Narrow" w:hAnsi="Arial Narrow"/>
                <w:b/>
                <w:bCs/>
                <w:color w:val="000000"/>
                <w:sz w:val="12"/>
                <w:szCs w:val="12"/>
              </w:rPr>
            </w:pPr>
            <w:r w:rsidRPr="0077412F">
              <w:rPr>
                <w:rFonts w:ascii="Arial Narrow" w:hAnsi="Arial Narrow"/>
                <w:b/>
                <w:bCs/>
                <w:color w:val="000000"/>
                <w:sz w:val="12"/>
                <w:szCs w:val="12"/>
              </w:rPr>
              <w:t>SD</w:t>
            </w:r>
          </w:p>
        </w:tc>
        <w:tc>
          <w:tcPr>
            <w:tcW w:w="633" w:type="dxa"/>
            <w:tcBorders>
              <w:top w:val="nil"/>
              <w:left w:val="nil"/>
              <w:bottom w:val="single" w:sz="4" w:space="0" w:color="auto"/>
              <w:right w:val="nil"/>
            </w:tcBorders>
            <w:noWrap/>
            <w:vAlign w:val="center"/>
            <w:hideMark/>
          </w:tcPr>
          <w:p w14:paraId="1658BAC6" w14:textId="77777777" w:rsidR="0077412F" w:rsidRPr="0077412F" w:rsidRDefault="0077412F" w:rsidP="008011CF">
            <w:pPr>
              <w:jc w:val="center"/>
              <w:rPr>
                <w:rFonts w:ascii="Arial Narrow" w:hAnsi="Arial Narrow"/>
                <w:b/>
                <w:bCs/>
                <w:color w:val="000000"/>
                <w:sz w:val="12"/>
                <w:szCs w:val="12"/>
              </w:rPr>
            </w:pPr>
            <w:r w:rsidRPr="0077412F">
              <w:rPr>
                <w:rFonts w:ascii="Arial Narrow" w:hAnsi="Arial Narrow"/>
                <w:b/>
                <w:bCs/>
                <w:color w:val="000000"/>
                <w:sz w:val="12"/>
                <w:szCs w:val="12"/>
              </w:rPr>
              <w:t>Int</w:t>
            </w:r>
          </w:p>
        </w:tc>
        <w:tc>
          <w:tcPr>
            <w:tcW w:w="390" w:type="dxa"/>
            <w:tcBorders>
              <w:top w:val="nil"/>
              <w:left w:val="nil"/>
              <w:bottom w:val="single" w:sz="4" w:space="0" w:color="auto"/>
              <w:right w:val="nil"/>
            </w:tcBorders>
            <w:noWrap/>
            <w:vAlign w:val="center"/>
            <w:hideMark/>
          </w:tcPr>
          <w:p w14:paraId="6501F85F" w14:textId="77777777" w:rsidR="0077412F" w:rsidRPr="0077412F" w:rsidRDefault="0077412F" w:rsidP="008011CF">
            <w:pPr>
              <w:jc w:val="center"/>
              <w:rPr>
                <w:rFonts w:ascii="Arial Narrow" w:hAnsi="Arial Narrow"/>
                <w:b/>
                <w:bCs/>
                <w:color w:val="000000"/>
                <w:sz w:val="12"/>
                <w:szCs w:val="12"/>
              </w:rPr>
            </w:pPr>
            <w:r w:rsidRPr="0077412F">
              <w:rPr>
                <w:rFonts w:ascii="Arial Narrow" w:hAnsi="Arial Narrow"/>
                <w:b/>
                <w:bCs/>
                <w:color w:val="000000"/>
                <w:sz w:val="12"/>
                <w:szCs w:val="12"/>
              </w:rPr>
              <w:t>M</w:t>
            </w:r>
          </w:p>
        </w:tc>
        <w:tc>
          <w:tcPr>
            <w:tcW w:w="391" w:type="dxa"/>
            <w:tcBorders>
              <w:top w:val="nil"/>
              <w:left w:val="nil"/>
              <w:bottom w:val="single" w:sz="4" w:space="0" w:color="auto"/>
              <w:right w:val="nil"/>
            </w:tcBorders>
            <w:noWrap/>
            <w:vAlign w:val="center"/>
            <w:hideMark/>
          </w:tcPr>
          <w:p w14:paraId="17A2486E" w14:textId="77777777" w:rsidR="0077412F" w:rsidRPr="0077412F" w:rsidRDefault="0077412F" w:rsidP="008011CF">
            <w:pPr>
              <w:jc w:val="center"/>
              <w:rPr>
                <w:rFonts w:ascii="Arial Narrow" w:hAnsi="Arial Narrow"/>
                <w:b/>
                <w:bCs/>
                <w:color w:val="000000"/>
                <w:sz w:val="12"/>
                <w:szCs w:val="12"/>
              </w:rPr>
            </w:pPr>
            <w:r w:rsidRPr="0077412F">
              <w:rPr>
                <w:rFonts w:ascii="Arial Narrow" w:hAnsi="Arial Narrow"/>
                <w:b/>
                <w:bCs/>
                <w:color w:val="000000"/>
                <w:sz w:val="12"/>
                <w:szCs w:val="12"/>
              </w:rPr>
              <w:t>SD</w:t>
            </w:r>
          </w:p>
        </w:tc>
        <w:tc>
          <w:tcPr>
            <w:tcW w:w="634" w:type="dxa"/>
            <w:tcBorders>
              <w:top w:val="nil"/>
              <w:left w:val="nil"/>
              <w:bottom w:val="single" w:sz="4" w:space="0" w:color="auto"/>
              <w:right w:val="nil"/>
            </w:tcBorders>
            <w:noWrap/>
            <w:vAlign w:val="center"/>
            <w:hideMark/>
          </w:tcPr>
          <w:p w14:paraId="47C1575D" w14:textId="77777777" w:rsidR="0077412F" w:rsidRPr="0077412F" w:rsidRDefault="0077412F" w:rsidP="008011CF">
            <w:pPr>
              <w:jc w:val="center"/>
              <w:rPr>
                <w:rFonts w:ascii="Arial Narrow" w:hAnsi="Arial Narrow"/>
                <w:b/>
                <w:bCs/>
                <w:color w:val="000000"/>
                <w:sz w:val="12"/>
                <w:szCs w:val="12"/>
              </w:rPr>
            </w:pPr>
            <w:r w:rsidRPr="0077412F">
              <w:rPr>
                <w:rFonts w:ascii="Arial Narrow" w:hAnsi="Arial Narrow"/>
                <w:b/>
                <w:bCs/>
                <w:color w:val="000000"/>
                <w:sz w:val="12"/>
                <w:szCs w:val="12"/>
              </w:rPr>
              <w:t>Int</w:t>
            </w:r>
          </w:p>
        </w:tc>
        <w:tc>
          <w:tcPr>
            <w:tcW w:w="391" w:type="dxa"/>
            <w:tcBorders>
              <w:top w:val="nil"/>
              <w:left w:val="nil"/>
              <w:bottom w:val="single" w:sz="4" w:space="0" w:color="auto"/>
              <w:right w:val="nil"/>
            </w:tcBorders>
            <w:noWrap/>
            <w:vAlign w:val="center"/>
            <w:hideMark/>
          </w:tcPr>
          <w:p w14:paraId="5F41557D" w14:textId="77777777" w:rsidR="0077412F" w:rsidRPr="0077412F" w:rsidRDefault="0077412F" w:rsidP="008011CF">
            <w:pPr>
              <w:jc w:val="center"/>
              <w:rPr>
                <w:rFonts w:ascii="Arial Narrow" w:hAnsi="Arial Narrow"/>
                <w:b/>
                <w:bCs/>
                <w:color w:val="000000"/>
                <w:sz w:val="12"/>
                <w:szCs w:val="12"/>
              </w:rPr>
            </w:pPr>
            <w:r w:rsidRPr="0077412F">
              <w:rPr>
                <w:rFonts w:ascii="Arial Narrow" w:hAnsi="Arial Narrow"/>
                <w:b/>
                <w:bCs/>
                <w:color w:val="000000"/>
                <w:sz w:val="12"/>
                <w:szCs w:val="12"/>
              </w:rPr>
              <w:t>M</w:t>
            </w:r>
          </w:p>
        </w:tc>
        <w:tc>
          <w:tcPr>
            <w:tcW w:w="391" w:type="dxa"/>
            <w:tcBorders>
              <w:top w:val="nil"/>
              <w:left w:val="nil"/>
              <w:bottom w:val="single" w:sz="4" w:space="0" w:color="auto"/>
              <w:right w:val="nil"/>
            </w:tcBorders>
            <w:noWrap/>
            <w:vAlign w:val="center"/>
            <w:hideMark/>
          </w:tcPr>
          <w:p w14:paraId="687979EB" w14:textId="77777777" w:rsidR="0077412F" w:rsidRPr="0077412F" w:rsidRDefault="0077412F" w:rsidP="008011CF">
            <w:pPr>
              <w:jc w:val="center"/>
              <w:rPr>
                <w:rFonts w:ascii="Arial Narrow" w:hAnsi="Arial Narrow"/>
                <w:b/>
                <w:bCs/>
                <w:color w:val="000000"/>
                <w:sz w:val="12"/>
                <w:szCs w:val="12"/>
              </w:rPr>
            </w:pPr>
            <w:r w:rsidRPr="0077412F">
              <w:rPr>
                <w:rFonts w:ascii="Arial Narrow" w:hAnsi="Arial Narrow"/>
                <w:b/>
                <w:bCs/>
                <w:color w:val="000000"/>
                <w:sz w:val="12"/>
                <w:szCs w:val="12"/>
              </w:rPr>
              <w:t>SD</w:t>
            </w:r>
          </w:p>
        </w:tc>
        <w:tc>
          <w:tcPr>
            <w:tcW w:w="415" w:type="dxa"/>
            <w:tcBorders>
              <w:top w:val="nil"/>
              <w:left w:val="nil"/>
              <w:bottom w:val="single" w:sz="4" w:space="0" w:color="auto"/>
              <w:right w:val="nil"/>
            </w:tcBorders>
            <w:noWrap/>
            <w:vAlign w:val="center"/>
            <w:hideMark/>
          </w:tcPr>
          <w:p w14:paraId="17472096" w14:textId="77777777" w:rsidR="0077412F" w:rsidRPr="0077412F" w:rsidRDefault="0077412F" w:rsidP="008011CF">
            <w:pPr>
              <w:jc w:val="center"/>
              <w:rPr>
                <w:rFonts w:ascii="Arial Narrow" w:hAnsi="Arial Narrow"/>
                <w:b/>
                <w:bCs/>
                <w:color w:val="000000"/>
                <w:sz w:val="12"/>
                <w:szCs w:val="12"/>
              </w:rPr>
            </w:pPr>
            <w:r w:rsidRPr="0077412F">
              <w:rPr>
                <w:rFonts w:ascii="Arial Narrow" w:hAnsi="Arial Narrow"/>
                <w:b/>
                <w:bCs/>
                <w:color w:val="000000"/>
                <w:sz w:val="12"/>
                <w:szCs w:val="12"/>
              </w:rPr>
              <w:t>Int</w:t>
            </w:r>
          </w:p>
        </w:tc>
        <w:tc>
          <w:tcPr>
            <w:tcW w:w="391" w:type="dxa"/>
            <w:tcBorders>
              <w:top w:val="nil"/>
              <w:left w:val="nil"/>
              <w:bottom w:val="single" w:sz="4" w:space="0" w:color="auto"/>
              <w:right w:val="nil"/>
            </w:tcBorders>
            <w:noWrap/>
            <w:vAlign w:val="center"/>
            <w:hideMark/>
          </w:tcPr>
          <w:p w14:paraId="1EB9E9C5" w14:textId="77777777" w:rsidR="0077412F" w:rsidRPr="0077412F" w:rsidRDefault="0077412F" w:rsidP="008011CF">
            <w:pPr>
              <w:jc w:val="center"/>
              <w:rPr>
                <w:rFonts w:ascii="Arial Narrow" w:hAnsi="Arial Narrow"/>
                <w:b/>
                <w:bCs/>
                <w:color w:val="000000"/>
                <w:sz w:val="12"/>
                <w:szCs w:val="12"/>
              </w:rPr>
            </w:pPr>
            <w:r w:rsidRPr="0077412F">
              <w:rPr>
                <w:rFonts w:ascii="Arial Narrow" w:hAnsi="Arial Narrow"/>
                <w:b/>
                <w:bCs/>
                <w:color w:val="000000"/>
                <w:sz w:val="12"/>
                <w:szCs w:val="12"/>
              </w:rPr>
              <w:t>M</w:t>
            </w:r>
          </w:p>
        </w:tc>
        <w:tc>
          <w:tcPr>
            <w:tcW w:w="391" w:type="dxa"/>
            <w:tcBorders>
              <w:top w:val="nil"/>
              <w:left w:val="nil"/>
              <w:bottom w:val="single" w:sz="4" w:space="0" w:color="auto"/>
              <w:right w:val="nil"/>
            </w:tcBorders>
            <w:noWrap/>
            <w:vAlign w:val="center"/>
            <w:hideMark/>
          </w:tcPr>
          <w:p w14:paraId="5D49E4C9" w14:textId="77777777" w:rsidR="0077412F" w:rsidRPr="0077412F" w:rsidRDefault="0077412F" w:rsidP="008011CF">
            <w:pPr>
              <w:jc w:val="center"/>
              <w:rPr>
                <w:rFonts w:ascii="Arial Narrow" w:hAnsi="Arial Narrow"/>
                <w:b/>
                <w:bCs/>
                <w:color w:val="000000"/>
                <w:sz w:val="12"/>
                <w:szCs w:val="12"/>
              </w:rPr>
            </w:pPr>
            <w:r w:rsidRPr="0077412F">
              <w:rPr>
                <w:rFonts w:ascii="Arial Narrow" w:hAnsi="Arial Narrow"/>
                <w:b/>
                <w:bCs/>
                <w:color w:val="000000"/>
                <w:sz w:val="12"/>
                <w:szCs w:val="12"/>
              </w:rPr>
              <w:t>SD</w:t>
            </w:r>
          </w:p>
        </w:tc>
        <w:tc>
          <w:tcPr>
            <w:tcW w:w="610" w:type="dxa"/>
            <w:tcBorders>
              <w:top w:val="nil"/>
              <w:left w:val="nil"/>
              <w:bottom w:val="single" w:sz="4" w:space="0" w:color="auto"/>
              <w:right w:val="nil"/>
            </w:tcBorders>
            <w:noWrap/>
            <w:vAlign w:val="center"/>
            <w:hideMark/>
          </w:tcPr>
          <w:p w14:paraId="76DAD207" w14:textId="77777777" w:rsidR="0077412F" w:rsidRPr="0077412F" w:rsidRDefault="0077412F" w:rsidP="008011CF">
            <w:pPr>
              <w:jc w:val="center"/>
              <w:rPr>
                <w:rFonts w:ascii="Arial Narrow" w:hAnsi="Arial Narrow"/>
                <w:b/>
                <w:bCs/>
                <w:color w:val="000000"/>
                <w:sz w:val="12"/>
                <w:szCs w:val="12"/>
              </w:rPr>
            </w:pPr>
            <w:r w:rsidRPr="0077412F">
              <w:rPr>
                <w:rFonts w:ascii="Arial Narrow" w:hAnsi="Arial Narrow"/>
                <w:b/>
                <w:bCs/>
                <w:color w:val="000000"/>
                <w:sz w:val="12"/>
                <w:szCs w:val="12"/>
              </w:rPr>
              <w:t>Int</w:t>
            </w:r>
          </w:p>
        </w:tc>
        <w:tc>
          <w:tcPr>
            <w:tcW w:w="391" w:type="dxa"/>
            <w:tcBorders>
              <w:top w:val="nil"/>
              <w:left w:val="nil"/>
              <w:bottom w:val="single" w:sz="4" w:space="0" w:color="auto"/>
              <w:right w:val="nil"/>
            </w:tcBorders>
            <w:noWrap/>
            <w:vAlign w:val="center"/>
            <w:hideMark/>
          </w:tcPr>
          <w:p w14:paraId="43B83CAC" w14:textId="77777777" w:rsidR="0077412F" w:rsidRPr="0077412F" w:rsidRDefault="0077412F" w:rsidP="008011CF">
            <w:pPr>
              <w:jc w:val="center"/>
              <w:rPr>
                <w:rFonts w:ascii="Arial Narrow" w:hAnsi="Arial Narrow"/>
                <w:b/>
                <w:bCs/>
                <w:color w:val="000000"/>
                <w:sz w:val="12"/>
                <w:szCs w:val="12"/>
              </w:rPr>
            </w:pPr>
            <w:r w:rsidRPr="0077412F">
              <w:rPr>
                <w:rFonts w:ascii="Arial Narrow" w:hAnsi="Arial Narrow"/>
                <w:b/>
                <w:bCs/>
                <w:color w:val="000000"/>
                <w:sz w:val="12"/>
                <w:szCs w:val="12"/>
              </w:rPr>
              <w:t>M</w:t>
            </w:r>
          </w:p>
        </w:tc>
        <w:tc>
          <w:tcPr>
            <w:tcW w:w="391" w:type="dxa"/>
            <w:tcBorders>
              <w:top w:val="nil"/>
              <w:left w:val="nil"/>
              <w:bottom w:val="single" w:sz="4" w:space="0" w:color="auto"/>
              <w:right w:val="nil"/>
            </w:tcBorders>
            <w:noWrap/>
            <w:vAlign w:val="center"/>
            <w:hideMark/>
          </w:tcPr>
          <w:p w14:paraId="0DFC5C24" w14:textId="77777777" w:rsidR="0077412F" w:rsidRPr="0077412F" w:rsidRDefault="0077412F" w:rsidP="008011CF">
            <w:pPr>
              <w:jc w:val="center"/>
              <w:rPr>
                <w:rFonts w:ascii="Arial Narrow" w:hAnsi="Arial Narrow"/>
                <w:b/>
                <w:bCs/>
                <w:color w:val="000000"/>
                <w:sz w:val="12"/>
                <w:szCs w:val="12"/>
              </w:rPr>
            </w:pPr>
            <w:r w:rsidRPr="0077412F">
              <w:rPr>
                <w:rFonts w:ascii="Arial Narrow" w:hAnsi="Arial Narrow"/>
                <w:b/>
                <w:bCs/>
                <w:color w:val="000000"/>
                <w:sz w:val="12"/>
                <w:szCs w:val="12"/>
              </w:rPr>
              <w:t>SD</w:t>
            </w:r>
          </w:p>
        </w:tc>
        <w:tc>
          <w:tcPr>
            <w:tcW w:w="610" w:type="dxa"/>
            <w:tcBorders>
              <w:top w:val="nil"/>
              <w:left w:val="nil"/>
              <w:bottom w:val="single" w:sz="4" w:space="0" w:color="auto"/>
              <w:right w:val="nil"/>
            </w:tcBorders>
            <w:noWrap/>
            <w:vAlign w:val="center"/>
            <w:hideMark/>
          </w:tcPr>
          <w:p w14:paraId="256799C3" w14:textId="77777777" w:rsidR="0077412F" w:rsidRPr="0077412F" w:rsidRDefault="0077412F" w:rsidP="008011CF">
            <w:pPr>
              <w:jc w:val="center"/>
              <w:rPr>
                <w:rFonts w:ascii="Arial Narrow" w:hAnsi="Arial Narrow"/>
                <w:b/>
                <w:bCs/>
                <w:color w:val="000000"/>
                <w:sz w:val="12"/>
                <w:szCs w:val="12"/>
              </w:rPr>
            </w:pPr>
            <w:r w:rsidRPr="0077412F">
              <w:rPr>
                <w:rFonts w:ascii="Arial Narrow" w:hAnsi="Arial Narrow"/>
                <w:b/>
                <w:bCs/>
                <w:color w:val="000000"/>
                <w:sz w:val="12"/>
                <w:szCs w:val="12"/>
              </w:rPr>
              <w:t>Int</w:t>
            </w:r>
          </w:p>
        </w:tc>
      </w:tr>
      <w:tr w:rsidR="0077412F" w:rsidRPr="0077412F" w14:paraId="501B6F58" w14:textId="77777777" w:rsidTr="0077412F">
        <w:trPr>
          <w:trHeight w:val="144"/>
          <w:jc w:val="center"/>
        </w:trPr>
        <w:tc>
          <w:tcPr>
            <w:tcW w:w="1170" w:type="dxa"/>
            <w:tcBorders>
              <w:top w:val="nil"/>
              <w:left w:val="nil"/>
              <w:bottom w:val="nil"/>
              <w:right w:val="nil"/>
            </w:tcBorders>
            <w:noWrap/>
            <w:vAlign w:val="center"/>
            <w:hideMark/>
          </w:tcPr>
          <w:p w14:paraId="34C1856D" w14:textId="77777777" w:rsidR="0077412F" w:rsidRPr="0077412F" w:rsidRDefault="0077412F" w:rsidP="008011CF">
            <w:pPr>
              <w:rPr>
                <w:rFonts w:ascii="Arial Narrow" w:hAnsi="Arial Narrow"/>
                <w:color w:val="000000"/>
                <w:sz w:val="12"/>
                <w:szCs w:val="12"/>
              </w:rPr>
            </w:pPr>
            <w:r w:rsidRPr="0077412F">
              <w:rPr>
                <w:rFonts w:ascii="Arial Narrow" w:hAnsi="Arial Narrow"/>
                <w:color w:val="000000"/>
                <w:sz w:val="12"/>
                <w:szCs w:val="12"/>
              </w:rPr>
              <w:t>Student Population</w:t>
            </w:r>
          </w:p>
        </w:tc>
        <w:tc>
          <w:tcPr>
            <w:tcW w:w="619" w:type="dxa"/>
            <w:tcBorders>
              <w:top w:val="nil"/>
              <w:left w:val="nil"/>
              <w:bottom w:val="nil"/>
              <w:right w:val="nil"/>
            </w:tcBorders>
            <w:noWrap/>
            <w:vAlign w:val="center"/>
            <w:hideMark/>
          </w:tcPr>
          <w:p w14:paraId="7F286BC1" w14:textId="77777777" w:rsidR="0077412F" w:rsidRPr="0077412F" w:rsidRDefault="0077412F" w:rsidP="008011CF">
            <w:pPr>
              <w:rPr>
                <w:rFonts w:ascii="Arial Narrow" w:hAnsi="Arial Narrow"/>
                <w:color w:val="000000"/>
                <w:sz w:val="12"/>
                <w:szCs w:val="12"/>
              </w:rPr>
            </w:pPr>
          </w:p>
        </w:tc>
        <w:tc>
          <w:tcPr>
            <w:tcW w:w="390" w:type="dxa"/>
            <w:tcBorders>
              <w:top w:val="nil"/>
              <w:left w:val="nil"/>
              <w:bottom w:val="nil"/>
              <w:right w:val="nil"/>
            </w:tcBorders>
            <w:noWrap/>
            <w:vAlign w:val="center"/>
            <w:hideMark/>
          </w:tcPr>
          <w:p w14:paraId="4CBABE0E" w14:textId="77777777" w:rsidR="0077412F" w:rsidRPr="0077412F" w:rsidRDefault="0077412F" w:rsidP="008011CF">
            <w:pPr>
              <w:jc w:val="center"/>
              <w:rPr>
                <w:rFonts w:ascii="Arial Narrow" w:hAnsi="Arial Narrow"/>
                <w:sz w:val="12"/>
                <w:szCs w:val="12"/>
              </w:rPr>
            </w:pPr>
          </w:p>
        </w:tc>
        <w:tc>
          <w:tcPr>
            <w:tcW w:w="633" w:type="dxa"/>
            <w:tcBorders>
              <w:top w:val="nil"/>
              <w:left w:val="nil"/>
              <w:bottom w:val="nil"/>
              <w:right w:val="nil"/>
            </w:tcBorders>
            <w:noWrap/>
            <w:vAlign w:val="center"/>
            <w:hideMark/>
          </w:tcPr>
          <w:p w14:paraId="3319EB24" w14:textId="77777777" w:rsidR="0077412F" w:rsidRPr="0077412F" w:rsidRDefault="0077412F" w:rsidP="008011CF">
            <w:pPr>
              <w:jc w:val="center"/>
              <w:rPr>
                <w:rFonts w:ascii="Arial Narrow" w:hAnsi="Arial Narrow"/>
                <w:sz w:val="12"/>
                <w:szCs w:val="12"/>
              </w:rPr>
            </w:pPr>
          </w:p>
        </w:tc>
        <w:tc>
          <w:tcPr>
            <w:tcW w:w="390" w:type="dxa"/>
            <w:tcBorders>
              <w:top w:val="nil"/>
              <w:left w:val="nil"/>
              <w:bottom w:val="nil"/>
              <w:right w:val="nil"/>
            </w:tcBorders>
            <w:noWrap/>
            <w:vAlign w:val="center"/>
            <w:hideMark/>
          </w:tcPr>
          <w:p w14:paraId="045E8592" w14:textId="77777777" w:rsidR="0077412F" w:rsidRPr="0077412F" w:rsidRDefault="0077412F" w:rsidP="008011CF">
            <w:pPr>
              <w:jc w:val="center"/>
              <w:rPr>
                <w:rFonts w:ascii="Arial Narrow" w:hAnsi="Arial Narrow"/>
                <w:sz w:val="12"/>
                <w:szCs w:val="12"/>
              </w:rPr>
            </w:pPr>
          </w:p>
        </w:tc>
        <w:tc>
          <w:tcPr>
            <w:tcW w:w="391" w:type="dxa"/>
            <w:tcBorders>
              <w:top w:val="nil"/>
              <w:left w:val="nil"/>
              <w:bottom w:val="nil"/>
              <w:right w:val="nil"/>
            </w:tcBorders>
            <w:noWrap/>
            <w:vAlign w:val="center"/>
            <w:hideMark/>
          </w:tcPr>
          <w:p w14:paraId="3936DC13" w14:textId="77777777" w:rsidR="0077412F" w:rsidRPr="0077412F" w:rsidRDefault="0077412F" w:rsidP="008011CF">
            <w:pPr>
              <w:jc w:val="center"/>
              <w:rPr>
                <w:rFonts w:ascii="Arial Narrow" w:hAnsi="Arial Narrow"/>
                <w:sz w:val="12"/>
                <w:szCs w:val="12"/>
              </w:rPr>
            </w:pPr>
          </w:p>
        </w:tc>
        <w:tc>
          <w:tcPr>
            <w:tcW w:w="634" w:type="dxa"/>
            <w:tcBorders>
              <w:top w:val="nil"/>
              <w:left w:val="nil"/>
              <w:bottom w:val="nil"/>
              <w:right w:val="nil"/>
            </w:tcBorders>
            <w:noWrap/>
            <w:vAlign w:val="center"/>
            <w:hideMark/>
          </w:tcPr>
          <w:p w14:paraId="08A59AEC" w14:textId="77777777" w:rsidR="0077412F" w:rsidRPr="0077412F" w:rsidRDefault="0077412F" w:rsidP="008011CF">
            <w:pPr>
              <w:jc w:val="center"/>
              <w:rPr>
                <w:rFonts w:ascii="Arial Narrow" w:hAnsi="Arial Narrow"/>
                <w:sz w:val="12"/>
                <w:szCs w:val="12"/>
              </w:rPr>
            </w:pPr>
          </w:p>
        </w:tc>
        <w:tc>
          <w:tcPr>
            <w:tcW w:w="391" w:type="dxa"/>
            <w:tcBorders>
              <w:top w:val="nil"/>
              <w:left w:val="nil"/>
              <w:bottom w:val="nil"/>
              <w:right w:val="nil"/>
            </w:tcBorders>
            <w:noWrap/>
            <w:vAlign w:val="center"/>
            <w:hideMark/>
          </w:tcPr>
          <w:p w14:paraId="5435174A" w14:textId="77777777" w:rsidR="0077412F" w:rsidRPr="0077412F" w:rsidRDefault="0077412F" w:rsidP="008011CF">
            <w:pPr>
              <w:jc w:val="center"/>
              <w:rPr>
                <w:rFonts w:ascii="Arial Narrow" w:hAnsi="Arial Narrow"/>
                <w:sz w:val="12"/>
                <w:szCs w:val="12"/>
              </w:rPr>
            </w:pPr>
          </w:p>
        </w:tc>
        <w:tc>
          <w:tcPr>
            <w:tcW w:w="391" w:type="dxa"/>
            <w:tcBorders>
              <w:top w:val="nil"/>
              <w:left w:val="nil"/>
              <w:bottom w:val="nil"/>
              <w:right w:val="nil"/>
            </w:tcBorders>
            <w:noWrap/>
            <w:vAlign w:val="center"/>
            <w:hideMark/>
          </w:tcPr>
          <w:p w14:paraId="13CB5DA2" w14:textId="77777777" w:rsidR="0077412F" w:rsidRPr="0077412F" w:rsidRDefault="0077412F" w:rsidP="008011CF">
            <w:pPr>
              <w:jc w:val="center"/>
              <w:rPr>
                <w:rFonts w:ascii="Arial Narrow" w:hAnsi="Arial Narrow"/>
                <w:sz w:val="12"/>
                <w:szCs w:val="12"/>
              </w:rPr>
            </w:pPr>
          </w:p>
        </w:tc>
        <w:tc>
          <w:tcPr>
            <w:tcW w:w="415" w:type="dxa"/>
            <w:tcBorders>
              <w:top w:val="nil"/>
              <w:left w:val="nil"/>
              <w:bottom w:val="nil"/>
              <w:right w:val="nil"/>
            </w:tcBorders>
            <w:noWrap/>
            <w:vAlign w:val="center"/>
            <w:hideMark/>
          </w:tcPr>
          <w:p w14:paraId="7BD3CAF7" w14:textId="77777777" w:rsidR="0077412F" w:rsidRPr="0077412F" w:rsidRDefault="0077412F" w:rsidP="008011CF">
            <w:pPr>
              <w:jc w:val="center"/>
              <w:rPr>
                <w:rFonts w:ascii="Arial Narrow" w:hAnsi="Arial Narrow"/>
                <w:sz w:val="12"/>
                <w:szCs w:val="12"/>
              </w:rPr>
            </w:pPr>
          </w:p>
        </w:tc>
        <w:tc>
          <w:tcPr>
            <w:tcW w:w="391" w:type="dxa"/>
            <w:tcBorders>
              <w:top w:val="nil"/>
              <w:left w:val="nil"/>
              <w:bottom w:val="nil"/>
              <w:right w:val="nil"/>
            </w:tcBorders>
            <w:noWrap/>
            <w:vAlign w:val="center"/>
            <w:hideMark/>
          </w:tcPr>
          <w:p w14:paraId="071E7200" w14:textId="77777777" w:rsidR="0077412F" w:rsidRPr="0077412F" w:rsidRDefault="0077412F" w:rsidP="008011CF">
            <w:pPr>
              <w:jc w:val="center"/>
              <w:rPr>
                <w:rFonts w:ascii="Arial Narrow" w:hAnsi="Arial Narrow"/>
                <w:sz w:val="12"/>
                <w:szCs w:val="12"/>
              </w:rPr>
            </w:pPr>
          </w:p>
        </w:tc>
        <w:tc>
          <w:tcPr>
            <w:tcW w:w="391" w:type="dxa"/>
            <w:tcBorders>
              <w:top w:val="nil"/>
              <w:left w:val="nil"/>
              <w:bottom w:val="nil"/>
              <w:right w:val="nil"/>
            </w:tcBorders>
            <w:noWrap/>
            <w:vAlign w:val="center"/>
            <w:hideMark/>
          </w:tcPr>
          <w:p w14:paraId="36081EAD" w14:textId="77777777" w:rsidR="0077412F" w:rsidRPr="0077412F" w:rsidRDefault="0077412F" w:rsidP="008011CF">
            <w:pPr>
              <w:jc w:val="center"/>
              <w:rPr>
                <w:rFonts w:ascii="Arial Narrow" w:hAnsi="Arial Narrow"/>
                <w:sz w:val="12"/>
                <w:szCs w:val="12"/>
              </w:rPr>
            </w:pPr>
          </w:p>
        </w:tc>
        <w:tc>
          <w:tcPr>
            <w:tcW w:w="610" w:type="dxa"/>
            <w:tcBorders>
              <w:top w:val="nil"/>
              <w:left w:val="nil"/>
              <w:bottom w:val="nil"/>
              <w:right w:val="nil"/>
            </w:tcBorders>
            <w:noWrap/>
            <w:vAlign w:val="center"/>
            <w:hideMark/>
          </w:tcPr>
          <w:p w14:paraId="708DA0EC" w14:textId="77777777" w:rsidR="0077412F" w:rsidRPr="0077412F" w:rsidRDefault="0077412F" w:rsidP="008011CF">
            <w:pPr>
              <w:jc w:val="center"/>
              <w:rPr>
                <w:rFonts w:ascii="Arial Narrow" w:hAnsi="Arial Narrow"/>
                <w:sz w:val="12"/>
                <w:szCs w:val="12"/>
              </w:rPr>
            </w:pPr>
          </w:p>
        </w:tc>
        <w:tc>
          <w:tcPr>
            <w:tcW w:w="391" w:type="dxa"/>
            <w:tcBorders>
              <w:top w:val="nil"/>
              <w:left w:val="nil"/>
              <w:bottom w:val="nil"/>
              <w:right w:val="nil"/>
            </w:tcBorders>
            <w:noWrap/>
            <w:vAlign w:val="center"/>
            <w:hideMark/>
          </w:tcPr>
          <w:p w14:paraId="046361EB" w14:textId="77777777" w:rsidR="0077412F" w:rsidRPr="0077412F" w:rsidRDefault="0077412F" w:rsidP="008011CF">
            <w:pPr>
              <w:jc w:val="center"/>
              <w:rPr>
                <w:rFonts w:ascii="Arial Narrow" w:hAnsi="Arial Narrow"/>
                <w:sz w:val="12"/>
                <w:szCs w:val="12"/>
              </w:rPr>
            </w:pPr>
          </w:p>
        </w:tc>
        <w:tc>
          <w:tcPr>
            <w:tcW w:w="391" w:type="dxa"/>
            <w:tcBorders>
              <w:top w:val="nil"/>
              <w:left w:val="nil"/>
              <w:bottom w:val="nil"/>
              <w:right w:val="nil"/>
            </w:tcBorders>
            <w:noWrap/>
            <w:vAlign w:val="center"/>
            <w:hideMark/>
          </w:tcPr>
          <w:p w14:paraId="73B0224D" w14:textId="77777777" w:rsidR="0077412F" w:rsidRPr="0077412F" w:rsidRDefault="0077412F" w:rsidP="008011CF">
            <w:pPr>
              <w:jc w:val="center"/>
              <w:rPr>
                <w:rFonts w:ascii="Arial Narrow" w:hAnsi="Arial Narrow"/>
                <w:sz w:val="12"/>
                <w:szCs w:val="12"/>
              </w:rPr>
            </w:pPr>
          </w:p>
        </w:tc>
        <w:tc>
          <w:tcPr>
            <w:tcW w:w="610" w:type="dxa"/>
            <w:tcBorders>
              <w:top w:val="nil"/>
              <w:left w:val="nil"/>
              <w:bottom w:val="nil"/>
              <w:right w:val="nil"/>
            </w:tcBorders>
            <w:noWrap/>
            <w:vAlign w:val="center"/>
            <w:hideMark/>
          </w:tcPr>
          <w:p w14:paraId="4720CB13" w14:textId="77777777" w:rsidR="0077412F" w:rsidRPr="0077412F" w:rsidRDefault="0077412F" w:rsidP="008011CF">
            <w:pPr>
              <w:jc w:val="center"/>
              <w:rPr>
                <w:rFonts w:ascii="Arial Narrow" w:hAnsi="Arial Narrow"/>
                <w:sz w:val="12"/>
                <w:szCs w:val="12"/>
              </w:rPr>
            </w:pPr>
          </w:p>
        </w:tc>
      </w:tr>
      <w:tr w:rsidR="0077412F" w:rsidRPr="0077412F" w14:paraId="69F5AC3E" w14:textId="77777777" w:rsidTr="0077412F">
        <w:trPr>
          <w:trHeight w:val="144"/>
          <w:jc w:val="center"/>
        </w:trPr>
        <w:tc>
          <w:tcPr>
            <w:tcW w:w="1170" w:type="dxa"/>
            <w:tcBorders>
              <w:top w:val="nil"/>
              <w:left w:val="nil"/>
              <w:bottom w:val="nil"/>
              <w:right w:val="nil"/>
            </w:tcBorders>
            <w:noWrap/>
            <w:vAlign w:val="center"/>
            <w:hideMark/>
          </w:tcPr>
          <w:p w14:paraId="478B5BD5" w14:textId="77777777" w:rsidR="0077412F" w:rsidRPr="0077412F" w:rsidRDefault="0077412F" w:rsidP="008011CF">
            <w:pPr>
              <w:rPr>
                <w:rFonts w:ascii="Arial Narrow" w:hAnsi="Arial Narrow"/>
                <w:color w:val="000000"/>
                <w:sz w:val="12"/>
                <w:szCs w:val="12"/>
              </w:rPr>
            </w:pPr>
            <w:r w:rsidRPr="0077412F">
              <w:rPr>
                <w:rFonts w:ascii="Arial Narrow" w:hAnsi="Arial Narrow"/>
                <w:color w:val="000000"/>
                <w:sz w:val="12"/>
                <w:szCs w:val="12"/>
              </w:rPr>
              <w:t xml:space="preserve">   Smaller Student Body</w:t>
            </w:r>
          </w:p>
        </w:tc>
        <w:tc>
          <w:tcPr>
            <w:tcW w:w="619" w:type="dxa"/>
            <w:tcBorders>
              <w:top w:val="nil"/>
              <w:left w:val="nil"/>
              <w:bottom w:val="nil"/>
              <w:right w:val="nil"/>
            </w:tcBorders>
            <w:noWrap/>
            <w:vAlign w:val="center"/>
            <w:hideMark/>
          </w:tcPr>
          <w:p w14:paraId="484EE48D"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3.13</w:t>
            </w:r>
          </w:p>
        </w:tc>
        <w:tc>
          <w:tcPr>
            <w:tcW w:w="390" w:type="dxa"/>
            <w:tcBorders>
              <w:top w:val="nil"/>
              <w:left w:val="nil"/>
              <w:bottom w:val="nil"/>
              <w:right w:val="nil"/>
            </w:tcBorders>
            <w:noWrap/>
            <w:vAlign w:val="center"/>
            <w:hideMark/>
          </w:tcPr>
          <w:p w14:paraId="15A2DDD3"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0.50</w:t>
            </w:r>
          </w:p>
        </w:tc>
        <w:tc>
          <w:tcPr>
            <w:tcW w:w="633" w:type="dxa"/>
            <w:tcBorders>
              <w:top w:val="nil"/>
              <w:left w:val="nil"/>
              <w:bottom w:val="nil"/>
              <w:right w:val="nil"/>
            </w:tcBorders>
            <w:noWrap/>
            <w:vAlign w:val="center"/>
            <w:hideMark/>
          </w:tcPr>
          <w:p w14:paraId="2424B102"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High</w:t>
            </w:r>
          </w:p>
        </w:tc>
        <w:tc>
          <w:tcPr>
            <w:tcW w:w="390" w:type="dxa"/>
            <w:tcBorders>
              <w:top w:val="nil"/>
              <w:left w:val="nil"/>
              <w:bottom w:val="nil"/>
              <w:right w:val="nil"/>
            </w:tcBorders>
            <w:noWrap/>
            <w:vAlign w:val="center"/>
            <w:hideMark/>
          </w:tcPr>
          <w:p w14:paraId="2EA76CE6"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3.28</w:t>
            </w:r>
          </w:p>
        </w:tc>
        <w:tc>
          <w:tcPr>
            <w:tcW w:w="391" w:type="dxa"/>
            <w:tcBorders>
              <w:top w:val="nil"/>
              <w:left w:val="nil"/>
              <w:bottom w:val="nil"/>
              <w:right w:val="nil"/>
            </w:tcBorders>
            <w:noWrap/>
            <w:vAlign w:val="center"/>
            <w:hideMark/>
          </w:tcPr>
          <w:p w14:paraId="68097EDB"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0.62</w:t>
            </w:r>
          </w:p>
        </w:tc>
        <w:tc>
          <w:tcPr>
            <w:tcW w:w="634" w:type="dxa"/>
            <w:tcBorders>
              <w:top w:val="nil"/>
              <w:left w:val="nil"/>
              <w:bottom w:val="nil"/>
              <w:right w:val="nil"/>
            </w:tcBorders>
            <w:noWrap/>
            <w:vAlign w:val="center"/>
            <w:hideMark/>
          </w:tcPr>
          <w:p w14:paraId="4F548674"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Very High</w:t>
            </w:r>
          </w:p>
        </w:tc>
        <w:tc>
          <w:tcPr>
            <w:tcW w:w="391" w:type="dxa"/>
            <w:tcBorders>
              <w:top w:val="nil"/>
              <w:left w:val="nil"/>
              <w:bottom w:val="nil"/>
              <w:right w:val="nil"/>
            </w:tcBorders>
            <w:noWrap/>
            <w:vAlign w:val="center"/>
            <w:hideMark/>
          </w:tcPr>
          <w:p w14:paraId="78B6E362"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3.04</w:t>
            </w:r>
          </w:p>
        </w:tc>
        <w:tc>
          <w:tcPr>
            <w:tcW w:w="391" w:type="dxa"/>
            <w:tcBorders>
              <w:top w:val="nil"/>
              <w:left w:val="nil"/>
              <w:bottom w:val="nil"/>
              <w:right w:val="nil"/>
            </w:tcBorders>
            <w:noWrap/>
            <w:vAlign w:val="center"/>
            <w:hideMark/>
          </w:tcPr>
          <w:p w14:paraId="1B3E1F3D"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0.69</w:t>
            </w:r>
          </w:p>
        </w:tc>
        <w:tc>
          <w:tcPr>
            <w:tcW w:w="415" w:type="dxa"/>
            <w:tcBorders>
              <w:top w:val="nil"/>
              <w:left w:val="nil"/>
              <w:bottom w:val="nil"/>
              <w:right w:val="nil"/>
            </w:tcBorders>
            <w:noWrap/>
            <w:vAlign w:val="center"/>
            <w:hideMark/>
          </w:tcPr>
          <w:p w14:paraId="39412BB8"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High</w:t>
            </w:r>
          </w:p>
        </w:tc>
        <w:tc>
          <w:tcPr>
            <w:tcW w:w="391" w:type="dxa"/>
            <w:tcBorders>
              <w:top w:val="nil"/>
              <w:left w:val="nil"/>
              <w:bottom w:val="nil"/>
              <w:right w:val="nil"/>
            </w:tcBorders>
            <w:noWrap/>
            <w:vAlign w:val="center"/>
            <w:hideMark/>
          </w:tcPr>
          <w:p w14:paraId="14371367"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3.07</w:t>
            </w:r>
          </w:p>
        </w:tc>
        <w:tc>
          <w:tcPr>
            <w:tcW w:w="391" w:type="dxa"/>
            <w:tcBorders>
              <w:top w:val="nil"/>
              <w:left w:val="nil"/>
              <w:bottom w:val="nil"/>
              <w:right w:val="nil"/>
            </w:tcBorders>
            <w:noWrap/>
            <w:vAlign w:val="center"/>
            <w:hideMark/>
          </w:tcPr>
          <w:p w14:paraId="1FF01CEE"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0.43</w:t>
            </w:r>
          </w:p>
        </w:tc>
        <w:tc>
          <w:tcPr>
            <w:tcW w:w="610" w:type="dxa"/>
            <w:tcBorders>
              <w:top w:val="nil"/>
              <w:left w:val="nil"/>
              <w:bottom w:val="nil"/>
              <w:right w:val="nil"/>
            </w:tcBorders>
            <w:noWrap/>
            <w:vAlign w:val="center"/>
            <w:hideMark/>
          </w:tcPr>
          <w:p w14:paraId="59928703"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High</w:t>
            </w:r>
          </w:p>
        </w:tc>
        <w:tc>
          <w:tcPr>
            <w:tcW w:w="391" w:type="dxa"/>
            <w:tcBorders>
              <w:top w:val="nil"/>
              <w:left w:val="nil"/>
              <w:bottom w:val="nil"/>
              <w:right w:val="nil"/>
            </w:tcBorders>
            <w:noWrap/>
            <w:vAlign w:val="center"/>
            <w:hideMark/>
          </w:tcPr>
          <w:p w14:paraId="655272E7"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3.13</w:t>
            </w:r>
          </w:p>
        </w:tc>
        <w:tc>
          <w:tcPr>
            <w:tcW w:w="391" w:type="dxa"/>
            <w:tcBorders>
              <w:top w:val="nil"/>
              <w:left w:val="nil"/>
              <w:bottom w:val="nil"/>
              <w:right w:val="nil"/>
            </w:tcBorders>
            <w:noWrap/>
            <w:vAlign w:val="center"/>
            <w:hideMark/>
          </w:tcPr>
          <w:p w14:paraId="270EE894"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0.49</w:t>
            </w:r>
          </w:p>
        </w:tc>
        <w:tc>
          <w:tcPr>
            <w:tcW w:w="610" w:type="dxa"/>
            <w:tcBorders>
              <w:top w:val="nil"/>
              <w:left w:val="nil"/>
              <w:bottom w:val="nil"/>
              <w:right w:val="nil"/>
            </w:tcBorders>
            <w:noWrap/>
            <w:vAlign w:val="center"/>
            <w:hideMark/>
          </w:tcPr>
          <w:p w14:paraId="01FD3562"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High</w:t>
            </w:r>
          </w:p>
        </w:tc>
      </w:tr>
      <w:tr w:rsidR="0077412F" w:rsidRPr="0077412F" w14:paraId="3017AC2C" w14:textId="77777777" w:rsidTr="0077412F">
        <w:trPr>
          <w:trHeight w:val="144"/>
          <w:jc w:val="center"/>
        </w:trPr>
        <w:tc>
          <w:tcPr>
            <w:tcW w:w="1170" w:type="dxa"/>
            <w:tcBorders>
              <w:top w:val="nil"/>
              <w:left w:val="nil"/>
              <w:bottom w:val="nil"/>
              <w:right w:val="nil"/>
            </w:tcBorders>
            <w:noWrap/>
            <w:vAlign w:val="center"/>
            <w:hideMark/>
          </w:tcPr>
          <w:p w14:paraId="10DDB6D9" w14:textId="77777777" w:rsidR="0077412F" w:rsidRPr="0077412F" w:rsidRDefault="0077412F" w:rsidP="008011CF">
            <w:pPr>
              <w:rPr>
                <w:rFonts w:ascii="Arial Narrow" w:hAnsi="Arial Narrow"/>
                <w:color w:val="000000"/>
                <w:sz w:val="12"/>
                <w:szCs w:val="12"/>
              </w:rPr>
            </w:pPr>
            <w:r w:rsidRPr="0077412F">
              <w:rPr>
                <w:rFonts w:ascii="Arial Narrow" w:hAnsi="Arial Narrow"/>
                <w:color w:val="000000"/>
                <w:sz w:val="12"/>
                <w:szCs w:val="12"/>
              </w:rPr>
              <w:t xml:space="preserve">   Larger Student Body</w:t>
            </w:r>
          </w:p>
        </w:tc>
        <w:tc>
          <w:tcPr>
            <w:tcW w:w="619" w:type="dxa"/>
            <w:tcBorders>
              <w:top w:val="nil"/>
              <w:left w:val="nil"/>
              <w:bottom w:val="nil"/>
              <w:right w:val="nil"/>
            </w:tcBorders>
            <w:noWrap/>
            <w:vAlign w:val="center"/>
            <w:hideMark/>
          </w:tcPr>
          <w:p w14:paraId="24BC51AA"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3.34</w:t>
            </w:r>
          </w:p>
        </w:tc>
        <w:tc>
          <w:tcPr>
            <w:tcW w:w="390" w:type="dxa"/>
            <w:tcBorders>
              <w:top w:val="nil"/>
              <w:left w:val="nil"/>
              <w:bottom w:val="nil"/>
              <w:right w:val="nil"/>
            </w:tcBorders>
            <w:noWrap/>
            <w:vAlign w:val="center"/>
            <w:hideMark/>
          </w:tcPr>
          <w:p w14:paraId="6795AE63"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0.47</w:t>
            </w:r>
          </w:p>
        </w:tc>
        <w:tc>
          <w:tcPr>
            <w:tcW w:w="633" w:type="dxa"/>
            <w:tcBorders>
              <w:top w:val="nil"/>
              <w:left w:val="nil"/>
              <w:bottom w:val="nil"/>
              <w:right w:val="nil"/>
            </w:tcBorders>
            <w:noWrap/>
            <w:vAlign w:val="center"/>
            <w:hideMark/>
          </w:tcPr>
          <w:p w14:paraId="744FFEAD"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Very High</w:t>
            </w:r>
          </w:p>
        </w:tc>
        <w:tc>
          <w:tcPr>
            <w:tcW w:w="390" w:type="dxa"/>
            <w:tcBorders>
              <w:top w:val="nil"/>
              <w:left w:val="nil"/>
              <w:bottom w:val="nil"/>
              <w:right w:val="nil"/>
            </w:tcBorders>
            <w:noWrap/>
            <w:vAlign w:val="center"/>
            <w:hideMark/>
          </w:tcPr>
          <w:p w14:paraId="3BEA3692"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3.42</w:t>
            </w:r>
          </w:p>
        </w:tc>
        <w:tc>
          <w:tcPr>
            <w:tcW w:w="391" w:type="dxa"/>
            <w:tcBorders>
              <w:top w:val="nil"/>
              <w:left w:val="nil"/>
              <w:bottom w:val="nil"/>
              <w:right w:val="nil"/>
            </w:tcBorders>
            <w:noWrap/>
            <w:vAlign w:val="center"/>
            <w:hideMark/>
          </w:tcPr>
          <w:p w14:paraId="233C6578"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0.52</w:t>
            </w:r>
          </w:p>
        </w:tc>
        <w:tc>
          <w:tcPr>
            <w:tcW w:w="634" w:type="dxa"/>
            <w:tcBorders>
              <w:top w:val="nil"/>
              <w:left w:val="nil"/>
              <w:bottom w:val="nil"/>
              <w:right w:val="nil"/>
            </w:tcBorders>
            <w:noWrap/>
            <w:vAlign w:val="center"/>
            <w:hideMark/>
          </w:tcPr>
          <w:p w14:paraId="5F0D6BAF"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Very High</w:t>
            </w:r>
          </w:p>
        </w:tc>
        <w:tc>
          <w:tcPr>
            <w:tcW w:w="391" w:type="dxa"/>
            <w:tcBorders>
              <w:top w:val="nil"/>
              <w:left w:val="nil"/>
              <w:bottom w:val="nil"/>
              <w:right w:val="nil"/>
            </w:tcBorders>
            <w:noWrap/>
            <w:vAlign w:val="center"/>
            <w:hideMark/>
          </w:tcPr>
          <w:p w14:paraId="20E8F02B"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3.25</w:t>
            </w:r>
          </w:p>
        </w:tc>
        <w:tc>
          <w:tcPr>
            <w:tcW w:w="391" w:type="dxa"/>
            <w:tcBorders>
              <w:top w:val="nil"/>
              <w:left w:val="nil"/>
              <w:bottom w:val="nil"/>
              <w:right w:val="nil"/>
            </w:tcBorders>
            <w:noWrap/>
            <w:vAlign w:val="center"/>
            <w:hideMark/>
          </w:tcPr>
          <w:p w14:paraId="23526210"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0.50</w:t>
            </w:r>
          </w:p>
        </w:tc>
        <w:tc>
          <w:tcPr>
            <w:tcW w:w="415" w:type="dxa"/>
            <w:tcBorders>
              <w:top w:val="nil"/>
              <w:left w:val="nil"/>
              <w:bottom w:val="nil"/>
              <w:right w:val="nil"/>
            </w:tcBorders>
            <w:noWrap/>
            <w:vAlign w:val="center"/>
            <w:hideMark/>
          </w:tcPr>
          <w:p w14:paraId="2A88BB62"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High</w:t>
            </w:r>
          </w:p>
        </w:tc>
        <w:tc>
          <w:tcPr>
            <w:tcW w:w="391" w:type="dxa"/>
            <w:tcBorders>
              <w:top w:val="nil"/>
              <w:left w:val="nil"/>
              <w:bottom w:val="nil"/>
              <w:right w:val="nil"/>
            </w:tcBorders>
            <w:noWrap/>
            <w:vAlign w:val="center"/>
            <w:hideMark/>
          </w:tcPr>
          <w:p w14:paraId="5A896196"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3.25</w:t>
            </w:r>
          </w:p>
        </w:tc>
        <w:tc>
          <w:tcPr>
            <w:tcW w:w="391" w:type="dxa"/>
            <w:tcBorders>
              <w:top w:val="nil"/>
              <w:left w:val="nil"/>
              <w:bottom w:val="nil"/>
              <w:right w:val="nil"/>
            </w:tcBorders>
            <w:noWrap/>
            <w:vAlign w:val="center"/>
            <w:hideMark/>
          </w:tcPr>
          <w:p w14:paraId="6371A02A"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0.53</w:t>
            </w:r>
          </w:p>
        </w:tc>
        <w:tc>
          <w:tcPr>
            <w:tcW w:w="610" w:type="dxa"/>
            <w:tcBorders>
              <w:top w:val="nil"/>
              <w:left w:val="nil"/>
              <w:bottom w:val="nil"/>
              <w:right w:val="nil"/>
            </w:tcBorders>
            <w:noWrap/>
            <w:vAlign w:val="center"/>
            <w:hideMark/>
          </w:tcPr>
          <w:p w14:paraId="191A61F2"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High</w:t>
            </w:r>
          </w:p>
        </w:tc>
        <w:tc>
          <w:tcPr>
            <w:tcW w:w="391" w:type="dxa"/>
            <w:tcBorders>
              <w:top w:val="nil"/>
              <w:left w:val="nil"/>
              <w:bottom w:val="nil"/>
              <w:right w:val="nil"/>
            </w:tcBorders>
            <w:noWrap/>
            <w:vAlign w:val="center"/>
            <w:hideMark/>
          </w:tcPr>
          <w:p w14:paraId="242C4FF7"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3.31</w:t>
            </w:r>
          </w:p>
        </w:tc>
        <w:tc>
          <w:tcPr>
            <w:tcW w:w="391" w:type="dxa"/>
            <w:tcBorders>
              <w:top w:val="nil"/>
              <w:left w:val="nil"/>
              <w:bottom w:val="nil"/>
              <w:right w:val="nil"/>
            </w:tcBorders>
            <w:noWrap/>
            <w:vAlign w:val="center"/>
            <w:hideMark/>
          </w:tcPr>
          <w:p w14:paraId="53048268"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0.47</w:t>
            </w:r>
          </w:p>
        </w:tc>
        <w:tc>
          <w:tcPr>
            <w:tcW w:w="610" w:type="dxa"/>
            <w:tcBorders>
              <w:top w:val="nil"/>
              <w:left w:val="nil"/>
              <w:bottom w:val="nil"/>
              <w:right w:val="nil"/>
            </w:tcBorders>
            <w:noWrap/>
            <w:vAlign w:val="center"/>
            <w:hideMark/>
          </w:tcPr>
          <w:p w14:paraId="6F0BBB27"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Very High</w:t>
            </w:r>
          </w:p>
        </w:tc>
      </w:tr>
      <w:tr w:rsidR="0077412F" w:rsidRPr="0077412F" w14:paraId="256E9D2B" w14:textId="77777777" w:rsidTr="0077412F">
        <w:trPr>
          <w:trHeight w:val="144"/>
          <w:jc w:val="center"/>
        </w:trPr>
        <w:tc>
          <w:tcPr>
            <w:tcW w:w="1170" w:type="dxa"/>
            <w:tcBorders>
              <w:top w:val="nil"/>
              <w:left w:val="nil"/>
              <w:bottom w:val="nil"/>
              <w:right w:val="nil"/>
            </w:tcBorders>
            <w:noWrap/>
            <w:vAlign w:val="center"/>
            <w:hideMark/>
          </w:tcPr>
          <w:p w14:paraId="1734E822" w14:textId="77777777" w:rsidR="0077412F" w:rsidRPr="0077412F" w:rsidRDefault="0077412F" w:rsidP="008011CF">
            <w:pPr>
              <w:rPr>
                <w:rFonts w:ascii="Arial Narrow" w:hAnsi="Arial Narrow"/>
                <w:color w:val="000000"/>
                <w:sz w:val="12"/>
                <w:szCs w:val="12"/>
              </w:rPr>
            </w:pPr>
            <w:r w:rsidRPr="0077412F">
              <w:rPr>
                <w:rFonts w:ascii="Arial Narrow" w:hAnsi="Arial Narrow"/>
                <w:color w:val="000000"/>
                <w:sz w:val="12"/>
                <w:szCs w:val="12"/>
              </w:rPr>
              <w:t>Number of Employees</w:t>
            </w:r>
          </w:p>
        </w:tc>
        <w:tc>
          <w:tcPr>
            <w:tcW w:w="619" w:type="dxa"/>
            <w:tcBorders>
              <w:top w:val="nil"/>
              <w:left w:val="nil"/>
              <w:bottom w:val="nil"/>
              <w:right w:val="nil"/>
            </w:tcBorders>
            <w:noWrap/>
            <w:vAlign w:val="center"/>
            <w:hideMark/>
          </w:tcPr>
          <w:p w14:paraId="63BA1327"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 xml:space="preserve"> </w:t>
            </w:r>
          </w:p>
        </w:tc>
        <w:tc>
          <w:tcPr>
            <w:tcW w:w="390" w:type="dxa"/>
            <w:tcBorders>
              <w:top w:val="nil"/>
              <w:left w:val="nil"/>
              <w:bottom w:val="nil"/>
              <w:right w:val="nil"/>
            </w:tcBorders>
            <w:noWrap/>
            <w:vAlign w:val="center"/>
            <w:hideMark/>
          </w:tcPr>
          <w:p w14:paraId="747D9ED9"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 xml:space="preserve"> </w:t>
            </w:r>
          </w:p>
        </w:tc>
        <w:tc>
          <w:tcPr>
            <w:tcW w:w="633" w:type="dxa"/>
            <w:tcBorders>
              <w:top w:val="nil"/>
              <w:left w:val="nil"/>
              <w:bottom w:val="nil"/>
              <w:right w:val="nil"/>
            </w:tcBorders>
            <w:noWrap/>
            <w:vAlign w:val="center"/>
            <w:hideMark/>
          </w:tcPr>
          <w:p w14:paraId="1243E950"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 xml:space="preserve"> </w:t>
            </w:r>
          </w:p>
        </w:tc>
        <w:tc>
          <w:tcPr>
            <w:tcW w:w="390" w:type="dxa"/>
            <w:tcBorders>
              <w:top w:val="nil"/>
              <w:left w:val="nil"/>
              <w:bottom w:val="nil"/>
              <w:right w:val="nil"/>
            </w:tcBorders>
            <w:noWrap/>
            <w:vAlign w:val="center"/>
            <w:hideMark/>
          </w:tcPr>
          <w:p w14:paraId="525A6CEA"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 xml:space="preserve"> </w:t>
            </w:r>
          </w:p>
        </w:tc>
        <w:tc>
          <w:tcPr>
            <w:tcW w:w="391" w:type="dxa"/>
            <w:tcBorders>
              <w:top w:val="nil"/>
              <w:left w:val="nil"/>
              <w:bottom w:val="nil"/>
              <w:right w:val="nil"/>
            </w:tcBorders>
            <w:noWrap/>
            <w:vAlign w:val="center"/>
            <w:hideMark/>
          </w:tcPr>
          <w:p w14:paraId="72113874"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 xml:space="preserve"> </w:t>
            </w:r>
          </w:p>
        </w:tc>
        <w:tc>
          <w:tcPr>
            <w:tcW w:w="634" w:type="dxa"/>
            <w:tcBorders>
              <w:top w:val="nil"/>
              <w:left w:val="nil"/>
              <w:bottom w:val="nil"/>
              <w:right w:val="nil"/>
            </w:tcBorders>
            <w:noWrap/>
            <w:vAlign w:val="center"/>
            <w:hideMark/>
          </w:tcPr>
          <w:p w14:paraId="19AFA61D"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 xml:space="preserve"> </w:t>
            </w:r>
          </w:p>
        </w:tc>
        <w:tc>
          <w:tcPr>
            <w:tcW w:w="391" w:type="dxa"/>
            <w:tcBorders>
              <w:top w:val="nil"/>
              <w:left w:val="nil"/>
              <w:bottom w:val="nil"/>
              <w:right w:val="nil"/>
            </w:tcBorders>
            <w:noWrap/>
            <w:vAlign w:val="center"/>
            <w:hideMark/>
          </w:tcPr>
          <w:p w14:paraId="028476A3"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 xml:space="preserve"> </w:t>
            </w:r>
          </w:p>
        </w:tc>
        <w:tc>
          <w:tcPr>
            <w:tcW w:w="391" w:type="dxa"/>
            <w:tcBorders>
              <w:top w:val="nil"/>
              <w:left w:val="nil"/>
              <w:bottom w:val="nil"/>
              <w:right w:val="nil"/>
            </w:tcBorders>
            <w:noWrap/>
            <w:vAlign w:val="center"/>
            <w:hideMark/>
          </w:tcPr>
          <w:p w14:paraId="2EC8055C"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 xml:space="preserve"> </w:t>
            </w:r>
          </w:p>
        </w:tc>
        <w:tc>
          <w:tcPr>
            <w:tcW w:w="415" w:type="dxa"/>
            <w:tcBorders>
              <w:top w:val="nil"/>
              <w:left w:val="nil"/>
              <w:bottom w:val="nil"/>
              <w:right w:val="nil"/>
            </w:tcBorders>
            <w:noWrap/>
            <w:vAlign w:val="center"/>
            <w:hideMark/>
          </w:tcPr>
          <w:p w14:paraId="4A827277"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 xml:space="preserve"> </w:t>
            </w:r>
          </w:p>
        </w:tc>
        <w:tc>
          <w:tcPr>
            <w:tcW w:w="391" w:type="dxa"/>
            <w:tcBorders>
              <w:top w:val="nil"/>
              <w:left w:val="nil"/>
              <w:bottom w:val="nil"/>
              <w:right w:val="nil"/>
            </w:tcBorders>
            <w:noWrap/>
            <w:vAlign w:val="center"/>
            <w:hideMark/>
          </w:tcPr>
          <w:p w14:paraId="096E1A1F"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 xml:space="preserve"> </w:t>
            </w:r>
          </w:p>
        </w:tc>
        <w:tc>
          <w:tcPr>
            <w:tcW w:w="391" w:type="dxa"/>
            <w:tcBorders>
              <w:top w:val="nil"/>
              <w:left w:val="nil"/>
              <w:bottom w:val="nil"/>
              <w:right w:val="nil"/>
            </w:tcBorders>
            <w:noWrap/>
            <w:vAlign w:val="center"/>
            <w:hideMark/>
          </w:tcPr>
          <w:p w14:paraId="5FECD766"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 xml:space="preserve"> </w:t>
            </w:r>
          </w:p>
        </w:tc>
        <w:tc>
          <w:tcPr>
            <w:tcW w:w="610" w:type="dxa"/>
            <w:tcBorders>
              <w:top w:val="nil"/>
              <w:left w:val="nil"/>
              <w:bottom w:val="nil"/>
              <w:right w:val="nil"/>
            </w:tcBorders>
            <w:noWrap/>
            <w:vAlign w:val="center"/>
            <w:hideMark/>
          </w:tcPr>
          <w:p w14:paraId="1C10507A"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 xml:space="preserve"> </w:t>
            </w:r>
          </w:p>
        </w:tc>
        <w:tc>
          <w:tcPr>
            <w:tcW w:w="391" w:type="dxa"/>
            <w:tcBorders>
              <w:top w:val="nil"/>
              <w:left w:val="nil"/>
              <w:bottom w:val="nil"/>
              <w:right w:val="nil"/>
            </w:tcBorders>
            <w:noWrap/>
            <w:vAlign w:val="center"/>
            <w:hideMark/>
          </w:tcPr>
          <w:p w14:paraId="38EC2BCB"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 xml:space="preserve"> </w:t>
            </w:r>
          </w:p>
        </w:tc>
        <w:tc>
          <w:tcPr>
            <w:tcW w:w="391" w:type="dxa"/>
            <w:tcBorders>
              <w:top w:val="nil"/>
              <w:left w:val="nil"/>
              <w:bottom w:val="nil"/>
              <w:right w:val="nil"/>
            </w:tcBorders>
            <w:noWrap/>
            <w:vAlign w:val="center"/>
            <w:hideMark/>
          </w:tcPr>
          <w:p w14:paraId="5758CB8F"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 xml:space="preserve"> </w:t>
            </w:r>
          </w:p>
        </w:tc>
        <w:tc>
          <w:tcPr>
            <w:tcW w:w="610" w:type="dxa"/>
            <w:tcBorders>
              <w:top w:val="nil"/>
              <w:left w:val="nil"/>
              <w:bottom w:val="nil"/>
              <w:right w:val="nil"/>
            </w:tcBorders>
            <w:noWrap/>
            <w:vAlign w:val="center"/>
            <w:hideMark/>
          </w:tcPr>
          <w:p w14:paraId="04860B5D"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 xml:space="preserve"> </w:t>
            </w:r>
          </w:p>
        </w:tc>
      </w:tr>
      <w:tr w:rsidR="0077412F" w:rsidRPr="0077412F" w14:paraId="69727B38" w14:textId="77777777" w:rsidTr="0077412F">
        <w:trPr>
          <w:trHeight w:val="144"/>
          <w:jc w:val="center"/>
        </w:trPr>
        <w:tc>
          <w:tcPr>
            <w:tcW w:w="1170" w:type="dxa"/>
            <w:tcBorders>
              <w:top w:val="nil"/>
              <w:left w:val="nil"/>
              <w:bottom w:val="nil"/>
              <w:right w:val="nil"/>
            </w:tcBorders>
            <w:noWrap/>
            <w:vAlign w:val="center"/>
            <w:hideMark/>
          </w:tcPr>
          <w:p w14:paraId="1F903ECF" w14:textId="77777777" w:rsidR="0077412F" w:rsidRPr="0077412F" w:rsidRDefault="0077412F" w:rsidP="008011CF">
            <w:pPr>
              <w:rPr>
                <w:rFonts w:ascii="Arial Narrow" w:hAnsi="Arial Narrow"/>
                <w:color w:val="000000"/>
                <w:sz w:val="12"/>
                <w:szCs w:val="12"/>
              </w:rPr>
            </w:pPr>
            <w:r w:rsidRPr="0077412F">
              <w:rPr>
                <w:rFonts w:ascii="Arial Narrow" w:hAnsi="Arial Narrow"/>
                <w:color w:val="000000"/>
                <w:sz w:val="12"/>
                <w:szCs w:val="12"/>
              </w:rPr>
              <w:t xml:space="preserve">   Smaller Workforce</w:t>
            </w:r>
          </w:p>
        </w:tc>
        <w:tc>
          <w:tcPr>
            <w:tcW w:w="619" w:type="dxa"/>
            <w:tcBorders>
              <w:top w:val="nil"/>
              <w:left w:val="nil"/>
              <w:bottom w:val="nil"/>
              <w:right w:val="nil"/>
            </w:tcBorders>
            <w:noWrap/>
            <w:vAlign w:val="center"/>
            <w:hideMark/>
          </w:tcPr>
          <w:p w14:paraId="7BC649E9"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3.13</w:t>
            </w:r>
          </w:p>
        </w:tc>
        <w:tc>
          <w:tcPr>
            <w:tcW w:w="390" w:type="dxa"/>
            <w:tcBorders>
              <w:top w:val="nil"/>
              <w:left w:val="nil"/>
              <w:bottom w:val="nil"/>
              <w:right w:val="nil"/>
            </w:tcBorders>
            <w:noWrap/>
            <w:vAlign w:val="center"/>
            <w:hideMark/>
          </w:tcPr>
          <w:p w14:paraId="010E7120"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0.50</w:t>
            </w:r>
          </w:p>
        </w:tc>
        <w:tc>
          <w:tcPr>
            <w:tcW w:w="633" w:type="dxa"/>
            <w:tcBorders>
              <w:top w:val="nil"/>
              <w:left w:val="nil"/>
              <w:bottom w:val="nil"/>
              <w:right w:val="nil"/>
            </w:tcBorders>
            <w:noWrap/>
            <w:vAlign w:val="center"/>
            <w:hideMark/>
          </w:tcPr>
          <w:p w14:paraId="2216874F"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High</w:t>
            </w:r>
          </w:p>
        </w:tc>
        <w:tc>
          <w:tcPr>
            <w:tcW w:w="390" w:type="dxa"/>
            <w:tcBorders>
              <w:top w:val="nil"/>
              <w:left w:val="nil"/>
              <w:bottom w:val="nil"/>
              <w:right w:val="nil"/>
            </w:tcBorders>
            <w:noWrap/>
            <w:vAlign w:val="center"/>
            <w:hideMark/>
          </w:tcPr>
          <w:p w14:paraId="55519B65"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3.28</w:t>
            </w:r>
          </w:p>
        </w:tc>
        <w:tc>
          <w:tcPr>
            <w:tcW w:w="391" w:type="dxa"/>
            <w:tcBorders>
              <w:top w:val="nil"/>
              <w:left w:val="nil"/>
              <w:bottom w:val="nil"/>
              <w:right w:val="nil"/>
            </w:tcBorders>
            <w:noWrap/>
            <w:vAlign w:val="center"/>
            <w:hideMark/>
          </w:tcPr>
          <w:p w14:paraId="36C351CA"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0.62</w:t>
            </w:r>
          </w:p>
        </w:tc>
        <w:tc>
          <w:tcPr>
            <w:tcW w:w="634" w:type="dxa"/>
            <w:tcBorders>
              <w:top w:val="nil"/>
              <w:left w:val="nil"/>
              <w:bottom w:val="nil"/>
              <w:right w:val="nil"/>
            </w:tcBorders>
            <w:noWrap/>
            <w:vAlign w:val="center"/>
            <w:hideMark/>
          </w:tcPr>
          <w:p w14:paraId="7E257750"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Very High</w:t>
            </w:r>
          </w:p>
        </w:tc>
        <w:tc>
          <w:tcPr>
            <w:tcW w:w="391" w:type="dxa"/>
            <w:tcBorders>
              <w:top w:val="nil"/>
              <w:left w:val="nil"/>
              <w:bottom w:val="nil"/>
              <w:right w:val="nil"/>
            </w:tcBorders>
            <w:noWrap/>
            <w:vAlign w:val="center"/>
            <w:hideMark/>
          </w:tcPr>
          <w:p w14:paraId="7E5F3C75"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3.04</w:t>
            </w:r>
          </w:p>
        </w:tc>
        <w:tc>
          <w:tcPr>
            <w:tcW w:w="391" w:type="dxa"/>
            <w:tcBorders>
              <w:top w:val="nil"/>
              <w:left w:val="nil"/>
              <w:bottom w:val="nil"/>
              <w:right w:val="nil"/>
            </w:tcBorders>
            <w:noWrap/>
            <w:vAlign w:val="center"/>
            <w:hideMark/>
          </w:tcPr>
          <w:p w14:paraId="269F5336"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0.69</w:t>
            </w:r>
          </w:p>
        </w:tc>
        <w:tc>
          <w:tcPr>
            <w:tcW w:w="415" w:type="dxa"/>
            <w:tcBorders>
              <w:top w:val="nil"/>
              <w:left w:val="nil"/>
              <w:bottom w:val="nil"/>
              <w:right w:val="nil"/>
            </w:tcBorders>
            <w:noWrap/>
            <w:vAlign w:val="center"/>
            <w:hideMark/>
          </w:tcPr>
          <w:p w14:paraId="4947F816"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High</w:t>
            </w:r>
          </w:p>
        </w:tc>
        <w:tc>
          <w:tcPr>
            <w:tcW w:w="391" w:type="dxa"/>
            <w:tcBorders>
              <w:top w:val="nil"/>
              <w:left w:val="nil"/>
              <w:bottom w:val="nil"/>
              <w:right w:val="nil"/>
            </w:tcBorders>
            <w:noWrap/>
            <w:vAlign w:val="center"/>
            <w:hideMark/>
          </w:tcPr>
          <w:p w14:paraId="69054A0B"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3.07</w:t>
            </w:r>
          </w:p>
        </w:tc>
        <w:tc>
          <w:tcPr>
            <w:tcW w:w="391" w:type="dxa"/>
            <w:tcBorders>
              <w:top w:val="nil"/>
              <w:left w:val="nil"/>
              <w:bottom w:val="nil"/>
              <w:right w:val="nil"/>
            </w:tcBorders>
            <w:noWrap/>
            <w:vAlign w:val="center"/>
            <w:hideMark/>
          </w:tcPr>
          <w:p w14:paraId="0AF670F9"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0.43</w:t>
            </w:r>
          </w:p>
        </w:tc>
        <w:tc>
          <w:tcPr>
            <w:tcW w:w="610" w:type="dxa"/>
            <w:tcBorders>
              <w:top w:val="nil"/>
              <w:left w:val="nil"/>
              <w:bottom w:val="nil"/>
              <w:right w:val="nil"/>
            </w:tcBorders>
            <w:noWrap/>
            <w:vAlign w:val="center"/>
            <w:hideMark/>
          </w:tcPr>
          <w:p w14:paraId="2B58C64B"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High</w:t>
            </w:r>
          </w:p>
        </w:tc>
        <w:tc>
          <w:tcPr>
            <w:tcW w:w="391" w:type="dxa"/>
            <w:tcBorders>
              <w:top w:val="nil"/>
              <w:left w:val="nil"/>
              <w:bottom w:val="nil"/>
              <w:right w:val="nil"/>
            </w:tcBorders>
            <w:noWrap/>
            <w:vAlign w:val="center"/>
            <w:hideMark/>
          </w:tcPr>
          <w:p w14:paraId="07BBE9D1"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3.13</w:t>
            </w:r>
          </w:p>
        </w:tc>
        <w:tc>
          <w:tcPr>
            <w:tcW w:w="391" w:type="dxa"/>
            <w:tcBorders>
              <w:top w:val="nil"/>
              <w:left w:val="nil"/>
              <w:bottom w:val="nil"/>
              <w:right w:val="nil"/>
            </w:tcBorders>
            <w:noWrap/>
            <w:vAlign w:val="center"/>
            <w:hideMark/>
          </w:tcPr>
          <w:p w14:paraId="4F059DBD"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0.49</w:t>
            </w:r>
          </w:p>
        </w:tc>
        <w:tc>
          <w:tcPr>
            <w:tcW w:w="610" w:type="dxa"/>
            <w:tcBorders>
              <w:top w:val="nil"/>
              <w:left w:val="nil"/>
              <w:bottom w:val="nil"/>
              <w:right w:val="nil"/>
            </w:tcBorders>
            <w:noWrap/>
            <w:vAlign w:val="center"/>
            <w:hideMark/>
          </w:tcPr>
          <w:p w14:paraId="258138F3"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High</w:t>
            </w:r>
          </w:p>
        </w:tc>
      </w:tr>
      <w:tr w:rsidR="0077412F" w:rsidRPr="0077412F" w14:paraId="1E9536BA" w14:textId="77777777" w:rsidTr="0077412F">
        <w:trPr>
          <w:trHeight w:val="144"/>
          <w:jc w:val="center"/>
        </w:trPr>
        <w:tc>
          <w:tcPr>
            <w:tcW w:w="1170" w:type="dxa"/>
            <w:tcBorders>
              <w:top w:val="nil"/>
              <w:left w:val="nil"/>
              <w:bottom w:val="nil"/>
              <w:right w:val="nil"/>
            </w:tcBorders>
            <w:noWrap/>
            <w:vAlign w:val="center"/>
            <w:hideMark/>
          </w:tcPr>
          <w:p w14:paraId="67EE1558" w14:textId="77777777" w:rsidR="0077412F" w:rsidRPr="0077412F" w:rsidRDefault="0077412F" w:rsidP="008011CF">
            <w:pPr>
              <w:rPr>
                <w:rFonts w:ascii="Arial Narrow" w:hAnsi="Arial Narrow"/>
                <w:color w:val="000000"/>
                <w:sz w:val="12"/>
                <w:szCs w:val="12"/>
              </w:rPr>
            </w:pPr>
            <w:r w:rsidRPr="0077412F">
              <w:rPr>
                <w:rFonts w:ascii="Arial Narrow" w:hAnsi="Arial Narrow"/>
                <w:color w:val="000000"/>
                <w:sz w:val="12"/>
                <w:szCs w:val="12"/>
              </w:rPr>
              <w:t xml:space="preserve">   Larger Workforce</w:t>
            </w:r>
          </w:p>
        </w:tc>
        <w:tc>
          <w:tcPr>
            <w:tcW w:w="619" w:type="dxa"/>
            <w:tcBorders>
              <w:top w:val="nil"/>
              <w:left w:val="nil"/>
              <w:bottom w:val="nil"/>
              <w:right w:val="nil"/>
            </w:tcBorders>
            <w:noWrap/>
            <w:vAlign w:val="center"/>
            <w:hideMark/>
          </w:tcPr>
          <w:p w14:paraId="33B5B06E"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3.34</w:t>
            </w:r>
          </w:p>
        </w:tc>
        <w:tc>
          <w:tcPr>
            <w:tcW w:w="390" w:type="dxa"/>
            <w:tcBorders>
              <w:top w:val="nil"/>
              <w:left w:val="nil"/>
              <w:bottom w:val="nil"/>
              <w:right w:val="nil"/>
            </w:tcBorders>
            <w:noWrap/>
            <w:vAlign w:val="center"/>
            <w:hideMark/>
          </w:tcPr>
          <w:p w14:paraId="5C3E2F2C"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0.47</w:t>
            </w:r>
          </w:p>
        </w:tc>
        <w:tc>
          <w:tcPr>
            <w:tcW w:w="633" w:type="dxa"/>
            <w:tcBorders>
              <w:top w:val="nil"/>
              <w:left w:val="nil"/>
              <w:bottom w:val="nil"/>
              <w:right w:val="nil"/>
            </w:tcBorders>
            <w:noWrap/>
            <w:vAlign w:val="center"/>
            <w:hideMark/>
          </w:tcPr>
          <w:p w14:paraId="58A48233"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Very High</w:t>
            </w:r>
          </w:p>
        </w:tc>
        <w:tc>
          <w:tcPr>
            <w:tcW w:w="390" w:type="dxa"/>
            <w:tcBorders>
              <w:top w:val="nil"/>
              <w:left w:val="nil"/>
              <w:bottom w:val="nil"/>
              <w:right w:val="nil"/>
            </w:tcBorders>
            <w:noWrap/>
            <w:vAlign w:val="center"/>
            <w:hideMark/>
          </w:tcPr>
          <w:p w14:paraId="3A23C8DA"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3.42</w:t>
            </w:r>
          </w:p>
        </w:tc>
        <w:tc>
          <w:tcPr>
            <w:tcW w:w="391" w:type="dxa"/>
            <w:tcBorders>
              <w:top w:val="nil"/>
              <w:left w:val="nil"/>
              <w:bottom w:val="nil"/>
              <w:right w:val="nil"/>
            </w:tcBorders>
            <w:noWrap/>
            <w:vAlign w:val="center"/>
            <w:hideMark/>
          </w:tcPr>
          <w:p w14:paraId="09DD235F"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0.52</w:t>
            </w:r>
          </w:p>
        </w:tc>
        <w:tc>
          <w:tcPr>
            <w:tcW w:w="634" w:type="dxa"/>
            <w:tcBorders>
              <w:top w:val="nil"/>
              <w:left w:val="nil"/>
              <w:bottom w:val="nil"/>
              <w:right w:val="nil"/>
            </w:tcBorders>
            <w:noWrap/>
            <w:vAlign w:val="center"/>
            <w:hideMark/>
          </w:tcPr>
          <w:p w14:paraId="03A2B4A1"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Very High</w:t>
            </w:r>
          </w:p>
        </w:tc>
        <w:tc>
          <w:tcPr>
            <w:tcW w:w="391" w:type="dxa"/>
            <w:tcBorders>
              <w:top w:val="nil"/>
              <w:left w:val="nil"/>
              <w:bottom w:val="nil"/>
              <w:right w:val="nil"/>
            </w:tcBorders>
            <w:noWrap/>
            <w:vAlign w:val="center"/>
            <w:hideMark/>
          </w:tcPr>
          <w:p w14:paraId="13F8320C"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3.25</w:t>
            </w:r>
          </w:p>
        </w:tc>
        <w:tc>
          <w:tcPr>
            <w:tcW w:w="391" w:type="dxa"/>
            <w:tcBorders>
              <w:top w:val="nil"/>
              <w:left w:val="nil"/>
              <w:bottom w:val="nil"/>
              <w:right w:val="nil"/>
            </w:tcBorders>
            <w:noWrap/>
            <w:vAlign w:val="center"/>
            <w:hideMark/>
          </w:tcPr>
          <w:p w14:paraId="33A4BA9F"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0.50</w:t>
            </w:r>
          </w:p>
        </w:tc>
        <w:tc>
          <w:tcPr>
            <w:tcW w:w="415" w:type="dxa"/>
            <w:tcBorders>
              <w:top w:val="nil"/>
              <w:left w:val="nil"/>
              <w:bottom w:val="nil"/>
              <w:right w:val="nil"/>
            </w:tcBorders>
            <w:noWrap/>
            <w:vAlign w:val="center"/>
            <w:hideMark/>
          </w:tcPr>
          <w:p w14:paraId="51982B72"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High</w:t>
            </w:r>
          </w:p>
        </w:tc>
        <w:tc>
          <w:tcPr>
            <w:tcW w:w="391" w:type="dxa"/>
            <w:tcBorders>
              <w:top w:val="nil"/>
              <w:left w:val="nil"/>
              <w:bottom w:val="nil"/>
              <w:right w:val="nil"/>
            </w:tcBorders>
            <w:noWrap/>
            <w:vAlign w:val="center"/>
            <w:hideMark/>
          </w:tcPr>
          <w:p w14:paraId="55C78B68"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3.25</w:t>
            </w:r>
          </w:p>
        </w:tc>
        <w:tc>
          <w:tcPr>
            <w:tcW w:w="391" w:type="dxa"/>
            <w:tcBorders>
              <w:top w:val="nil"/>
              <w:left w:val="nil"/>
              <w:bottom w:val="nil"/>
              <w:right w:val="nil"/>
            </w:tcBorders>
            <w:noWrap/>
            <w:vAlign w:val="center"/>
            <w:hideMark/>
          </w:tcPr>
          <w:p w14:paraId="633BEA33"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0.53</w:t>
            </w:r>
          </w:p>
        </w:tc>
        <w:tc>
          <w:tcPr>
            <w:tcW w:w="610" w:type="dxa"/>
            <w:tcBorders>
              <w:top w:val="nil"/>
              <w:left w:val="nil"/>
              <w:bottom w:val="nil"/>
              <w:right w:val="nil"/>
            </w:tcBorders>
            <w:noWrap/>
            <w:vAlign w:val="center"/>
            <w:hideMark/>
          </w:tcPr>
          <w:p w14:paraId="0C948311"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High</w:t>
            </w:r>
          </w:p>
        </w:tc>
        <w:tc>
          <w:tcPr>
            <w:tcW w:w="391" w:type="dxa"/>
            <w:tcBorders>
              <w:top w:val="nil"/>
              <w:left w:val="nil"/>
              <w:bottom w:val="nil"/>
              <w:right w:val="nil"/>
            </w:tcBorders>
            <w:noWrap/>
            <w:vAlign w:val="center"/>
            <w:hideMark/>
          </w:tcPr>
          <w:p w14:paraId="3874E32A"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3.31</w:t>
            </w:r>
          </w:p>
        </w:tc>
        <w:tc>
          <w:tcPr>
            <w:tcW w:w="391" w:type="dxa"/>
            <w:tcBorders>
              <w:top w:val="nil"/>
              <w:left w:val="nil"/>
              <w:bottom w:val="nil"/>
              <w:right w:val="nil"/>
            </w:tcBorders>
            <w:noWrap/>
            <w:vAlign w:val="center"/>
            <w:hideMark/>
          </w:tcPr>
          <w:p w14:paraId="773BA0BD"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0.47</w:t>
            </w:r>
          </w:p>
        </w:tc>
        <w:tc>
          <w:tcPr>
            <w:tcW w:w="610" w:type="dxa"/>
            <w:tcBorders>
              <w:top w:val="nil"/>
              <w:left w:val="nil"/>
              <w:bottom w:val="nil"/>
              <w:right w:val="nil"/>
            </w:tcBorders>
            <w:noWrap/>
            <w:vAlign w:val="center"/>
            <w:hideMark/>
          </w:tcPr>
          <w:p w14:paraId="459274BC"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Very High</w:t>
            </w:r>
          </w:p>
        </w:tc>
      </w:tr>
      <w:tr w:rsidR="0077412F" w:rsidRPr="0077412F" w14:paraId="4A6618A3" w14:textId="77777777" w:rsidTr="0077412F">
        <w:trPr>
          <w:trHeight w:val="144"/>
          <w:jc w:val="center"/>
        </w:trPr>
        <w:tc>
          <w:tcPr>
            <w:tcW w:w="1170" w:type="dxa"/>
            <w:tcBorders>
              <w:top w:val="nil"/>
              <w:left w:val="nil"/>
              <w:bottom w:val="nil"/>
              <w:right w:val="nil"/>
            </w:tcBorders>
            <w:noWrap/>
            <w:vAlign w:val="center"/>
            <w:hideMark/>
          </w:tcPr>
          <w:p w14:paraId="5D613CA9" w14:textId="77777777" w:rsidR="0077412F" w:rsidRPr="0077412F" w:rsidRDefault="0077412F" w:rsidP="008011CF">
            <w:pPr>
              <w:rPr>
                <w:rFonts w:ascii="Arial Narrow" w:hAnsi="Arial Narrow"/>
                <w:color w:val="000000"/>
                <w:sz w:val="12"/>
                <w:szCs w:val="12"/>
              </w:rPr>
            </w:pPr>
            <w:r w:rsidRPr="0077412F">
              <w:rPr>
                <w:rFonts w:ascii="Arial Narrow" w:hAnsi="Arial Narrow"/>
                <w:color w:val="000000"/>
                <w:sz w:val="12"/>
                <w:szCs w:val="12"/>
              </w:rPr>
              <w:t>Annual Operational Budget</w:t>
            </w:r>
          </w:p>
        </w:tc>
        <w:tc>
          <w:tcPr>
            <w:tcW w:w="619" w:type="dxa"/>
            <w:tcBorders>
              <w:top w:val="nil"/>
              <w:left w:val="nil"/>
              <w:bottom w:val="nil"/>
              <w:right w:val="nil"/>
            </w:tcBorders>
            <w:noWrap/>
            <w:vAlign w:val="center"/>
            <w:hideMark/>
          </w:tcPr>
          <w:p w14:paraId="7660F6FC"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 xml:space="preserve"> </w:t>
            </w:r>
          </w:p>
        </w:tc>
        <w:tc>
          <w:tcPr>
            <w:tcW w:w="390" w:type="dxa"/>
            <w:tcBorders>
              <w:top w:val="nil"/>
              <w:left w:val="nil"/>
              <w:bottom w:val="nil"/>
              <w:right w:val="nil"/>
            </w:tcBorders>
            <w:noWrap/>
            <w:vAlign w:val="center"/>
            <w:hideMark/>
          </w:tcPr>
          <w:p w14:paraId="00F0085A"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 xml:space="preserve"> </w:t>
            </w:r>
          </w:p>
        </w:tc>
        <w:tc>
          <w:tcPr>
            <w:tcW w:w="633" w:type="dxa"/>
            <w:tcBorders>
              <w:top w:val="nil"/>
              <w:left w:val="nil"/>
              <w:bottom w:val="nil"/>
              <w:right w:val="nil"/>
            </w:tcBorders>
            <w:noWrap/>
            <w:vAlign w:val="center"/>
            <w:hideMark/>
          </w:tcPr>
          <w:p w14:paraId="137D2044"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 xml:space="preserve"> </w:t>
            </w:r>
          </w:p>
        </w:tc>
        <w:tc>
          <w:tcPr>
            <w:tcW w:w="390" w:type="dxa"/>
            <w:tcBorders>
              <w:top w:val="nil"/>
              <w:left w:val="nil"/>
              <w:bottom w:val="nil"/>
              <w:right w:val="nil"/>
            </w:tcBorders>
            <w:noWrap/>
            <w:vAlign w:val="center"/>
            <w:hideMark/>
          </w:tcPr>
          <w:p w14:paraId="424B93B1"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 xml:space="preserve"> </w:t>
            </w:r>
          </w:p>
        </w:tc>
        <w:tc>
          <w:tcPr>
            <w:tcW w:w="391" w:type="dxa"/>
            <w:tcBorders>
              <w:top w:val="nil"/>
              <w:left w:val="nil"/>
              <w:bottom w:val="nil"/>
              <w:right w:val="nil"/>
            </w:tcBorders>
            <w:noWrap/>
            <w:vAlign w:val="center"/>
            <w:hideMark/>
          </w:tcPr>
          <w:p w14:paraId="686DBB1D"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 xml:space="preserve"> </w:t>
            </w:r>
          </w:p>
        </w:tc>
        <w:tc>
          <w:tcPr>
            <w:tcW w:w="634" w:type="dxa"/>
            <w:tcBorders>
              <w:top w:val="nil"/>
              <w:left w:val="nil"/>
              <w:bottom w:val="nil"/>
              <w:right w:val="nil"/>
            </w:tcBorders>
            <w:noWrap/>
            <w:vAlign w:val="center"/>
            <w:hideMark/>
          </w:tcPr>
          <w:p w14:paraId="54B0268B"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 xml:space="preserve"> </w:t>
            </w:r>
          </w:p>
        </w:tc>
        <w:tc>
          <w:tcPr>
            <w:tcW w:w="391" w:type="dxa"/>
            <w:tcBorders>
              <w:top w:val="nil"/>
              <w:left w:val="nil"/>
              <w:bottom w:val="nil"/>
              <w:right w:val="nil"/>
            </w:tcBorders>
            <w:noWrap/>
            <w:vAlign w:val="center"/>
            <w:hideMark/>
          </w:tcPr>
          <w:p w14:paraId="04C388A1"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 xml:space="preserve"> </w:t>
            </w:r>
          </w:p>
        </w:tc>
        <w:tc>
          <w:tcPr>
            <w:tcW w:w="391" w:type="dxa"/>
            <w:tcBorders>
              <w:top w:val="nil"/>
              <w:left w:val="nil"/>
              <w:bottom w:val="nil"/>
              <w:right w:val="nil"/>
            </w:tcBorders>
            <w:noWrap/>
            <w:vAlign w:val="center"/>
            <w:hideMark/>
          </w:tcPr>
          <w:p w14:paraId="5C5D2BB4"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 xml:space="preserve"> </w:t>
            </w:r>
          </w:p>
        </w:tc>
        <w:tc>
          <w:tcPr>
            <w:tcW w:w="415" w:type="dxa"/>
            <w:tcBorders>
              <w:top w:val="nil"/>
              <w:left w:val="nil"/>
              <w:bottom w:val="nil"/>
              <w:right w:val="nil"/>
            </w:tcBorders>
            <w:noWrap/>
            <w:vAlign w:val="center"/>
            <w:hideMark/>
          </w:tcPr>
          <w:p w14:paraId="7D628076"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 xml:space="preserve"> </w:t>
            </w:r>
          </w:p>
        </w:tc>
        <w:tc>
          <w:tcPr>
            <w:tcW w:w="391" w:type="dxa"/>
            <w:tcBorders>
              <w:top w:val="nil"/>
              <w:left w:val="nil"/>
              <w:bottom w:val="nil"/>
              <w:right w:val="nil"/>
            </w:tcBorders>
            <w:noWrap/>
            <w:vAlign w:val="center"/>
            <w:hideMark/>
          </w:tcPr>
          <w:p w14:paraId="46E73A89"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 xml:space="preserve"> </w:t>
            </w:r>
          </w:p>
        </w:tc>
        <w:tc>
          <w:tcPr>
            <w:tcW w:w="391" w:type="dxa"/>
            <w:tcBorders>
              <w:top w:val="nil"/>
              <w:left w:val="nil"/>
              <w:bottom w:val="nil"/>
              <w:right w:val="nil"/>
            </w:tcBorders>
            <w:noWrap/>
            <w:vAlign w:val="center"/>
            <w:hideMark/>
          </w:tcPr>
          <w:p w14:paraId="2FBD636D"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 xml:space="preserve"> </w:t>
            </w:r>
          </w:p>
        </w:tc>
        <w:tc>
          <w:tcPr>
            <w:tcW w:w="610" w:type="dxa"/>
            <w:tcBorders>
              <w:top w:val="nil"/>
              <w:left w:val="nil"/>
              <w:bottom w:val="nil"/>
              <w:right w:val="nil"/>
            </w:tcBorders>
            <w:noWrap/>
            <w:vAlign w:val="center"/>
            <w:hideMark/>
          </w:tcPr>
          <w:p w14:paraId="0F9C1548"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 xml:space="preserve"> </w:t>
            </w:r>
          </w:p>
        </w:tc>
        <w:tc>
          <w:tcPr>
            <w:tcW w:w="391" w:type="dxa"/>
            <w:tcBorders>
              <w:top w:val="nil"/>
              <w:left w:val="nil"/>
              <w:bottom w:val="nil"/>
              <w:right w:val="nil"/>
            </w:tcBorders>
            <w:noWrap/>
            <w:vAlign w:val="center"/>
            <w:hideMark/>
          </w:tcPr>
          <w:p w14:paraId="71E925F9"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 xml:space="preserve"> </w:t>
            </w:r>
          </w:p>
        </w:tc>
        <w:tc>
          <w:tcPr>
            <w:tcW w:w="391" w:type="dxa"/>
            <w:tcBorders>
              <w:top w:val="nil"/>
              <w:left w:val="nil"/>
              <w:bottom w:val="nil"/>
              <w:right w:val="nil"/>
            </w:tcBorders>
            <w:noWrap/>
            <w:vAlign w:val="center"/>
            <w:hideMark/>
          </w:tcPr>
          <w:p w14:paraId="1862B1DA"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 xml:space="preserve"> </w:t>
            </w:r>
          </w:p>
        </w:tc>
        <w:tc>
          <w:tcPr>
            <w:tcW w:w="610" w:type="dxa"/>
            <w:tcBorders>
              <w:top w:val="nil"/>
              <w:left w:val="nil"/>
              <w:bottom w:val="nil"/>
              <w:right w:val="nil"/>
            </w:tcBorders>
            <w:noWrap/>
            <w:vAlign w:val="center"/>
            <w:hideMark/>
          </w:tcPr>
          <w:p w14:paraId="1D4DBD5B"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 xml:space="preserve"> </w:t>
            </w:r>
          </w:p>
        </w:tc>
      </w:tr>
      <w:tr w:rsidR="0077412F" w:rsidRPr="0077412F" w14:paraId="6DE33324" w14:textId="77777777" w:rsidTr="0077412F">
        <w:trPr>
          <w:trHeight w:val="144"/>
          <w:jc w:val="center"/>
        </w:trPr>
        <w:tc>
          <w:tcPr>
            <w:tcW w:w="1170" w:type="dxa"/>
            <w:tcBorders>
              <w:top w:val="nil"/>
              <w:left w:val="nil"/>
              <w:bottom w:val="nil"/>
              <w:right w:val="nil"/>
            </w:tcBorders>
            <w:noWrap/>
            <w:vAlign w:val="center"/>
            <w:hideMark/>
          </w:tcPr>
          <w:p w14:paraId="49CBF11E" w14:textId="77777777" w:rsidR="0077412F" w:rsidRPr="0077412F" w:rsidRDefault="0077412F" w:rsidP="008011CF">
            <w:pPr>
              <w:rPr>
                <w:rFonts w:ascii="Arial Narrow" w:hAnsi="Arial Narrow"/>
                <w:color w:val="000000"/>
                <w:sz w:val="12"/>
                <w:szCs w:val="12"/>
              </w:rPr>
            </w:pPr>
            <w:r w:rsidRPr="0077412F">
              <w:rPr>
                <w:rFonts w:ascii="Arial Narrow" w:hAnsi="Arial Narrow"/>
                <w:color w:val="000000"/>
                <w:sz w:val="12"/>
                <w:szCs w:val="12"/>
              </w:rPr>
              <w:t xml:space="preserve">   Lower Budget Capacity</w:t>
            </w:r>
          </w:p>
        </w:tc>
        <w:tc>
          <w:tcPr>
            <w:tcW w:w="619" w:type="dxa"/>
            <w:tcBorders>
              <w:top w:val="nil"/>
              <w:left w:val="nil"/>
              <w:bottom w:val="nil"/>
              <w:right w:val="nil"/>
            </w:tcBorders>
            <w:noWrap/>
            <w:vAlign w:val="center"/>
            <w:hideMark/>
          </w:tcPr>
          <w:p w14:paraId="2FEDE5D0"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3.23</w:t>
            </w:r>
          </w:p>
        </w:tc>
        <w:tc>
          <w:tcPr>
            <w:tcW w:w="390" w:type="dxa"/>
            <w:tcBorders>
              <w:top w:val="nil"/>
              <w:left w:val="nil"/>
              <w:bottom w:val="nil"/>
              <w:right w:val="nil"/>
            </w:tcBorders>
            <w:noWrap/>
            <w:vAlign w:val="center"/>
            <w:hideMark/>
          </w:tcPr>
          <w:p w14:paraId="54963534"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0.50</w:t>
            </w:r>
          </w:p>
        </w:tc>
        <w:tc>
          <w:tcPr>
            <w:tcW w:w="633" w:type="dxa"/>
            <w:tcBorders>
              <w:top w:val="nil"/>
              <w:left w:val="nil"/>
              <w:bottom w:val="nil"/>
              <w:right w:val="nil"/>
            </w:tcBorders>
            <w:noWrap/>
            <w:vAlign w:val="center"/>
            <w:hideMark/>
          </w:tcPr>
          <w:p w14:paraId="2183E129"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High</w:t>
            </w:r>
          </w:p>
        </w:tc>
        <w:tc>
          <w:tcPr>
            <w:tcW w:w="390" w:type="dxa"/>
            <w:tcBorders>
              <w:top w:val="nil"/>
              <w:left w:val="nil"/>
              <w:bottom w:val="nil"/>
              <w:right w:val="nil"/>
            </w:tcBorders>
            <w:noWrap/>
            <w:vAlign w:val="center"/>
            <w:hideMark/>
          </w:tcPr>
          <w:p w14:paraId="5B61B07E"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3.38</w:t>
            </w:r>
          </w:p>
        </w:tc>
        <w:tc>
          <w:tcPr>
            <w:tcW w:w="391" w:type="dxa"/>
            <w:tcBorders>
              <w:top w:val="nil"/>
              <w:left w:val="nil"/>
              <w:bottom w:val="nil"/>
              <w:right w:val="nil"/>
            </w:tcBorders>
            <w:noWrap/>
            <w:vAlign w:val="center"/>
            <w:hideMark/>
          </w:tcPr>
          <w:p w14:paraId="4DBCC05E"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0.61</w:t>
            </w:r>
          </w:p>
        </w:tc>
        <w:tc>
          <w:tcPr>
            <w:tcW w:w="634" w:type="dxa"/>
            <w:tcBorders>
              <w:top w:val="nil"/>
              <w:left w:val="nil"/>
              <w:bottom w:val="nil"/>
              <w:right w:val="nil"/>
            </w:tcBorders>
            <w:noWrap/>
            <w:vAlign w:val="center"/>
            <w:hideMark/>
          </w:tcPr>
          <w:p w14:paraId="5D2CB3E2"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Very High</w:t>
            </w:r>
          </w:p>
        </w:tc>
        <w:tc>
          <w:tcPr>
            <w:tcW w:w="391" w:type="dxa"/>
            <w:tcBorders>
              <w:top w:val="nil"/>
              <w:left w:val="nil"/>
              <w:bottom w:val="nil"/>
              <w:right w:val="nil"/>
            </w:tcBorders>
            <w:noWrap/>
            <w:vAlign w:val="center"/>
            <w:hideMark/>
          </w:tcPr>
          <w:p w14:paraId="16FDC7DC"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3.18</w:t>
            </w:r>
          </w:p>
        </w:tc>
        <w:tc>
          <w:tcPr>
            <w:tcW w:w="391" w:type="dxa"/>
            <w:tcBorders>
              <w:top w:val="nil"/>
              <w:left w:val="nil"/>
              <w:bottom w:val="nil"/>
              <w:right w:val="nil"/>
            </w:tcBorders>
            <w:noWrap/>
            <w:vAlign w:val="center"/>
            <w:hideMark/>
          </w:tcPr>
          <w:p w14:paraId="20E905D6"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0.62</w:t>
            </w:r>
          </w:p>
        </w:tc>
        <w:tc>
          <w:tcPr>
            <w:tcW w:w="415" w:type="dxa"/>
            <w:tcBorders>
              <w:top w:val="nil"/>
              <w:left w:val="nil"/>
              <w:bottom w:val="nil"/>
              <w:right w:val="nil"/>
            </w:tcBorders>
            <w:noWrap/>
            <w:vAlign w:val="center"/>
            <w:hideMark/>
          </w:tcPr>
          <w:p w14:paraId="26919E16"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High</w:t>
            </w:r>
          </w:p>
        </w:tc>
        <w:tc>
          <w:tcPr>
            <w:tcW w:w="391" w:type="dxa"/>
            <w:tcBorders>
              <w:top w:val="nil"/>
              <w:left w:val="nil"/>
              <w:bottom w:val="nil"/>
              <w:right w:val="nil"/>
            </w:tcBorders>
            <w:noWrap/>
            <w:vAlign w:val="center"/>
            <w:hideMark/>
          </w:tcPr>
          <w:p w14:paraId="3B6A8670"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3.14</w:t>
            </w:r>
          </w:p>
        </w:tc>
        <w:tc>
          <w:tcPr>
            <w:tcW w:w="391" w:type="dxa"/>
            <w:tcBorders>
              <w:top w:val="nil"/>
              <w:left w:val="nil"/>
              <w:bottom w:val="nil"/>
              <w:right w:val="nil"/>
            </w:tcBorders>
            <w:noWrap/>
            <w:vAlign w:val="center"/>
            <w:hideMark/>
          </w:tcPr>
          <w:p w14:paraId="00B4455E"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0.51</w:t>
            </w:r>
          </w:p>
        </w:tc>
        <w:tc>
          <w:tcPr>
            <w:tcW w:w="610" w:type="dxa"/>
            <w:tcBorders>
              <w:top w:val="nil"/>
              <w:left w:val="nil"/>
              <w:bottom w:val="nil"/>
              <w:right w:val="nil"/>
            </w:tcBorders>
            <w:noWrap/>
            <w:vAlign w:val="center"/>
            <w:hideMark/>
          </w:tcPr>
          <w:p w14:paraId="1ED5CFFD"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High</w:t>
            </w:r>
          </w:p>
        </w:tc>
        <w:tc>
          <w:tcPr>
            <w:tcW w:w="391" w:type="dxa"/>
            <w:tcBorders>
              <w:top w:val="nil"/>
              <w:left w:val="nil"/>
              <w:bottom w:val="nil"/>
              <w:right w:val="nil"/>
            </w:tcBorders>
            <w:noWrap/>
            <w:vAlign w:val="center"/>
            <w:hideMark/>
          </w:tcPr>
          <w:p w14:paraId="0B98D02A"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3.23</w:t>
            </w:r>
          </w:p>
        </w:tc>
        <w:tc>
          <w:tcPr>
            <w:tcW w:w="391" w:type="dxa"/>
            <w:tcBorders>
              <w:top w:val="nil"/>
              <w:left w:val="nil"/>
              <w:bottom w:val="nil"/>
              <w:right w:val="nil"/>
            </w:tcBorders>
            <w:noWrap/>
            <w:vAlign w:val="center"/>
            <w:hideMark/>
          </w:tcPr>
          <w:p w14:paraId="0076A388"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0.50</w:t>
            </w:r>
          </w:p>
        </w:tc>
        <w:tc>
          <w:tcPr>
            <w:tcW w:w="610" w:type="dxa"/>
            <w:tcBorders>
              <w:top w:val="nil"/>
              <w:left w:val="nil"/>
              <w:bottom w:val="nil"/>
              <w:right w:val="nil"/>
            </w:tcBorders>
            <w:noWrap/>
            <w:vAlign w:val="center"/>
            <w:hideMark/>
          </w:tcPr>
          <w:p w14:paraId="626C4014"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High</w:t>
            </w:r>
          </w:p>
        </w:tc>
      </w:tr>
      <w:tr w:rsidR="0077412F" w:rsidRPr="0077412F" w14:paraId="5FE35658" w14:textId="77777777" w:rsidTr="0077412F">
        <w:trPr>
          <w:trHeight w:val="144"/>
          <w:jc w:val="center"/>
        </w:trPr>
        <w:tc>
          <w:tcPr>
            <w:tcW w:w="1170" w:type="dxa"/>
            <w:tcBorders>
              <w:top w:val="nil"/>
              <w:left w:val="nil"/>
              <w:bottom w:val="nil"/>
              <w:right w:val="nil"/>
            </w:tcBorders>
            <w:noWrap/>
            <w:vAlign w:val="center"/>
            <w:hideMark/>
          </w:tcPr>
          <w:p w14:paraId="402DE10B" w14:textId="77777777" w:rsidR="0077412F" w:rsidRPr="0077412F" w:rsidRDefault="0077412F" w:rsidP="008011CF">
            <w:pPr>
              <w:rPr>
                <w:rFonts w:ascii="Arial Narrow" w:hAnsi="Arial Narrow"/>
                <w:color w:val="000000"/>
                <w:sz w:val="12"/>
                <w:szCs w:val="12"/>
              </w:rPr>
            </w:pPr>
            <w:r w:rsidRPr="0077412F">
              <w:rPr>
                <w:rFonts w:ascii="Arial Narrow" w:hAnsi="Arial Narrow"/>
                <w:color w:val="000000"/>
                <w:sz w:val="12"/>
                <w:szCs w:val="12"/>
              </w:rPr>
              <w:t xml:space="preserve">   Higher Budget Capacity</w:t>
            </w:r>
          </w:p>
        </w:tc>
        <w:tc>
          <w:tcPr>
            <w:tcW w:w="619" w:type="dxa"/>
            <w:tcBorders>
              <w:top w:val="nil"/>
              <w:left w:val="nil"/>
              <w:bottom w:val="nil"/>
              <w:right w:val="nil"/>
            </w:tcBorders>
            <w:noWrap/>
            <w:vAlign w:val="center"/>
            <w:hideMark/>
          </w:tcPr>
          <w:p w14:paraId="3B1F2B4D"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3.33</w:t>
            </w:r>
          </w:p>
        </w:tc>
        <w:tc>
          <w:tcPr>
            <w:tcW w:w="390" w:type="dxa"/>
            <w:tcBorders>
              <w:top w:val="nil"/>
              <w:left w:val="nil"/>
              <w:bottom w:val="nil"/>
              <w:right w:val="nil"/>
            </w:tcBorders>
            <w:noWrap/>
            <w:vAlign w:val="center"/>
            <w:hideMark/>
          </w:tcPr>
          <w:p w14:paraId="35CD0DAD"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0.46</w:t>
            </w:r>
          </w:p>
        </w:tc>
        <w:tc>
          <w:tcPr>
            <w:tcW w:w="633" w:type="dxa"/>
            <w:tcBorders>
              <w:top w:val="nil"/>
              <w:left w:val="nil"/>
              <w:bottom w:val="nil"/>
              <w:right w:val="nil"/>
            </w:tcBorders>
            <w:noWrap/>
            <w:vAlign w:val="center"/>
            <w:hideMark/>
          </w:tcPr>
          <w:p w14:paraId="1692847C"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Very High</w:t>
            </w:r>
          </w:p>
        </w:tc>
        <w:tc>
          <w:tcPr>
            <w:tcW w:w="390" w:type="dxa"/>
            <w:tcBorders>
              <w:top w:val="nil"/>
              <w:left w:val="nil"/>
              <w:bottom w:val="nil"/>
              <w:right w:val="nil"/>
            </w:tcBorders>
            <w:noWrap/>
            <w:vAlign w:val="center"/>
            <w:hideMark/>
          </w:tcPr>
          <w:p w14:paraId="0DF14C56"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3.35</w:t>
            </w:r>
          </w:p>
        </w:tc>
        <w:tc>
          <w:tcPr>
            <w:tcW w:w="391" w:type="dxa"/>
            <w:tcBorders>
              <w:top w:val="nil"/>
              <w:left w:val="nil"/>
              <w:bottom w:val="nil"/>
              <w:right w:val="nil"/>
            </w:tcBorders>
            <w:noWrap/>
            <w:vAlign w:val="center"/>
            <w:hideMark/>
          </w:tcPr>
          <w:p w14:paraId="7D0A370F"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0.45</w:t>
            </w:r>
          </w:p>
        </w:tc>
        <w:tc>
          <w:tcPr>
            <w:tcW w:w="634" w:type="dxa"/>
            <w:tcBorders>
              <w:top w:val="nil"/>
              <w:left w:val="nil"/>
              <w:bottom w:val="nil"/>
              <w:right w:val="nil"/>
            </w:tcBorders>
            <w:noWrap/>
            <w:vAlign w:val="center"/>
            <w:hideMark/>
          </w:tcPr>
          <w:p w14:paraId="0BEF4705"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Very High</w:t>
            </w:r>
          </w:p>
        </w:tc>
        <w:tc>
          <w:tcPr>
            <w:tcW w:w="391" w:type="dxa"/>
            <w:tcBorders>
              <w:top w:val="nil"/>
              <w:left w:val="nil"/>
              <w:bottom w:val="nil"/>
              <w:right w:val="nil"/>
            </w:tcBorders>
            <w:noWrap/>
            <w:vAlign w:val="center"/>
            <w:hideMark/>
          </w:tcPr>
          <w:p w14:paraId="75843500"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3.16</w:t>
            </w:r>
          </w:p>
        </w:tc>
        <w:tc>
          <w:tcPr>
            <w:tcW w:w="391" w:type="dxa"/>
            <w:tcBorders>
              <w:top w:val="nil"/>
              <w:left w:val="nil"/>
              <w:bottom w:val="nil"/>
              <w:right w:val="nil"/>
            </w:tcBorders>
            <w:noWrap/>
            <w:vAlign w:val="center"/>
            <w:hideMark/>
          </w:tcPr>
          <w:p w14:paraId="6BF224F4"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0.46</w:t>
            </w:r>
          </w:p>
        </w:tc>
        <w:tc>
          <w:tcPr>
            <w:tcW w:w="415" w:type="dxa"/>
            <w:tcBorders>
              <w:top w:val="nil"/>
              <w:left w:val="nil"/>
              <w:bottom w:val="nil"/>
              <w:right w:val="nil"/>
            </w:tcBorders>
            <w:noWrap/>
            <w:vAlign w:val="center"/>
            <w:hideMark/>
          </w:tcPr>
          <w:p w14:paraId="43808A78"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High</w:t>
            </w:r>
          </w:p>
        </w:tc>
        <w:tc>
          <w:tcPr>
            <w:tcW w:w="391" w:type="dxa"/>
            <w:tcBorders>
              <w:top w:val="nil"/>
              <w:left w:val="nil"/>
              <w:bottom w:val="nil"/>
              <w:right w:val="nil"/>
            </w:tcBorders>
            <w:noWrap/>
            <w:vAlign w:val="center"/>
            <w:hideMark/>
          </w:tcPr>
          <w:p w14:paraId="354CF1BD"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3.28</w:t>
            </w:r>
          </w:p>
        </w:tc>
        <w:tc>
          <w:tcPr>
            <w:tcW w:w="391" w:type="dxa"/>
            <w:tcBorders>
              <w:top w:val="nil"/>
              <w:left w:val="nil"/>
              <w:bottom w:val="nil"/>
              <w:right w:val="nil"/>
            </w:tcBorders>
            <w:noWrap/>
            <w:vAlign w:val="center"/>
            <w:hideMark/>
          </w:tcPr>
          <w:p w14:paraId="63E2B8D3"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0.47</w:t>
            </w:r>
          </w:p>
        </w:tc>
        <w:tc>
          <w:tcPr>
            <w:tcW w:w="610" w:type="dxa"/>
            <w:tcBorders>
              <w:top w:val="nil"/>
              <w:left w:val="nil"/>
              <w:bottom w:val="nil"/>
              <w:right w:val="nil"/>
            </w:tcBorders>
            <w:noWrap/>
            <w:vAlign w:val="center"/>
            <w:hideMark/>
          </w:tcPr>
          <w:p w14:paraId="0BD95657"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Very High</w:t>
            </w:r>
          </w:p>
        </w:tc>
        <w:tc>
          <w:tcPr>
            <w:tcW w:w="391" w:type="dxa"/>
            <w:tcBorders>
              <w:top w:val="nil"/>
              <w:left w:val="nil"/>
              <w:bottom w:val="nil"/>
              <w:right w:val="nil"/>
            </w:tcBorders>
            <w:noWrap/>
            <w:vAlign w:val="center"/>
            <w:hideMark/>
          </w:tcPr>
          <w:p w14:paraId="2BD1F95C"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3.28</w:t>
            </w:r>
          </w:p>
        </w:tc>
        <w:tc>
          <w:tcPr>
            <w:tcW w:w="391" w:type="dxa"/>
            <w:tcBorders>
              <w:top w:val="nil"/>
              <w:left w:val="nil"/>
              <w:bottom w:val="nil"/>
              <w:right w:val="nil"/>
            </w:tcBorders>
            <w:noWrap/>
            <w:vAlign w:val="center"/>
            <w:hideMark/>
          </w:tcPr>
          <w:p w14:paraId="31580947"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0.44</w:t>
            </w:r>
          </w:p>
        </w:tc>
        <w:tc>
          <w:tcPr>
            <w:tcW w:w="610" w:type="dxa"/>
            <w:tcBorders>
              <w:top w:val="nil"/>
              <w:left w:val="nil"/>
              <w:bottom w:val="nil"/>
              <w:right w:val="nil"/>
            </w:tcBorders>
            <w:noWrap/>
            <w:vAlign w:val="center"/>
            <w:hideMark/>
          </w:tcPr>
          <w:p w14:paraId="1968ADE1"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Very High</w:t>
            </w:r>
          </w:p>
        </w:tc>
      </w:tr>
      <w:tr w:rsidR="0077412F" w:rsidRPr="0077412F" w14:paraId="677F52CB" w14:textId="77777777" w:rsidTr="0077412F">
        <w:trPr>
          <w:trHeight w:val="144"/>
          <w:jc w:val="center"/>
        </w:trPr>
        <w:tc>
          <w:tcPr>
            <w:tcW w:w="2812" w:type="dxa"/>
            <w:gridSpan w:val="4"/>
            <w:tcBorders>
              <w:top w:val="nil"/>
              <w:left w:val="nil"/>
              <w:bottom w:val="nil"/>
              <w:right w:val="nil"/>
            </w:tcBorders>
            <w:noWrap/>
            <w:vAlign w:val="center"/>
            <w:hideMark/>
          </w:tcPr>
          <w:p w14:paraId="2F74645B" w14:textId="77777777" w:rsidR="0077412F" w:rsidRPr="0077412F" w:rsidRDefault="0077412F" w:rsidP="008011CF">
            <w:pPr>
              <w:rPr>
                <w:rFonts w:ascii="Arial Narrow" w:hAnsi="Arial Narrow"/>
                <w:color w:val="000000"/>
                <w:sz w:val="12"/>
                <w:szCs w:val="12"/>
              </w:rPr>
            </w:pPr>
            <w:r w:rsidRPr="0077412F">
              <w:rPr>
                <w:rFonts w:ascii="Arial Narrow" w:hAnsi="Arial Narrow"/>
                <w:color w:val="000000"/>
                <w:sz w:val="12"/>
                <w:szCs w:val="12"/>
              </w:rPr>
              <w:t xml:space="preserve">Number of Accredited Programs </w:t>
            </w:r>
          </w:p>
        </w:tc>
        <w:tc>
          <w:tcPr>
            <w:tcW w:w="390" w:type="dxa"/>
            <w:tcBorders>
              <w:top w:val="nil"/>
              <w:left w:val="nil"/>
              <w:bottom w:val="nil"/>
              <w:right w:val="nil"/>
            </w:tcBorders>
            <w:noWrap/>
            <w:vAlign w:val="center"/>
            <w:hideMark/>
          </w:tcPr>
          <w:p w14:paraId="1F3AD09A"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 xml:space="preserve"> </w:t>
            </w:r>
          </w:p>
        </w:tc>
        <w:tc>
          <w:tcPr>
            <w:tcW w:w="391" w:type="dxa"/>
            <w:tcBorders>
              <w:top w:val="nil"/>
              <w:left w:val="nil"/>
              <w:bottom w:val="nil"/>
              <w:right w:val="nil"/>
            </w:tcBorders>
            <w:noWrap/>
            <w:vAlign w:val="center"/>
            <w:hideMark/>
          </w:tcPr>
          <w:p w14:paraId="2E6159BF"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 xml:space="preserve"> </w:t>
            </w:r>
          </w:p>
        </w:tc>
        <w:tc>
          <w:tcPr>
            <w:tcW w:w="634" w:type="dxa"/>
            <w:tcBorders>
              <w:top w:val="nil"/>
              <w:left w:val="nil"/>
              <w:bottom w:val="nil"/>
              <w:right w:val="nil"/>
            </w:tcBorders>
            <w:noWrap/>
            <w:vAlign w:val="center"/>
            <w:hideMark/>
          </w:tcPr>
          <w:p w14:paraId="67BCB7E5"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 xml:space="preserve"> </w:t>
            </w:r>
          </w:p>
        </w:tc>
        <w:tc>
          <w:tcPr>
            <w:tcW w:w="391" w:type="dxa"/>
            <w:tcBorders>
              <w:top w:val="nil"/>
              <w:left w:val="nil"/>
              <w:bottom w:val="nil"/>
              <w:right w:val="nil"/>
            </w:tcBorders>
            <w:noWrap/>
            <w:vAlign w:val="center"/>
            <w:hideMark/>
          </w:tcPr>
          <w:p w14:paraId="4DE7BF48"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 xml:space="preserve"> </w:t>
            </w:r>
          </w:p>
        </w:tc>
        <w:tc>
          <w:tcPr>
            <w:tcW w:w="391" w:type="dxa"/>
            <w:tcBorders>
              <w:top w:val="nil"/>
              <w:left w:val="nil"/>
              <w:bottom w:val="nil"/>
              <w:right w:val="nil"/>
            </w:tcBorders>
            <w:noWrap/>
            <w:vAlign w:val="center"/>
            <w:hideMark/>
          </w:tcPr>
          <w:p w14:paraId="4EA206FF"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 xml:space="preserve"> </w:t>
            </w:r>
          </w:p>
        </w:tc>
        <w:tc>
          <w:tcPr>
            <w:tcW w:w="415" w:type="dxa"/>
            <w:tcBorders>
              <w:top w:val="nil"/>
              <w:left w:val="nil"/>
              <w:bottom w:val="nil"/>
              <w:right w:val="nil"/>
            </w:tcBorders>
            <w:noWrap/>
            <w:vAlign w:val="center"/>
            <w:hideMark/>
          </w:tcPr>
          <w:p w14:paraId="38F3364F"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 xml:space="preserve"> </w:t>
            </w:r>
          </w:p>
        </w:tc>
        <w:tc>
          <w:tcPr>
            <w:tcW w:w="391" w:type="dxa"/>
            <w:tcBorders>
              <w:top w:val="nil"/>
              <w:left w:val="nil"/>
              <w:bottom w:val="nil"/>
              <w:right w:val="nil"/>
            </w:tcBorders>
            <w:noWrap/>
            <w:vAlign w:val="center"/>
            <w:hideMark/>
          </w:tcPr>
          <w:p w14:paraId="65774E16"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 xml:space="preserve"> </w:t>
            </w:r>
          </w:p>
        </w:tc>
        <w:tc>
          <w:tcPr>
            <w:tcW w:w="391" w:type="dxa"/>
            <w:tcBorders>
              <w:top w:val="nil"/>
              <w:left w:val="nil"/>
              <w:bottom w:val="nil"/>
              <w:right w:val="nil"/>
            </w:tcBorders>
            <w:noWrap/>
            <w:vAlign w:val="center"/>
            <w:hideMark/>
          </w:tcPr>
          <w:p w14:paraId="2CFB9695"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 xml:space="preserve"> </w:t>
            </w:r>
          </w:p>
        </w:tc>
        <w:tc>
          <w:tcPr>
            <w:tcW w:w="610" w:type="dxa"/>
            <w:tcBorders>
              <w:top w:val="nil"/>
              <w:left w:val="nil"/>
              <w:bottom w:val="nil"/>
              <w:right w:val="nil"/>
            </w:tcBorders>
            <w:noWrap/>
            <w:vAlign w:val="center"/>
            <w:hideMark/>
          </w:tcPr>
          <w:p w14:paraId="4ACC9DE2"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 xml:space="preserve"> </w:t>
            </w:r>
          </w:p>
        </w:tc>
        <w:tc>
          <w:tcPr>
            <w:tcW w:w="391" w:type="dxa"/>
            <w:tcBorders>
              <w:top w:val="nil"/>
              <w:left w:val="nil"/>
              <w:bottom w:val="nil"/>
              <w:right w:val="nil"/>
            </w:tcBorders>
            <w:noWrap/>
            <w:vAlign w:val="center"/>
            <w:hideMark/>
          </w:tcPr>
          <w:p w14:paraId="26D1B315"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 xml:space="preserve"> </w:t>
            </w:r>
          </w:p>
        </w:tc>
        <w:tc>
          <w:tcPr>
            <w:tcW w:w="391" w:type="dxa"/>
            <w:tcBorders>
              <w:top w:val="nil"/>
              <w:left w:val="nil"/>
              <w:bottom w:val="nil"/>
              <w:right w:val="nil"/>
            </w:tcBorders>
            <w:noWrap/>
            <w:vAlign w:val="center"/>
            <w:hideMark/>
          </w:tcPr>
          <w:p w14:paraId="55CFE726"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 xml:space="preserve"> </w:t>
            </w:r>
          </w:p>
        </w:tc>
        <w:tc>
          <w:tcPr>
            <w:tcW w:w="610" w:type="dxa"/>
            <w:tcBorders>
              <w:top w:val="nil"/>
              <w:left w:val="nil"/>
              <w:bottom w:val="nil"/>
              <w:right w:val="nil"/>
            </w:tcBorders>
            <w:noWrap/>
            <w:vAlign w:val="center"/>
            <w:hideMark/>
          </w:tcPr>
          <w:p w14:paraId="23E37153"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 xml:space="preserve"> </w:t>
            </w:r>
          </w:p>
        </w:tc>
      </w:tr>
      <w:tr w:rsidR="0077412F" w:rsidRPr="0077412F" w14:paraId="1969500C" w14:textId="77777777" w:rsidTr="0077412F">
        <w:trPr>
          <w:trHeight w:val="144"/>
          <w:jc w:val="center"/>
        </w:trPr>
        <w:tc>
          <w:tcPr>
            <w:tcW w:w="1170" w:type="dxa"/>
            <w:tcBorders>
              <w:top w:val="nil"/>
              <w:left w:val="nil"/>
              <w:bottom w:val="nil"/>
              <w:right w:val="nil"/>
            </w:tcBorders>
            <w:noWrap/>
            <w:vAlign w:val="center"/>
            <w:hideMark/>
          </w:tcPr>
          <w:p w14:paraId="1A982731" w14:textId="77777777" w:rsidR="0077412F" w:rsidRPr="0077412F" w:rsidRDefault="0077412F" w:rsidP="008011CF">
            <w:pPr>
              <w:rPr>
                <w:rFonts w:ascii="Arial Narrow" w:hAnsi="Arial Narrow"/>
                <w:color w:val="000000"/>
                <w:sz w:val="12"/>
                <w:szCs w:val="12"/>
              </w:rPr>
            </w:pPr>
            <w:r w:rsidRPr="0077412F">
              <w:rPr>
                <w:rFonts w:ascii="Arial Narrow" w:hAnsi="Arial Narrow"/>
                <w:color w:val="000000"/>
                <w:sz w:val="12"/>
                <w:szCs w:val="12"/>
              </w:rPr>
              <w:t xml:space="preserve">   Fewer Accredited Programs</w:t>
            </w:r>
          </w:p>
        </w:tc>
        <w:tc>
          <w:tcPr>
            <w:tcW w:w="619" w:type="dxa"/>
            <w:tcBorders>
              <w:top w:val="nil"/>
              <w:left w:val="nil"/>
              <w:bottom w:val="nil"/>
              <w:right w:val="nil"/>
            </w:tcBorders>
            <w:noWrap/>
            <w:vAlign w:val="center"/>
            <w:hideMark/>
          </w:tcPr>
          <w:p w14:paraId="5A24366D"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3.23</w:t>
            </w:r>
          </w:p>
        </w:tc>
        <w:tc>
          <w:tcPr>
            <w:tcW w:w="390" w:type="dxa"/>
            <w:tcBorders>
              <w:top w:val="nil"/>
              <w:left w:val="nil"/>
              <w:bottom w:val="nil"/>
              <w:right w:val="nil"/>
            </w:tcBorders>
            <w:noWrap/>
            <w:vAlign w:val="center"/>
            <w:hideMark/>
          </w:tcPr>
          <w:p w14:paraId="3A48D335"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0.50</w:t>
            </w:r>
          </w:p>
        </w:tc>
        <w:tc>
          <w:tcPr>
            <w:tcW w:w="633" w:type="dxa"/>
            <w:tcBorders>
              <w:top w:val="nil"/>
              <w:left w:val="nil"/>
              <w:bottom w:val="nil"/>
              <w:right w:val="nil"/>
            </w:tcBorders>
            <w:noWrap/>
            <w:vAlign w:val="center"/>
            <w:hideMark/>
          </w:tcPr>
          <w:p w14:paraId="16DB6967"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High</w:t>
            </w:r>
          </w:p>
        </w:tc>
        <w:tc>
          <w:tcPr>
            <w:tcW w:w="390" w:type="dxa"/>
            <w:tcBorders>
              <w:top w:val="nil"/>
              <w:left w:val="nil"/>
              <w:bottom w:val="nil"/>
              <w:right w:val="nil"/>
            </w:tcBorders>
            <w:noWrap/>
            <w:vAlign w:val="center"/>
            <w:hideMark/>
          </w:tcPr>
          <w:p w14:paraId="7A676364"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3.38</w:t>
            </w:r>
          </w:p>
        </w:tc>
        <w:tc>
          <w:tcPr>
            <w:tcW w:w="391" w:type="dxa"/>
            <w:tcBorders>
              <w:top w:val="nil"/>
              <w:left w:val="nil"/>
              <w:bottom w:val="nil"/>
              <w:right w:val="nil"/>
            </w:tcBorders>
            <w:noWrap/>
            <w:vAlign w:val="center"/>
            <w:hideMark/>
          </w:tcPr>
          <w:p w14:paraId="6B5CDE66"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0.61</w:t>
            </w:r>
          </w:p>
        </w:tc>
        <w:tc>
          <w:tcPr>
            <w:tcW w:w="634" w:type="dxa"/>
            <w:tcBorders>
              <w:top w:val="nil"/>
              <w:left w:val="nil"/>
              <w:bottom w:val="nil"/>
              <w:right w:val="nil"/>
            </w:tcBorders>
            <w:noWrap/>
            <w:vAlign w:val="center"/>
            <w:hideMark/>
          </w:tcPr>
          <w:p w14:paraId="64CCDE9F"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Very High</w:t>
            </w:r>
          </w:p>
        </w:tc>
        <w:tc>
          <w:tcPr>
            <w:tcW w:w="391" w:type="dxa"/>
            <w:tcBorders>
              <w:top w:val="nil"/>
              <w:left w:val="nil"/>
              <w:bottom w:val="nil"/>
              <w:right w:val="nil"/>
            </w:tcBorders>
            <w:noWrap/>
            <w:vAlign w:val="center"/>
            <w:hideMark/>
          </w:tcPr>
          <w:p w14:paraId="22856570"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3.18</w:t>
            </w:r>
          </w:p>
        </w:tc>
        <w:tc>
          <w:tcPr>
            <w:tcW w:w="391" w:type="dxa"/>
            <w:tcBorders>
              <w:top w:val="nil"/>
              <w:left w:val="nil"/>
              <w:bottom w:val="nil"/>
              <w:right w:val="nil"/>
            </w:tcBorders>
            <w:noWrap/>
            <w:vAlign w:val="center"/>
            <w:hideMark/>
          </w:tcPr>
          <w:p w14:paraId="72912DD6"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0.62</w:t>
            </w:r>
          </w:p>
        </w:tc>
        <w:tc>
          <w:tcPr>
            <w:tcW w:w="415" w:type="dxa"/>
            <w:tcBorders>
              <w:top w:val="nil"/>
              <w:left w:val="nil"/>
              <w:bottom w:val="nil"/>
              <w:right w:val="nil"/>
            </w:tcBorders>
            <w:noWrap/>
            <w:vAlign w:val="center"/>
            <w:hideMark/>
          </w:tcPr>
          <w:p w14:paraId="469854C4"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High</w:t>
            </w:r>
          </w:p>
        </w:tc>
        <w:tc>
          <w:tcPr>
            <w:tcW w:w="391" w:type="dxa"/>
            <w:tcBorders>
              <w:top w:val="nil"/>
              <w:left w:val="nil"/>
              <w:bottom w:val="nil"/>
              <w:right w:val="nil"/>
            </w:tcBorders>
            <w:noWrap/>
            <w:vAlign w:val="center"/>
            <w:hideMark/>
          </w:tcPr>
          <w:p w14:paraId="5CF8BDF1"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3.14</w:t>
            </w:r>
          </w:p>
        </w:tc>
        <w:tc>
          <w:tcPr>
            <w:tcW w:w="391" w:type="dxa"/>
            <w:tcBorders>
              <w:top w:val="nil"/>
              <w:left w:val="nil"/>
              <w:bottom w:val="nil"/>
              <w:right w:val="nil"/>
            </w:tcBorders>
            <w:noWrap/>
            <w:vAlign w:val="center"/>
            <w:hideMark/>
          </w:tcPr>
          <w:p w14:paraId="4D9B9F1E"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0.51</w:t>
            </w:r>
          </w:p>
        </w:tc>
        <w:tc>
          <w:tcPr>
            <w:tcW w:w="610" w:type="dxa"/>
            <w:tcBorders>
              <w:top w:val="nil"/>
              <w:left w:val="nil"/>
              <w:bottom w:val="nil"/>
              <w:right w:val="nil"/>
            </w:tcBorders>
            <w:noWrap/>
            <w:vAlign w:val="center"/>
            <w:hideMark/>
          </w:tcPr>
          <w:p w14:paraId="66341032"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High</w:t>
            </w:r>
          </w:p>
        </w:tc>
        <w:tc>
          <w:tcPr>
            <w:tcW w:w="391" w:type="dxa"/>
            <w:tcBorders>
              <w:top w:val="nil"/>
              <w:left w:val="nil"/>
              <w:bottom w:val="nil"/>
              <w:right w:val="nil"/>
            </w:tcBorders>
            <w:noWrap/>
            <w:vAlign w:val="center"/>
            <w:hideMark/>
          </w:tcPr>
          <w:p w14:paraId="765E473F"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3.23</w:t>
            </w:r>
          </w:p>
        </w:tc>
        <w:tc>
          <w:tcPr>
            <w:tcW w:w="391" w:type="dxa"/>
            <w:tcBorders>
              <w:top w:val="nil"/>
              <w:left w:val="nil"/>
              <w:bottom w:val="nil"/>
              <w:right w:val="nil"/>
            </w:tcBorders>
            <w:noWrap/>
            <w:vAlign w:val="center"/>
            <w:hideMark/>
          </w:tcPr>
          <w:p w14:paraId="19E02A1C"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0.50</w:t>
            </w:r>
          </w:p>
        </w:tc>
        <w:tc>
          <w:tcPr>
            <w:tcW w:w="610" w:type="dxa"/>
            <w:tcBorders>
              <w:top w:val="nil"/>
              <w:left w:val="nil"/>
              <w:bottom w:val="nil"/>
              <w:right w:val="nil"/>
            </w:tcBorders>
            <w:noWrap/>
            <w:vAlign w:val="center"/>
            <w:hideMark/>
          </w:tcPr>
          <w:p w14:paraId="47BC2F24"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High</w:t>
            </w:r>
          </w:p>
        </w:tc>
      </w:tr>
      <w:tr w:rsidR="0077412F" w:rsidRPr="0077412F" w14:paraId="429B6F41" w14:textId="77777777" w:rsidTr="0077412F">
        <w:trPr>
          <w:trHeight w:val="144"/>
          <w:jc w:val="center"/>
        </w:trPr>
        <w:tc>
          <w:tcPr>
            <w:tcW w:w="1170" w:type="dxa"/>
            <w:tcBorders>
              <w:top w:val="nil"/>
              <w:left w:val="nil"/>
              <w:bottom w:val="nil"/>
              <w:right w:val="nil"/>
            </w:tcBorders>
            <w:noWrap/>
            <w:vAlign w:val="center"/>
            <w:hideMark/>
          </w:tcPr>
          <w:p w14:paraId="78309946" w14:textId="77777777" w:rsidR="0077412F" w:rsidRPr="0077412F" w:rsidRDefault="0077412F" w:rsidP="008011CF">
            <w:pPr>
              <w:rPr>
                <w:rFonts w:ascii="Arial Narrow" w:hAnsi="Arial Narrow"/>
                <w:color w:val="000000"/>
                <w:sz w:val="12"/>
                <w:szCs w:val="12"/>
              </w:rPr>
            </w:pPr>
            <w:r w:rsidRPr="0077412F">
              <w:rPr>
                <w:rFonts w:ascii="Arial Narrow" w:hAnsi="Arial Narrow"/>
                <w:color w:val="000000"/>
                <w:sz w:val="12"/>
                <w:szCs w:val="12"/>
              </w:rPr>
              <w:t xml:space="preserve">   More Accredited Programs</w:t>
            </w:r>
          </w:p>
        </w:tc>
        <w:tc>
          <w:tcPr>
            <w:tcW w:w="619" w:type="dxa"/>
            <w:tcBorders>
              <w:top w:val="nil"/>
              <w:left w:val="nil"/>
              <w:bottom w:val="nil"/>
              <w:right w:val="nil"/>
            </w:tcBorders>
            <w:noWrap/>
            <w:vAlign w:val="center"/>
            <w:hideMark/>
          </w:tcPr>
          <w:p w14:paraId="7B75061E"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3.33</w:t>
            </w:r>
          </w:p>
        </w:tc>
        <w:tc>
          <w:tcPr>
            <w:tcW w:w="390" w:type="dxa"/>
            <w:tcBorders>
              <w:top w:val="nil"/>
              <w:left w:val="nil"/>
              <w:bottom w:val="nil"/>
              <w:right w:val="nil"/>
            </w:tcBorders>
            <w:noWrap/>
            <w:vAlign w:val="center"/>
            <w:hideMark/>
          </w:tcPr>
          <w:p w14:paraId="5378981F"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0.46</w:t>
            </w:r>
          </w:p>
        </w:tc>
        <w:tc>
          <w:tcPr>
            <w:tcW w:w="633" w:type="dxa"/>
            <w:tcBorders>
              <w:top w:val="nil"/>
              <w:left w:val="nil"/>
              <w:bottom w:val="nil"/>
              <w:right w:val="nil"/>
            </w:tcBorders>
            <w:noWrap/>
            <w:vAlign w:val="center"/>
            <w:hideMark/>
          </w:tcPr>
          <w:p w14:paraId="5470B467"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Very High</w:t>
            </w:r>
          </w:p>
        </w:tc>
        <w:tc>
          <w:tcPr>
            <w:tcW w:w="390" w:type="dxa"/>
            <w:tcBorders>
              <w:top w:val="nil"/>
              <w:left w:val="nil"/>
              <w:bottom w:val="nil"/>
              <w:right w:val="nil"/>
            </w:tcBorders>
            <w:noWrap/>
            <w:vAlign w:val="center"/>
            <w:hideMark/>
          </w:tcPr>
          <w:p w14:paraId="02C5B6C7"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3.35</w:t>
            </w:r>
          </w:p>
        </w:tc>
        <w:tc>
          <w:tcPr>
            <w:tcW w:w="391" w:type="dxa"/>
            <w:tcBorders>
              <w:top w:val="nil"/>
              <w:left w:val="nil"/>
              <w:bottom w:val="nil"/>
              <w:right w:val="nil"/>
            </w:tcBorders>
            <w:noWrap/>
            <w:vAlign w:val="center"/>
            <w:hideMark/>
          </w:tcPr>
          <w:p w14:paraId="76019E39"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0.45</w:t>
            </w:r>
          </w:p>
        </w:tc>
        <w:tc>
          <w:tcPr>
            <w:tcW w:w="634" w:type="dxa"/>
            <w:tcBorders>
              <w:top w:val="nil"/>
              <w:left w:val="nil"/>
              <w:bottom w:val="nil"/>
              <w:right w:val="nil"/>
            </w:tcBorders>
            <w:noWrap/>
            <w:vAlign w:val="center"/>
            <w:hideMark/>
          </w:tcPr>
          <w:p w14:paraId="371FD7D0"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Very High</w:t>
            </w:r>
          </w:p>
        </w:tc>
        <w:tc>
          <w:tcPr>
            <w:tcW w:w="391" w:type="dxa"/>
            <w:tcBorders>
              <w:top w:val="nil"/>
              <w:left w:val="nil"/>
              <w:bottom w:val="nil"/>
              <w:right w:val="nil"/>
            </w:tcBorders>
            <w:noWrap/>
            <w:vAlign w:val="center"/>
            <w:hideMark/>
          </w:tcPr>
          <w:p w14:paraId="5BA70EB8"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3.16</w:t>
            </w:r>
          </w:p>
        </w:tc>
        <w:tc>
          <w:tcPr>
            <w:tcW w:w="391" w:type="dxa"/>
            <w:tcBorders>
              <w:top w:val="nil"/>
              <w:left w:val="nil"/>
              <w:bottom w:val="nil"/>
              <w:right w:val="nil"/>
            </w:tcBorders>
            <w:noWrap/>
            <w:vAlign w:val="center"/>
            <w:hideMark/>
          </w:tcPr>
          <w:p w14:paraId="32EC7F9D"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0.46</w:t>
            </w:r>
          </w:p>
        </w:tc>
        <w:tc>
          <w:tcPr>
            <w:tcW w:w="415" w:type="dxa"/>
            <w:tcBorders>
              <w:top w:val="nil"/>
              <w:left w:val="nil"/>
              <w:bottom w:val="nil"/>
              <w:right w:val="nil"/>
            </w:tcBorders>
            <w:noWrap/>
            <w:vAlign w:val="center"/>
            <w:hideMark/>
          </w:tcPr>
          <w:p w14:paraId="35E86A8D"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High</w:t>
            </w:r>
          </w:p>
        </w:tc>
        <w:tc>
          <w:tcPr>
            <w:tcW w:w="391" w:type="dxa"/>
            <w:tcBorders>
              <w:top w:val="nil"/>
              <w:left w:val="nil"/>
              <w:bottom w:val="nil"/>
              <w:right w:val="nil"/>
            </w:tcBorders>
            <w:noWrap/>
            <w:vAlign w:val="center"/>
            <w:hideMark/>
          </w:tcPr>
          <w:p w14:paraId="304C65C3"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3.28</w:t>
            </w:r>
          </w:p>
        </w:tc>
        <w:tc>
          <w:tcPr>
            <w:tcW w:w="391" w:type="dxa"/>
            <w:tcBorders>
              <w:top w:val="nil"/>
              <w:left w:val="nil"/>
              <w:bottom w:val="nil"/>
              <w:right w:val="nil"/>
            </w:tcBorders>
            <w:noWrap/>
            <w:vAlign w:val="center"/>
            <w:hideMark/>
          </w:tcPr>
          <w:p w14:paraId="7DE8A8B4"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0.47</w:t>
            </w:r>
          </w:p>
        </w:tc>
        <w:tc>
          <w:tcPr>
            <w:tcW w:w="610" w:type="dxa"/>
            <w:tcBorders>
              <w:top w:val="nil"/>
              <w:left w:val="nil"/>
              <w:bottom w:val="nil"/>
              <w:right w:val="nil"/>
            </w:tcBorders>
            <w:noWrap/>
            <w:vAlign w:val="center"/>
            <w:hideMark/>
          </w:tcPr>
          <w:p w14:paraId="619CEA70"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Very High</w:t>
            </w:r>
          </w:p>
        </w:tc>
        <w:tc>
          <w:tcPr>
            <w:tcW w:w="391" w:type="dxa"/>
            <w:tcBorders>
              <w:top w:val="nil"/>
              <w:left w:val="nil"/>
              <w:bottom w:val="nil"/>
              <w:right w:val="nil"/>
            </w:tcBorders>
            <w:noWrap/>
            <w:vAlign w:val="center"/>
            <w:hideMark/>
          </w:tcPr>
          <w:p w14:paraId="5BDABE00"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3.28</w:t>
            </w:r>
          </w:p>
        </w:tc>
        <w:tc>
          <w:tcPr>
            <w:tcW w:w="391" w:type="dxa"/>
            <w:tcBorders>
              <w:top w:val="nil"/>
              <w:left w:val="nil"/>
              <w:bottom w:val="nil"/>
              <w:right w:val="nil"/>
            </w:tcBorders>
            <w:noWrap/>
            <w:vAlign w:val="center"/>
            <w:hideMark/>
          </w:tcPr>
          <w:p w14:paraId="71B7F4BE"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0.44</w:t>
            </w:r>
          </w:p>
        </w:tc>
        <w:tc>
          <w:tcPr>
            <w:tcW w:w="610" w:type="dxa"/>
            <w:tcBorders>
              <w:top w:val="nil"/>
              <w:left w:val="nil"/>
              <w:bottom w:val="nil"/>
              <w:right w:val="nil"/>
            </w:tcBorders>
            <w:noWrap/>
            <w:vAlign w:val="center"/>
            <w:hideMark/>
          </w:tcPr>
          <w:p w14:paraId="393508B2"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Very High</w:t>
            </w:r>
          </w:p>
        </w:tc>
      </w:tr>
      <w:tr w:rsidR="0077412F" w:rsidRPr="0077412F" w14:paraId="40939133" w14:textId="77777777" w:rsidTr="0077412F">
        <w:trPr>
          <w:trHeight w:val="144"/>
          <w:jc w:val="center"/>
        </w:trPr>
        <w:tc>
          <w:tcPr>
            <w:tcW w:w="1170" w:type="dxa"/>
            <w:tcBorders>
              <w:top w:val="nil"/>
              <w:left w:val="nil"/>
              <w:bottom w:val="nil"/>
              <w:right w:val="nil"/>
            </w:tcBorders>
            <w:noWrap/>
            <w:vAlign w:val="center"/>
            <w:hideMark/>
          </w:tcPr>
          <w:p w14:paraId="6007DB3D" w14:textId="77777777" w:rsidR="0077412F" w:rsidRPr="0077412F" w:rsidRDefault="0077412F" w:rsidP="008011CF">
            <w:pPr>
              <w:rPr>
                <w:rFonts w:ascii="Arial Narrow" w:hAnsi="Arial Narrow"/>
                <w:color w:val="000000"/>
                <w:sz w:val="12"/>
                <w:szCs w:val="12"/>
              </w:rPr>
            </w:pPr>
            <w:r w:rsidRPr="0077412F">
              <w:rPr>
                <w:rFonts w:ascii="Arial Narrow" w:hAnsi="Arial Narrow"/>
                <w:color w:val="000000"/>
                <w:sz w:val="12"/>
                <w:szCs w:val="12"/>
              </w:rPr>
              <w:t>Years of Existence</w:t>
            </w:r>
          </w:p>
        </w:tc>
        <w:tc>
          <w:tcPr>
            <w:tcW w:w="619" w:type="dxa"/>
            <w:tcBorders>
              <w:top w:val="nil"/>
              <w:left w:val="nil"/>
              <w:bottom w:val="nil"/>
              <w:right w:val="nil"/>
            </w:tcBorders>
            <w:noWrap/>
            <w:vAlign w:val="center"/>
            <w:hideMark/>
          </w:tcPr>
          <w:p w14:paraId="2872B011"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 xml:space="preserve"> </w:t>
            </w:r>
          </w:p>
        </w:tc>
        <w:tc>
          <w:tcPr>
            <w:tcW w:w="390" w:type="dxa"/>
            <w:tcBorders>
              <w:top w:val="nil"/>
              <w:left w:val="nil"/>
              <w:bottom w:val="nil"/>
              <w:right w:val="nil"/>
            </w:tcBorders>
            <w:noWrap/>
            <w:vAlign w:val="center"/>
            <w:hideMark/>
          </w:tcPr>
          <w:p w14:paraId="52D94E26"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 xml:space="preserve"> </w:t>
            </w:r>
          </w:p>
        </w:tc>
        <w:tc>
          <w:tcPr>
            <w:tcW w:w="633" w:type="dxa"/>
            <w:tcBorders>
              <w:top w:val="nil"/>
              <w:left w:val="nil"/>
              <w:bottom w:val="nil"/>
              <w:right w:val="nil"/>
            </w:tcBorders>
            <w:noWrap/>
            <w:vAlign w:val="center"/>
            <w:hideMark/>
          </w:tcPr>
          <w:p w14:paraId="7597D6B4"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 xml:space="preserve"> </w:t>
            </w:r>
          </w:p>
        </w:tc>
        <w:tc>
          <w:tcPr>
            <w:tcW w:w="390" w:type="dxa"/>
            <w:tcBorders>
              <w:top w:val="nil"/>
              <w:left w:val="nil"/>
              <w:bottom w:val="nil"/>
              <w:right w:val="nil"/>
            </w:tcBorders>
            <w:noWrap/>
            <w:vAlign w:val="center"/>
            <w:hideMark/>
          </w:tcPr>
          <w:p w14:paraId="5D149B7E"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 xml:space="preserve"> </w:t>
            </w:r>
          </w:p>
        </w:tc>
        <w:tc>
          <w:tcPr>
            <w:tcW w:w="391" w:type="dxa"/>
            <w:tcBorders>
              <w:top w:val="nil"/>
              <w:left w:val="nil"/>
              <w:bottom w:val="nil"/>
              <w:right w:val="nil"/>
            </w:tcBorders>
            <w:noWrap/>
            <w:vAlign w:val="center"/>
            <w:hideMark/>
          </w:tcPr>
          <w:p w14:paraId="7A9E2462"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 xml:space="preserve"> </w:t>
            </w:r>
          </w:p>
        </w:tc>
        <w:tc>
          <w:tcPr>
            <w:tcW w:w="634" w:type="dxa"/>
            <w:tcBorders>
              <w:top w:val="nil"/>
              <w:left w:val="nil"/>
              <w:bottom w:val="nil"/>
              <w:right w:val="nil"/>
            </w:tcBorders>
            <w:noWrap/>
            <w:vAlign w:val="center"/>
            <w:hideMark/>
          </w:tcPr>
          <w:p w14:paraId="1FE6CE39"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 xml:space="preserve"> </w:t>
            </w:r>
          </w:p>
        </w:tc>
        <w:tc>
          <w:tcPr>
            <w:tcW w:w="391" w:type="dxa"/>
            <w:tcBorders>
              <w:top w:val="nil"/>
              <w:left w:val="nil"/>
              <w:bottom w:val="nil"/>
              <w:right w:val="nil"/>
            </w:tcBorders>
            <w:noWrap/>
            <w:vAlign w:val="center"/>
            <w:hideMark/>
          </w:tcPr>
          <w:p w14:paraId="748215AE"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 xml:space="preserve"> </w:t>
            </w:r>
          </w:p>
        </w:tc>
        <w:tc>
          <w:tcPr>
            <w:tcW w:w="391" w:type="dxa"/>
            <w:tcBorders>
              <w:top w:val="nil"/>
              <w:left w:val="nil"/>
              <w:bottom w:val="nil"/>
              <w:right w:val="nil"/>
            </w:tcBorders>
            <w:noWrap/>
            <w:vAlign w:val="center"/>
            <w:hideMark/>
          </w:tcPr>
          <w:p w14:paraId="3D869E29"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 xml:space="preserve"> </w:t>
            </w:r>
          </w:p>
        </w:tc>
        <w:tc>
          <w:tcPr>
            <w:tcW w:w="415" w:type="dxa"/>
            <w:tcBorders>
              <w:top w:val="nil"/>
              <w:left w:val="nil"/>
              <w:bottom w:val="nil"/>
              <w:right w:val="nil"/>
            </w:tcBorders>
            <w:noWrap/>
            <w:vAlign w:val="center"/>
            <w:hideMark/>
          </w:tcPr>
          <w:p w14:paraId="706E5EBD"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 xml:space="preserve"> </w:t>
            </w:r>
          </w:p>
        </w:tc>
        <w:tc>
          <w:tcPr>
            <w:tcW w:w="391" w:type="dxa"/>
            <w:tcBorders>
              <w:top w:val="nil"/>
              <w:left w:val="nil"/>
              <w:bottom w:val="nil"/>
              <w:right w:val="nil"/>
            </w:tcBorders>
            <w:noWrap/>
            <w:vAlign w:val="center"/>
            <w:hideMark/>
          </w:tcPr>
          <w:p w14:paraId="55355C50"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 xml:space="preserve"> </w:t>
            </w:r>
          </w:p>
        </w:tc>
        <w:tc>
          <w:tcPr>
            <w:tcW w:w="391" w:type="dxa"/>
            <w:tcBorders>
              <w:top w:val="nil"/>
              <w:left w:val="nil"/>
              <w:bottom w:val="nil"/>
              <w:right w:val="nil"/>
            </w:tcBorders>
            <w:noWrap/>
            <w:vAlign w:val="center"/>
            <w:hideMark/>
          </w:tcPr>
          <w:p w14:paraId="7B235960"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 xml:space="preserve"> </w:t>
            </w:r>
          </w:p>
        </w:tc>
        <w:tc>
          <w:tcPr>
            <w:tcW w:w="610" w:type="dxa"/>
            <w:tcBorders>
              <w:top w:val="nil"/>
              <w:left w:val="nil"/>
              <w:bottom w:val="nil"/>
              <w:right w:val="nil"/>
            </w:tcBorders>
            <w:noWrap/>
            <w:vAlign w:val="center"/>
            <w:hideMark/>
          </w:tcPr>
          <w:p w14:paraId="1628C2CC"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 xml:space="preserve"> </w:t>
            </w:r>
          </w:p>
        </w:tc>
        <w:tc>
          <w:tcPr>
            <w:tcW w:w="391" w:type="dxa"/>
            <w:tcBorders>
              <w:top w:val="nil"/>
              <w:left w:val="nil"/>
              <w:bottom w:val="nil"/>
              <w:right w:val="nil"/>
            </w:tcBorders>
            <w:noWrap/>
            <w:vAlign w:val="center"/>
            <w:hideMark/>
          </w:tcPr>
          <w:p w14:paraId="34C5B698"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 xml:space="preserve"> </w:t>
            </w:r>
          </w:p>
        </w:tc>
        <w:tc>
          <w:tcPr>
            <w:tcW w:w="391" w:type="dxa"/>
            <w:tcBorders>
              <w:top w:val="nil"/>
              <w:left w:val="nil"/>
              <w:bottom w:val="nil"/>
              <w:right w:val="nil"/>
            </w:tcBorders>
            <w:noWrap/>
            <w:vAlign w:val="center"/>
            <w:hideMark/>
          </w:tcPr>
          <w:p w14:paraId="1FFABEAF"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 xml:space="preserve"> </w:t>
            </w:r>
          </w:p>
        </w:tc>
        <w:tc>
          <w:tcPr>
            <w:tcW w:w="610" w:type="dxa"/>
            <w:tcBorders>
              <w:top w:val="nil"/>
              <w:left w:val="nil"/>
              <w:bottom w:val="nil"/>
              <w:right w:val="nil"/>
            </w:tcBorders>
            <w:noWrap/>
            <w:vAlign w:val="center"/>
            <w:hideMark/>
          </w:tcPr>
          <w:p w14:paraId="717214C4"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 xml:space="preserve"> </w:t>
            </w:r>
          </w:p>
        </w:tc>
      </w:tr>
      <w:tr w:rsidR="0077412F" w:rsidRPr="0077412F" w14:paraId="17B066BA" w14:textId="77777777" w:rsidTr="0077412F">
        <w:trPr>
          <w:trHeight w:val="144"/>
          <w:jc w:val="center"/>
        </w:trPr>
        <w:tc>
          <w:tcPr>
            <w:tcW w:w="1170" w:type="dxa"/>
            <w:tcBorders>
              <w:top w:val="nil"/>
              <w:left w:val="nil"/>
              <w:bottom w:val="nil"/>
              <w:right w:val="nil"/>
            </w:tcBorders>
            <w:noWrap/>
            <w:vAlign w:val="center"/>
            <w:hideMark/>
          </w:tcPr>
          <w:p w14:paraId="78361DE0" w14:textId="77777777" w:rsidR="0077412F" w:rsidRPr="0077412F" w:rsidRDefault="0077412F" w:rsidP="008011CF">
            <w:pPr>
              <w:rPr>
                <w:rFonts w:ascii="Arial Narrow" w:hAnsi="Arial Narrow"/>
                <w:color w:val="000000"/>
                <w:sz w:val="12"/>
                <w:szCs w:val="12"/>
              </w:rPr>
            </w:pPr>
            <w:r w:rsidRPr="0077412F">
              <w:rPr>
                <w:rFonts w:ascii="Arial Narrow" w:hAnsi="Arial Narrow"/>
                <w:color w:val="000000"/>
                <w:sz w:val="12"/>
                <w:szCs w:val="12"/>
              </w:rPr>
              <w:t xml:space="preserve">   Younger Institutions</w:t>
            </w:r>
          </w:p>
        </w:tc>
        <w:tc>
          <w:tcPr>
            <w:tcW w:w="619" w:type="dxa"/>
            <w:tcBorders>
              <w:top w:val="nil"/>
              <w:left w:val="nil"/>
              <w:bottom w:val="nil"/>
              <w:right w:val="nil"/>
            </w:tcBorders>
            <w:noWrap/>
            <w:vAlign w:val="center"/>
            <w:hideMark/>
          </w:tcPr>
          <w:p w14:paraId="4F251E19"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3.11</w:t>
            </w:r>
          </w:p>
        </w:tc>
        <w:tc>
          <w:tcPr>
            <w:tcW w:w="390" w:type="dxa"/>
            <w:tcBorders>
              <w:top w:val="nil"/>
              <w:left w:val="nil"/>
              <w:bottom w:val="nil"/>
              <w:right w:val="nil"/>
            </w:tcBorders>
            <w:noWrap/>
            <w:vAlign w:val="center"/>
            <w:hideMark/>
          </w:tcPr>
          <w:p w14:paraId="5E008B82"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0.49</w:t>
            </w:r>
          </w:p>
        </w:tc>
        <w:tc>
          <w:tcPr>
            <w:tcW w:w="633" w:type="dxa"/>
            <w:tcBorders>
              <w:top w:val="nil"/>
              <w:left w:val="nil"/>
              <w:bottom w:val="nil"/>
              <w:right w:val="nil"/>
            </w:tcBorders>
            <w:noWrap/>
            <w:vAlign w:val="center"/>
            <w:hideMark/>
          </w:tcPr>
          <w:p w14:paraId="55F4DFAE"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High</w:t>
            </w:r>
          </w:p>
        </w:tc>
        <w:tc>
          <w:tcPr>
            <w:tcW w:w="390" w:type="dxa"/>
            <w:tcBorders>
              <w:top w:val="nil"/>
              <w:left w:val="nil"/>
              <w:bottom w:val="nil"/>
              <w:right w:val="nil"/>
            </w:tcBorders>
            <w:noWrap/>
            <w:vAlign w:val="center"/>
            <w:hideMark/>
          </w:tcPr>
          <w:p w14:paraId="2E35EDCE"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3.41</w:t>
            </w:r>
          </w:p>
        </w:tc>
        <w:tc>
          <w:tcPr>
            <w:tcW w:w="391" w:type="dxa"/>
            <w:tcBorders>
              <w:top w:val="nil"/>
              <w:left w:val="nil"/>
              <w:bottom w:val="nil"/>
              <w:right w:val="nil"/>
            </w:tcBorders>
            <w:noWrap/>
            <w:vAlign w:val="center"/>
            <w:hideMark/>
          </w:tcPr>
          <w:p w14:paraId="65F0B846"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0.57</w:t>
            </w:r>
          </w:p>
        </w:tc>
        <w:tc>
          <w:tcPr>
            <w:tcW w:w="634" w:type="dxa"/>
            <w:tcBorders>
              <w:top w:val="nil"/>
              <w:left w:val="nil"/>
              <w:bottom w:val="nil"/>
              <w:right w:val="nil"/>
            </w:tcBorders>
            <w:noWrap/>
            <w:vAlign w:val="center"/>
            <w:hideMark/>
          </w:tcPr>
          <w:p w14:paraId="5EDA375C"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Very High</w:t>
            </w:r>
          </w:p>
        </w:tc>
        <w:tc>
          <w:tcPr>
            <w:tcW w:w="391" w:type="dxa"/>
            <w:tcBorders>
              <w:top w:val="nil"/>
              <w:left w:val="nil"/>
              <w:bottom w:val="nil"/>
              <w:right w:val="nil"/>
            </w:tcBorders>
            <w:noWrap/>
            <w:vAlign w:val="center"/>
            <w:hideMark/>
          </w:tcPr>
          <w:p w14:paraId="748AADC5"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3.07</w:t>
            </w:r>
          </w:p>
        </w:tc>
        <w:tc>
          <w:tcPr>
            <w:tcW w:w="391" w:type="dxa"/>
            <w:tcBorders>
              <w:top w:val="nil"/>
              <w:left w:val="nil"/>
              <w:bottom w:val="nil"/>
              <w:right w:val="nil"/>
            </w:tcBorders>
            <w:noWrap/>
            <w:vAlign w:val="center"/>
            <w:hideMark/>
          </w:tcPr>
          <w:p w14:paraId="0739473F"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0.84</w:t>
            </w:r>
          </w:p>
        </w:tc>
        <w:tc>
          <w:tcPr>
            <w:tcW w:w="415" w:type="dxa"/>
            <w:tcBorders>
              <w:top w:val="nil"/>
              <w:left w:val="nil"/>
              <w:bottom w:val="nil"/>
              <w:right w:val="nil"/>
            </w:tcBorders>
            <w:noWrap/>
            <w:vAlign w:val="center"/>
            <w:hideMark/>
          </w:tcPr>
          <w:p w14:paraId="3B6EE5EC"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High</w:t>
            </w:r>
          </w:p>
        </w:tc>
        <w:tc>
          <w:tcPr>
            <w:tcW w:w="391" w:type="dxa"/>
            <w:tcBorders>
              <w:top w:val="nil"/>
              <w:left w:val="nil"/>
              <w:bottom w:val="nil"/>
              <w:right w:val="nil"/>
            </w:tcBorders>
            <w:noWrap/>
            <w:vAlign w:val="center"/>
            <w:hideMark/>
          </w:tcPr>
          <w:p w14:paraId="287764C1"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3.18</w:t>
            </w:r>
          </w:p>
        </w:tc>
        <w:tc>
          <w:tcPr>
            <w:tcW w:w="391" w:type="dxa"/>
            <w:tcBorders>
              <w:top w:val="nil"/>
              <w:left w:val="nil"/>
              <w:bottom w:val="nil"/>
              <w:right w:val="nil"/>
            </w:tcBorders>
            <w:noWrap/>
            <w:vAlign w:val="center"/>
            <w:hideMark/>
          </w:tcPr>
          <w:p w14:paraId="076107AC"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0.41</w:t>
            </w:r>
          </w:p>
        </w:tc>
        <w:tc>
          <w:tcPr>
            <w:tcW w:w="610" w:type="dxa"/>
            <w:tcBorders>
              <w:top w:val="nil"/>
              <w:left w:val="nil"/>
              <w:bottom w:val="nil"/>
              <w:right w:val="nil"/>
            </w:tcBorders>
            <w:noWrap/>
            <w:vAlign w:val="center"/>
            <w:hideMark/>
          </w:tcPr>
          <w:p w14:paraId="307016DF"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High</w:t>
            </w:r>
          </w:p>
        </w:tc>
        <w:tc>
          <w:tcPr>
            <w:tcW w:w="391" w:type="dxa"/>
            <w:tcBorders>
              <w:top w:val="nil"/>
              <w:left w:val="nil"/>
              <w:bottom w:val="nil"/>
              <w:right w:val="nil"/>
            </w:tcBorders>
            <w:noWrap/>
            <w:vAlign w:val="center"/>
            <w:hideMark/>
          </w:tcPr>
          <w:p w14:paraId="572A2421"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3.19</w:t>
            </w:r>
          </w:p>
        </w:tc>
        <w:tc>
          <w:tcPr>
            <w:tcW w:w="391" w:type="dxa"/>
            <w:tcBorders>
              <w:top w:val="nil"/>
              <w:left w:val="nil"/>
              <w:bottom w:val="nil"/>
              <w:right w:val="nil"/>
            </w:tcBorders>
            <w:noWrap/>
            <w:vAlign w:val="center"/>
            <w:hideMark/>
          </w:tcPr>
          <w:p w14:paraId="06B8EBE5"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0.49</w:t>
            </w:r>
          </w:p>
        </w:tc>
        <w:tc>
          <w:tcPr>
            <w:tcW w:w="610" w:type="dxa"/>
            <w:tcBorders>
              <w:top w:val="nil"/>
              <w:left w:val="nil"/>
              <w:bottom w:val="nil"/>
              <w:right w:val="nil"/>
            </w:tcBorders>
            <w:noWrap/>
            <w:vAlign w:val="center"/>
            <w:hideMark/>
          </w:tcPr>
          <w:p w14:paraId="7F3E64DD"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High</w:t>
            </w:r>
          </w:p>
        </w:tc>
      </w:tr>
      <w:tr w:rsidR="0077412F" w:rsidRPr="0077412F" w14:paraId="2237BB87" w14:textId="77777777" w:rsidTr="0077412F">
        <w:trPr>
          <w:trHeight w:val="144"/>
          <w:jc w:val="center"/>
        </w:trPr>
        <w:tc>
          <w:tcPr>
            <w:tcW w:w="1170" w:type="dxa"/>
            <w:tcBorders>
              <w:top w:val="nil"/>
              <w:left w:val="nil"/>
              <w:bottom w:val="nil"/>
              <w:right w:val="nil"/>
            </w:tcBorders>
            <w:noWrap/>
            <w:vAlign w:val="center"/>
            <w:hideMark/>
          </w:tcPr>
          <w:p w14:paraId="6561AB89" w14:textId="77777777" w:rsidR="0077412F" w:rsidRPr="0077412F" w:rsidRDefault="0077412F" w:rsidP="008011CF">
            <w:pPr>
              <w:rPr>
                <w:rFonts w:ascii="Arial Narrow" w:hAnsi="Arial Narrow"/>
                <w:color w:val="000000"/>
                <w:sz w:val="12"/>
                <w:szCs w:val="12"/>
              </w:rPr>
            </w:pPr>
            <w:r w:rsidRPr="0077412F">
              <w:rPr>
                <w:rFonts w:ascii="Arial Narrow" w:hAnsi="Arial Narrow"/>
                <w:color w:val="000000"/>
                <w:sz w:val="12"/>
                <w:szCs w:val="12"/>
              </w:rPr>
              <w:t xml:space="preserve">   Legacy Institutions</w:t>
            </w:r>
          </w:p>
        </w:tc>
        <w:tc>
          <w:tcPr>
            <w:tcW w:w="619" w:type="dxa"/>
            <w:tcBorders>
              <w:top w:val="nil"/>
              <w:left w:val="nil"/>
              <w:bottom w:val="nil"/>
              <w:right w:val="nil"/>
            </w:tcBorders>
            <w:noWrap/>
            <w:vAlign w:val="center"/>
            <w:hideMark/>
          </w:tcPr>
          <w:p w14:paraId="6EFE88EC"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3.30</w:t>
            </w:r>
          </w:p>
        </w:tc>
        <w:tc>
          <w:tcPr>
            <w:tcW w:w="390" w:type="dxa"/>
            <w:tcBorders>
              <w:top w:val="nil"/>
              <w:left w:val="nil"/>
              <w:bottom w:val="nil"/>
              <w:right w:val="nil"/>
            </w:tcBorders>
            <w:noWrap/>
            <w:vAlign w:val="center"/>
            <w:hideMark/>
          </w:tcPr>
          <w:p w14:paraId="35D7C3FD"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0.48</w:t>
            </w:r>
          </w:p>
        </w:tc>
        <w:tc>
          <w:tcPr>
            <w:tcW w:w="633" w:type="dxa"/>
            <w:tcBorders>
              <w:top w:val="nil"/>
              <w:left w:val="nil"/>
              <w:bottom w:val="nil"/>
              <w:right w:val="nil"/>
            </w:tcBorders>
            <w:noWrap/>
            <w:vAlign w:val="center"/>
            <w:hideMark/>
          </w:tcPr>
          <w:p w14:paraId="31869D4C"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Very High</w:t>
            </w:r>
          </w:p>
        </w:tc>
        <w:tc>
          <w:tcPr>
            <w:tcW w:w="390" w:type="dxa"/>
            <w:tcBorders>
              <w:top w:val="nil"/>
              <w:left w:val="nil"/>
              <w:bottom w:val="nil"/>
              <w:right w:val="nil"/>
            </w:tcBorders>
            <w:noWrap/>
            <w:vAlign w:val="center"/>
            <w:hideMark/>
          </w:tcPr>
          <w:p w14:paraId="144D4507"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3.36</w:t>
            </w:r>
          </w:p>
        </w:tc>
        <w:tc>
          <w:tcPr>
            <w:tcW w:w="391" w:type="dxa"/>
            <w:tcBorders>
              <w:top w:val="nil"/>
              <w:left w:val="nil"/>
              <w:bottom w:val="nil"/>
              <w:right w:val="nil"/>
            </w:tcBorders>
            <w:noWrap/>
            <w:vAlign w:val="center"/>
            <w:hideMark/>
          </w:tcPr>
          <w:p w14:paraId="735DDDE7"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0.56</w:t>
            </w:r>
          </w:p>
        </w:tc>
        <w:tc>
          <w:tcPr>
            <w:tcW w:w="634" w:type="dxa"/>
            <w:tcBorders>
              <w:top w:val="nil"/>
              <w:left w:val="nil"/>
              <w:bottom w:val="nil"/>
              <w:right w:val="nil"/>
            </w:tcBorders>
            <w:noWrap/>
            <w:vAlign w:val="center"/>
            <w:hideMark/>
          </w:tcPr>
          <w:p w14:paraId="7316E83E"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Very High</w:t>
            </w:r>
          </w:p>
        </w:tc>
        <w:tc>
          <w:tcPr>
            <w:tcW w:w="391" w:type="dxa"/>
            <w:tcBorders>
              <w:top w:val="nil"/>
              <w:left w:val="nil"/>
              <w:bottom w:val="nil"/>
              <w:right w:val="nil"/>
            </w:tcBorders>
            <w:noWrap/>
            <w:vAlign w:val="center"/>
            <w:hideMark/>
          </w:tcPr>
          <w:p w14:paraId="50D88025"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3.20</w:t>
            </w:r>
          </w:p>
        </w:tc>
        <w:tc>
          <w:tcPr>
            <w:tcW w:w="391" w:type="dxa"/>
            <w:tcBorders>
              <w:top w:val="nil"/>
              <w:left w:val="nil"/>
              <w:bottom w:val="nil"/>
              <w:right w:val="nil"/>
            </w:tcBorders>
            <w:noWrap/>
            <w:vAlign w:val="center"/>
            <w:hideMark/>
          </w:tcPr>
          <w:p w14:paraId="1CB8DB64"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0.50</w:t>
            </w:r>
          </w:p>
        </w:tc>
        <w:tc>
          <w:tcPr>
            <w:tcW w:w="415" w:type="dxa"/>
            <w:tcBorders>
              <w:top w:val="nil"/>
              <w:left w:val="nil"/>
              <w:bottom w:val="nil"/>
              <w:right w:val="nil"/>
            </w:tcBorders>
            <w:noWrap/>
            <w:vAlign w:val="center"/>
            <w:hideMark/>
          </w:tcPr>
          <w:p w14:paraId="7AC55DE5"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High</w:t>
            </w:r>
          </w:p>
        </w:tc>
        <w:tc>
          <w:tcPr>
            <w:tcW w:w="391" w:type="dxa"/>
            <w:tcBorders>
              <w:top w:val="nil"/>
              <w:left w:val="nil"/>
              <w:bottom w:val="nil"/>
              <w:right w:val="nil"/>
            </w:tcBorders>
            <w:noWrap/>
            <w:vAlign w:val="center"/>
            <w:hideMark/>
          </w:tcPr>
          <w:p w14:paraId="00B020D7"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3.19</w:t>
            </w:r>
          </w:p>
        </w:tc>
        <w:tc>
          <w:tcPr>
            <w:tcW w:w="391" w:type="dxa"/>
            <w:tcBorders>
              <w:top w:val="nil"/>
              <w:left w:val="nil"/>
              <w:bottom w:val="nil"/>
              <w:right w:val="nil"/>
            </w:tcBorders>
            <w:noWrap/>
            <w:vAlign w:val="center"/>
            <w:hideMark/>
          </w:tcPr>
          <w:p w14:paraId="7FE89B50"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0.52</w:t>
            </w:r>
          </w:p>
        </w:tc>
        <w:tc>
          <w:tcPr>
            <w:tcW w:w="610" w:type="dxa"/>
            <w:tcBorders>
              <w:top w:val="nil"/>
              <w:left w:val="nil"/>
              <w:bottom w:val="nil"/>
              <w:right w:val="nil"/>
            </w:tcBorders>
            <w:noWrap/>
            <w:vAlign w:val="center"/>
            <w:hideMark/>
          </w:tcPr>
          <w:p w14:paraId="199B49A5"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High</w:t>
            </w:r>
          </w:p>
        </w:tc>
        <w:tc>
          <w:tcPr>
            <w:tcW w:w="391" w:type="dxa"/>
            <w:tcBorders>
              <w:top w:val="nil"/>
              <w:left w:val="nil"/>
              <w:bottom w:val="nil"/>
              <w:right w:val="nil"/>
            </w:tcBorders>
            <w:noWrap/>
            <w:vAlign w:val="center"/>
            <w:hideMark/>
          </w:tcPr>
          <w:p w14:paraId="75650E70"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3.26</w:t>
            </w:r>
          </w:p>
        </w:tc>
        <w:tc>
          <w:tcPr>
            <w:tcW w:w="391" w:type="dxa"/>
            <w:tcBorders>
              <w:top w:val="nil"/>
              <w:left w:val="nil"/>
              <w:bottom w:val="nil"/>
              <w:right w:val="nil"/>
            </w:tcBorders>
            <w:noWrap/>
            <w:vAlign w:val="center"/>
            <w:hideMark/>
          </w:tcPr>
          <w:p w14:paraId="40E7D42D"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0.48</w:t>
            </w:r>
          </w:p>
        </w:tc>
        <w:tc>
          <w:tcPr>
            <w:tcW w:w="610" w:type="dxa"/>
            <w:tcBorders>
              <w:top w:val="nil"/>
              <w:left w:val="nil"/>
              <w:bottom w:val="nil"/>
              <w:right w:val="nil"/>
            </w:tcBorders>
            <w:noWrap/>
            <w:vAlign w:val="center"/>
            <w:hideMark/>
          </w:tcPr>
          <w:p w14:paraId="18C394FF"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Very High</w:t>
            </w:r>
          </w:p>
        </w:tc>
      </w:tr>
      <w:tr w:rsidR="0077412F" w:rsidRPr="0077412F" w14:paraId="78AAEB5A" w14:textId="77777777" w:rsidTr="0077412F">
        <w:trPr>
          <w:trHeight w:val="144"/>
          <w:jc w:val="center"/>
        </w:trPr>
        <w:tc>
          <w:tcPr>
            <w:tcW w:w="1170" w:type="dxa"/>
            <w:tcBorders>
              <w:top w:val="nil"/>
              <w:left w:val="nil"/>
              <w:bottom w:val="single" w:sz="4" w:space="0" w:color="auto"/>
              <w:right w:val="nil"/>
            </w:tcBorders>
            <w:noWrap/>
            <w:vAlign w:val="center"/>
            <w:hideMark/>
          </w:tcPr>
          <w:p w14:paraId="4F21E90F" w14:textId="77777777" w:rsidR="0077412F" w:rsidRPr="0077412F" w:rsidRDefault="0077412F" w:rsidP="008011CF">
            <w:pPr>
              <w:rPr>
                <w:rFonts w:ascii="Arial Narrow" w:hAnsi="Arial Narrow"/>
                <w:b/>
                <w:bCs/>
                <w:i/>
                <w:iCs/>
                <w:color w:val="000000"/>
                <w:sz w:val="12"/>
                <w:szCs w:val="12"/>
              </w:rPr>
            </w:pPr>
            <w:r w:rsidRPr="0077412F">
              <w:rPr>
                <w:rFonts w:ascii="Arial Narrow" w:hAnsi="Arial Narrow"/>
                <w:b/>
                <w:bCs/>
                <w:i/>
                <w:iCs/>
                <w:color w:val="000000"/>
                <w:sz w:val="12"/>
                <w:szCs w:val="12"/>
              </w:rPr>
              <w:t>Whole</w:t>
            </w:r>
          </w:p>
        </w:tc>
        <w:tc>
          <w:tcPr>
            <w:tcW w:w="619" w:type="dxa"/>
            <w:tcBorders>
              <w:top w:val="nil"/>
              <w:left w:val="nil"/>
              <w:bottom w:val="single" w:sz="4" w:space="0" w:color="auto"/>
              <w:right w:val="nil"/>
            </w:tcBorders>
            <w:noWrap/>
            <w:vAlign w:val="center"/>
            <w:hideMark/>
          </w:tcPr>
          <w:p w14:paraId="62F6B512" w14:textId="77777777" w:rsidR="0077412F" w:rsidRPr="0077412F" w:rsidRDefault="0077412F" w:rsidP="008011CF">
            <w:pPr>
              <w:jc w:val="center"/>
              <w:rPr>
                <w:rFonts w:ascii="Arial Narrow" w:hAnsi="Arial Narrow"/>
                <w:b/>
                <w:bCs/>
                <w:i/>
                <w:iCs/>
                <w:color w:val="000000"/>
                <w:sz w:val="12"/>
                <w:szCs w:val="12"/>
              </w:rPr>
            </w:pPr>
            <w:r w:rsidRPr="0077412F">
              <w:rPr>
                <w:rFonts w:ascii="Arial Narrow" w:hAnsi="Arial Narrow"/>
                <w:b/>
                <w:bCs/>
                <w:i/>
                <w:iCs/>
                <w:color w:val="000000"/>
                <w:sz w:val="12"/>
                <w:szCs w:val="12"/>
              </w:rPr>
              <w:t>3.26</w:t>
            </w:r>
          </w:p>
        </w:tc>
        <w:tc>
          <w:tcPr>
            <w:tcW w:w="390" w:type="dxa"/>
            <w:tcBorders>
              <w:top w:val="nil"/>
              <w:left w:val="nil"/>
              <w:bottom w:val="single" w:sz="4" w:space="0" w:color="auto"/>
              <w:right w:val="nil"/>
            </w:tcBorders>
            <w:noWrap/>
            <w:vAlign w:val="center"/>
            <w:hideMark/>
          </w:tcPr>
          <w:p w14:paraId="2D8D5E77" w14:textId="77777777" w:rsidR="0077412F" w:rsidRPr="0077412F" w:rsidRDefault="0077412F" w:rsidP="008011CF">
            <w:pPr>
              <w:jc w:val="center"/>
              <w:rPr>
                <w:rFonts w:ascii="Arial Narrow" w:hAnsi="Arial Narrow"/>
                <w:b/>
                <w:bCs/>
                <w:i/>
                <w:iCs/>
                <w:color w:val="000000"/>
                <w:sz w:val="12"/>
                <w:szCs w:val="12"/>
              </w:rPr>
            </w:pPr>
            <w:r w:rsidRPr="0077412F">
              <w:rPr>
                <w:rFonts w:ascii="Arial Narrow" w:hAnsi="Arial Narrow"/>
                <w:b/>
                <w:bCs/>
                <w:i/>
                <w:iCs/>
                <w:color w:val="000000"/>
                <w:sz w:val="12"/>
                <w:szCs w:val="12"/>
              </w:rPr>
              <w:t>0.49</w:t>
            </w:r>
          </w:p>
        </w:tc>
        <w:tc>
          <w:tcPr>
            <w:tcW w:w="633" w:type="dxa"/>
            <w:tcBorders>
              <w:top w:val="nil"/>
              <w:left w:val="nil"/>
              <w:bottom w:val="single" w:sz="4" w:space="0" w:color="auto"/>
              <w:right w:val="nil"/>
            </w:tcBorders>
            <w:noWrap/>
            <w:vAlign w:val="center"/>
            <w:hideMark/>
          </w:tcPr>
          <w:p w14:paraId="236DB66D" w14:textId="77777777" w:rsidR="0077412F" w:rsidRPr="0077412F" w:rsidRDefault="0077412F" w:rsidP="008011CF">
            <w:pPr>
              <w:jc w:val="center"/>
              <w:rPr>
                <w:rFonts w:ascii="Arial Narrow" w:hAnsi="Arial Narrow"/>
                <w:b/>
                <w:bCs/>
                <w:i/>
                <w:iCs/>
                <w:color w:val="000000"/>
                <w:sz w:val="12"/>
                <w:szCs w:val="12"/>
              </w:rPr>
            </w:pPr>
            <w:r w:rsidRPr="0077412F">
              <w:rPr>
                <w:rFonts w:ascii="Arial Narrow" w:hAnsi="Arial Narrow"/>
                <w:b/>
                <w:bCs/>
                <w:i/>
                <w:iCs/>
                <w:color w:val="000000"/>
                <w:sz w:val="12"/>
                <w:szCs w:val="12"/>
              </w:rPr>
              <w:t>Very High</w:t>
            </w:r>
          </w:p>
        </w:tc>
        <w:tc>
          <w:tcPr>
            <w:tcW w:w="390" w:type="dxa"/>
            <w:tcBorders>
              <w:top w:val="nil"/>
              <w:left w:val="nil"/>
              <w:bottom w:val="single" w:sz="4" w:space="0" w:color="auto"/>
              <w:right w:val="nil"/>
            </w:tcBorders>
            <w:noWrap/>
            <w:vAlign w:val="center"/>
            <w:hideMark/>
          </w:tcPr>
          <w:p w14:paraId="42FC3A1B" w14:textId="77777777" w:rsidR="0077412F" w:rsidRPr="0077412F" w:rsidRDefault="0077412F" w:rsidP="008011CF">
            <w:pPr>
              <w:jc w:val="center"/>
              <w:rPr>
                <w:rFonts w:ascii="Arial Narrow" w:hAnsi="Arial Narrow"/>
                <w:b/>
                <w:bCs/>
                <w:i/>
                <w:iCs/>
                <w:color w:val="000000"/>
                <w:sz w:val="12"/>
                <w:szCs w:val="12"/>
              </w:rPr>
            </w:pPr>
            <w:r w:rsidRPr="0077412F">
              <w:rPr>
                <w:rFonts w:ascii="Arial Narrow" w:hAnsi="Arial Narrow"/>
                <w:b/>
                <w:bCs/>
                <w:i/>
                <w:iCs/>
                <w:color w:val="000000"/>
                <w:sz w:val="12"/>
                <w:szCs w:val="12"/>
              </w:rPr>
              <w:t>3.37</w:t>
            </w:r>
          </w:p>
        </w:tc>
        <w:tc>
          <w:tcPr>
            <w:tcW w:w="391" w:type="dxa"/>
            <w:tcBorders>
              <w:top w:val="nil"/>
              <w:left w:val="nil"/>
              <w:bottom w:val="single" w:sz="4" w:space="0" w:color="auto"/>
              <w:right w:val="nil"/>
            </w:tcBorders>
            <w:noWrap/>
            <w:vAlign w:val="center"/>
            <w:hideMark/>
          </w:tcPr>
          <w:p w14:paraId="614DF4B9" w14:textId="77777777" w:rsidR="0077412F" w:rsidRPr="0077412F" w:rsidRDefault="0077412F" w:rsidP="008011CF">
            <w:pPr>
              <w:jc w:val="center"/>
              <w:rPr>
                <w:rFonts w:ascii="Arial Narrow" w:hAnsi="Arial Narrow"/>
                <w:b/>
                <w:bCs/>
                <w:i/>
                <w:iCs/>
                <w:color w:val="000000"/>
                <w:sz w:val="12"/>
                <w:szCs w:val="12"/>
              </w:rPr>
            </w:pPr>
            <w:r w:rsidRPr="0077412F">
              <w:rPr>
                <w:rFonts w:ascii="Arial Narrow" w:hAnsi="Arial Narrow"/>
                <w:b/>
                <w:bCs/>
                <w:i/>
                <w:iCs/>
                <w:color w:val="000000"/>
                <w:sz w:val="12"/>
                <w:szCs w:val="12"/>
              </w:rPr>
              <w:t>0.56</w:t>
            </w:r>
          </w:p>
        </w:tc>
        <w:tc>
          <w:tcPr>
            <w:tcW w:w="634" w:type="dxa"/>
            <w:tcBorders>
              <w:top w:val="nil"/>
              <w:left w:val="nil"/>
              <w:bottom w:val="single" w:sz="4" w:space="0" w:color="auto"/>
              <w:right w:val="nil"/>
            </w:tcBorders>
            <w:noWrap/>
            <w:vAlign w:val="center"/>
            <w:hideMark/>
          </w:tcPr>
          <w:p w14:paraId="06B25206" w14:textId="77777777" w:rsidR="0077412F" w:rsidRPr="0077412F" w:rsidRDefault="0077412F" w:rsidP="008011CF">
            <w:pPr>
              <w:jc w:val="center"/>
              <w:rPr>
                <w:rFonts w:ascii="Arial Narrow" w:hAnsi="Arial Narrow"/>
                <w:b/>
                <w:bCs/>
                <w:i/>
                <w:iCs/>
                <w:color w:val="000000"/>
                <w:sz w:val="12"/>
                <w:szCs w:val="12"/>
              </w:rPr>
            </w:pPr>
            <w:r w:rsidRPr="0077412F">
              <w:rPr>
                <w:rFonts w:ascii="Arial Narrow" w:hAnsi="Arial Narrow"/>
                <w:b/>
                <w:bCs/>
                <w:i/>
                <w:iCs/>
                <w:color w:val="000000"/>
                <w:sz w:val="12"/>
                <w:szCs w:val="12"/>
              </w:rPr>
              <w:t>Very High</w:t>
            </w:r>
          </w:p>
        </w:tc>
        <w:tc>
          <w:tcPr>
            <w:tcW w:w="391" w:type="dxa"/>
            <w:tcBorders>
              <w:top w:val="nil"/>
              <w:left w:val="nil"/>
              <w:bottom w:val="single" w:sz="4" w:space="0" w:color="auto"/>
              <w:right w:val="nil"/>
            </w:tcBorders>
            <w:noWrap/>
            <w:vAlign w:val="center"/>
            <w:hideMark/>
          </w:tcPr>
          <w:p w14:paraId="02016A7A" w14:textId="77777777" w:rsidR="0077412F" w:rsidRPr="0077412F" w:rsidRDefault="0077412F" w:rsidP="008011CF">
            <w:pPr>
              <w:jc w:val="center"/>
              <w:rPr>
                <w:rFonts w:ascii="Arial Narrow" w:hAnsi="Arial Narrow"/>
                <w:b/>
                <w:bCs/>
                <w:i/>
                <w:iCs/>
                <w:color w:val="000000"/>
                <w:sz w:val="12"/>
                <w:szCs w:val="12"/>
              </w:rPr>
            </w:pPr>
            <w:r w:rsidRPr="0077412F">
              <w:rPr>
                <w:rFonts w:ascii="Arial Narrow" w:hAnsi="Arial Narrow"/>
                <w:b/>
                <w:bCs/>
                <w:i/>
                <w:iCs/>
                <w:color w:val="000000"/>
                <w:sz w:val="12"/>
                <w:szCs w:val="12"/>
              </w:rPr>
              <w:t>3.18</w:t>
            </w:r>
          </w:p>
        </w:tc>
        <w:tc>
          <w:tcPr>
            <w:tcW w:w="391" w:type="dxa"/>
            <w:tcBorders>
              <w:top w:val="nil"/>
              <w:left w:val="nil"/>
              <w:bottom w:val="single" w:sz="4" w:space="0" w:color="auto"/>
              <w:right w:val="nil"/>
            </w:tcBorders>
            <w:noWrap/>
            <w:vAlign w:val="center"/>
            <w:hideMark/>
          </w:tcPr>
          <w:p w14:paraId="0B5E89F0" w14:textId="77777777" w:rsidR="0077412F" w:rsidRPr="0077412F" w:rsidRDefault="0077412F" w:rsidP="008011CF">
            <w:pPr>
              <w:jc w:val="center"/>
              <w:rPr>
                <w:rFonts w:ascii="Arial Narrow" w:hAnsi="Arial Narrow"/>
                <w:b/>
                <w:bCs/>
                <w:i/>
                <w:iCs/>
                <w:color w:val="000000"/>
                <w:sz w:val="12"/>
                <w:szCs w:val="12"/>
              </w:rPr>
            </w:pPr>
            <w:r w:rsidRPr="0077412F">
              <w:rPr>
                <w:rFonts w:ascii="Arial Narrow" w:hAnsi="Arial Narrow"/>
                <w:b/>
                <w:bCs/>
                <w:i/>
                <w:iCs/>
                <w:color w:val="000000"/>
                <w:sz w:val="12"/>
                <w:szCs w:val="12"/>
              </w:rPr>
              <w:t>0.58</w:t>
            </w:r>
          </w:p>
        </w:tc>
        <w:tc>
          <w:tcPr>
            <w:tcW w:w="415" w:type="dxa"/>
            <w:tcBorders>
              <w:top w:val="nil"/>
              <w:left w:val="nil"/>
              <w:bottom w:val="single" w:sz="4" w:space="0" w:color="auto"/>
              <w:right w:val="nil"/>
            </w:tcBorders>
            <w:noWrap/>
            <w:vAlign w:val="center"/>
            <w:hideMark/>
          </w:tcPr>
          <w:p w14:paraId="44DE77D5" w14:textId="77777777" w:rsidR="0077412F" w:rsidRPr="0077412F" w:rsidRDefault="0077412F" w:rsidP="008011CF">
            <w:pPr>
              <w:jc w:val="center"/>
              <w:rPr>
                <w:rFonts w:ascii="Arial Narrow" w:hAnsi="Arial Narrow"/>
                <w:b/>
                <w:bCs/>
                <w:i/>
                <w:iCs/>
                <w:color w:val="000000"/>
                <w:sz w:val="12"/>
                <w:szCs w:val="12"/>
              </w:rPr>
            </w:pPr>
            <w:r w:rsidRPr="0077412F">
              <w:rPr>
                <w:rFonts w:ascii="Arial Narrow" w:hAnsi="Arial Narrow"/>
                <w:b/>
                <w:bCs/>
                <w:i/>
                <w:iCs/>
                <w:color w:val="000000"/>
                <w:sz w:val="12"/>
                <w:szCs w:val="12"/>
              </w:rPr>
              <w:t>High</w:t>
            </w:r>
          </w:p>
        </w:tc>
        <w:tc>
          <w:tcPr>
            <w:tcW w:w="391" w:type="dxa"/>
            <w:tcBorders>
              <w:top w:val="nil"/>
              <w:left w:val="nil"/>
              <w:bottom w:val="single" w:sz="4" w:space="0" w:color="auto"/>
              <w:right w:val="nil"/>
            </w:tcBorders>
            <w:noWrap/>
            <w:vAlign w:val="center"/>
            <w:hideMark/>
          </w:tcPr>
          <w:p w14:paraId="25A80754" w14:textId="77777777" w:rsidR="0077412F" w:rsidRPr="0077412F" w:rsidRDefault="0077412F" w:rsidP="008011CF">
            <w:pPr>
              <w:jc w:val="center"/>
              <w:rPr>
                <w:rFonts w:ascii="Arial Narrow" w:hAnsi="Arial Narrow"/>
                <w:b/>
                <w:bCs/>
                <w:i/>
                <w:iCs/>
                <w:color w:val="000000"/>
                <w:sz w:val="12"/>
                <w:szCs w:val="12"/>
              </w:rPr>
            </w:pPr>
            <w:r w:rsidRPr="0077412F">
              <w:rPr>
                <w:rFonts w:ascii="Arial Narrow" w:hAnsi="Arial Narrow"/>
                <w:b/>
                <w:bCs/>
                <w:i/>
                <w:iCs/>
                <w:color w:val="000000"/>
                <w:sz w:val="12"/>
                <w:szCs w:val="12"/>
              </w:rPr>
              <w:t>3.18</w:t>
            </w:r>
          </w:p>
        </w:tc>
        <w:tc>
          <w:tcPr>
            <w:tcW w:w="391" w:type="dxa"/>
            <w:tcBorders>
              <w:top w:val="nil"/>
              <w:left w:val="nil"/>
              <w:bottom w:val="single" w:sz="4" w:space="0" w:color="auto"/>
              <w:right w:val="nil"/>
            </w:tcBorders>
            <w:noWrap/>
            <w:vAlign w:val="center"/>
            <w:hideMark/>
          </w:tcPr>
          <w:p w14:paraId="3A2DEDB8" w14:textId="77777777" w:rsidR="0077412F" w:rsidRPr="0077412F" w:rsidRDefault="0077412F" w:rsidP="008011CF">
            <w:pPr>
              <w:jc w:val="center"/>
              <w:rPr>
                <w:rFonts w:ascii="Arial Narrow" w:hAnsi="Arial Narrow"/>
                <w:b/>
                <w:bCs/>
                <w:i/>
                <w:iCs/>
                <w:color w:val="000000"/>
                <w:sz w:val="12"/>
                <w:szCs w:val="12"/>
              </w:rPr>
            </w:pPr>
            <w:r w:rsidRPr="0077412F">
              <w:rPr>
                <w:rFonts w:ascii="Arial Narrow" w:hAnsi="Arial Narrow"/>
                <w:b/>
                <w:bCs/>
                <w:i/>
                <w:iCs/>
                <w:color w:val="000000"/>
                <w:sz w:val="12"/>
                <w:szCs w:val="12"/>
              </w:rPr>
              <w:t>0.50</w:t>
            </w:r>
          </w:p>
        </w:tc>
        <w:tc>
          <w:tcPr>
            <w:tcW w:w="610" w:type="dxa"/>
            <w:tcBorders>
              <w:top w:val="nil"/>
              <w:left w:val="nil"/>
              <w:bottom w:val="single" w:sz="4" w:space="0" w:color="auto"/>
              <w:right w:val="nil"/>
            </w:tcBorders>
            <w:noWrap/>
            <w:vAlign w:val="center"/>
            <w:hideMark/>
          </w:tcPr>
          <w:p w14:paraId="0F057B45" w14:textId="77777777" w:rsidR="0077412F" w:rsidRPr="0077412F" w:rsidRDefault="0077412F" w:rsidP="008011CF">
            <w:pPr>
              <w:jc w:val="center"/>
              <w:rPr>
                <w:rFonts w:ascii="Arial Narrow" w:hAnsi="Arial Narrow"/>
                <w:b/>
                <w:bCs/>
                <w:i/>
                <w:iCs/>
                <w:color w:val="000000"/>
                <w:sz w:val="12"/>
                <w:szCs w:val="12"/>
              </w:rPr>
            </w:pPr>
            <w:r w:rsidRPr="0077412F">
              <w:rPr>
                <w:rFonts w:ascii="Arial Narrow" w:hAnsi="Arial Narrow"/>
                <w:b/>
                <w:bCs/>
                <w:i/>
                <w:iCs/>
                <w:color w:val="000000"/>
                <w:sz w:val="12"/>
                <w:szCs w:val="12"/>
              </w:rPr>
              <w:t>High</w:t>
            </w:r>
          </w:p>
        </w:tc>
        <w:tc>
          <w:tcPr>
            <w:tcW w:w="391" w:type="dxa"/>
            <w:tcBorders>
              <w:top w:val="nil"/>
              <w:left w:val="nil"/>
              <w:bottom w:val="single" w:sz="4" w:space="0" w:color="auto"/>
              <w:right w:val="nil"/>
            </w:tcBorders>
            <w:noWrap/>
            <w:vAlign w:val="center"/>
            <w:hideMark/>
          </w:tcPr>
          <w:p w14:paraId="6056CE39" w14:textId="77777777" w:rsidR="0077412F" w:rsidRPr="0077412F" w:rsidRDefault="0077412F" w:rsidP="008011CF">
            <w:pPr>
              <w:jc w:val="center"/>
              <w:rPr>
                <w:rFonts w:ascii="Arial Narrow" w:hAnsi="Arial Narrow"/>
                <w:b/>
                <w:bCs/>
                <w:i/>
                <w:iCs/>
                <w:color w:val="000000"/>
                <w:sz w:val="12"/>
                <w:szCs w:val="12"/>
              </w:rPr>
            </w:pPr>
            <w:r w:rsidRPr="0077412F">
              <w:rPr>
                <w:rFonts w:ascii="Arial Narrow" w:hAnsi="Arial Narrow"/>
                <w:b/>
                <w:bCs/>
                <w:i/>
                <w:iCs/>
                <w:color w:val="000000"/>
                <w:sz w:val="12"/>
                <w:szCs w:val="12"/>
              </w:rPr>
              <w:t>3.25</w:t>
            </w:r>
          </w:p>
        </w:tc>
        <w:tc>
          <w:tcPr>
            <w:tcW w:w="391" w:type="dxa"/>
            <w:tcBorders>
              <w:top w:val="nil"/>
              <w:left w:val="nil"/>
              <w:bottom w:val="single" w:sz="4" w:space="0" w:color="auto"/>
              <w:right w:val="nil"/>
            </w:tcBorders>
            <w:noWrap/>
            <w:vAlign w:val="center"/>
            <w:hideMark/>
          </w:tcPr>
          <w:p w14:paraId="7D323778" w14:textId="77777777" w:rsidR="0077412F" w:rsidRPr="0077412F" w:rsidRDefault="0077412F" w:rsidP="008011CF">
            <w:pPr>
              <w:jc w:val="center"/>
              <w:rPr>
                <w:rFonts w:ascii="Arial Narrow" w:hAnsi="Arial Narrow"/>
                <w:b/>
                <w:bCs/>
                <w:i/>
                <w:iCs/>
                <w:color w:val="000000"/>
                <w:sz w:val="12"/>
                <w:szCs w:val="12"/>
              </w:rPr>
            </w:pPr>
            <w:r w:rsidRPr="0077412F">
              <w:rPr>
                <w:rFonts w:ascii="Arial Narrow" w:hAnsi="Arial Narrow"/>
                <w:b/>
                <w:bCs/>
                <w:i/>
                <w:iCs/>
                <w:color w:val="000000"/>
                <w:sz w:val="12"/>
                <w:szCs w:val="12"/>
              </w:rPr>
              <w:t>0.48</w:t>
            </w:r>
          </w:p>
        </w:tc>
        <w:tc>
          <w:tcPr>
            <w:tcW w:w="610" w:type="dxa"/>
            <w:tcBorders>
              <w:top w:val="nil"/>
              <w:left w:val="nil"/>
              <w:bottom w:val="single" w:sz="4" w:space="0" w:color="auto"/>
              <w:right w:val="nil"/>
            </w:tcBorders>
            <w:noWrap/>
            <w:vAlign w:val="center"/>
            <w:hideMark/>
          </w:tcPr>
          <w:p w14:paraId="0A8703D6" w14:textId="77777777" w:rsidR="0077412F" w:rsidRPr="0077412F" w:rsidRDefault="0077412F" w:rsidP="008011CF">
            <w:pPr>
              <w:jc w:val="center"/>
              <w:rPr>
                <w:rFonts w:ascii="Arial Narrow" w:hAnsi="Arial Narrow"/>
                <w:b/>
                <w:bCs/>
                <w:i/>
                <w:iCs/>
                <w:color w:val="000000"/>
                <w:sz w:val="12"/>
                <w:szCs w:val="12"/>
              </w:rPr>
            </w:pPr>
            <w:r w:rsidRPr="0077412F">
              <w:rPr>
                <w:rFonts w:ascii="Arial Narrow" w:hAnsi="Arial Narrow"/>
                <w:b/>
                <w:bCs/>
                <w:i/>
                <w:iCs/>
                <w:color w:val="000000"/>
                <w:sz w:val="12"/>
                <w:szCs w:val="12"/>
              </w:rPr>
              <w:t>High</w:t>
            </w:r>
          </w:p>
        </w:tc>
      </w:tr>
      <w:tr w:rsidR="0077412F" w:rsidRPr="0077412F" w14:paraId="21E85AC2" w14:textId="77777777" w:rsidTr="0077412F">
        <w:trPr>
          <w:trHeight w:val="144"/>
          <w:jc w:val="center"/>
        </w:trPr>
        <w:tc>
          <w:tcPr>
            <w:tcW w:w="8208" w:type="dxa"/>
            <w:gridSpan w:val="16"/>
            <w:tcBorders>
              <w:top w:val="nil"/>
              <w:left w:val="nil"/>
              <w:bottom w:val="nil"/>
              <w:right w:val="nil"/>
            </w:tcBorders>
            <w:noWrap/>
            <w:vAlign w:val="center"/>
            <w:hideMark/>
          </w:tcPr>
          <w:p w14:paraId="5013C7E4" w14:textId="77777777" w:rsidR="0077412F" w:rsidRPr="0077412F" w:rsidRDefault="0077412F" w:rsidP="008011CF">
            <w:pPr>
              <w:rPr>
                <w:rFonts w:ascii="Arial Narrow" w:hAnsi="Arial Narrow"/>
                <w:color w:val="000000"/>
                <w:sz w:val="12"/>
                <w:szCs w:val="12"/>
              </w:rPr>
            </w:pPr>
            <w:r w:rsidRPr="0077412F">
              <w:rPr>
                <w:rFonts w:ascii="Arial Narrow" w:hAnsi="Arial Narrow"/>
                <w:color w:val="000000"/>
                <w:sz w:val="12"/>
                <w:szCs w:val="12"/>
              </w:rPr>
              <w:t>Mean Range: 1.00-1.75=Very Low, 1.76-2.50=Low, 2.51-3.25=High, 3.26-4.00=Very High</w:t>
            </w:r>
          </w:p>
        </w:tc>
      </w:tr>
    </w:tbl>
    <w:p w14:paraId="5EDADF6C" w14:textId="77777777" w:rsidR="0077412F" w:rsidRDefault="0077412F" w:rsidP="00B33001">
      <w:pPr>
        <w:pStyle w:val="Head1"/>
        <w:jc w:val="both"/>
        <w:rPr>
          <w:rFonts w:ascii="Arial" w:hAnsi="Arial" w:cs="Arial"/>
          <w:b w:val="0"/>
          <w:bCs/>
          <w:caps w:val="0"/>
          <w:sz w:val="20"/>
          <w:szCs w:val="18"/>
        </w:rPr>
      </w:pPr>
    </w:p>
    <w:p w14:paraId="735EF037" w14:textId="02E6621C" w:rsidR="0077412F" w:rsidRPr="0077412F" w:rsidRDefault="0077412F" w:rsidP="0077412F">
      <w:pPr>
        <w:pStyle w:val="Head1"/>
        <w:jc w:val="both"/>
        <w:rPr>
          <w:rFonts w:ascii="Arial" w:hAnsi="Arial" w:cs="Arial"/>
          <w:b w:val="0"/>
          <w:bCs/>
          <w:caps w:val="0"/>
          <w:sz w:val="20"/>
          <w:szCs w:val="18"/>
        </w:rPr>
      </w:pPr>
      <w:r w:rsidRPr="0077412F">
        <w:rPr>
          <w:rFonts w:ascii="Arial" w:hAnsi="Arial" w:cs="Arial"/>
          <w:b w:val="0"/>
          <w:bCs/>
          <w:caps w:val="0"/>
          <w:sz w:val="20"/>
          <w:szCs w:val="18"/>
        </w:rPr>
        <w:t xml:space="preserve">Table </w:t>
      </w:r>
      <w:r w:rsidR="00045F8B">
        <w:rPr>
          <w:rFonts w:ascii="Arial" w:hAnsi="Arial" w:cs="Arial"/>
          <w:b w:val="0"/>
          <w:bCs/>
          <w:caps w:val="0"/>
          <w:sz w:val="20"/>
          <w:szCs w:val="18"/>
        </w:rPr>
        <w:t>2</w:t>
      </w:r>
      <w:r w:rsidRPr="0077412F">
        <w:rPr>
          <w:rFonts w:ascii="Arial" w:hAnsi="Arial" w:cs="Arial"/>
          <w:b w:val="0"/>
          <w:bCs/>
          <w:caps w:val="0"/>
          <w:sz w:val="20"/>
          <w:szCs w:val="18"/>
        </w:rPr>
        <w:t xml:space="preserve"> shows that overall, the degree of resilience of the selected schools is high (M=3.25; SD=0.48).  Of the four areas of resilience, leadership involvement placed first (M=3.37; </w:t>
      </w:r>
      <w:r w:rsidRPr="0077412F">
        <w:rPr>
          <w:rFonts w:ascii="Arial" w:hAnsi="Arial" w:cs="Arial"/>
          <w:b w:val="0"/>
          <w:bCs/>
          <w:caps w:val="0"/>
          <w:sz w:val="20"/>
          <w:szCs w:val="18"/>
        </w:rPr>
        <w:lastRenderedPageBreak/>
        <w:t xml:space="preserve">SD=0.56) while continuous improvement followed (M=3.26; SD=0.49).  Resource management (M=3.18; SD=0.58) and process standardization and flexibility (M=3.18; SD=0.50) came third with similar mean scores.  This means that the institutions under study are generally well-prepared to withstand and adapt to disruptions.  </w:t>
      </w:r>
    </w:p>
    <w:p w14:paraId="1C326438" w14:textId="77777777" w:rsidR="0077412F" w:rsidRPr="0077412F" w:rsidRDefault="0077412F" w:rsidP="0077412F">
      <w:pPr>
        <w:pStyle w:val="Head1"/>
        <w:jc w:val="both"/>
        <w:rPr>
          <w:rFonts w:ascii="Arial" w:hAnsi="Arial" w:cs="Arial"/>
          <w:b w:val="0"/>
          <w:bCs/>
          <w:caps w:val="0"/>
          <w:sz w:val="20"/>
          <w:szCs w:val="18"/>
        </w:rPr>
      </w:pPr>
      <w:r w:rsidRPr="0077412F">
        <w:rPr>
          <w:rFonts w:ascii="Arial" w:hAnsi="Arial" w:cs="Arial"/>
          <w:b w:val="0"/>
          <w:bCs/>
          <w:caps w:val="0"/>
          <w:sz w:val="20"/>
          <w:szCs w:val="18"/>
        </w:rPr>
        <w:t xml:space="preserve">The ranking of the four areas of resilience provides further insight into their strengths and weaknesses. The highest score in "leadership involvement" suggests that leaders are actively engaged in building resilience, a critical driver for its success. The second-place ranking of "continuous improvement" implies that these schools have a culture of learning and adaptation.  However, the slightly lower and tied scores for "resource management and process" and "standardization and flexibility" suggest that while these areas are still strong, they are the most in need of development. </w:t>
      </w:r>
    </w:p>
    <w:p w14:paraId="543B8418" w14:textId="77777777" w:rsidR="0077412F" w:rsidRPr="0077412F" w:rsidRDefault="0077412F" w:rsidP="0077412F">
      <w:pPr>
        <w:pStyle w:val="Head1"/>
        <w:jc w:val="both"/>
        <w:rPr>
          <w:rFonts w:ascii="Arial" w:hAnsi="Arial" w:cs="Arial"/>
          <w:b w:val="0"/>
          <w:bCs/>
          <w:caps w:val="0"/>
          <w:sz w:val="20"/>
          <w:szCs w:val="18"/>
        </w:rPr>
      </w:pPr>
      <w:r w:rsidRPr="0077412F">
        <w:rPr>
          <w:rFonts w:ascii="Arial" w:hAnsi="Arial" w:cs="Arial"/>
          <w:b w:val="0"/>
          <w:bCs/>
          <w:caps w:val="0"/>
          <w:sz w:val="20"/>
          <w:szCs w:val="18"/>
        </w:rPr>
        <w:t>This implies that while the schools have strong leadership and a culture of improvement, they may be less consistent in their processes or may face constraints in managing resources, which could become a vulnerability during a crisis. The schools face the need to focus their efforts on strengthening resource management, streamlining processes, and balancing standardization with flexibility.</w:t>
      </w:r>
    </w:p>
    <w:p w14:paraId="0A477F10" w14:textId="77777777" w:rsidR="0077412F" w:rsidRPr="0077412F" w:rsidRDefault="0077412F" w:rsidP="0077412F">
      <w:pPr>
        <w:pStyle w:val="Head1"/>
        <w:jc w:val="both"/>
        <w:rPr>
          <w:rFonts w:ascii="Arial" w:hAnsi="Arial" w:cs="Arial"/>
          <w:b w:val="0"/>
          <w:bCs/>
          <w:caps w:val="0"/>
          <w:sz w:val="20"/>
          <w:szCs w:val="18"/>
        </w:rPr>
      </w:pPr>
      <w:r w:rsidRPr="0077412F">
        <w:rPr>
          <w:rFonts w:ascii="Arial" w:hAnsi="Arial" w:cs="Arial"/>
          <w:b w:val="0"/>
          <w:bCs/>
          <w:caps w:val="0"/>
          <w:sz w:val="20"/>
          <w:szCs w:val="18"/>
        </w:rPr>
        <w:t>This finding is supported by Storms et al. (2019) whose study underscores that leadership engagement is central to fostering a resilient organizational culture, aligning with the high scores in leadership involvement identified in the current finding.  Also, Gamble and Crouse (2020) discussed how leadership and continuous learning cultures contribute to organizational resilience.  The focus on curriculum and student support strategies reinforces the importance of leadership-driven initiatives and ongoing improvement efforts, which underpins the high scores in those areas. Moreover, Lim and Gaerlan (2022) support the emphasis on active leadership involvement to promote resilience, consistent with the top ranking in the current data.  In addition, Kondić et al. (2022) emphasized the significance of resource management and process optimization as key components of institutional resilience, suggesting that institutions which effectively manage resources and standardize processes are better prepared to withstand crises—corresponding to the slightly lower scores observed in resource management and process standardization.</w:t>
      </w:r>
    </w:p>
    <w:p w14:paraId="2664E46F" w14:textId="77777777" w:rsidR="0077412F" w:rsidRPr="0077412F" w:rsidRDefault="0077412F" w:rsidP="0077412F">
      <w:pPr>
        <w:pStyle w:val="Head1"/>
        <w:jc w:val="both"/>
        <w:rPr>
          <w:rFonts w:ascii="Arial" w:hAnsi="Arial" w:cs="Arial"/>
          <w:caps w:val="0"/>
          <w:sz w:val="20"/>
          <w:szCs w:val="18"/>
        </w:rPr>
      </w:pPr>
      <w:r w:rsidRPr="0077412F">
        <w:rPr>
          <w:rFonts w:ascii="Arial" w:hAnsi="Arial" w:cs="Arial"/>
          <w:caps w:val="0"/>
          <w:sz w:val="20"/>
          <w:szCs w:val="18"/>
        </w:rPr>
        <w:t>3.2.1 School Resilience and Student Population</w:t>
      </w:r>
    </w:p>
    <w:p w14:paraId="73E24354" w14:textId="7CC4D679" w:rsidR="0077412F" w:rsidRPr="0077412F" w:rsidRDefault="0077412F" w:rsidP="0077412F">
      <w:pPr>
        <w:pStyle w:val="Head1"/>
        <w:jc w:val="both"/>
        <w:rPr>
          <w:rFonts w:ascii="Arial" w:hAnsi="Arial" w:cs="Arial"/>
          <w:b w:val="0"/>
          <w:bCs/>
          <w:caps w:val="0"/>
          <w:sz w:val="20"/>
          <w:szCs w:val="18"/>
        </w:rPr>
      </w:pPr>
      <w:r w:rsidRPr="0077412F">
        <w:rPr>
          <w:rFonts w:ascii="Arial" w:hAnsi="Arial" w:cs="Arial"/>
          <w:b w:val="0"/>
          <w:bCs/>
          <w:caps w:val="0"/>
          <w:sz w:val="20"/>
          <w:szCs w:val="18"/>
        </w:rPr>
        <w:t xml:space="preserve">When grouped according to student population, those with larger student body obtained very high score (M=3.31; SD=0.47) while those with smaller student body obtained only a high score (M=3.13; SD=0.49).  This means that larger institutions, likely due to greater resources, more complex organizational structures, and the necessity to manage a larger and more diverse population, have developed more systematic practices. </w:t>
      </w:r>
    </w:p>
    <w:p w14:paraId="4A3DE866" w14:textId="77777777" w:rsidR="0077412F" w:rsidRPr="0077412F" w:rsidRDefault="0077412F" w:rsidP="0077412F">
      <w:pPr>
        <w:pStyle w:val="Head1"/>
        <w:jc w:val="both"/>
        <w:rPr>
          <w:rFonts w:ascii="Arial" w:hAnsi="Arial" w:cs="Arial"/>
          <w:b w:val="0"/>
          <w:bCs/>
          <w:caps w:val="0"/>
          <w:sz w:val="20"/>
          <w:szCs w:val="18"/>
        </w:rPr>
      </w:pPr>
      <w:r w:rsidRPr="0077412F">
        <w:rPr>
          <w:rFonts w:ascii="Arial" w:hAnsi="Arial" w:cs="Arial"/>
          <w:b w:val="0"/>
          <w:bCs/>
          <w:caps w:val="0"/>
          <w:sz w:val="20"/>
          <w:szCs w:val="18"/>
        </w:rPr>
        <w:t>It implies that institutions with a smaller student body, while still performing at a high level, appear to be at a disadvantage. This highlights a clear opportunity for them to enhance their practices by proactively studying and adopting the strategies employed by their larger counterparts to elevate their performance from "high" to "very high," ensuring they are not left behind in this critical area.</w:t>
      </w:r>
    </w:p>
    <w:p w14:paraId="440966B3" w14:textId="77777777" w:rsidR="0077412F" w:rsidRPr="0077412F" w:rsidRDefault="0077412F" w:rsidP="0077412F">
      <w:pPr>
        <w:pStyle w:val="Head1"/>
        <w:jc w:val="both"/>
        <w:rPr>
          <w:rFonts w:ascii="Arial" w:hAnsi="Arial" w:cs="Arial"/>
          <w:b w:val="0"/>
          <w:bCs/>
          <w:caps w:val="0"/>
          <w:sz w:val="20"/>
          <w:szCs w:val="18"/>
        </w:rPr>
      </w:pPr>
      <w:r w:rsidRPr="0077412F">
        <w:rPr>
          <w:rFonts w:ascii="Arial" w:hAnsi="Arial" w:cs="Arial"/>
          <w:b w:val="0"/>
          <w:bCs/>
          <w:caps w:val="0"/>
          <w:sz w:val="20"/>
          <w:szCs w:val="18"/>
        </w:rPr>
        <w:t xml:space="preserve">This finding is supported by Ungar et al. (2019) who emphasized that larger institutions often have access to a broader range of resources and diverse support networks, which can contribute to more developed resilience strategies. This study highlighted the importance of resource availability and organizational complexity in fostering resilience, aligning with the idea that larger institutions are better equipped.  Also, Kondić et al. (2022) underlined that institutions with greater size and resources tend to develop more mature resilience practices, </w:t>
      </w:r>
      <w:r w:rsidRPr="0077412F">
        <w:rPr>
          <w:rFonts w:ascii="Arial" w:hAnsi="Arial" w:cs="Arial"/>
          <w:b w:val="0"/>
          <w:bCs/>
          <w:caps w:val="0"/>
          <w:sz w:val="20"/>
          <w:szCs w:val="18"/>
        </w:rPr>
        <w:lastRenderedPageBreak/>
        <w:t>including organizational structures and policies.  Such institutions can better manage challenges due to their extensive networks and resource pools, supporting the observed higher scores in larger institutions.  Moreover, Storms et al. (2019) found that larger educational institutions, with more comprehensive infrastructure, in infrastructure, culture, and systems, tend to perform better in these domains.  In addition, Kenno et al. (2020) noted that larger institutions often have more decentralized structures, allowing for strategic resource allocation and resilience planning, which contribute to higher resilience scores.</w:t>
      </w:r>
    </w:p>
    <w:p w14:paraId="04224B4E" w14:textId="77777777" w:rsidR="0077412F" w:rsidRPr="0077412F" w:rsidRDefault="0077412F" w:rsidP="0077412F">
      <w:pPr>
        <w:pStyle w:val="Head1"/>
        <w:jc w:val="both"/>
        <w:rPr>
          <w:rFonts w:ascii="Arial" w:hAnsi="Arial" w:cs="Arial"/>
          <w:caps w:val="0"/>
          <w:sz w:val="20"/>
          <w:szCs w:val="18"/>
        </w:rPr>
      </w:pPr>
      <w:r w:rsidRPr="0077412F">
        <w:rPr>
          <w:rFonts w:ascii="Arial" w:hAnsi="Arial" w:cs="Arial"/>
          <w:caps w:val="0"/>
          <w:sz w:val="20"/>
          <w:szCs w:val="18"/>
        </w:rPr>
        <w:t>3.2.2 School Resilience and Number of Employees</w:t>
      </w:r>
    </w:p>
    <w:p w14:paraId="37B5AC1B" w14:textId="1BA78191" w:rsidR="0077412F" w:rsidRPr="0077412F" w:rsidRDefault="0077412F" w:rsidP="0077412F">
      <w:pPr>
        <w:pStyle w:val="Head1"/>
        <w:jc w:val="both"/>
        <w:rPr>
          <w:rFonts w:ascii="Arial" w:hAnsi="Arial" w:cs="Arial"/>
          <w:b w:val="0"/>
          <w:bCs/>
          <w:caps w:val="0"/>
          <w:sz w:val="20"/>
          <w:szCs w:val="18"/>
        </w:rPr>
      </w:pPr>
      <w:r w:rsidRPr="0077412F">
        <w:rPr>
          <w:rFonts w:ascii="Arial" w:hAnsi="Arial" w:cs="Arial"/>
          <w:b w:val="0"/>
          <w:bCs/>
          <w:caps w:val="0"/>
          <w:sz w:val="20"/>
          <w:szCs w:val="18"/>
        </w:rPr>
        <w:t xml:space="preserve">When grouped according to number of employees, those with larger workforce obtained very high mean (M=3.31; SD=0.47) while those with smaller workforce obtained high mean (M=3.13; SD=0.49). This means that human capital and organizational scale are significant factors in the level of the measured practice.  This further means that institutions with more employees likely have the necessary specialized personnel, resources, and capacity to develop more comprehensive and efficient practices. </w:t>
      </w:r>
    </w:p>
    <w:p w14:paraId="4F9861CC" w14:textId="77777777" w:rsidR="0077412F" w:rsidRPr="0077412F" w:rsidRDefault="0077412F" w:rsidP="0077412F">
      <w:pPr>
        <w:pStyle w:val="Head1"/>
        <w:jc w:val="both"/>
        <w:rPr>
          <w:rFonts w:ascii="Arial" w:hAnsi="Arial" w:cs="Arial"/>
          <w:b w:val="0"/>
          <w:bCs/>
          <w:caps w:val="0"/>
          <w:sz w:val="20"/>
          <w:szCs w:val="18"/>
        </w:rPr>
      </w:pPr>
      <w:r w:rsidRPr="0077412F">
        <w:rPr>
          <w:rFonts w:ascii="Arial" w:hAnsi="Arial" w:cs="Arial"/>
          <w:b w:val="0"/>
          <w:bCs/>
          <w:caps w:val="0"/>
          <w:sz w:val="20"/>
          <w:szCs w:val="18"/>
        </w:rPr>
        <w:t>This implies that organizations with a smaller workforce, while still performing well, appear to be at a relative disadvantage.  This highlights a clear opportunity for them to improve their practices by strategically leveraging their existing human resources, investing in targeted training, or formalizing their processes to a greater degree, aiming to close the performance gap and elevate their score from "high" to "very high."</w:t>
      </w:r>
    </w:p>
    <w:p w14:paraId="23ECAEB8" w14:textId="77777777" w:rsidR="0077412F" w:rsidRPr="0077412F" w:rsidRDefault="0077412F" w:rsidP="0077412F">
      <w:pPr>
        <w:pStyle w:val="Head1"/>
        <w:jc w:val="both"/>
        <w:rPr>
          <w:rFonts w:ascii="Arial" w:hAnsi="Arial" w:cs="Arial"/>
          <w:b w:val="0"/>
          <w:bCs/>
          <w:caps w:val="0"/>
          <w:sz w:val="20"/>
          <w:szCs w:val="18"/>
        </w:rPr>
      </w:pPr>
      <w:r w:rsidRPr="0077412F">
        <w:rPr>
          <w:rFonts w:ascii="Arial" w:hAnsi="Arial" w:cs="Arial"/>
          <w:b w:val="0"/>
          <w:bCs/>
          <w:caps w:val="0"/>
          <w:sz w:val="20"/>
          <w:szCs w:val="18"/>
        </w:rPr>
        <w:t>This is supported by Kenno et al. (2020) who explained how larger organizations tend to have more diversified and specialized personnel, enabling the development of more comprehensive resilience strategies and emphasized that human resources and organizational scale are critical in managing complex resilience practices effectively.  Also, Storms et al. (2019) highlighted that the capacity to design, operate, and upgrade systems depends heavily on the available human resources as larger institutions with more employees have the advantage of dedicated teams and expertise that contribute to stronger resilience practices.  Moreover, Kondić et al. (2022) found that organizations with a bigger workforce generally possess a broader array of skills and capacities, enabling them to implement multifaceted resilience strategies. They pointed out that organizational size correlates positively with the ability to manage risks and adopt best practices.  In addition, Ungar et al. (2019) underscored that a greater number of personnel and resources in larger institutions support the provision of diverse support networks and resilience resources, fostering stronger capacity for adaptive practices.</w:t>
      </w:r>
    </w:p>
    <w:p w14:paraId="3E2B448E" w14:textId="77777777" w:rsidR="0077412F" w:rsidRPr="0077412F" w:rsidRDefault="0077412F" w:rsidP="0077412F">
      <w:pPr>
        <w:pStyle w:val="Head1"/>
        <w:jc w:val="both"/>
        <w:rPr>
          <w:rFonts w:ascii="Arial" w:hAnsi="Arial" w:cs="Arial"/>
          <w:caps w:val="0"/>
          <w:sz w:val="20"/>
          <w:szCs w:val="18"/>
        </w:rPr>
      </w:pPr>
      <w:r w:rsidRPr="0077412F">
        <w:rPr>
          <w:rFonts w:ascii="Arial" w:hAnsi="Arial" w:cs="Arial"/>
          <w:caps w:val="0"/>
          <w:sz w:val="20"/>
          <w:szCs w:val="18"/>
        </w:rPr>
        <w:t>3.2.3 School Resilience and Annual Operational Budget</w:t>
      </w:r>
    </w:p>
    <w:p w14:paraId="49F799FE" w14:textId="100F8342" w:rsidR="0077412F" w:rsidRPr="0077412F" w:rsidRDefault="0077412F" w:rsidP="0077412F">
      <w:pPr>
        <w:pStyle w:val="Head1"/>
        <w:jc w:val="both"/>
        <w:rPr>
          <w:rFonts w:ascii="Arial" w:hAnsi="Arial" w:cs="Arial"/>
          <w:b w:val="0"/>
          <w:bCs/>
          <w:caps w:val="0"/>
          <w:sz w:val="20"/>
          <w:szCs w:val="18"/>
        </w:rPr>
      </w:pPr>
      <w:r w:rsidRPr="0077412F">
        <w:rPr>
          <w:rFonts w:ascii="Arial" w:hAnsi="Arial" w:cs="Arial"/>
          <w:b w:val="0"/>
          <w:bCs/>
          <w:caps w:val="0"/>
          <w:sz w:val="20"/>
          <w:szCs w:val="18"/>
        </w:rPr>
        <w:t xml:space="preserve">When grouped according to annual operational budget, those with higher budget capacity obtained very high mean (M=3.28; SD=0.47) while those with lower budget capacity obtained high mean (M=3.23; SD=0.50).  The minimal difference between the two means that financial capacity is not a primary or decisive factor in the level of the measured practice. </w:t>
      </w:r>
    </w:p>
    <w:p w14:paraId="3ADB7440" w14:textId="77777777" w:rsidR="0077412F" w:rsidRPr="0077412F" w:rsidRDefault="0077412F" w:rsidP="0077412F">
      <w:pPr>
        <w:pStyle w:val="Head1"/>
        <w:jc w:val="both"/>
        <w:rPr>
          <w:rFonts w:ascii="Arial" w:hAnsi="Arial" w:cs="Arial"/>
          <w:b w:val="0"/>
          <w:bCs/>
          <w:caps w:val="0"/>
          <w:sz w:val="20"/>
          <w:szCs w:val="18"/>
        </w:rPr>
      </w:pPr>
      <w:r w:rsidRPr="0077412F">
        <w:rPr>
          <w:rFonts w:ascii="Arial" w:hAnsi="Arial" w:cs="Arial"/>
          <w:b w:val="0"/>
          <w:bCs/>
          <w:caps w:val="0"/>
          <w:sz w:val="20"/>
          <w:szCs w:val="18"/>
        </w:rPr>
        <w:t xml:space="preserve">This implies that efficient practices are not heavily resource-dependent and can be achieved through other means, such as strong leadership, efficient processes, or institutional commitment, regardless of budget size.  Consequently, institutions with a lower budget capacity can achieve a high level of performance without significant financial outlays, while </w:t>
      </w:r>
      <w:r w:rsidRPr="0077412F">
        <w:rPr>
          <w:rFonts w:ascii="Arial" w:hAnsi="Arial" w:cs="Arial"/>
          <w:b w:val="0"/>
          <w:bCs/>
          <w:caps w:val="0"/>
          <w:sz w:val="20"/>
          <w:szCs w:val="18"/>
        </w:rPr>
        <w:lastRenderedPageBreak/>
        <w:t>higher-budget institutions may need to ensure their spending is translating into superior outcomes.</w:t>
      </w:r>
    </w:p>
    <w:p w14:paraId="10077FF6" w14:textId="77777777" w:rsidR="0077412F" w:rsidRPr="0077412F" w:rsidRDefault="0077412F" w:rsidP="0077412F">
      <w:pPr>
        <w:pStyle w:val="Head1"/>
        <w:jc w:val="both"/>
        <w:rPr>
          <w:rFonts w:ascii="Arial" w:hAnsi="Arial" w:cs="Arial"/>
          <w:b w:val="0"/>
          <w:bCs/>
          <w:caps w:val="0"/>
          <w:sz w:val="20"/>
          <w:szCs w:val="18"/>
        </w:rPr>
      </w:pPr>
      <w:r w:rsidRPr="0077412F">
        <w:rPr>
          <w:rFonts w:ascii="Arial" w:hAnsi="Arial" w:cs="Arial"/>
          <w:b w:val="0"/>
          <w:bCs/>
          <w:caps w:val="0"/>
          <w:sz w:val="20"/>
          <w:szCs w:val="18"/>
        </w:rPr>
        <w:t>This is supported by Campbell et al. (2020) who found that successful implementation often depends more on strategic leadership, stakeholder engagement, and institutional commitment than on the sheer availability of financial resources. The study emphasizes that institutions can leverage existing resources efficiently to develop effective climate resilience programs.  Also, Lim and Gaerlan (2022) underscored that organizational resilience is influenced significantly by leadership, culture, and processes, rather than only by financial resources. Effective resilience strategies can be achieved through strong leadership and adaptive organizational culture, even with limited budgets.  Furthermore, Poltarykhin et al. (2020) showed that efficient risk detection and management can be performed through well-designed processes and organizational practices, not necessarily requiring extensive financial investments.</w:t>
      </w:r>
    </w:p>
    <w:p w14:paraId="27F94A5C" w14:textId="77777777" w:rsidR="0077412F" w:rsidRPr="0077412F" w:rsidRDefault="0077412F" w:rsidP="0077412F">
      <w:pPr>
        <w:pStyle w:val="Head1"/>
        <w:jc w:val="both"/>
        <w:rPr>
          <w:rFonts w:ascii="Arial" w:hAnsi="Arial" w:cs="Arial"/>
          <w:caps w:val="0"/>
          <w:sz w:val="20"/>
          <w:szCs w:val="18"/>
        </w:rPr>
      </w:pPr>
      <w:r w:rsidRPr="0077412F">
        <w:rPr>
          <w:rFonts w:ascii="Arial" w:hAnsi="Arial" w:cs="Arial"/>
          <w:caps w:val="0"/>
          <w:sz w:val="20"/>
          <w:szCs w:val="18"/>
        </w:rPr>
        <w:t>3.2.4 School Resilience and Number of Accredited Programs</w:t>
      </w:r>
    </w:p>
    <w:p w14:paraId="0AC4C980" w14:textId="648D9E28" w:rsidR="0077412F" w:rsidRPr="0077412F" w:rsidRDefault="0077412F" w:rsidP="0077412F">
      <w:pPr>
        <w:pStyle w:val="Head1"/>
        <w:jc w:val="both"/>
        <w:rPr>
          <w:rFonts w:ascii="Arial" w:hAnsi="Arial" w:cs="Arial"/>
          <w:b w:val="0"/>
          <w:bCs/>
          <w:caps w:val="0"/>
          <w:sz w:val="20"/>
          <w:szCs w:val="18"/>
        </w:rPr>
      </w:pPr>
      <w:r w:rsidRPr="0077412F">
        <w:rPr>
          <w:rFonts w:ascii="Arial" w:hAnsi="Arial" w:cs="Arial"/>
          <w:b w:val="0"/>
          <w:bCs/>
          <w:caps w:val="0"/>
          <w:sz w:val="20"/>
          <w:szCs w:val="18"/>
        </w:rPr>
        <w:t xml:space="preserve">When grouped according to number of accredited programs, those with more accredited programs scored very high (M=3.28; SD=0.44) while those with fewer accredited programs scored high (M=3.23; SD=0.50).  This means that while the discipline and rigorous standards of the accreditation process may contribute to slightly better performance, it is not the sole determinant of success. Both groups are performing at a high level, implying that institutions can achieve a high degree of the measured practice regardless of the number of their accredited programs. </w:t>
      </w:r>
    </w:p>
    <w:p w14:paraId="3A72F1C4" w14:textId="77777777" w:rsidR="0077412F" w:rsidRPr="0077412F" w:rsidRDefault="0077412F" w:rsidP="0077412F">
      <w:pPr>
        <w:pStyle w:val="Head1"/>
        <w:jc w:val="both"/>
        <w:rPr>
          <w:rFonts w:ascii="Arial" w:hAnsi="Arial" w:cs="Arial"/>
          <w:b w:val="0"/>
          <w:bCs/>
          <w:caps w:val="0"/>
          <w:sz w:val="20"/>
          <w:szCs w:val="18"/>
        </w:rPr>
      </w:pPr>
      <w:r w:rsidRPr="0077412F">
        <w:rPr>
          <w:rFonts w:ascii="Arial" w:hAnsi="Arial" w:cs="Arial"/>
          <w:b w:val="0"/>
          <w:bCs/>
          <w:caps w:val="0"/>
          <w:sz w:val="20"/>
          <w:szCs w:val="18"/>
        </w:rPr>
        <w:t>This further implies that the fundamental principles of quality assurance and structured evaluation inherent in accreditation are valuable and can be adopted by institutions with fewer accredited programs to enhance their practices. The higher standard deviation for the group with fewer accredited programs also suggests greater inconsistency in their performance, indicating a need for more standardized procedures to ensure all institutions within that group perform at a high level.</w:t>
      </w:r>
    </w:p>
    <w:p w14:paraId="66B1C3DE" w14:textId="77777777" w:rsidR="0077412F" w:rsidRPr="0077412F" w:rsidRDefault="0077412F" w:rsidP="0077412F">
      <w:pPr>
        <w:pStyle w:val="Head1"/>
        <w:jc w:val="both"/>
        <w:rPr>
          <w:rFonts w:ascii="Arial" w:hAnsi="Arial" w:cs="Arial"/>
          <w:b w:val="0"/>
          <w:bCs/>
          <w:caps w:val="0"/>
          <w:sz w:val="20"/>
          <w:szCs w:val="18"/>
        </w:rPr>
      </w:pPr>
      <w:r w:rsidRPr="0077412F">
        <w:rPr>
          <w:rFonts w:ascii="Arial" w:hAnsi="Arial" w:cs="Arial"/>
          <w:b w:val="0"/>
          <w:bCs/>
          <w:caps w:val="0"/>
          <w:sz w:val="20"/>
          <w:szCs w:val="18"/>
        </w:rPr>
        <w:t xml:space="preserve">This is supported by Alhamad (2021) who emphasized that institutional practices, including quality assurance measures like accreditation, are valuable regardless of the number of programs accredited. He suggested that the adoption of structured evaluation systems and quality principles can improve performance universally, not solely through the number of accredited programs.  Also, Machuca (2021) highlighted the importance of evaluation, certification, and accreditation processes in ensuring educational quality, implying that such principles can influence performance positively across all programs, independent of their accreditation status and supporting the idea that institutions with fewer accredited programs can still achieve high standards.  Moreover, </w:t>
      </w:r>
      <w:proofErr w:type="spellStart"/>
      <w:r w:rsidRPr="0077412F">
        <w:rPr>
          <w:rFonts w:ascii="Arial" w:hAnsi="Arial" w:cs="Arial"/>
          <w:b w:val="0"/>
          <w:bCs/>
          <w:caps w:val="0"/>
          <w:sz w:val="20"/>
          <w:szCs w:val="18"/>
        </w:rPr>
        <w:t>Hiên</w:t>
      </w:r>
      <w:proofErr w:type="spellEnd"/>
      <w:r w:rsidRPr="0077412F">
        <w:rPr>
          <w:rFonts w:ascii="Arial" w:hAnsi="Arial" w:cs="Arial"/>
          <w:b w:val="0"/>
          <w:bCs/>
          <w:caps w:val="0"/>
          <w:sz w:val="20"/>
          <w:szCs w:val="18"/>
        </w:rPr>
        <w:t xml:space="preserve"> et al.’s (2020) study underscored that quality assurance activities, including accreditation, are essential tools for improving higher education outcomes.  Institutions with fewer accredited programs can still leverage these principles to enhance practices, which aligns with the observed high performance regardless of accreditation count.  Zhang and Luo (2023) emphasized that organizational principles like structured evaluation and continuous improvement (integral to accreditation) are critical for resilience and performance, applicable across institutions regardless of the number of accredited programs.</w:t>
      </w:r>
    </w:p>
    <w:p w14:paraId="6251B8BF" w14:textId="77777777" w:rsidR="0077412F" w:rsidRPr="0077412F" w:rsidRDefault="0077412F" w:rsidP="0077412F">
      <w:pPr>
        <w:pStyle w:val="Head1"/>
        <w:jc w:val="both"/>
        <w:rPr>
          <w:rFonts w:ascii="Arial" w:hAnsi="Arial" w:cs="Arial"/>
          <w:caps w:val="0"/>
          <w:sz w:val="20"/>
          <w:szCs w:val="18"/>
        </w:rPr>
      </w:pPr>
      <w:r w:rsidRPr="0077412F">
        <w:rPr>
          <w:rFonts w:ascii="Arial" w:hAnsi="Arial" w:cs="Arial"/>
          <w:caps w:val="0"/>
          <w:sz w:val="20"/>
          <w:szCs w:val="18"/>
        </w:rPr>
        <w:t>3.2.5 School Resilience and School’s Years of Existence</w:t>
      </w:r>
    </w:p>
    <w:p w14:paraId="4CB4096B" w14:textId="238FE505" w:rsidR="0077412F" w:rsidRPr="0077412F" w:rsidRDefault="0077412F" w:rsidP="0077412F">
      <w:pPr>
        <w:pStyle w:val="Head1"/>
        <w:jc w:val="both"/>
        <w:rPr>
          <w:rFonts w:ascii="Arial" w:hAnsi="Arial" w:cs="Arial"/>
          <w:b w:val="0"/>
          <w:bCs/>
          <w:caps w:val="0"/>
          <w:sz w:val="20"/>
          <w:szCs w:val="18"/>
        </w:rPr>
      </w:pPr>
      <w:r w:rsidRPr="0077412F">
        <w:rPr>
          <w:rFonts w:ascii="Arial" w:hAnsi="Arial" w:cs="Arial"/>
          <w:b w:val="0"/>
          <w:bCs/>
          <w:caps w:val="0"/>
          <w:sz w:val="20"/>
          <w:szCs w:val="18"/>
        </w:rPr>
        <w:t xml:space="preserve">When grouped according to years of existence, legacy institutions obtained very high mean (M=3.26; SD=0.48) while younger institutions scored high (M=3.19; SD=0.49).  This means </w:t>
      </w:r>
      <w:r w:rsidRPr="0077412F">
        <w:rPr>
          <w:rFonts w:ascii="Arial" w:hAnsi="Arial" w:cs="Arial"/>
          <w:b w:val="0"/>
          <w:bCs/>
          <w:caps w:val="0"/>
          <w:sz w:val="20"/>
          <w:szCs w:val="18"/>
        </w:rPr>
        <w:lastRenderedPageBreak/>
        <w:t xml:space="preserve">that institutional age and experience contribute to the level of the measured practice. Legacy institutions have had more time to establish, refine, and institutionalize their practices, and they have likely built a stronger foundation of knowledge and resilience over their years of existence. </w:t>
      </w:r>
    </w:p>
    <w:p w14:paraId="31DA2BAF" w14:textId="77777777" w:rsidR="0077412F" w:rsidRPr="0077412F" w:rsidRDefault="0077412F" w:rsidP="0077412F">
      <w:pPr>
        <w:pStyle w:val="Head1"/>
        <w:jc w:val="both"/>
        <w:rPr>
          <w:rFonts w:ascii="Arial" w:hAnsi="Arial" w:cs="Arial"/>
          <w:b w:val="0"/>
          <w:bCs/>
          <w:caps w:val="0"/>
          <w:sz w:val="20"/>
          <w:szCs w:val="18"/>
        </w:rPr>
      </w:pPr>
      <w:r w:rsidRPr="0077412F">
        <w:rPr>
          <w:rFonts w:ascii="Arial" w:hAnsi="Arial" w:cs="Arial"/>
          <w:b w:val="0"/>
          <w:bCs/>
          <w:caps w:val="0"/>
          <w:sz w:val="20"/>
          <w:szCs w:val="18"/>
        </w:rPr>
        <w:t xml:space="preserve">This implies that younger institutions, while still performing at a high level, are in an earlier stage of their development and have not yet fully benefited from the cumulative experience that their older counterparts possess.  Younger institutions could improve their performance by actively focusing on building institutional memory, formalizing their processes, and accelerating their learning curve to a level comparable to legacy institutions.  </w:t>
      </w:r>
    </w:p>
    <w:p w14:paraId="19CA9BF0" w14:textId="77777777" w:rsidR="0077412F" w:rsidRPr="0077412F" w:rsidRDefault="0077412F" w:rsidP="0077412F">
      <w:pPr>
        <w:pStyle w:val="Head1"/>
        <w:jc w:val="both"/>
        <w:rPr>
          <w:rFonts w:ascii="Arial" w:hAnsi="Arial" w:cs="Arial"/>
          <w:b w:val="0"/>
          <w:bCs/>
          <w:caps w:val="0"/>
          <w:sz w:val="20"/>
          <w:szCs w:val="18"/>
        </w:rPr>
      </w:pPr>
      <w:r w:rsidRPr="0077412F">
        <w:rPr>
          <w:rFonts w:ascii="Arial" w:hAnsi="Arial" w:cs="Arial"/>
          <w:b w:val="0"/>
          <w:bCs/>
          <w:caps w:val="0"/>
          <w:sz w:val="20"/>
          <w:szCs w:val="18"/>
        </w:rPr>
        <w:t>This finding is supported by Lim and Gaerlan (2022) who found that organizational resilience and maturity are influenced by leadership and culture over time.  Older (legacy) institutions, having endured various challenges, have developed more robust practices and resilience, supporting the idea that institutional age contributes positively to performance.  Also, Kondić et al. (2023) suggested that institutions with more years of operation have more developed systems for managing risks and implementing best practices, supporting that age contributes to mature organizational routines.  In addition, Wessels and Sadler (2019) indicated that institutions with longer operational histories are better positioned to adopt effective risk management strategies, reflecting a more mature institutional knowledge base fostered by time.</w:t>
      </w:r>
    </w:p>
    <w:p w14:paraId="4AA7AB19" w14:textId="24B8E5C4" w:rsidR="00B33001" w:rsidRDefault="00B33001" w:rsidP="00B33001">
      <w:pPr>
        <w:pStyle w:val="Head1"/>
        <w:spacing w:after="0"/>
        <w:jc w:val="both"/>
        <w:rPr>
          <w:rFonts w:ascii="Arial" w:hAnsi="Arial" w:cs="Arial"/>
        </w:rPr>
      </w:pPr>
      <w:r>
        <w:rPr>
          <w:rFonts w:ascii="Arial" w:hAnsi="Arial" w:cs="Arial"/>
        </w:rPr>
        <w:t>3.</w:t>
      </w:r>
      <w:r w:rsidR="0077412F">
        <w:rPr>
          <w:rFonts w:ascii="Arial" w:hAnsi="Arial" w:cs="Arial"/>
        </w:rPr>
        <w:t>3</w:t>
      </w:r>
      <w:r>
        <w:rPr>
          <w:rFonts w:ascii="Arial" w:hAnsi="Arial" w:cs="Arial"/>
        </w:rPr>
        <w:t xml:space="preserve"> </w:t>
      </w:r>
      <w:r w:rsidR="0077412F" w:rsidRPr="0077412F">
        <w:rPr>
          <w:rFonts w:ascii="Arial" w:hAnsi="Arial" w:cs="Arial"/>
          <w:caps w:val="0"/>
        </w:rPr>
        <w:t xml:space="preserve">Difference </w:t>
      </w:r>
      <w:r w:rsidR="0077412F">
        <w:rPr>
          <w:rFonts w:ascii="Arial" w:hAnsi="Arial" w:cs="Arial"/>
          <w:caps w:val="0"/>
        </w:rPr>
        <w:t>i</w:t>
      </w:r>
      <w:r w:rsidR="0077412F" w:rsidRPr="0077412F">
        <w:rPr>
          <w:rFonts w:ascii="Arial" w:hAnsi="Arial" w:cs="Arial"/>
          <w:caps w:val="0"/>
        </w:rPr>
        <w:t xml:space="preserve">n </w:t>
      </w:r>
      <w:r w:rsidR="0077412F">
        <w:rPr>
          <w:rFonts w:ascii="Arial" w:hAnsi="Arial" w:cs="Arial"/>
          <w:caps w:val="0"/>
        </w:rPr>
        <w:t>t</w:t>
      </w:r>
      <w:r w:rsidR="0077412F" w:rsidRPr="0077412F">
        <w:rPr>
          <w:rFonts w:ascii="Arial" w:hAnsi="Arial" w:cs="Arial"/>
          <w:caps w:val="0"/>
        </w:rPr>
        <w:t xml:space="preserve">he Extent </w:t>
      </w:r>
      <w:r w:rsidR="0077412F">
        <w:rPr>
          <w:rFonts w:ascii="Arial" w:hAnsi="Arial" w:cs="Arial"/>
          <w:caps w:val="0"/>
        </w:rPr>
        <w:t>o</w:t>
      </w:r>
      <w:r w:rsidR="0077412F" w:rsidRPr="0077412F">
        <w:rPr>
          <w:rFonts w:ascii="Arial" w:hAnsi="Arial" w:cs="Arial"/>
          <w:caps w:val="0"/>
        </w:rPr>
        <w:t>f Operational Risk Management Practices</w:t>
      </w:r>
    </w:p>
    <w:p w14:paraId="1D5BB9F2" w14:textId="77777777" w:rsidR="00B33001" w:rsidRDefault="00B33001" w:rsidP="00B33001">
      <w:pPr>
        <w:pStyle w:val="Head1"/>
        <w:spacing w:after="0"/>
        <w:jc w:val="both"/>
        <w:rPr>
          <w:rFonts w:ascii="Arial" w:hAnsi="Arial" w:cs="Arial"/>
        </w:rPr>
      </w:pPr>
    </w:p>
    <w:tbl>
      <w:tblPr>
        <w:tblW w:w="5000" w:type="pct"/>
        <w:tblLook w:val="04A0" w:firstRow="1" w:lastRow="0" w:firstColumn="1" w:lastColumn="0" w:noHBand="0" w:noVBand="1"/>
      </w:tblPr>
      <w:tblGrid>
        <w:gridCol w:w="4815"/>
        <w:gridCol w:w="1337"/>
        <w:gridCol w:w="1083"/>
        <w:gridCol w:w="973"/>
      </w:tblGrid>
      <w:tr w:rsidR="0077412F" w:rsidRPr="0077412F" w14:paraId="189DB034" w14:textId="77777777" w:rsidTr="008011CF">
        <w:trPr>
          <w:trHeight w:val="20"/>
        </w:trPr>
        <w:tc>
          <w:tcPr>
            <w:tcW w:w="5000" w:type="pct"/>
            <w:gridSpan w:val="4"/>
            <w:tcBorders>
              <w:top w:val="nil"/>
              <w:left w:val="nil"/>
              <w:bottom w:val="single" w:sz="4" w:space="0" w:color="auto"/>
              <w:right w:val="nil"/>
            </w:tcBorders>
            <w:noWrap/>
            <w:vAlign w:val="center"/>
            <w:hideMark/>
          </w:tcPr>
          <w:p w14:paraId="05AB530C" w14:textId="4DE73464" w:rsidR="0077412F" w:rsidRPr="0077412F" w:rsidRDefault="0077412F" w:rsidP="0077412F">
            <w:pPr>
              <w:rPr>
                <w:rFonts w:ascii="Arial Narrow" w:hAnsi="Arial Narrow"/>
                <w:b/>
                <w:bCs/>
                <w:color w:val="000000"/>
                <w:sz w:val="22"/>
                <w:szCs w:val="22"/>
              </w:rPr>
            </w:pPr>
            <w:r w:rsidRPr="0077412F">
              <w:rPr>
                <w:rFonts w:ascii="Arial Narrow" w:hAnsi="Arial Narrow"/>
                <w:b/>
                <w:bCs/>
                <w:sz w:val="22"/>
                <w:szCs w:val="22"/>
              </w:rPr>
              <w:t>Table 3.  Difference in the Extent of Operational Risk Management Practices as Assessed by the Administrator Respondents</w:t>
            </w:r>
          </w:p>
        </w:tc>
      </w:tr>
      <w:tr w:rsidR="0077412F" w:rsidRPr="0077412F" w14:paraId="5FC41035" w14:textId="77777777" w:rsidTr="0077412F">
        <w:trPr>
          <w:trHeight w:val="20"/>
        </w:trPr>
        <w:tc>
          <w:tcPr>
            <w:tcW w:w="2981" w:type="pct"/>
            <w:tcBorders>
              <w:top w:val="nil"/>
              <w:left w:val="nil"/>
              <w:bottom w:val="single" w:sz="4" w:space="0" w:color="auto"/>
              <w:right w:val="nil"/>
            </w:tcBorders>
            <w:noWrap/>
            <w:vAlign w:val="center"/>
            <w:hideMark/>
          </w:tcPr>
          <w:p w14:paraId="747D813F" w14:textId="77777777" w:rsidR="0077412F" w:rsidRPr="0077412F" w:rsidRDefault="0077412F" w:rsidP="0077412F">
            <w:pPr>
              <w:rPr>
                <w:rFonts w:ascii="Arial Narrow" w:hAnsi="Arial Narrow"/>
                <w:b/>
                <w:bCs/>
                <w:color w:val="000000"/>
              </w:rPr>
            </w:pPr>
            <w:r w:rsidRPr="0077412F">
              <w:rPr>
                <w:rFonts w:ascii="Arial Narrow" w:hAnsi="Arial Narrow"/>
                <w:b/>
                <w:bCs/>
                <w:color w:val="000000"/>
              </w:rPr>
              <w:t>Variable</w:t>
            </w:r>
          </w:p>
        </w:tc>
        <w:tc>
          <w:tcPr>
            <w:tcW w:w="802" w:type="pct"/>
            <w:tcBorders>
              <w:top w:val="nil"/>
              <w:left w:val="nil"/>
              <w:bottom w:val="single" w:sz="4" w:space="0" w:color="auto"/>
              <w:right w:val="nil"/>
            </w:tcBorders>
            <w:noWrap/>
            <w:vAlign w:val="center"/>
            <w:hideMark/>
          </w:tcPr>
          <w:p w14:paraId="0DD43D3C" w14:textId="77777777" w:rsidR="0077412F" w:rsidRPr="0077412F" w:rsidRDefault="0077412F" w:rsidP="0077412F">
            <w:pPr>
              <w:jc w:val="center"/>
              <w:rPr>
                <w:rFonts w:ascii="Arial Narrow" w:hAnsi="Arial Narrow"/>
                <w:b/>
                <w:bCs/>
                <w:color w:val="000000"/>
              </w:rPr>
            </w:pPr>
            <w:r w:rsidRPr="0077412F">
              <w:rPr>
                <w:rFonts w:ascii="Arial Narrow" w:hAnsi="Arial Narrow"/>
                <w:b/>
                <w:bCs/>
                <w:color w:val="000000"/>
              </w:rPr>
              <w:t>U</w:t>
            </w:r>
          </w:p>
        </w:tc>
        <w:tc>
          <w:tcPr>
            <w:tcW w:w="643" w:type="pct"/>
            <w:tcBorders>
              <w:top w:val="nil"/>
              <w:left w:val="nil"/>
              <w:bottom w:val="single" w:sz="4" w:space="0" w:color="auto"/>
              <w:right w:val="nil"/>
            </w:tcBorders>
            <w:noWrap/>
            <w:vAlign w:val="center"/>
            <w:hideMark/>
          </w:tcPr>
          <w:p w14:paraId="223DD747" w14:textId="77777777" w:rsidR="0077412F" w:rsidRPr="0077412F" w:rsidRDefault="0077412F" w:rsidP="0077412F">
            <w:pPr>
              <w:jc w:val="center"/>
              <w:rPr>
                <w:rFonts w:ascii="Arial Narrow" w:hAnsi="Arial Narrow"/>
                <w:b/>
                <w:bCs/>
                <w:color w:val="000000"/>
              </w:rPr>
            </w:pPr>
            <w:r w:rsidRPr="0077412F">
              <w:rPr>
                <w:rFonts w:ascii="Arial Narrow" w:hAnsi="Arial Narrow"/>
                <w:b/>
                <w:bCs/>
                <w:color w:val="000000"/>
              </w:rPr>
              <w:t>z</w:t>
            </w:r>
          </w:p>
        </w:tc>
        <w:tc>
          <w:tcPr>
            <w:tcW w:w="574" w:type="pct"/>
            <w:tcBorders>
              <w:top w:val="nil"/>
              <w:left w:val="nil"/>
              <w:bottom w:val="single" w:sz="4" w:space="0" w:color="auto"/>
              <w:right w:val="nil"/>
            </w:tcBorders>
            <w:noWrap/>
            <w:vAlign w:val="center"/>
            <w:hideMark/>
          </w:tcPr>
          <w:p w14:paraId="39788646" w14:textId="77777777" w:rsidR="0077412F" w:rsidRPr="0077412F" w:rsidRDefault="0077412F" w:rsidP="0077412F">
            <w:pPr>
              <w:jc w:val="center"/>
              <w:rPr>
                <w:rFonts w:ascii="Arial Narrow" w:hAnsi="Arial Narrow"/>
                <w:b/>
                <w:bCs/>
                <w:color w:val="000000"/>
              </w:rPr>
            </w:pPr>
            <w:r w:rsidRPr="0077412F">
              <w:rPr>
                <w:rFonts w:ascii="Arial Narrow" w:hAnsi="Arial Narrow"/>
                <w:b/>
                <w:bCs/>
                <w:color w:val="000000"/>
              </w:rPr>
              <w:t>p</w:t>
            </w:r>
          </w:p>
        </w:tc>
      </w:tr>
      <w:tr w:rsidR="0077412F" w:rsidRPr="0077412F" w14:paraId="4C32141D" w14:textId="77777777" w:rsidTr="0077412F">
        <w:trPr>
          <w:trHeight w:val="20"/>
        </w:trPr>
        <w:tc>
          <w:tcPr>
            <w:tcW w:w="2981" w:type="pct"/>
            <w:tcBorders>
              <w:top w:val="nil"/>
              <w:left w:val="nil"/>
              <w:bottom w:val="nil"/>
              <w:right w:val="nil"/>
            </w:tcBorders>
            <w:noWrap/>
            <w:vAlign w:val="center"/>
            <w:hideMark/>
          </w:tcPr>
          <w:p w14:paraId="7FAEA6DA" w14:textId="77777777" w:rsidR="0077412F" w:rsidRPr="0077412F" w:rsidRDefault="0077412F" w:rsidP="0077412F">
            <w:pPr>
              <w:rPr>
                <w:rFonts w:ascii="Arial Narrow" w:hAnsi="Arial Narrow"/>
                <w:color w:val="000000"/>
              </w:rPr>
            </w:pPr>
            <w:r w:rsidRPr="0077412F">
              <w:rPr>
                <w:rFonts w:ascii="Arial Narrow" w:hAnsi="Arial Narrow"/>
                <w:color w:val="000000"/>
              </w:rPr>
              <w:t>Student Population</w:t>
            </w:r>
          </w:p>
        </w:tc>
        <w:tc>
          <w:tcPr>
            <w:tcW w:w="802" w:type="pct"/>
            <w:tcBorders>
              <w:top w:val="nil"/>
              <w:left w:val="nil"/>
              <w:bottom w:val="nil"/>
              <w:right w:val="nil"/>
            </w:tcBorders>
            <w:noWrap/>
            <w:vAlign w:val="center"/>
            <w:hideMark/>
          </w:tcPr>
          <w:p w14:paraId="6A440516" w14:textId="77777777" w:rsidR="0077412F" w:rsidRPr="0077412F" w:rsidRDefault="0077412F" w:rsidP="0077412F">
            <w:pPr>
              <w:jc w:val="center"/>
              <w:rPr>
                <w:rFonts w:ascii="Arial Narrow" w:hAnsi="Arial Narrow"/>
                <w:color w:val="000000"/>
              </w:rPr>
            </w:pPr>
            <w:r w:rsidRPr="0077412F">
              <w:rPr>
                <w:rFonts w:ascii="Arial Narrow" w:hAnsi="Arial Narrow"/>
                <w:color w:val="000000"/>
              </w:rPr>
              <w:t>844.000</w:t>
            </w:r>
          </w:p>
        </w:tc>
        <w:tc>
          <w:tcPr>
            <w:tcW w:w="643" w:type="pct"/>
            <w:tcBorders>
              <w:top w:val="nil"/>
              <w:left w:val="nil"/>
              <w:bottom w:val="nil"/>
              <w:right w:val="nil"/>
            </w:tcBorders>
            <w:noWrap/>
            <w:vAlign w:val="center"/>
            <w:hideMark/>
          </w:tcPr>
          <w:p w14:paraId="4E83FBA0" w14:textId="77777777" w:rsidR="0077412F" w:rsidRPr="0077412F" w:rsidRDefault="0077412F" w:rsidP="0077412F">
            <w:pPr>
              <w:jc w:val="center"/>
              <w:rPr>
                <w:rFonts w:ascii="Arial Narrow" w:hAnsi="Arial Narrow"/>
                <w:color w:val="000000"/>
              </w:rPr>
            </w:pPr>
            <w:r w:rsidRPr="0077412F">
              <w:rPr>
                <w:rFonts w:ascii="Arial Narrow" w:hAnsi="Arial Narrow"/>
                <w:color w:val="000000"/>
              </w:rPr>
              <w:t>-1.054</w:t>
            </w:r>
          </w:p>
        </w:tc>
        <w:tc>
          <w:tcPr>
            <w:tcW w:w="574" w:type="pct"/>
            <w:tcBorders>
              <w:top w:val="nil"/>
              <w:left w:val="nil"/>
              <w:bottom w:val="nil"/>
              <w:right w:val="nil"/>
            </w:tcBorders>
            <w:noWrap/>
            <w:vAlign w:val="center"/>
            <w:hideMark/>
          </w:tcPr>
          <w:p w14:paraId="385912C6" w14:textId="77777777" w:rsidR="0077412F" w:rsidRPr="0077412F" w:rsidRDefault="0077412F" w:rsidP="0077412F">
            <w:pPr>
              <w:jc w:val="center"/>
              <w:rPr>
                <w:rFonts w:ascii="Arial Narrow" w:hAnsi="Arial Narrow"/>
                <w:color w:val="000000"/>
              </w:rPr>
            </w:pPr>
            <w:r w:rsidRPr="0077412F">
              <w:rPr>
                <w:rFonts w:ascii="Arial Narrow" w:hAnsi="Arial Narrow"/>
                <w:color w:val="000000"/>
              </w:rPr>
              <w:t>0.292</w:t>
            </w:r>
          </w:p>
        </w:tc>
      </w:tr>
      <w:tr w:rsidR="0077412F" w:rsidRPr="0077412F" w14:paraId="4F5A62F5" w14:textId="77777777" w:rsidTr="0077412F">
        <w:trPr>
          <w:trHeight w:val="20"/>
        </w:trPr>
        <w:tc>
          <w:tcPr>
            <w:tcW w:w="2981" w:type="pct"/>
            <w:tcBorders>
              <w:top w:val="nil"/>
              <w:left w:val="nil"/>
              <w:bottom w:val="nil"/>
              <w:right w:val="nil"/>
            </w:tcBorders>
            <w:noWrap/>
            <w:vAlign w:val="center"/>
            <w:hideMark/>
          </w:tcPr>
          <w:p w14:paraId="383A82BD" w14:textId="77777777" w:rsidR="0077412F" w:rsidRPr="0077412F" w:rsidRDefault="0077412F" w:rsidP="0077412F">
            <w:pPr>
              <w:rPr>
                <w:rFonts w:ascii="Arial Narrow" w:hAnsi="Arial Narrow"/>
                <w:color w:val="000000"/>
              </w:rPr>
            </w:pPr>
            <w:r w:rsidRPr="0077412F">
              <w:rPr>
                <w:rFonts w:ascii="Arial Narrow" w:hAnsi="Arial Narrow"/>
                <w:color w:val="000000"/>
              </w:rPr>
              <w:t>Number of Employees</w:t>
            </w:r>
          </w:p>
        </w:tc>
        <w:tc>
          <w:tcPr>
            <w:tcW w:w="802" w:type="pct"/>
            <w:tcBorders>
              <w:top w:val="nil"/>
              <w:left w:val="nil"/>
              <w:bottom w:val="nil"/>
              <w:right w:val="nil"/>
            </w:tcBorders>
            <w:noWrap/>
            <w:vAlign w:val="center"/>
            <w:hideMark/>
          </w:tcPr>
          <w:p w14:paraId="37B65D35" w14:textId="77777777" w:rsidR="0077412F" w:rsidRPr="0077412F" w:rsidRDefault="0077412F" w:rsidP="0077412F">
            <w:pPr>
              <w:jc w:val="center"/>
              <w:rPr>
                <w:rFonts w:ascii="Arial Narrow" w:hAnsi="Arial Narrow"/>
                <w:color w:val="000000"/>
              </w:rPr>
            </w:pPr>
            <w:r w:rsidRPr="0077412F">
              <w:rPr>
                <w:rFonts w:ascii="Arial Narrow" w:hAnsi="Arial Narrow"/>
                <w:color w:val="000000"/>
              </w:rPr>
              <w:t>844.000</w:t>
            </w:r>
          </w:p>
        </w:tc>
        <w:tc>
          <w:tcPr>
            <w:tcW w:w="643" w:type="pct"/>
            <w:tcBorders>
              <w:top w:val="nil"/>
              <w:left w:val="nil"/>
              <w:bottom w:val="nil"/>
              <w:right w:val="nil"/>
            </w:tcBorders>
            <w:noWrap/>
            <w:vAlign w:val="center"/>
            <w:hideMark/>
          </w:tcPr>
          <w:p w14:paraId="6A229E35" w14:textId="77777777" w:rsidR="0077412F" w:rsidRPr="0077412F" w:rsidRDefault="0077412F" w:rsidP="0077412F">
            <w:pPr>
              <w:jc w:val="center"/>
              <w:rPr>
                <w:rFonts w:ascii="Arial Narrow" w:hAnsi="Arial Narrow"/>
                <w:color w:val="000000"/>
              </w:rPr>
            </w:pPr>
            <w:r w:rsidRPr="0077412F">
              <w:rPr>
                <w:rFonts w:ascii="Arial Narrow" w:hAnsi="Arial Narrow"/>
                <w:color w:val="000000"/>
              </w:rPr>
              <w:t>-1.054</w:t>
            </w:r>
          </w:p>
        </w:tc>
        <w:tc>
          <w:tcPr>
            <w:tcW w:w="574" w:type="pct"/>
            <w:tcBorders>
              <w:top w:val="nil"/>
              <w:left w:val="nil"/>
              <w:bottom w:val="nil"/>
              <w:right w:val="nil"/>
            </w:tcBorders>
            <w:noWrap/>
            <w:vAlign w:val="center"/>
            <w:hideMark/>
          </w:tcPr>
          <w:p w14:paraId="4D1C3CEE" w14:textId="77777777" w:rsidR="0077412F" w:rsidRPr="0077412F" w:rsidRDefault="0077412F" w:rsidP="0077412F">
            <w:pPr>
              <w:jc w:val="center"/>
              <w:rPr>
                <w:rFonts w:ascii="Arial Narrow" w:hAnsi="Arial Narrow"/>
                <w:color w:val="000000"/>
              </w:rPr>
            </w:pPr>
            <w:r w:rsidRPr="0077412F">
              <w:rPr>
                <w:rFonts w:ascii="Arial Narrow" w:hAnsi="Arial Narrow"/>
                <w:color w:val="000000"/>
              </w:rPr>
              <w:t>0.292</w:t>
            </w:r>
          </w:p>
        </w:tc>
      </w:tr>
      <w:tr w:rsidR="0077412F" w:rsidRPr="0077412F" w14:paraId="33C0CBF1" w14:textId="77777777" w:rsidTr="0077412F">
        <w:trPr>
          <w:trHeight w:val="20"/>
        </w:trPr>
        <w:tc>
          <w:tcPr>
            <w:tcW w:w="2981" w:type="pct"/>
            <w:tcBorders>
              <w:top w:val="nil"/>
              <w:left w:val="nil"/>
              <w:bottom w:val="nil"/>
              <w:right w:val="nil"/>
            </w:tcBorders>
            <w:noWrap/>
            <w:vAlign w:val="center"/>
            <w:hideMark/>
          </w:tcPr>
          <w:p w14:paraId="59932B71" w14:textId="77777777" w:rsidR="0077412F" w:rsidRPr="0077412F" w:rsidRDefault="0077412F" w:rsidP="0077412F">
            <w:pPr>
              <w:rPr>
                <w:rFonts w:ascii="Arial Narrow" w:hAnsi="Arial Narrow"/>
                <w:color w:val="000000"/>
              </w:rPr>
            </w:pPr>
            <w:r w:rsidRPr="0077412F">
              <w:rPr>
                <w:rFonts w:ascii="Arial Narrow" w:hAnsi="Arial Narrow"/>
                <w:color w:val="000000"/>
              </w:rPr>
              <w:t>Annual Operational Budget</w:t>
            </w:r>
          </w:p>
        </w:tc>
        <w:tc>
          <w:tcPr>
            <w:tcW w:w="802" w:type="pct"/>
            <w:tcBorders>
              <w:top w:val="nil"/>
              <w:left w:val="nil"/>
              <w:bottom w:val="nil"/>
              <w:right w:val="nil"/>
            </w:tcBorders>
            <w:noWrap/>
            <w:vAlign w:val="center"/>
            <w:hideMark/>
          </w:tcPr>
          <w:p w14:paraId="7DF6711A" w14:textId="77777777" w:rsidR="0077412F" w:rsidRPr="0077412F" w:rsidRDefault="0077412F" w:rsidP="0077412F">
            <w:pPr>
              <w:jc w:val="center"/>
              <w:rPr>
                <w:rFonts w:ascii="Arial Narrow" w:hAnsi="Arial Narrow"/>
                <w:color w:val="000000"/>
              </w:rPr>
            </w:pPr>
            <w:r w:rsidRPr="0077412F">
              <w:rPr>
                <w:rFonts w:ascii="Arial Narrow" w:hAnsi="Arial Narrow"/>
                <w:color w:val="000000"/>
              </w:rPr>
              <w:t>736.000</w:t>
            </w:r>
          </w:p>
        </w:tc>
        <w:tc>
          <w:tcPr>
            <w:tcW w:w="643" w:type="pct"/>
            <w:tcBorders>
              <w:top w:val="nil"/>
              <w:left w:val="nil"/>
              <w:bottom w:val="nil"/>
              <w:right w:val="nil"/>
            </w:tcBorders>
            <w:noWrap/>
            <w:vAlign w:val="center"/>
            <w:hideMark/>
          </w:tcPr>
          <w:p w14:paraId="725DF797" w14:textId="77777777" w:rsidR="0077412F" w:rsidRPr="0077412F" w:rsidRDefault="0077412F" w:rsidP="0077412F">
            <w:pPr>
              <w:jc w:val="center"/>
              <w:rPr>
                <w:rFonts w:ascii="Arial Narrow" w:hAnsi="Arial Narrow"/>
                <w:color w:val="000000"/>
              </w:rPr>
            </w:pPr>
            <w:r w:rsidRPr="0077412F">
              <w:rPr>
                <w:rFonts w:ascii="Arial Narrow" w:hAnsi="Arial Narrow"/>
                <w:color w:val="000000"/>
              </w:rPr>
              <w:t>-1.214</w:t>
            </w:r>
          </w:p>
        </w:tc>
        <w:tc>
          <w:tcPr>
            <w:tcW w:w="574" w:type="pct"/>
            <w:tcBorders>
              <w:top w:val="nil"/>
              <w:left w:val="nil"/>
              <w:bottom w:val="nil"/>
              <w:right w:val="nil"/>
            </w:tcBorders>
            <w:noWrap/>
            <w:vAlign w:val="center"/>
            <w:hideMark/>
          </w:tcPr>
          <w:p w14:paraId="19F05385" w14:textId="77777777" w:rsidR="0077412F" w:rsidRPr="0077412F" w:rsidRDefault="0077412F" w:rsidP="0077412F">
            <w:pPr>
              <w:jc w:val="center"/>
              <w:rPr>
                <w:rFonts w:ascii="Arial Narrow" w:hAnsi="Arial Narrow"/>
                <w:color w:val="000000"/>
              </w:rPr>
            </w:pPr>
            <w:r w:rsidRPr="0077412F">
              <w:rPr>
                <w:rFonts w:ascii="Arial Narrow" w:hAnsi="Arial Narrow"/>
                <w:color w:val="000000"/>
              </w:rPr>
              <w:t>0.225</w:t>
            </w:r>
          </w:p>
        </w:tc>
      </w:tr>
      <w:tr w:rsidR="0077412F" w:rsidRPr="0077412F" w14:paraId="400BE702" w14:textId="77777777" w:rsidTr="0077412F">
        <w:trPr>
          <w:trHeight w:val="20"/>
        </w:trPr>
        <w:tc>
          <w:tcPr>
            <w:tcW w:w="2981" w:type="pct"/>
            <w:tcBorders>
              <w:top w:val="nil"/>
              <w:left w:val="nil"/>
              <w:bottom w:val="nil"/>
              <w:right w:val="nil"/>
            </w:tcBorders>
            <w:noWrap/>
            <w:vAlign w:val="center"/>
            <w:hideMark/>
          </w:tcPr>
          <w:p w14:paraId="065C9FFD" w14:textId="77777777" w:rsidR="0077412F" w:rsidRPr="0077412F" w:rsidRDefault="0077412F" w:rsidP="0077412F">
            <w:pPr>
              <w:rPr>
                <w:rFonts w:ascii="Arial Narrow" w:hAnsi="Arial Narrow"/>
                <w:color w:val="000000"/>
              </w:rPr>
            </w:pPr>
            <w:r w:rsidRPr="0077412F">
              <w:rPr>
                <w:rFonts w:ascii="Arial Narrow" w:hAnsi="Arial Narrow"/>
                <w:color w:val="000000"/>
              </w:rPr>
              <w:t>Number of Accredited Programs</w:t>
            </w:r>
          </w:p>
        </w:tc>
        <w:tc>
          <w:tcPr>
            <w:tcW w:w="802" w:type="pct"/>
            <w:tcBorders>
              <w:top w:val="nil"/>
              <w:left w:val="nil"/>
              <w:bottom w:val="nil"/>
              <w:right w:val="nil"/>
            </w:tcBorders>
            <w:noWrap/>
            <w:vAlign w:val="center"/>
            <w:hideMark/>
          </w:tcPr>
          <w:p w14:paraId="2A7272AC" w14:textId="77777777" w:rsidR="0077412F" w:rsidRPr="0077412F" w:rsidRDefault="0077412F" w:rsidP="0077412F">
            <w:pPr>
              <w:jc w:val="center"/>
              <w:rPr>
                <w:rFonts w:ascii="Arial Narrow" w:hAnsi="Arial Narrow"/>
                <w:color w:val="000000"/>
              </w:rPr>
            </w:pPr>
            <w:r w:rsidRPr="0077412F">
              <w:rPr>
                <w:rFonts w:ascii="Arial Narrow" w:hAnsi="Arial Narrow"/>
                <w:color w:val="000000"/>
              </w:rPr>
              <w:t>736.000</w:t>
            </w:r>
          </w:p>
        </w:tc>
        <w:tc>
          <w:tcPr>
            <w:tcW w:w="643" w:type="pct"/>
            <w:tcBorders>
              <w:top w:val="nil"/>
              <w:left w:val="nil"/>
              <w:bottom w:val="nil"/>
              <w:right w:val="nil"/>
            </w:tcBorders>
            <w:noWrap/>
            <w:vAlign w:val="center"/>
            <w:hideMark/>
          </w:tcPr>
          <w:p w14:paraId="03A5E816" w14:textId="77777777" w:rsidR="0077412F" w:rsidRPr="0077412F" w:rsidRDefault="0077412F" w:rsidP="0077412F">
            <w:pPr>
              <w:jc w:val="center"/>
              <w:rPr>
                <w:rFonts w:ascii="Arial Narrow" w:hAnsi="Arial Narrow"/>
                <w:color w:val="000000"/>
              </w:rPr>
            </w:pPr>
            <w:r w:rsidRPr="0077412F">
              <w:rPr>
                <w:rFonts w:ascii="Arial Narrow" w:hAnsi="Arial Narrow"/>
                <w:color w:val="000000"/>
              </w:rPr>
              <w:t>-1.214</w:t>
            </w:r>
          </w:p>
        </w:tc>
        <w:tc>
          <w:tcPr>
            <w:tcW w:w="574" w:type="pct"/>
            <w:tcBorders>
              <w:top w:val="nil"/>
              <w:left w:val="nil"/>
              <w:bottom w:val="nil"/>
              <w:right w:val="nil"/>
            </w:tcBorders>
            <w:noWrap/>
            <w:vAlign w:val="center"/>
            <w:hideMark/>
          </w:tcPr>
          <w:p w14:paraId="0EC53EEE" w14:textId="77777777" w:rsidR="0077412F" w:rsidRPr="0077412F" w:rsidRDefault="0077412F" w:rsidP="0077412F">
            <w:pPr>
              <w:jc w:val="center"/>
              <w:rPr>
                <w:rFonts w:ascii="Arial Narrow" w:hAnsi="Arial Narrow"/>
                <w:color w:val="000000"/>
              </w:rPr>
            </w:pPr>
            <w:r w:rsidRPr="0077412F">
              <w:rPr>
                <w:rFonts w:ascii="Arial Narrow" w:hAnsi="Arial Narrow"/>
                <w:color w:val="000000"/>
              </w:rPr>
              <w:t>0.225</w:t>
            </w:r>
          </w:p>
        </w:tc>
      </w:tr>
      <w:tr w:rsidR="0077412F" w:rsidRPr="0077412F" w14:paraId="5942F15B" w14:textId="77777777" w:rsidTr="0077412F">
        <w:trPr>
          <w:trHeight w:val="20"/>
        </w:trPr>
        <w:tc>
          <w:tcPr>
            <w:tcW w:w="2981" w:type="pct"/>
            <w:tcBorders>
              <w:top w:val="nil"/>
              <w:left w:val="nil"/>
              <w:bottom w:val="nil"/>
              <w:right w:val="nil"/>
            </w:tcBorders>
            <w:noWrap/>
            <w:vAlign w:val="center"/>
            <w:hideMark/>
          </w:tcPr>
          <w:p w14:paraId="23AA1A8F" w14:textId="77777777" w:rsidR="0077412F" w:rsidRPr="0077412F" w:rsidRDefault="0077412F" w:rsidP="0077412F">
            <w:pPr>
              <w:rPr>
                <w:rFonts w:ascii="Arial Narrow" w:hAnsi="Arial Narrow"/>
                <w:color w:val="000000"/>
              </w:rPr>
            </w:pPr>
            <w:r w:rsidRPr="0077412F">
              <w:rPr>
                <w:rFonts w:ascii="Arial Narrow" w:hAnsi="Arial Narrow"/>
                <w:color w:val="000000"/>
              </w:rPr>
              <w:t>Years of Existence</w:t>
            </w:r>
          </w:p>
        </w:tc>
        <w:tc>
          <w:tcPr>
            <w:tcW w:w="802" w:type="pct"/>
            <w:tcBorders>
              <w:top w:val="nil"/>
              <w:left w:val="nil"/>
              <w:bottom w:val="nil"/>
              <w:right w:val="nil"/>
            </w:tcBorders>
            <w:noWrap/>
            <w:vAlign w:val="center"/>
            <w:hideMark/>
          </w:tcPr>
          <w:p w14:paraId="4FC9A9D4" w14:textId="77777777" w:rsidR="0077412F" w:rsidRPr="0077412F" w:rsidRDefault="0077412F" w:rsidP="0077412F">
            <w:pPr>
              <w:jc w:val="center"/>
              <w:rPr>
                <w:rFonts w:ascii="Arial Narrow" w:hAnsi="Arial Narrow"/>
                <w:color w:val="000000"/>
              </w:rPr>
            </w:pPr>
            <w:r w:rsidRPr="0077412F">
              <w:rPr>
                <w:rFonts w:ascii="Arial Narrow" w:hAnsi="Arial Narrow"/>
                <w:color w:val="000000"/>
              </w:rPr>
              <w:t>593.000</w:t>
            </w:r>
          </w:p>
        </w:tc>
        <w:tc>
          <w:tcPr>
            <w:tcW w:w="643" w:type="pct"/>
            <w:tcBorders>
              <w:top w:val="nil"/>
              <w:left w:val="nil"/>
              <w:bottom w:val="nil"/>
              <w:right w:val="nil"/>
            </w:tcBorders>
            <w:noWrap/>
            <w:vAlign w:val="center"/>
            <w:hideMark/>
          </w:tcPr>
          <w:p w14:paraId="0685079B" w14:textId="77777777" w:rsidR="0077412F" w:rsidRPr="0077412F" w:rsidRDefault="0077412F" w:rsidP="0077412F">
            <w:pPr>
              <w:jc w:val="center"/>
              <w:rPr>
                <w:rFonts w:ascii="Arial Narrow" w:hAnsi="Arial Narrow"/>
                <w:color w:val="000000"/>
              </w:rPr>
            </w:pPr>
            <w:r w:rsidRPr="0077412F">
              <w:rPr>
                <w:rFonts w:ascii="Arial Narrow" w:hAnsi="Arial Narrow"/>
                <w:color w:val="000000"/>
              </w:rPr>
              <w:t>-0.448</w:t>
            </w:r>
          </w:p>
        </w:tc>
        <w:tc>
          <w:tcPr>
            <w:tcW w:w="574" w:type="pct"/>
            <w:tcBorders>
              <w:top w:val="nil"/>
              <w:left w:val="nil"/>
              <w:bottom w:val="nil"/>
              <w:right w:val="nil"/>
            </w:tcBorders>
            <w:noWrap/>
            <w:vAlign w:val="center"/>
            <w:hideMark/>
          </w:tcPr>
          <w:p w14:paraId="388173C4" w14:textId="77777777" w:rsidR="0077412F" w:rsidRPr="0077412F" w:rsidRDefault="0077412F" w:rsidP="0077412F">
            <w:pPr>
              <w:jc w:val="center"/>
              <w:rPr>
                <w:rFonts w:ascii="Arial Narrow" w:hAnsi="Arial Narrow"/>
                <w:color w:val="000000"/>
              </w:rPr>
            </w:pPr>
            <w:r w:rsidRPr="0077412F">
              <w:rPr>
                <w:rFonts w:ascii="Arial Narrow" w:hAnsi="Arial Narrow"/>
                <w:color w:val="000000"/>
              </w:rPr>
              <w:t>0.654</w:t>
            </w:r>
          </w:p>
        </w:tc>
      </w:tr>
      <w:tr w:rsidR="0077412F" w:rsidRPr="0077412F" w14:paraId="33C3A1F1" w14:textId="77777777" w:rsidTr="008011CF">
        <w:trPr>
          <w:trHeight w:val="20"/>
        </w:trPr>
        <w:tc>
          <w:tcPr>
            <w:tcW w:w="5000" w:type="pct"/>
            <w:gridSpan w:val="4"/>
            <w:tcBorders>
              <w:top w:val="single" w:sz="4" w:space="0" w:color="auto"/>
              <w:left w:val="nil"/>
              <w:bottom w:val="nil"/>
              <w:right w:val="nil"/>
            </w:tcBorders>
            <w:noWrap/>
            <w:vAlign w:val="center"/>
            <w:hideMark/>
          </w:tcPr>
          <w:p w14:paraId="78321103" w14:textId="77777777" w:rsidR="0077412F" w:rsidRPr="0077412F" w:rsidRDefault="0077412F" w:rsidP="0077412F">
            <w:pPr>
              <w:rPr>
                <w:rFonts w:ascii="Arial Narrow" w:hAnsi="Arial Narrow"/>
                <w:i/>
                <w:iCs/>
                <w:color w:val="000000"/>
                <w:sz w:val="16"/>
                <w:szCs w:val="16"/>
              </w:rPr>
            </w:pPr>
            <w:r w:rsidRPr="0077412F">
              <w:rPr>
                <w:rFonts w:ascii="Arial Narrow" w:hAnsi="Arial Narrow"/>
                <w:i/>
                <w:iCs/>
                <w:color w:val="000000"/>
                <w:sz w:val="16"/>
                <w:szCs w:val="16"/>
              </w:rPr>
              <w:t>Note: the difference in the means is significant when p≤0.05 (less than or equal to)</w:t>
            </w:r>
          </w:p>
        </w:tc>
      </w:tr>
    </w:tbl>
    <w:p w14:paraId="352AA0EC" w14:textId="253136B1" w:rsidR="0077412F" w:rsidRPr="0077412F" w:rsidRDefault="0077412F" w:rsidP="0077412F">
      <w:pPr>
        <w:jc w:val="both"/>
        <w:rPr>
          <w:rFonts w:ascii="Arial" w:hAnsi="Arial" w:cs="Arial"/>
          <w:caps/>
          <w:szCs w:val="18"/>
        </w:rPr>
      </w:pPr>
      <w:r w:rsidRPr="0077412F">
        <w:rPr>
          <w:rFonts w:ascii="Arial" w:hAnsi="Arial" w:cs="Arial"/>
          <w:szCs w:val="18"/>
        </w:rPr>
        <w:t xml:space="preserve">The </w:t>
      </w:r>
      <w:r>
        <w:rPr>
          <w:rFonts w:ascii="Arial" w:hAnsi="Arial" w:cs="Arial"/>
          <w:szCs w:val="18"/>
        </w:rPr>
        <w:t>M</w:t>
      </w:r>
      <w:r w:rsidRPr="0077412F">
        <w:rPr>
          <w:rFonts w:ascii="Arial" w:hAnsi="Arial" w:cs="Arial"/>
          <w:szCs w:val="18"/>
        </w:rPr>
        <w:t>ann-</w:t>
      </w:r>
      <w:r>
        <w:rPr>
          <w:rFonts w:ascii="Arial" w:hAnsi="Arial" w:cs="Arial"/>
          <w:szCs w:val="18"/>
        </w:rPr>
        <w:t>W</w:t>
      </w:r>
      <w:r w:rsidRPr="0077412F">
        <w:rPr>
          <w:rFonts w:ascii="Arial" w:hAnsi="Arial" w:cs="Arial"/>
          <w:szCs w:val="18"/>
        </w:rPr>
        <w:t xml:space="preserve">hitney </w:t>
      </w:r>
      <w:r>
        <w:rPr>
          <w:rFonts w:ascii="Arial" w:hAnsi="Arial" w:cs="Arial"/>
          <w:szCs w:val="18"/>
        </w:rPr>
        <w:t>U-</w:t>
      </w:r>
      <w:r w:rsidRPr="0077412F">
        <w:rPr>
          <w:rFonts w:ascii="Arial" w:hAnsi="Arial" w:cs="Arial"/>
          <w:szCs w:val="18"/>
        </w:rPr>
        <w:t>test established that operational risk management practices did not significantly differ when grouped according to institutional profile variables. The results did not show any significant difference according to student population [u=844.000, p=0.292], number of employees [u=844.000, p=0.292], annual operational budget [u=736.000, p=0.225], number of accredited programs [u=736.000, p=0.225], and years of existence [u=593.000, p=0.654]. This means that the extent of operational risk management practices did not differ significantly according to institutional characteristics.</w:t>
      </w:r>
    </w:p>
    <w:p w14:paraId="63732FD2" w14:textId="77777777" w:rsidR="0077412F" w:rsidRDefault="0077412F" w:rsidP="0077412F">
      <w:pPr>
        <w:jc w:val="both"/>
        <w:rPr>
          <w:rFonts w:ascii="Arial" w:hAnsi="Arial" w:cs="Arial"/>
          <w:szCs w:val="18"/>
        </w:rPr>
      </w:pPr>
    </w:p>
    <w:p w14:paraId="3F6C5F71" w14:textId="6E879BDC" w:rsidR="0077412F" w:rsidRDefault="0077412F" w:rsidP="0077412F">
      <w:pPr>
        <w:jc w:val="both"/>
        <w:rPr>
          <w:rFonts w:ascii="Arial" w:hAnsi="Arial" w:cs="Arial"/>
          <w:szCs w:val="18"/>
        </w:rPr>
      </w:pPr>
      <w:r w:rsidRPr="0077412F">
        <w:rPr>
          <w:rFonts w:ascii="Arial" w:hAnsi="Arial" w:cs="Arial"/>
          <w:szCs w:val="18"/>
        </w:rPr>
        <w:t>This implies that whether an institution is categorized by its student population, number of employees, annual operational budget, number of accredited programs, or years of existence, its average performance in this area remains consistent. This finding is particularly significant because it challenges the common assumption that larger, wealthier, or more established institutions would have more robust practices due to greater resources and experience. Instead, the data suggest that efficient operational risk management is a practice that can be successfully implemented by any institution, regardless of its size, age, or financial capacity, and is likely driven by internal factors such as leadership commitment, institutional culture, or specific methodologies. Therefore, the key implication is that success in this critical area is not a privilege of the few but an attainable standard for all.</w:t>
      </w:r>
    </w:p>
    <w:p w14:paraId="600438DC" w14:textId="77777777" w:rsidR="0077412F" w:rsidRPr="0077412F" w:rsidRDefault="0077412F" w:rsidP="0077412F">
      <w:pPr>
        <w:jc w:val="both"/>
        <w:rPr>
          <w:rFonts w:ascii="Arial" w:hAnsi="Arial" w:cs="Arial"/>
          <w:caps/>
          <w:szCs w:val="18"/>
        </w:rPr>
      </w:pPr>
    </w:p>
    <w:p w14:paraId="7BEA9F52" w14:textId="371B4A0A" w:rsidR="008D2D80" w:rsidRDefault="0077412F" w:rsidP="0077412F">
      <w:pPr>
        <w:jc w:val="both"/>
        <w:rPr>
          <w:rFonts w:ascii="Arial" w:hAnsi="Arial" w:cs="Arial"/>
          <w:szCs w:val="18"/>
        </w:rPr>
      </w:pPr>
      <w:r w:rsidRPr="0077412F">
        <w:rPr>
          <w:rFonts w:ascii="Arial" w:hAnsi="Arial" w:cs="Arial"/>
          <w:szCs w:val="18"/>
        </w:rPr>
        <w:lastRenderedPageBreak/>
        <w:t xml:space="preserve">This finding is supported by </w:t>
      </w:r>
      <w:r>
        <w:rPr>
          <w:rFonts w:ascii="Arial" w:hAnsi="Arial" w:cs="Arial"/>
          <w:szCs w:val="18"/>
        </w:rPr>
        <w:t>L</w:t>
      </w:r>
      <w:r w:rsidRPr="0077412F">
        <w:rPr>
          <w:rFonts w:ascii="Arial" w:hAnsi="Arial" w:cs="Arial"/>
          <w:szCs w:val="18"/>
        </w:rPr>
        <w:t xml:space="preserve">iboon (2017) whose research on employee risk management awareness in higher education established that organizational culture and leadership influence risk practices more than institutional size or financial capacity, suggesting that even smaller or less resource-rich institutions can implement effective risk management practices.  In addition, </w:t>
      </w:r>
      <w:r>
        <w:rPr>
          <w:rFonts w:ascii="Arial" w:hAnsi="Arial" w:cs="Arial"/>
          <w:szCs w:val="18"/>
        </w:rPr>
        <w:t>W</w:t>
      </w:r>
      <w:r w:rsidRPr="0077412F">
        <w:rPr>
          <w:rFonts w:ascii="Arial" w:hAnsi="Arial" w:cs="Arial"/>
          <w:szCs w:val="18"/>
        </w:rPr>
        <w:t xml:space="preserve">essels and </w:t>
      </w:r>
      <w:r>
        <w:rPr>
          <w:rFonts w:ascii="Arial" w:hAnsi="Arial" w:cs="Arial"/>
          <w:szCs w:val="18"/>
        </w:rPr>
        <w:t>S</w:t>
      </w:r>
      <w:r w:rsidRPr="0077412F">
        <w:rPr>
          <w:rFonts w:ascii="Arial" w:hAnsi="Arial" w:cs="Arial"/>
          <w:szCs w:val="18"/>
        </w:rPr>
        <w:t xml:space="preserve">adler (2019) noted that the adoption and effectiveness of risk management practices are less dependent on institution size or age and more linked to the commitment to standards and internal governance.  The finding is further supported by </w:t>
      </w:r>
      <w:r>
        <w:rPr>
          <w:rFonts w:ascii="Arial" w:hAnsi="Arial" w:cs="Arial"/>
          <w:szCs w:val="18"/>
        </w:rPr>
        <w:t>M</w:t>
      </w:r>
      <w:r w:rsidRPr="0077412F">
        <w:rPr>
          <w:rFonts w:ascii="Arial" w:hAnsi="Arial" w:cs="Arial"/>
          <w:szCs w:val="18"/>
        </w:rPr>
        <w:t xml:space="preserve">ukherjee (2019) who found that risk management effectiveness is more correlated with leadership and strategic focus rather than institutional resources or size, aligning with findings that practices are similar across varied institutional profiles.  In addition, </w:t>
      </w:r>
      <w:proofErr w:type="spellStart"/>
      <w:r>
        <w:rPr>
          <w:rFonts w:ascii="Arial" w:hAnsi="Arial" w:cs="Arial"/>
          <w:szCs w:val="18"/>
        </w:rPr>
        <w:t>S</w:t>
      </w:r>
      <w:r w:rsidRPr="0077412F">
        <w:rPr>
          <w:rFonts w:ascii="Arial" w:hAnsi="Arial" w:cs="Arial"/>
          <w:szCs w:val="18"/>
        </w:rPr>
        <w:t>yamsia</w:t>
      </w:r>
      <w:proofErr w:type="spellEnd"/>
      <w:r w:rsidRPr="0077412F">
        <w:rPr>
          <w:rFonts w:ascii="Arial" w:hAnsi="Arial" w:cs="Arial"/>
          <w:szCs w:val="18"/>
        </w:rPr>
        <w:t xml:space="preserve"> et al. (2021) emphasize that internal governance and management practices drive risk mitigation more than external factors like size or resources, supporting that all institutions can develop comparable practices.  Moreover, </w:t>
      </w:r>
      <w:r>
        <w:rPr>
          <w:rFonts w:ascii="Arial" w:hAnsi="Arial" w:cs="Arial"/>
          <w:szCs w:val="18"/>
        </w:rPr>
        <w:t>M</w:t>
      </w:r>
      <w:r w:rsidRPr="0077412F">
        <w:rPr>
          <w:rFonts w:ascii="Arial" w:hAnsi="Arial" w:cs="Arial"/>
          <w:szCs w:val="18"/>
        </w:rPr>
        <w:t xml:space="preserve">olchanova (2023) highlighted that effective practices are achievable regardless of institutional capacity or age, primarily depending on systematic approaches and strategic development.  Also, </w:t>
      </w:r>
      <w:proofErr w:type="spellStart"/>
      <w:r>
        <w:rPr>
          <w:rFonts w:ascii="Arial" w:hAnsi="Arial" w:cs="Arial"/>
          <w:szCs w:val="18"/>
        </w:rPr>
        <w:t>D</w:t>
      </w:r>
      <w:r w:rsidRPr="0077412F">
        <w:rPr>
          <w:rFonts w:ascii="Arial" w:hAnsi="Arial" w:cs="Arial"/>
          <w:szCs w:val="18"/>
        </w:rPr>
        <w:t>rahein</w:t>
      </w:r>
      <w:proofErr w:type="spellEnd"/>
      <w:r w:rsidRPr="0077412F">
        <w:rPr>
          <w:rFonts w:ascii="Arial" w:hAnsi="Arial" w:cs="Arial"/>
          <w:szCs w:val="18"/>
        </w:rPr>
        <w:t xml:space="preserve"> et al. (2019) showed that the maturity of risk and sustainability practices depends on intentional methodologies, which are equally accessible to institutions regardless of their profile.  Finally, </w:t>
      </w:r>
      <w:r>
        <w:rPr>
          <w:rFonts w:ascii="Arial" w:hAnsi="Arial" w:cs="Arial"/>
          <w:szCs w:val="18"/>
        </w:rPr>
        <w:t>L</w:t>
      </w:r>
      <w:r w:rsidRPr="0077412F">
        <w:rPr>
          <w:rFonts w:ascii="Arial" w:hAnsi="Arial" w:cs="Arial"/>
          <w:szCs w:val="18"/>
        </w:rPr>
        <w:t xml:space="preserve">im and </w:t>
      </w:r>
      <w:r>
        <w:rPr>
          <w:rFonts w:ascii="Arial" w:hAnsi="Arial" w:cs="Arial"/>
          <w:szCs w:val="18"/>
        </w:rPr>
        <w:t>G</w:t>
      </w:r>
      <w:r w:rsidRPr="0077412F">
        <w:rPr>
          <w:rFonts w:ascii="Arial" w:hAnsi="Arial" w:cs="Arial"/>
          <w:szCs w:val="18"/>
        </w:rPr>
        <w:t>aerlan’s (2022) findings suggested that risk management practices are not necessarily correlated with institutional size or wealth, implying that strategic culture and leadership play pivotal roles.</w:t>
      </w:r>
    </w:p>
    <w:p w14:paraId="06BF84D2" w14:textId="77777777" w:rsidR="0077412F" w:rsidRDefault="0077412F" w:rsidP="0077412F">
      <w:pPr>
        <w:jc w:val="both"/>
        <w:rPr>
          <w:rFonts w:ascii="Arial" w:hAnsi="Arial" w:cs="Arial"/>
          <w:szCs w:val="18"/>
        </w:rPr>
      </w:pPr>
    </w:p>
    <w:p w14:paraId="3CD319FA" w14:textId="3584FA21" w:rsidR="0077412F" w:rsidRDefault="0077412F" w:rsidP="008D2D80">
      <w:pPr>
        <w:jc w:val="both"/>
        <w:rPr>
          <w:rFonts w:ascii="Arial" w:hAnsi="Arial" w:cs="Arial"/>
          <w:b/>
          <w:bCs/>
          <w:szCs w:val="18"/>
        </w:rPr>
      </w:pPr>
      <w:r w:rsidRPr="0077412F">
        <w:rPr>
          <w:rFonts w:ascii="Arial" w:hAnsi="Arial" w:cs="Arial"/>
          <w:b/>
          <w:bCs/>
          <w:szCs w:val="18"/>
        </w:rPr>
        <w:t xml:space="preserve">3.4 Difference in the Degree of Resilience </w:t>
      </w:r>
    </w:p>
    <w:p w14:paraId="788916EC" w14:textId="77777777" w:rsidR="00EA1C5C" w:rsidRDefault="00EA1C5C" w:rsidP="008D2D80">
      <w:pPr>
        <w:jc w:val="both"/>
        <w:rPr>
          <w:rFonts w:ascii="Arial" w:hAnsi="Arial" w:cs="Arial"/>
          <w:b/>
          <w:bCs/>
          <w:szCs w:val="18"/>
        </w:rPr>
      </w:pPr>
    </w:p>
    <w:tbl>
      <w:tblPr>
        <w:tblW w:w="5000" w:type="pct"/>
        <w:tblLook w:val="04A0" w:firstRow="1" w:lastRow="0" w:firstColumn="1" w:lastColumn="0" w:noHBand="0" w:noVBand="1"/>
      </w:tblPr>
      <w:tblGrid>
        <w:gridCol w:w="4857"/>
        <w:gridCol w:w="1325"/>
        <w:gridCol w:w="1067"/>
        <w:gridCol w:w="959"/>
      </w:tblGrid>
      <w:tr w:rsidR="00EA1C5C" w:rsidRPr="00EA1C5C" w14:paraId="71804A3D" w14:textId="77777777" w:rsidTr="008011CF">
        <w:trPr>
          <w:trHeight w:val="20"/>
        </w:trPr>
        <w:tc>
          <w:tcPr>
            <w:tcW w:w="5000" w:type="pct"/>
            <w:gridSpan w:val="4"/>
            <w:tcBorders>
              <w:top w:val="nil"/>
              <w:left w:val="nil"/>
              <w:bottom w:val="single" w:sz="4" w:space="0" w:color="auto"/>
              <w:right w:val="nil"/>
            </w:tcBorders>
            <w:noWrap/>
            <w:vAlign w:val="center"/>
            <w:hideMark/>
          </w:tcPr>
          <w:p w14:paraId="3199B9F9" w14:textId="68C8358C" w:rsidR="00EA1C5C" w:rsidRPr="00EA1C5C" w:rsidRDefault="00EA1C5C" w:rsidP="00EA1C5C">
            <w:pPr>
              <w:rPr>
                <w:rFonts w:ascii="Arial Narrow" w:hAnsi="Arial Narrow"/>
                <w:b/>
                <w:bCs/>
                <w:color w:val="000000"/>
                <w:sz w:val="22"/>
                <w:szCs w:val="22"/>
              </w:rPr>
            </w:pPr>
            <w:r w:rsidRPr="00EA1C5C">
              <w:rPr>
                <w:rFonts w:ascii="Arial Narrow" w:hAnsi="Arial Narrow"/>
                <w:b/>
                <w:bCs/>
                <w:sz w:val="22"/>
                <w:szCs w:val="22"/>
              </w:rPr>
              <w:t xml:space="preserve">Table </w:t>
            </w:r>
            <w:r>
              <w:rPr>
                <w:rFonts w:ascii="Arial Narrow" w:hAnsi="Arial Narrow"/>
                <w:b/>
                <w:bCs/>
                <w:sz w:val="22"/>
                <w:szCs w:val="22"/>
              </w:rPr>
              <w:t>4</w:t>
            </w:r>
            <w:r w:rsidRPr="00EA1C5C">
              <w:rPr>
                <w:rFonts w:ascii="Arial Narrow" w:hAnsi="Arial Narrow"/>
                <w:b/>
                <w:bCs/>
                <w:sz w:val="22"/>
                <w:szCs w:val="22"/>
              </w:rPr>
              <w:t>.  Difference in the Degree of Resilience</w:t>
            </w:r>
          </w:p>
        </w:tc>
      </w:tr>
      <w:tr w:rsidR="00EA1C5C" w:rsidRPr="00EA1C5C" w14:paraId="53E4DDDB" w14:textId="77777777" w:rsidTr="008011CF">
        <w:trPr>
          <w:trHeight w:val="20"/>
        </w:trPr>
        <w:tc>
          <w:tcPr>
            <w:tcW w:w="2959" w:type="pct"/>
            <w:tcBorders>
              <w:top w:val="nil"/>
              <w:left w:val="nil"/>
              <w:bottom w:val="single" w:sz="4" w:space="0" w:color="auto"/>
              <w:right w:val="nil"/>
            </w:tcBorders>
            <w:noWrap/>
            <w:vAlign w:val="center"/>
            <w:hideMark/>
          </w:tcPr>
          <w:p w14:paraId="61ACFC9F" w14:textId="77777777" w:rsidR="00EA1C5C" w:rsidRPr="00EA1C5C" w:rsidRDefault="00EA1C5C" w:rsidP="00EA1C5C">
            <w:pPr>
              <w:rPr>
                <w:rFonts w:ascii="Arial Narrow" w:hAnsi="Arial Narrow"/>
                <w:b/>
                <w:bCs/>
                <w:color w:val="000000"/>
              </w:rPr>
            </w:pPr>
            <w:r w:rsidRPr="00EA1C5C">
              <w:rPr>
                <w:rFonts w:ascii="Arial Narrow" w:hAnsi="Arial Narrow"/>
                <w:b/>
                <w:bCs/>
                <w:color w:val="000000"/>
              </w:rPr>
              <w:t>Variable</w:t>
            </w:r>
          </w:p>
        </w:tc>
        <w:tc>
          <w:tcPr>
            <w:tcW w:w="807" w:type="pct"/>
            <w:tcBorders>
              <w:top w:val="nil"/>
              <w:left w:val="nil"/>
              <w:bottom w:val="single" w:sz="4" w:space="0" w:color="auto"/>
              <w:right w:val="nil"/>
            </w:tcBorders>
            <w:noWrap/>
            <w:vAlign w:val="center"/>
            <w:hideMark/>
          </w:tcPr>
          <w:p w14:paraId="44644058" w14:textId="77777777" w:rsidR="00EA1C5C" w:rsidRPr="00EA1C5C" w:rsidRDefault="00EA1C5C" w:rsidP="00EA1C5C">
            <w:pPr>
              <w:jc w:val="center"/>
              <w:rPr>
                <w:rFonts w:ascii="Arial Narrow" w:hAnsi="Arial Narrow"/>
                <w:b/>
                <w:bCs/>
                <w:color w:val="000000"/>
              </w:rPr>
            </w:pPr>
            <w:r w:rsidRPr="00EA1C5C">
              <w:rPr>
                <w:rFonts w:ascii="Arial Narrow" w:hAnsi="Arial Narrow"/>
                <w:b/>
                <w:bCs/>
                <w:color w:val="000000"/>
              </w:rPr>
              <w:t>U</w:t>
            </w:r>
          </w:p>
        </w:tc>
        <w:tc>
          <w:tcPr>
            <w:tcW w:w="650" w:type="pct"/>
            <w:tcBorders>
              <w:top w:val="nil"/>
              <w:left w:val="nil"/>
              <w:bottom w:val="single" w:sz="4" w:space="0" w:color="auto"/>
              <w:right w:val="nil"/>
            </w:tcBorders>
            <w:noWrap/>
            <w:vAlign w:val="center"/>
            <w:hideMark/>
          </w:tcPr>
          <w:p w14:paraId="55054EFA" w14:textId="77777777" w:rsidR="00EA1C5C" w:rsidRPr="00EA1C5C" w:rsidRDefault="00EA1C5C" w:rsidP="00EA1C5C">
            <w:pPr>
              <w:jc w:val="center"/>
              <w:rPr>
                <w:rFonts w:ascii="Arial Narrow" w:hAnsi="Arial Narrow"/>
                <w:b/>
                <w:bCs/>
                <w:color w:val="000000"/>
              </w:rPr>
            </w:pPr>
            <w:r w:rsidRPr="00EA1C5C">
              <w:rPr>
                <w:rFonts w:ascii="Arial Narrow" w:hAnsi="Arial Narrow"/>
                <w:b/>
                <w:bCs/>
                <w:color w:val="000000"/>
              </w:rPr>
              <w:t>z</w:t>
            </w:r>
          </w:p>
        </w:tc>
        <w:tc>
          <w:tcPr>
            <w:tcW w:w="583" w:type="pct"/>
            <w:tcBorders>
              <w:top w:val="nil"/>
              <w:left w:val="nil"/>
              <w:bottom w:val="single" w:sz="4" w:space="0" w:color="auto"/>
              <w:right w:val="nil"/>
            </w:tcBorders>
            <w:noWrap/>
            <w:vAlign w:val="center"/>
            <w:hideMark/>
          </w:tcPr>
          <w:p w14:paraId="47B3B2F3" w14:textId="77777777" w:rsidR="00EA1C5C" w:rsidRPr="00EA1C5C" w:rsidRDefault="00EA1C5C" w:rsidP="00EA1C5C">
            <w:pPr>
              <w:jc w:val="center"/>
              <w:rPr>
                <w:rFonts w:ascii="Arial Narrow" w:hAnsi="Arial Narrow"/>
                <w:b/>
                <w:bCs/>
                <w:color w:val="000000"/>
              </w:rPr>
            </w:pPr>
            <w:r w:rsidRPr="00EA1C5C">
              <w:rPr>
                <w:rFonts w:ascii="Arial Narrow" w:hAnsi="Arial Narrow"/>
                <w:b/>
                <w:bCs/>
                <w:color w:val="000000"/>
              </w:rPr>
              <w:t>p</w:t>
            </w:r>
          </w:p>
        </w:tc>
      </w:tr>
      <w:tr w:rsidR="00EA1C5C" w:rsidRPr="00EA1C5C" w14:paraId="3EE297F4" w14:textId="77777777" w:rsidTr="008011CF">
        <w:trPr>
          <w:trHeight w:val="20"/>
        </w:trPr>
        <w:tc>
          <w:tcPr>
            <w:tcW w:w="2959" w:type="pct"/>
            <w:tcBorders>
              <w:top w:val="nil"/>
              <w:left w:val="nil"/>
              <w:bottom w:val="nil"/>
              <w:right w:val="nil"/>
            </w:tcBorders>
            <w:noWrap/>
            <w:vAlign w:val="center"/>
            <w:hideMark/>
          </w:tcPr>
          <w:p w14:paraId="0E2002A3" w14:textId="77777777" w:rsidR="00EA1C5C" w:rsidRPr="00EA1C5C" w:rsidRDefault="00EA1C5C" w:rsidP="00EA1C5C">
            <w:pPr>
              <w:rPr>
                <w:rFonts w:ascii="Arial Narrow" w:hAnsi="Arial Narrow"/>
                <w:color w:val="000000"/>
              </w:rPr>
            </w:pPr>
            <w:r w:rsidRPr="00EA1C5C">
              <w:rPr>
                <w:rFonts w:ascii="Arial Narrow" w:hAnsi="Arial Narrow"/>
                <w:color w:val="000000"/>
              </w:rPr>
              <w:t>Student Population</w:t>
            </w:r>
          </w:p>
        </w:tc>
        <w:tc>
          <w:tcPr>
            <w:tcW w:w="807" w:type="pct"/>
            <w:tcBorders>
              <w:top w:val="nil"/>
              <w:left w:val="nil"/>
              <w:bottom w:val="nil"/>
              <w:right w:val="nil"/>
            </w:tcBorders>
            <w:noWrap/>
            <w:vAlign w:val="center"/>
            <w:hideMark/>
          </w:tcPr>
          <w:p w14:paraId="7D11E627" w14:textId="77777777" w:rsidR="00EA1C5C" w:rsidRPr="00EA1C5C" w:rsidRDefault="00EA1C5C" w:rsidP="00EA1C5C">
            <w:pPr>
              <w:jc w:val="center"/>
              <w:rPr>
                <w:rFonts w:ascii="Arial Narrow" w:hAnsi="Arial Narrow"/>
                <w:color w:val="000000"/>
              </w:rPr>
            </w:pPr>
            <w:r w:rsidRPr="00EA1C5C">
              <w:rPr>
                <w:rFonts w:ascii="Arial Narrow" w:eastAsia="Aptos" w:hAnsi="Arial Narrow"/>
                <w:color w:val="000000"/>
                <w:kern w:val="2"/>
                <w:lang w:val="en-PH"/>
                <w14:ligatures w14:val="standardContextual"/>
              </w:rPr>
              <w:t>769.000</w:t>
            </w:r>
          </w:p>
        </w:tc>
        <w:tc>
          <w:tcPr>
            <w:tcW w:w="650" w:type="pct"/>
            <w:tcBorders>
              <w:top w:val="nil"/>
              <w:left w:val="nil"/>
              <w:bottom w:val="nil"/>
              <w:right w:val="nil"/>
            </w:tcBorders>
            <w:noWrap/>
            <w:vAlign w:val="center"/>
            <w:hideMark/>
          </w:tcPr>
          <w:p w14:paraId="32B75630" w14:textId="77777777" w:rsidR="00EA1C5C" w:rsidRPr="00EA1C5C" w:rsidRDefault="00EA1C5C" w:rsidP="00EA1C5C">
            <w:pPr>
              <w:jc w:val="center"/>
              <w:rPr>
                <w:rFonts w:ascii="Arial Narrow" w:hAnsi="Arial Narrow"/>
                <w:color w:val="000000"/>
              </w:rPr>
            </w:pPr>
            <w:r w:rsidRPr="00EA1C5C">
              <w:rPr>
                <w:rFonts w:ascii="Arial Narrow" w:eastAsia="Aptos" w:hAnsi="Arial Narrow"/>
                <w:color w:val="000000"/>
                <w:kern w:val="2"/>
                <w:lang w:val="en-PH"/>
                <w14:ligatures w14:val="standardContextual"/>
              </w:rPr>
              <w:t>-1.666</w:t>
            </w:r>
          </w:p>
        </w:tc>
        <w:tc>
          <w:tcPr>
            <w:tcW w:w="583" w:type="pct"/>
            <w:tcBorders>
              <w:top w:val="nil"/>
              <w:left w:val="nil"/>
              <w:bottom w:val="nil"/>
              <w:right w:val="nil"/>
            </w:tcBorders>
            <w:noWrap/>
            <w:vAlign w:val="center"/>
            <w:hideMark/>
          </w:tcPr>
          <w:p w14:paraId="3E723831" w14:textId="77777777" w:rsidR="00EA1C5C" w:rsidRPr="00EA1C5C" w:rsidRDefault="00EA1C5C" w:rsidP="00EA1C5C">
            <w:pPr>
              <w:jc w:val="center"/>
              <w:rPr>
                <w:rFonts w:ascii="Arial Narrow" w:hAnsi="Arial Narrow"/>
                <w:color w:val="000000"/>
              </w:rPr>
            </w:pPr>
            <w:r w:rsidRPr="00EA1C5C">
              <w:rPr>
                <w:rFonts w:ascii="Arial Narrow" w:eastAsia="Aptos" w:hAnsi="Arial Narrow"/>
                <w:color w:val="000000"/>
                <w:kern w:val="2"/>
                <w:lang w:val="en-PH"/>
                <w14:ligatures w14:val="standardContextual"/>
              </w:rPr>
              <w:t>0.096</w:t>
            </w:r>
          </w:p>
        </w:tc>
      </w:tr>
      <w:tr w:rsidR="00EA1C5C" w:rsidRPr="00EA1C5C" w14:paraId="27EDBCF7" w14:textId="77777777" w:rsidTr="008011CF">
        <w:trPr>
          <w:trHeight w:val="20"/>
        </w:trPr>
        <w:tc>
          <w:tcPr>
            <w:tcW w:w="2959" w:type="pct"/>
            <w:tcBorders>
              <w:top w:val="nil"/>
              <w:left w:val="nil"/>
              <w:bottom w:val="nil"/>
              <w:right w:val="nil"/>
            </w:tcBorders>
            <w:noWrap/>
            <w:vAlign w:val="center"/>
            <w:hideMark/>
          </w:tcPr>
          <w:p w14:paraId="15EC318D" w14:textId="77777777" w:rsidR="00EA1C5C" w:rsidRPr="00EA1C5C" w:rsidRDefault="00EA1C5C" w:rsidP="00EA1C5C">
            <w:pPr>
              <w:rPr>
                <w:rFonts w:ascii="Arial Narrow" w:hAnsi="Arial Narrow"/>
                <w:color w:val="000000"/>
              </w:rPr>
            </w:pPr>
            <w:r w:rsidRPr="00EA1C5C">
              <w:rPr>
                <w:rFonts w:ascii="Arial Narrow" w:hAnsi="Arial Narrow"/>
                <w:color w:val="000000"/>
              </w:rPr>
              <w:t>Number of Employees</w:t>
            </w:r>
          </w:p>
        </w:tc>
        <w:tc>
          <w:tcPr>
            <w:tcW w:w="807" w:type="pct"/>
            <w:tcBorders>
              <w:top w:val="nil"/>
              <w:left w:val="nil"/>
              <w:bottom w:val="nil"/>
              <w:right w:val="nil"/>
            </w:tcBorders>
            <w:noWrap/>
            <w:vAlign w:val="center"/>
            <w:hideMark/>
          </w:tcPr>
          <w:p w14:paraId="2135B3C2" w14:textId="77777777" w:rsidR="00EA1C5C" w:rsidRPr="00EA1C5C" w:rsidRDefault="00EA1C5C" w:rsidP="00EA1C5C">
            <w:pPr>
              <w:jc w:val="center"/>
              <w:rPr>
                <w:rFonts w:ascii="Arial Narrow" w:hAnsi="Arial Narrow"/>
                <w:color w:val="000000"/>
              </w:rPr>
            </w:pPr>
            <w:r w:rsidRPr="00EA1C5C">
              <w:rPr>
                <w:rFonts w:ascii="Arial Narrow" w:eastAsia="Aptos" w:hAnsi="Arial Narrow"/>
                <w:color w:val="000000"/>
                <w:kern w:val="2"/>
                <w:lang w:val="en-PH"/>
                <w14:ligatures w14:val="standardContextual"/>
              </w:rPr>
              <w:t>769.000</w:t>
            </w:r>
          </w:p>
        </w:tc>
        <w:tc>
          <w:tcPr>
            <w:tcW w:w="650" w:type="pct"/>
            <w:tcBorders>
              <w:top w:val="nil"/>
              <w:left w:val="nil"/>
              <w:bottom w:val="nil"/>
              <w:right w:val="nil"/>
            </w:tcBorders>
            <w:noWrap/>
            <w:vAlign w:val="center"/>
            <w:hideMark/>
          </w:tcPr>
          <w:p w14:paraId="243DE289" w14:textId="77777777" w:rsidR="00EA1C5C" w:rsidRPr="00EA1C5C" w:rsidRDefault="00EA1C5C" w:rsidP="00EA1C5C">
            <w:pPr>
              <w:jc w:val="center"/>
              <w:rPr>
                <w:rFonts w:ascii="Arial Narrow" w:hAnsi="Arial Narrow"/>
                <w:color w:val="000000"/>
              </w:rPr>
            </w:pPr>
            <w:r w:rsidRPr="00EA1C5C">
              <w:rPr>
                <w:rFonts w:ascii="Arial Narrow" w:eastAsia="Aptos" w:hAnsi="Arial Narrow"/>
                <w:color w:val="000000"/>
                <w:kern w:val="2"/>
                <w:lang w:val="en-PH"/>
                <w14:ligatures w14:val="standardContextual"/>
              </w:rPr>
              <w:t>-1.666</w:t>
            </w:r>
          </w:p>
        </w:tc>
        <w:tc>
          <w:tcPr>
            <w:tcW w:w="583" w:type="pct"/>
            <w:tcBorders>
              <w:top w:val="nil"/>
              <w:left w:val="nil"/>
              <w:bottom w:val="nil"/>
              <w:right w:val="nil"/>
            </w:tcBorders>
            <w:noWrap/>
            <w:vAlign w:val="center"/>
            <w:hideMark/>
          </w:tcPr>
          <w:p w14:paraId="75285910" w14:textId="77777777" w:rsidR="00EA1C5C" w:rsidRPr="00EA1C5C" w:rsidRDefault="00EA1C5C" w:rsidP="00EA1C5C">
            <w:pPr>
              <w:jc w:val="center"/>
              <w:rPr>
                <w:rFonts w:ascii="Arial Narrow" w:hAnsi="Arial Narrow"/>
                <w:color w:val="000000"/>
              </w:rPr>
            </w:pPr>
            <w:r w:rsidRPr="00EA1C5C">
              <w:rPr>
                <w:rFonts w:ascii="Arial Narrow" w:eastAsia="Aptos" w:hAnsi="Arial Narrow"/>
                <w:color w:val="000000"/>
                <w:kern w:val="2"/>
                <w:lang w:val="en-PH"/>
                <w14:ligatures w14:val="standardContextual"/>
              </w:rPr>
              <w:t>0.096</w:t>
            </w:r>
          </w:p>
        </w:tc>
      </w:tr>
      <w:tr w:rsidR="00EA1C5C" w:rsidRPr="00EA1C5C" w14:paraId="6B84C1B8" w14:textId="77777777" w:rsidTr="008011CF">
        <w:trPr>
          <w:trHeight w:val="20"/>
        </w:trPr>
        <w:tc>
          <w:tcPr>
            <w:tcW w:w="2959" w:type="pct"/>
            <w:tcBorders>
              <w:top w:val="nil"/>
              <w:left w:val="nil"/>
              <w:bottom w:val="nil"/>
              <w:right w:val="nil"/>
            </w:tcBorders>
            <w:noWrap/>
            <w:vAlign w:val="center"/>
            <w:hideMark/>
          </w:tcPr>
          <w:p w14:paraId="667716D6" w14:textId="77777777" w:rsidR="00EA1C5C" w:rsidRPr="00EA1C5C" w:rsidRDefault="00EA1C5C" w:rsidP="00EA1C5C">
            <w:pPr>
              <w:rPr>
                <w:rFonts w:ascii="Arial Narrow" w:hAnsi="Arial Narrow"/>
                <w:color w:val="000000"/>
              </w:rPr>
            </w:pPr>
            <w:r w:rsidRPr="00EA1C5C">
              <w:rPr>
                <w:rFonts w:ascii="Arial Narrow" w:hAnsi="Arial Narrow"/>
                <w:color w:val="000000"/>
              </w:rPr>
              <w:t>Annual Operational Budget</w:t>
            </w:r>
          </w:p>
        </w:tc>
        <w:tc>
          <w:tcPr>
            <w:tcW w:w="807" w:type="pct"/>
            <w:tcBorders>
              <w:top w:val="nil"/>
              <w:left w:val="nil"/>
              <w:bottom w:val="nil"/>
              <w:right w:val="nil"/>
            </w:tcBorders>
            <w:noWrap/>
            <w:vAlign w:val="center"/>
            <w:hideMark/>
          </w:tcPr>
          <w:p w14:paraId="01B3F80C" w14:textId="77777777" w:rsidR="00EA1C5C" w:rsidRPr="00EA1C5C" w:rsidRDefault="00EA1C5C" w:rsidP="00EA1C5C">
            <w:pPr>
              <w:jc w:val="center"/>
              <w:rPr>
                <w:rFonts w:ascii="Arial Narrow" w:hAnsi="Arial Narrow"/>
                <w:color w:val="000000"/>
              </w:rPr>
            </w:pPr>
            <w:r w:rsidRPr="00EA1C5C">
              <w:rPr>
                <w:rFonts w:ascii="Arial Narrow" w:eastAsia="Aptos" w:hAnsi="Arial Narrow"/>
                <w:color w:val="000000"/>
                <w:kern w:val="2"/>
                <w:lang w:val="en-PH"/>
                <w14:ligatures w14:val="standardContextual"/>
              </w:rPr>
              <w:t>863.000</w:t>
            </w:r>
          </w:p>
        </w:tc>
        <w:tc>
          <w:tcPr>
            <w:tcW w:w="650" w:type="pct"/>
            <w:tcBorders>
              <w:top w:val="nil"/>
              <w:left w:val="nil"/>
              <w:bottom w:val="nil"/>
              <w:right w:val="nil"/>
            </w:tcBorders>
            <w:noWrap/>
            <w:vAlign w:val="center"/>
            <w:hideMark/>
          </w:tcPr>
          <w:p w14:paraId="703F91D7" w14:textId="77777777" w:rsidR="00EA1C5C" w:rsidRPr="00EA1C5C" w:rsidRDefault="00EA1C5C" w:rsidP="00EA1C5C">
            <w:pPr>
              <w:jc w:val="center"/>
              <w:rPr>
                <w:rFonts w:ascii="Arial Narrow" w:hAnsi="Arial Narrow"/>
                <w:color w:val="000000"/>
              </w:rPr>
            </w:pPr>
            <w:r w:rsidRPr="00EA1C5C">
              <w:rPr>
                <w:rFonts w:ascii="Arial Narrow" w:eastAsia="Aptos" w:hAnsi="Arial Narrow"/>
                <w:color w:val="000000"/>
                <w:kern w:val="2"/>
                <w:lang w:val="en-PH"/>
                <w14:ligatures w14:val="standardContextual"/>
              </w:rPr>
              <w:t>-0.124</w:t>
            </w:r>
          </w:p>
        </w:tc>
        <w:tc>
          <w:tcPr>
            <w:tcW w:w="583" w:type="pct"/>
            <w:tcBorders>
              <w:top w:val="nil"/>
              <w:left w:val="nil"/>
              <w:bottom w:val="nil"/>
              <w:right w:val="nil"/>
            </w:tcBorders>
            <w:noWrap/>
            <w:vAlign w:val="center"/>
            <w:hideMark/>
          </w:tcPr>
          <w:p w14:paraId="51CAC8C3" w14:textId="77777777" w:rsidR="00EA1C5C" w:rsidRPr="00EA1C5C" w:rsidRDefault="00EA1C5C" w:rsidP="00EA1C5C">
            <w:pPr>
              <w:jc w:val="center"/>
              <w:rPr>
                <w:rFonts w:ascii="Arial Narrow" w:hAnsi="Arial Narrow"/>
                <w:color w:val="000000"/>
              </w:rPr>
            </w:pPr>
            <w:r w:rsidRPr="00EA1C5C">
              <w:rPr>
                <w:rFonts w:ascii="Arial Narrow" w:eastAsia="Aptos" w:hAnsi="Arial Narrow"/>
                <w:color w:val="000000"/>
                <w:kern w:val="2"/>
                <w:lang w:val="en-PH"/>
                <w14:ligatures w14:val="standardContextual"/>
              </w:rPr>
              <w:t>0.901</w:t>
            </w:r>
          </w:p>
        </w:tc>
      </w:tr>
      <w:tr w:rsidR="00EA1C5C" w:rsidRPr="00EA1C5C" w14:paraId="0625214D" w14:textId="77777777" w:rsidTr="008011CF">
        <w:trPr>
          <w:trHeight w:val="20"/>
        </w:trPr>
        <w:tc>
          <w:tcPr>
            <w:tcW w:w="2959" w:type="pct"/>
            <w:tcBorders>
              <w:top w:val="nil"/>
              <w:left w:val="nil"/>
              <w:bottom w:val="nil"/>
              <w:right w:val="nil"/>
            </w:tcBorders>
            <w:noWrap/>
            <w:vAlign w:val="center"/>
            <w:hideMark/>
          </w:tcPr>
          <w:p w14:paraId="5F08AAB9" w14:textId="77777777" w:rsidR="00EA1C5C" w:rsidRPr="00EA1C5C" w:rsidRDefault="00EA1C5C" w:rsidP="00EA1C5C">
            <w:pPr>
              <w:rPr>
                <w:rFonts w:ascii="Arial Narrow" w:hAnsi="Arial Narrow"/>
                <w:color w:val="000000"/>
              </w:rPr>
            </w:pPr>
            <w:r w:rsidRPr="00EA1C5C">
              <w:rPr>
                <w:rFonts w:ascii="Arial Narrow" w:hAnsi="Arial Narrow"/>
                <w:color w:val="000000"/>
              </w:rPr>
              <w:t>Number of Accredited Programs</w:t>
            </w:r>
          </w:p>
        </w:tc>
        <w:tc>
          <w:tcPr>
            <w:tcW w:w="807" w:type="pct"/>
            <w:tcBorders>
              <w:top w:val="nil"/>
              <w:left w:val="nil"/>
              <w:bottom w:val="nil"/>
              <w:right w:val="nil"/>
            </w:tcBorders>
            <w:noWrap/>
            <w:vAlign w:val="center"/>
            <w:hideMark/>
          </w:tcPr>
          <w:p w14:paraId="6A8A7736" w14:textId="77777777" w:rsidR="00EA1C5C" w:rsidRPr="00EA1C5C" w:rsidRDefault="00EA1C5C" w:rsidP="00EA1C5C">
            <w:pPr>
              <w:jc w:val="center"/>
              <w:rPr>
                <w:rFonts w:ascii="Arial Narrow" w:hAnsi="Arial Narrow"/>
                <w:color w:val="000000"/>
              </w:rPr>
            </w:pPr>
            <w:r w:rsidRPr="00EA1C5C">
              <w:rPr>
                <w:rFonts w:ascii="Arial Narrow" w:eastAsia="Aptos" w:hAnsi="Arial Narrow"/>
                <w:color w:val="000000"/>
                <w:kern w:val="2"/>
                <w:lang w:val="en-PH"/>
                <w14:ligatures w14:val="standardContextual"/>
              </w:rPr>
              <w:t>863.000</w:t>
            </w:r>
          </w:p>
        </w:tc>
        <w:tc>
          <w:tcPr>
            <w:tcW w:w="650" w:type="pct"/>
            <w:tcBorders>
              <w:top w:val="nil"/>
              <w:left w:val="nil"/>
              <w:bottom w:val="nil"/>
              <w:right w:val="nil"/>
            </w:tcBorders>
            <w:noWrap/>
            <w:vAlign w:val="center"/>
            <w:hideMark/>
          </w:tcPr>
          <w:p w14:paraId="5D0C440F" w14:textId="77777777" w:rsidR="00EA1C5C" w:rsidRPr="00EA1C5C" w:rsidRDefault="00EA1C5C" w:rsidP="00EA1C5C">
            <w:pPr>
              <w:jc w:val="center"/>
              <w:rPr>
                <w:rFonts w:ascii="Arial Narrow" w:hAnsi="Arial Narrow"/>
                <w:color w:val="000000"/>
              </w:rPr>
            </w:pPr>
            <w:r w:rsidRPr="00EA1C5C">
              <w:rPr>
                <w:rFonts w:ascii="Arial Narrow" w:eastAsia="Aptos" w:hAnsi="Arial Narrow"/>
                <w:color w:val="000000"/>
                <w:kern w:val="2"/>
                <w:lang w:val="en-PH"/>
                <w14:ligatures w14:val="standardContextual"/>
              </w:rPr>
              <w:t>-0.124</w:t>
            </w:r>
          </w:p>
        </w:tc>
        <w:tc>
          <w:tcPr>
            <w:tcW w:w="583" w:type="pct"/>
            <w:tcBorders>
              <w:top w:val="nil"/>
              <w:left w:val="nil"/>
              <w:bottom w:val="nil"/>
              <w:right w:val="nil"/>
            </w:tcBorders>
            <w:noWrap/>
            <w:vAlign w:val="center"/>
            <w:hideMark/>
          </w:tcPr>
          <w:p w14:paraId="3A9BCD70" w14:textId="77777777" w:rsidR="00EA1C5C" w:rsidRPr="00EA1C5C" w:rsidRDefault="00EA1C5C" w:rsidP="00EA1C5C">
            <w:pPr>
              <w:jc w:val="center"/>
              <w:rPr>
                <w:rFonts w:ascii="Arial Narrow" w:hAnsi="Arial Narrow"/>
                <w:color w:val="000000"/>
              </w:rPr>
            </w:pPr>
            <w:r w:rsidRPr="00EA1C5C">
              <w:rPr>
                <w:rFonts w:ascii="Arial Narrow" w:eastAsia="Aptos" w:hAnsi="Arial Narrow"/>
                <w:color w:val="000000"/>
                <w:kern w:val="2"/>
                <w:lang w:val="en-PH"/>
                <w14:ligatures w14:val="standardContextual"/>
              </w:rPr>
              <w:t>0.901</w:t>
            </w:r>
          </w:p>
        </w:tc>
      </w:tr>
      <w:tr w:rsidR="00EA1C5C" w:rsidRPr="00EA1C5C" w14:paraId="1171B4C9" w14:textId="77777777" w:rsidTr="008011CF">
        <w:trPr>
          <w:trHeight w:val="20"/>
        </w:trPr>
        <w:tc>
          <w:tcPr>
            <w:tcW w:w="2959" w:type="pct"/>
            <w:tcBorders>
              <w:top w:val="nil"/>
              <w:left w:val="nil"/>
              <w:bottom w:val="nil"/>
              <w:right w:val="nil"/>
            </w:tcBorders>
            <w:noWrap/>
            <w:vAlign w:val="center"/>
            <w:hideMark/>
          </w:tcPr>
          <w:p w14:paraId="597B31C1" w14:textId="77777777" w:rsidR="00EA1C5C" w:rsidRPr="00EA1C5C" w:rsidRDefault="00EA1C5C" w:rsidP="00EA1C5C">
            <w:pPr>
              <w:rPr>
                <w:rFonts w:ascii="Arial Narrow" w:hAnsi="Arial Narrow"/>
                <w:color w:val="000000"/>
              </w:rPr>
            </w:pPr>
            <w:r w:rsidRPr="00EA1C5C">
              <w:rPr>
                <w:rFonts w:ascii="Arial Narrow" w:hAnsi="Arial Narrow"/>
                <w:color w:val="000000"/>
              </w:rPr>
              <w:t>Years of Existence</w:t>
            </w:r>
          </w:p>
        </w:tc>
        <w:tc>
          <w:tcPr>
            <w:tcW w:w="807" w:type="pct"/>
            <w:tcBorders>
              <w:top w:val="nil"/>
              <w:left w:val="nil"/>
              <w:bottom w:val="nil"/>
              <w:right w:val="nil"/>
            </w:tcBorders>
            <w:noWrap/>
            <w:vAlign w:val="center"/>
            <w:hideMark/>
          </w:tcPr>
          <w:p w14:paraId="6630AE73" w14:textId="77777777" w:rsidR="00EA1C5C" w:rsidRPr="00EA1C5C" w:rsidRDefault="00EA1C5C" w:rsidP="00EA1C5C">
            <w:pPr>
              <w:jc w:val="center"/>
              <w:rPr>
                <w:rFonts w:ascii="Arial Narrow" w:hAnsi="Arial Narrow"/>
                <w:color w:val="000000"/>
              </w:rPr>
            </w:pPr>
            <w:r w:rsidRPr="00EA1C5C">
              <w:rPr>
                <w:rFonts w:ascii="Arial Narrow" w:eastAsia="Aptos" w:hAnsi="Arial Narrow"/>
                <w:color w:val="000000"/>
                <w:kern w:val="2"/>
                <w:lang w:val="en-PH"/>
                <w14:ligatures w14:val="standardContextual"/>
              </w:rPr>
              <w:t>581.500</w:t>
            </w:r>
          </w:p>
        </w:tc>
        <w:tc>
          <w:tcPr>
            <w:tcW w:w="650" w:type="pct"/>
            <w:tcBorders>
              <w:top w:val="nil"/>
              <w:left w:val="nil"/>
              <w:bottom w:val="nil"/>
              <w:right w:val="nil"/>
            </w:tcBorders>
            <w:noWrap/>
            <w:vAlign w:val="center"/>
            <w:hideMark/>
          </w:tcPr>
          <w:p w14:paraId="74A15CD9" w14:textId="77777777" w:rsidR="00EA1C5C" w:rsidRPr="00EA1C5C" w:rsidRDefault="00EA1C5C" w:rsidP="00EA1C5C">
            <w:pPr>
              <w:jc w:val="center"/>
              <w:rPr>
                <w:rFonts w:ascii="Arial Narrow" w:hAnsi="Arial Narrow"/>
                <w:color w:val="000000"/>
              </w:rPr>
            </w:pPr>
            <w:r w:rsidRPr="00EA1C5C">
              <w:rPr>
                <w:rFonts w:ascii="Arial Narrow" w:eastAsia="Aptos" w:hAnsi="Arial Narrow"/>
                <w:color w:val="000000"/>
                <w:kern w:val="2"/>
                <w:lang w:val="en-PH"/>
                <w14:ligatures w14:val="standardContextual"/>
              </w:rPr>
              <w:t>-0.564</w:t>
            </w:r>
          </w:p>
        </w:tc>
        <w:tc>
          <w:tcPr>
            <w:tcW w:w="583" w:type="pct"/>
            <w:tcBorders>
              <w:top w:val="nil"/>
              <w:left w:val="nil"/>
              <w:bottom w:val="nil"/>
              <w:right w:val="nil"/>
            </w:tcBorders>
            <w:noWrap/>
            <w:vAlign w:val="center"/>
            <w:hideMark/>
          </w:tcPr>
          <w:p w14:paraId="6D73E053" w14:textId="77777777" w:rsidR="00EA1C5C" w:rsidRPr="00EA1C5C" w:rsidRDefault="00EA1C5C" w:rsidP="00EA1C5C">
            <w:pPr>
              <w:jc w:val="center"/>
              <w:rPr>
                <w:rFonts w:ascii="Arial Narrow" w:hAnsi="Arial Narrow"/>
                <w:color w:val="000000"/>
              </w:rPr>
            </w:pPr>
            <w:r w:rsidRPr="00EA1C5C">
              <w:rPr>
                <w:rFonts w:ascii="Arial Narrow" w:eastAsia="Aptos" w:hAnsi="Arial Narrow"/>
                <w:color w:val="000000"/>
                <w:kern w:val="2"/>
                <w:lang w:val="en-PH"/>
                <w14:ligatures w14:val="standardContextual"/>
              </w:rPr>
              <w:t>0.573</w:t>
            </w:r>
          </w:p>
        </w:tc>
      </w:tr>
      <w:tr w:rsidR="00EA1C5C" w:rsidRPr="00EA1C5C" w14:paraId="44B3FB6E" w14:textId="77777777" w:rsidTr="008011CF">
        <w:trPr>
          <w:trHeight w:val="20"/>
        </w:trPr>
        <w:tc>
          <w:tcPr>
            <w:tcW w:w="5000" w:type="pct"/>
            <w:gridSpan w:val="4"/>
            <w:tcBorders>
              <w:top w:val="single" w:sz="4" w:space="0" w:color="auto"/>
              <w:left w:val="nil"/>
              <w:bottom w:val="nil"/>
              <w:right w:val="nil"/>
            </w:tcBorders>
            <w:noWrap/>
            <w:vAlign w:val="center"/>
            <w:hideMark/>
          </w:tcPr>
          <w:p w14:paraId="52313466" w14:textId="77777777" w:rsidR="00EA1C5C" w:rsidRPr="00EA1C5C" w:rsidRDefault="00EA1C5C" w:rsidP="00EA1C5C">
            <w:pPr>
              <w:rPr>
                <w:rFonts w:ascii="Arial Narrow" w:hAnsi="Arial Narrow"/>
                <w:i/>
                <w:iCs/>
                <w:color w:val="000000"/>
                <w:sz w:val="16"/>
                <w:szCs w:val="16"/>
              </w:rPr>
            </w:pPr>
            <w:r w:rsidRPr="00EA1C5C">
              <w:rPr>
                <w:rFonts w:ascii="Arial Narrow" w:hAnsi="Arial Narrow"/>
                <w:i/>
                <w:iCs/>
                <w:color w:val="000000"/>
                <w:sz w:val="16"/>
                <w:szCs w:val="16"/>
              </w:rPr>
              <w:t>Note: the difference in the means is significant when p≤0.05 (less than or equal to)</w:t>
            </w:r>
          </w:p>
        </w:tc>
      </w:tr>
    </w:tbl>
    <w:p w14:paraId="340694C4" w14:textId="77777777" w:rsidR="00EA1C5C" w:rsidRDefault="00EA1C5C" w:rsidP="008D2D80">
      <w:pPr>
        <w:jc w:val="both"/>
        <w:rPr>
          <w:rFonts w:ascii="Arial" w:hAnsi="Arial" w:cs="Arial"/>
          <w:b/>
          <w:bCs/>
          <w:caps/>
          <w:szCs w:val="18"/>
        </w:rPr>
      </w:pPr>
    </w:p>
    <w:p w14:paraId="6EE5815F" w14:textId="1684647E" w:rsidR="00EA1C5C" w:rsidRPr="00EA1C5C" w:rsidRDefault="00EA1C5C" w:rsidP="00EA1C5C">
      <w:pPr>
        <w:jc w:val="both"/>
        <w:rPr>
          <w:rFonts w:ascii="Arial" w:hAnsi="Arial" w:cs="Arial"/>
          <w:caps/>
          <w:szCs w:val="18"/>
        </w:rPr>
      </w:pPr>
      <w:r w:rsidRPr="00EA1C5C">
        <w:rPr>
          <w:rFonts w:ascii="Arial" w:hAnsi="Arial" w:cs="Arial"/>
          <w:szCs w:val="18"/>
        </w:rPr>
        <w:t xml:space="preserve">Results </w:t>
      </w:r>
      <w:r>
        <w:rPr>
          <w:rFonts w:ascii="Arial" w:hAnsi="Arial" w:cs="Arial"/>
          <w:szCs w:val="18"/>
        </w:rPr>
        <w:t xml:space="preserve">of Table 4 </w:t>
      </w:r>
      <w:r w:rsidRPr="00EA1C5C">
        <w:rPr>
          <w:rFonts w:ascii="Arial" w:hAnsi="Arial" w:cs="Arial"/>
          <w:szCs w:val="18"/>
        </w:rPr>
        <w:t>reveal that there were no significant differences according to students' population [u=769.000, p=0.096], number of employees [u=769.000, p=0.096], annual operational budget [u=863.000, p=0.901], number of accredited programs [u=863.</w:t>
      </w:r>
      <w:proofErr w:type="gramStart"/>
      <w:r w:rsidRPr="00EA1C5C">
        <w:rPr>
          <w:rFonts w:ascii="Arial" w:hAnsi="Arial" w:cs="Arial"/>
          <w:szCs w:val="18"/>
        </w:rPr>
        <w:t>000,p</w:t>
      </w:r>
      <w:proofErr w:type="gramEnd"/>
      <w:r w:rsidRPr="00EA1C5C">
        <w:rPr>
          <w:rFonts w:ascii="Arial" w:hAnsi="Arial" w:cs="Arial"/>
          <w:szCs w:val="18"/>
        </w:rPr>
        <w:t>=0.901], and number of years of existence [u=581.500, p=0.573]. The results indicate that the resilience level stated by administrator respondents does not differ significantly on the basis of institutional characteristics.</w:t>
      </w:r>
    </w:p>
    <w:p w14:paraId="0AB777C3" w14:textId="77777777" w:rsidR="00EA1C5C" w:rsidRDefault="00EA1C5C" w:rsidP="00EA1C5C">
      <w:pPr>
        <w:jc w:val="both"/>
        <w:rPr>
          <w:rFonts w:ascii="Arial" w:hAnsi="Arial" w:cs="Arial"/>
          <w:szCs w:val="18"/>
        </w:rPr>
      </w:pPr>
    </w:p>
    <w:p w14:paraId="75A10D46" w14:textId="08DC6911" w:rsidR="00EA1C5C" w:rsidRPr="00EA1C5C" w:rsidRDefault="00EA1C5C" w:rsidP="00EA1C5C">
      <w:pPr>
        <w:jc w:val="both"/>
        <w:rPr>
          <w:rFonts w:ascii="Arial" w:hAnsi="Arial" w:cs="Arial"/>
          <w:caps/>
          <w:szCs w:val="18"/>
        </w:rPr>
      </w:pPr>
      <w:r w:rsidRPr="00EA1C5C">
        <w:rPr>
          <w:rFonts w:ascii="Arial" w:hAnsi="Arial" w:cs="Arial"/>
          <w:szCs w:val="18"/>
        </w:rPr>
        <w:t>This implies that factors such as student population, number of employees, annual operational budget, number of accredited programs, and years of existence do not statistically influence an institution's level of resilience as perceived by its administrators. This finding is particularly significant as it challenges the assumption that resilience is a byproduct of organizational scale, wealth, or history. The key implication is that resilience is not an inherent advantage of larger or more established institutions but rather a cultivated trait, likely driven by internal factors such as leadership quality, institutional culture, and strategic planning. This creates a level playing field for all institutions, suggesting that smaller, younger, or less affluent organizations can be just as resilient as their larger, older, and wealthier counterparts by focusing on strengthening their internal processes and leadership.</w:t>
      </w:r>
    </w:p>
    <w:p w14:paraId="6F68D453" w14:textId="77777777" w:rsidR="00EA1C5C" w:rsidRDefault="00EA1C5C" w:rsidP="00EA1C5C">
      <w:pPr>
        <w:jc w:val="both"/>
        <w:rPr>
          <w:rFonts w:ascii="Arial" w:hAnsi="Arial" w:cs="Arial"/>
          <w:szCs w:val="18"/>
        </w:rPr>
      </w:pPr>
    </w:p>
    <w:p w14:paraId="6D5DFD26" w14:textId="7AB9184C" w:rsidR="0077412F" w:rsidRDefault="00EA1C5C" w:rsidP="00EA1C5C">
      <w:pPr>
        <w:jc w:val="both"/>
        <w:rPr>
          <w:rFonts w:ascii="Arial" w:hAnsi="Arial" w:cs="Arial"/>
          <w:szCs w:val="18"/>
        </w:rPr>
      </w:pPr>
      <w:r w:rsidRPr="00EA1C5C">
        <w:rPr>
          <w:rFonts w:ascii="Arial" w:hAnsi="Arial" w:cs="Arial"/>
          <w:szCs w:val="18"/>
        </w:rPr>
        <w:t xml:space="preserve">This finding is supported by </w:t>
      </w:r>
      <w:r>
        <w:rPr>
          <w:rFonts w:ascii="Arial" w:hAnsi="Arial" w:cs="Arial"/>
          <w:szCs w:val="18"/>
        </w:rPr>
        <w:t>S</w:t>
      </w:r>
      <w:r w:rsidRPr="00EA1C5C">
        <w:rPr>
          <w:rFonts w:ascii="Arial" w:hAnsi="Arial" w:cs="Arial"/>
          <w:szCs w:val="18"/>
        </w:rPr>
        <w:t xml:space="preserve">hang and </w:t>
      </w:r>
      <w:r>
        <w:rPr>
          <w:rFonts w:ascii="Arial" w:hAnsi="Arial" w:cs="Arial"/>
          <w:szCs w:val="18"/>
        </w:rPr>
        <w:t>L</w:t>
      </w:r>
      <w:r w:rsidRPr="00EA1C5C">
        <w:rPr>
          <w:rFonts w:ascii="Arial" w:hAnsi="Arial" w:cs="Arial"/>
          <w:szCs w:val="18"/>
        </w:rPr>
        <w:t xml:space="preserve">uo (2023) whose research on teacher resilience emphasizes that resilience is a dynamic capability influenced more by internal processes, coping strategies, and organizational culture rather than external institutional characteristics. They suggest resilience can be cultivated regardless of size or resources.  Also, </w:t>
      </w:r>
      <w:r>
        <w:rPr>
          <w:rFonts w:ascii="Arial" w:hAnsi="Arial" w:cs="Arial"/>
          <w:szCs w:val="18"/>
        </w:rPr>
        <w:t>C</w:t>
      </w:r>
      <w:r w:rsidRPr="00EA1C5C">
        <w:rPr>
          <w:rFonts w:ascii="Arial" w:hAnsi="Arial" w:cs="Arial"/>
          <w:szCs w:val="18"/>
        </w:rPr>
        <w:t xml:space="preserve">ampbell et </w:t>
      </w:r>
      <w:r w:rsidRPr="00EA1C5C">
        <w:rPr>
          <w:rFonts w:ascii="Arial" w:hAnsi="Arial" w:cs="Arial"/>
          <w:szCs w:val="18"/>
        </w:rPr>
        <w:lastRenderedPageBreak/>
        <w:t xml:space="preserve">al. (2020) found that resilience in higher education institutions is largely driven by strategic planning, leadership, and stakeholder engagement rather than size or financial capacity, supporting the idea that resilience is a cultivated trait.  Moreover, </w:t>
      </w:r>
      <w:r>
        <w:rPr>
          <w:rFonts w:ascii="Arial" w:hAnsi="Arial" w:cs="Arial"/>
          <w:szCs w:val="18"/>
        </w:rPr>
        <w:t>U</w:t>
      </w:r>
      <w:r w:rsidRPr="00EA1C5C">
        <w:rPr>
          <w:rFonts w:ascii="Arial" w:hAnsi="Arial" w:cs="Arial"/>
          <w:szCs w:val="18"/>
        </w:rPr>
        <w:t xml:space="preserve">ngar et al. (2019) maintained that resilience across schools and institutions is shaped by internal resources and adaptive capacities, and contextual factors such as institutional history or size are less determinative of resilience levels.  Lim and </w:t>
      </w:r>
      <w:r>
        <w:rPr>
          <w:rFonts w:ascii="Arial" w:hAnsi="Arial" w:cs="Arial"/>
          <w:szCs w:val="18"/>
        </w:rPr>
        <w:t>G</w:t>
      </w:r>
      <w:r w:rsidRPr="00EA1C5C">
        <w:rPr>
          <w:rFonts w:ascii="Arial" w:hAnsi="Arial" w:cs="Arial"/>
          <w:szCs w:val="18"/>
        </w:rPr>
        <w:t xml:space="preserve">aerlan (2022) also suggested that organizational culture and leadership quality are primary determinants of resilience, and that institutional profile variables do not necessarily predict resilience—highlighting that smaller or newer institutions can achieve comparable resilience levels through internal strengths.  Moreover, </w:t>
      </w:r>
      <w:r>
        <w:rPr>
          <w:rFonts w:ascii="Arial" w:hAnsi="Arial" w:cs="Arial"/>
          <w:szCs w:val="18"/>
        </w:rPr>
        <w:t>K</w:t>
      </w:r>
      <w:r w:rsidRPr="00EA1C5C">
        <w:rPr>
          <w:rFonts w:ascii="Arial" w:hAnsi="Arial" w:cs="Arial"/>
          <w:szCs w:val="18"/>
        </w:rPr>
        <w:t xml:space="preserve">arlsson and </w:t>
      </w:r>
      <w:r>
        <w:rPr>
          <w:rFonts w:ascii="Arial" w:hAnsi="Arial" w:cs="Arial"/>
          <w:szCs w:val="18"/>
        </w:rPr>
        <w:t>O</w:t>
      </w:r>
      <w:r w:rsidRPr="00EA1C5C">
        <w:rPr>
          <w:rFonts w:ascii="Arial" w:hAnsi="Arial" w:cs="Arial"/>
          <w:szCs w:val="18"/>
        </w:rPr>
        <w:t xml:space="preserve">fford’s (2023) findings indicated that existing resilience strategies and internal capacities rather than external institutional size or age facilitated effective responses, reinforcing that resilience is a cultivated and strategic trait rather than a function of scale.  In addition, </w:t>
      </w:r>
      <w:proofErr w:type="spellStart"/>
      <w:r>
        <w:rPr>
          <w:rFonts w:ascii="Arial" w:hAnsi="Arial" w:cs="Arial"/>
          <w:szCs w:val="18"/>
        </w:rPr>
        <w:t>R</w:t>
      </w:r>
      <w:r w:rsidRPr="00EA1C5C">
        <w:rPr>
          <w:rFonts w:ascii="Arial" w:hAnsi="Arial" w:cs="Arial"/>
          <w:szCs w:val="18"/>
        </w:rPr>
        <w:t>asli</w:t>
      </w:r>
      <w:proofErr w:type="spellEnd"/>
      <w:r w:rsidRPr="00EA1C5C">
        <w:rPr>
          <w:rFonts w:ascii="Arial" w:hAnsi="Arial" w:cs="Arial"/>
          <w:szCs w:val="18"/>
        </w:rPr>
        <w:t xml:space="preserve"> et al. (2022) found that internal strategic responses and adaptive capacity are critical in determining resilience, regardless of the institution's size, age, or resources.</w:t>
      </w:r>
    </w:p>
    <w:p w14:paraId="0823A349" w14:textId="77777777" w:rsidR="00EA1C5C" w:rsidRDefault="00EA1C5C" w:rsidP="00EA1C5C">
      <w:pPr>
        <w:jc w:val="both"/>
        <w:rPr>
          <w:rFonts w:ascii="Arial" w:hAnsi="Arial" w:cs="Arial"/>
          <w:szCs w:val="18"/>
        </w:rPr>
      </w:pPr>
    </w:p>
    <w:p w14:paraId="45AF88D5" w14:textId="01C2C480" w:rsidR="00EA1C5C" w:rsidRDefault="00EA1C5C" w:rsidP="00EA1C5C">
      <w:pPr>
        <w:jc w:val="both"/>
        <w:rPr>
          <w:rFonts w:ascii="Arial" w:hAnsi="Arial" w:cs="Arial"/>
          <w:b/>
          <w:bCs/>
          <w:szCs w:val="18"/>
        </w:rPr>
      </w:pPr>
      <w:r w:rsidRPr="00EA1C5C">
        <w:rPr>
          <w:rFonts w:ascii="Arial" w:hAnsi="Arial" w:cs="Arial"/>
          <w:b/>
          <w:bCs/>
          <w:szCs w:val="18"/>
        </w:rPr>
        <w:t>3.5 Relationship between Operational Risk Management Practices and School Resilience</w:t>
      </w:r>
    </w:p>
    <w:p w14:paraId="3AC25B87" w14:textId="77777777" w:rsidR="00EA1C5C" w:rsidRDefault="00EA1C5C" w:rsidP="00EA1C5C">
      <w:pPr>
        <w:jc w:val="both"/>
        <w:rPr>
          <w:rFonts w:ascii="Arial" w:hAnsi="Arial" w:cs="Arial"/>
          <w:b/>
          <w:bCs/>
          <w:szCs w:val="18"/>
        </w:rPr>
      </w:pPr>
    </w:p>
    <w:tbl>
      <w:tblPr>
        <w:tblW w:w="5000" w:type="pct"/>
        <w:tblLook w:val="04A0" w:firstRow="1" w:lastRow="0" w:firstColumn="1" w:lastColumn="0" w:noHBand="0" w:noVBand="1"/>
      </w:tblPr>
      <w:tblGrid>
        <w:gridCol w:w="6226"/>
        <w:gridCol w:w="813"/>
        <w:gridCol w:w="440"/>
        <w:gridCol w:w="729"/>
      </w:tblGrid>
      <w:tr w:rsidR="00EA1C5C" w:rsidRPr="00EA1C5C" w14:paraId="78FE9FD2" w14:textId="77777777" w:rsidTr="008011CF">
        <w:trPr>
          <w:trHeight w:val="144"/>
        </w:trPr>
        <w:tc>
          <w:tcPr>
            <w:tcW w:w="5000" w:type="pct"/>
            <w:gridSpan w:val="4"/>
            <w:tcBorders>
              <w:top w:val="nil"/>
              <w:left w:val="nil"/>
              <w:bottom w:val="single" w:sz="4" w:space="0" w:color="auto"/>
              <w:right w:val="nil"/>
            </w:tcBorders>
            <w:noWrap/>
            <w:vAlign w:val="center"/>
            <w:hideMark/>
          </w:tcPr>
          <w:p w14:paraId="64B46E76" w14:textId="28F5A670" w:rsidR="00EA1C5C" w:rsidRPr="00EA1C5C" w:rsidRDefault="00EA1C5C" w:rsidP="00EA1C5C">
            <w:pPr>
              <w:rPr>
                <w:rFonts w:ascii="Arial Narrow" w:hAnsi="Arial Narrow"/>
                <w:b/>
                <w:bCs/>
                <w:color w:val="000000"/>
                <w:sz w:val="22"/>
                <w:szCs w:val="22"/>
              </w:rPr>
            </w:pPr>
            <w:r w:rsidRPr="00EA1C5C">
              <w:rPr>
                <w:rFonts w:ascii="Arial Narrow" w:hAnsi="Arial Narrow"/>
                <w:b/>
                <w:bCs/>
                <w:color w:val="000000"/>
                <w:sz w:val="22"/>
                <w:szCs w:val="22"/>
              </w:rPr>
              <w:t xml:space="preserve">Table </w:t>
            </w:r>
            <w:r w:rsidR="00045F8B">
              <w:rPr>
                <w:rFonts w:ascii="Arial Narrow" w:hAnsi="Arial Narrow"/>
                <w:b/>
                <w:bCs/>
                <w:color w:val="000000"/>
                <w:sz w:val="22"/>
                <w:szCs w:val="22"/>
              </w:rPr>
              <w:t>5</w:t>
            </w:r>
            <w:r w:rsidRPr="00EA1C5C">
              <w:rPr>
                <w:rFonts w:ascii="Arial Narrow" w:hAnsi="Arial Narrow"/>
                <w:b/>
                <w:bCs/>
                <w:color w:val="000000"/>
                <w:sz w:val="22"/>
                <w:szCs w:val="22"/>
              </w:rPr>
              <w:t xml:space="preserve">.  </w:t>
            </w:r>
            <w:r w:rsidRPr="00EA1C5C">
              <w:rPr>
                <w:rFonts w:ascii="Arial Narrow" w:eastAsia="Aptos" w:hAnsi="Arial Narrow"/>
                <w:b/>
                <w:bCs/>
                <w:kern w:val="2"/>
                <w:sz w:val="22"/>
                <w:szCs w:val="22"/>
                <w:lang w:val="en-PH"/>
                <w14:ligatures w14:val="standardContextual"/>
              </w:rPr>
              <w:t>Relationship between Operational Risk Management Practices and School Resilience</w:t>
            </w:r>
          </w:p>
        </w:tc>
      </w:tr>
      <w:tr w:rsidR="00EA1C5C" w:rsidRPr="00EA1C5C" w14:paraId="5A99B337" w14:textId="77777777" w:rsidTr="008011CF">
        <w:trPr>
          <w:trHeight w:val="144"/>
        </w:trPr>
        <w:tc>
          <w:tcPr>
            <w:tcW w:w="3796" w:type="pct"/>
            <w:tcBorders>
              <w:top w:val="nil"/>
              <w:left w:val="nil"/>
              <w:bottom w:val="single" w:sz="4" w:space="0" w:color="auto"/>
              <w:right w:val="nil"/>
            </w:tcBorders>
            <w:noWrap/>
            <w:vAlign w:val="center"/>
            <w:hideMark/>
          </w:tcPr>
          <w:p w14:paraId="5B463E43" w14:textId="77777777" w:rsidR="00EA1C5C" w:rsidRPr="00EA1C5C" w:rsidRDefault="00EA1C5C" w:rsidP="00EA1C5C">
            <w:pPr>
              <w:rPr>
                <w:rFonts w:ascii="Arial Narrow" w:hAnsi="Arial Narrow"/>
                <w:b/>
                <w:bCs/>
                <w:color w:val="000000"/>
                <w:sz w:val="22"/>
                <w:szCs w:val="22"/>
              </w:rPr>
            </w:pPr>
            <w:r w:rsidRPr="00EA1C5C">
              <w:rPr>
                <w:rFonts w:ascii="Arial Narrow" w:hAnsi="Arial Narrow"/>
                <w:b/>
                <w:bCs/>
                <w:color w:val="000000"/>
                <w:sz w:val="22"/>
                <w:szCs w:val="22"/>
              </w:rPr>
              <w:t>Variable</w:t>
            </w:r>
          </w:p>
        </w:tc>
        <w:tc>
          <w:tcPr>
            <w:tcW w:w="494" w:type="pct"/>
            <w:tcBorders>
              <w:top w:val="nil"/>
              <w:left w:val="nil"/>
              <w:bottom w:val="single" w:sz="4" w:space="0" w:color="auto"/>
              <w:right w:val="nil"/>
            </w:tcBorders>
            <w:noWrap/>
            <w:vAlign w:val="center"/>
            <w:hideMark/>
          </w:tcPr>
          <w:p w14:paraId="30CF7DA9" w14:textId="77777777" w:rsidR="00EA1C5C" w:rsidRPr="00EA1C5C" w:rsidRDefault="00EA1C5C" w:rsidP="00EA1C5C">
            <w:pPr>
              <w:jc w:val="center"/>
              <w:rPr>
                <w:rFonts w:ascii="Arial Narrow" w:hAnsi="Arial Narrow"/>
                <w:b/>
                <w:bCs/>
                <w:color w:val="000000"/>
                <w:sz w:val="22"/>
                <w:szCs w:val="22"/>
              </w:rPr>
            </w:pPr>
            <w:proofErr w:type="spellStart"/>
            <w:r w:rsidRPr="00EA1C5C">
              <w:rPr>
                <w:rFonts w:ascii="Arial Narrow" w:hAnsi="Arial Narrow"/>
                <w:b/>
                <w:bCs/>
                <w:color w:val="000000"/>
                <w:sz w:val="22"/>
                <w:szCs w:val="22"/>
              </w:rPr>
              <w:t>r</w:t>
            </w:r>
            <w:r w:rsidRPr="00EA1C5C">
              <w:rPr>
                <w:rFonts w:ascii="Arial Narrow" w:hAnsi="Arial Narrow"/>
                <w:b/>
                <w:bCs/>
                <w:color w:val="000000"/>
                <w:sz w:val="22"/>
                <w:szCs w:val="22"/>
                <w:vertAlign w:val="subscript"/>
              </w:rPr>
              <w:t>s</w:t>
            </w:r>
            <w:proofErr w:type="spellEnd"/>
          </w:p>
        </w:tc>
        <w:tc>
          <w:tcPr>
            <w:tcW w:w="267" w:type="pct"/>
            <w:tcBorders>
              <w:top w:val="nil"/>
              <w:left w:val="nil"/>
              <w:bottom w:val="single" w:sz="4" w:space="0" w:color="auto"/>
              <w:right w:val="nil"/>
            </w:tcBorders>
            <w:noWrap/>
            <w:vAlign w:val="center"/>
            <w:hideMark/>
          </w:tcPr>
          <w:p w14:paraId="231496C3" w14:textId="77777777" w:rsidR="00EA1C5C" w:rsidRPr="00EA1C5C" w:rsidRDefault="00EA1C5C" w:rsidP="00EA1C5C">
            <w:pPr>
              <w:jc w:val="center"/>
              <w:rPr>
                <w:rFonts w:ascii="Arial Narrow" w:hAnsi="Arial Narrow"/>
                <w:b/>
                <w:bCs/>
                <w:color w:val="000000"/>
                <w:sz w:val="22"/>
                <w:szCs w:val="22"/>
              </w:rPr>
            </w:pPr>
            <w:r w:rsidRPr="00EA1C5C">
              <w:rPr>
                <w:rFonts w:ascii="Arial Narrow" w:hAnsi="Arial Narrow"/>
                <w:b/>
                <w:bCs/>
                <w:color w:val="000000"/>
                <w:sz w:val="22"/>
                <w:szCs w:val="22"/>
              </w:rPr>
              <w:t>df</w:t>
            </w:r>
          </w:p>
        </w:tc>
        <w:tc>
          <w:tcPr>
            <w:tcW w:w="444" w:type="pct"/>
            <w:tcBorders>
              <w:top w:val="nil"/>
              <w:left w:val="nil"/>
              <w:bottom w:val="single" w:sz="4" w:space="0" w:color="auto"/>
              <w:right w:val="nil"/>
            </w:tcBorders>
            <w:noWrap/>
            <w:vAlign w:val="center"/>
            <w:hideMark/>
          </w:tcPr>
          <w:p w14:paraId="67E86C90" w14:textId="77777777" w:rsidR="00EA1C5C" w:rsidRPr="00EA1C5C" w:rsidRDefault="00EA1C5C" w:rsidP="00EA1C5C">
            <w:pPr>
              <w:jc w:val="center"/>
              <w:rPr>
                <w:rFonts w:ascii="Arial Narrow" w:hAnsi="Arial Narrow"/>
                <w:b/>
                <w:bCs/>
                <w:color w:val="000000"/>
                <w:sz w:val="22"/>
                <w:szCs w:val="22"/>
              </w:rPr>
            </w:pPr>
            <w:r w:rsidRPr="00EA1C5C">
              <w:rPr>
                <w:rFonts w:ascii="Arial Narrow" w:hAnsi="Arial Narrow"/>
                <w:b/>
                <w:bCs/>
                <w:color w:val="000000"/>
                <w:sz w:val="22"/>
                <w:szCs w:val="22"/>
              </w:rPr>
              <w:t>p</w:t>
            </w:r>
          </w:p>
        </w:tc>
      </w:tr>
      <w:tr w:rsidR="00EA1C5C" w:rsidRPr="00EA1C5C" w14:paraId="5C6ABECA" w14:textId="77777777" w:rsidTr="008011CF">
        <w:trPr>
          <w:trHeight w:val="144"/>
        </w:trPr>
        <w:tc>
          <w:tcPr>
            <w:tcW w:w="3796" w:type="pct"/>
            <w:tcBorders>
              <w:top w:val="nil"/>
              <w:left w:val="nil"/>
              <w:bottom w:val="nil"/>
              <w:right w:val="nil"/>
            </w:tcBorders>
            <w:noWrap/>
            <w:vAlign w:val="center"/>
            <w:hideMark/>
          </w:tcPr>
          <w:p w14:paraId="557D3C31" w14:textId="77777777" w:rsidR="00EA1C5C" w:rsidRPr="00EA1C5C" w:rsidRDefault="00EA1C5C" w:rsidP="00EA1C5C">
            <w:pPr>
              <w:rPr>
                <w:rFonts w:ascii="Arial Narrow" w:hAnsi="Arial Narrow"/>
                <w:color w:val="000000"/>
                <w:sz w:val="22"/>
                <w:szCs w:val="22"/>
              </w:rPr>
            </w:pPr>
            <w:r w:rsidRPr="00EA1C5C">
              <w:rPr>
                <w:rFonts w:ascii="Arial Narrow" w:hAnsi="Arial Narrow"/>
                <w:color w:val="000000"/>
                <w:sz w:val="22"/>
                <w:szCs w:val="22"/>
              </w:rPr>
              <w:t>Operational Risk Management Practices x Degree of Resilience</w:t>
            </w:r>
          </w:p>
        </w:tc>
        <w:tc>
          <w:tcPr>
            <w:tcW w:w="494" w:type="pct"/>
            <w:tcBorders>
              <w:top w:val="nil"/>
              <w:left w:val="nil"/>
              <w:bottom w:val="nil"/>
              <w:right w:val="nil"/>
            </w:tcBorders>
            <w:noWrap/>
            <w:vAlign w:val="center"/>
            <w:hideMark/>
          </w:tcPr>
          <w:p w14:paraId="407AFD44" w14:textId="77777777" w:rsidR="00EA1C5C" w:rsidRPr="00EA1C5C" w:rsidRDefault="00EA1C5C" w:rsidP="00EA1C5C">
            <w:pPr>
              <w:jc w:val="center"/>
              <w:rPr>
                <w:rFonts w:ascii="Arial Narrow" w:hAnsi="Arial Narrow"/>
                <w:color w:val="000000"/>
                <w:sz w:val="22"/>
                <w:szCs w:val="22"/>
              </w:rPr>
            </w:pPr>
            <w:r w:rsidRPr="00EA1C5C">
              <w:rPr>
                <w:rFonts w:ascii="Arial Narrow" w:hAnsi="Arial Narrow"/>
                <w:color w:val="000000"/>
                <w:sz w:val="22"/>
                <w:szCs w:val="22"/>
              </w:rPr>
              <w:t>0.660*</w:t>
            </w:r>
          </w:p>
        </w:tc>
        <w:tc>
          <w:tcPr>
            <w:tcW w:w="267" w:type="pct"/>
            <w:tcBorders>
              <w:top w:val="nil"/>
              <w:left w:val="nil"/>
              <w:bottom w:val="nil"/>
              <w:right w:val="nil"/>
            </w:tcBorders>
            <w:noWrap/>
            <w:vAlign w:val="center"/>
            <w:hideMark/>
          </w:tcPr>
          <w:p w14:paraId="4952EEE5" w14:textId="77777777" w:rsidR="00EA1C5C" w:rsidRPr="00EA1C5C" w:rsidRDefault="00EA1C5C" w:rsidP="00EA1C5C">
            <w:pPr>
              <w:jc w:val="center"/>
              <w:rPr>
                <w:rFonts w:ascii="Arial Narrow" w:hAnsi="Arial Narrow"/>
                <w:color w:val="000000"/>
                <w:sz w:val="22"/>
                <w:szCs w:val="22"/>
              </w:rPr>
            </w:pPr>
            <w:r w:rsidRPr="00EA1C5C">
              <w:rPr>
                <w:rFonts w:ascii="Arial Narrow" w:hAnsi="Arial Narrow"/>
                <w:color w:val="000000"/>
                <w:sz w:val="22"/>
                <w:szCs w:val="22"/>
              </w:rPr>
              <w:t>90</w:t>
            </w:r>
          </w:p>
        </w:tc>
        <w:tc>
          <w:tcPr>
            <w:tcW w:w="444" w:type="pct"/>
            <w:tcBorders>
              <w:top w:val="nil"/>
              <w:left w:val="nil"/>
              <w:bottom w:val="nil"/>
              <w:right w:val="nil"/>
            </w:tcBorders>
            <w:noWrap/>
            <w:vAlign w:val="center"/>
            <w:hideMark/>
          </w:tcPr>
          <w:p w14:paraId="0DA3B531" w14:textId="77777777" w:rsidR="00EA1C5C" w:rsidRPr="00EA1C5C" w:rsidRDefault="00EA1C5C" w:rsidP="00EA1C5C">
            <w:pPr>
              <w:jc w:val="center"/>
              <w:rPr>
                <w:rFonts w:ascii="Arial Narrow" w:hAnsi="Arial Narrow"/>
                <w:color w:val="000000"/>
                <w:sz w:val="22"/>
                <w:szCs w:val="22"/>
              </w:rPr>
            </w:pPr>
            <w:r w:rsidRPr="00EA1C5C">
              <w:rPr>
                <w:rFonts w:ascii="Arial Narrow" w:hAnsi="Arial Narrow"/>
                <w:color w:val="000000"/>
                <w:sz w:val="22"/>
                <w:szCs w:val="22"/>
              </w:rPr>
              <w:t>0.000</w:t>
            </w:r>
          </w:p>
        </w:tc>
      </w:tr>
      <w:tr w:rsidR="00EA1C5C" w:rsidRPr="00EA1C5C" w14:paraId="00F5E74E" w14:textId="77777777" w:rsidTr="008011CF">
        <w:trPr>
          <w:trHeight w:val="144"/>
        </w:trPr>
        <w:tc>
          <w:tcPr>
            <w:tcW w:w="5000" w:type="pct"/>
            <w:gridSpan w:val="4"/>
            <w:tcBorders>
              <w:top w:val="single" w:sz="4" w:space="0" w:color="auto"/>
              <w:left w:val="nil"/>
              <w:bottom w:val="nil"/>
              <w:right w:val="nil"/>
            </w:tcBorders>
            <w:noWrap/>
            <w:vAlign w:val="center"/>
            <w:hideMark/>
          </w:tcPr>
          <w:p w14:paraId="062628BF" w14:textId="77777777" w:rsidR="00EA1C5C" w:rsidRPr="00EA1C5C" w:rsidRDefault="00EA1C5C" w:rsidP="00EA1C5C">
            <w:pPr>
              <w:rPr>
                <w:rFonts w:ascii="Arial Narrow" w:hAnsi="Arial Narrow"/>
                <w:sz w:val="16"/>
                <w:szCs w:val="16"/>
              </w:rPr>
            </w:pPr>
            <w:r w:rsidRPr="00EA1C5C">
              <w:rPr>
                <w:rFonts w:ascii="Arial Narrow" w:hAnsi="Arial Narrow" w:cs="Arial"/>
                <w:i/>
                <w:iCs/>
                <w:color w:val="000000"/>
                <w:sz w:val="16"/>
                <w:szCs w:val="16"/>
              </w:rPr>
              <w:t>Note: *correlation is significant when p≤ 0.05 (less than or equal to)</w:t>
            </w:r>
          </w:p>
        </w:tc>
      </w:tr>
    </w:tbl>
    <w:p w14:paraId="3B0E72AC" w14:textId="77777777" w:rsidR="00EA1C5C" w:rsidRPr="00EA1C5C" w:rsidRDefault="00EA1C5C" w:rsidP="00EA1C5C">
      <w:pPr>
        <w:jc w:val="both"/>
        <w:rPr>
          <w:rFonts w:ascii="Arial" w:hAnsi="Arial" w:cs="Arial"/>
          <w:b/>
          <w:bCs/>
          <w:caps/>
          <w:szCs w:val="18"/>
        </w:rPr>
      </w:pPr>
    </w:p>
    <w:bookmarkEnd w:id="1"/>
    <w:p w14:paraId="4057445D" w14:textId="77777777" w:rsidR="00EA1C5C" w:rsidRPr="00EA1C5C" w:rsidRDefault="00EA1C5C" w:rsidP="00EA1C5C">
      <w:pPr>
        <w:pStyle w:val="Body"/>
        <w:rPr>
          <w:rFonts w:ascii="Arial" w:hAnsi="Arial" w:cs="Arial"/>
        </w:rPr>
      </w:pPr>
      <w:r w:rsidRPr="00EA1C5C">
        <w:rPr>
          <w:rFonts w:ascii="Arial" w:hAnsi="Arial" w:cs="Arial"/>
        </w:rPr>
        <w:t>Spearman rank correlation was employed to determine the relationship between operational risk management practices and the resilience level assessed by the administering respondents. The results showed a highly significant and strong positive correlation between the two variables [</w:t>
      </w:r>
      <w:proofErr w:type="spellStart"/>
      <w:proofErr w:type="gramStart"/>
      <w:r w:rsidRPr="00EA1C5C">
        <w:rPr>
          <w:rFonts w:ascii="Arial" w:hAnsi="Arial" w:cs="Arial"/>
        </w:rPr>
        <w:t>rs</w:t>
      </w:r>
      <w:proofErr w:type="spellEnd"/>
      <w:r w:rsidRPr="00EA1C5C">
        <w:rPr>
          <w:rFonts w:ascii="Arial" w:hAnsi="Arial" w:cs="Arial"/>
        </w:rPr>
        <w:t>(</w:t>
      </w:r>
      <w:proofErr w:type="gramEnd"/>
      <w:r w:rsidRPr="00EA1C5C">
        <w:rPr>
          <w:rFonts w:ascii="Arial" w:hAnsi="Arial" w:cs="Arial"/>
        </w:rPr>
        <w:t xml:space="preserve">90)=0.660, p=0.000], suggesting that institutions with more developed operational risk management will also demonstrate more resilience. This indicates that better risk management will positively affect the institution's ability to adapt and recover from disruptions. </w:t>
      </w:r>
    </w:p>
    <w:p w14:paraId="6EE679F3" w14:textId="77777777" w:rsidR="00EA1C5C" w:rsidRPr="00EA1C5C" w:rsidRDefault="00EA1C5C" w:rsidP="00EA1C5C">
      <w:pPr>
        <w:pStyle w:val="Body"/>
        <w:rPr>
          <w:rFonts w:ascii="Arial" w:hAnsi="Arial" w:cs="Arial"/>
        </w:rPr>
      </w:pPr>
      <w:r w:rsidRPr="00EA1C5C">
        <w:rPr>
          <w:rFonts w:ascii="Arial" w:hAnsi="Arial" w:cs="Arial"/>
        </w:rPr>
        <w:t>This finding is a critical implication for institutional strategy. It demonstrates that the practices and processes involved in operational risk management—such as risk identification, assessment, mitigation, and monitoring—are not merely administrative functions but are fundamental to building and enhancing an institution's ability to adapt to and recover from disruptions. The strong positive correlation suggests a powerful and direct relationship: institutions that prioritize and develop more systematic operational risk management practices are the same institutions that exhibit a higher degree of resilience. Therefore, a key implication is that for administrators seeking to improve their institution's capacity to withstand and recover from crises, the best course of action is to invest in, formalize, and continuously strengthen their operational risk management framework.</w:t>
      </w:r>
    </w:p>
    <w:p w14:paraId="2D01F678" w14:textId="1AE15B23" w:rsidR="00790ADA" w:rsidRDefault="00EA1C5C" w:rsidP="00EA1C5C">
      <w:pPr>
        <w:pStyle w:val="Body"/>
        <w:spacing w:after="0"/>
        <w:rPr>
          <w:rFonts w:ascii="Arial" w:hAnsi="Arial" w:cs="Arial"/>
        </w:rPr>
      </w:pPr>
      <w:r w:rsidRPr="00EA1C5C">
        <w:rPr>
          <w:rFonts w:ascii="Arial" w:hAnsi="Arial" w:cs="Arial"/>
        </w:rPr>
        <w:t xml:space="preserve">This finding is supported by Liboon (2017) who found that institutions with active risk management practices tend to have better safeguards, implying a connection between risk management and organizational resilience. The study underscored that proactive risk practices contribute to organizational stability and capacity to handle disruptions.  Also, </w:t>
      </w:r>
      <w:proofErr w:type="spellStart"/>
      <w:r w:rsidRPr="00EA1C5C">
        <w:rPr>
          <w:rFonts w:ascii="Arial" w:hAnsi="Arial" w:cs="Arial"/>
        </w:rPr>
        <w:t>Indarbaev</w:t>
      </w:r>
      <w:proofErr w:type="spellEnd"/>
      <w:r w:rsidRPr="00EA1C5C">
        <w:rPr>
          <w:rFonts w:ascii="Arial" w:hAnsi="Arial" w:cs="Arial"/>
        </w:rPr>
        <w:t xml:space="preserve"> and </w:t>
      </w:r>
      <w:proofErr w:type="spellStart"/>
      <w:r w:rsidRPr="00EA1C5C">
        <w:rPr>
          <w:rFonts w:ascii="Arial" w:hAnsi="Arial" w:cs="Arial"/>
        </w:rPr>
        <w:t>Kapustina’s</w:t>
      </w:r>
      <w:proofErr w:type="spellEnd"/>
      <w:r w:rsidRPr="00EA1C5C">
        <w:rPr>
          <w:rFonts w:ascii="Arial" w:hAnsi="Arial" w:cs="Arial"/>
        </w:rPr>
        <w:t xml:space="preserve"> (2023) discussion on operational risk management emphasizes that effective identification, assessment, and control of operational risks are essential for ensuring the long-term sustainability and resilience of organizations, including higher educational institutions. Their frameworks indicate that robust risk management directly supports resilience.  In addition, Molchanova (2023) presented that effective operational risk management minimizes potential losses and contributes to operational stability, which is a key </w:t>
      </w:r>
      <w:r w:rsidRPr="00EA1C5C">
        <w:rPr>
          <w:rFonts w:ascii="Arial" w:hAnsi="Arial" w:cs="Arial"/>
        </w:rPr>
        <w:lastRenderedPageBreak/>
        <w:t xml:space="preserve">component of resilience, especially during crises; monitoring and evaluating risks enable organizations to respond adaptively.  Moreover, Wessels and Sadler (2019) demonstrated that ISO 31000:2009-compliant risk management frameworks can enhance an institution’s strategic goals and resilience, especially in complex, regulatory environments like open distance learning, highlighting the direct link between risk management and institutional resilience.  Also, </w:t>
      </w:r>
      <w:proofErr w:type="spellStart"/>
      <w:r w:rsidRPr="00EA1C5C">
        <w:rPr>
          <w:rFonts w:ascii="Arial" w:hAnsi="Arial" w:cs="Arial"/>
        </w:rPr>
        <w:t>Zagorcheva-Koycheva</w:t>
      </w:r>
      <w:proofErr w:type="spellEnd"/>
      <w:r w:rsidRPr="00EA1C5C">
        <w:rPr>
          <w:rFonts w:ascii="Arial" w:hAnsi="Arial" w:cs="Arial"/>
        </w:rPr>
        <w:t xml:space="preserve"> (2022) equates comprehensive risk management procedures with increased organizational resilience, noting that systematic risk identification and mitigation are crucial for maintaining operational continuity and adaptability.  Moreover, </w:t>
      </w:r>
      <w:proofErr w:type="spellStart"/>
      <w:r w:rsidRPr="00EA1C5C">
        <w:rPr>
          <w:rFonts w:ascii="Arial" w:hAnsi="Arial" w:cs="Arial"/>
        </w:rPr>
        <w:t>Syamsia</w:t>
      </w:r>
      <w:proofErr w:type="spellEnd"/>
      <w:r w:rsidRPr="00EA1C5C">
        <w:rPr>
          <w:rFonts w:ascii="Arial" w:hAnsi="Arial" w:cs="Arial"/>
        </w:rPr>
        <w:t xml:space="preserve"> et al. (2021) underscored that identifying and mitigating undesirable events directly influence an institution’s resilience, as effective risk management reduces vulnerabilities.</w:t>
      </w:r>
    </w:p>
    <w:p w14:paraId="227FBDF7" w14:textId="77777777" w:rsidR="00EA1C5C" w:rsidRPr="00FB3A86" w:rsidRDefault="00EA1C5C" w:rsidP="00EA1C5C">
      <w:pPr>
        <w:pStyle w:val="Body"/>
        <w:spacing w:after="0"/>
        <w:rPr>
          <w:rFonts w:ascii="Arial" w:hAnsi="Arial" w:cs="Arial"/>
        </w:rPr>
      </w:pPr>
    </w:p>
    <w:p w14:paraId="3F593741"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5CA99466" w14:textId="77777777" w:rsidR="00790ADA" w:rsidRPr="00FB3A86" w:rsidRDefault="00790ADA" w:rsidP="00441B6F">
      <w:pPr>
        <w:pStyle w:val="ConcHead"/>
        <w:spacing w:after="0"/>
        <w:jc w:val="both"/>
        <w:rPr>
          <w:rFonts w:ascii="Arial" w:hAnsi="Arial" w:cs="Arial"/>
        </w:rPr>
      </w:pPr>
    </w:p>
    <w:p w14:paraId="0BD234AB" w14:textId="128AA11A" w:rsidR="00EA1C5C" w:rsidRPr="00EC7571" w:rsidRDefault="00EA1C5C" w:rsidP="00441B6F">
      <w:pPr>
        <w:pStyle w:val="AcknHead"/>
        <w:spacing w:after="0"/>
        <w:jc w:val="both"/>
        <w:rPr>
          <w:rFonts w:ascii="Arial" w:hAnsi="Arial" w:cs="Arial"/>
          <w:b w:val="0"/>
          <w:bCs/>
          <w:sz w:val="20"/>
        </w:rPr>
      </w:pPr>
      <w:r w:rsidRPr="00EC7571">
        <w:rPr>
          <w:rFonts w:ascii="Arial" w:hAnsi="Arial" w:cs="Arial"/>
          <w:b w:val="0"/>
          <w:bCs/>
          <w:caps w:val="0"/>
          <w:sz w:val="20"/>
        </w:rPr>
        <w:t>Based on the findings, it is hereby concluded that higher education institutions in the study demonstrate a generally high level of resilience across key areas such as leadership involvement, continuous improvement, resource management, and process standardization.  The data further revealed that leadership engagement and organizational capacity—measured through variables like institutional age, size, student population, and financial resources—are significant factors contributing to resilience and effective continuous improvement practices. Larger and more established institutions tend to excel due to their formalized processes, broader human resources, and richer infrastructural assets.  Notably, institutions with limited resources can still achieve high resilience through strategic leadership, adaptive cultures, and innovative practices. Younger institutions, while performing well, have room to accelerate their development by formalizing processes and building institutional memory, akin to their legacy counterparts.  Overall, the findings suggest that resilience in higher education is a multifactorial construct driven by a combination of institutional characteristics, leadership quality, organizational culture, and effective processes. Cultivating these components enables institutions to adapt to disruptions and sustain their core functions, regardless of resource limitations or institutional age. Therefore, fostering proactive leadership and a culture of continuous learning are critical strategies for enhancing resilience across diverse institutional contexts.</w:t>
      </w:r>
    </w:p>
    <w:p w14:paraId="0C091074" w14:textId="77777777" w:rsidR="00EA1C5C" w:rsidRDefault="00EA1C5C" w:rsidP="00441B6F">
      <w:pPr>
        <w:pStyle w:val="AcknHead"/>
        <w:spacing w:after="0"/>
        <w:jc w:val="both"/>
        <w:rPr>
          <w:rFonts w:ascii="Arial" w:hAnsi="Arial" w:cs="Arial"/>
        </w:rPr>
      </w:pPr>
    </w:p>
    <w:p w14:paraId="29ACAF3D" w14:textId="77777777" w:rsidR="00F50EAC" w:rsidRPr="00F50EAC" w:rsidRDefault="00F50EAC" w:rsidP="00F50EAC">
      <w:pPr>
        <w:pStyle w:val="ReferHead"/>
        <w:jc w:val="both"/>
        <w:rPr>
          <w:rFonts w:ascii="Arial" w:hAnsi="Arial" w:cs="Arial"/>
          <w:b w:val="0"/>
          <w:caps w:val="0"/>
          <w:sz w:val="20"/>
        </w:rPr>
      </w:pPr>
      <w:r w:rsidRPr="00F50EAC">
        <w:rPr>
          <w:rFonts w:ascii="Arial" w:hAnsi="Arial" w:cs="Arial"/>
          <w:b w:val="0"/>
          <w:caps w:val="0"/>
          <w:sz w:val="20"/>
        </w:rPr>
        <w:t>COMPETING INTERESTS DISCLAIMER:</w:t>
      </w:r>
    </w:p>
    <w:p w14:paraId="56E17C94" w14:textId="60CB6DB5" w:rsidR="00F50EAC" w:rsidRPr="00EE19B7" w:rsidRDefault="00F50EAC" w:rsidP="00F50EAC">
      <w:pPr>
        <w:pStyle w:val="ReferHead"/>
        <w:spacing w:after="0"/>
        <w:jc w:val="both"/>
        <w:rPr>
          <w:rFonts w:ascii="Arial" w:hAnsi="Arial" w:cs="Arial"/>
          <w:b w:val="0"/>
          <w:caps w:val="0"/>
          <w:sz w:val="20"/>
        </w:rPr>
      </w:pPr>
      <w:r w:rsidRPr="00F50EAC">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6A6B5D60" w14:textId="77777777" w:rsidR="002B685A" w:rsidRDefault="002B685A" w:rsidP="00441B6F">
      <w:pPr>
        <w:pStyle w:val="ReferHead"/>
        <w:spacing w:after="0"/>
        <w:jc w:val="both"/>
        <w:rPr>
          <w:rFonts w:ascii="Arial" w:hAnsi="Arial" w:cs="Arial"/>
          <w:b w:val="0"/>
          <w:caps w:val="0"/>
          <w:sz w:val="20"/>
        </w:rPr>
      </w:pPr>
    </w:p>
    <w:p w14:paraId="608B531D"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C0068FF" w14:textId="77777777" w:rsidR="00790ADA" w:rsidRDefault="00790ADA" w:rsidP="00441B6F">
      <w:pPr>
        <w:pStyle w:val="ReferHead"/>
        <w:spacing w:after="0"/>
        <w:jc w:val="both"/>
        <w:rPr>
          <w:rFonts w:ascii="Arial" w:hAnsi="Arial" w:cs="Arial"/>
        </w:rPr>
      </w:pPr>
    </w:p>
    <w:p w14:paraId="19C0F5A7" w14:textId="77777777" w:rsidR="00087AA6" w:rsidRPr="00087AA6" w:rsidRDefault="00087AA6" w:rsidP="00087AA6">
      <w:pPr>
        <w:ind w:left="720" w:hanging="720"/>
        <w:jc w:val="both"/>
        <w:rPr>
          <w:rFonts w:ascii="Arial" w:eastAsia="Aptos" w:hAnsi="Arial" w:cs="Arial"/>
        </w:rPr>
      </w:pPr>
      <w:bookmarkStart w:id="2" w:name="_Hlk179552123"/>
      <w:r w:rsidRPr="00087AA6">
        <w:rPr>
          <w:rFonts w:ascii="Arial" w:eastAsia="Aptos" w:hAnsi="Arial" w:cs="Arial"/>
        </w:rPr>
        <w:t xml:space="preserve">Alhamad, B. (2021). Leadership and management of HEIs using strategic risk-based approach for sustainable academic excellence in higher education. 2021 Sustainable Leadership and Academic Excellence International Conference (SLAE), 1-8. </w:t>
      </w:r>
      <w:hyperlink r:id="rId14" w:history="1">
        <w:r w:rsidRPr="00087AA6">
          <w:rPr>
            <w:rFonts w:ascii="Arial" w:eastAsia="Aptos" w:hAnsi="Arial" w:cs="Arial"/>
          </w:rPr>
          <w:t>https://doi.org/10.1109/SLAE54202.2021.9788096</w:t>
        </w:r>
      </w:hyperlink>
      <w:r w:rsidRPr="00087AA6">
        <w:rPr>
          <w:rFonts w:ascii="Arial" w:eastAsia="Aptos" w:hAnsi="Arial" w:cs="Arial"/>
        </w:rPr>
        <w:t>.</w:t>
      </w:r>
    </w:p>
    <w:p w14:paraId="41B7F302" w14:textId="77777777" w:rsidR="00087AA6" w:rsidRPr="00087AA6" w:rsidRDefault="00087AA6" w:rsidP="00087AA6">
      <w:pPr>
        <w:ind w:left="720" w:hanging="720"/>
        <w:jc w:val="both"/>
        <w:rPr>
          <w:rFonts w:ascii="Arial" w:eastAsia="Aptos" w:hAnsi="Arial" w:cs="Arial"/>
        </w:rPr>
      </w:pPr>
      <w:r w:rsidRPr="00087AA6">
        <w:rPr>
          <w:rFonts w:ascii="Arial" w:eastAsia="Aptos" w:hAnsi="Arial" w:cs="Arial"/>
        </w:rPr>
        <w:t xml:space="preserve">Amos, N., </w:t>
      </w:r>
      <w:proofErr w:type="spellStart"/>
      <w:r w:rsidRPr="00087AA6">
        <w:rPr>
          <w:rFonts w:ascii="Arial" w:eastAsia="Aptos" w:hAnsi="Arial" w:cs="Arial"/>
        </w:rPr>
        <w:t>Dogo</w:t>
      </w:r>
      <w:proofErr w:type="spellEnd"/>
      <w:r w:rsidRPr="00087AA6">
        <w:rPr>
          <w:rFonts w:ascii="Arial" w:eastAsia="Aptos" w:hAnsi="Arial" w:cs="Arial"/>
        </w:rPr>
        <w:t>, E., &amp; Umukoro, J. (2021). Operational resilience and efficiency of private universities in Southwest Nigeria: The COVID-19 pandemic experience. 10. 1-14. 10.46273/job&amp;</w:t>
      </w:r>
      <w:proofErr w:type="gramStart"/>
      <w:r w:rsidRPr="00087AA6">
        <w:rPr>
          <w:rFonts w:ascii="Arial" w:eastAsia="Aptos" w:hAnsi="Arial" w:cs="Arial"/>
        </w:rPr>
        <w:t>e.v</w:t>
      </w:r>
      <w:proofErr w:type="gramEnd"/>
      <w:r w:rsidRPr="00087AA6">
        <w:rPr>
          <w:rFonts w:ascii="Arial" w:eastAsia="Aptos" w:hAnsi="Arial" w:cs="Arial"/>
        </w:rPr>
        <w:t>9i2.203.</w:t>
      </w:r>
    </w:p>
    <w:bookmarkEnd w:id="2"/>
    <w:p w14:paraId="20E6EE41" w14:textId="77777777" w:rsidR="00087AA6" w:rsidRPr="00087AA6" w:rsidRDefault="00087AA6" w:rsidP="00087AA6">
      <w:pPr>
        <w:ind w:left="720" w:hanging="720"/>
        <w:jc w:val="both"/>
        <w:rPr>
          <w:rFonts w:ascii="Arial" w:eastAsia="Aptos" w:hAnsi="Arial" w:cs="Arial"/>
        </w:rPr>
      </w:pPr>
      <w:r w:rsidRPr="00087AA6">
        <w:rPr>
          <w:rFonts w:ascii="Arial" w:eastAsia="Aptos" w:hAnsi="Arial" w:cs="Arial"/>
        </w:rPr>
        <w:t xml:space="preserve">Asian Development Bank (2023).  Increasing the resilience of education systems in Asia and the Pacific.  </w:t>
      </w:r>
      <w:hyperlink r:id="rId15" w:history="1">
        <w:r w:rsidRPr="00087AA6">
          <w:rPr>
            <w:rFonts w:ascii="Arial" w:eastAsia="Aptos" w:hAnsi="Arial" w:cs="Arial"/>
          </w:rPr>
          <w:t>https://www.adb.org/news/events/increasing-the-resilience-of-education-systems-in-asia-and-the-pacific</w:t>
        </w:r>
      </w:hyperlink>
    </w:p>
    <w:p w14:paraId="113FFDF6" w14:textId="77777777" w:rsidR="00087AA6" w:rsidRPr="00087AA6" w:rsidRDefault="00087AA6" w:rsidP="00087AA6">
      <w:pPr>
        <w:ind w:left="720" w:hanging="720"/>
        <w:jc w:val="both"/>
        <w:rPr>
          <w:rFonts w:ascii="Arial" w:eastAsia="Aptos" w:hAnsi="Arial" w:cs="Arial"/>
        </w:rPr>
      </w:pPr>
      <w:r w:rsidRPr="00087AA6">
        <w:rPr>
          <w:rFonts w:ascii="Arial" w:eastAsia="Aptos" w:hAnsi="Arial" w:cs="Arial"/>
        </w:rPr>
        <w:t>Campbell, H., Crippen, A., Hawkey, C., &amp; Dalrymple, M. (2020). A roadmap for building climate resilience at higher education institutions: A case study of Arizona state university. Journal of Green Building, 15, 237-256. https://doi.org/10.3992/jgb.15.4.237.</w:t>
      </w:r>
    </w:p>
    <w:p w14:paraId="66892320" w14:textId="77777777" w:rsidR="00087AA6" w:rsidRPr="00087AA6" w:rsidRDefault="00087AA6" w:rsidP="00087AA6">
      <w:pPr>
        <w:ind w:left="720" w:hanging="720"/>
        <w:jc w:val="both"/>
        <w:rPr>
          <w:rFonts w:ascii="Arial" w:eastAsia="Aptos" w:hAnsi="Arial" w:cs="Arial"/>
        </w:rPr>
      </w:pPr>
      <w:proofErr w:type="spellStart"/>
      <w:r w:rsidRPr="00087AA6">
        <w:rPr>
          <w:rFonts w:ascii="Arial" w:eastAsia="Aptos" w:hAnsi="Arial" w:cs="Arial"/>
        </w:rPr>
        <w:lastRenderedPageBreak/>
        <w:t>Cotelnic</w:t>
      </w:r>
      <w:proofErr w:type="spellEnd"/>
      <w:r w:rsidRPr="00087AA6">
        <w:rPr>
          <w:rFonts w:ascii="Arial" w:eastAsia="Aptos" w:hAnsi="Arial" w:cs="Arial"/>
        </w:rPr>
        <w:t>, A. (2023). Quality assurance in higher education institutions through the risk management integration. Journal of Social Sciences. https://doi.org/10.52326/jss.utm.2023.06(1).06.</w:t>
      </w:r>
    </w:p>
    <w:p w14:paraId="70C4C225" w14:textId="77777777" w:rsidR="00087AA6" w:rsidRPr="00087AA6" w:rsidRDefault="00087AA6" w:rsidP="00087AA6">
      <w:pPr>
        <w:ind w:left="720" w:hanging="720"/>
        <w:jc w:val="both"/>
        <w:rPr>
          <w:rFonts w:ascii="Arial" w:eastAsia="Aptos" w:hAnsi="Arial" w:cs="Arial"/>
        </w:rPr>
      </w:pPr>
      <w:r w:rsidRPr="00087AA6">
        <w:rPr>
          <w:rFonts w:ascii="Arial" w:eastAsia="Aptos" w:hAnsi="Arial" w:cs="Arial"/>
        </w:rPr>
        <w:t>Creswell, J. W., &amp; Creswell, J. D. (2018). Research design: Qualitative, quantitative, and mixed methods approaches (5th ed.). SAGE Publications. 1</w:t>
      </w:r>
    </w:p>
    <w:p w14:paraId="626D09A0" w14:textId="77777777" w:rsidR="00087AA6" w:rsidRPr="00087AA6" w:rsidRDefault="00087AA6" w:rsidP="00087AA6">
      <w:pPr>
        <w:ind w:left="720" w:hanging="720"/>
        <w:jc w:val="both"/>
        <w:rPr>
          <w:rFonts w:ascii="Arial" w:eastAsia="Aptos" w:hAnsi="Arial" w:cs="Arial"/>
        </w:rPr>
      </w:pPr>
      <w:proofErr w:type="spellStart"/>
      <w:r w:rsidRPr="00087AA6">
        <w:rPr>
          <w:rFonts w:ascii="Arial" w:eastAsia="Aptos" w:hAnsi="Arial" w:cs="Arial"/>
        </w:rPr>
        <w:t>Drahein</w:t>
      </w:r>
      <w:proofErr w:type="spellEnd"/>
      <w:r w:rsidRPr="00087AA6">
        <w:rPr>
          <w:rFonts w:ascii="Arial" w:eastAsia="Aptos" w:hAnsi="Arial" w:cs="Arial"/>
        </w:rPr>
        <w:t xml:space="preserve">, A., Lima, E., &amp; Costa, S. (2019). Sustainability assessment of the service operations at seven higher education institutions in Brazil. Journal of Cleaner Production. </w:t>
      </w:r>
      <w:hyperlink r:id="rId16" w:history="1">
        <w:r w:rsidRPr="00087AA6">
          <w:rPr>
            <w:rFonts w:ascii="Arial" w:eastAsia="Aptos" w:hAnsi="Arial" w:cs="Arial"/>
          </w:rPr>
          <w:t>https://doi.org/10.1016/J.JCLEPRO.2018.11.293</w:t>
        </w:r>
      </w:hyperlink>
      <w:r w:rsidRPr="00087AA6">
        <w:rPr>
          <w:rFonts w:ascii="Arial" w:eastAsia="Aptos" w:hAnsi="Arial" w:cs="Arial"/>
        </w:rPr>
        <w:t>.</w:t>
      </w:r>
    </w:p>
    <w:p w14:paraId="4A669794" w14:textId="77777777" w:rsidR="00087AA6" w:rsidRPr="00087AA6" w:rsidRDefault="00087AA6" w:rsidP="00087AA6">
      <w:pPr>
        <w:ind w:left="720" w:hanging="720"/>
        <w:jc w:val="both"/>
        <w:rPr>
          <w:rFonts w:ascii="Arial" w:eastAsia="Aptos" w:hAnsi="Arial" w:cs="Arial"/>
        </w:rPr>
      </w:pPr>
      <w:r w:rsidRPr="00087AA6">
        <w:rPr>
          <w:rFonts w:ascii="Arial" w:eastAsia="Aptos" w:hAnsi="Arial" w:cs="Arial"/>
        </w:rPr>
        <w:t xml:space="preserve">Gamble, B., &amp; Crouse, D. (2020). Strategies for supporting and building student resilience in Canadian secondary and post-secondary educational institutions. </w:t>
      </w:r>
      <w:proofErr w:type="spellStart"/>
      <w:r w:rsidRPr="00087AA6">
        <w:rPr>
          <w:rFonts w:ascii="Arial" w:eastAsia="Aptos" w:hAnsi="Arial" w:cs="Arial"/>
        </w:rPr>
        <w:t>SciMedicine</w:t>
      </w:r>
      <w:proofErr w:type="spellEnd"/>
      <w:r w:rsidRPr="00087AA6">
        <w:rPr>
          <w:rFonts w:ascii="Arial" w:eastAsia="Aptos" w:hAnsi="Arial" w:cs="Arial"/>
        </w:rPr>
        <w:t xml:space="preserve"> Journal. </w:t>
      </w:r>
      <w:hyperlink r:id="rId17" w:history="1">
        <w:r w:rsidRPr="00087AA6">
          <w:rPr>
            <w:rFonts w:ascii="Arial" w:eastAsia="Aptos" w:hAnsi="Arial" w:cs="Arial"/>
          </w:rPr>
          <w:t>https://doi.org/10.28991/scimedj-2020-0202-4</w:t>
        </w:r>
      </w:hyperlink>
      <w:r w:rsidRPr="00087AA6">
        <w:rPr>
          <w:rFonts w:ascii="Arial" w:eastAsia="Aptos" w:hAnsi="Arial" w:cs="Arial"/>
        </w:rPr>
        <w:t>.</w:t>
      </w:r>
    </w:p>
    <w:p w14:paraId="496BAABF" w14:textId="77777777" w:rsidR="00087AA6" w:rsidRPr="00087AA6" w:rsidRDefault="00087AA6" w:rsidP="00087AA6">
      <w:pPr>
        <w:ind w:left="720" w:hanging="720"/>
        <w:jc w:val="both"/>
        <w:rPr>
          <w:rFonts w:ascii="Arial" w:eastAsia="Aptos" w:hAnsi="Arial" w:cs="Arial"/>
        </w:rPr>
      </w:pPr>
      <w:r w:rsidRPr="00087AA6">
        <w:rPr>
          <w:rFonts w:ascii="Arial" w:eastAsia="Aptos" w:hAnsi="Arial" w:cs="Arial"/>
        </w:rPr>
        <w:t xml:space="preserve">Goh, M. H. (2023). Benefits of operational resilience.  </w:t>
      </w:r>
      <w:hyperlink r:id="rId18" w:history="1">
        <w:r w:rsidRPr="00087AA6">
          <w:rPr>
            <w:rFonts w:ascii="Arial" w:eastAsia="Aptos" w:hAnsi="Arial" w:cs="Arial"/>
          </w:rPr>
          <w:t>https://blog.bcm-institute.org/operational-resilience/benefits-of-operational-resilience</w:t>
        </w:r>
      </w:hyperlink>
    </w:p>
    <w:p w14:paraId="5BCF0259" w14:textId="77777777" w:rsidR="00087AA6" w:rsidRPr="00087AA6" w:rsidRDefault="00087AA6" w:rsidP="00087AA6">
      <w:pPr>
        <w:ind w:left="720" w:hanging="720"/>
        <w:jc w:val="both"/>
        <w:rPr>
          <w:rFonts w:ascii="Arial" w:eastAsia="Aptos" w:hAnsi="Arial" w:cs="Arial"/>
        </w:rPr>
      </w:pPr>
      <w:proofErr w:type="spellStart"/>
      <w:r w:rsidRPr="00087AA6">
        <w:rPr>
          <w:rFonts w:ascii="Arial" w:eastAsia="Aptos" w:hAnsi="Arial" w:cs="Arial"/>
        </w:rPr>
        <w:t>Hiên</w:t>
      </w:r>
      <w:proofErr w:type="spellEnd"/>
      <w:r w:rsidRPr="00087AA6">
        <w:rPr>
          <w:rFonts w:ascii="Arial" w:eastAsia="Aptos" w:hAnsi="Arial" w:cs="Arial"/>
        </w:rPr>
        <w:t>, T., Hường, N., Luong, T., Cuong, N., Thuy, B., Huy, N., Nhung, T., Anh, N., &amp; Phuong, V. (2020). Developing a toolkit for measuring the levels of education quality assurance in higher education institution accreditation in Vietnam: Problems and solutions. https://doi.org/10.25073/2588-1159/vnuer.4478.</w:t>
      </w:r>
    </w:p>
    <w:p w14:paraId="2C24EE8E" w14:textId="77777777" w:rsidR="00087AA6" w:rsidRPr="00087AA6" w:rsidRDefault="00087AA6" w:rsidP="00087AA6">
      <w:pPr>
        <w:ind w:left="720" w:hanging="720"/>
        <w:jc w:val="both"/>
        <w:rPr>
          <w:rFonts w:ascii="Arial" w:eastAsia="Aptos" w:hAnsi="Arial" w:cs="Arial"/>
        </w:rPr>
      </w:pPr>
      <w:r w:rsidRPr="00087AA6">
        <w:rPr>
          <w:rFonts w:ascii="Arial" w:eastAsia="Aptos" w:hAnsi="Arial" w:cs="Arial"/>
        </w:rPr>
        <w:t>Holtermann, R., Chaim, R., &amp; Pinheiro, B. (2021). Evaluation, analysis, and treatment of educational risks in migration of presential teaching for remote. 232-243. https://doi.org/10.1007/978-3-030-72660-7_23.</w:t>
      </w:r>
    </w:p>
    <w:p w14:paraId="02834BCA" w14:textId="77777777" w:rsidR="00087AA6" w:rsidRPr="00087AA6" w:rsidRDefault="00087AA6" w:rsidP="00087AA6">
      <w:pPr>
        <w:ind w:left="720" w:hanging="720"/>
        <w:jc w:val="both"/>
        <w:rPr>
          <w:rFonts w:ascii="Arial" w:eastAsia="Aptos" w:hAnsi="Arial" w:cs="Arial"/>
        </w:rPr>
      </w:pPr>
      <w:r w:rsidRPr="00087AA6">
        <w:rPr>
          <w:rFonts w:ascii="Arial" w:eastAsia="Aptos" w:hAnsi="Arial" w:cs="Arial"/>
        </w:rPr>
        <w:t xml:space="preserve">Ichinose, T. &amp; Oda, T. (2022).  Risk management and resilience of schools in response to the COVID-19 pandemic.  National Library of Medicine.  National Center for Biotechnology Information.  Published online 2022 Jun 17. </w:t>
      </w:r>
      <w:proofErr w:type="spellStart"/>
      <w:r w:rsidRPr="00087AA6">
        <w:rPr>
          <w:rFonts w:ascii="Arial" w:eastAsia="Aptos" w:hAnsi="Arial" w:cs="Arial"/>
        </w:rPr>
        <w:t>doi</w:t>
      </w:r>
      <w:proofErr w:type="spellEnd"/>
      <w:r w:rsidRPr="00087AA6">
        <w:rPr>
          <w:rFonts w:ascii="Arial" w:eastAsia="Aptos" w:hAnsi="Arial" w:cs="Arial"/>
        </w:rPr>
        <w:t>: 10.1016/B978-0-323-99277-0.00015-2</w:t>
      </w:r>
    </w:p>
    <w:p w14:paraId="3403C7A5" w14:textId="77777777" w:rsidR="00087AA6" w:rsidRPr="00087AA6" w:rsidRDefault="00087AA6" w:rsidP="00087AA6">
      <w:pPr>
        <w:ind w:left="720" w:hanging="720"/>
        <w:jc w:val="both"/>
        <w:rPr>
          <w:rFonts w:ascii="Arial" w:eastAsia="Aptos" w:hAnsi="Arial" w:cs="Arial"/>
        </w:rPr>
      </w:pPr>
      <w:proofErr w:type="spellStart"/>
      <w:r w:rsidRPr="00087AA6">
        <w:rPr>
          <w:rFonts w:ascii="Arial" w:eastAsia="Aptos" w:hAnsi="Arial" w:cs="Arial"/>
        </w:rPr>
        <w:t>Indarbaev</w:t>
      </w:r>
      <w:proofErr w:type="spellEnd"/>
      <w:r w:rsidRPr="00087AA6">
        <w:rPr>
          <w:rFonts w:ascii="Arial" w:eastAsia="Aptos" w:hAnsi="Arial" w:cs="Arial"/>
        </w:rPr>
        <w:t>, S., &amp; Kapustina, N. (2023). Features of operational risk management. Russian journal of resources, conservation and recycling. https://doi.org/10.15862/50ecor123.</w:t>
      </w:r>
    </w:p>
    <w:p w14:paraId="23CA963E" w14:textId="77777777" w:rsidR="00087AA6" w:rsidRPr="00087AA6" w:rsidRDefault="00087AA6" w:rsidP="00087AA6">
      <w:pPr>
        <w:ind w:left="720" w:hanging="720"/>
        <w:jc w:val="both"/>
        <w:rPr>
          <w:rFonts w:ascii="Arial" w:eastAsia="Aptos" w:hAnsi="Arial" w:cs="Arial"/>
        </w:rPr>
      </w:pPr>
      <w:r w:rsidRPr="00087AA6">
        <w:rPr>
          <w:rFonts w:ascii="Arial" w:eastAsia="Aptos" w:hAnsi="Arial" w:cs="Arial"/>
        </w:rPr>
        <w:t xml:space="preserve">Institute of Risk Management (2019).  Survey report 2019: Risk management education courses in the Chinese university system.  </w:t>
      </w:r>
      <w:hyperlink r:id="rId19" w:history="1">
        <w:r w:rsidRPr="00087AA6">
          <w:rPr>
            <w:rFonts w:ascii="Arial" w:eastAsia="Aptos" w:hAnsi="Arial" w:cs="Arial"/>
          </w:rPr>
          <w:t>https://www.theirm.org/news/survey-report-2019-risk-management-education-courses-in-the-chinese-university-system/</w:t>
        </w:r>
      </w:hyperlink>
    </w:p>
    <w:p w14:paraId="4A919D6A" w14:textId="77777777" w:rsidR="00087AA6" w:rsidRPr="00087AA6" w:rsidRDefault="00087AA6" w:rsidP="00087AA6">
      <w:pPr>
        <w:ind w:left="720" w:hanging="720"/>
        <w:jc w:val="both"/>
        <w:rPr>
          <w:rFonts w:ascii="Arial" w:eastAsia="Aptos" w:hAnsi="Arial" w:cs="Arial"/>
        </w:rPr>
      </w:pPr>
      <w:r w:rsidRPr="00087AA6">
        <w:rPr>
          <w:rFonts w:ascii="Arial" w:eastAsia="Aptos" w:hAnsi="Arial" w:cs="Arial"/>
        </w:rPr>
        <w:t xml:space="preserve">International Organization for Standardization &amp; United Nations Industrial Development Organization (2021).  ISO 31000:2108.  </w:t>
      </w:r>
      <w:hyperlink r:id="rId20" w:history="1">
        <w:r w:rsidRPr="00087AA6">
          <w:rPr>
            <w:rFonts w:ascii="Arial" w:eastAsia="Aptos" w:hAnsi="Arial" w:cs="Arial"/>
          </w:rPr>
          <w:t>https://www.iso.org/files/live/sites/isoorg/files/store/en/PUB100464_preview.pdf</w:t>
        </w:r>
      </w:hyperlink>
    </w:p>
    <w:p w14:paraId="52B546D1" w14:textId="77777777" w:rsidR="00087AA6" w:rsidRPr="00087AA6" w:rsidRDefault="00087AA6" w:rsidP="00087AA6">
      <w:pPr>
        <w:ind w:left="720" w:hanging="720"/>
        <w:jc w:val="both"/>
        <w:rPr>
          <w:rFonts w:ascii="Arial" w:eastAsia="Aptos" w:hAnsi="Arial" w:cs="Arial"/>
        </w:rPr>
      </w:pPr>
      <w:r w:rsidRPr="00087AA6">
        <w:rPr>
          <w:rFonts w:ascii="Arial" w:eastAsia="Aptos" w:hAnsi="Arial" w:cs="Arial"/>
        </w:rPr>
        <w:t xml:space="preserve">International Organization for Standardization (2023).  ISO 31000:2018 Risk management guidelines.  </w:t>
      </w:r>
      <w:hyperlink r:id="rId21" w:history="1">
        <w:r w:rsidRPr="00087AA6">
          <w:rPr>
            <w:rFonts w:ascii="Arial" w:eastAsia="Aptos" w:hAnsi="Arial" w:cs="Arial"/>
          </w:rPr>
          <w:t>https://www.iso.org/standard/65694.html</w:t>
        </w:r>
      </w:hyperlink>
    </w:p>
    <w:p w14:paraId="32DC79A1" w14:textId="77777777" w:rsidR="00087AA6" w:rsidRPr="00087AA6" w:rsidRDefault="00087AA6" w:rsidP="00087AA6">
      <w:pPr>
        <w:ind w:left="720" w:hanging="720"/>
        <w:jc w:val="both"/>
        <w:rPr>
          <w:rFonts w:ascii="Arial" w:eastAsia="Aptos" w:hAnsi="Arial" w:cs="Arial"/>
        </w:rPr>
      </w:pPr>
      <w:r w:rsidRPr="00087AA6">
        <w:rPr>
          <w:rFonts w:ascii="Arial" w:eastAsia="Aptos" w:hAnsi="Arial" w:cs="Arial"/>
        </w:rPr>
        <w:t xml:space="preserve">James, B. W. (May 15, 2023). The essentials of operational risk management.  </w:t>
      </w:r>
      <w:hyperlink r:id="rId22" w:history="1">
        <w:r w:rsidRPr="00087AA6">
          <w:rPr>
            <w:rFonts w:ascii="Arial" w:eastAsia="Aptos" w:hAnsi="Arial" w:cs="Arial"/>
          </w:rPr>
          <w:t>https://www.noggin.io/blog/what-is-operational-risk-management-and-why-is-it-crucial-for-businesses</w:t>
        </w:r>
      </w:hyperlink>
    </w:p>
    <w:p w14:paraId="2CCD37BC" w14:textId="77777777" w:rsidR="00087AA6" w:rsidRPr="00087AA6" w:rsidRDefault="00087AA6" w:rsidP="00087AA6">
      <w:pPr>
        <w:ind w:left="720" w:hanging="720"/>
        <w:jc w:val="both"/>
        <w:rPr>
          <w:rFonts w:ascii="Arial" w:eastAsia="Aptos" w:hAnsi="Arial" w:cs="Arial"/>
          <w:lang w:eastAsia="en-PH"/>
        </w:rPr>
      </w:pPr>
      <w:r w:rsidRPr="00087AA6">
        <w:rPr>
          <w:rFonts w:ascii="Arial" w:eastAsia="Aptos" w:hAnsi="Arial" w:cs="Arial"/>
          <w:lang w:eastAsia="en-PH"/>
        </w:rPr>
        <w:t>Karlsson, P., &amp; Offord, M. (2023). Higher education during crisis: a case study on organic resilience. Continuity &amp; Resilience Review. https://doi.org/10.1108/crr-10-2022-0030.</w:t>
      </w:r>
    </w:p>
    <w:p w14:paraId="42AD6608" w14:textId="77777777" w:rsidR="00087AA6" w:rsidRPr="00087AA6" w:rsidRDefault="00087AA6" w:rsidP="00087AA6">
      <w:pPr>
        <w:ind w:left="720" w:hanging="720"/>
        <w:jc w:val="both"/>
        <w:rPr>
          <w:rFonts w:ascii="Arial" w:eastAsia="Aptos" w:hAnsi="Arial" w:cs="Arial"/>
          <w:lang w:eastAsia="en-PH"/>
        </w:rPr>
      </w:pPr>
      <w:r w:rsidRPr="00087AA6">
        <w:rPr>
          <w:rFonts w:ascii="Arial" w:eastAsia="Aptos" w:hAnsi="Arial" w:cs="Arial"/>
          <w:lang w:eastAsia="en-PH"/>
        </w:rPr>
        <w:t xml:space="preserve">Kenno, S., Lau, M., Sainty, B., &amp; Boles, B. (2020). Budgeting, strategic planning and institutional diversity in higher education. Studies in Higher Education, 46, 1919 - 1933. </w:t>
      </w:r>
      <w:hyperlink r:id="rId23" w:history="1">
        <w:r w:rsidRPr="00087AA6">
          <w:rPr>
            <w:rFonts w:ascii="Arial" w:eastAsia="Aptos" w:hAnsi="Arial" w:cs="Arial"/>
            <w:lang w:eastAsia="en-PH"/>
          </w:rPr>
          <w:t>https://doi.org/10.1080/03075079.2019.1711045</w:t>
        </w:r>
      </w:hyperlink>
      <w:r w:rsidRPr="00087AA6">
        <w:rPr>
          <w:rFonts w:ascii="Arial" w:eastAsia="Aptos" w:hAnsi="Arial" w:cs="Arial"/>
          <w:lang w:eastAsia="en-PH"/>
        </w:rPr>
        <w:t>.</w:t>
      </w:r>
    </w:p>
    <w:p w14:paraId="02663D77" w14:textId="77777777" w:rsidR="00087AA6" w:rsidRPr="00087AA6" w:rsidRDefault="00087AA6" w:rsidP="00087AA6">
      <w:pPr>
        <w:ind w:left="720" w:hanging="720"/>
        <w:jc w:val="both"/>
        <w:rPr>
          <w:rFonts w:ascii="Arial" w:eastAsia="Aptos" w:hAnsi="Arial" w:cs="Arial"/>
          <w:lang w:eastAsia="en-PH"/>
        </w:rPr>
      </w:pPr>
      <w:r w:rsidRPr="00087AA6">
        <w:rPr>
          <w:rFonts w:ascii="Arial" w:eastAsia="Aptos" w:hAnsi="Arial" w:cs="Arial"/>
          <w:lang w:eastAsia="en-PH"/>
        </w:rPr>
        <w:t xml:space="preserve">Kondić, Ž., </w:t>
      </w:r>
      <w:proofErr w:type="spellStart"/>
      <w:r w:rsidRPr="00087AA6">
        <w:rPr>
          <w:rFonts w:ascii="Arial" w:eastAsia="Aptos" w:hAnsi="Arial" w:cs="Arial"/>
          <w:lang w:eastAsia="en-PH"/>
        </w:rPr>
        <w:t>Knok</w:t>
      </w:r>
      <w:proofErr w:type="spellEnd"/>
      <w:r w:rsidRPr="00087AA6">
        <w:rPr>
          <w:rFonts w:ascii="Arial" w:eastAsia="Aptos" w:hAnsi="Arial" w:cs="Arial"/>
          <w:lang w:eastAsia="en-PH"/>
        </w:rPr>
        <w:t xml:space="preserve">, Z., Kondić, V., &amp; Brekalo, S. (2020). Risk management in the higher education quality insurance system. </w:t>
      </w:r>
      <w:proofErr w:type="spellStart"/>
      <w:r w:rsidRPr="00087AA6">
        <w:rPr>
          <w:rFonts w:ascii="Arial" w:eastAsia="Aptos" w:hAnsi="Arial" w:cs="Arial"/>
          <w:lang w:eastAsia="en-PH"/>
        </w:rPr>
        <w:t>Tehnički</w:t>
      </w:r>
      <w:proofErr w:type="spellEnd"/>
      <w:r w:rsidRPr="00087AA6">
        <w:rPr>
          <w:rFonts w:ascii="Arial" w:eastAsia="Aptos" w:hAnsi="Arial" w:cs="Arial"/>
          <w:lang w:eastAsia="en-PH"/>
        </w:rPr>
        <w:t xml:space="preserve"> </w:t>
      </w:r>
      <w:proofErr w:type="spellStart"/>
      <w:r w:rsidRPr="00087AA6">
        <w:rPr>
          <w:rFonts w:ascii="Arial" w:eastAsia="Aptos" w:hAnsi="Arial" w:cs="Arial"/>
          <w:lang w:eastAsia="en-PH"/>
        </w:rPr>
        <w:t>glasnik</w:t>
      </w:r>
      <w:proofErr w:type="spellEnd"/>
      <w:r w:rsidRPr="00087AA6">
        <w:rPr>
          <w:rFonts w:ascii="Arial" w:eastAsia="Aptos" w:hAnsi="Arial" w:cs="Arial"/>
          <w:lang w:eastAsia="en-PH"/>
        </w:rPr>
        <w:t xml:space="preserve">. </w:t>
      </w:r>
      <w:hyperlink r:id="rId24" w:history="1">
        <w:r w:rsidRPr="00087AA6">
          <w:rPr>
            <w:rFonts w:ascii="Arial" w:eastAsia="Aptos" w:hAnsi="Arial" w:cs="Arial"/>
            <w:lang w:eastAsia="en-PH"/>
          </w:rPr>
          <w:t>https://doi.org/10.31803/tg-20200310141424</w:t>
        </w:r>
      </w:hyperlink>
      <w:r w:rsidRPr="00087AA6">
        <w:rPr>
          <w:rFonts w:ascii="Arial" w:eastAsia="Aptos" w:hAnsi="Arial" w:cs="Arial"/>
          <w:lang w:eastAsia="en-PH"/>
        </w:rPr>
        <w:t>.</w:t>
      </w:r>
    </w:p>
    <w:p w14:paraId="4B215760" w14:textId="77777777" w:rsidR="00087AA6" w:rsidRPr="00087AA6" w:rsidRDefault="00087AA6" w:rsidP="00087AA6">
      <w:pPr>
        <w:ind w:left="720" w:hanging="720"/>
        <w:jc w:val="both"/>
        <w:rPr>
          <w:rFonts w:ascii="Arial" w:eastAsia="Aptos" w:hAnsi="Arial" w:cs="Arial"/>
        </w:rPr>
      </w:pPr>
      <w:r w:rsidRPr="00087AA6">
        <w:rPr>
          <w:rFonts w:ascii="Arial" w:eastAsia="Aptos" w:hAnsi="Arial" w:cs="Arial"/>
        </w:rPr>
        <w:t xml:space="preserve">Lim, E., &amp; Gaerlan, A. (2022). Examining culture, leadership, and organizational resilience levels: Towards an empirical-based organizational resilience framework. International Journal of Entrepreneurship and Management Practices. </w:t>
      </w:r>
      <w:hyperlink r:id="rId25" w:history="1">
        <w:r w:rsidRPr="00087AA6">
          <w:rPr>
            <w:rFonts w:ascii="Arial" w:eastAsia="Aptos" w:hAnsi="Arial" w:cs="Arial"/>
          </w:rPr>
          <w:t>https://doi.org/10.35631/ijemp.517003</w:t>
        </w:r>
      </w:hyperlink>
      <w:r w:rsidRPr="00087AA6">
        <w:rPr>
          <w:rFonts w:ascii="Arial" w:eastAsia="Aptos" w:hAnsi="Arial" w:cs="Arial"/>
        </w:rPr>
        <w:t>..</w:t>
      </w:r>
    </w:p>
    <w:p w14:paraId="01D91F1B" w14:textId="77777777" w:rsidR="00087AA6" w:rsidRPr="00087AA6" w:rsidRDefault="00087AA6" w:rsidP="00087AA6">
      <w:pPr>
        <w:ind w:left="720" w:hanging="720"/>
        <w:jc w:val="both"/>
        <w:rPr>
          <w:rFonts w:ascii="Arial" w:eastAsia="Aptos" w:hAnsi="Arial" w:cs="Arial"/>
        </w:rPr>
      </w:pPr>
      <w:r w:rsidRPr="00087AA6">
        <w:rPr>
          <w:rFonts w:ascii="Arial" w:eastAsia="Aptos" w:hAnsi="Arial" w:cs="Arial"/>
        </w:rPr>
        <w:t xml:space="preserve">Lim, D. (2020). Quality assurance in higher education. </w:t>
      </w:r>
      <w:hyperlink r:id="rId26" w:history="1">
        <w:r w:rsidRPr="00087AA6">
          <w:rPr>
            <w:rFonts w:ascii="Arial" w:eastAsia="Aptos" w:hAnsi="Arial" w:cs="Arial"/>
          </w:rPr>
          <w:t>https://doi.org/10.1201/9781003073307</w:t>
        </w:r>
      </w:hyperlink>
      <w:r w:rsidRPr="00087AA6">
        <w:rPr>
          <w:rFonts w:ascii="Arial" w:eastAsia="Aptos" w:hAnsi="Arial" w:cs="Arial"/>
        </w:rPr>
        <w:t>.</w:t>
      </w:r>
    </w:p>
    <w:p w14:paraId="528F468D" w14:textId="77777777" w:rsidR="00087AA6" w:rsidRPr="00087AA6" w:rsidRDefault="00087AA6" w:rsidP="00087AA6">
      <w:pPr>
        <w:ind w:left="720" w:hanging="720"/>
        <w:jc w:val="both"/>
        <w:rPr>
          <w:rFonts w:ascii="Arial" w:eastAsia="Aptos" w:hAnsi="Arial" w:cs="Arial"/>
        </w:rPr>
      </w:pPr>
      <w:r w:rsidRPr="00087AA6">
        <w:rPr>
          <w:rFonts w:ascii="Arial" w:eastAsia="Aptos" w:hAnsi="Arial" w:cs="Arial"/>
        </w:rPr>
        <w:lastRenderedPageBreak/>
        <w:t xml:space="preserve">Machuca, J., Cedillo, M., Barbosa, M., López, H., &amp; Briones, P. (2021). Accreditation and certification as key factors of quality in higher education in engineering schools, in Mexico. </w:t>
      </w:r>
      <w:proofErr w:type="spellStart"/>
      <w:r w:rsidRPr="00087AA6">
        <w:rPr>
          <w:rFonts w:ascii="Arial" w:eastAsia="Aptos" w:hAnsi="Arial" w:cs="Arial"/>
        </w:rPr>
        <w:t>Herpetologica</w:t>
      </w:r>
      <w:proofErr w:type="spellEnd"/>
      <w:r w:rsidRPr="00087AA6">
        <w:rPr>
          <w:rFonts w:ascii="Arial" w:eastAsia="Aptos" w:hAnsi="Arial" w:cs="Arial"/>
        </w:rPr>
        <w:t>, 6, 11. https://doi.org/10.11648/J.HER.20210601.12.</w:t>
      </w:r>
    </w:p>
    <w:p w14:paraId="79744A7E" w14:textId="77777777" w:rsidR="00087AA6" w:rsidRPr="00087AA6" w:rsidRDefault="00087AA6" w:rsidP="00087AA6">
      <w:pPr>
        <w:ind w:left="720" w:hanging="720"/>
        <w:jc w:val="both"/>
        <w:rPr>
          <w:rFonts w:ascii="Arial" w:eastAsia="Aptos" w:hAnsi="Arial" w:cs="Arial"/>
        </w:rPr>
      </w:pPr>
      <w:r w:rsidRPr="00087AA6">
        <w:rPr>
          <w:rFonts w:ascii="Arial" w:eastAsia="Aptos" w:hAnsi="Arial" w:cs="Arial"/>
        </w:rPr>
        <w:t>Molchanova, R. (2023). Monitoring and evaluating the results of operational risk management. EKONOMIKA I UPRAVLENIE: PROBLEMY, RESHENIYA. https://doi.org/10.36871/ek.up.p.r.2023.11.01.016.</w:t>
      </w:r>
    </w:p>
    <w:p w14:paraId="7A33D012" w14:textId="77777777" w:rsidR="00087AA6" w:rsidRPr="00087AA6" w:rsidRDefault="00087AA6" w:rsidP="00087AA6">
      <w:pPr>
        <w:ind w:left="720" w:hanging="720"/>
        <w:jc w:val="both"/>
        <w:rPr>
          <w:rFonts w:ascii="Arial" w:eastAsia="Aptos" w:hAnsi="Arial" w:cs="Arial"/>
        </w:rPr>
      </w:pPr>
      <w:r w:rsidRPr="00087AA6">
        <w:rPr>
          <w:rFonts w:ascii="Arial" w:eastAsia="Aptos" w:hAnsi="Arial" w:cs="Arial"/>
        </w:rPr>
        <w:t xml:space="preserve">Mukherjee, S. (2019). ERM in higher education &amp; identifying risks. SSRN Electronic Journal. </w:t>
      </w:r>
      <w:hyperlink r:id="rId27" w:history="1">
        <w:r w:rsidRPr="00087AA6">
          <w:rPr>
            <w:rFonts w:ascii="Arial" w:eastAsia="Aptos" w:hAnsi="Arial" w:cs="Arial"/>
          </w:rPr>
          <w:t>https://doi.org/10.2139/ssrn.3504232</w:t>
        </w:r>
      </w:hyperlink>
      <w:r w:rsidRPr="00087AA6">
        <w:rPr>
          <w:rFonts w:ascii="Arial" w:eastAsia="Aptos" w:hAnsi="Arial" w:cs="Arial"/>
        </w:rPr>
        <w:t>.</w:t>
      </w:r>
    </w:p>
    <w:p w14:paraId="1068A297" w14:textId="77777777" w:rsidR="00087AA6" w:rsidRPr="00087AA6" w:rsidRDefault="00087AA6" w:rsidP="00087AA6">
      <w:pPr>
        <w:ind w:left="720" w:hanging="720"/>
        <w:jc w:val="both"/>
        <w:rPr>
          <w:rFonts w:ascii="Arial" w:eastAsia="Aptos" w:hAnsi="Arial" w:cs="Arial"/>
        </w:rPr>
      </w:pPr>
      <w:bookmarkStart w:id="3" w:name="_Hlk179552258"/>
      <w:proofErr w:type="spellStart"/>
      <w:r w:rsidRPr="00087AA6">
        <w:rPr>
          <w:rFonts w:ascii="Arial" w:eastAsia="Aptos" w:hAnsi="Arial" w:cs="Arial"/>
        </w:rPr>
        <w:t>Odlin</w:t>
      </w:r>
      <w:proofErr w:type="spellEnd"/>
      <w:r w:rsidRPr="00087AA6">
        <w:rPr>
          <w:rFonts w:ascii="Arial" w:eastAsia="Aptos" w:hAnsi="Arial" w:cs="Arial"/>
        </w:rPr>
        <w:t>, D., Benson-Rea, M., &amp; Sullivan-Taylor, B. (2021). Student internships and work placements: Approaches to risk management in higher education. Higher Education. https://doi.org/10.1007/s10734-021-00749-w.\</w:t>
      </w:r>
    </w:p>
    <w:bookmarkEnd w:id="3"/>
    <w:p w14:paraId="1981894F" w14:textId="77777777" w:rsidR="00087AA6" w:rsidRPr="00087AA6" w:rsidRDefault="00087AA6" w:rsidP="00087AA6">
      <w:pPr>
        <w:ind w:left="720" w:hanging="720"/>
        <w:jc w:val="both"/>
        <w:rPr>
          <w:rFonts w:ascii="Arial" w:eastAsia="Aptos" w:hAnsi="Arial" w:cs="Arial"/>
        </w:rPr>
      </w:pPr>
      <w:r w:rsidRPr="00087AA6">
        <w:rPr>
          <w:rFonts w:ascii="Arial" w:eastAsia="Aptos" w:hAnsi="Arial" w:cs="Arial"/>
        </w:rPr>
        <w:t xml:space="preserve">Parajuli, R. R. &amp; </w:t>
      </w:r>
      <w:proofErr w:type="spellStart"/>
      <w:r w:rsidRPr="00087AA6">
        <w:rPr>
          <w:rFonts w:ascii="Arial" w:eastAsia="Aptos" w:hAnsi="Arial" w:cs="Arial"/>
        </w:rPr>
        <w:t>Xanthou</w:t>
      </w:r>
      <w:proofErr w:type="spellEnd"/>
      <w:r w:rsidRPr="00087AA6">
        <w:rPr>
          <w:rFonts w:ascii="Arial" w:eastAsia="Aptos" w:hAnsi="Arial" w:cs="Arial"/>
        </w:rPr>
        <w:t xml:space="preserve">, M. &amp; Agarwal, J. &amp; Sextos, A. (2020). Resilience of educational communities in developing countries: A multi-disciplinary approach. </w:t>
      </w:r>
      <w:hyperlink r:id="rId28" w:history="1">
        <w:r w:rsidRPr="00087AA6">
          <w:rPr>
            <w:rFonts w:ascii="Arial" w:eastAsia="Aptos" w:hAnsi="Arial" w:cs="Arial"/>
          </w:rPr>
          <w:t>https://www.researchgate.net/profile/Rishi-Ram-Parajuli/publication/344333234_RESILIENCE_OF_EDUCATIONAL_COMMUNITIES_IN_DEVELOPING_COUNTRIES_A_MULTI-DISCIPLINARY_APPROACH/links/5f6b3e0392851c14bc8e92e6/RESILIENCE-OF-EDUCATIONAL-COMMUNITIES-IN-DEVELOPING-COUNTRIES-A-MULTI-DISCIPLINARY-APPROACH.pdf</w:t>
        </w:r>
      </w:hyperlink>
    </w:p>
    <w:p w14:paraId="7827F972" w14:textId="77777777" w:rsidR="00087AA6" w:rsidRPr="00087AA6" w:rsidRDefault="00087AA6" w:rsidP="00087AA6">
      <w:pPr>
        <w:ind w:left="720" w:hanging="720"/>
        <w:jc w:val="both"/>
        <w:rPr>
          <w:rFonts w:ascii="Arial" w:eastAsia="Aptos" w:hAnsi="Arial" w:cs="Arial"/>
        </w:rPr>
      </w:pPr>
      <w:bookmarkStart w:id="4" w:name="_Hlk179552090"/>
      <w:r w:rsidRPr="00087AA6">
        <w:rPr>
          <w:rFonts w:ascii="Arial" w:eastAsia="Aptos" w:hAnsi="Arial" w:cs="Arial"/>
        </w:rPr>
        <w:t xml:space="preserve">Parajuli, R. R., </w:t>
      </w:r>
      <w:proofErr w:type="spellStart"/>
      <w:r w:rsidRPr="00087AA6">
        <w:rPr>
          <w:rFonts w:ascii="Arial" w:eastAsia="Aptos" w:hAnsi="Arial" w:cs="Arial"/>
        </w:rPr>
        <w:t>Xanthou</w:t>
      </w:r>
      <w:proofErr w:type="spellEnd"/>
      <w:r w:rsidRPr="00087AA6">
        <w:rPr>
          <w:rFonts w:ascii="Arial" w:eastAsia="Aptos" w:hAnsi="Arial" w:cs="Arial"/>
        </w:rPr>
        <w:t>, M. E., Agarwal, J., &amp; Sextos, A. (2020, September). Resilience of educational communities in developing countries: A multidisciplinary approach. In Proceedings of the 17th World Conference on Earthquake Engineering, 17WCEE (pp. 1-10). Japan Association for Earthquake Engineering.</w:t>
      </w:r>
    </w:p>
    <w:bookmarkEnd w:id="4"/>
    <w:p w14:paraId="15EF0EA3" w14:textId="77777777" w:rsidR="00087AA6" w:rsidRPr="00087AA6" w:rsidRDefault="00087AA6" w:rsidP="00087AA6">
      <w:pPr>
        <w:ind w:left="720" w:hanging="720"/>
        <w:jc w:val="both"/>
        <w:rPr>
          <w:rFonts w:ascii="Arial" w:eastAsia="Aptos" w:hAnsi="Arial" w:cs="Arial"/>
        </w:rPr>
      </w:pPr>
      <w:r w:rsidRPr="00087AA6">
        <w:rPr>
          <w:rFonts w:ascii="Arial" w:eastAsia="Aptos" w:hAnsi="Arial" w:cs="Arial"/>
        </w:rPr>
        <w:t xml:space="preserve">Philippine Accrediting Association of Schools, Colleges, and Universities (2021).  2021 accreditation guidebook. </w:t>
      </w:r>
      <w:hyperlink r:id="rId29" w:history="1">
        <w:r w:rsidRPr="00087AA6">
          <w:rPr>
            <w:rFonts w:ascii="Arial" w:eastAsia="Aptos" w:hAnsi="Arial" w:cs="Arial"/>
          </w:rPr>
          <w:t>https://paascu.org.ph/wp-content/uploads/2021/08/PAASCU-Guidebook-2021-compressed.pdf</w:t>
        </w:r>
      </w:hyperlink>
    </w:p>
    <w:p w14:paraId="215242A6" w14:textId="77777777" w:rsidR="00087AA6" w:rsidRPr="00087AA6" w:rsidRDefault="00087AA6" w:rsidP="00087AA6">
      <w:pPr>
        <w:ind w:left="720" w:hanging="720"/>
        <w:jc w:val="both"/>
        <w:rPr>
          <w:rFonts w:ascii="Arial" w:eastAsia="Aptos" w:hAnsi="Arial" w:cs="Arial"/>
        </w:rPr>
      </w:pPr>
      <w:proofErr w:type="spellStart"/>
      <w:r w:rsidRPr="00087AA6">
        <w:rPr>
          <w:rFonts w:ascii="Arial" w:eastAsia="Aptos" w:hAnsi="Arial" w:cs="Arial"/>
        </w:rPr>
        <w:t>Pinskaya</w:t>
      </w:r>
      <w:proofErr w:type="spellEnd"/>
      <w:r w:rsidRPr="00087AA6">
        <w:rPr>
          <w:rFonts w:ascii="Arial" w:eastAsia="Aptos" w:hAnsi="Arial" w:cs="Arial"/>
        </w:rPr>
        <w:t xml:space="preserve">, M., Kosaretsky, S., Zvyagintsev, R., &amp; </w:t>
      </w:r>
      <w:proofErr w:type="spellStart"/>
      <w:r w:rsidRPr="00087AA6">
        <w:rPr>
          <w:rFonts w:ascii="Arial" w:eastAsia="Aptos" w:hAnsi="Arial" w:cs="Arial"/>
        </w:rPr>
        <w:t>Derbishire</w:t>
      </w:r>
      <w:proofErr w:type="spellEnd"/>
      <w:r w:rsidRPr="00087AA6">
        <w:rPr>
          <w:rFonts w:ascii="Arial" w:eastAsia="Aptos" w:hAnsi="Arial" w:cs="Arial"/>
        </w:rPr>
        <w:t>, N. (2019). Building resilient schools in Russia: effective policy strategies*. School Leadership &amp; Management, 39, 127 - 144. https://doi.org/10.1080/13632434.2018.1470501.</w:t>
      </w:r>
    </w:p>
    <w:p w14:paraId="30E9E130" w14:textId="77777777" w:rsidR="00087AA6" w:rsidRPr="00087AA6" w:rsidRDefault="00087AA6" w:rsidP="00087AA6">
      <w:pPr>
        <w:ind w:left="720" w:hanging="720"/>
        <w:jc w:val="both"/>
        <w:rPr>
          <w:rFonts w:ascii="Arial" w:eastAsia="Aptos" w:hAnsi="Arial" w:cs="Arial"/>
        </w:rPr>
      </w:pPr>
      <w:r w:rsidRPr="00087AA6">
        <w:rPr>
          <w:rFonts w:ascii="Arial" w:eastAsia="Aptos" w:hAnsi="Arial" w:cs="Arial"/>
        </w:rPr>
        <w:t xml:space="preserve">Poltarykhin, A., Ivanova, V., &amp; </w:t>
      </w:r>
      <w:proofErr w:type="spellStart"/>
      <w:r w:rsidRPr="00087AA6">
        <w:rPr>
          <w:rFonts w:ascii="Arial" w:eastAsia="Aptos" w:hAnsi="Arial" w:cs="Arial"/>
        </w:rPr>
        <w:t>Szromnik</w:t>
      </w:r>
      <w:proofErr w:type="spellEnd"/>
      <w:r w:rsidRPr="00087AA6">
        <w:rPr>
          <w:rFonts w:ascii="Arial" w:eastAsia="Aptos" w:hAnsi="Arial" w:cs="Arial"/>
        </w:rPr>
        <w:t>, A. (2020). Sustainable functioning of educational institutions based on the risk-management implementation mechanism. Entrepreneurship and Sustainability Issues, 8, 390-397. https://doi.org/10.9770/jesi.2020.8.1(27).</w:t>
      </w:r>
    </w:p>
    <w:p w14:paraId="5AA3B5C7" w14:textId="77777777" w:rsidR="00087AA6" w:rsidRPr="00087AA6" w:rsidRDefault="00087AA6" w:rsidP="00087AA6">
      <w:pPr>
        <w:ind w:left="720" w:hanging="720"/>
        <w:jc w:val="both"/>
        <w:rPr>
          <w:rFonts w:ascii="Arial" w:eastAsia="Aptos" w:hAnsi="Arial" w:cs="Arial"/>
        </w:rPr>
      </w:pPr>
      <w:r w:rsidRPr="00087AA6">
        <w:rPr>
          <w:rFonts w:ascii="Arial" w:eastAsia="Aptos" w:hAnsi="Arial" w:cs="Arial"/>
        </w:rPr>
        <w:t>Porras, E. M. (2021).  Risk management for higher educational institution on pedagogical advancement.  Globus An International Journal of Management &amp; IT.  A Refereed Research Journal.  Vol 13 / No 1 / Jul-Dec 2021 ISSN: 0975-721X</w:t>
      </w:r>
    </w:p>
    <w:p w14:paraId="1A3E384B" w14:textId="77777777" w:rsidR="00087AA6" w:rsidRPr="00087AA6" w:rsidRDefault="00087AA6" w:rsidP="00087AA6">
      <w:pPr>
        <w:ind w:left="720" w:hanging="720"/>
        <w:jc w:val="both"/>
        <w:rPr>
          <w:rFonts w:ascii="Arial" w:eastAsia="Aptos" w:hAnsi="Arial" w:cs="Arial"/>
        </w:rPr>
      </w:pPr>
      <w:proofErr w:type="spellStart"/>
      <w:r w:rsidRPr="00087AA6">
        <w:rPr>
          <w:rFonts w:ascii="Arial" w:eastAsia="Aptos" w:hAnsi="Arial" w:cs="Arial"/>
        </w:rPr>
        <w:t>Rasli</w:t>
      </w:r>
      <w:proofErr w:type="spellEnd"/>
      <w:r w:rsidRPr="00087AA6">
        <w:rPr>
          <w:rFonts w:ascii="Arial" w:eastAsia="Aptos" w:hAnsi="Arial" w:cs="Arial"/>
        </w:rPr>
        <w:t xml:space="preserve">, A., Tee, M., Lai, Y., Tiu, Z., &amp; Soon, E. (2022). Post-COVID-19 strategies for higher education institutions in dealing with unknown and uncertainties. 7. </w:t>
      </w:r>
      <w:hyperlink r:id="rId30" w:history="1">
        <w:r w:rsidRPr="00087AA6">
          <w:rPr>
            <w:rFonts w:ascii="Arial" w:eastAsia="Aptos" w:hAnsi="Arial" w:cs="Arial"/>
          </w:rPr>
          <w:t>https://doi.org/10.3389/feduc.2022.992063</w:t>
        </w:r>
      </w:hyperlink>
      <w:r w:rsidRPr="00087AA6">
        <w:rPr>
          <w:rFonts w:ascii="Arial" w:eastAsia="Aptos" w:hAnsi="Arial" w:cs="Arial"/>
        </w:rPr>
        <w:t>.</w:t>
      </w:r>
    </w:p>
    <w:p w14:paraId="56362A24" w14:textId="77777777" w:rsidR="00087AA6" w:rsidRPr="00087AA6" w:rsidRDefault="00087AA6" w:rsidP="00087AA6">
      <w:pPr>
        <w:ind w:left="720" w:hanging="720"/>
        <w:jc w:val="both"/>
        <w:rPr>
          <w:rFonts w:ascii="Arial" w:eastAsia="Aptos" w:hAnsi="Arial" w:cs="Arial"/>
        </w:rPr>
      </w:pPr>
      <w:proofErr w:type="spellStart"/>
      <w:r w:rsidRPr="00087AA6">
        <w:rPr>
          <w:rFonts w:ascii="Arial" w:eastAsia="Aptos" w:hAnsi="Arial" w:cs="Arial"/>
        </w:rPr>
        <w:t>RiskOptics</w:t>
      </w:r>
      <w:proofErr w:type="spellEnd"/>
      <w:r w:rsidRPr="00087AA6">
        <w:rPr>
          <w:rFonts w:ascii="Arial" w:eastAsia="Aptos" w:hAnsi="Arial" w:cs="Arial"/>
        </w:rPr>
        <w:t xml:space="preserve"> (2022).  What is operational risk management? </w:t>
      </w:r>
      <w:proofErr w:type="spellStart"/>
      <w:r w:rsidRPr="00087AA6">
        <w:rPr>
          <w:rFonts w:ascii="Arial" w:eastAsia="Aptos" w:hAnsi="Arial" w:cs="Arial"/>
        </w:rPr>
        <w:t>ZenGRC</w:t>
      </w:r>
      <w:proofErr w:type="spellEnd"/>
      <w:r w:rsidRPr="00087AA6">
        <w:rPr>
          <w:rFonts w:ascii="Arial" w:eastAsia="Aptos" w:hAnsi="Arial" w:cs="Arial"/>
        </w:rPr>
        <w:t xml:space="preserve"> Published December 20, 2022.  </w:t>
      </w:r>
      <w:hyperlink r:id="rId31" w:history="1">
        <w:r w:rsidRPr="00087AA6">
          <w:rPr>
            <w:rFonts w:ascii="Arial" w:eastAsia="Aptos" w:hAnsi="Arial" w:cs="Arial"/>
          </w:rPr>
          <w:t>https://reciprocity.com/resources/what-is-operational-risk-management/</w:t>
        </w:r>
      </w:hyperlink>
    </w:p>
    <w:p w14:paraId="660CE599" w14:textId="77777777" w:rsidR="00087AA6" w:rsidRPr="00087AA6" w:rsidRDefault="00087AA6" w:rsidP="00087AA6">
      <w:pPr>
        <w:ind w:left="720" w:hanging="720"/>
        <w:jc w:val="both"/>
        <w:rPr>
          <w:rFonts w:ascii="Arial" w:eastAsia="Aptos" w:hAnsi="Arial" w:cs="Arial"/>
        </w:rPr>
      </w:pPr>
      <w:r w:rsidRPr="00087AA6">
        <w:rPr>
          <w:rFonts w:ascii="Arial" w:eastAsia="Aptos" w:hAnsi="Arial" w:cs="Arial"/>
        </w:rPr>
        <w:t xml:space="preserve">Storms, K., </w:t>
      </w:r>
      <w:proofErr w:type="spellStart"/>
      <w:r w:rsidRPr="00087AA6">
        <w:rPr>
          <w:rFonts w:ascii="Arial" w:eastAsia="Aptos" w:hAnsi="Arial" w:cs="Arial"/>
        </w:rPr>
        <w:t>Simundza</w:t>
      </w:r>
      <w:proofErr w:type="spellEnd"/>
      <w:r w:rsidRPr="00087AA6">
        <w:rPr>
          <w:rFonts w:ascii="Arial" w:eastAsia="Aptos" w:hAnsi="Arial" w:cs="Arial"/>
        </w:rPr>
        <w:t>, D., Morgan, E., &amp; Miller, S. (2019). Developing a resilience tool for higher education institutions: A must-have in campus master planning. Journal of Green Building. https://doi.org/10.3992/1943-4618.14.1.187.</w:t>
      </w:r>
    </w:p>
    <w:p w14:paraId="4C5D5947" w14:textId="77777777" w:rsidR="00087AA6" w:rsidRPr="00087AA6" w:rsidRDefault="00087AA6" w:rsidP="00087AA6">
      <w:pPr>
        <w:ind w:left="720" w:hanging="720"/>
        <w:jc w:val="both"/>
        <w:rPr>
          <w:rFonts w:ascii="Arial" w:eastAsia="Aptos" w:hAnsi="Arial" w:cs="Arial"/>
        </w:rPr>
      </w:pPr>
      <w:bookmarkStart w:id="5" w:name="_Hlk179552015"/>
      <w:proofErr w:type="spellStart"/>
      <w:r w:rsidRPr="00087AA6">
        <w:rPr>
          <w:rFonts w:ascii="Arial" w:eastAsia="Aptos" w:hAnsi="Arial" w:cs="Arial"/>
        </w:rPr>
        <w:t>Syamsia</w:t>
      </w:r>
      <w:proofErr w:type="spellEnd"/>
      <w:r w:rsidRPr="00087AA6">
        <w:rPr>
          <w:rFonts w:ascii="Arial" w:eastAsia="Aptos" w:hAnsi="Arial" w:cs="Arial"/>
        </w:rPr>
        <w:t xml:space="preserve">, J. D. &amp; Mangani, K. S. &amp; </w:t>
      </w:r>
      <w:proofErr w:type="spellStart"/>
      <w:r w:rsidRPr="00087AA6">
        <w:rPr>
          <w:rFonts w:ascii="Arial" w:eastAsia="Aptos" w:hAnsi="Arial" w:cs="Arial"/>
        </w:rPr>
        <w:t>Tewu</w:t>
      </w:r>
      <w:proofErr w:type="spellEnd"/>
      <w:r w:rsidRPr="00087AA6">
        <w:rPr>
          <w:rFonts w:ascii="Arial" w:eastAsia="Aptos" w:hAnsi="Arial" w:cs="Arial"/>
        </w:rPr>
        <w:t>, M. L. D. (2021) Analysis of higher education operational risk. Psychology and Education Journal, 58 (5). pp. 2252-2261. ISSN 1553 6939</w:t>
      </w:r>
    </w:p>
    <w:bookmarkEnd w:id="5"/>
    <w:p w14:paraId="43D69F7E" w14:textId="683B5159" w:rsidR="00087AA6" w:rsidRPr="00087AA6" w:rsidRDefault="00087AA6" w:rsidP="002564C1">
      <w:pPr>
        <w:ind w:left="720" w:hanging="720"/>
        <w:jc w:val="both"/>
        <w:rPr>
          <w:rFonts w:ascii="Arial" w:eastAsia="Aptos" w:hAnsi="Arial" w:cs="Arial"/>
          <w:lang w:eastAsia="en-PH"/>
        </w:rPr>
      </w:pPr>
      <w:r w:rsidRPr="00087AA6">
        <w:rPr>
          <w:rFonts w:ascii="Arial" w:eastAsia="Aptos" w:hAnsi="Arial" w:cs="Arial"/>
        </w:rPr>
        <w:t xml:space="preserve">Syed, A., Ahmad, S., </w:t>
      </w:r>
      <w:proofErr w:type="spellStart"/>
      <w:r w:rsidRPr="00087AA6">
        <w:rPr>
          <w:rFonts w:ascii="Arial" w:eastAsia="Aptos" w:hAnsi="Arial" w:cs="Arial"/>
        </w:rPr>
        <w:t>Alaraifi</w:t>
      </w:r>
      <w:proofErr w:type="spellEnd"/>
      <w:r w:rsidRPr="00087AA6">
        <w:rPr>
          <w:rFonts w:ascii="Arial" w:eastAsia="Aptos" w:hAnsi="Arial" w:cs="Arial"/>
        </w:rPr>
        <w:t xml:space="preserve">, A., &amp; Rafi, W. (2020). Identification of operational risks impeding the implementation of eLearning in higher education system. Education and Information Technologies, 26, 655-671. </w:t>
      </w:r>
      <w:hyperlink r:id="rId32" w:history="1">
        <w:r w:rsidRPr="00087AA6">
          <w:rPr>
            <w:rFonts w:ascii="Arial" w:eastAsia="Aptos" w:hAnsi="Arial" w:cs="Arial"/>
          </w:rPr>
          <w:t>https://doi.org/10.1007/s10639-020-10281-6</w:t>
        </w:r>
      </w:hyperlink>
      <w:r w:rsidRPr="00087AA6">
        <w:rPr>
          <w:rFonts w:ascii="Arial" w:eastAsia="Aptos" w:hAnsi="Arial" w:cs="Arial"/>
        </w:rPr>
        <w:t>.</w:t>
      </w:r>
    </w:p>
    <w:p w14:paraId="0CFC445B" w14:textId="77777777" w:rsidR="00087AA6" w:rsidRPr="00087AA6" w:rsidRDefault="00087AA6" w:rsidP="00087AA6">
      <w:pPr>
        <w:ind w:left="720" w:hanging="720"/>
        <w:jc w:val="both"/>
        <w:rPr>
          <w:rFonts w:ascii="Arial" w:eastAsia="Aptos" w:hAnsi="Arial" w:cs="Arial"/>
          <w:lang w:eastAsia="en-PH"/>
        </w:rPr>
      </w:pPr>
      <w:r w:rsidRPr="00087AA6">
        <w:rPr>
          <w:rFonts w:ascii="Arial" w:eastAsia="Aptos" w:hAnsi="Arial" w:cs="Arial"/>
          <w:lang w:eastAsia="en-PH"/>
        </w:rPr>
        <w:t>Ungar, M., Connelly, G., Liebenberg, L., &amp; Theron, L. (2019). How schools enhance the development of young people’s resilience. Social Indicators Research, 1-13. https://doi.org/10.1007/S11205-017-1728-8.</w:t>
      </w:r>
    </w:p>
    <w:p w14:paraId="3B14C7A6" w14:textId="77777777" w:rsidR="00087AA6" w:rsidRPr="00087AA6" w:rsidRDefault="00087AA6" w:rsidP="00087AA6">
      <w:pPr>
        <w:ind w:left="720" w:hanging="720"/>
        <w:jc w:val="both"/>
        <w:rPr>
          <w:rFonts w:ascii="Arial" w:eastAsia="Aptos" w:hAnsi="Arial" w:cs="Arial"/>
        </w:rPr>
      </w:pPr>
      <w:r w:rsidRPr="00087AA6">
        <w:rPr>
          <w:rFonts w:ascii="Arial" w:eastAsia="Aptos" w:hAnsi="Arial" w:cs="Arial"/>
        </w:rPr>
        <w:lastRenderedPageBreak/>
        <w:t xml:space="preserve">Vinogradov, V., Shatunova, O., </w:t>
      </w:r>
      <w:proofErr w:type="spellStart"/>
      <w:r w:rsidRPr="00087AA6">
        <w:rPr>
          <w:rFonts w:ascii="Arial" w:eastAsia="Aptos" w:hAnsi="Arial" w:cs="Arial"/>
        </w:rPr>
        <w:t>Merzon</w:t>
      </w:r>
      <w:proofErr w:type="spellEnd"/>
      <w:r w:rsidRPr="00087AA6">
        <w:rPr>
          <w:rFonts w:ascii="Arial" w:eastAsia="Aptos" w:hAnsi="Arial" w:cs="Arial"/>
        </w:rPr>
        <w:t xml:space="preserve">, E., &amp; </w:t>
      </w:r>
      <w:proofErr w:type="spellStart"/>
      <w:r w:rsidRPr="00087AA6">
        <w:rPr>
          <w:rFonts w:ascii="Arial" w:eastAsia="Aptos" w:hAnsi="Arial" w:cs="Arial"/>
        </w:rPr>
        <w:t>Sheymardanov</w:t>
      </w:r>
      <w:proofErr w:type="spellEnd"/>
      <w:r w:rsidRPr="00087AA6">
        <w:rPr>
          <w:rFonts w:ascii="Arial" w:eastAsia="Aptos" w:hAnsi="Arial" w:cs="Arial"/>
        </w:rPr>
        <w:t>, S. (2022).  In research of school resiliency or what does a good school represent in a digital society? Front. Educ., 27 May 2022.  Sec. Digital Education.  Volume 7 - 2022 | https://doi.org/10.3389/feduc.2022.872439</w:t>
      </w:r>
    </w:p>
    <w:p w14:paraId="589B5296" w14:textId="77777777" w:rsidR="00087AA6" w:rsidRPr="00087AA6" w:rsidRDefault="00087AA6" w:rsidP="00087AA6">
      <w:pPr>
        <w:ind w:left="720" w:hanging="720"/>
        <w:jc w:val="both"/>
        <w:rPr>
          <w:rFonts w:ascii="Arial" w:eastAsia="Aptos" w:hAnsi="Arial" w:cs="Arial"/>
          <w:shd w:val="clear" w:color="auto" w:fill="FFFFFF"/>
        </w:rPr>
      </w:pPr>
      <w:r w:rsidRPr="00087AA6">
        <w:rPr>
          <w:rFonts w:ascii="Arial" w:eastAsia="Aptos" w:hAnsi="Arial" w:cs="Arial"/>
          <w:shd w:val="clear" w:color="auto" w:fill="FFFFFF"/>
        </w:rPr>
        <w:t>Wang, C., Cheng, Z., Yue, X. G., &amp; McAleer, M. (2020). Risk management of COVID-19 by universities in China. </w:t>
      </w:r>
      <w:r w:rsidRPr="00087AA6">
        <w:rPr>
          <w:rFonts w:ascii="Arial" w:eastAsia="Aptos" w:hAnsi="Arial" w:cs="Arial"/>
          <w:i/>
          <w:iCs/>
          <w:shd w:val="clear" w:color="auto" w:fill="FFFFFF"/>
        </w:rPr>
        <w:t>Journal of Risk and Financial Management</w:t>
      </w:r>
      <w:r w:rsidRPr="00087AA6">
        <w:rPr>
          <w:rFonts w:ascii="Arial" w:eastAsia="Aptos" w:hAnsi="Arial" w:cs="Arial"/>
          <w:shd w:val="clear" w:color="auto" w:fill="FFFFFF"/>
        </w:rPr>
        <w:t>, </w:t>
      </w:r>
      <w:r w:rsidRPr="00087AA6">
        <w:rPr>
          <w:rFonts w:ascii="Arial" w:eastAsia="Aptos" w:hAnsi="Arial" w:cs="Arial"/>
          <w:i/>
          <w:iCs/>
          <w:shd w:val="clear" w:color="auto" w:fill="FFFFFF"/>
        </w:rPr>
        <w:t>13</w:t>
      </w:r>
      <w:r w:rsidRPr="00087AA6">
        <w:rPr>
          <w:rFonts w:ascii="Arial" w:eastAsia="Aptos" w:hAnsi="Arial" w:cs="Arial"/>
          <w:shd w:val="clear" w:color="auto" w:fill="FFFFFF"/>
        </w:rPr>
        <w:t>(2), 36.</w:t>
      </w:r>
    </w:p>
    <w:p w14:paraId="21F86823" w14:textId="77777777" w:rsidR="00087AA6" w:rsidRPr="00087AA6" w:rsidRDefault="00087AA6" w:rsidP="00087AA6">
      <w:pPr>
        <w:ind w:left="720" w:hanging="720"/>
        <w:jc w:val="both"/>
        <w:rPr>
          <w:rFonts w:ascii="Arial" w:eastAsia="Aptos" w:hAnsi="Arial" w:cs="Arial"/>
          <w:shd w:val="clear" w:color="auto" w:fill="FFFFFF"/>
        </w:rPr>
      </w:pPr>
      <w:r w:rsidRPr="00087AA6">
        <w:rPr>
          <w:rFonts w:ascii="Arial" w:eastAsia="Aptos" w:hAnsi="Arial" w:cs="Arial"/>
          <w:shd w:val="clear" w:color="auto" w:fill="FFFFFF"/>
        </w:rPr>
        <w:t>Wessels, J., &amp; Sadler, E. (2019). Risk management in higher education: An open distance learning perspective. Southern African Business Review. https://doi.org/10.25159/1998-8125/5807.</w:t>
      </w:r>
    </w:p>
    <w:p w14:paraId="47394EBA" w14:textId="77777777" w:rsidR="00087AA6" w:rsidRPr="00087AA6" w:rsidRDefault="00087AA6" w:rsidP="00087AA6">
      <w:pPr>
        <w:ind w:left="720" w:hanging="720"/>
        <w:jc w:val="both"/>
        <w:rPr>
          <w:rFonts w:ascii="Arial" w:eastAsia="Aptos" w:hAnsi="Arial" w:cs="Arial"/>
        </w:rPr>
      </w:pPr>
      <w:r w:rsidRPr="00087AA6">
        <w:rPr>
          <w:rFonts w:ascii="Arial" w:eastAsia="Aptos" w:hAnsi="Arial" w:cs="Arial"/>
        </w:rPr>
        <w:t>Yeung, W. J. J., &amp; Li, H. (2021). Educational resilience among Asian children in challenging family environment. Social Indicators Research, 153(2), 675-685.</w:t>
      </w:r>
    </w:p>
    <w:p w14:paraId="6FE98CB6" w14:textId="77777777" w:rsidR="00087AA6" w:rsidRPr="00087AA6" w:rsidRDefault="00087AA6" w:rsidP="00087AA6">
      <w:pPr>
        <w:ind w:left="720" w:hanging="720"/>
        <w:jc w:val="both"/>
        <w:rPr>
          <w:rFonts w:ascii="Arial" w:eastAsia="Aptos" w:hAnsi="Arial" w:cs="Arial"/>
        </w:rPr>
      </w:pPr>
      <w:proofErr w:type="spellStart"/>
      <w:r w:rsidRPr="00087AA6">
        <w:rPr>
          <w:rFonts w:ascii="Arial" w:eastAsia="Aptos" w:hAnsi="Arial" w:cs="Arial"/>
        </w:rPr>
        <w:t>Zagorcheva-Koycheva</w:t>
      </w:r>
      <w:proofErr w:type="spellEnd"/>
      <w:r w:rsidRPr="00087AA6">
        <w:rPr>
          <w:rFonts w:ascii="Arial" w:eastAsia="Aptos" w:hAnsi="Arial" w:cs="Arial"/>
        </w:rPr>
        <w:t xml:space="preserve">, D. (2022). School risk management. MATTEX 2022, CONFERENCE PROCEEDINGS, Volume 1. </w:t>
      </w:r>
      <w:hyperlink r:id="rId33" w:history="1">
        <w:r w:rsidRPr="00087AA6">
          <w:rPr>
            <w:rFonts w:ascii="Arial" w:eastAsia="Aptos" w:hAnsi="Arial" w:cs="Arial"/>
          </w:rPr>
          <w:t>https://doi.org/10.46687/snjj5247</w:t>
        </w:r>
      </w:hyperlink>
      <w:r w:rsidRPr="00087AA6">
        <w:rPr>
          <w:rFonts w:ascii="Arial" w:eastAsia="Aptos" w:hAnsi="Arial" w:cs="Arial"/>
        </w:rPr>
        <w:t>.</w:t>
      </w:r>
    </w:p>
    <w:p w14:paraId="12B133FD" w14:textId="77777777" w:rsidR="00087AA6" w:rsidRPr="00087AA6" w:rsidRDefault="00087AA6" w:rsidP="00087AA6">
      <w:pPr>
        <w:ind w:left="720" w:hanging="720"/>
        <w:jc w:val="both"/>
        <w:rPr>
          <w:rFonts w:ascii="Arial" w:eastAsia="Aptos" w:hAnsi="Arial" w:cs="Arial"/>
        </w:rPr>
      </w:pPr>
      <w:r w:rsidRPr="00087AA6">
        <w:rPr>
          <w:rFonts w:ascii="Arial" w:eastAsia="Aptos" w:hAnsi="Arial" w:cs="Arial"/>
        </w:rPr>
        <w:t xml:space="preserve">Zang, Z. (2022). Analysis of financial management and decision-making in institution of higher learning based on deep learning algorithm. Mobile Information Systems. </w:t>
      </w:r>
      <w:hyperlink r:id="rId34" w:history="1">
        <w:r w:rsidRPr="00087AA6">
          <w:rPr>
            <w:rFonts w:ascii="Arial" w:eastAsia="Aptos" w:hAnsi="Arial" w:cs="Arial"/>
          </w:rPr>
          <w:t>https://doi.org/10.1155/2022/5653692</w:t>
        </w:r>
      </w:hyperlink>
      <w:r w:rsidRPr="00087AA6">
        <w:rPr>
          <w:rFonts w:ascii="Arial" w:eastAsia="Aptos" w:hAnsi="Arial" w:cs="Arial"/>
        </w:rPr>
        <w:t>.</w:t>
      </w:r>
    </w:p>
    <w:p w14:paraId="33243446" w14:textId="77777777" w:rsidR="00087AA6" w:rsidRPr="00087AA6" w:rsidRDefault="00087AA6" w:rsidP="00087AA6">
      <w:pPr>
        <w:ind w:left="720" w:hanging="720"/>
        <w:jc w:val="both"/>
        <w:rPr>
          <w:rFonts w:ascii="Arial" w:eastAsia="Aptos" w:hAnsi="Arial" w:cs="Arial"/>
        </w:rPr>
      </w:pPr>
    </w:p>
    <w:p w14:paraId="2F37F347" w14:textId="57621C1F" w:rsidR="00087AA6" w:rsidRPr="00E051D2" w:rsidRDefault="00087AA6" w:rsidP="00E051D2">
      <w:pPr>
        <w:ind w:left="720" w:hanging="720"/>
        <w:jc w:val="both"/>
        <w:rPr>
          <w:rFonts w:ascii="Arial" w:eastAsia="Aptos" w:hAnsi="Arial" w:cs="Arial"/>
        </w:rPr>
      </w:pPr>
      <w:r w:rsidRPr="00087AA6">
        <w:rPr>
          <w:rFonts w:ascii="Arial" w:eastAsia="Aptos" w:hAnsi="Arial" w:cs="Arial"/>
        </w:rPr>
        <w:t xml:space="preserve">Zhang, S., &amp; Luo, Y. (2023). Review on the conceptual framework of teacher resilience. Frontiers in Psychology, 14. </w:t>
      </w:r>
      <w:hyperlink r:id="rId35" w:history="1">
        <w:r w:rsidRPr="00087AA6">
          <w:rPr>
            <w:rFonts w:ascii="Arial" w:eastAsia="Aptos" w:hAnsi="Arial" w:cs="Arial"/>
          </w:rPr>
          <w:t>https://doi.org/10.3389/fpsyg.2023.1179984</w:t>
        </w:r>
      </w:hyperlink>
      <w:r w:rsidRPr="00087AA6">
        <w:rPr>
          <w:rFonts w:ascii="Arial" w:eastAsia="Aptos" w:hAnsi="Arial" w:cs="Arial"/>
        </w:rPr>
        <w:t>.</w:t>
      </w:r>
    </w:p>
    <w:p w14:paraId="2EB6111A" w14:textId="4157AB0C" w:rsidR="004D4277" w:rsidRPr="00FB3A86" w:rsidRDefault="004D4277" w:rsidP="00441B6F">
      <w:pPr>
        <w:pStyle w:val="Appendix"/>
        <w:spacing w:after="0"/>
        <w:jc w:val="both"/>
        <w:rPr>
          <w:rFonts w:ascii="Arial" w:hAnsi="Arial" w:cs="Arial"/>
          <w:b w:val="0"/>
        </w:rPr>
        <w:sectPr w:rsidR="004D4277" w:rsidRPr="00FB3A86" w:rsidSect="0027027B">
          <w:headerReference w:type="even" r:id="rId36"/>
          <w:headerReference w:type="default" r:id="rId37"/>
          <w:footerReference w:type="default" r:id="rId38"/>
          <w:headerReference w:type="first" r:id="rId39"/>
          <w:type w:val="continuous"/>
          <w:pgSz w:w="12240" w:h="15840"/>
          <w:pgMar w:top="1440" w:right="2016" w:bottom="2016" w:left="2016" w:header="720" w:footer="1123" w:gutter="0"/>
          <w:cols w:space="720"/>
          <w:docGrid w:linePitch="272"/>
        </w:sectPr>
      </w:pPr>
    </w:p>
    <w:p w14:paraId="19BADC1A" w14:textId="77777777" w:rsidR="00B01FCD" w:rsidRPr="00FB3A86" w:rsidRDefault="00B01FCD" w:rsidP="00E051D2">
      <w:pPr>
        <w:ind w:left="2160" w:hanging="720"/>
        <w:jc w:val="both"/>
        <w:rPr>
          <w:rFonts w:ascii="Arial" w:hAnsi="Arial" w:cs="Arial"/>
          <w:b/>
        </w:rPr>
      </w:pPr>
    </w:p>
    <w:sectPr w:rsidR="00B01FCD" w:rsidRPr="00FB3A86" w:rsidSect="0027027B">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A915A9" w14:textId="77777777" w:rsidR="00BE3091" w:rsidRDefault="00BE3091" w:rsidP="00C37E61">
      <w:r>
        <w:separator/>
      </w:r>
    </w:p>
  </w:endnote>
  <w:endnote w:type="continuationSeparator" w:id="0">
    <w:p w14:paraId="0E2CADC0" w14:textId="77777777" w:rsidR="00BE3091" w:rsidRDefault="00BE309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D3DEE" w14:textId="77777777" w:rsidR="0027027B" w:rsidRDefault="002702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61DB7" w14:textId="77777777" w:rsidR="0027027B" w:rsidRDefault="002702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E6D71" w14:textId="0B1C60B0" w:rsidR="00754C9A" w:rsidRPr="00733788" w:rsidRDefault="00754C9A" w:rsidP="00733788">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76935"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69A64F" w14:textId="77777777" w:rsidR="00BE3091" w:rsidRDefault="00BE3091" w:rsidP="00C37E61">
      <w:r>
        <w:separator/>
      </w:r>
    </w:p>
  </w:footnote>
  <w:footnote w:type="continuationSeparator" w:id="0">
    <w:p w14:paraId="635B3C08" w14:textId="77777777" w:rsidR="00BE3091" w:rsidRDefault="00BE309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A8145" w14:textId="3709DEDF" w:rsidR="0027027B" w:rsidRDefault="0027027B">
    <w:pPr>
      <w:pStyle w:val="Header"/>
    </w:pPr>
    <w:r>
      <w:rPr>
        <w:noProof/>
      </w:rPr>
      <w:pict w14:anchorId="65E902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130110"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07C98" w14:textId="310CFE10" w:rsidR="0027027B" w:rsidRDefault="0027027B">
    <w:pPr>
      <w:pStyle w:val="Header"/>
    </w:pPr>
    <w:r>
      <w:rPr>
        <w:noProof/>
      </w:rPr>
      <w:pict w14:anchorId="698868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130111"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F0D3D" w14:textId="00FD1232" w:rsidR="00296529" w:rsidRPr="00296529" w:rsidRDefault="0027027B" w:rsidP="00296529">
    <w:pPr>
      <w:ind w:left="2160"/>
      <w:jc w:val="center"/>
      <w:rPr>
        <w:rFonts w:ascii="Times New Roman" w:eastAsia="Calibri" w:hAnsi="Times New Roman"/>
        <w:i/>
        <w:sz w:val="18"/>
        <w:szCs w:val="22"/>
      </w:rPr>
    </w:pPr>
    <w:r>
      <w:rPr>
        <w:noProof/>
      </w:rPr>
      <w:pict w14:anchorId="25E944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130109"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FABA5FE"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70BCA0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A5256B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3D4B092"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186BCF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90B0C3E"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AA842" w14:textId="73C7461F" w:rsidR="0027027B" w:rsidRDefault="0027027B">
    <w:pPr>
      <w:pStyle w:val="Header"/>
    </w:pPr>
    <w:r>
      <w:rPr>
        <w:noProof/>
      </w:rPr>
      <w:pict w14:anchorId="2B8A4D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130113"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B6AB0" w14:textId="4849F1FC" w:rsidR="0027027B" w:rsidRDefault="0027027B">
    <w:pPr>
      <w:pStyle w:val="Header"/>
    </w:pPr>
    <w:r>
      <w:rPr>
        <w:noProof/>
      </w:rPr>
      <w:pict w14:anchorId="4D7CD0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130114"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9E7FD" w14:textId="7420B586" w:rsidR="0027027B" w:rsidRDefault="0027027B">
    <w:pPr>
      <w:pStyle w:val="Header"/>
    </w:pPr>
    <w:r>
      <w:rPr>
        <w:noProof/>
      </w:rPr>
      <w:pict w14:anchorId="372DD3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130112"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0572E7"/>
    <w:multiLevelType w:val="multilevel"/>
    <w:tmpl w:val="B94C24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83019FF"/>
    <w:multiLevelType w:val="multilevel"/>
    <w:tmpl w:val="13B67C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DD53B14"/>
    <w:multiLevelType w:val="multilevel"/>
    <w:tmpl w:val="4F224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C90DA5"/>
    <w:multiLevelType w:val="multilevel"/>
    <w:tmpl w:val="2904C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A7C48B8"/>
    <w:multiLevelType w:val="multilevel"/>
    <w:tmpl w:val="F44A74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7"/>
  </w:num>
  <w:num w:numId="7">
    <w:abstractNumId w:val="1"/>
  </w:num>
  <w:num w:numId="8">
    <w:abstractNumId w:val="16"/>
  </w:num>
  <w:num w:numId="9">
    <w:abstractNumId w:val="29"/>
  </w:num>
  <w:num w:numId="10">
    <w:abstractNumId w:val="2"/>
  </w:num>
  <w:num w:numId="11">
    <w:abstractNumId w:val="22"/>
  </w:num>
  <w:num w:numId="12">
    <w:abstractNumId w:val="4"/>
  </w:num>
  <w:num w:numId="13">
    <w:abstractNumId w:val="21"/>
  </w:num>
  <w:num w:numId="14">
    <w:abstractNumId w:val="10"/>
  </w:num>
  <w:num w:numId="15">
    <w:abstractNumId w:val="25"/>
  </w:num>
  <w:num w:numId="16">
    <w:abstractNumId w:val="6"/>
  </w:num>
  <w:num w:numId="17">
    <w:abstractNumId w:val="26"/>
  </w:num>
  <w:num w:numId="18">
    <w:abstractNumId w:val="18"/>
  </w:num>
  <w:num w:numId="19">
    <w:abstractNumId w:val="33"/>
  </w:num>
  <w:num w:numId="20">
    <w:abstractNumId w:val="15"/>
  </w:num>
  <w:num w:numId="21">
    <w:abstractNumId w:val="13"/>
  </w:num>
  <w:num w:numId="22">
    <w:abstractNumId w:val="17"/>
  </w:num>
  <w:num w:numId="23">
    <w:abstractNumId w:val="23"/>
  </w:num>
  <w:num w:numId="24">
    <w:abstractNumId w:val="31"/>
  </w:num>
  <w:num w:numId="25">
    <w:abstractNumId w:val="5"/>
  </w:num>
  <w:num w:numId="26">
    <w:abstractNumId w:val="20"/>
  </w:num>
  <w:num w:numId="27">
    <w:abstractNumId w:val="24"/>
  </w:num>
  <w:num w:numId="28">
    <w:abstractNumId w:val="32"/>
  </w:num>
  <w:num w:numId="29">
    <w:abstractNumId w:val="28"/>
  </w:num>
  <w:num w:numId="30">
    <w:abstractNumId w:val="14"/>
  </w:num>
  <w:num w:numId="31">
    <w:abstractNumId w:val="30"/>
  </w:num>
  <w:num w:numId="32">
    <w:abstractNumId w:val="12"/>
  </w:num>
  <w:num w:numId="33">
    <w:abstractNumId w:val="8"/>
  </w:num>
  <w:num w:numId="34">
    <w:abstractNumId w:val="3"/>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2117"/>
    <w:rsid w:val="00030174"/>
    <w:rsid w:val="0004579C"/>
    <w:rsid w:val="00045F8B"/>
    <w:rsid w:val="00087AA6"/>
    <w:rsid w:val="000900FB"/>
    <w:rsid w:val="0009181C"/>
    <w:rsid w:val="000A47FA"/>
    <w:rsid w:val="000A65D3"/>
    <w:rsid w:val="000B1E33"/>
    <w:rsid w:val="000D160F"/>
    <w:rsid w:val="000D346B"/>
    <w:rsid w:val="000D689F"/>
    <w:rsid w:val="000E7B7B"/>
    <w:rsid w:val="000E7D62"/>
    <w:rsid w:val="00103357"/>
    <w:rsid w:val="001067F1"/>
    <w:rsid w:val="00123C9F"/>
    <w:rsid w:val="00126190"/>
    <w:rsid w:val="00130F17"/>
    <w:rsid w:val="001320BF"/>
    <w:rsid w:val="00142FB4"/>
    <w:rsid w:val="00163BC4"/>
    <w:rsid w:val="00191062"/>
    <w:rsid w:val="00192B72"/>
    <w:rsid w:val="001A29D8"/>
    <w:rsid w:val="001A5CAA"/>
    <w:rsid w:val="001B0427"/>
    <w:rsid w:val="001D3A51"/>
    <w:rsid w:val="001E10D2"/>
    <w:rsid w:val="001E25B4"/>
    <w:rsid w:val="001E44FE"/>
    <w:rsid w:val="001E63F9"/>
    <w:rsid w:val="00200595"/>
    <w:rsid w:val="00204835"/>
    <w:rsid w:val="00231920"/>
    <w:rsid w:val="0023195C"/>
    <w:rsid w:val="0024282C"/>
    <w:rsid w:val="002460DC"/>
    <w:rsid w:val="00250985"/>
    <w:rsid w:val="002556F6"/>
    <w:rsid w:val="002564C1"/>
    <w:rsid w:val="0027027B"/>
    <w:rsid w:val="00283105"/>
    <w:rsid w:val="00284C4C"/>
    <w:rsid w:val="00287E68"/>
    <w:rsid w:val="00296529"/>
    <w:rsid w:val="002B27FB"/>
    <w:rsid w:val="002B685A"/>
    <w:rsid w:val="002B6B3C"/>
    <w:rsid w:val="002C57D2"/>
    <w:rsid w:val="002E0D56"/>
    <w:rsid w:val="00302F7C"/>
    <w:rsid w:val="00315186"/>
    <w:rsid w:val="0033343E"/>
    <w:rsid w:val="00350C21"/>
    <w:rsid w:val="003512C2"/>
    <w:rsid w:val="00365F3E"/>
    <w:rsid w:val="00371FB6"/>
    <w:rsid w:val="003763C1"/>
    <w:rsid w:val="00376BBE"/>
    <w:rsid w:val="00386246"/>
    <w:rsid w:val="0039224F"/>
    <w:rsid w:val="003A1AC6"/>
    <w:rsid w:val="003A43A4"/>
    <w:rsid w:val="003A7E18"/>
    <w:rsid w:val="003C4C86"/>
    <w:rsid w:val="003C6258"/>
    <w:rsid w:val="003E2904"/>
    <w:rsid w:val="00401927"/>
    <w:rsid w:val="004074D8"/>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407EF"/>
    <w:rsid w:val="00554FDA"/>
    <w:rsid w:val="005C026C"/>
    <w:rsid w:val="005C784C"/>
    <w:rsid w:val="005D17F6"/>
    <w:rsid w:val="005E5539"/>
    <w:rsid w:val="0060081E"/>
    <w:rsid w:val="00602BF5"/>
    <w:rsid w:val="00617FDD"/>
    <w:rsid w:val="00633614"/>
    <w:rsid w:val="00633F68"/>
    <w:rsid w:val="00636EB2"/>
    <w:rsid w:val="006375B8"/>
    <w:rsid w:val="0065174A"/>
    <w:rsid w:val="00660429"/>
    <w:rsid w:val="0066510A"/>
    <w:rsid w:val="00671E74"/>
    <w:rsid w:val="00673F9F"/>
    <w:rsid w:val="00686953"/>
    <w:rsid w:val="00687DEA"/>
    <w:rsid w:val="00687E67"/>
    <w:rsid w:val="006967F7"/>
    <w:rsid w:val="006A250C"/>
    <w:rsid w:val="006B21D3"/>
    <w:rsid w:val="006B2353"/>
    <w:rsid w:val="006B57D0"/>
    <w:rsid w:val="006C7664"/>
    <w:rsid w:val="006D30FF"/>
    <w:rsid w:val="006D6940"/>
    <w:rsid w:val="006D7B89"/>
    <w:rsid w:val="006F11EC"/>
    <w:rsid w:val="0070082C"/>
    <w:rsid w:val="0072579E"/>
    <w:rsid w:val="00733788"/>
    <w:rsid w:val="007369E6"/>
    <w:rsid w:val="00746E59"/>
    <w:rsid w:val="00754C9A"/>
    <w:rsid w:val="0075599A"/>
    <w:rsid w:val="00761D52"/>
    <w:rsid w:val="0077412F"/>
    <w:rsid w:val="0077749E"/>
    <w:rsid w:val="00790ADA"/>
    <w:rsid w:val="00794797"/>
    <w:rsid w:val="00797123"/>
    <w:rsid w:val="007B51EB"/>
    <w:rsid w:val="007D2288"/>
    <w:rsid w:val="007E088F"/>
    <w:rsid w:val="007E4797"/>
    <w:rsid w:val="007F43F3"/>
    <w:rsid w:val="007F7B32"/>
    <w:rsid w:val="00804BC2"/>
    <w:rsid w:val="0081431A"/>
    <w:rsid w:val="0083216F"/>
    <w:rsid w:val="0084516F"/>
    <w:rsid w:val="00860000"/>
    <w:rsid w:val="00863BD3"/>
    <w:rsid w:val="008641ED"/>
    <w:rsid w:val="00866D66"/>
    <w:rsid w:val="008671C6"/>
    <w:rsid w:val="00875803"/>
    <w:rsid w:val="008A1955"/>
    <w:rsid w:val="008B459E"/>
    <w:rsid w:val="008D2D80"/>
    <w:rsid w:val="008E13AE"/>
    <w:rsid w:val="008E1506"/>
    <w:rsid w:val="008E561C"/>
    <w:rsid w:val="008E710C"/>
    <w:rsid w:val="008E7ED6"/>
    <w:rsid w:val="008F333C"/>
    <w:rsid w:val="008F69D6"/>
    <w:rsid w:val="00902823"/>
    <w:rsid w:val="00915CA6"/>
    <w:rsid w:val="00916DA2"/>
    <w:rsid w:val="00927834"/>
    <w:rsid w:val="009500A6"/>
    <w:rsid w:val="00957C18"/>
    <w:rsid w:val="009659BA"/>
    <w:rsid w:val="00983040"/>
    <w:rsid w:val="00990E67"/>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42871"/>
    <w:rsid w:val="00A51431"/>
    <w:rsid w:val="00A539AD"/>
    <w:rsid w:val="00A66371"/>
    <w:rsid w:val="00A94063"/>
    <w:rsid w:val="00AA6219"/>
    <w:rsid w:val="00AA74E0"/>
    <w:rsid w:val="00AB703F"/>
    <w:rsid w:val="00AC142F"/>
    <w:rsid w:val="00AC6BB8"/>
    <w:rsid w:val="00AD7B2A"/>
    <w:rsid w:val="00AE008F"/>
    <w:rsid w:val="00B01FCD"/>
    <w:rsid w:val="00B1776C"/>
    <w:rsid w:val="00B22072"/>
    <w:rsid w:val="00B33001"/>
    <w:rsid w:val="00B52583"/>
    <w:rsid w:val="00B52896"/>
    <w:rsid w:val="00B71C52"/>
    <w:rsid w:val="00B848C5"/>
    <w:rsid w:val="00B95236"/>
    <w:rsid w:val="00B96BD9"/>
    <w:rsid w:val="00BA1B01"/>
    <w:rsid w:val="00BA2641"/>
    <w:rsid w:val="00BB37AA"/>
    <w:rsid w:val="00BC53A0"/>
    <w:rsid w:val="00BE3091"/>
    <w:rsid w:val="00BE62AD"/>
    <w:rsid w:val="00BF121F"/>
    <w:rsid w:val="00BF1F80"/>
    <w:rsid w:val="00C166EF"/>
    <w:rsid w:val="00C17EB0"/>
    <w:rsid w:val="00C27F5F"/>
    <w:rsid w:val="00C30A0F"/>
    <w:rsid w:val="00C33E88"/>
    <w:rsid w:val="00C37E61"/>
    <w:rsid w:val="00C70F1B"/>
    <w:rsid w:val="00C71A47"/>
    <w:rsid w:val="00C7464C"/>
    <w:rsid w:val="00C85588"/>
    <w:rsid w:val="00CA03EF"/>
    <w:rsid w:val="00CA69DF"/>
    <w:rsid w:val="00CA6F0A"/>
    <w:rsid w:val="00CD6755"/>
    <w:rsid w:val="00CD6856"/>
    <w:rsid w:val="00CE0089"/>
    <w:rsid w:val="00CE793C"/>
    <w:rsid w:val="00CF193C"/>
    <w:rsid w:val="00D173F1"/>
    <w:rsid w:val="00D30F83"/>
    <w:rsid w:val="00D35F8A"/>
    <w:rsid w:val="00D74CB0"/>
    <w:rsid w:val="00D8295D"/>
    <w:rsid w:val="00DC2A65"/>
    <w:rsid w:val="00DD4DB0"/>
    <w:rsid w:val="00DE15F0"/>
    <w:rsid w:val="00DE5663"/>
    <w:rsid w:val="00DE78AA"/>
    <w:rsid w:val="00E0379B"/>
    <w:rsid w:val="00E051D2"/>
    <w:rsid w:val="00E053D0"/>
    <w:rsid w:val="00E15994"/>
    <w:rsid w:val="00E3114E"/>
    <w:rsid w:val="00E31A70"/>
    <w:rsid w:val="00E35B02"/>
    <w:rsid w:val="00E57BDE"/>
    <w:rsid w:val="00E66496"/>
    <w:rsid w:val="00E66B35"/>
    <w:rsid w:val="00E66E10"/>
    <w:rsid w:val="00E769F6"/>
    <w:rsid w:val="00E8407C"/>
    <w:rsid w:val="00E84F3C"/>
    <w:rsid w:val="00EA012C"/>
    <w:rsid w:val="00EA1C5C"/>
    <w:rsid w:val="00EB62F0"/>
    <w:rsid w:val="00EC6A55"/>
    <w:rsid w:val="00EC7571"/>
    <w:rsid w:val="00ED0288"/>
    <w:rsid w:val="00EE19B7"/>
    <w:rsid w:val="00EE52CB"/>
    <w:rsid w:val="00EF581D"/>
    <w:rsid w:val="00EF7FD8"/>
    <w:rsid w:val="00F06F59"/>
    <w:rsid w:val="00F17988"/>
    <w:rsid w:val="00F469F0"/>
    <w:rsid w:val="00F50EAC"/>
    <w:rsid w:val="00F53273"/>
    <w:rsid w:val="00F755E4"/>
    <w:rsid w:val="00F77B25"/>
    <w:rsid w:val="00F77D02"/>
    <w:rsid w:val="00F86E84"/>
    <w:rsid w:val="00FA2E9B"/>
    <w:rsid w:val="00FA36AF"/>
    <w:rsid w:val="00FA3BE2"/>
    <w:rsid w:val="00FB3A86"/>
    <w:rsid w:val="00FC1481"/>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66BF34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FC148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Spacing">
    <w:name w:val="No Spacing"/>
    <w:uiPriority w:val="1"/>
    <w:qFormat/>
    <w:rsid w:val="008D2D80"/>
    <w:rPr>
      <w:rFonts w:asciiTheme="minorHAnsi" w:eastAsiaTheme="minorHAnsi" w:hAnsiTheme="minorHAnsi" w:cstheme="minorBidi"/>
      <w:kern w:val="2"/>
      <w:sz w:val="22"/>
      <w:szCs w:val="22"/>
      <w:lang w:val="en-PH"/>
      <w14:ligatures w14:val="standardContextual"/>
    </w:rPr>
  </w:style>
  <w:style w:type="character" w:customStyle="1" w:styleId="Heading2Char">
    <w:name w:val="Heading 2 Char"/>
    <w:basedOn w:val="DefaultParagraphFont"/>
    <w:link w:val="Heading2"/>
    <w:semiHidden/>
    <w:rsid w:val="00FC1481"/>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F50E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20402287">
      <w:bodyDiv w:val="1"/>
      <w:marLeft w:val="0"/>
      <w:marRight w:val="0"/>
      <w:marTop w:val="0"/>
      <w:marBottom w:val="0"/>
      <w:divBdr>
        <w:top w:val="none" w:sz="0" w:space="0" w:color="auto"/>
        <w:left w:val="none" w:sz="0" w:space="0" w:color="auto"/>
        <w:bottom w:val="none" w:sz="0" w:space="0" w:color="auto"/>
        <w:right w:val="none" w:sz="0" w:space="0" w:color="auto"/>
      </w:divBdr>
    </w:div>
    <w:div w:id="48041629">
      <w:bodyDiv w:val="1"/>
      <w:marLeft w:val="0"/>
      <w:marRight w:val="0"/>
      <w:marTop w:val="0"/>
      <w:marBottom w:val="0"/>
      <w:divBdr>
        <w:top w:val="none" w:sz="0" w:space="0" w:color="auto"/>
        <w:left w:val="none" w:sz="0" w:space="0" w:color="auto"/>
        <w:bottom w:val="none" w:sz="0" w:space="0" w:color="auto"/>
        <w:right w:val="none" w:sz="0" w:space="0" w:color="auto"/>
      </w:divBdr>
    </w:div>
    <w:div w:id="61562018">
      <w:bodyDiv w:val="1"/>
      <w:marLeft w:val="0"/>
      <w:marRight w:val="0"/>
      <w:marTop w:val="0"/>
      <w:marBottom w:val="0"/>
      <w:divBdr>
        <w:top w:val="none" w:sz="0" w:space="0" w:color="auto"/>
        <w:left w:val="none" w:sz="0" w:space="0" w:color="auto"/>
        <w:bottom w:val="none" w:sz="0" w:space="0" w:color="auto"/>
        <w:right w:val="none" w:sz="0" w:space="0" w:color="auto"/>
      </w:divBdr>
    </w:div>
    <w:div w:id="122357668">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8580038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71909255">
      <w:bodyDiv w:val="1"/>
      <w:marLeft w:val="0"/>
      <w:marRight w:val="0"/>
      <w:marTop w:val="0"/>
      <w:marBottom w:val="0"/>
      <w:divBdr>
        <w:top w:val="none" w:sz="0" w:space="0" w:color="auto"/>
        <w:left w:val="none" w:sz="0" w:space="0" w:color="auto"/>
        <w:bottom w:val="none" w:sz="0" w:space="0" w:color="auto"/>
        <w:right w:val="none" w:sz="0" w:space="0" w:color="auto"/>
      </w:divBdr>
    </w:div>
    <w:div w:id="293098506">
      <w:bodyDiv w:val="1"/>
      <w:marLeft w:val="0"/>
      <w:marRight w:val="0"/>
      <w:marTop w:val="0"/>
      <w:marBottom w:val="0"/>
      <w:divBdr>
        <w:top w:val="none" w:sz="0" w:space="0" w:color="auto"/>
        <w:left w:val="none" w:sz="0" w:space="0" w:color="auto"/>
        <w:bottom w:val="none" w:sz="0" w:space="0" w:color="auto"/>
        <w:right w:val="none" w:sz="0" w:space="0" w:color="auto"/>
      </w:divBdr>
    </w:div>
    <w:div w:id="320619301">
      <w:bodyDiv w:val="1"/>
      <w:marLeft w:val="0"/>
      <w:marRight w:val="0"/>
      <w:marTop w:val="0"/>
      <w:marBottom w:val="0"/>
      <w:divBdr>
        <w:top w:val="none" w:sz="0" w:space="0" w:color="auto"/>
        <w:left w:val="none" w:sz="0" w:space="0" w:color="auto"/>
        <w:bottom w:val="none" w:sz="0" w:space="0" w:color="auto"/>
        <w:right w:val="none" w:sz="0" w:space="0" w:color="auto"/>
      </w:divBdr>
    </w:div>
    <w:div w:id="353652423">
      <w:bodyDiv w:val="1"/>
      <w:marLeft w:val="0"/>
      <w:marRight w:val="0"/>
      <w:marTop w:val="0"/>
      <w:marBottom w:val="0"/>
      <w:divBdr>
        <w:top w:val="none" w:sz="0" w:space="0" w:color="auto"/>
        <w:left w:val="none" w:sz="0" w:space="0" w:color="auto"/>
        <w:bottom w:val="none" w:sz="0" w:space="0" w:color="auto"/>
        <w:right w:val="none" w:sz="0" w:space="0" w:color="auto"/>
      </w:divBdr>
    </w:div>
    <w:div w:id="45129312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96976689">
      <w:bodyDiv w:val="1"/>
      <w:marLeft w:val="0"/>
      <w:marRight w:val="0"/>
      <w:marTop w:val="0"/>
      <w:marBottom w:val="0"/>
      <w:divBdr>
        <w:top w:val="none" w:sz="0" w:space="0" w:color="auto"/>
        <w:left w:val="none" w:sz="0" w:space="0" w:color="auto"/>
        <w:bottom w:val="none" w:sz="0" w:space="0" w:color="auto"/>
        <w:right w:val="none" w:sz="0" w:space="0" w:color="auto"/>
      </w:divBdr>
    </w:div>
    <w:div w:id="788554192">
      <w:bodyDiv w:val="1"/>
      <w:marLeft w:val="0"/>
      <w:marRight w:val="0"/>
      <w:marTop w:val="0"/>
      <w:marBottom w:val="0"/>
      <w:divBdr>
        <w:top w:val="none" w:sz="0" w:space="0" w:color="auto"/>
        <w:left w:val="none" w:sz="0" w:space="0" w:color="auto"/>
        <w:bottom w:val="none" w:sz="0" w:space="0" w:color="auto"/>
        <w:right w:val="none" w:sz="0" w:space="0" w:color="auto"/>
      </w:divBdr>
    </w:div>
    <w:div w:id="938609839">
      <w:bodyDiv w:val="1"/>
      <w:marLeft w:val="0"/>
      <w:marRight w:val="0"/>
      <w:marTop w:val="0"/>
      <w:marBottom w:val="0"/>
      <w:divBdr>
        <w:top w:val="none" w:sz="0" w:space="0" w:color="auto"/>
        <w:left w:val="none" w:sz="0" w:space="0" w:color="auto"/>
        <w:bottom w:val="none" w:sz="0" w:space="0" w:color="auto"/>
        <w:right w:val="none" w:sz="0" w:space="0" w:color="auto"/>
      </w:divBdr>
    </w:div>
    <w:div w:id="961425547">
      <w:bodyDiv w:val="1"/>
      <w:marLeft w:val="0"/>
      <w:marRight w:val="0"/>
      <w:marTop w:val="0"/>
      <w:marBottom w:val="0"/>
      <w:divBdr>
        <w:top w:val="none" w:sz="0" w:space="0" w:color="auto"/>
        <w:left w:val="none" w:sz="0" w:space="0" w:color="auto"/>
        <w:bottom w:val="none" w:sz="0" w:space="0" w:color="auto"/>
        <w:right w:val="none" w:sz="0" w:space="0" w:color="auto"/>
      </w:divBdr>
    </w:div>
    <w:div w:id="963661411">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31753482">
      <w:bodyDiv w:val="1"/>
      <w:marLeft w:val="0"/>
      <w:marRight w:val="0"/>
      <w:marTop w:val="0"/>
      <w:marBottom w:val="0"/>
      <w:divBdr>
        <w:top w:val="none" w:sz="0" w:space="0" w:color="auto"/>
        <w:left w:val="none" w:sz="0" w:space="0" w:color="auto"/>
        <w:bottom w:val="none" w:sz="0" w:space="0" w:color="auto"/>
        <w:right w:val="none" w:sz="0" w:space="0" w:color="auto"/>
      </w:divBdr>
    </w:div>
    <w:div w:id="1289356635">
      <w:bodyDiv w:val="1"/>
      <w:marLeft w:val="0"/>
      <w:marRight w:val="0"/>
      <w:marTop w:val="0"/>
      <w:marBottom w:val="0"/>
      <w:divBdr>
        <w:top w:val="none" w:sz="0" w:space="0" w:color="auto"/>
        <w:left w:val="none" w:sz="0" w:space="0" w:color="auto"/>
        <w:bottom w:val="none" w:sz="0" w:space="0" w:color="auto"/>
        <w:right w:val="none" w:sz="0" w:space="0" w:color="auto"/>
      </w:divBdr>
    </w:div>
    <w:div w:id="1440027010">
      <w:bodyDiv w:val="1"/>
      <w:marLeft w:val="0"/>
      <w:marRight w:val="0"/>
      <w:marTop w:val="0"/>
      <w:marBottom w:val="0"/>
      <w:divBdr>
        <w:top w:val="none" w:sz="0" w:space="0" w:color="auto"/>
        <w:left w:val="none" w:sz="0" w:space="0" w:color="auto"/>
        <w:bottom w:val="none" w:sz="0" w:space="0" w:color="auto"/>
        <w:right w:val="none" w:sz="0" w:space="0" w:color="auto"/>
      </w:divBdr>
    </w:div>
    <w:div w:id="1588687802">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85346869">
      <w:bodyDiv w:val="1"/>
      <w:marLeft w:val="0"/>
      <w:marRight w:val="0"/>
      <w:marTop w:val="0"/>
      <w:marBottom w:val="0"/>
      <w:divBdr>
        <w:top w:val="none" w:sz="0" w:space="0" w:color="auto"/>
        <w:left w:val="none" w:sz="0" w:space="0" w:color="auto"/>
        <w:bottom w:val="none" w:sz="0" w:space="0" w:color="auto"/>
        <w:right w:val="none" w:sz="0" w:space="0" w:color="auto"/>
      </w:divBdr>
    </w:div>
    <w:div w:id="1865439325">
      <w:bodyDiv w:val="1"/>
      <w:marLeft w:val="0"/>
      <w:marRight w:val="0"/>
      <w:marTop w:val="0"/>
      <w:marBottom w:val="0"/>
      <w:divBdr>
        <w:top w:val="none" w:sz="0" w:space="0" w:color="auto"/>
        <w:left w:val="none" w:sz="0" w:space="0" w:color="auto"/>
        <w:bottom w:val="none" w:sz="0" w:space="0" w:color="auto"/>
        <w:right w:val="none" w:sz="0" w:space="0" w:color="auto"/>
      </w:divBdr>
    </w:div>
    <w:div w:id="1944343018">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25789064">
      <w:bodyDiv w:val="1"/>
      <w:marLeft w:val="0"/>
      <w:marRight w:val="0"/>
      <w:marTop w:val="0"/>
      <w:marBottom w:val="0"/>
      <w:divBdr>
        <w:top w:val="none" w:sz="0" w:space="0" w:color="auto"/>
        <w:left w:val="none" w:sz="0" w:space="0" w:color="auto"/>
        <w:bottom w:val="none" w:sz="0" w:space="0" w:color="auto"/>
        <w:right w:val="none" w:sz="0" w:space="0" w:color="auto"/>
      </w:divBdr>
    </w:div>
    <w:div w:id="2069961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blog.bcm-institute.org/operational-resilience/benefits-of-operational-resilience" TargetMode="External"/><Relationship Id="rId26" Type="http://schemas.openxmlformats.org/officeDocument/2006/relationships/hyperlink" Target="https://doi.org/10.1201/9781003073307" TargetMode="External"/><Relationship Id="rId39" Type="http://schemas.openxmlformats.org/officeDocument/2006/relationships/header" Target="header6.xml"/><Relationship Id="rId21" Type="http://schemas.openxmlformats.org/officeDocument/2006/relationships/hyperlink" Target="https://www.iso.org/standard/65694.html" TargetMode="External"/><Relationship Id="rId34" Type="http://schemas.openxmlformats.org/officeDocument/2006/relationships/hyperlink" Target="https://doi.org/10.1155/2022/5653692"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J.JCLEPRO.2018.11.293" TargetMode="External"/><Relationship Id="rId20" Type="http://schemas.openxmlformats.org/officeDocument/2006/relationships/hyperlink" Target="https://www.iso.org/files/live/sites/isoorg/files/store/en/PUB100464_preview.pdf" TargetMode="External"/><Relationship Id="rId29" Type="http://schemas.openxmlformats.org/officeDocument/2006/relationships/hyperlink" Target="https://paascu.org.ph/wp-content/uploads/2021/08/PAASCU-Guidebook-2021-compressed.pdf"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31803/tg-20200310141424" TargetMode="External"/><Relationship Id="rId32" Type="http://schemas.openxmlformats.org/officeDocument/2006/relationships/hyperlink" Target="https://doi.org/10.1007/s10639-020-10281-6" TargetMode="External"/><Relationship Id="rId37" Type="http://schemas.openxmlformats.org/officeDocument/2006/relationships/header" Target="header5.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adb.org/news/events/increasing-the-resilience-of-education-systems-in-asia-and-the-pacific" TargetMode="External"/><Relationship Id="rId23" Type="http://schemas.openxmlformats.org/officeDocument/2006/relationships/hyperlink" Target="https://doi.org/10.1080/03075079.2019.1711045" TargetMode="External"/><Relationship Id="rId28" Type="http://schemas.openxmlformats.org/officeDocument/2006/relationships/hyperlink" Target="https://www.researchgate.net/profile/Rishi-Ram-Parajuli/publication/344333234_RESILIENCE_OF_EDUCATIONAL_COMMUNITIES_IN_DEVELOPING_COUNTRIES_A_MULTI-DISCIPLINARY_APPROACH/links/5f6b3e0392851c14bc8e92e6/RESILIENCE-OF-EDUCATIONAL-COMMUNITIES-IN-DEVELOPING-COUNTRIES-A-MULTI-DISCIPLINARY-APPROACH.pdf" TargetMode="External"/><Relationship Id="rId36"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https://www.theirm.org/news/survey-report-2019-risk-management-education-courses-in-the-chinese-university-system/" TargetMode="External"/><Relationship Id="rId31" Type="http://schemas.openxmlformats.org/officeDocument/2006/relationships/hyperlink" Target="https://reciprocity.com/resources/what-is-operational-risk-management/"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109/SLAE54202.2021.9788096" TargetMode="External"/><Relationship Id="rId22" Type="http://schemas.openxmlformats.org/officeDocument/2006/relationships/hyperlink" Target="https://www.noggin.io/blog/what-is-operational-risk-management-and-why-is-it-crucial-for-businesses" TargetMode="External"/><Relationship Id="rId27" Type="http://schemas.openxmlformats.org/officeDocument/2006/relationships/hyperlink" Target="https://doi.org/10.2139/ssrn.3504232" TargetMode="External"/><Relationship Id="rId30" Type="http://schemas.openxmlformats.org/officeDocument/2006/relationships/hyperlink" Target="https://doi.org/10.3389/feduc.2022.992063" TargetMode="External"/><Relationship Id="rId35" Type="http://schemas.openxmlformats.org/officeDocument/2006/relationships/hyperlink" Target="https://doi.org/10.3389/fpsyg.2023.1179984"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28991/scimedj-2020-0202-4" TargetMode="External"/><Relationship Id="rId25" Type="http://schemas.openxmlformats.org/officeDocument/2006/relationships/hyperlink" Target="https://doi.org/10.35631/ijemp.517003" TargetMode="External"/><Relationship Id="rId33" Type="http://schemas.openxmlformats.org/officeDocument/2006/relationships/hyperlink" Target="https://doi.org/10.46687/snjj5247" TargetMode="External"/><Relationship Id="rId38"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91E5FB-85C5-47D9-944E-42676C820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979</TotalTime>
  <Pages>19</Pages>
  <Words>10401</Words>
  <Characters>59289</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69551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23</cp:revision>
  <cp:lastPrinted>2025-04-01T01:16:00Z</cp:lastPrinted>
  <dcterms:created xsi:type="dcterms:W3CDTF">2025-03-11T06:53:00Z</dcterms:created>
  <dcterms:modified xsi:type="dcterms:W3CDTF">2026-01-13T07:51:00Z</dcterms:modified>
</cp:coreProperties>
</file>