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C49F6" w14:textId="619D08FB" w:rsidR="00754C9A" w:rsidRPr="0024187F" w:rsidRDefault="0024187F" w:rsidP="00441B6F">
      <w:pPr>
        <w:pStyle w:val="Title"/>
        <w:spacing w:after="0"/>
        <w:jc w:val="both"/>
        <w:rPr>
          <w:rFonts w:ascii="Arial" w:hAnsi="Arial" w:cs="Arial"/>
          <w:u w:val="single"/>
        </w:rPr>
      </w:pPr>
      <w:r w:rsidRPr="0024187F">
        <w:rPr>
          <w:rFonts w:ascii="Arial" w:hAnsi="Arial" w:cs="Arial"/>
          <w:u w:val="single"/>
        </w:rPr>
        <w:t>Original Research Article</w:t>
      </w:r>
    </w:p>
    <w:p w14:paraId="44C5FEA2" w14:textId="77777777" w:rsidR="0024187F" w:rsidRDefault="0024187F" w:rsidP="0024187F">
      <w:pPr>
        <w:pStyle w:val="Author"/>
        <w:spacing w:line="240" w:lineRule="auto"/>
        <w:rPr>
          <w:rFonts w:ascii="Arial" w:hAnsi="Arial" w:cs="Arial"/>
          <w:bCs/>
          <w:iCs/>
          <w:kern w:val="28"/>
          <w:sz w:val="36"/>
        </w:rPr>
      </w:pPr>
      <w:bookmarkStart w:id="0" w:name="_Hlk218668911"/>
    </w:p>
    <w:p w14:paraId="0BDE1AF1" w14:textId="240A936A" w:rsidR="00163BC4" w:rsidRPr="00163BC4" w:rsidRDefault="00FE7F82" w:rsidP="0024187F">
      <w:pPr>
        <w:pStyle w:val="Author"/>
        <w:spacing w:line="240" w:lineRule="auto"/>
        <w:rPr>
          <w:rFonts w:ascii="Arial" w:hAnsi="Arial" w:cs="Arial"/>
          <w:bCs/>
          <w:iCs/>
          <w:kern w:val="28"/>
          <w:sz w:val="36"/>
        </w:rPr>
      </w:pPr>
      <w:r w:rsidRPr="00FE7F82">
        <w:rPr>
          <w:rFonts w:ascii="Arial" w:hAnsi="Arial" w:cs="Arial"/>
          <w:bCs/>
          <w:iCs/>
          <w:kern w:val="28"/>
          <w:sz w:val="36"/>
        </w:rPr>
        <w:t>Improving Student Data Accuracy: A Mixed-Methods Action Research Study in Higher Education</w:t>
      </w:r>
      <w:r w:rsidR="00231920">
        <w:rPr>
          <w:rFonts w:ascii="Arial" w:hAnsi="Arial" w:cs="Arial"/>
          <w:bCs/>
          <w:iCs/>
          <w:kern w:val="28"/>
          <w:sz w:val="36"/>
        </w:rPr>
        <w:t xml:space="preserve"> </w:t>
      </w:r>
    </w:p>
    <w:p w14:paraId="62BC4858" w14:textId="77777777" w:rsidR="00A258C3" w:rsidRPr="00790ADA" w:rsidRDefault="00A258C3" w:rsidP="00441B6F">
      <w:pPr>
        <w:pStyle w:val="Author"/>
        <w:spacing w:line="240" w:lineRule="auto"/>
        <w:jc w:val="both"/>
        <w:rPr>
          <w:rFonts w:ascii="Arial" w:hAnsi="Arial" w:cs="Arial"/>
          <w:sz w:val="36"/>
        </w:rPr>
      </w:pPr>
    </w:p>
    <w:p w14:paraId="500F8EE5" w14:textId="77777777" w:rsidR="00790ADA" w:rsidRDefault="00790ADA" w:rsidP="00441B6F">
      <w:pPr>
        <w:pStyle w:val="Affiliation"/>
        <w:spacing w:after="0" w:line="240" w:lineRule="auto"/>
        <w:jc w:val="both"/>
        <w:rPr>
          <w:rFonts w:ascii="Arial" w:hAnsi="Arial" w:cs="Arial"/>
        </w:rPr>
      </w:pPr>
    </w:p>
    <w:p w14:paraId="7FE9CB84" w14:textId="77777777" w:rsidR="002C57D2" w:rsidRPr="00FB3A86" w:rsidRDefault="002C57D2" w:rsidP="00441B6F">
      <w:pPr>
        <w:pStyle w:val="Affiliation"/>
        <w:spacing w:after="0" w:line="240" w:lineRule="auto"/>
        <w:jc w:val="both"/>
        <w:rPr>
          <w:rFonts w:ascii="Arial" w:hAnsi="Arial" w:cs="Arial"/>
        </w:rPr>
      </w:pPr>
    </w:p>
    <w:p w14:paraId="47318F79" w14:textId="77777777" w:rsidR="00B01FCD" w:rsidRPr="00FB3A86" w:rsidRDefault="00183DFB" w:rsidP="00441B6F">
      <w:pPr>
        <w:pStyle w:val="Copyright"/>
        <w:spacing w:after="0" w:line="240" w:lineRule="auto"/>
        <w:jc w:val="both"/>
        <w:rPr>
          <w:rFonts w:ascii="Arial" w:hAnsi="Arial" w:cs="Arial"/>
        </w:rPr>
        <w:sectPr w:rsidR="00B01FCD" w:rsidRPr="00FB3A86" w:rsidSect="00F437E4">
          <w:headerReference w:type="first" r:id="rId8"/>
          <w:footerReference w:type="first" r:id="rId9"/>
          <w:pgSz w:w="12240" w:h="15840" w:code="1"/>
          <w:pgMar w:top="1440" w:right="2019" w:bottom="2019" w:left="2019" w:header="720" w:footer="1298" w:gutter="0"/>
          <w:cols w:space="720"/>
          <w:docGrid w:linePitch="272"/>
        </w:sectPr>
      </w:pPr>
      <w:r>
        <w:rPr>
          <w:rFonts w:ascii="Arial" w:hAnsi="Arial" w:cs="Arial"/>
        </w:rPr>
      </w:r>
      <w:r>
        <w:rPr>
          <w:rFonts w:ascii="Arial" w:hAnsi="Arial" w:cs="Arial"/>
        </w:rPr>
        <w:pict w14:anchorId="2410051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359ECFF" w14:textId="6A9E902B" w:rsidR="00B01FCD" w:rsidRDefault="00B01FCD" w:rsidP="0058643D">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3BE5DCE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18"/>
      </w:tblGrid>
      <w:tr w:rsidR="00296529" w:rsidRPr="001E44FE" w14:paraId="69D4CA01" w14:textId="77777777" w:rsidTr="001E44FE">
        <w:tc>
          <w:tcPr>
            <w:tcW w:w="9576" w:type="dxa"/>
            <w:shd w:val="clear" w:color="auto" w:fill="F2F2F2"/>
          </w:tcPr>
          <w:p w14:paraId="547AF839" w14:textId="0C9190C8" w:rsidR="00B524ED" w:rsidRDefault="00BA1B01" w:rsidP="0058643D">
            <w:pPr>
              <w:pStyle w:val="Body"/>
              <w:spacing w:after="0"/>
              <w:rPr>
                <w:rFonts w:ascii="Arial" w:eastAsia="Calibri" w:hAnsi="Arial" w:cs="Arial"/>
                <w:szCs w:val="22"/>
              </w:rPr>
            </w:pPr>
            <w:r w:rsidRPr="00BA1B01">
              <w:rPr>
                <w:rFonts w:ascii="Arial" w:eastAsia="Calibri" w:hAnsi="Arial" w:cs="Arial"/>
                <w:b/>
                <w:szCs w:val="22"/>
              </w:rPr>
              <w:t xml:space="preserve">Aims: </w:t>
            </w:r>
            <w:r w:rsidR="00B524ED" w:rsidRPr="00B524ED">
              <w:rPr>
                <w:rFonts w:ascii="Arial" w:eastAsia="Calibri" w:hAnsi="Arial" w:cs="Arial"/>
                <w:szCs w:val="22"/>
              </w:rPr>
              <w:t>This study aimed to examine the institutional and human factors influencing student data accuracy at KAG East University, Kenya. It specifically assessed data entry processes, system integration, verification procedures, staff training, and data governance practices, with the goal of identifying practical strategies for improving data accuracy</w:t>
            </w:r>
            <w:r w:rsidR="00B524ED">
              <w:rPr>
                <w:rFonts w:ascii="Arial" w:eastAsia="Calibri" w:hAnsi="Arial" w:cs="Arial"/>
                <w:szCs w:val="22"/>
              </w:rPr>
              <w:t>.</w:t>
            </w:r>
          </w:p>
          <w:p w14:paraId="2B4C8793" w14:textId="29A95FCA" w:rsidR="00BA1B01" w:rsidRPr="00BA1B01" w:rsidRDefault="00BA1B01" w:rsidP="0058643D">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524ED" w:rsidRPr="00B524ED">
              <w:rPr>
                <w:rFonts w:ascii="Arial" w:eastAsia="Calibri" w:hAnsi="Arial" w:cs="Arial"/>
                <w:szCs w:val="22"/>
              </w:rPr>
              <w:t>The study adopted a mixed-methods descriptive survey design guided by the Information Quality Theory</w:t>
            </w:r>
            <w:r w:rsidR="00B524ED">
              <w:rPr>
                <w:rFonts w:ascii="Arial" w:eastAsia="Calibri" w:hAnsi="Arial" w:cs="Arial"/>
                <w:szCs w:val="22"/>
              </w:rPr>
              <w:t>.</w:t>
            </w:r>
          </w:p>
          <w:p w14:paraId="31F9E2F4" w14:textId="6AFD4D0E" w:rsidR="00BA1B01" w:rsidRPr="00BA1B01" w:rsidRDefault="00BA1B01" w:rsidP="0058643D">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524ED" w:rsidRPr="00B524ED">
              <w:rPr>
                <w:rFonts w:ascii="Arial" w:eastAsia="Calibri" w:hAnsi="Arial" w:cs="Arial"/>
                <w:szCs w:val="22"/>
              </w:rPr>
              <w:t>The research was conducted at KAG East University, Kenya, among staff involved in student data management during the active academic data processing period.</w:t>
            </w:r>
          </w:p>
          <w:p w14:paraId="499966B9" w14:textId="77777777" w:rsidR="00B524ED" w:rsidRDefault="00BA1B01" w:rsidP="0058643D">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524ED" w:rsidRPr="00B524ED">
              <w:rPr>
                <w:rFonts w:ascii="Arial" w:eastAsia="Calibri" w:hAnsi="Arial" w:cs="Arial"/>
                <w:szCs w:val="22"/>
              </w:rPr>
              <w:t>A total of 54 staff members responsible for student data entry, processing, verification, and reporting participated in the study. Stratified random sampling was used to ensure representation across departments. Data were collected using a structured questionnaire comprising Likert-scale and open-ended questions, administered electronically. Quantitative data were analyzed using descriptive statistics, while qualitative responses were analyzed through thematic analysis.</w:t>
            </w:r>
          </w:p>
          <w:p w14:paraId="59723D58" w14:textId="77777777" w:rsidR="00B524ED" w:rsidRDefault="00BA1B01" w:rsidP="0058643D">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524ED" w:rsidRPr="00B524ED">
              <w:rPr>
                <w:rFonts w:ascii="Arial" w:eastAsia="Calibri" w:hAnsi="Arial" w:cs="Arial"/>
                <w:szCs w:val="22"/>
              </w:rPr>
              <w:t>The findings revealed significant challenges affecting student data accuracy. Frequent data entry errors were reported by 70.3% of respondents, while 31.5% experienced difficulty transferring data across non-integrated systems, leading to duplication and inconsistencies. Verification processes were ineffective, with 76% indicating that errors persisted even after verification. Inadequate training was identified by 61.2% of respondents, and 66.6% reported unclear or inconsistently enforced data governance policies. These issues collectively undermined the reliability and consistency of student records.</w:t>
            </w:r>
          </w:p>
          <w:p w14:paraId="3C42CD8F" w14:textId="58288091" w:rsidR="00505F06" w:rsidRPr="00BA1B01" w:rsidRDefault="00BA1B01" w:rsidP="0058643D">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524ED" w:rsidRPr="00B524ED">
              <w:rPr>
                <w:rFonts w:ascii="Arial" w:eastAsia="Calibri" w:hAnsi="Arial" w:cs="Arial"/>
                <w:szCs w:val="22"/>
              </w:rPr>
              <w:t>Improving student data accuracy requires strengthening data entry controls, integrating information systems, enhancing verification mechanisms, providing continuous staff training, and enforcing clear data governance structures.</w:t>
            </w:r>
          </w:p>
        </w:tc>
      </w:tr>
    </w:tbl>
    <w:p w14:paraId="23566726" w14:textId="77777777" w:rsidR="00636EB2" w:rsidRDefault="00636EB2" w:rsidP="00441B6F">
      <w:pPr>
        <w:pStyle w:val="Body"/>
        <w:spacing w:after="0"/>
        <w:rPr>
          <w:rFonts w:ascii="Arial" w:hAnsi="Arial" w:cs="Arial"/>
          <w:i/>
        </w:rPr>
      </w:pPr>
    </w:p>
    <w:p w14:paraId="44BFEE07" w14:textId="1029B6FD" w:rsidR="00A24E7E" w:rsidRDefault="00A24E7E" w:rsidP="00441B6F">
      <w:pPr>
        <w:pStyle w:val="Body"/>
        <w:spacing w:after="0"/>
        <w:rPr>
          <w:rFonts w:ascii="Arial" w:hAnsi="Arial" w:cs="Arial"/>
          <w:i/>
        </w:rPr>
      </w:pPr>
      <w:r>
        <w:rPr>
          <w:rFonts w:ascii="Arial" w:hAnsi="Arial" w:cs="Arial"/>
          <w:i/>
        </w:rPr>
        <w:t xml:space="preserve">Keywords: </w:t>
      </w:r>
      <w:r w:rsidR="00B524ED" w:rsidRPr="00B524ED">
        <w:rPr>
          <w:rFonts w:ascii="Arial" w:hAnsi="Arial" w:cs="Arial"/>
          <w:i/>
        </w:rPr>
        <w:t>Student Data Accuracy; Data Governance; Information Quality Theory; Mixed-Methods Research; Higher Education; System Integration; Data Verification; Staff Training</w:t>
      </w:r>
    </w:p>
    <w:p w14:paraId="7F6A6984" w14:textId="77777777" w:rsidR="0024282C" w:rsidRDefault="0024282C" w:rsidP="00441B6F">
      <w:pPr>
        <w:pStyle w:val="Body"/>
        <w:spacing w:after="0"/>
        <w:rPr>
          <w:rFonts w:ascii="Arial" w:hAnsi="Arial" w:cs="Arial"/>
          <w:i/>
          <w:sz w:val="18"/>
        </w:rPr>
      </w:pPr>
    </w:p>
    <w:p w14:paraId="305EDC99" w14:textId="77777777" w:rsidR="00505F06" w:rsidRPr="00A24E7E" w:rsidRDefault="00505F06" w:rsidP="00441B6F">
      <w:pPr>
        <w:pStyle w:val="Body"/>
        <w:spacing w:after="0"/>
        <w:rPr>
          <w:rFonts w:ascii="Arial" w:hAnsi="Arial" w:cs="Arial"/>
          <w:i/>
        </w:rPr>
      </w:pPr>
    </w:p>
    <w:p w14:paraId="4241A5EF" w14:textId="250275AB" w:rsidR="007F7B32" w:rsidRDefault="00902823" w:rsidP="0058643D">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B879F2F" w14:textId="77777777" w:rsidR="00790ADA" w:rsidRPr="00FB3A86" w:rsidRDefault="00790ADA" w:rsidP="00441B6F">
      <w:pPr>
        <w:pStyle w:val="AbstHead"/>
        <w:spacing w:after="0"/>
        <w:jc w:val="both"/>
        <w:rPr>
          <w:rFonts w:ascii="Arial" w:hAnsi="Arial" w:cs="Arial"/>
        </w:rPr>
      </w:pPr>
    </w:p>
    <w:p w14:paraId="4DA7FCA4" w14:textId="3390A1C8" w:rsidR="0058643D" w:rsidRPr="0058643D" w:rsidRDefault="0058643D" w:rsidP="00733D11">
      <w:pPr>
        <w:pStyle w:val="Body"/>
        <w:rPr>
          <w:rFonts w:ascii="Arial" w:hAnsi="Arial" w:cs="Arial"/>
        </w:rPr>
      </w:pPr>
      <w:r w:rsidRPr="0058643D">
        <w:rPr>
          <w:rFonts w:ascii="Arial" w:hAnsi="Arial" w:cs="Arial"/>
        </w:rPr>
        <w:t>Ensuring the accuracy of student data is a growing challenge in higher education, particularly in developing economies where inconsistent data entry, fragmented systems, and weak governance compromise reliability. Inaccurate data can lead to poor planning and ineffective policies, making accuracy essential for institutional management.</w:t>
      </w:r>
    </w:p>
    <w:p w14:paraId="07F3EE20" w14:textId="4E9B423B" w:rsidR="0058643D" w:rsidRPr="0058643D" w:rsidRDefault="0058643D" w:rsidP="00C018A8">
      <w:pPr>
        <w:pStyle w:val="Body"/>
        <w:rPr>
          <w:rFonts w:ascii="Arial" w:hAnsi="Arial" w:cs="Arial"/>
        </w:rPr>
      </w:pPr>
      <w:r w:rsidRPr="0058643D">
        <w:rPr>
          <w:rFonts w:ascii="Arial" w:hAnsi="Arial" w:cs="Arial"/>
        </w:rPr>
        <w:lastRenderedPageBreak/>
        <w:t>KAG East University in Kenya faces these challenges as it processes large volumes of student data from registration systems, learning management platforms, and departmental records. Rising national reporting requirements further increase the need for reliable, timely data (Mutua, 2021; Commission for University Education, 2021). Effective data management requires strong systems, clear policies, and trained staff who understand the importance of accuracy.</w:t>
      </w:r>
    </w:p>
    <w:p w14:paraId="6F6524EB" w14:textId="3548C3B3" w:rsidR="0058643D" w:rsidRPr="0058643D" w:rsidRDefault="0058643D" w:rsidP="00C018A8">
      <w:pPr>
        <w:pStyle w:val="Body"/>
        <w:rPr>
          <w:rFonts w:ascii="Arial" w:hAnsi="Arial" w:cs="Arial"/>
        </w:rPr>
      </w:pPr>
      <w:r w:rsidRPr="0058643D">
        <w:rPr>
          <w:rFonts w:ascii="Arial" w:hAnsi="Arial" w:cs="Arial"/>
        </w:rPr>
        <w:t>Globally, universities invest in predictive analytics and dashboards to track student performance, requiring strong governance and integrated platforms (Siemens &amp; Long, 2021; Otieno &amp; Wekesa, 2021). In Ghana, South Africa, and Kenya, student data influences government funding and accountability (Walwyn, 2009; Commission for University Education, 2021).</w:t>
      </w:r>
    </w:p>
    <w:p w14:paraId="1FA35130" w14:textId="438883F1" w:rsidR="0058643D" w:rsidRPr="0058643D" w:rsidRDefault="0058643D" w:rsidP="00C018A8">
      <w:pPr>
        <w:pStyle w:val="Body"/>
        <w:rPr>
          <w:rFonts w:ascii="Arial" w:hAnsi="Arial" w:cs="Arial"/>
        </w:rPr>
      </w:pPr>
      <w:r w:rsidRPr="0058643D">
        <w:rPr>
          <w:rFonts w:ascii="Arial" w:hAnsi="Arial" w:cs="Arial"/>
        </w:rPr>
        <w:t>Across African universities, reliance on manual or decentralized systems leads to duplication, loss, and errors, especially when systems are not integrated (Awoniyi et al., 2025; Aloye Computer Enterprises, 2024). Inadequate training and unclear governance policies further increase inconsistencies, affecting student records, decision-making, and access to services (Awoniyi et al., 2025; Wafula et al., 2022). The shift to digital learning post-COVID-19 has added complexity, particularly in data privacy and security (Prinsloo, 2022).</w:t>
      </w:r>
    </w:p>
    <w:p w14:paraId="72A8FC3B" w14:textId="7230160C" w:rsidR="00C018A8" w:rsidRDefault="0058643D" w:rsidP="00C018A8">
      <w:pPr>
        <w:pStyle w:val="Body"/>
        <w:rPr>
          <w:rFonts w:ascii="Arial" w:hAnsi="Arial" w:cs="Arial"/>
        </w:rPr>
      </w:pPr>
      <w:r w:rsidRPr="0058643D">
        <w:rPr>
          <w:rFonts w:ascii="Arial" w:hAnsi="Arial" w:cs="Arial"/>
        </w:rPr>
        <w:t>Despite extensive study of data quality, gaps remain regarding the combined influence of governance, human factors, and institutional processes, especially in African higher education (Wang &amp; Strong, 1996; National Student Clearinghouse, 2023; Prinsloo, 2022). KAG East University lacks empirical research on how data entry, verification, integration, and staff capacity interact to shape accuracy. This study addresses these gaps and proposes strategies for improvement.</w:t>
      </w:r>
      <w:r w:rsidR="00C018A8">
        <w:rPr>
          <w:rFonts w:ascii="Arial" w:hAnsi="Arial" w:cs="Arial"/>
        </w:rPr>
        <w:t xml:space="preserve"> </w:t>
      </w:r>
    </w:p>
    <w:p w14:paraId="42C80F18" w14:textId="2E8DF77F" w:rsidR="00C018A8" w:rsidRPr="00C018A8" w:rsidRDefault="00C018A8" w:rsidP="00C018A8">
      <w:pPr>
        <w:pStyle w:val="Body"/>
        <w:rPr>
          <w:rFonts w:ascii="Arial" w:hAnsi="Arial" w:cs="Arial"/>
          <w:lang w:val="en"/>
        </w:rPr>
      </w:pPr>
      <w:r w:rsidRPr="00C018A8">
        <w:rPr>
          <w:rFonts w:ascii="Arial" w:hAnsi="Arial" w:cs="Arial"/>
          <w:lang w:val="en"/>
        </w:rPr>
        <w:t>This study was guided by the following research questions:</w:t>
      </w:r>
    </w:p>
    <w:p w14:paraId="0FF7DAC5" w14:textId="77777777" w:rsidR="00C018A8" w:rsidRPr="00C018A8" w:rsidRDefault="00C018A8" w:rsidP="00C018A8">
      <w:pPr>
        <w:pStyle w:val="Body"/>
        <w:numPr>
          <w:ilvl w:val="0"/>
          <w:numId w:val="31"/>
        </w:numPr>
        <w:ind w:left="714" w:hanging="357"/>
        <w:rPr>
          <w:rFonts w:ascii="Arial" w:hAnsi="Arial" w:cs="Arial"/>
          <w:lang w:val="en"/>
        </w:rPr>
      </w:pPr>
      <w:r w:rsidRPr="00C018A8">
        <w:rPr>
          <w:rFonts w:ascii="Arial" w:hAnsi="Arial" w:cs="Arial"/>
          <w:lang w:val="en"/>
        </w:rPr>
        <w:t>What institutional and human factors influence the accuracy of student data at KAG East University?</w:t>
      </w:r>
    </w:p>
    <w:p w14:paraId="3290833F" w14:textId="77777777" w:rsidR="00C018A8" w:rsidRPr="00C018A8" w:rsidRDefault="00C018A8" w:rsidP="00C018A8">
      <w:pPr>
        <w:pStyle w:val="Body"/>
        <w:numPr>
          <w:ilvl w:val="0"/>
          <w:numId w:val="31"/>
        </w:numPr>
        <w:rPr>
          <w:rFonts w:ascii="Arial" w:hAnsi="Arial" w:cs="Arial"/>
          <w:lang w:val="en"/>
        </w:rPr>
      </w:pPr>
      <w:r w:rsidRPr="00C018A8">
        <w:rPr>
          <w:rFonts w:ascii="Arial" w:hAnsi="Arial" w:cs="Arial"/>
          <w:lang w:val="en"/>
        </w:rPr>
        <w:t>How effective are the current processes of data entry, verification, and system integration in ensuring accurate and reliable student information?</w:t>
      </w:r>
    </w:p>
    <w:p w14:paraId="6D07CCE5" w14:textId="77777777" w:rsidR="00C018A8" w:rsidRPr="00C018A8" w:rsidRDefault="00C018A8" w:rsidP="00C018A8">
      <w:pPr>
        <w:pStyle w:val="Body"/>
        <w:numPr>
          <w:ilvl w:val="0"/>
          <w:numId w:val="31"/>
        </w:numPr>
        <w:rPr>
          <w:rFonts w:ascii="Arial" w:hAnsi="Arial" w:cs="Arial"/>
          <w:lang w:val="en"/>
        </w:rPr>
      </w:pPr>
      <w:r w:rsidRPr="00C018A8">
        <w:rPr>
          <w:rFonts w:ascii="Arial" w:hAnsi="Arial" w:cs="Arial"/>
          <w:lang w:val="en"/>
        </w:rPr>
        <w:t>In what ways do staff training, support, and governance practices affect the reliability and consistency of student data?</w:t>
      </w:r>
    </w:p>
    <w:p w14:paraId="5F4C5231" w14:textId="77777777" w:rsidR="00C018A8" w:rsidRPr="00C018A8" w:rsidRDefault="00C018A8" w:rsidP="00C018A8">
      <w:pPr>
        <w:pStyle w:val="Body"/>
        <w:numPr>
          <w:ilvl w:val="0"/>
          <w:numId w:val="31"/>
        </w:numPr>
        <w:rPr>
          <w:rFonts w:ascii="Arial" w:hAnsi="Arial" w:cs="Arial"/>
          <w:lang w:val="en"/>
        </w:rPr>
      </w:pPr>
      <w:r w:rsidRPr="00C018A8">
        <w:rPr>
          <w:rFonts w:ascii="Arial" w:hAnsi="Arial" w:cs="Arial"/>
          <w:lang w:val="en"/>
        </w:rPr>
        <w:t>What practical measures can be implemented to strengthen data accuracy and promote a sustainable data management culture?</w:t>
      </w:r>
    </w:p>
    <w:p w14:paraId="19303A4F" w14:textId="0F924A63" w:rsidR="00C018A8" w:rsidRDefault="00C018A8" w:rsidP="00C018A8">
      <w:pPr>
        <w:pStyle w:val="Body"/>
        <w:numPr>
          <w:ilvl w:val="1"/>
          <w:numId w:val="32"/>
        </w:numPr>
        <w:rPr>
          <w:rFonts w:ascii="Arial" w:hAnsi="Arial" w:cs="Arial"/>
          <w:b/>
          <w:bCs/>
          <w:sz w:val="22"/>
          <w:szCs w:val="22"/>
        </w:rPr>
      </w:pPr>
      <w:r w:rsidRPr="00C018A8">
        <w:rPr>
          <w:rFonts w:ascii="Arial" w:hAnsi="Arial" w:cs="Arial"/>
          <w:b/>
          <w:bCs/>
          <w:sz w:val="22"/>
          <w:szCs w:val="22"/>
        </w:rPr>
        <w:t>Theoretical Literature Review</w:t>
      </w:r>
    </w:p>
    <w:p w14:paraId="6DFF764F" w14:textId="1CFF2BE1" w:rsidR="00C018A8" w:rsidRPr="00C018A8" w:rsidRDefault="00C018A8" w:rsidP="00C018A8">
      <w:pPr>
        <w:pStyle w:val="Body"/>
        <w:rPr>
          <w:rFonts w:ascii="Arial" w:hAnsi="Arial" w:cs="Arial"/>
          <w:lang w:val="en"/>
        </w:rPr>
      </w:pPr>
      <w:r w:rsidRPr="00C018A8">
        <w:rPr>
          <w:rFonts w:ascii="Arial" w:hAnsi="Arial" w:cs="Arial"/>
          <w:lang w:val="en"/>
        </w:rPr>
        <w:t xml:space="preserve">A strong theoretical foundation is essential for understanding and addressing challenges related to student data accuracy. This study is grounded in the Information Quality Theory (IQT) developed by Wang and Strong (1996). IQT provides a framework for assessing data quality by defining four critical dimensions: intrinsic quality, which focuses on the accuracy and credibility of data; contextual quality, which considers the relevance and timeliness of data for a specific task; representational quality, which emphasizes clarity, consistency, and proper formatting; and accessibility quality, which addresses ease of retrieval and the presence of necessary security controls. Together, these dimensions assert that data should </w:t>
      </w:r>
      <w:r w:rsidRPr="00C018A8">
        <w:rPr>
          <w:rFonts w:ascii="Arial" w:hAnsi="Arial" w:cs="Arial"/>
          <w:lang w:val="en"/>
        </w:rPr>
        <w:lastRenderedPageBreak/>
        <w:t>be accurate, relevant, clearly presented, and easily accessible to authorized users (Wang &amp; Strong, 1996).</w:t>
      </w:r>
    </w:p>
    <w:p w14:paraId="2243AF58" w14:textId="1C0B24B9" w:rsidR="00C018A8" w:rsidRPr="00C018A8" w:rsidRDefault="00C018A8" w:rsidP="00C018A8">
      <w:pPr>
        <w:pStyle w:val="Body"/>
        <w:rPr>
          <w:rFonts w:ascii="Arial" w:hAnsi="Arial" w:cs="Arial"/>
          <w:lang w:val="en"/>
        </w:rPr>
      </w:pPr>
      <w:r w:rsidRPr="00C018A8">
        <w:rPr>
          <w:rFonts w:ascii="Arial" w:hAnsi="Arial" w:cs="Arial"/>
          <w:lang w:val="en"/>
        </w:rPr>
        <w:t>In the context of KAG East University, IQT serves as an ideal framework for evaluating the accuracy of student data. The theory enables a structured assessment of whether student records accurately reflect academic performance (intrinsic quality), whether the information is timely and useful for planning (contextual quality), whether data formats are clear and consistent (representational quality), and whether authorized staff can retrieve student data efficiently and securely (accessibility quality). For example, if student records are outdated or inconsistently formatted, these issues can be traced directly to weaknesses in contextual and representational quality. Such deficiencies hinder informed decision-making and impact resource allocation within the institution.</w:t>
      </w:r>
    </w:p>
    <w:p w14:paraId="6F197AAB" w14:textId="5C93C61F" w:rsidR="00C018A8" w:rsidRPr="00C018A8" w:rsidRDefault="00C018A8" w:rsidP="00C018A8">
      <w:pPr>
        <w:pStyle w:val="Body"/>
        <w:rPr>
          <w:rFonts w:ascii="Arial" w:hAnsi="Arial" w:cs="Arial"/>
          <w:lang w:val="en"/>
        </w:rPr>
      </w:pPr>
      <w:r w:rsidRPr="00C018A8">
        <w:rPr>
          <w:rFonts w:ascii="Arial" w:hAnsi="Arial" w:cs="Arial"/>
          <w:lang w:val="en"/>
        </w:rPr>
        <w:t>The applicability of IQT in education is well supported in existing literature. Alhassan et al. (2019) applied IQT in higher education institutions and highlighted the importance of comprehensive data governance structures to ensure data integrity and reliability. Their study emphasized that maintaining data quality requires institutions to implement consistent policies, standard operating procedures, and validation processes. While other theories, such as Systems Theory, focus on interconnectedness, and Institutional Theory emphasizes compliance with external regulations, IQT uniquely evaluates the quality, completeness, consistency, and reliability of data itself. Using IQT helps identify weaknesses in data processes and supports recommendations for improvements in data validation, staff training, and system integration, ensuring that student data is accurate and useful for decision-making</w:t>
      </w:r>
      <w:r>
        <w:rPr>
          <w:rFonts w:ascii="Arial" w:hAnsi="Arial" w:cs="Arial"/>
          <w:lang w:val="en"/>
        </w:rPr>
        <w:t>.</w:t>
      </w:r>
    </w:p>
    <w:p w14:paraId="2F7DFE52" w14:textId="1A6780DD" w:rsidR="00C018A8" w:rsidRDefault="00C018A8" w:rsidP="00C018A8">
      <w:pPr>
        <w:pStyle w:val="Body"/>
        <w:numPr>
          <w:ilvl w:val="1"/>
          <w:numId w:val="32"/>
        </w:numPr>
        <w:rPr>
          <w:rFonts w:ascii="Arial" w:hAnsi="Arial" w:cs="Arial"/>
          <w:b/>
          <w:bCs/>
          <w:sz w:val="22"/>
          <w:szCs w:val="22"/>
        </w:rPr>
      </w:pPr>
      <w:r>
        <w:rPr>
          <w:rFonts w:ascii="Arial" w:hAnsi="Arial" w:cs="Arial"/>
          <w:b/>
          <w:bCs/>
          <w:sz w:val="22"/>
          <w:szCs w:val="22"/>
        </w:rPr>
        <w:t>Empirical Literature Review</w:t>
      </w:r>
    </w:p>
    <w:p w14:paraId="487ED389" w14:textId="77777777" w:rsidR="00C018A8" w:rsidRPr="00C018A8" w:rsidRDefault="00C018A8" w:rsidP="00C018A8">
      <w:pPr>
        <w:pStyle w:val="Body"/>
        <w:rPr>
          <w:rFonts w:ascii="Arial" w:hAnsi="Arial" w:cs="Arial"/>
        </w:rPr>
      </w:pPr>
      <w:r w:rsidRPr="00C018A8">
        <w:rPr>
          <w:rFonts w:ascii="Arial" w:hAnsi="Arial" w:cs="Arial"/>
        </w:rPr>
        <w:t>Several empirical studies have examined challenges and solutions related to data accuracy in higher education. Research by the National Student Clearinghouse (2023) revealed that a significant percentage of student records contain errors or inconsistencies, which directly affect student progression metrics, graduation rates, and retention rates. When inaccurate data inform decisions, performance reporting becomes unreliable, and student support interventions may be misdirected. These data challenges are particularly prevalent in institutions that rely heavily on manual processes or lack integrated systems.</w:t>
      </w:r>
    </w:p>
    <w:p w14:paraId="44860490" w14:textId="77777777" w:rsidR="00C018A8" w:rsidRPr="00C018A8" w:rsidRDefault="00C018A8" w:rsidP="00C018A8">
      <w:pPr>
        <w:pStyle w:val="Body"/>
        <w:rPr>
          <w:rFonts w:ascii="Arial" w:hAnsi="Arial" w:cs="Arial"/>
        </w:rPr>
      </w:pPr>
      <w:r w:rsidRPr="00C018A8">
        <w:rPr>
          <w:rFonts w:ascii="Arial" w:hAnsi="Arial" w:cs="Arial"/>
        </w:rPr>
        <w:t>Empirical studies identify multiple contributors to inaccuracies in student data. Manual data entry remains common in many universities and is prone to errors, especially when large volumes of information are handled. Inadequate system integration also contributes to fragmented student records, making it difficult to access a complete and accurate view of student progress. Weak validation processes allow mistakes to remain undetected, while limited staff training contributes to inconsistent data-handling practices. When staff members are not adequately trained or aware of data quality standards, they may unknowingly enter incorrect data or overlook inconsistencies.</w:t>
      </w:r>
    </w:p>
    <w:p w14:paraId="6469E153" w14:textId="77777777" w:rsidR="00C018A8" w:rsidRPr="00C018A8" w:rsidRDefault="00C018A8" w:rsidP="00C018A8">
      <w:pPr>
        <w:pStyle w:val="Body"/>
        <w:rPr>
          <w:rFonts w:ascii="Arial" w:hAnsi="Arial" w:cs="Arial"/>
        </w:rPr>
      </w:pPr>
      <w:r w:rsidRPr="00C018A8">
        <w:rPr>
          <w:rFonts w:ascii="Arial" w:hAnsi="Arial" w:cs="Arial"/>
        </w:rPr>
        <w:t xml:space="preserve">More recent empirical work highlights the growing use of data analytics in higher education. Ngulube and Ncube (2025) conducted a systematic review of data analytics and machine learning in higher education and found that these technologies can successfully identify at-risk students and support early interventions. In the African context, Anikweze et al. (2019) explored the challenges of using big data in Nigerian universities. Their study revealed major barriers such as difficulties with transforming data into usable formats, maintaining learning analytics systems, and aligning stored data with meaningful academic actions. These challenges reflect broader infrastructural and capacity constraints, highlighting the need for scalable data accuracy practices in resource-limited settings. Because much of this research </w:t>
      </w:r>
      <w:r w:rsidRPr="00C018A8">
        <w:rPr>
          <w:rFonts w:ascii="Arial" w:hAnsi="Arial" w:cs="Arial"/>
        </w:rPr>
        <w:lastRenderedPageBreak/>
        <w:t>relies on qualitative interviews, it also points to a methodological gap: the need for quantitative data to validate findings.</w:t>
      </w:r>
    </w:p>
    <w:p w14:paraId="4CF62543" w14:textId="77777777" w:rsidR="00C018A8" w:rsidRPr="00C018A8" w:rsidRDefault="00C018A8" w:rsidP="00C018A8">
      <w:pPr>
        <w:pStyle w:val="Body"/>
        <w:rPr>
          <w:rFonts w:ascii="Arial" w:hAnsi="Arial" w:cs="Arial"/>
        </w:rPr>
      </w:pPr>
      <w:r w:rsidRPr="00C018A8">
        <w:rPr>
          <w:rFonts w:ascii="Arial" w:hAnsi="Arial" w:cs="Arial"/>
        </w:rPr>
        <w:t>Multiple studies propose practical strategies for improving data accuracy in universities. Automated validation procedures can help detect and correct errors as they occur, reducing reliance on manual data review. Integrating different student information systems helps eliminate data silos, supporting a unified and consistent view of student information. Comprehensive staff training improves awareness of data quality standards and reduces accidental errors. Clear data governance policies guide ethical and responsible use of data, while routine data audits ensure that records remain accurate over time (Educause, 2023).</w:t>
      </w:r>
    </w:p>
    <w:p w14:paraId="0BE12281" w14:textId="1A005BB3" w:rsidR="00C018A8" w:rsidRPr="0058643D" w:rsidRDefault="00C018A8" w:rsidP="00C018A8">
      <w:pPr>
        <w:pStyle w:val="Body"/>
        <w:rPr>
          <w:rFonts w:ascii="Arial" w:hAnsi="Arial" w:cs="Arial"/>
        </w:rPr>
      </w:pPr>
      <w:r w:rsidRPr="00C018A8">
        <w:rPr>
          <w:rFonts w:ascii="Arial" w:hAnsi="Arial" w:cs="Arial"/>
        </w:rPr>
        <w:t>Despite these contributions, gaps remain. For example, there is limited empirical work on data accuracy challenges specifically in African universities, where resource limitations, disjointed data systems, and training gaps are more pronounced.</w:t>
      </w:r>
    </w:p>
    <w:p w14:paraId="59B9BEB8" w14:textId="77777777" w:rsidR="00790ADA" w:rsidRPr="00FB3A86" w:rsidRDefault="00790ADA" w:rsidP="00441B6F">
      <w:pPr>
        <w:pStyle w:val="Body"/>
        <w:spacing w:after="0"/>
        <w:rPr>
          <w:rFonts w:ascii="Arial" w:hAnsi="Arial" w:cs="Arial"/>
        </w:rPr>
      </w:pPr>
    </w:p>
    <w:p w14:paraId="45D68231" w14:textId="1BE0B157" w:rsidR="007F7B32" w:rsidRDefault="00902823" w:rsidP="0058643D">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14:paraId="514D7A7A" w14:textId="77777777" w:rsidR="00790ADA" w:rsidRPr="00FB3A86" w:rsidRDefault="00790ADA" w:rsidP="00441B6F">
      <w:pPr>
        <w:pStyle w:val="AbstHead"/>
        <w:spacing w:after="0"/>
        <w:jc w:val="both"/>
        <w:rPr>
          <w:rFonts w:ascii="Arial" w:hAnsi="Arial" w:cs="Arial"/>
        </w:rPr>
      </w:pPr>
    </w:p>
    <w:p w14:paraId="114D2422" w14:textId="77777777" w:rsidR="00733D11" w:rsidRPr="00733D11" w:rsidRDefault="00733D11" w:rsidP="00733D11">
      <w:pPr>
        <w:pStyle w:val="Body"/>
        <w:spacing w:after="0"/>
        <w:rPr>
          <w:rFonts w:ascii="Arial" w:hAnsi="Arial" w:cs="Arial"/>
        </w:rPr>
      </w:pPr>
      <w:r w:rsidRPr="00733D11">
        <w:rPr>
          <w:rFonts w:ascii="Arial" w:hAnsi="Arial" w:cs="Arial"/>
        </w:rPr>
        <w:t>This study was guided by the positivist philosophy. Research philosophy refers to the assumptions and beliefs that influence how a study is conducted, including how data is collected and interpreted (Bell et al., 2019). Positivism assumes that reality is objective and can be examined through systematic and scientific methods (Saunders et al., 2023). It emphasizes structured procedures, measurable variables, and objective analysis (Creswell &amp; Creswell, 2023). Because this study sought to measure factors affecting the accuracy of student data and capture staff explanations regarding challenges and solutions, positivism provided a suitable foundation for collecting and analyzing both quantitative and qualitative data.</w:t>
      </w:r>
    </w:p>
    <w:p w14:paraId="3460C48F" w14:textId="77777777" w:rsidR="00733D11" w:rsidRDefault="00733D11" w:rsidP="00733D11">
      <w:pPr>
        <w:pStyle w:val="Body"/>
        <w:spacing w:after="0"/>
        <w:rPr>
          <w:rFonts w:ascii="Arial" w:hAnsi="Arial" w:cs="Arial"/>
        </w:rPr>
      </w:pPr>
    </w:p>
    <w:p w14:paraId="576FF4A8" w14:textId="2F964EFB" w:rsidR="00733D11" w:rsidRPr="00733D11" w:rsidRDefault="00733D11" w:rsidP="00733D11">
      <w:pPr>
        <w:pStyle w:val="Body"/>
        <w:spacing w:after="0"/>
        <w:rPr>
          <w:rFonts w:ascii="Arial" w:hAnsi="Arial" w:cs="Arial"/>
        </w:rPr>
      </w:pPr>
      <w:r w:rsidRPr="00733D11">
        <w:rPr>
          <w:rFonts w:ascii="Arial" w:hAnsi="Arial" w:cs="Arial"/>
        </w:rPr>
        <w:t>A mixed-methods descriptive survey design was used. This approach integrated both quantitative and qualitative data, allowing numerical patterns to be supported with narrative explanations (Bryman, 2024). Closed-ended questions generated quantitative data, enabling measurable trends, while open-ended questions produced qualitative insights that explained the reasons behind those trends. Using a mixed-methods design ensured a more complete understanding of data accuracy challenges and avoided relying solely on numerical findings.</w:t>
      </w:r>
    </w:p>
    <w:p w14:paraId="79D52CA2" w14:textId="77777777" w:rsidR="00733D11" w:rsidRDefault="00733D11" w:rsidP="00733D11">
      <w:pPr>
        <w:pStyle w:val="Body"/>
        <w:spacing w:after="0"/>
        <w:rPr>
          <w:rFonts w:ascii="Arial" w:hAnsi="Arial" w:cs="Arial"/>
        </w:rPr>
      </w:pPr>
    </w:p>
    <w:p w14:paraId="7D09B5BB" w14:textId="42600CBB" w:rsidR="00733D11" w:rsidRPr="00733D11" w:rsidRDefault="00733D11" w:rsidP="00733D11">
      <w:pPr>
        <w:pStyle w:val="Body"/>
        <w:spacing w:after="0"/>
        <w:rPr>
          <w:rFonts w:ascii="Arial" w:hAnsi="Arial" w:cs="Arial"/>
        </w:rPr>
      </w:pPr>
      <w:r w:rsidRPr="00733D11">
        <w:rPr>
          <w:rFonts w:ascii="Arial" w:hAnsi="Arial" w:cs="Arial"/>
        </w:rPr>
        <w:t>The target population consisted of staff involved in collecting, processing, verifying, or managing student records at KAG East University, including senior management, registrar’s office personnel, recruitment and admissions officers, IT personnel, finance staff, faculty and administrative data handlers. These individuals were selected because they work directly with student data and therefore have firsthand experience with challenges affecting data accuracy. To ensure a representative sample, the study employed stratified random sampling, which involved dividing the population into subgroups (strata) such as departments or job roles and randomly selecting participants from each group (Cochran, 2023). This ensured that multiple categories of staff were proportionately represented, improving the validity and generalizability of the findings.</w:t>
      </w:r>
    </w:p>
    <w:p w14:paraId="5E8C1B6B" w14:textId="77777777" w:rsidR="00733D11" w:rsidRDefault="00733D11" w:rsidP="00733D11">
      <w:pPr>
        <w:pStyle w:val="Body"/>
        <w:spacing w:after="0"/>
        <w:rPr>
          <w:rFonts w:ascii="Arial" w:hAnsi="Arial" w:cs="Arial"/>
        </w:rPr>
      </w:pPr>
    </w:p>
    <w:p w14:paraId="788DCBEE" w14:textId="021E46BB" w:rsidR="00733D11" w:rsidRPr="00733D11" w:rsidRDefault="00733D11" w:rsidP="00733D11">
      <w:pPr>
        <w:pStyle w:val="Body"/>
        <w:spacing w:after="0"/>
        <w:rPr>
          <w:rFonts w:ascii="Arial" w:hAnsi="Arial" w:cs="Arial"/>
        </w:rPr>
      </w:pPr>
      <w:r w:rsidRPr="00733D11">
        <w:rPr>
          <w:rFonts w:ascii="Arial" w:hAnsi="Arial" w:cs="Arial"/>
        </w:rPr>
        <w:t xml:space="preserve">Data was collected using a structured survey questionnaire. The questionnaire included closed-ended Likert-scale items that measured frequency, perceived effectiveness, and confidence levels related to data entry, verification, training, and system integration. Open-ended questions allowed participants to elaborate on their experiences, challenges, and suggestions for improving data accuracy. The survey was administered electronically via Google Forms, and participants received a consent form and instructions through email. </w:t>
      </w:r>
      <w:r w:rsidRPr="00733D11">
        <w:rPr>
          <w:rFonts w:ascii="Arial" w:hAnsi="Arial" w:cs="Arial"/>
        </w:rPr>
        <w:lastRenderedPageBreak/>
        <w:t>Reminder emails were sent to increase response rates. Using an online method ensured convenience, anonymity, and reduced response bias (Dillman et al., 2024).</w:t>
      </w:r>
    </w:p>
    <w:p w14:paraId="19156041" w14:textId="77777777" w:rsidR="00733D11" w:rsidRDefault="00733D11" w:rsidP="00733D11">
      <w:pPr>
        <w:pStyle w:val="Body"/>
        <w:spacing w:after="0"/>
        <w:rPr>
          <w:rFonts w:ascii="Arial" w:hAnsi="Arial" w:cs="Arial"/>
        </w:rPr>
      </w:pPr>
    </w:p>
    <w:p w14:paraId="72D5532F" w14:textId="5B2E44E1" w:rsidR="00733D11" w:rsidRPr="00733D11" w:rsidRDefault="00733D11" w:rsidP="00733D11">
      <w:pPr>
        <w:pStyle w:val="Body"/>
        <w:spacing w:after="0"/>
        <w:rPr>
          <w:rFonts w:ascii="Arial" w:hAnsi="Arial" w:cs="Arial"/>
        </w:rPr>
      </w:pPr>
      <w:r w:rsidRPr="00733D11">
        <w:rPr>
          <w:rFonts w:ascii="Arial" w:hAnsi="Arial" w:cs="Arial"/>
        </w:rPr>
        <w:t>Collected data was analyzed using descriptive statistics, including frequencies and percentages, to summarize quantitative responses (Hair et al., 2022). Responses from open-ended questions were analyzed using thematic analysis, which identified recurring themes and patterns in participant responses (Nowell et al., 2017). Combining numerical trends with narrative explanations provided a deeper understanding of the factors affecting data accuracy and helped generate practical and actionable insights.</w:t>
      </w:r>
    </w:p>
    <w:p w14:paraId="636F4FE7" w14:textId="77777777" w:rsidR="00A03B96" w:rsidRDefault="00A03B96" w:rsidP="00441B6F">
      <w:pPr>
        <w:pStyle w:val="Body"/>
        <w:spacing w:after="0"/>
        <w:rPr>
          <w:rFonts w:ascii="Arial" w:hAnsi="Arial" w:cs="Arial"/>
        </w:rPr>
      </w:pPr>
    </w:p>
    <w:p w14:paraId="7C1FF712" w14:textId="77777777" w:rsidR="00790ADA" w:rsidRPr="00FB3A86" w:rsidRDefault="00790ADA" w:rsidP="00441B6F">
      <w:pPr>
        <w:pStyle w:val="Body"/>
        <w:spacing w:after="0"/>
        <w:rPr>
          <w:rFonts w:ascii="Arial" w:hAnsi="Arial" w:cs="Arial"/>
        </w:rPr>
      </w:pPr>
    </w:p>
    <w:p w14:paraId="71565B3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8F6E3A4" w14:textId="77777777" w:rsidR="00790ADA" w:rsidRPr="00FB3A86" w:rsidRDefault="00790ADA" w:rsidP="00441B6F">
      <w:pPr>
        <w:pStyle w:val="Head1"/>
        <w:spacing w:after="0"/>
        <w:jc w:val="both"/>
        <w:rPr>
          <w:rFonts w:ascii="Arial" w:hAnsi="Arial" w:cs="Arial"/>
        </w:rPr>
      </w:pPr>
    </w:p>
    <w:p w14:paraId="4F7F3E00" w14:textId="77777777" w:rsidR="00C45841" w:rsidRPr="00C45841" w:rsidRDefault="00C45841" w:rsidP="00C45841">
      <w:pPr>
        <w:pStyle w:val="Body"/>
        <w:spacing w:after="0"/>
        <w:rPr>
          <w:rFonts w:ascii="Arial" w:hAnsi="Arial" w:cs="Arial"/>
          <w:lang w:val="en"/>
        </w:rPr>
      </w:pPr>
      <w:r w:rsidRPr="00C45841">
        <w:rPr>
          <w:rFonts w:ascii="Arial" w:hAnsi="Arial" w:cs="Arial"/>
          <w:lang w:val="en"/>
        </w:rPr>
        <w:t xml:space="preserve">A total of 54 valid responses were analyzed. The purpose was to determine how student data is collected, shared across systems, verified, and governed institutionally. Previous studies indicate that universities often use fragmented and manual data processes, which create inaccuracies in academic records (Prinsloo &amp; </w:t>
      </w:r>
      <w:proofErr w:type="spellStart"/>
      <w:r w:rsidRPr="00C45841">
        <w:rPr>
          <w:rFonts w:ascii="Arial" w:hAnsi="Arial" w:cs="Arial"/>
          <w:lang w:val="en"/>
        </w:rPr>
        <w:t>Kaliisa</w:t>
      </w:r>
      <w:proofErr w:type="spellEnd"/>
      <w:r w:rsidRPr="00C45841">
        <w:rPr>
          <w:rFonts w:ascii="Arial" w:hAnsi="Arial" w:cs="Arial"/>
          <w:lang w:val="en"/>
        </w:rPr>
        <w:t>, 2022). Accurate data is essential because even small inconsistencies can influence retention tracking, funding decisions, and compliance reporting (Wang &amp; Strong, 1996). Findings from this study confirm that KAG East University experiences gaps in data entry, system integration, verification, training, and data governance that directly affect the accuracy of student data. These results align with prior research emphasizing the need for institutions to build data accuracy into workflows rather than relying solely on correction after errors appear.</w:t>
      </w:r>
    </w:p>
    <w:p w14:paraId="31E977CC" w14:textId="77777777" w:rsidR="00C45841" w:rsidRDefault="00C45841" w:rsidP="00C45841">
      <w:pPr>
        <w:pStyle w:val="Body"/>
        <w:spacing w:after="0"/>
        <w:rPr>
          <w:rFonts w:ascii="Arial" w:hAnsi="Arial" w:cs="Arial"/>
          <w:lang w:val="en"/>
        </w:rPr>
      </w:pPr>
    </w:p>
    <w:p w14:paraId="5F7A750B" w14:textId="4E29BAA0" w:rsidR="00C45841" w:rsidRPr="00C45841" w:rsidRDefault="00C45841" w:rsidP="00C45841">
      <w:pPr>
        <w:pStyle w:val="Body"/>
        <w:spacing w:after="0"/>
        <w:rPr>
          <w:rFonts w:ascii="Arial" w:hAnsi="Arial" w:cs="Arial"/>
          <w:lang w:val="en"/>
        </w:rPr>
      </w:pPr>
      <w:r w:rsidRPr="00C45841">
        <w:rPr>
          <w:rFonts w:ascii="Arial" w:hAnsi="Arial" w:cs="Arial"/>
          <w:lang w:val="en"/>
        </w:rPr>
        <w:t xml:space="preserve">The findings of this study support earlier work by </w:t>
      </w:r>
      <w:proofErr w:type="spellStart"/>
      <w:r w:rsidRPr="00C45841">
        <w:rPr>
          <w:rFonts w:ascii="Arial" w:hAnsi="Arial" w:cs="Arial"/>
          <w:lang w:val="en"/>
        </w:rPr>
        <w:t>Aloye</w:t>
      </w:r>
      <w:proofErr w:type="spellEnd"/>
      <w:r w:rsidRPr="00C45841">
        <w:rPr>
          <w:rFonts w:ascii="Arial" w:hAnsi="Arial" w:cs="Arial"/>
          <w:lang w:val="en"/>
        </w:rPr>
        <w:t xml:space="preserve"> Computer Enterprises (2024), which showed that manual data entry and weak checking systems remain major causes of data inaccuracy in African universities. However, unlike Ngulube and Ncube (2025), who found that technological tools can reduce the impact of poor training, this study demonstrates that systems alone are not enough. Without well-trained staff and clear data rules, even the best technological systems still produce errors. Similarly, while </w:t>
      </w:r>
      <w:proofErr w:type="spellStart"/>
      <w:r w:rsidRPr="00C45841">
        <w:rPr>
          <w:rFonts w:ascii="Arial" w:hAnsi="Arial" w:cs="Arial"/>
          <w:lang w:val="en"/>
        </w:rPr>
        <w:t>Anikweze</w:t>
      </w:r>
      <w:proofErr w:type="spellEnd"/>
      <w:r w:rsidRPr="00C45841">
        <w:rPr>
          <w:rFonts w:ascii="Arial" w:hAnsi="Arial" w:cs="Arial"/>
          <w:lang w:val="en"/>
        </w:rPr>
        <w:t xml:space="preserve"> et al. (2019) focused mainly on poor infrastructure in Nigerian universities, the present study found that human mistakes and weak data culture also constitute serious problems.</w:t>
      </w:r>
    </w:p>
    <w:p w14:paraId="3E33394B" w14:textId="77777777" w:rsidR="00C45841" w:rsidRDefault="00C45841" w:rsidP="00C45841">
      <w:pPr>
        <w:pStyle w:val="Body"/>
        <w:spacing w:after="0"/>
        <w:rPr>
          <w:rFonts w:ascii="Arial" w:hAnsi="Arial" w:cs="Arial"/>
          <w:lang w:val="en"/>
        </w:rPr>
      </w:pPr>
    </w:p>
    <w:p w14:paraId="77E9082D" w14:textId="3CC3CA43" w:rsidR="00C45841" w:rsidRPr="00C45841" w:rsidRDefault="00C45841" w:rsidP="00C45841">
      <w:pPr>
        <w:pStyle w:val="Body"/>
        <w:spacing w:after="0"/>
        <w:rPr>
          <w:rFonts w:ascii="Arial" w:hAnsi="Arial" w:cs="Arial"/>
          <w:lang w:val="en"/>
        </w:rPr>
      </w:pPr>
      <w:r w:rsidRPr="00C45841">
        <w:rPr>
          <w:rFonts w:ascii="Arial" w:hAnsi="Arial" w:cs="Arial"/>
          <w:lang w:val="en"/>
        </w:rPr>
        <w:t>These findings have practical implications for university leaders and policymakers. Institutions should build comprehensive data management systems that combine effective technology, proper training, and clear policies rather than addressing problems individually. In practice, this entails offering regular training, ensuring that staff follow consistent data rules, and using systems that can share information automatically across departments to reduce double entry. For future research, studies could examine how data accuracy improves over time or compare results between different universities to identify the most effective approaches.</w:t>
      </w:r>
    </w:p>
    <w:p w14:paraId="5A66A5EC" w14:textId="77777777" w:rsidR="00790ADA" w:rsidRDefault="00790ADA" w:rsidP="00441B6F">
      <w:pPr>
        <w:pStyle w:val="Body"/>
        <w:spacing w:after="0"/>
        <w:rPr>
          <w:rFonts w:ascii="Arial" w:hAnsi="Arial" w:cs="Arial"/>
        </w:rPr>
      </w:pPr>
    </w:p>
    <w:p w14:paraId="0A537251" w14:textId="77777777" w:rsidR="00863BD3" w:rsidRPr="00FB3A86" w:rsidRDefault="00863BD3" w:rsidP="00441B6F">
      <w:pPr>
        <w:pStyle w:val="Body"/>
        <w:spacing w:after="0"/>
        <w:rPr>
          <w:rFonts w:ascii="Arial" w:hAnsi="Arial" w:cs="Arial"/>
        </w:rPr>
      </w:pPr>
    </w:p>
    <w:p w14:paraId="1D813AE5" w14:textId="77777777" w:rsidR="003027CE" w:rsidRDefault="00C30A0F" w:rsidP="003027CE">
      <w:pPr>
        <w:pStyle w:val="Body"/>
        <w:spacing w:after="0"/>
        <w:jc w:val="left"/>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00C45841">
        <w:rPr>
          <w:rFonts w:ascii="Arial" w:hAnsi="Arial" w:cs="Arial"/>
          <w:b/>
          <w:sz w:val="22"/>
        </w:rPr>
        <w:t>Data Entry Processes</w:t>
      </w:r>
    </w:p>
    <w:p w14:paraId="51B34668" w14:textId="77777777" w:rsidR="003027CE" w:rsidRDefault="003027CE" w:rsidP="003027CE">
      <w:pPr>
        <w:pStyle w:val="Body"/>
        <w:spacing w:after="0"/>
        <w:jc w:val="left"/>
        <w:rPr>
          <w:rFonts w:ascii="Arial" w:hAnsi="Arial" w:cs="Arial"/>
          <w:b/>
          <w:sz w:val="22"/>
        </w:rPr>
      </w:pPr>
    </w:p>
    <w:p w14:paraId="7AFED8CA" w14:textId="77777777" w:rsidR="00B9614D" w:rsidRDefault="00B9614D" w:rsidP="00B9614D">
      <w:pPr>
        <w:pStyle w:val="Body"/>
        <w:rPr>
          <w:rFonts w:ascii="Arial" w:hAnsi="Arial" w:cs="Arial"/>
          <w:bCs/>
          <w:lang w:val="en"/>
        </w:rPr>
      </w:pPr>
      <w:r w:rsidRPr="00B9614D">
        <w:rPr>
          <w:rFonts w:ascii="Arial" w:hAnsi="Arial" w:cs="Arial"/>
          <w:bCs/>
          <w:lang w:val="en"/>
        </w:rPr>
        <w:t xml:space="preserve">The results in Table 1 showed that errors in data entry were a recurring challenge. A notable 70.3% of respondents reported seeing mistakes in student records </w:t>
      </w:r>
      <w:r w:rsidRPr="00B9614D">
        <w:rPr>
          <w:rFonts w:ascii="Arial" w:hAnsi="Arial" w:cs="Arial"/>
          <w:bCs/>
          <w:i/>
          <w:iCs/>
          <w:lang w:val="en"/>
        </w:rPr>
        <w:t>“Sometimes, Often, or Always,”</w:t>
      </w:r>
      <w:r w:rsidRPr="00B9614D">
        <w:rPr>
          <w:rFonts w:ascii="Arial" w:hAnsi="Arial" w:cs="Arial"/>
          <w:bCs/>
          <w:lang w:val="en"/>
        </w:rPr>
        <w:t xml:space="preserve"> indicating that errors were frequent enough to be considered a routine risk rather than isolated exceptions. Additionally, 38.9% rated the impact of these mistakes as </w:t>
      </w:r>
      <w:r w:rsidRPr="00B9614D">
        <w:rPr>
          <w:rFonts w:ascii="Arial" w:hAnsi="Arial" w:cs="Arial"/>
          <w:bCs/>
          <w:i/>
          <w:iCs/>
          <w:lang w:val="en"/>
        </w:rPr>
        <w:t>“Significant or Extreme,”</w:t>
      </w:r>
      <w:r w:rsidRPr="00B9614D">
        <w:rPr>
          <w:rFonts w:ascii="Arial" w:hAnsi="Arial" w:cs="Arial"/>
          <w:bCs/>
          <w:lang w:val="en"/>
        </w:rPr>
        <w:t xml:space="preserve"> confirming that the consequences of inaccurate data entry affect student-related academic decisions. Respondents also indicated that existing measures meant to minimize errors at the point of entry were inadequate, with 33.3% rating current measures as </w:t>
      </w:r>
      <w:r w:rsidRPr="00B9614D">
        <w:rPr>
          <w:rFonts w:ascii="Arial" w:hAnsi="Arial" w:cs="Arial"/>
          <w:bCs/>
          <w:i/>
          <w:iCs/>
          <w:lang w:val="en"/>
        </w:rPr>
        <w:t>“Not effective or Slightly effective.”</w:t>
      </w:r>
      <w:r w:rsidRPr="00B9614D">
        <w:rPr>
          <w:rFonts w:ascii="Arial" w:hAnsi="Arial" w:cs="Arial"/>
          <w:bCs/>
          <w:lang w:val="en"/>
        </w:rPr>
        <w:t xml:space="preserve"> According to Wang and Strong (1996), data </w:t>
      </w:r>
      <w:r w:rsidRPr="00B9614D">
        <w:rPr>
          <w:rFonts w:ascii="Arial" w:hAnsi="Arial" w:cs="Arial"/>
          <w:bCs/>
          <w:lang w:val="en"/>
        </w:rPr>
        <w:lastRenderedPageBreak/>
        <w:t xml:space="preserve">quality depends heavily on intrinsic accuracy and credibility, and processes must ensure correctness at the source rather than relying on correction after the fact. Therefore, the findings indicate that the University’s approach places responsibility for accuracy on individuals instead of embedding it within processes or systems. This confirms what Prinsloo and </w:t>
      </w:r>
      <w:proofErr w:type="spellStart"/>
      <w:r w:rsidRPr="00B9614D">
        <w:rPr>
          <w:rFonts w:ascii="Arial" w:hAnsi="Arial" w:cs="Arial"/>
          <w:bCs/>
          <w:lang w:val="en"/>
        </w:rPr>
        <w:t>Kaliisa</w:t>
      </w:r>
      <w:proofErr w:type="spellEnd"/>
      <w:r w:rsidRPr="00B9614D">
        <w:rPr>
          <w:rFonts w:ascii="Arial" w:hAnsi="Arial" w:cs="Arial"/>
          <w:bCs/>
          <w:lang w:val="en"/>
        </w:rPr>
        <w:t xml:space="preserve"> (2022) cautioned: manual systems expose student records to inconsistencies and undermine data reliability.</w:t>
      </w:r>
    </w:p>
    <w:p w14:paraId="1BB8B66D" w14:textId="77777777" w:rsidR="00B9614D" w:rsidRPr="00B9614D" w:rsidRDefault="00B9614D" w:rsidP="00B9614D">
      <w:pPr>
        <w:pStyle w:val="Body"/>
        <w:rPr>
          <w:rFonts w:ascii="Arial" w:hAnsi="Arial" w:cs="Arial"/>
          <w:b/>
          <w:bCs/>
          <w:i/>
          <w:iCs/>
          <w:lang w:val="en"/>
        </w:rPr>
      </w:pPr>
      <w:r w:rsidRPr="00B9614D">
        <w:rPr>
          <w:rFonts w:ascii="Arial" w:hAnsi="Arial" w:cs="Arial"/>
          <w:b/>
          <w:bCs/>
          <w:i/>
          <w:iCs/>
          <w:lang w:val="en"/>
        </w:rPr>
        <w:t>Table 1: Data Entry Processes</w:t>
      </w:r>
    </w:p>
    <w:p w14:paraId="183B377C" w14:textId="77777777" w:rsidR="00B9614D" w:rsidRPr="00B9614D" w:rsidRDefault="00B9614D" w:rsidP="00B9614D">
      <w:pPr>
        <w:pStyle w:val="Body"/>
        <w:rPr>
          <w:rFonts w:ascii="Arial" w:hAnsi="Arial" w:cs="Arial"/>
          <w:bCs/>
          <w:lang w:val="en"/>
        </w:rPr>
      </w:pPr>
    </w:p>
    <w:tbl>
      <w:tblPr>
        <w:tblW w:w="8880" w:type="dxa"/>
        <w:tblLayout w:type="fixed"/>
        <w:tblLook w:val="0600" w:firstRow="0" w:lastRow="0" w:firstColumn="0" w:lastColumn="0" w:noHBand="1" w:noVBand="1"/>
      </w:tblPr>
      <w:tblGrid>
        <w:gridCol w:w="5390"/>
        <w:gridCol w:w="1670"/>
        <w:gridCol w:w="1820"/>
      </w:tblGrid>
      <w:tr w:rsidR="00B9614D" w:rsidRPr="00B9614D" w14:paraId="14D01806" w14:textId="77777777" w:rsidTr="00AD5942">
        <w:trPr>
          <w:trHeight w:val="612"/>
        </w:trPr>
        <w:tc>
          <w:tcPr>
            <w:tcW w:w="5390" w:type="dxa"/>
            <w:tcBorders>
              <w:top w:val="single" w:sz="4" w:space="0" w:color="auto"/>
              <w:left w:val="nil"/>
              <w:bottom w:val="single" w:sz="4" w:space="0" w:color="auto"/>
              <w:right w:val="nil"/>
            </w:tcBorders>
            <w:tcMar>
              <w:top w:w="100" w:type="dxa"/>
              <w:left w:w="100" w:type="dxa"/>
              <w:bottom w:w="100" w:type="dxa"/>
              <w:right w:w="100" w:type="dxa"/>
            </w:tcMar>
          </w:tcPr>
          <w:p w14:paraId="32CC5941" w14:textId="77777777" w:rsidR="00B9614D" w:rsidRPr="00B9614D" w:rsidRDefault="00B9614D" w:rsidP="00B9614D">
            <w:pPr>
              <w:pStyle w:val="Body"/>
              <w:rPr>
                <w:rFonts w:ascii="Arial" w:hAnsi="Arial" w:cs="Arial"/>
                <w:bCs/>
                <w:lang w:val="en"/>
              </w:rPr>
            </w:pPr>
            <w:r w:rsidRPr="00B9614D">
              <w:rPr>
                <w:rFonts w:ascii="Arial" w:hAnsi="Arial" w:cs="Arial"/>
                <w:b/>
                <w:bCs/>
                <w:lang w:val="en"/>
              </w:rPr>
              <w:t>Indicator</w:t>
            </w:r>
          </w:p>
        </w:tc>
        <w:tc>
          <w:tcPr>
            <w:tcW w:w="1670" w:type="dxa"/>
            <w:tcBorders>
              <w:top w:val="single" w:sz="4" w:space="0" w:color="auto"/>
              <w:left w:val="nil"/>
              <w:bottom w:val="single" w:sz="4" w:space="0" w:color="auto"/>
              <w:right w:val="nil"/>
            </w:tcBorders>
            <w:tcMar>
              <w:top w:w="100" w:type="dxa"/>
              <w:left w:w="100" w:type="dxa"/>
              <w:bottom w:w="100" w:type="dxa"/>
              <w:right w:w="100" w:type="dxa"/>
            </w:tcMar>
          </w:tcPr>
          <w:p w14:paraId="6488D7D8" w14:textId="77777777" w:rsidR="00B9614D" w:rsidRPr="00B9614D" w:rsidRDefault="00B9614D" w:rsidP="00B9614D">
            <w:pPr>
              <w:pStyle w:val="Body"/>
              <w:rPr>
                <w:rFonts w:ascii="Arial" w:hAnsi="Arial" w:cs="Arial"/>
                <w:bCs/>
                <w:lang w:val="en"/>
              </w:rPr>
            </w:pPr>
            <w:r w:rsidRPr="00B9614D">
              <w:rPr>
                <w:rFonts w:ascii="Arial" w:hAnsi="Arial" w:cs="Arial"/>
                <w:b/>
                <w:bCs/>
                <w:lang w:val="en"/>
              </w:rPr>
              <w:t>Frequency (n)</w:t>
            </w:r>
          </w:p>
        </w:tc>
        <w:tc>
          <w:tcPr>
            <w:tcW w:w="1820" w:type="dxa"/>
            <w:tcBorders>
              <w:top w:val="single" w:sz="4" w:space="0" w:color="auto"/>
              <w:left w:val="nil"/>
              <w:bottom w:val="single" w:sz="4" w:space="0" w:color="auto"/>
              <w:right w:val="nil"/>
            </w:tcBorders>
            <w:tcMar>
              <w:top w:w="100" w:type="dxa"/>
              <w:left w:w="100" w:type="dxa"/>
              <w:bottom w:w="100" w:type="dxa"/>
              <w:right w:w="100" w:type="dxa"/>
            </w:tcMar>
          </w:tcPr>
          <w:p w14:paraId="70CD7360" w14:textId="77777777" w:rsidR="00B9614D" w:rsidRPr="00B9614D" w:rsidRDefault="00B9614D" w:rsidP="00B9614D">
            <w:pPr>
              <w:pStyle w:val="Body"/>
              <w:rPr>
                <w:rFonts w:ascii="Arial" w:hAnsi="Arial" w:cs="Arial"/>
                <w:bCs/>
                <w:lang w:val="en"/>
              </w:rPr>
            </w:pPr>
            <w:r w:rsidRPr="00B9614D">
              <w:rPr>
                <w:rFonts w:ascii="Arial" w:hAnsi="Arial" w:cs="Arial"/>
                <w:b/>
                <w:bCs/>
                <w:lang w:val="en"/>
              </w:rPr>
              <w:t>Percentage (%)</w:t>
            </w:r>
          </w:p>
        </w:tc>
      </w:tr>
      <w:tr w:rsidR="00B9614D" w:rsidRPr="00B9614D" w14:paraId="54E29581" w14:textId="77777777" w:rsidTr="00AD5942">
        <w:trPr>
          <w:trHeight w:val="84"/>
        </w:trPr>
        <w:tc>
          <w:tcPr>
            <w:tcW w:w="5390" w:type="dxa"/>
            <w:tcBorders>
              <w:top w:val="single" w:sz="4" w:space="0" w:color="auto"/>
              <w:left w:val="nil"/>
              <w:right w:val="nil"/>
            </w:tcBorders>
            <w:tcMar>
              <w:top w:w="100" w:type="dxa"/>
              <w:left w:w="100" w:type="dxa"/>
              <w:bottom w:w="100" w:type="dxa"/>
              <w:right w:w="100" w:type="dxa"/>
            </w:tcMar>
          </w:tcPr>
          <w:p w14:paraId="0E365242" w14:textId="77777777" w:rsidR="00B9614D" w:rsidRPr="00B9614D" w:rsidRDefault="00B9614D" w:rsidP="00B9614D">
            <w:pPr>
              <w:pStyle w:val="Body"/>
              <w:rPr>
                <w:rFonts w:ascii="Arial" w:hAnsi="Arial" w:cs="Arial"/>
                <w:b/>
                <w:bCs/>
                <w:lang w:val="en"/>
              </w:rPr>
            </w:pPr>
          </w:p>
        </w:tc>
        <w:tc>
          <w:tcPr>
            <w:tcW w:w="1670" w:type="dxa"/>
            <w:tcBorders>
              <w:top w:val="single" w:sz="4" w:space="0" w:color="auto"/>
              <w:left w:val="nil"/>
              <w:right w:val="nil"/>
            </w:tcBorders>
            <w:tcMar>
              <w:top w:w="100" w:type="dxa"/>
              <w:left w:w="100" w:type="dxa"/>
              <w:bottom w:w="100" w:type="dxa"/>
              <w:right w:w="100" w:type="dxa"/>
            </w:tcMar>
          </w:tcPr>
          <w:p w14:paraId="54FE6AAB" w14:textId="77777777" w:rsidR="00B9614D" w:rsidRPr="00B9614D" w:rsidRDefault="00B9614D" w:rsidP="00B9614D">
            <w:pPr>
              <w:pStyle w:val="Body"/>
              <w:rPr>
                <w:rFonts w:ascii="Arial" w:hAnsi="Arial" w:cs="Arial"/>
                <w:b/>
                <w:bCs/>
                <w:lang w:val="en"/>
              </w:rPr>
            </w:pPr>
          </w:p>
        </w:tc>
        <w:tc>
          <w:tcPr>
            <w:tcW w:w="1820" w:type="dxa"/>
            <w:tcBorders>
              <w:top w:val="single" w:sz="4" w:space="0" w:color="auto"/>
              <w:left w:val="nil"/>
              <w:right w:val="nil"/>
            </w:tcBorders>
            <w:tcMar>
              <w:top w:w="100" w:type="dxa"/>
              <w:left w:w="100" w:type="dxa"/>
              <w:bottom w:w="100" w:type="dxa"/>
              <w:right w:w="100" w:type="dxa"/>
            </w:tcMar>
          </w:tcPr>
          <w:p w14:paraId="3F4F00E8" w14:textId="77777777" w:rsidR="00B9614D" w:rsidRPr="00B9614D" w:rsidRDefault="00B9614D" w:rsidP="00B9614D">
            <w:pPr>
              <w:pStyle w:val="Body"/>
              <w:rPr>
                <w:rFonts w:ascii="Arial" w:hAnsi="Arial" w:cs="Arial"/>
                <w:b/>
                <w:bCs/>
                <w:lang w:val="en"/>
              </w:rPr>
            </w:pPr>
          </w:p>
        </w:tc>
      </w:tr>
      <w:tr w:rsidR="00B9614D" w:rsidRPr="00B9614D" w14:paraId="5C151F92" w14:textId="77777777" w:rsidTr="00AD5942">
        <w:trPr>
          <w:trHeight w:val="515"/>
        </w:trPr>
        <w:tc>
          <w:tcPr>
            <w:tcW w:w="5390" w:type="dxa"/>
            <w:tcBorders>
              <w:top w:val="nil"/>
              <w:left w:val="nil"/>
              <w:bottom w:val="nil"/>
              <w:right w:val="nil"/>
            </w:tcBorders>
            <w:tcMar>
              <w:top w:w="100" w:type="dxa"/>
              <w:left w:w="100" w:type="dxa"/>
              <w:bottom w:w="100" w:type="dxa"/>
              <w:right w:w="100" w:type="dxa"/>
            </w:tcMar>
          </w:tcPr>
          <w:p w14:paraId="138E4BCF" w14:textId="77777777" w:rsidR="00B9614D" w:rsidRPr="00B9614D" w:rsidRDefault="00B9614D" w:rsidP="00B9614D">
            <w:pPr>
              <w:pStyle w:val="Body"/>
              <w:rPr>
                <w:rFonts w:ascii="Arial" w:hAnsi="Arial" w:cs="Arial"/>
                <w:bCs/>
                <w:lang w:val="en"/>
              </w:rPr>
            </w:pPr>
            <w:r w:rsidRPr="00B9614D">
              <w:rPr>
                <w:rFonts w:ascii="Arial" w:hAnsi="Arial" w:cs="Arial"/>
                <w:bCs/>
                <w:lang w:val="en"/>
              </w:rPr>
              <w:t>Data-entry mistakes seen “Sometimes/Often/Always”</w:t>
            </w:r>
          </w:p>
        </w:tc>
        <w:tc>
          <w:tcPr>
            <w:tcW w:w="1670" w:type="dxa"/>
            <w:tcBorders>
              <w:top w:val="nil"/>
              <w:left w:val="nil"/>
              <w:bottom w:val="nil"/>
              <w:right w:val="nil"/>
            </w:tcBorders>
            <w:tcMar>
              <w:top w:w="100" w:type="dxa"/>
              <w:left w:w="100" w:type="dxa"/>
              <w:bottom w:w="100" w:type="dxa"/>
              <w:right w:w="100" w:type="dxa"/>
            </w:tcMar>
          </w:tcPr>
          <w:p w14:paraId="54FF04C9" w14:textId="77777777" w:rsidR="00B9614D" w:rsidRPr="00B9614D" w:rsidRDefault="00B9614D" w:rsidP="00B9614D">
            <w:pPr>
              <w:pStyle w:val="Body"/>
              <w:rPr>
                <w:rFonts w:ascii="Arial" w:hAnsi="Arial" w:cs="Arial"/>
                <w:bCs/>
                <w:lang w:val="en"/>
              </w:rPr>
            </w:pPr>
            <w:r w:rsidRPr="00B9614D">
              <w:rPr>
                <w:rFonts w:ascii="Arial" w:hAnsi="Arial" w:cs="Arial"/>
                <w:bCs/>
                <w:lang w:val="en"/>
              </w:rPr>
              <w:t>38</w:t>
            </w:r>
          </w:p>
        </w:tc>
        <w:tc>
          <w:tcPr>
            <w:tcW w:w="1820" w:type="dxa"/>
            <w:tcBorders>
              <w:top w:val="nil"/>
              <w:left w:val="nil"/>
              <w:bottom w:val="nil"/>
              <w:right w:val="nil"/>
            </w:tcBorders>
            <w:tcMar>
              <w:top w:w="100" w:type="dxa"/>
              <w:left w:w="100" w:type="dxa"/>
              <w:bottom w:w="100" w:type="dxa"/>
              <w:right w:w="100" w:type="dxa"/>
            </w:tcMar>
          </w:tcPr>
          <w:p w14:paraId="566782E3" w14:textId="77777777" w:rsidR="00B9614D" w:rsidRPr="00B9614D" w:rsidRDefault="00B9614D" w:rsidP="00B9614D">
            <w:pPr>
              <w:pStyle w:val="Body"/>
              <w:rPr>
                <w:rFonts w:ascii="Arial" w:hAnsi="Arial" w:cs="Arial"/>
                <w:bCs/>
                <w:lang w:val="en"/>
              </w:rPr>
            </w:pPr>
            <w:r w:rsidRPr="00B9614D">
              <w:rPr>
                <w:rFonts w:ascii="Arial" w:hAnsi="Arial" w:cs="Arial"/>
                <w:bCs/>
                <w:lang w:val="en"/>
              </w:rPr>
              <w:t>70.3</w:t>
            </w:r>
          </w:p>
        </w:tc>
      </w:tr>
      <w:tr w:rsidR="00B9614D" w:rsidRPr="00B9614D" w14:paraId="4E06232B" w14:textId="77777777" w:rsidTr="00AD5942">
        <w:trPr>
          <w:trHeight w:val="515"/>
        </w:trPr>
        <w:tc>
          <w:tcPr>
            <w:tcW w:w="5390" w:type="dxa"/>
            <w:tcBorders>
              <w:top w:val="nil"/>
              <w:left w:val="nil"/>
              <w:bottom w:val="nil"/>
              <w:right w:val="nil"/>
            </w:tcBorders>
            <w:tcMar>
              <w:top w:w="100" w:type="dxa"/>
              <w:left w:w="100" w:type="dxa"/>
              <w:bottom w:w="100" w:type="dxa"/>
              <w:right w:w="100" w:type="dxa"/>
            </w:tcMar>
          </w:tcPr>
          <w:p w14:paraId="31690D77" w14:textId="77777777" w:rsidR="00B9614D" w:rsidRPr="00B9614D" w:rsidRDefault="00B9614D" w:rsidP="00B9614D">
            <w:pPr>
              <w:pStyle w:val="Body"/>
              <w:rPr>
                <w:rFonts w:ascii="Arial" w:hAnsi="Arial" w:cs="Arial"/>
                <w:bCs/>
                <w:lang w:val="en"/>
              </w:rPr>
            </w:pPr>
            <w:r w:rsidRPr="00B9614D">
              <w:rPr>
                <w:rFonts w:ascii="Arial" w:hAnsi="Arial" w:cs="Arial"/>
                <w:bCs/>
                <w:lang w:val="en"/>
              </w:rPr>
              <w:t>Impact of mistakes “Significant/Extreme”</w:t>
            </w:r>
          </w:p>
        </w:tc>
        <w:tc>
          <w:tcPr>
            <w:tcW w:w="1670" w:type="dxa"/>
            <w:tcBorders>
              <w:top w:val="nil"/>
              <w:left w:val="nil"/>
              <w:bottom w:val="nil"/>
              <w:right w:val="nil"/>
            </w:tcBorders>
            <w:tcMar>
              <w:top w:w="100" w:type="dxa"/>
              <w:left w:w="100" w:type="dxa"/>
              <w:bottom w:w="100" w:type="dxa"/>
              <w:right w:w="100" w:type="dxa"/>
            </w:tcMar>
          </w:tcPr>
          <w:p w14:paraId="26365783" w14:textId="77777777" w:rsidR="00B9614D" w:rsidRPr="00B9614D" w:rsidRDefault="00B9614D" w:rsidP="00B9614D">
            <w:pPr>
              <w:pStyle w:val="Body"/>
              <w:rPr>
                <w:rFonts w:ascii="Arial" w:hAnsi="Arial" w:cs="Arial"/>
                <w:bCs/>
                <w:lang w:val="en"/>
              </w:rPr>
            </w:pPr>
            <w:r w:rsidRPr="00B9614D">
              <w:rPr>
                <w:rFonts w:ascii="Arial" w:hAnsi="Arial" w:cs="Arial"/>
                <w:bCs/>
                <w:lang w:val="en"/>
              </w:rPr>
              <w:t>21</w:t>
            </w:r>
          </w:p>
        </w:tc>
        <w:tc>
          <w:tcPr>
            <w:tcW w:w="1820" w:type="dxa"/>
            <w:tcBorders>
              <w:top w:val="nil"/>
              <w:left w:val="nil"/>
              <w:bottom w:val="nil"/>
              <w:right w:val="nil"/>
            </w:tcBorders>
            <w:tcMar>
              <w:top w:w="100" w:type="dxa"/>
              <w:left w:w="100" w:type="dxa"/>
              <w:bottom w:w="100" w:type="dxa"/>
              <w:right w:w="100" w:type="dxa"/>
            </w:tcMar>
          </w:tcPr>
          <w:p w14:paraId="0DC808CC" w14:textId="77777777" w:rsidR="00B9614D" w:rsidRPr="00B9614D" w:rsidRDefault="00B9614D" w:rsidP="00B9614D">
            <w:pPr>
              <w:pStyle w:val="Body"/>
              <w:rPr>
                <w:rFonts w:ascii="Arial" w:hAnsi="Arial" w:cs="Arial"/>
                <w:bCs/>
                <w:lang w:val="en"/>
              </w:rPr>
            </w:pPr>
            <w:r w:rsidRPr="00B9614D">
              <w:rPr>
                <w:rFonts w:ascii="Arial" w:hAnsi="Arial" w:cs="Arial"/>
                <w:bCs/>
                <w:lang w:val="en"/>
              </w:rPr>
              <w:t>38.9</w:t>
            </w:r>
          </w:p>
        </w:tc>
      </w:tr>
      <w:tr w:rsidR="00B9614D" w:rsidRPr="00B9614D" w14:paraId="4421EFDE" w14:textId="77777777" w:rsidTr="00AD5942">
        <w:trPr>
          <w:trHeight w:val="515"/>
        </w:trPr>
        <w:tc>
          <w:tcPr>
            <w:tcW w:w="5390" w:type="dxa"/>
            <w:tcBorders>
              <w:top w:val="nil"/>
              <w:left w:val="nil"/>
              <w:bottom w:val="single" w:sz="4" w:space="0" w:color="auto"/>
              <w:right w:val="nil"/>
            </w:tcBorders>
            <w:tcMar>
              <w:top w:w="100" w:type="dxa"/>
              <w:left w:w="100" w:type="dxa"/>
              <w:bottom w:w="100" w:type="dxa"/>
              <w:right w:w="100" w:type="dxa"/>
            </w:tcMar>
          </w:tcPr>
          <w:p w14:paraId="5C801724" w14:textId="77777777" w:rsidR="00B9614D" w:rsidRPr="00B9614D" w:rsidRDefault="00B9614D" w:rsidP="00B9614D">
            <w:pPr>
              <w:pStyle w:val="Body"/>
              <w:rPr>
                <w:rFonts w:ascii="Arial" w:hAnsi="Arial" w:cs="Arial"/>
                <w:bCs/>
                <w:lang w:val="en"/>
              </w:rPr>
            </w:pPr>
            <w:r w:rsidRPr="00B9614D">
              <w:rPr>
                <w:rFonts w:ascii="Arial" w:hAnsi="Arial" w:cs="Arial"/>
                <w:bCs/>
                <w:lang w:val="en"/>
              </w:rPr>
              <w:t>Measures to minimize errors “Not/Slightly effective”</w:t>
            </w:r>
          </w:p>
        </w:tc>
        <w:tc>
          <w:tcPr>
            <w:tcW w:w="1670" w:type="dxa"/>
            <w:tcBorders>
              <w:top w:val="nil"/>
              <w:left w:val="nil"/>
              <w:bottom w:val="single" w:sz="4" w:space="0" w:color="auto"/>
              <w:right w:val="nil"/>
            </w:tcBorders>
            <w:tcMar>
              <w:top w:w="100" w:type="dxa"/>
              <w:left w:w="100" w:type="dxa"/>
              <w:bottom w:w="100" w:type="dxa"/>
              <w:right w:w="100" w:type="dxa"/>
            </w:tcMar>
          </w:tcPr>
          <w:p w14:paraId="390496D9" w14:textId="77777777" w:rsidR="00B9614D" w:rsidRPr="00B9614D" w:rsidRDefault="00B9614D" w:rsidP="00B9614D">
            <w:pPr>
              <w:pStyle w:val="Body"/>
              <w:rPr>
                <w:rFonts w:ascii="Arial" w:hAnsi="Arial" w:cs="Arial"/>
                <w:bCs/>
                <w:lang w:val="en"/>
              </w:rPr>
            </w:pPr>
            <w:r w:rsidRPr="00B9614D">
              <w:rPr>
                <w:rFonts w:ascii="Arial" w:hAnsi="Arial" w:cs="Arial"/>
                <w:bCs/>
                <w:lang w:val="en"/>
              </w:rPr>
              <w:t>18</w:t>
            </w:r>
          </w:p>
        </w:tc>
        <w:tc>
          <w:tcPr>
            <w:tcW w:w="1820" w:type="dxa"/>
            <w:tcBorders>
              <w:top w:val="nil"/>
              <w:left w:val="nil"/>
              <w:bottom w:val="single" w:sz="4" w:space="0" w:color="auto"/>
              <w:right w:val="nil"/>
            </w:tcBorders>
            <w:tcMar>
              <w:top w:w="100" w:type="dxa"/>
              <w:left w:w="100" w:type="dxa"/>
              <w:bottom w:w="100" w:type="dxa"/>
              <w:right w:w="100" w:type="dxa"/>
            </w:tcMar>
          </w:tcPr>
          <w:p w14:paraId="001BC359" w14:textId="77777777" w:rsidR="00B9614D" w:rsidRPr="00B9614D" w:rsidRDefault="00B9614D" w:rsidP="00B9614D">
            <w:pPr>
              <w:pStyle w:val="Body"/>
              <w:rPr>
                <w:rFonts w:ascii="Arial" w:hAnsi="Arial" w:cs="Arial"/>
                <w:bCs/>
                <w:lang w:val="en"/>
              </w:rPr>
            </w:pPr>
            <w:r w:rsidRPr="00B9614D">
              <w:rPr>
                <w:rFonts w:ascii="Arial" w:hAnsi="Arial" w:cs="Arial"/>
                <w:bCs/>
                <w:lang w:val="en"/>
              </w:rPr>
              <w:t>33.3</w:t>
            </w:r>
          </w:p>
        </w:tc>
      </w:tr>
    </w:tbl>
    <w:p w14:paraId="3E553AD5" w14:textId="78238E2F" w:rsidR="00C30A0F" w:rsidRPr="00B9614D" w:rsidRDefault="00B9614D" w:rsidP="00B9614D">
      <w:pPr>
        <w:pStyle w:val="Body"/>
        <w:rPr>
          <w:rFonts w:ascii="Arial" w:hAnsi="Arial" w:cs="Arial"/>
          <w:b/>
          <w:bCs/>
          <w:i/>
          <w:iCs/>
          <w:lang w:val="en"/>
        </w:rPr>
      </w:pPr>
      <w:bookmarkStart w:id="2" w:name="_go0u8mi1p9af" w:colFirst="0" w:colLast="0"/>
      <w:bookmarkEnd w:id="2"/>
      <w:r w:rsidRPr="00B9614D">
        <w:rPr>
          <w:rFonts w:ascii="Arial" w:hAnsi="Arial" w:cs="Arial"/>
          <w:bCs/>
          <w:i/>
          <w:iCs/>
          <w:sz w:val="18"/>
          <w:szCs w:val="18"/>
          <w:lang w:val="en"/>
        </w:rPr>
        <w:t>*These percentages are calculated per question and reflect the proportion of respondents for each specific indicator, rather than a cumulative total</w:t>
      </w:r>
      <w:r w:rsidRPr="00B9614D">
        <w:rPr>
          <w:rFonts w:ascii="Arial" w:hAnsi="Arial" w:cs="Arial"/>
          <w:bCs/>
          <w:i/>
          <w:iCs/>
          <w:lang w:val="en"/>
        </w:rPr>
        <w:t>.</w:t>
      </w:r>
    </w:p>
    <w:p w14:paraId="7386B88B" w14:textId="77777777" w:rsidR="00C45841" w:rsidRDefault="00C45841" w:rsidP="00441B6F">
      <w:pPr>
        <w:pStyle w:val="Body"/>
        <w:spacing w:after="0"/>
        <w:rPr>
          <w:rFonts w:ascii="Arial" w:hAnsi="Arial" w:cs="Arial"/>
        </w:rPr>
      </w:pPr>
    </w:p>
    <w:p w14:paraId="5F42E5DA" w14:textId="2C5A008A" w:rsidR="003027CE" w:rsidRDefault="003027CE" w:rsidP="003027CE">
      <w:pPr>
        <w:pStyle w:val="Body"/>
        <w:spacing w:after="0"/>
        <w:jc w:val="left"/>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System Integration</w:t>
      </w:r>
      <w:r w:rsidRPr="00C30A0F">
        <w:rPr>
          <w:rFonts w:ascii="Arial" w:hAnsi="Arial" w:cs="Arial"/>
          <w:b/>
          <w:sz w:val="22"/>
        </w:rPr>
        <w:t xml:space="preserve"> </w:t>
      </w:r>
    </w:p>
    <w:p w14:paraId="2043B2A7" w14:textId="77777777" w:rsidR="00B9614D" w:rsidRDefault="00B9614D" w:rsidP="003027CE">
      <w:pPr>
        <w:pStyle w:val="Body"/>
        <w:spacing w:after="0"/>
        <w:jc w:val="left"/>
        <w:rPr>
          <w:rFonts w:ascii="Arial" w:hAnsi="Arial" w:cs="Arial"/>
          <w:b/>
          <w:sz w:val="22"/>
        </w:rPr>
      </w:pPr>
    </w:p>
    <w:p w14:paraId="5340CA9D" w14:textId="77777777" w:rsidR="00B9614D" w:rsidRDefault="00B9614D" w:rsidP="00B9614D">
      <w:pPr>
        <w:pStyle w:val="Body"/>
        <w:rPr>
          <w:rFonts w:ascii="Arial" w:hAnsi="Arial" w:cs="Arial"/>
          <w:bCs/>
          <w:lang w:val="en"/>
        </w:rPr>
      </w:pPr>
      <w:r w:rsidRPr="00B9614D">
        <w:rPr>
          <w:rFonts w:ascii="Arial" w:hAnsi="Arial" w:cs="Arial"/>
          <w:bCs/>
          <w:lang w:val="en"/>
        </w:rPr>
        <w:t xml:space="preserve">The results, as shown in Table 2, revealed additional challenges with how information flows between systems used to manage student data. Respondents rated the integration of systems as less than optimal, with 29.6% selecting </w:t>
      </w:r>
      <w:r w:rsidRPr="00B9614D">
        <w:rPr>
          <w:rFonts w:ascii="Arial" w:hAnsi="Arial" w:cs="Arial"/>
          <w:bCs/>
          <w:i/>
          <w:iCs/>
          <w:lang w:val="en"/>
        </w:rPr>
        <w:t>“Not at all, Slightly, or Moderately”</w:t>
      </w:r>
      <w:r w:rsidRPr="00B9614D">
        <w:rPr>
          <w:rFonts w:ascii="Arial" w:hAnsi="Arial" w:cs="Arial"/>
          <w:bCs/>
          <w:lang w:val="en"/>
        </w:rPr>
        <w:t xml:space="preserve"> when asked how well systems work together. Additionally, 31.5% of staff indicated that they </w:t>
      </w:r>
      <w:r w:rsidRPr="00B9614D">
        <w:rPr>
          <w:rFonts w:ascii="Arial" w:hAnsi="Arial" w:cs="Arial"/>
          <w:bCs/>
          <w:i/>
          <w:iCs/>
          <w:lang w:val="en"/>
        </w:rPr>
        <w:t>“Often or Always”</w:t>
      </w:r>
      <w:r w:rsidRPr="00B9614D">
        <w:rPr>
          <w:rFonts w:ascii="Arial" w:hAnsi="Arial" w:cs="Arial"/>
          <w:bCs/>
          <w:lang w:val="en"/>
        </w:rPr>
        <w:t xml:space="preserve"> struggle to move or access information across systems, meaning users frequently export, edit, and manually re-enter data. A similar 31.5% reported that system connection issues cause problems </w:t>
      </w:r>
      <w:r w:rsidRPr="00B9614D">
        <w:rPr>
          <w:rFonts w:ascii="Arial" w:hAnsi="Arial" w:cs="Arial"/>
          <w:bCs/>
          <w:i/>
          <w:iCs/>
          <w:lang w:val="en"/>
        </w:rPr>
        <w:t xml:space="preserve">“Significantly or Extremely,” </w:t>
      </w:r>
      <w:r w:rsidRPr="00B9614D">
        <w:rPr>
          <w:rFonts w:ascii="Arial" w:hAnsi="Arial" w:cs="Arial"/>
          <w:bCs/>
          <w:lang w:val="en"/>
        </w:rPr>
        <w:t xml:space="preserve">demonstrating that technical barriers have operational consequences. When systems do not communicate, staff create their own workarounds, increasing the risk of duplicate records and formatting inconsistencies. Prinsloo and </w:t>
      </w:r>
      <w:proofErr w:type="spellStart"/>
      <w:r w:rsidRPr="00B9614D">
        <w:rPr>
          <w:rFonts w:ascii="Arial" w:hAnsi="Arial" w:cs="Arial"/>
          <w:bCs/>
          <w:lang w:val="en"/>
        </w:rPr>
        <w:t>Kaliisa</w:t>
      </w:r>
      <w:proofErr w:type="spellEnd"/>
      <w:r w:rsidRPr="00B9614D">
        <w:rPr>
          <w:rFonts w:ascii="Arial" w:hAnsi="Arial" w:cs="Arial"/>
          <w:bCs/>
          <w:lang w:val="en"/>
        </w:rPr>
        <w:t xml:space="preserve"> (2022) observed that universities using multiple stand-alone systems experience mismatched records, delays, data loss, and duplicated student profiles. These findings show that system fragmentation at KAG East University requires attention to system integration, automation, and the reduction of manual record transfer.</w:t>
      </w:r>
    </w:p>
    <w:p w14:paraId="4709E654" w14:textId="77777777" w:rsidR="00B9614D" w:rsidRPr="00B9614D" w:rsidRDefault="00B9614D" w:rsidP="00B9614D">
      <w:pPr>
        <w:pStyle w:val="Body"/>
        <w:rPr>
          <w:rFonts w:ascii="Arial" w:hAnsi="Arial" w:cs="Arial"/>
          <w:b/>
          <w:bCs/>
          <w:i/>
          <w:iCs/>
          <w:lang w:val="en"/>
        </w:rPr>
      </w:pPr>
      <w:r w:rsidRPr="00B9614D">
        <w:rPr>
          <w:rFonts w:ascii="Arial" w:hAnsi="Arial" w:cs="Arial"/>
          <w:b/>
          <w:bCs/>
          <w:i/>
          <w:iCs/>
          <w:lang w:val="en"/>
        </w:rPr>
        <w:t>Table 2: System Integration</w:t>
      </w:r>
    </w:p>
    <w:tbl>
      <w:tblPr>
        <w:tblW w:w="9359" w:type="dxa"/>
        <w:tblBorders>
          <w:top w:val="single" w:sz="4" w:space="0" w:color="auto"/>
          <w:bottom w:val="single" w:sz="4" w:space="0" w:color="auto"/>
        </w:tblBorders>
        <w:tblLayout w:type="fixed"/>
        <w:tblLook w:val="0600" w:firstRow="0" w:lastRow="0" w:firstColumn="0" w:lastColumn="0" w:noHBand="1" w:noVBand="1"/>
      </w:tblPr>
      <w:tblGrid>
        <w:gridCol w:w="5905"/>
        <w:gridCol w:w="1652"/>
        <w:gridCol w:w="1802"/>
      </w:tblGrid>
      <w:tr w:rsidR="00B9614D" w:rsidRPr="00B9614D" w14:paraId="210DD852" w14:textId="77777777" w:rsidTr="00AD5942">
        <w:trPr>
          <w:trHeight w:val="785"/>
          <w:tblHeader/>
        </w:trPr>
        <w:tc>
          <w:tcPr>
            <w:tcW w:w="5905" w:type="dxa"/>
            <w:tcBorders>
              <w:top w:val="single" w:sz="4" w:space="0" w:color="auto"/>
              <w:bottom w:val="single" w:sz="4" w:space="0" w:color="auto"/>
            </w:tcBorders>
            <w:tcMar>
              <w:top w:w="100" w:type="dxa"/>
              <w:left w:w="100" w:type="dxa"/>
              <w:bottom w:w="100" w:type="dxa"/>
              <w:right w:w="100" w:type="dxa"/>
            </w:tcMar>
          </w:tcPr>
          <w:p w14:paraId="61D5F74F" w14:textId="77777777" w:rsidR="00B9614D" w:rsidRPr="00B9614D" w:rsidRDefault="00B9614D" w:rsidP="00B9614D">
            <w:pPr>
              <w:pStyle w:val="Body"/>
              <w:rPr>
                <w:rFonts w:ascii="Arial" w:hAnsi="Arial" w:cs="Arial"/>
                <w:bCs/>
                <w:lang w:val="en"/>
              </w:rPr>
            </w:pPr>
            <w:r w:rsidRPr="00B9614D">
              <w:rPr>
                <w:rFonts w:ascii="Arial" w:hAnsi="Arial" w:cs="Arial"/>
                <w:b/>
                <w:bCs/>
                <w:lang w:val="en"/>
              </w:rPr>
              <w:t>Indicator</w:t>
            </w:r>
          </w:p>
        </w:tc>
        <w:tc>
          <w:tcPr>
            <w:tcW w:w="1652" w:type="dxa"/>
            <w:tcBorders>
              <w:top w:val="single" w:sz="4" w:space="0" w:color="auto"/>
              <w:bottom w:val="single" w:sz="4" w:space="0" w:color="auto"/>
            </w:tcBorders>
            <w:tcMar>
              <w:top w:w="100" w:type="dxa"/>
              <w:left w:w="100" w:type="dxa"/>
              <w:bottom w:w="100" w:type="dxa"/>
              <w:right w:w="100" w:type="dxa"/>
            </w:tcMar>
          </w:tcPr>
          <w:p w14:paraId="687D86E3" w14:textId="77777777" w:rsidR="00B9614D" w:rsidRPr="00B9614D" w:rsidRDefault="00B9614D" w:rsidP="00B9614D">
            <w:pPr>
              <w:pStyle w:val="Body"/>
              <w:rPr>
                <w:rFonts w:ascii="Arial" w:hAnsi="Arial" w:cs="Arial"/>
                <w:bCs/>
                <w:lang w:val="en"/>
              </w:rPr>
            </w:pPr>
            <w:r w:rsidRPr="00B9614D">
              <w:rPr>
                <w:rFonts w:ascii="Arial" w:hAnsi="Arial" w:cs="Arial"/>
                <w:b/>
                <w:bCs/>
                <w:lang w:val="en"/>
              </w:rPr>
              <w:t>Frequency (n)</w:t>
            </w:r>
          </w:p>
        </w:tc>
        <w:tc>
          <w:tcPr>
            <w:tcW w:w="1802" w:type="dxa"/>
            <w:tcBorders>
              <w:top w:val="single" w:sz="4" w:space="0" w:color="auto"/>
              <w:bottom w:val="single" w:sz="4" w:space="0" w:color="auto"/>
            </w:tcBorders>
            <w:tcMar>
              <w:top w:w="100" w:type="dxa"/>
              <w:left w:w="100" w:type="dxa"/>
              <w:bottom w:w="100" w:type="dxa"/>
              <w:right w:w="100" w:type="dxa"/>
            </w:tcMar>
          </w:tcPr>
          <w:p w14:paraId="32AC8F9A" w14:textId="77777777" w:rsidR="00B9614D" w:rsidRPr="00B9614D" w:rsidRDefault="00B9614D" w:rsidP="00B9614D">
            <w:pPr>
              <w:pStyle w:val="Body"/>
              <w:rPr>
                <w:rFonts w:ascii="Arial" w:hAnsi="Arial" w:cs="Arial"/>
                <w:bCs/>
                <w:lang w:val="en"/>
              </w:rPr>
            </w:pPr>
            <w:r w:rsidRPr="00B9614D">
              <w:rPr>
                <w:rFonts w:ascii="Arial" w:hAnsi="Arial" w:cs="Arial"/>
                <w:b/>
                <w:bCs/>
                <w:lang w:val="en"/>
              </w:rPr>
              <w:t>Percentage (%)</w:t>
            </w:r>
          </w:p>
        </w:tc>
      </w:tr>
      <w:tr w:rsidR="00B9614D" w:rsidRPr="00B9614D" w14:paraId="1ABAA12D" w14:textId="77777777" w:rsidTr="00AD5942">
        <w:trPr>
          <w:trHeight w:val="515"/>
        </w:trPr>
        <w:tc>
          <w:tcPr>
            <w:tcW w:w="5905" w:type="dxa"/>
            <w:tcBorders>
              <w:top w:val="single" w:sz="4" w:space="0" w:color="auto"/>
            </w:tcBorders>
            <w:tcMar>
              <w:top w:w="100" w:type="dxa"/>
              <w:left w:w="100" w:type="dxa"/>
              <w:bottom w:w="100" w:type="dxa"/>
              <w:right w:w="100" w:type="dxa"/>
            </w:tcMar>
          </w:tcPr>
          <w:p w14:paraId="2B307F4F" w14:textId="77777777" w:rsidR="00B9614D" w:rsidRPr="00B9614D" w:rsidRDefault="00B9614D" w:rsidP="00B9614D">
            <w:pPr>
              <w:pStyle w:val="Body"/>
              <w:rPr>
                <w:rFonts w:ascii="Arial" w:hAnsi="Arial" w:cs="Arial"/>
                <w:bCs/>
                <w:lang w:val="en"/>
              </w:rPr>
            </w:pPr>
            <w:r w:rsidRPr="00B9614D">
              <w:rPr>
                <w:rFonts w:ascii="Arial" w:hAnsi="Arial" w:cs="Arial"/>
                <w:bCs/>
                <w:lang w:val="en"/>
              </w:rPr>
              <w:lastRenderedPageBreak/>
              <w:t>Systems work together “Not/Slightly/Moderately well”</w:t>
            </w:r>
          </w:p>
        </w:tc>
        <w:tc>
          <w:tcPr>
            <w:tcW w:w="1652" w:type="dxa"/>
            <w:tcBorders>
              <w:top w:val="single" w:sz="4" w:space="0" w:color="auto"/>
            </w:tcBorders>
            <w:tcMar>
              <w:top w:w="100" w:type="dxa"/>
              <w:left w:w="100" w:type="dxa"/>
              <w:bottom w:w="100" w:type="dxa"/>
              <w:right w:w="100" w:type="dxa"/>
            </w:tcMar>
          </w:tcPr>
          <w:p w14:paraId="7E90B20B" w14:textId="77777777" w:rsidR="00B9614D" w:rsidRPr="00B9614D" w:rsidRDefault="00B9614D" w:rsidP="00B9614D">
            <w:pPr>
              <w:pStyle w:val="Body"/>
              <w:rPr>
                <w:rFonts w:ascii="Arial" w:hAnsi="Arial" w:cs="Arial"/>
                <w:bCs/>
                <w:lang w:val="en"/>
              </w:rPr>
            </w:pPr>
            <w:r w:rsidRPr="00B9614D">
              <w:rPr>
                <w:rFonts w:ascii="Arial" w:hAnsi="Arial" w:cs="Arial"/>
                <w:bCs/>
                <w:lang w:val="en"/>
              </w:rPr>
              <w:t>16</w:t>
            </w:r>
          </w:p>
        </w:tc>
        <w:tc>
          <w:tcPr>
            <w:tcW w:w="1802" w:type="dxa"/>
            <w:tcBorders>
              <w:top w:val="single" w:sz="4" w:space="0" w:color="auto"/>
            </w:tcBorders>
            <w:tcMar>
              <w:top w:w="100" w:type="dxa"/>
              <w:left w:w="100" w:type="dxa"/>
              <w:bottom w:w="100" w:type="dxa"/>
              <w:right w:w="100" w:type="dxa"/>
            </w:tcMar>
          </w:tcPr>
          <w:p w14:paraId="100B409E" w14:textId="77777777" w:rsidR="00B9614D" w:rsidRPr="00B9614D" w:rsidRDefault="00B9614D" w:rsidP="00B9614D">
            <w:pPr>
              <w:pStyle w:val="Body"/>
              <w:rPr>
                <w:rFonts w:ascii="Arial" w:hAnsi="Arial" w:cs="Arial"/>
                <w:bCs/>
                <w:lang w:val="en"/>
              </w:rPr>
            </w:pPr>
            <w:r w:rsidRPr="00B9614D">
              <w:rPr>
                <w:rFonts w:ascii="Arial" w:hAnsi="Arial" w:cs="Arial"/>
                <w:bCs/>
                <w:lang w:val="en"/>
              </w:rPr>
              <w:t>29.6</w:t>
            </w:r>
          </w:p>
        </w:tc>
      </w:tr>
      <w:tr w:rsidR="00B9614D" w:rsidRPr="00B9614D" w14:paraId="2FEF230D" w14:textId="77777777" w:rsidTr="00AD5942">
        <w:trPr>
          <w:trHeight w:val="515"/>
        </w:trPr>
        <w:tc>
          <w:tcPr>
            <w:tcW w:w="5905" w:type="dxa"/>
            <w:tcMar>
              <w:top w:w="100" w:type="dxa"/>
              <w:left w:w="100" w:type="dxa"/>
              <w:bottom w:w="100" w:type="dxa"/>
              <w:right w:w="100" w:type="dxa"/>
            </w:tcMar>
          </w:tcPr>
          <w:p w14:paraId="04C60289" w14:textId="77777777" w:rsidR="00B9614D" w:rsidRPr="00B9614D" w:rsidRDefault="00B9614D" w:rsidP="00B9614D">
            <w:pPr>
              <w:pStyle w:val="Body"/>
              <w:rPr>
                <w:rFonts w:ascii="Arial" w:hAnsi="Arial" w:cs="Arial"/>
                <w:bCs/>
                <w:lang w:val="en"/>
              </w:rPr>
            </w:pPr>
            <w:r w:rsidRPr="00B9614D">
              <w:rPr>
                <w:rFonts w:ascii="Arial" w:hAnsi="Arial" w:cs="Arial"/>
                <w:bCs/>
                <w:lang w:val="en"/>
              </w:rPr>
              <w:t>Difficulty moving/accessing data “Often/Always”</w:t>
            </w:r>
          </w:p>
        </w:tc>
        <w:tc>
          <w:tcPr>
            <w:tcW w:w="1652" w:type="dxa"/>
            <w:tcMar>
              <w:top w:w="100" w:type="dxa"/>
              <w:left w:w="100" w:type="dxa"/>
              <w:bottom w:w="100" w:type="dxa"/>
              <w:right w:w="100" w:type="dxa"/>
            </w:tcMar>
          </w:tcPr>
          <w:p w14:paraId="3B5BE450" w14:textId="77777777" w:rsidR="00B9614D" w:rsidRPr="00B9614D" w:rsidRDefault="00B9614D" w:rsidP="00B9614D">
            <w:pPr>
              <w:pStyle w:val="Body"/>
              <w:rPr>
                <w:rFonts w:ascii="Arial" w:hAnsi="Arial" w:cs="Arial"/>
                <w:bCs/>
                <w:lang w:val="en"/>
              </w:rPr>
            </w:pPr>
            <w:r w:rsidRPr="00B9614D">
              <w:rPr>
                <w:rFonts w:ascii="Arial" w:hAnsi="Arial" w:cs="Arial"/>
                <w:bCs/>
                <w:lang w:val="en"/>
              </w:rPr>
              <w:t>17</w:t>
            </w:r>
          </w:p>
        </w:tc>
        <w:tc>
          <w:tcPr>
            <w:tcW w:w="1802" w:type="dxa"/>
            <w:tcMar>
              <w:top w:w="100" w:type="dxa"/>
              <w:left w:w="100" w:type="dxa"/>
              <w:bottom w:w="100" w:type="dxa"/>
              <w:right w:w="100" w:type="dxa"/>
            </w:tcMar>
          </w:tcPr>
          <w:p w14:paraId="4F52A0C9" w14:textId="77777777" w:rsidR="00B9614D" w:rsidRPr="00B9614D" w:rsidRDefault="00B9614D" w:rsidP="00B9614D">
            <w:pPr>
              <w:pStyle w:val="Body"/>
              <w:rPr>
                <w:rFonts w:ascii="Arial" w:hAnsi="Arial" w:cs="Arial"/>
                <w:bCs/>
                <w:lang w:val="en"/>
              </w:rPr>
            </w:pPr>
            <w:r w:rsidRPr="00B9614D">
              <w:rPr>
                <w:rFonts w:ascii="Arial" w:hAnsi="Arial" w:cs="Arial"/>
                <w:bCs/>
                <w:lang w:val="en"/>
              </w:rPr>
              <w:t>31.5</w:t>
            </w:r>
          </w:p>
        </w:tc>
      </w:tr>
      <w:tr w:rsidR="00B9614D" w:rsidRPr="00B9614D" w14:paraId="247A887E" w14:textId="77777777" w:rsidTr="00AD5942">
        <w:trPr>
          <w:trHeight w:val="785"/>
        </w:trPr>
        <w:tc>
          <w:tcPr>
            <w:tcW w:w="5905" w:type="dxa"/>
            <w:tcBorders>
              <w:bottom w:val="single" w:sz="4" w:space="0" w:color="auto"/>
            </w:tcBorders>
            <w:tcMar>
              <w:top w:w="100" w:type="dxa"/>
              <w:left w:w="100" w:type="dxa"/>
              <w:bottom w:w="100" w:type="dxa"/>
              <w:right w:w="100" w:type="dxa"/>
            </w:tcMar>
          </w:tcPr>
          <w:p w14:paraId="04207002" w14:textId="77777777" w:rsidR="00B9614D" w:rsidRPr="00B9614D" w:rsidRDefault="00B9614D" w:rsidP="00B9614D">
            <w:pPr>
              <w:pStyle w:val="Body"/>
              <w:rPr>
                <w:rFonts w:ascii="Arial" w:hAnsi="Arial" w:cs="Arial"/>
                <w:bCs/>
                <w:lang w:val="en"/>
              </w:rPr>
            </w:pPr>
            <w:r w:rsidRPr="00B9614D">
              <w:rPr>
                <w:rFonts w:ascii="Arial" w:hAnsi="Arial" w:cs="Arial"/>
                <w:bCs/>
                <w:lang w:val="en"/>
              </w:rPr>
              <w:t>Integration issues cause problems “Significantly/Extremely”</w:t>
            </w:r>
          </w:p>
        </w:tc>
        <w:tc>
          <w:tcPr>
            <w:tcW w:w="1652" w:type="dxa"/>
            <w:tcBorders>
              <w:bottom w:val="single" w:sz="4" w:space="0" w:color="auto"/>
            </w:tcBorders>
            <w:tcMar>
              <w:top w:w="100" w:type="dxa"/>
              <w:left w:w="100" w:type="dxa"/>
              <w:bottom w:w="100" w:type="dxa"/>
              <w:right w:w="100" w:type="dxa"/>
            </w:tcMar>
          </w:tcPr>
          <w:p w14:paraId="6B75BEBC" w14:textId="77777777" w:rsidR="00B9614D" w:rsidRPr="00B9614D" w:rsidRDefault="00B9614D" w:rsidP="00B9614D">
            <w:pPr>
              <w:pStyle w:val="Body"/>
              <w:rPr>
                <w:rFonts w:ascii="Arial" w:hAnsi="Arial" w:cs="Arial"/>
                <w:bCs/>
                <w:lang w:val="en"/>
              </w:rPr>
            </w:pPr>
            <w:r w:rsidRPr="00B9614D">
              <w:rPr>
                <w:rFonts w:ascii="Arial" w:hAnsi="Arial" w:cs="Arial"/>
                <w:bCs/>
                <w:lang w:val="en"/>
              </w:rPr>
              <w:t>17</w:t>
            </w:r>
          </w:p>
        </w:tc>
        <w:tc>
          <w:tcPr>
            <w:tcW w:w="1802" w:type="dxa"/>
            <w:tcBorders>
              <w:bottom w:val="single" w:sz="4" w:space="0" w:color="auto"/>
            </w:tcBorders>
            <w:tcMar>
              <w:top w:w="100" w:type="dxa"/>
              <w:left w:w="100" w:type="dxa"/>
              <w:bottom w:w="100" w:type="dxa"/>
              <w:right w:w="100" w:type="dxa"/>
            </w:tcMar>
          </w:tcPr>
          <w:p w14:paraId="1F23337A" w14:textId="77777777" w:rsidR="00B9614D" w:rsidRPr="00B9614D" w:rsidRDefault="00B9614D" w:rsidP="00B9614D">
            <w:pPr>
              <w:pStyle w:val="Body"/>
              <w:rPr>
                <w:rFonts w:ascii="Arial" w:hAnsi="Arial" w:cs="Arial"/>
                <w:bCs/>
                <w:lang w:val="en"/>
              </w:rPr>
            </w:pPr>
            <w:r w:rsidRPr="00B9614D">
              <w:rPr>
                <w:rFonts w:ascii="Arial" w:hAnsi="Arial" w:cs="Arial"/>
                <w:bCs/>
                <w:lang w:val="en"/>
              </w:rPr>
              <w:t>31.5</w:t>
            </w:r>
          </w:p>
        </w:tc>
      </w:tr>
    </w:tbl>
    <w:p w14:paraId="327C2276" w14:textId="5C16EE40" w:rsidR="003027CE" w:rsidRPr="00B9614D" w:rsidRDefault="00B9614D" w:rsidP="00B9614D">
      <w:pPr>
        <w:pStyle w:val="Body"/>
        <w:rPr>
          <w:rFonts w:ascii="Arial" w:hAnsi="Arial" w:cs="Arial"/>
          <w:b/>
          <w:bCs/>
          <w:i/>
          <w:iCs/>
          <w:lang w:val="en"/>
        </w:rPr>
      </w:pPr>
      <w:r>
        <w:rPr>
          <w:rFonts w:ascii="Arial" w:hAnsi="Arial" w:cs="Arial"/>
          <w:bCs/>
          <w:i/>
          <w:iCs/>
          <w:lang w:val="en"/>
        </w:rPr>
        <w:t xml:space="preserve">* </w:t>
      </w:r>
      <w:r w:rsidRPr="00B9614D">
        <w:rPr>
          <w:rFonts w:ascii="Arial" w:hAnsi="Arial" w:cs="Arial"/>
          <w:bCs/>
          <w:i/>
          <w:iCs/>
          <w:lang w:val="en"/>
        </w:rPr>
        <w:t>These percentages are calculated per question and reflect the proportion of respondents for each specific indicator, rather than a cumulative total.</w:t>
      </w:r>
    </w:p>
    <w:p w14:paraId="0672730F" w14:textId="34E90F12" w:rsidR="003027CE" w:rsidRDefault="003027CE" w:rsidP="003027CE">
      <w:pPr>
        <w:pStyle w:val="Body"/>
        <w:spacing w:after="0"/>
        <w:jc w:val="left"/>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Pr>
          <w:rFonts w:ascii="Arial" w:hAnsi="Arial" w:cs="Arial"/>
          <w:b/>
          <w:sz w:val="22"/>
        </w:rPr>
        <w:t>Data Verification and Reporting</w:t>
      </w:r>
      <w:r w:rsidRPr="00C30A0F">
        <w:rPr>
          <w:rFonts w:ascii="Arial" w:hAnsi="Arial" w:cs="Arial"/>
          <w:b/>
          <w:sz w:val="22"/>
        </w:rPr>
        <w:t xml:space="preserve"> </w:t>
      </w:r>
    </w:p>
    <w:p w14:paraId="69B228CA" w14:textId="77777777" w:rsidR="003027CE" w:rsidRDefault="003027CE" w:rsidP="003027CE">
      <w:pPr>
        <w:pStyle w:val="Body"/>
        <w:spacing w:after="0"/>
        <w:rPr>
          <w:rFonts w:ascii="Arial" w:hAnsi="Arial" w:cs="Arial"/>
        </w:rPr>
      </w:pPr>
    </w:p>
    <w:p w14:paraId="29887E77" w14:textId="01941B3B" w:rsidR="00B9614D" w:rsidRDefault="00B9614D" w:rsidP="00B9614D">
      <w:pPr>
        <w:pStyle w:val="Body"/>
        <w:rPr>
          <w:rFonts w:ascii="Arial" w:hAnsi="Arial" w:cs="Arial"/>
          <w:lang w:val="en"/>
        </w:rPr>
      </w:pPr>
      <w:r w:rsidRPr="00B9614D">
        <w:rPr>
          <w:rFonts w:ascii="Arial" w:hAnsi="Arial" w:cs="Arial"/>
          <w:lang w:val="en"/>
        </w:rPr>
        <w:t>Verification processes are intended to ensure accuracy before student data becomes final. However, 76% of respondents reported</w:t>
      </w:r>
      <w:r>
        <w:rPr>
          <w:rFonts w:ascii="Arial" w:hAnsi="Arial" w:cs="Arial"/>
          <w:lang w:val="en"/>
        </w:rPr>
        <w:t xml:space="preserve"> (as shown in Table 3)</w:t>
      </w:r>
      <w:r w:rsidRPr="00B9614D">
        <w:rPr>
          <w:rFonts w:ascii="Arial" w:hAnsi="Arial" w:cs="Arial"/>
          <w:lang w:val="en"/>
        </w:rPr>
        <w:t xml:space="preserve"> that errors remain visible </w:t>
      </w:r>
      <w:r w:rsidRPr="00B9614D">
        <w:rPr>
          <w:rFonts w:ascii="Arial" w:hAnsi="Arial" w:cs="Arial"/>
          <w:i/>
          <w:iCs/>
          <w:lang w:val="en"/>
        </w:rPr>
        <w:t>“Sometimes, Often, or Always”</w:t>
      </w:r>
      <w:r w:rsidRPr="00B9614D">
        <w:rPr>
          <w:rFonts w:ascii="Arial" w:hAnsi="Arial" w:cs="Arial"/>
          <w:lang w:val="en"/>
        </w:rPr>
        <w:t xml:space="preserve"> even after verification was completed. Additionally, 74% indicated that verification processes help detect errors only </w:t>
      </w:r>
      <w:r w:rsidRPr="00B9614D">
        <w:rPr>
          <w:rFonts w:ascii="Arial" w:hAnsi="Arial" w:cs="Arial"/>
          <w:i/>
          <w:iCs/>
          <w:lang w:val="en"/>
        </w:rPr>
        <w:t xml:space="preserve">“Not well, </w:t>
      </w:r>
      <w:proofErr w:type="gramStart"/>
      <w:r w:rsidRPr="00B9614D">
        <w:rPr>
          <w:rFonts w:ascii="Arial" w:hAnsi="Arial" w:cs="Arial"/>
          <w:i/>
          <w:iCs/>
          <w:lang w:val="en"/>
        </w:rPr>
        <w:t>Slightly</w:t>
      </w:r>
      <w:proofErr w:type="gramEnd"/>
      <w:r w:rsidRPr="00B9614D">
        <w:rPr>
          <w:rFonts w:ascii="Arial" w:hAnsi="Arial" w:cs="Arial"/>
          <w:i/>
          <w:iCs/>
          <w:lang w:val="en"/>
        </w:rPr>
        <w:t xml:space="preserve"> well, or Moderately well,”</w:t>
      </w:r>
      <w:r w:rsidRPr="00B9614D">
        <w:rPr>
          <w:rFonts w:ascii="Arial" w:hAnsi="Arial" w:cs="Arial"/>
          <w:lang w:val="en"/>
        </w:rPr>
        <w:t xml:space="preserve"> showing that verification confirms completion rather than correctness. A further 29.6% described verification methods as </w:t>
      </w:r>
      <w:r w:rsidRPr="00B9614D">
        <w:rPr>
          <w:rFonts w:ascii="Arial" w:hAnsi="Arial" w:cs="Arial"/>
          <w:i/>
          <w:iCs/>
          <w:lang w:val="en"/>
        </w:rPr>
        <w:t>“Not effective or Slightly effective.”</w:t>
      </w:r>
      <w:r w:rsidRPr="00B9614D">
        <w:rPr>
          <w:rFonts w:ascii="Arial" w:hAnsi="Arial" w:cs="Arial"/>
          <w:lang w:val="en"/>
        </w:rPr>
        <w:t xml:space="preserve"> These results demonstrate that verification is procedural rather than analytical. Prinsloo and </w:t>
      </w:r>
      <w:proofErr w:type="spellStart"/>
      <w:r w:rsidRPr="00B9614D">
        <w:rPr>
          <w:rFonts w:ascii="Arial" w:hAnsi="Arial" w:cs="Arial"/>
          <w:lang w:val="en"/>
        </w:rPr>
        <w:t>Kaliisa</w:t>
      </w:r>
      <w:proofErr w:type="spellEnd"/>
      <w:r w:rsidRPr="00B9614D">
        <w:rPr>
          <w:rFonts w:ascii="Arial" w:hAnsi="Arial" w:cs="Arial"/>
          <w:lang w:val="en"/>
        </w:rPr>
        <w:t xml:space="preserve"> (2022) found that verification relying solely on manual checks allows errors to persist because human review cannot detect inconsistencies across multiple data sources. Effective verification requires systems that identify anomalies automatically, such as missing grades, duplicate admission numbers, or GPA values outside expected ranges, and prompt staff to correct them. Without automated detection, errors move through workflow stages unnoticed, consistent with Wang and Strong’s (1996) assertion that data quality requires mechanisms that support correctness rather than rely on inspection.</w:t>
      </w:r>
    </w:p>
    <w:p w14:paraId="0282C768" w14:textId="77777777" w:rsidR="00B9614D" w:rsidRPr="00B9614D" w:rsidRDefault="00B9614D" w:rsidP="00B9614D">
      <w:pPr>
        <w:pStyle w:val="Body"/>
        <w:rPr>
          <w:rFonts w:ascii="Arial" w:hAnsi="Arial" w:cs="Arial"/>
          <w:b/>
          <w:bCs/>
          <w:i/>
          <w:iCs/>
          <w:lang w:val="en"/>
        </w:rPr>
      </w:pPr>
      <w:r w:rsidRPr="00B9614D">
        <w:rPr>
          <w:rFonts w:ascii="Arial" w:hAnsi="Arial" w:cs="Arial"/>
          <w:b/>
          <w:bCs/>
          <w:i/>
          <w:iCs/>
          <w:lang w:val="en"/>
        </w:rPr>
        <w:t>Table 3: Data Verification and Reporting</w:t>
      </w:r>
    </w:p>
    <w:tbl>
      <w:tblPr>
        <w:tblW w:w="9359" w:type="dxa"/>
        <w:tblBorders>
          <w:top w:val="single" w:sz="4" w:space="0" w:color="auto"/>
          <w:bottom w:val="single" w:sz="4" w:space="0" w:color="auto"/>
        </w:tblBorders>
        <w:tblLayout w:type="fixed"/>
        <w:tblLook w:val="0600" w:firstRow="0" w:lastRow="0" w:firstColumn="0" w:lastColumn="0" w:noHBand="1" w:noVBand="1"/>
      </w:tblPr>
      <w:tblGrid>
        <w:gridCol w:w="5890"/>
        <w:gridCol w:w="1667"/>
        <w:gridCol w:w="1802"/>
      </w:tblGrid>
      <w:tr w:rsidR="00B9614D" w:rsidRPr="00B9614D" w14:paraId="44B50DE3" w14:textId="77777777" w:rsidTr="00AD5942">
        <w:trPr>
          <w:trHeight w:val="785"/>
          <w:tblHeader/>
        </w:trPr>
        <w:tc>
          <w:tcPr>
            <w:tcW w:w="5890" w:type="dxa"/>
            <w:tcBorders>
              <w:top w:val="single" w:sz="4" w:space="0" w:color="auto"/>
              <w:bottom w:val="single" w:sz="4" w:space="0" w:color="auto"/>
            </w:tcBorders>
            <w:tcMar>
              <w:top w:w="100" w:type="dxa"/>
              <w:left w:w="100" w:type="dxa"/>
              <w:bottom w:w="100" w:type="dxa"/>
              <w:right w:w="100" w:type="dxa"/>
            </w:tcMar>
          </w:tcPr>
          <w:p w14:paraId="6E288A37" w14:textId="77777777" w:rsidR="00B9614D" w:rsidRPr="00B9614D" w:rsidRDefault="00B9614D" w:rsidP="00B9614D">
            <w:pPr>
              <w:pStyle w:val="Body"/>
              <w:rPr>
                <w:rFonts w:ascii="Arial" w:hAnsi="Arial" w:cs="Arial"/>
                <w:lang w:val="en"/>
              </w:rPr>
            </w:pPr>
            <w:r w:rsidRPr="00B9614D">
              <w:rPr>
                <w:rFonts w:ascii="Arial" w:hAnsi="Arial" w:cs="Arial"/>
                <w:b/>
                <w:bCs/>
                <w:lang w:val="en"/>
              </w:rPr>
              <w:t>Indicator</w:t>
            </w:r>
          </w:p>
        </w:tc>
        <w:tc>
          <w:tcPr>
            <w:tcW w:w="1667" w:type="dxa"/>
            <w:tcBorders>
              <w:top w:val="single" w:sz="4" w:space="0" w:color="auto"/>
              <w:bottom w:val="single" w:sz="4" w:space="0" w:color="auto"/>
            </w:tcBorders>
            <w:tcMar>
              <w:top w:w="100" w:type="dxa"/>
              <w:left w:w="100" w:type="dxa"/>
              <w:bottom w:w="100" w:type="dxa"/>
              <w:right w:w="100" w:type="dxa"/>
            </w:tcMar>
          </w:tcPr>
          <w:p w14:paraId="244B4AFC" w14:textId="77777777" w:rsidR="00B9614D" w:rsidRPr="00B9614D" w:rsidRDefault="00B9614D" w:rsidP="00B9614D">
            <w:pPr>
              <w:pStyle w:val="Body"/>
              <w:rPr>
                <w:rFonts w:ascii="Arial" w:hAnsi="Arial" w:cs="Arial"/>
                <w:lang w:val="en"/>
              </w:rPr>
            </w:pPr>
            <w:r w:rsidRPr="00B9614D">
              <w:rPr>
                <w:rFonts w:ascii="Arial" w:hAnsi="Arial" w:cs="Arial"/>
                <w:b/>
                <w:bCs/>
                <w:lang w:val="en"/>
              </w:rPr>
              <w:t>Frequency (n)</w:t>
            </w:r>
          </w:p>
        </w:tc>
        <w:tc>
          <w:tcPr>
            <w:tcW w:w="1802" w:type="dxa"/>
            <w:tcBorders>
              <w:top w:val="single" w:sz="4" w:space="0" w:color="auto"/>
              <w:bottom w:val="single" w:sz="4" w:space="0" w:color="auto"/>
            </w:tcBorders>
            <w:tcMar>
              <w:top w:w="100" w:type="dxa"/>
              <w:left w:w="100" w:type="dxa"/>
              <w:bottom w:w="100" w:type="dxa"/>
              <w:right w:w="100" w:type="dxa"/>
            </w:tcMar>
          </w:tcPr>
          <w:p w14:paraId="7788586C" w14:textId="77777777" w:rsidR="00B9614D" w:rsidRPr="00B9614D" w:rsidRDefault="00B9614D" w:rsidP="00B9614D">
            <w:pPr>
              <w:pStyle w:val="Body"/>
              <w:rPr>
                <w:rFonts w:ascii="Arial" w:hAnsi="Arial" w:cs="Arial"/>
                <w:lang w:val="en"/>
              </w:rPr>
            </w:pPr>
            <w:r w:rsidRPr="00B9614D">
              <w:rPr>
                <w:rFonts w:ascii="Arial" w:hAnsi="Arial" w:cs="Arial"/>
                <w:b/>
                <w:bCs/>
                <w:lang w:val="en"/>
              </w:rPr>
              <w:t>Percentage (%)</w:t>
            </w:r>
          </w:p>
        </w:tc>
      </w:tr>
      <w:tr w:rsidR="00B9614D" w:rsidRPr="00B9614D" w14:paraId="73771074" w14:textId="77777777" w:rsidTr="00AD5942">
        <w:trPr>
          <w:trHeight w:val="785"/>
        </w:trPr>
        <w:tc>
          <w:tcPr>
            <w:tcW w:w="5890" w:type="dxa"/>
            <w:tcBorders>
              <w:top w:val="single" w:sz="4" w:space="0" w:color="auto"/>
            </w:tcBorders>
            <w:tcMar>
              <w:top w:w="100" w:type="dxa"/>
              <w:left w:w="100" w:type="dxa"/>
              <w:bottom w:w="100" w:type="dxa"/>
              <w:right w:w="100" w:type="dxa"/>
            </w:tcMar>
          </w:tcPr>
          <w:p w14:paraId="70E2919B" w14:textId="77777777" w:rsidR="00B9614D" w:rsidRPr="00B9614D" w:rsidRDefault="00B9614D" w:rsidP="00B9614D">
            <w:pPr>
              <w:pStyle w:val="Body"/>
              <w:rPr>
                <w:rFonts w:ascii="Arial" w:hAnsi="Arial" w:cs="Arial"/>
                <w:lang w:val="en"/>
              </w:rPr>
            </w:pPr>
            <w:r w:rsidRPr="00B9614D">
              <w:rPr>
                <w:rFonts w:ascii="Arial" w:hAnsi="Arial" w:cs="Arial"/>
                <w:lang w:val="en"/>
              </w:rPr>
              <w:t>Errors persist after verification “Sometimes/Often/Always”</w:t>
            </w:r>
          </w:p>
        </w:tc>
        <w:tc>
          <w:tcPr>
            <w:tcW w:w="1667" w:type="dxa"/>
            <w:tcBorders>
              <w:top w:val="single" w:sz="4" w:space="0" w:color="auto"/>
            </w:tcBorders>
            <w:tcMar>
              <w:top w:w="100" w:type="dxa"/>
              <w:left w:w="100" w:type="dxa"/>
              <w:bottom w:w="100" w:type="dxa"/>
              <w:right w:w="100" w:type="dxa"/>
            </w:tcMar>
          </w:tcPr>
          <w:p w14:paraId="3EF8E6D6" w14:textId="77777777" w:rsidR="00B9614D" w:rsidRPr="00B9614D" w:rsidRDefault="00B9614D" w:rsidP="00B9614D">
            <w:pPr>
              <w:pStyle w:val="Body"/>
              <w:rPr>
                <w:rFonts w:ascii="Arial" w:hAnsi="Arial" w:cs="Arial"/>
                <w:lang w:val="en"/>
              </w:rPr>
            </w:pPr>
            <w:r w:rsidRPr="00B9614D">
              <w:rPr>
                <w:rFonts w:ascii="Arial" w:hAnsi="Arial" w:cs="Arial"/>
                <w:lang w:val="en"/>
              </w:rPr>
              <w:t>41</w:t>
            </w:r>
          </w:p>
        </w:tc>
        <w:tc>
          <w:tcPr>
            <w:tcW w:w="1802" w:type="dxa"/>
            <w:tcBorders>
              <w:top w:val="single" w:sz="4" w:space="0" w:color="auto"/>
            </w:tcBorders>
            <w:tcMar>
              <w:top w:w="100" w:type="dxa"/>
              <w:left w:w="100" w:type="dxa"/>
              <w:bottom w:w="100" w:type="dxa"/>
              <w:right w:w="100" w:type="dxa"/>
            </w:tcMar>
          </w:tcPr>
          <w:p w14:paraId="6DBC7F93" w14:textId="77777777" w:rsidR="00B9614D" w:rsidRPr="00B9614D" w:rsidRDefault="00B9614D" w:rsidP="00B9614D">
            <w:pPr>
              <w:pStyle w:val="Body"/>
              <w:rPr>
                <w:rFonts w:ascii="Arial" w:hAnsi="Arial" w:cs="Arial"/>
                <w:lang w:val="en"/>
              </w:rPr>
            </w:pPr>
            <w:r w:rsidRPr="00B9614D">
              <w:rPr>
                <w:rFonts w:ascii="Arial" w:hAnsi="Arial" w:cs="Arial"/>
                <w:lang w:val="en"/>
              </w:rPr>
              <w:t>76.0</w:t>
            </w:r>
          </w:p>
        </w:tc>
      </w:tr>
      <w:tr w:rsidR="00B9614D" w:rsidRPr="00B9614D" w14:paraId="6B3BE2E8" w14:textId="77777777" w:rsidTr="00AD5942">
        <w:trPr>
          <w:trHeight w:val="515"/>
        </w:trPr>
        <w:tc>
          <w:tcPr>
            <w:tcW w:w="5890" w:type="dxa"/>
            <w:tcMar>
              <w:top w:w="100" w:type="dxa"/>
              <w:left w:w="100" w:type="dxa"/>
              <w:bottom w:w="100" w:type="dxa"/>
              <w:right w:w="100" w:type="dxa"/>
            </w:tcMar>
          </w:tcPr>
          <w:p w14:paraId="39BF1B44" w14:textId="77777777" w:rsidR="00B9614D" w:rsidRPr="00B9614D" w:rsidRDefault="00B9614D" w:rsidP="00B9614D">
            <w:pPr>
              <w:pStyle w:val="Body"/>
              <w:rPr>
                <w:rFonts w:ascii="Arial" w:hAnsi="Arial" w:cs="Arial"/>
                <w:lang w:val="en"/>
              </w:rPr>
            </w:pPr>
            <w:r w:rsidRPr="00B9614D">
              <w:rPr>
                <w:rFonts w:ascii="Arial" w:hAnsi="Arial" w:cs="Arial"/>
                <w:lang w:val="en"/>
              </w:rPr>
              <w:t>Verification detects errors “Not/Slightly/Moderately well”</w:t>
            </w:r>
          </w:p>
        </w:tc>
        <w:tc>
          <w:tcPr>
            <w:tcW w:w="1667" w:type="dxa"/>
            <w:tcMar>
              <w:top w:w="100" w:type="dxa"/>
              <w:left w:w="100" w:type="dxa"/>
              <w:bottom w:w="100" w:type="dxa"/>
              <w:right w:w="100" w:type="dxa"/>
            </w:tcMar>
          </w:tcPr>
          <w:p w14:paraId="7385D38C" w14:textId="77777777" w:rsidR="00B9614D" w:rsidRPr="00B9614D" w:rsidRDefault="00B9614D" w:rsidP="00B9614D">
            <w:pPr>
              <w:pStyle w:val="Body"/>
              <w:rPr>
                <w:rFonts w:ascii="Arial" w:hAnsi="Arial" w:cs="Arial"/>
                <w:lang w:val="en"/>
              </w:rPr>
            </w:pPr>
            <w:r w:rsidRPr="00B9614D">
              <w:rPr>
                <w:rFonts w:ascii="Arial" w:hAnsi="Arial" w:cs="Arial"/>
                <w:lang w:val="en"/>
              </w:rPr>
              <w:t>40</w:t>
            </w:r>
          </w:p>
        </w:tc>
        <w:tc>
          <w:tcPr>
            <w:tcW w:w="1802" w:type="dxa"/>
            <w:tcMar>
              <w:top w:w="100" w:type="dxa"/>
              <w:left w:w="100" w:type="dxa"/>
              <w:bottom w:w="100" w:type="dxa"/>
              <w:right w:w="100" w:type="dxa"/>
            </w:tcMar>
          </w:tcPr>
          <w:p w14:paraId="70118583" w14:textId="77777777" w:rsidR="00B9614D" w:rsidRPr="00B9614D" w:rsidRDefault="00B9614D" w:rsidP="00B9614D">
            <w:pPr>
              <w:pStyle w:val="Body"/>
              <w:rPr>
                <w:rFonts w:ascii="Arial" w:hAnsi="Arial" w:cs="Arial"/>
                <w:lang w:val="en"/>
              </w:rPr>
            </w:pPr>
            <w:r w:rsidRPr="00B9614D">
              <w:rPr>
                <w:rFonts w:ascii="Arial" w:hAnsi="Arial" w:cs="Arial"/>
                <w:lang w:val="en"/>
              </w:rPr>
              <w:t>74.1</w:t>
            </w:r>
          </w:p>
        </w:tc>
      </w:tr>
      <w:tr w:rsidR="00B9614D" w:rsidRPr="00B9614D" w14:paraId="0638732B" w14:textId="77777777" w:rsidTr="00AD5942">
        <w:trPr>
          <w:trHeight w:val="515"/>
        </w:trPr>
        <w:tc>
          <w:tcPr>
            <w:tcW w:w="5890" w:type="dxa"/>
            <w:tcBorders>
              <w:bottom w:val="single" w:sz="4" w:space="0" w:color="auto"/>
            </w:tcBorders>
            <w:tcMar>
              <w:top w:w="100" w:type="dxa"/>
              <w:left w:w="100" w:type="dxa"/>
              <w:bottom w:w="100" w:type="dxa"/>
              <w:right w:w="100" w:type="dxa"/>
            </w:tcMar>
          </w:tcPr>
          <w:p w14:paraId="737CC2E8" w14:textId="77777777" w:rsidR="00B9614D" w:rsidRPr="00B9614D" w:rsidRDefault="00B9614D" w:rsidP="00B9614D">
            <w:pPr>
              <w:pStyle w:val="Body"/>
              <w:rPr>
                <w:rFonts w:ascii="Arial" w:hAnsi="Arial" w:cs="Arial"/>
                <w:lang w:val="en"/>
              </w:rPr>
            </w:pPr>
            <w:r w:rsidRPr="00B9614D">
              <w:rPr>
                <w:rFonts w:ascii="Arial" w:hAnsi="Arial" w:cs="Arial"/>
                <w:lang w:val="en"/>
              </w:rPr>
              <w:t>Verification methods “Not/Slightly effective”</w:t>
            </w:r>
          </w:p>
        </w:tc>
        <w:tc>
          <w:tcPr>
            <w:tcW w:w="1667" w:type="dxa"/>
            <w:tcBorders>
              <w:bottom w:val="single" w:sz="4" w:space="0" w:color="auto"/>
            </w:tcBorders>
            <w:tcMar>
              <w:top w:w="100" w:type="dxa"/>
              <w:left w:w="100" w:type="dxa"/>
              <w:bottom w:w="100" w:type="dxa"/>
              <w:right w:w="100" w:type="dxa"/>
            </w:tcMar>
          </w:tcPr>
          <w:p w14:paraId="144E3C63" w14:textId="77777777" w:rsidR="00B9614D" w:rsidRPr="00B9614D" w:rsidRDefault="00B9614D" w:rsidP="00B9614D">
            <w:pPr>
              <w:pStyle w:val="Body"/>
              <w:rPr>
                <w:rFonts w:ascii="Arial" w:hAnsi="Arial" w:cs="Arial"/>
                <w:lang w:val="en"/>
              </w:rPr>
            </w:pPr>
            <w:r w:rsidRPr="00B9614D">
              <w:rPr>
                <w:rFonts w:ascii="Arial" w:hAnsi="Arial" w:cs="Arial"/>
                <w:lang w:val="en"/>
              </w:rPr>
              <w:t>16</w:t>
            </w:r>
          </w:p>
        </w:tc>
        <w:tc>
          <w:tcPr>
            <w:tcW w:w="1802" w:type="dxa"/>
            <w:tcBorders>
              <w:bottom w:val="single" w:sz="4" w:space="0" w:color="auto"/>
            </w:tcBorders>
            <w:tcMar>
              <w:top w:w="100" w:type="dxa"/>
              <w:left w:w="100" w:type="dxa"/>
              <w:bottom w:w="100" w:type="dxa"/>
              <w:right w:w="100" w:type="dxa"/>
            </w:tcMar>
          </w:tcPr>
          <w:p w14:paraId="186F706B" w14:textId="77777777" w:rsidR="00B9614D" w:rsidRPr="00B9614D" w:rsidRDefault="00B9614D" w:rsidP="00B9614D">
            <w:pPr>
              <w:pStyle w:val="Body"/>
              <w:rPr>
                <w:rFonts w:ascii="Arial" w:hAnsi="Arial" w:cs="Arial"/>
                <w:lang w:val="en"/>
              </w:rPr>
            </w:pPr>
            <w:r w:rsidRPr="00B9614D">
              <w:rPr>
                <w:rFonts w:ascii="Arial" w:hAnsi="Arial" w:cs="Arial"/>
                <w:lang w:val="en"/>
              </w:rPr>
              <w:t>29.6</w:t>
            </w:r>
          </w:p>
        </w:tc>
      </w:tr>
    </w:tbl>
    <w:p w14:paraId="1460D2C8" w14:textId="79234EC7" w:rsidR="00B9614D" w:rsidRPr="00B9614D" w:rsidRDefault="00B9614D" w:rsidP="00B9614D">
      <w:pPr>
        <w:pStyle w:val="Body"/>
        <w:rPr>
          <w:rFonts w:ascii="Arial" w:hAnsi="Arial" w:cs="Arial"/>
          <w:b/>
          <w:bCs/>
          <w:i/>
          <w:iCs/>
          <w:lang w:val="en"/>
        </w:rPr>
      </w:pPr>
      <w:r>
        <w:rPr>
          <w:rFonts w:ascii="Arial" w:hAnsi="Arial" w:cs="Arial"/>
          <w:bCs/>
          <w:i/>
          <w:iCs/>
          <w:lang w:val="en"/>
        </w:rPr>
        <w:lastRenderedPageBreak/>
        <w:t xml:space="preserve">* </w:t>
      </w:r>
      <w:r w:rsidRPr="00B9614D">
        <w:rPr>
          <w:rFonts w:ascii="Arial" w:hAnsi="Arial" w:cs="Arial"/>
          <w:bCs/>
          <w:i/>
          <w:iCs/>
          <w:lang w:val="en"/>
        </w:rPr>
        <w:t>These percentages are calculated per question and reflect the proportion of respondents for each specific indicator, rather than a cumulative total.</w:t>
      </w:r>
    </w:p>
    <w:p w14:paraId="22C501F1" w14:textId="3CFC746D" w:rsidR="003027CE" w:rsidRDefault="003027CE" w:rsidP="003027CE">
      <w:pPr>
        <w:pStyle w:val="Body"/>
        <w:spacing w:after="0"/>
        <w:jc w:val="left"/>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Pr>
          <w:rFonts w:ascii="Arial" w:hAnsi="Arial" w:cs="Arial"/>
          <w:b/>
          <w:sz w:val="22"/>
        </w:rPr>
        <w:t>Training and Support</w:t>
      </w:r>
      <w:r w:rsidRPr="00C30A0F">
        <w:rPr>
          <w:rFonts w:ascii="Arial" w:hAnsi="Arial" w:cs="Arial"/>
          <w:b/>
          <w:sz w:val="22"/>
        </w:rPr>
        <w:t xml:space="preserve"> </w:t>
      </w:r>
    </w:p>
    <w:p w14:paraId="34A9C787" w14:textId="77777777" w:rsidR="00B9614D" w:rsidRDefault="00B9614D" w:rsidP="003027CE">
      <w:pPr>
        <w:pStyle w:val="Body"/>
        <w:spacing w:after="0"/>
        <w:jc w:val="left"/>
        <w:rPr>
          <w:rFonts w:ascii="Arial" w:hAnsi="Arial" w:cs="Arial"/>
          <w:b/>
          <w:sz w:val="22"/>
        </w:rPr>
      </w:pPr>
    </w:p>
    <w:p w14:paraId="1C20E218" w14:textId="3FB06C51" w:rsidR="005325AD" w:rsidRDefault="00B9614D" w:rsidP="00B9614D">
      <w:pPr>
        <w:pStyle w:val="Body"/>
        <w:rPr>
          <w:rFonts w:ascii="Arial" w:hAnsi="Arial" w:cs="Arial"/>
          <w:bCs/>
          <w:lang w:val="en"/>
        </w:rPr>
      </w:pPr>
      <w:r w:rsidRPr="00B9614D">
        <w:rPr>
          <w:rFonts w:ascii="Arial" w:hAnsi="Arial" w:cs="Arial"/>
          <w:bCs/>
          <w:lang w:val="en"/>
        </w:rPr>
        <w:t>Findings</w:t>
      </w:r>
      <w:r w:rsidR="005325AD">
        <w:rPr>
          <w:rFonts w:ascii="Arial" w:hAnsi="Arial" w:cs="Arial"/>
          <w:bCs/>
          <w:lang w:val="en"/>
        </w:rPr>
        <w:t xml:space="preserve"> as evidenced in bar chart 1</w:t>
      </w:r>
      <w:r w:rsidRPr="00B9614D">
        <w:rPr>
          <w:rFonts w:ascii="Arial" w:hAnsi="Arial" w:cs="Arial"/>
          <w:bCs/>
          <w:lang w:val="en"/>
        </w:rPr>
        <w:t xml:space="preserve"> also showed that staff felt inadequately prepared to handle data tasks. A total of 61.2% of respondents reported</w:t>
      </w:r>
      <w:r>
        <w:rPr>
          <w:rFonts w:ascii="Arial" w:hAnsi="Arial" w:cs="Arial"/>
          <w:bCs/>
          <w:lang w:val="en"/>
        </w:rPr>
        <w:t xml:space="preserve"> (as shown in Table 4)</w:t>
      </w:r>
      <w:r w:rsidRPr="00B9614D">
        <w:rPr>
          <w:rFonts w:ascii="Arial" w:hAnsi="Arial" w:cs="Arial"/>
          <w:bCs/>
          <w:lang w:val="en"/>
        </w:rPr>
        <w:t xml:space="preserve"> that the training received was </w:t>
      </w:r>
      <w:r w:rsidRPr="00B9614D">
        <w:rPr>
          <w:rFonts w:ascii="Arial" w:hAnsi="Arial" w:cs="Arial"/>
          <w:bCs/>
          <w:i/>
          <w:iCs/>
          <w:lang w:val="en"/>
        </w:rPr>
        <w:t xml:space="preserve">“Not sufficient, </w:t>
      </w:r>
      <w:proofErr w:type="gramStart"/>
      <w:r w:rsidRPr="00B9614D">
        <w:rPr>
          <w:rFonts w:ascii="Arial" w:hAnsi="Arial" w:cs="Arial"/>
          <w:bCs/>
          <w:i/>
          <w:iCs/>
          <w:lang w:val="en"/>
        </w:rPr>
        <w:t>Slightly</w:t>
      </w:r>
      <w:proofErr w:type="gramEnd"/>
      <w:r w:rsidRPr="00B9614D">
        <w:rPr>
          <w:rFonts w:ascii="Arial" w:hAnsi="Arial" w:cs="Arial"/>
          <w:bCs/>
          <w:i/>
          <w:iCs/>
          <w:lang w:val="en"/>
        </w:rPr>
        <w:t xml:space="preserve"> sufficient, or Moderately sufficient,”</w:t>
      </w:r>
      <w:r w:rsidRPr="00B9614D">
        <w:rPr>
          <w:rFonts w:ascii="Arial" w:hAnsi="Arial" w:cs="Arial"/>
          <w:bCs/>
          <w:lang w:val="en"/>
        </w:rPr>
        <w:t xml:space="preserve"> and 42.6% said they encountered challenges </w:t>
      </w:r>
      <w:r w:rsidRPr="00B9614D">
        <w:rPr>
          <w:rFonts w:ascii="Arial" w:hAnsi="Arial" w:cs="Arial"/>
          <w:bCs/>
          <w:i/>
          <w:iCs/>
          <w:lang w:val="en"/>
        </w:rPr>
        <w:t>“Often or Always”</w:t>
      </w:r>
      <w:r w:rsidRPr="00B9614D">
        <w:rPr>
          <w:rFonts w:ascii="Arial" w:hAnsi="Arial" w:cs="Arial"/>
          <w:bCs/>
          <w:lang w:val="en"/>
        </w:rPr>
        <w:t xml:space="preserve"> due to limited training. Moreover, 66.7% indicated that they were </w:t>
      </w:r>
      <w:r w:rsidRPr="00B9614D">
        <w:rPr>
          <w:rFonts w:ascii="Arial" w:hAnsi="Arial" w:cs="Arial"/>
          <w:bCs/>
          <w:i/>
          <w:iCs/>
          <w:lang w:val="en"/>
        </w:rPr>
        <w:t xml:space="preserve">“Not confident, </w:t>
      </w:r>
      <w:proofErr w:type="gramStart"/>
      <w:r w:rsidRPr="00B9614D">
        <w:rPr>
          <w:rFonts w:ascii="Arial" w:hAnsi="Arial" w:cs="Arial"/>
          <w:bCs/>
          <w:i/>
          <w:iCs/>
          <w:lang w:val="en"/>
        </w:rPr>
        <w:t>Slightly</w:t>
      </w:r>
      <w:proofErr w:type="gramEnd"/>
      <w:r w:rsidRPr="00B9614D">
        <w:rPr>
          <w:rFonts w:ascii="Arial" w:hAnsi="Arial" w:cs="Arial"/>
          <w:bCs/>
          <w:i/>
          <w:iCs/>
          <w:lang w:val="en"/>
        </w:rPr>
        <w:t xml:space="preserve"> confident, or Moderately confident”</w:t>
      </w:r>
      <w:r w:rsidRPr="00B9614D">
        <w:rPr>
          <w:rFonts w:ascii="Arial" w:hAnsi="Arial" w:cs="Arial"/>
          <w:bCs/>
          <w:lang w:val="en"/>
        </w:rPr>
        <w:t xml:space="preserve"> performing data tasks without assistance. Only 29.7% viewed ongoing training as “Important or Very important.” This indicates a disconnect: staff experience challenges but may not link training to improved confidence and accuracy. Research shows that insufficient capacity-building significantly contributes to data errors, especially in institutions transitioning from manual processes to digital systems (</w:t>
      </w:r>
      <w:proofErr w:type="spellStart"/>
      <w:r w:rsidRPr="00B9614D">
        <w:rPr>
          <w:rFonts w:ascii="Arial" w:hAnsi="Arial" w:cs="Arial"/>
          <w:bCs/>
          <w:lang w:val="en"/>
        </w:rPr>
        <w:t>Aloye</w:t>
      </w:r>
      <w:proofErr w:type="spellEnd"/>
      <w:r w:rsidRPr="00B9614D">
        <w:rPr>
          <w:rFonts w:ascii="Arial" w:hAnsi="Arial" w:cs="Arial"/>
          <w:bCs/>
          <w:lang w:val="en"/>
        </w:rPr>
        <w:t xml:space="preserve"> Computer Enterprises, 2024). Continuous, role-specific training improves confidence, reduces errors, and promotes standardization across departments. Therefore, the findings confirm that training at KAG East University should not be a one-time activity but constitutes a structured and sustained strategy.</w:t>
      </w:r>
    </w:p>
    <w:p w14:paraId="58C7BD3F" w14:textId="48C169B5" w:rsidR="005325AD" w:rsidRPr="005325AD" w:rsidRDefault="005325AD" w:rsidP="00B9614D">
      <w:pPr>
        <w:pStyle w:val="Body"/>
        <w:rPr>
          <w:rFonts w:ascii="Arial" w:hAnsi="Arial" w:cs="Arial"/>
          <w:b/>
          <w:i/>
          <w:iCs/>
          <w:lang w:val="en"/>
        </w:rPr>
      </w:pPr>
      <w:r w:rsidRPr="005325AD">
        <w:rPr>
          <w:rFonts w:ascii="Arial" w:hAnsi="Arial" w:cs="Arial"/>
          <w:b/>
          <w:i/>
          <w:iCs/>
          <w:lang w:val="en"/>
        </w:rPr>
        <w:t>Chart 1: Training and Support</w:t>
      </w:r>
    </w:p>
    <w:p w14:paraId="06406D23" w14:textId="0C6825BB" w:rsidR="00B9614D" w:rsidRPr="00B9614D" w:rsidRDefault="00B9614D" w:rsidP="00B9614D">
      <w:pPr>
        <w:pStyle w:val="Body"/>
        <w:rPr>
          <w:rFonts w:ascii="Arial" w:hAnsi="Arial" w:cs="Arial"/>
          <w:bCs/>
          <w:lang w:val="en"/>
        </w:rPr>
      </w:pPr>
      <w:r>
        <w:rPr>
          <w:noProof/>
        </w:rPr>
        <w:drawing>
          <wp:inline distT="0" distB="0" distL="0" distR="0" wp14:anchorId="127C24B8" wp14:editId="0A0F36F3">
            <wp:extent cx="5208270" cy="3138170"/>
            <wp:effectExtent l="0" t="0" r="0" b="0"/>
            <wp:docPr id="1747583142" name="image2.png"/>
            <wp:cNvGraphicFramePr/>
            <a:graphic xmlns:a="http://schemas.openxmlformats.org/drawingml/2006/main">
              <a:graphicData uri="http://schemas.openxmlformats.org/drawingml/2006/picture">
                <pic:pic xmlns:pic="http://schemas.openxmlformats.org/drawingml/2006/picture">
                  <pic:nvPicPr>
                    <pic:cNvPr id="1747583142" name="image2.png"/>
                    <pic:cNvPicPr/>
                  </pic:nvPicPr>
                  <pic:blipFill>
                    <a:blip r:embed="rId10"/>
                    <a:srcRect/>
                    <a:stretch>
                      <a:fillRect/>
                    </a:stretch>
                  </pic:blipFill>
                  <pic:spPr>
                    <a:xfrm>
                      <a:off x="0" y="0"/>
                      <a:ext cx="5208270" cy="3138170"/>
                    </a:xfrm>
                    <a:prstGeom prst="rect">
                      <a:avLst/>
                    </a:prstGeom>
                    <a:ln/>
                  </pic:spPr>
                </pic:pic>
              </a:graphicData>
            </a:graphic>
          </wp:inline>
        </w:drawing>
      </w:r>
    </w:p>
    <w:p w14:paraId="0A1E0A5F" w14:textId="77777777" w:rsidR="00B9614D" w:rsidRPr="00B9614D" w:rsidRDefault="00B9614D" w:rsidP="003027CE">
      <w:pPr>
        <w:pStyle w:val="Body"/>
        <w:spacing w:after="0"/>
        <w:jc w:val="left"/>
        <w:rPr>
          <w:rFonts w:ascii="Arial" w:hAnsi="Arial" w:cs="Arial"/>
          <w:bCs/>
        </w:rPr>
      </w:pPr>
    </w:p>
    <w:p w14:paraId="3F246BF6" w14:textId="2719C5C6" w:rsidR="003027CE" w:rsidRPr="003027CE" w:rsidRDefault="003027CE" w:rsidP="003027CE">
      <w:pPr>
        <w:pStyle w:val="Body"/>
        <w:spacing w:after="0"/>
        <w:rPr>
          <w:rFonts w:ascii="Arial" w:hAnsi="Arial" w:cs="Arial"/>
          <w:b/>
          <w:bCs/>
        </w:rPr>
      </w:pPr>
    </w:p>
    <w:p w14:paraId="03F77861" w14:textId="3C0B5785" w:rsidR="003027CE" w:rsidRDefault="003027CE" w:rsidP="003027CE">
      <w:pPr>
        <w:pStyle w:val="Body"/>
        <w:spacing w:after="0"/>
        <w:jc w:val="left"/>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5</w:t>
      </w:r>
      <w:r w:rsidRPr="00C30A0F">
        <w:rPr>
          <w:rFonts w:ascii="Arial" w:hAnsi="Arial" w:cs="Arial"/>
          <w:b/>
          <w:caps/>
          <w:sz w:val="22"/>
        </w:rPr>
        <w:t xml:space="preserve"> </w:t>
      </w:r>
      <w:r>
        <w:rPr>
          <w:rFonts w:ascii="Arial" w:hAnsi="Arial" w:cs="Arial"/>
          <w:b/>
          <w:sz w:val="22"/>
        </w:rPr>
        <w:t xml:space="preserve">Data and Governance Culture </w:t>
      </w:r>
    </w:p>
    <w:p w14:paraId="7F69A6D1" w14:textId="77777777" w:rsidR="005325AD" w:rsidRDefault="005325AD" w:rsidP="003027CE">
      <w:pPr>
        <w:pStyle w:val="Body"/>
        <w:spacing w:after="0"/>
        <w:jc w:val="left"/>
        <w:rPr>
          <w:rFonts w:ascii="Arial" w:hAnsi="Arial" w:cs="Arial"/>
          <w:b/>
          <w:sz w:val="22"/>
        </w:rPr>
      </w:pPr>
    </w:p>
    <w:p w14:paraId="733D53B2" w14:textId="77777777" w:rsidR="005325AD" w:rsidRDefault="005325AD" w:rsidP="003027CE">
      <w:pPr>
        <w:pStyle w:val="Body"/>
        <w:spacing w:after="0"/>
        <w:jc w:val="left"/>
        <w:rPr>
          <w:rFonts w:ascii="Arial" w:hAnsi="Arial" w:cs="Arial"/>
        </w:rPr>
      </w:pPr>
    </w:p>
    <w:p w14:paraId="5C804C1C" w14:textId="6168DFEC" w:rsidR="003027CE" w:rsidRDefault="005325AD" w:rsidP="003027CE">
      <w:pPr>
        <w:pStyle w:val="Body"/>
        <w:spacing w:after="0"/>
        <w:rPr>
          <w:rFonts w:ascii="Arial" w:hAnsi="Arial" w:cs="Arial"/>
        </w:rPr>
      </w:pPr>
      <w:r w:rsidRPr="005325AD">
        <w:rPr>
          <w:rFonts w:ascii="Arial" w:hAnsi="Arial" w:cs="Arial"/>
        </w:rPr>
        <w:t xml:space="preserve">The final section of the questionnaire examined clarity and enforcement of data handling rules. A total of 66.6% rated the clarity of data policies as “Not clear, </w:t>
      </w:r>
      <w:proofErr w:type="gramStart"/>
      <w:r w:rsidRPr="005325AD">
        <w:rPr>
          <w:rFonts w:ascii="Arial" w:hAnsi="Arial" w:cs="Arial"/>
        </w:rPr>
        <w:t>Slightly</w:t>
      </w:r>
      <w:proofErr w:type="gramEnd"/>
      <w:r w:rsidRPr="005325AD">
        <w:rPr>
          <w:rFonts w:ascii="Arial" w:hAnsi="Arial" w:cs="Arial"/>
        </w:rPr>
        <w:t xml:space="preserve"> clear, or Moderately clear,” while 66.7% stated that rules were followed only “Not at all, Slightly, or Moderately.” Additionally, 42.6% noted that unclear or weak policy affected data accuracy </w:t>
      </w:r>
      <w:r w:rsidRPr="005325AD">
        <w:rPr>
          <w:rFonts w:ascii="Arial" w:hAnsi="Arial" w:cs="Arial"/>
        </w:rPr>
        <w:lastRenderedPageBreak/>
        <w:t xml:space="preserve">“Mostly or Fully,” and 35.2% reported experiencing problems related to unclear or unenforced policies “Often or Always.” These results suggest that while data policies may exist, they are not consistently understood or applied. Prior research shows that without clearly defined roles and accountability structures, staff revert to personal habits or departmental traditions rather than standardized procedures (Prinsloo &amp; </w:t>
      </w:r>
      <w:proofErr w:type="spellStart"/>
      <w:r w:rsidRPr="005325AD">
        <w:rPr>
          <w:rFonts w:ascii="Arial" w:hAnsi="Arial" w:cs="Arial"/>
        </w:rPr>
        <w:t>Kaliisa</w:t>
      </w:r>
      <w:proofErr w:type="spellEnd"/>
      <w:r w:rsidRPr="005325AD">
        <w:rPr>
          <w:rFonts w:ascii="Arial" w:hAnsi="Arial" w:cs="Arial"/>
        </w:rPr>
        <w:t xml:space="preserve">, 2022). Strong data governance creates shared expectations, improves accuracy, and supports institutional trust in data. The findings </w:t>
      </w:r>
      <w:r>
        <w:rPr>
          <w:rFonts w:ascii="Arial" w:hAnsi="Arial" w:cs="Arial"/>
        </w:rPr>
        <w:t xml:space="preserve">as shown in bar chart 2 </w:t>
      </w:r>
      <w:r w:rsidRPr="005325AD">
        <w:rPr>
          <w:rFonts w:ascii="Arial" w:hAnsi="Arial" w:cs="Arial"/>
        </w:rPr>
        <w:t>reveal that KAG East University must formalize data governance and ensure that it is applied uniformly across all departments.</w:t>
      </w:r>
    </w:p>
    <w:p w14:paraId="07D0B78B" w14:textId="77777777" w:rsidR="00BA7C25" w:rsidRDefault="00BA7C25" w:rsidP="003027CE">
      <w:pPr>
        <w:pStyle w:val="Body"/>
        <w:spacing w:after="0"/>
        <w:rPr>
          <w:rFonts w:ascii="Arial" w:hAnsi="Arial" w:cs="Arial"/>
        </w:rPr>
      </w:pPr>
    </w:p>
    <w:p w14:paraId="33DAB6D4" w14:textId="0F517541" w:rsidR="00BA7C25" w:rsidRPr="00BA7C25" w:rsidRDefault="00BA7C25" w:rsidP="003027CE">
      <w:pPr>
        <w:pStyle w:val="Body"/>
        <w:spacing w:after="0"/>
        <w:rPr>
          <w:rFonts w:ascii="Arial" w:hAnsi="Arial" w:cs="Arial"/>
          <w:b/>
          <w:bCs/>
        </w:rPr>
      </w:pPr>
      <w:r w:rsidRPr="00BA7C25">
        <w:rPr>
          <w:rFonts w:ascii="Arial" w:hAnsi="Arial" w:cs="Arial"/>
          <w:b/>
          <w:bCs/>
        </w:rPr>
        <w:t>Chart 2. Data and Governance Culture</w:t>
      </w:r>
    </w:p>
    <w:p w14:paraId="6D32666B" w14:textId="77777777" w:rsidR="005325AD" w:rsidRDefault="005325AD" w:rsidP="003027CE">
      <w:pPr>
        <w:pStyle w:val="Body"/>
        <w:spacing w:after="0"/>
        <w:rPr>
          <w:rFonts w:ascii="Arial" w:hAnsi="Arial" w:cs="Arial"/>
        </w:rPr>
      </w:pPr>
    </w:p>
    <w:p w14:paraId="6F696EDD" w14:textId="73E58285" w:rsidR="005325AD" w:rsidRDefault="00D05671" w:rsidP="003027CE">
      <w:pPr>
        <w:pStyle w:val="Body"/>
        <w:spacing w:after="0"/>
        <w:rPr>
          <w:rFonts w:ascii="Arial" w:hAnsi="Arial" w:cs="Arial"/>
        </w:rPr>
      </w:pPr>
      <w:r>
        <w:rPr>
          <w:noProof/>
        </w:rPr>
        <w:drawing>
          <wp:inline distT="0" distB="0" distL="0" distR="0" wp14:anchorId="46CD0D8B" wp14:editId="47D88CB6">
            <wp:extent cx="5208270" cy="3127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a:srcRect/>
                    <a:stretch>
                      <a:fillRect/>
                    </a:stretch>
                  </pic:blipFill>
                  <pic:spPr>
                    <a:xfrm>
                      <a:off x="0" y="0"/>
                      <a:ext cx="5208270" cy="3127375"/>
                    </a:xfrm>
                    <a:prstGeom prst="rect">
                      <a:avLst/>
                    </a:prstGeom>
                    <a:ln/>
                  </pic:spPr>
                </pic:pic>
              </a:graphicData>
            </a:graphic>
          </wp:inline>
        </w:drawing>
      </w:r>
    </w:p>
    <w:p w14:paraId="092229FE" w14:textId="77777777" w:rsidR="005325AD" w:rsidRDefault="005325AD" w:rsidP="003027CE">
      <w:pPr>
        <w:pStyle w:val="Body"/>
        <w:spacing w:after="0"/>
        <w:rPr>
          <w:rFonts w:ascii="Arial" w:hAnsi="Arial" w:cs="Arial"/>
        </w:rPr>
      </w:pPr>
    </w:p>
    <w:p w14:paraId="01C3127E" w14:textId="77777777" w:rsidR="005325AD" w:rsidRDefault="005325AD" w:rsidP="003027CE">
      <w:pPr>
        <w:pStyle w:val="Body"/>
        <w:spacing w:after="0"/>
        <w:rPr>
          <w:rFonts w:ascii="Arial" w:hAnsi="Arial" w:cs="Arial"/>
        </w:rPr>
      </w:pPr>
    </w:p>
    <w:p w14:paraId="3551272E" w14:textId="1A296A47" w:rsidR="003027CE" w:rsidRDefault="003027CE" w:rsidP="003027CE">
      <w:pPr>
        <w:pStyle w:val="Body"/>
        <w:spacing w:after="0"/>
        <w:jc w:val="left"/>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6</w:t>
      </w:r>
      <w:r w:rsidRPr="00C30A0F">
        <w:rPr>
          <w:rFonts w:ascii="Arial" w:hAnsi="Arial" w:cs="Arial"/>
          <w:b/>
          <w:caps/>
          <w:sz w:val="22"/>
        </w:rPr>
        <w:t xml:space="preserve"> </w:t>
      </w:r>
      <w:r>
        <w:rPr>
          <w:rFonts w:ascii="Arial" w:hAnsi="Arial" w:cs="Arial"/>
          <w:b/>
          <w:sz w:val="22"/>
        </w:rPr>
        <w:t>Summary of Key Findings</w:t>
      </w:r>
      <w:r w:rsidRPr="00C30A0F">
        <w:rPr>
          <w:rFonts w:ascii="Arial" w:hAnsi="Arial" w:cs="Arial"/>
          <w:b/>
          <w:sz w:val="22"/>
        </w:rPr>
        <w:t xml:space="preserve"> </w:t>
      </w:r>
    </w:p>
    <w:p w14:paraId="080EA809" w14:textId="77777777" w:rsidR="003027CE" w:rsidRDefault="003027CE" w:rsidP="003027CE">
      <w:pPr>
        <w:pStyle w:val="Body"/>
        <w:spacing w:after="0"/>
        <w:rPr>
          <w:rFonts w:ascii="Arial" w:hAnsi="Arial" w:cs="Arial"/>
        </w:rPr>
      </w:pPr>
    </w:p>
    <w:p w14:paraId="356BDFB8" w14:textId="07AF2DB2" w:rsidR="003027CE" w:rsidRDefault="00D05671" w:rsidP="00441B6F">
      <w:pPr>
        <w:pStyle w:val="Body"/>
        <w:spacing w:after="0"/>
        <w:rPr>
          <w:rFonts w:ascii="Arial" w:hAnsi="Arial" w:cs="Arial"/>
        </w:rPr>
      </w:pPr>
      <w:r w:rsidRPr="00D05671">
        <w:rPr>
          <w:rFonts w:ascii="Arial" w:hAnsi="Arial" w:cs="Arial"/>
        </w:rPr>
        <w:t>As highlighted</w:t>
      </w:r>
      <w:r>
        <w:rPr>
          <w:rFonts w:ascii="Arial" w:hAnsi="Arial" w:cs="Arial"/>
        </w:rPr>
        <w:t xml:space="preserve"> below</w:t>
      </w:r>
      <w:r w:rsidRPr="00D05671">
        <w:rPr>
          <w:rFonts w:ascii="Arial" w:hAnsi="Arial" w:cs="Arial"/>
        </w:rPr>
        <w:t>, the most critical issues arose from data verification and data entry processes, but governance, training, and weak system integration also significantly undermined data accuracy. The findings clearly showed that both human and system-related factors required intervention.</w:t>
      </w:r>
    </w:p>
    <w:p w14:paraId="409A094B" w14:textId="77777777" w:rsidR="00D05671" w:rsidRDefault="00D05671" w:rsidP="00441B6F">
      <w:pPr>
        <w:pStyle w:val="Body"/>
        <w:spacing w:after="0"/>
        <w:rPr>
          <w:rFonts w:ascii="Arial" w:hAnsi="Arial" w:cs="Arial"/>
        </w:rPr>
      </w:pPr>
    </w:p>
    <w:p w14:paraId="04F2375B" w14:textId="3DFE5C9B" w:rsidR="00D05671" w:rsidRPr="00D05671" w:rsidRDefault="00D05671" w:rsidP="00D05671">
      <w:pPr>
        <w:pStyle w:val="Body"/>
        <w:spacing w:after="0"/>
        <w:rPr>
          <w:rFonts w:ascii="Arial" w:hAnsi="Arial" w:cs="Arial"/>
          <w:b/>
          <w:bCs/>
          <w:i/>
          <w:iCs/>
          <w:lang w:val="en"/>
        </w:rPr>
      </w:pPr>
      <w:r w:rsidRPr="00D05671">
        <w:rPr>
          <w:rFonts w:ascii="Arial" w:hAnsi="Arial" w:cs="Arial"/>
          <w:b/>
          <w:bCs/>
          <w:i/>
          <w:iCs/>
          <w:lang w:val="en"/>
        </w:rPr>
        <w:t xml:space="preserve">Table </w:t>
      </w:r>
      <w:r w:rsidR="00623D0B">
        <w:rPr>
          <w:rFonts w:ascii="Arial" w:hAnsi="Arial" w:cs="Arial"/>
          <w:b/>
          <w:bCs/>
          <w:i/>
          <w:iCs/>
          <w:lang w:val="en"/>
        </w:rPr>
        <w:t>4</w:t>
      </w:r>
      <w:r w:rsidRPr="00D05671">
        <w:rPr>
          <w:rFonts w:ascii="Arial" w:hAnsi="Arial" w:cs="Arial"/>
          <w:b/>
          <w:bCs/>
          <w:i/>
          <w:iCs/>
          <w:lang w:val="en"/>
        </w:rPr>
        <w:t>: Summary of Findings</w:t>
      </w:r>
    </w:p>
    <w:p w14:paraId="5B4252CF" w14:textId="77777777" w:rsidR="00D05671" w:rsidRPr="00D05671" w:rsidRDefault="00D05671" w:rsidP="00D05671">
      <w:pPr>
        <w:pStyle w:val="Body"/>
        <w:spacing w:after="0"/>
        <w:rPr>
          <w:rFonts w:ascii="Arial" w:hAnsi="Arial" w:cs="Arial"/>
          <w:lang w:val="en"/>
        </w:rPr>
      </w:pPr>
    </w:p>
    <w:tbl>
      <w:tblPr>
        <w:tblW w:w="9360" w:type="dxa"/>
        <w:tblBorders>
          <w:bottom w:val="single" w:sz="4" w:space="0" w:color="auto"/>
        </w:tblBorders>
        <w:tblLayout w:type="fixed"/>
        <w:tblLook w:val="0600" w:firstRow="0" w:lastRow="0" w:firstColumn="0" w:lastColumn="0" w:noHBand="1" w:noVBand="1"/>
      </w:tblPr>
      <w:tblGrid>
        <w:gridCol w:w="2252"/>
        <w:gridCol w:w="3897"/>
        <w:gridCol w:w="1546"/>
        <w:gridCol w:w="1665"/>
      </w:tblGrid>
      <w:tr w:rsidR="00D05671" w:rsidRPr="00D05671" w14:paraId="108A7E40" w14:textId="77777777" w:rsidTr="00AD5942">
        <w:trPr>
          <w:trHeight w:val="785"/>
        </w:trPr>
        <w:tc>
          <w:tcPr>
            <w:tcW w:w="2252" w:type="dxa"/>
            <w:tcBorders>
              <w:top w:val="single" w:sz="4" w:space="0" w:color="auto"/>
              <w:bottom w:val="single" w:sz="4" w:space="0" w:color="auto"/>
            </w:tcBorders>
            <w:tcMar>
              <w:top w:w="100" w:type="dxa"/>
              <w:left w:w="100" w:type="dxa"/>
              <w:bottom w:w="100" w:type="dxa"/>
              <w:right w:w="100" w:type="dxa"/>
            </w:tcMar>
          </w:tcPr>
          <w:p w14:paraId="1A6FA43F" w14:textId="77777777" w:rsidR="00D05671" w:rsidRPr="00D05671" w:rsidRDefault="00D05671" w:rsidP="00D05671">
            <w:pPr>
              <w:pStyle w:val="Body"/>
              <w:spacing w:after="0"/>
              <w:rPr>
                <w:rFonts w:ascii="Arial" w:hAnsi="Arial" w:cs="Arial"/>
                <w:lang w:val="en"/>
              </w:rPr>
            </w:pPr>
            <w:r w:rsidRPr="00D05671">
              <w:rPr>
                <w:rFonts w:ascii="Arial" w:hAnsi="Arial" w:cs="Arial"/>
                <w:b/>
                <w:bCs/>
                <w:lang w:val="en"/>
              </w:rPr>
              <w:t>Area</w:t>
            </w:r>
          </w:p>
        </w:tc>
        <w:tc>
          <w:tcPr>
            <w:tcW w:w="3897" w:type="dxa"/>
            <w:tcBorders>
              <w:top w:val="single" w:sz="4" w:space="0" w:color="auto"/>
              <w:bottom w:val="single" w:sz="4" w:space="0" w:color="auto"/>
            </w:tcBorders>
            <w:tcMar>
              <w:top w:w="100" w:type="dxa"/>
              <w:left w:w="100" w:type="dxa"/>
              <w:bottom w:w="100" w:type="dxa"/>
              <w:right w:w="100" w:type="dxa"/>
            </w:tcMar>
          </w:tcPr>
          <w:p w14:paraId="47FCBE95" w14:textId="77777777" w:rsidR="00D05671" w:rsidRPr="00D05671" w:rsidRDefault="00D05671" w:rsidP="00D05671">
            <w:pPr>
              <w:pStyle w:val="Body"/>
              <w:spacing w:after="0"/>
              <w:rPr>
                <w:rFonts w:ascii="Arial" w:hAnsi="Arial" w:cs="Arial"/>
                <w:lang w:val="en"/>
              </w:rPr>
            </w:pPr>
            <w:r w:rsidRPr="00D05671">
              <w:rPr>
                <w:rFonts w:ascii="Arial" w:hAnsi="Arial" w:cs="Arial"/>
                <w:b/>
                <w:bCs/>
                <w:lang w:val="en"/>
              </w:rPr>
              <w:t>Most Significant Finding</w:t>
            </w:r>
          </w:p>
        </w:tc>
        <w:tc>
          <w:tcPr>
            <w:tcW w:w="1546" w:type="dxa"/>
            <w:tcBorders>
              <w:top w:val="single" w:sz="4" w:space="0" w:color="auto"/>
              <w:bottom w:val="single" w:sz="4" w:space="0" w:color="auto"/>
            </w:tcBorders>
            <w:tcMar>
              <w:top w:w="100" w:type="dxa"/>
              <w:left w:w="100" w:type="dxa"/>
              <w:bottom w:w="100" w:type="dxa"/>
              <w:right w:w="100" w:type="dxa"/>
            </w:tcMar>
          </w:tcPr>
          <w:p w14:paraId="46282EB9" w14:textId="77777777" w:rsidR="00D05671" w:rsidRPr="00D05671" w:rsidRDefault="00D05671" w:rsidP="00D05671">
            <w:pPr>
              <w:pStyle w:val="Body"/>
              <w:spacing w:after="0"/>
              <w:rPr>
                <w:rFonts w:ascii="Arial" w:hAnsi="Arial" w:cs="Arial"/>
                <w:lang w:val="en"/>
              </w:rPr>
            </w:pPr>
            <w:r w:rsidRPr="00D05671">
              <w:rPr>
                <w:rFonts w:ascii="Arial" w:hAnsi="Arial" w:cs="Arial"/>
                <w:b/>
                <w:bCs/>
                <w:lang w:val="en"/>
              </w:rPr>
              <w:t>Frequency (n)</w:t>
            </w:r>
          </w:p>
        </w:tc>
        <w:tc>
          <w:tcPr>
            <w:tcW w:w="1665" w:type="dxa"/>
            <w:tcBorders>
              <w:top w:val="single" w:sz="4" w:space="0" w:color="auto"/>
              <w:bottom w:val="single" w:sz="4" w:space="0" w:color="auto"/>
            </w:tcBorders>
            <w:tcMar>
              <w:top w:w="100" w:type="dxa"/>
              <w:left w:w="100" w:type="dxa"/>
              <w:bottom w:w="100" w:type="dxa"/>
              <w:right w:w="100" w:type="dxa"/>
            </w:tcMar>
          </w:tcPr>
          <w:p w14:paraId="0E954BD2" w14:textId="77777777" w:rsidR="00D05671" w:rsidRPr="00D05671" w:rsidRDefault="00D05671" w:rsidP="00D05671">
            <w:pPr>
              <w:pStyle w:val="Body"/>
              <w:spacing w:after="0"/>
              <w:rPr>
                <w:rFonts w:ascii="Arial" w:hAnsi="Arial" w:cs="Arial"/>
                <w:lang w:val="en"/>
              </w:rPr>
            </w:pPr>
            <w:r w:rsidRPr="00D05671">
              <w:rPr>
                <w:rFonts w:ascii="Arial" w:hAnsi="Arial" w:cs="Arial"/>
                <w:b/>
                <w:bCs/>
                <w:lang w:val="en"/>
              </w:rPr>
              <w:t>Percentage (%)</w:t>
            </w:r>
          </w:p>
        </w:tc>
      </w:tr>
      <w:tr w:rsidR="00D05671" w:rsidRPr="00D05671" w14:paraId="30FCB022" w14:textId="77777777" w:rsidTr="00AD5942">
        <w:trPr>
          <w:trHeight w:val="515"/>
        </w:trPr>
        <w:tc>
          <w:tcPr>
            <w:tcW w:w="2252" w:type="dxa"/>
            <w:tcBorders>
              <w:top w:val="single" w:sz="4" w:space="0" w:color="auto"/>
            </w:tcBorders>
            <w:tcMar>
              <w:top w:w="100" w:type="dxa"/>
              <w:left w:w="100" w:type="dxa"/>
              <w:bottom w:w="100" w:type="dxa"/>
              <w:right w:w="100" w:type="dxa"/>
            </w:tcMar>
          </w:tcPr>
          <w:p w14:paraId="2C1A1140"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Data Entry</w:t>
            </w:r>
          </w:p>
        </w:tc>
        <w:tc>
          <w:tcPr>
            <w:tcW w:w="3897" w:type="dxa"/>
            <w:tcBorders>
              <w:top w:val="single" w:sz="4" w:space="0" w:color="auto"/>
            </w:tcBorders>
            <w:tcMar>
              <w:top w:w="100" w:type="dxa"/>
              <w:left w:w="100" w:type="dxa"/>
              <w:bottom w:w="100" w:type="dxa"/>
              <w:right w:w="100" w:type="dxa"/>
            </w:tcMar>
          </w:tcPr>
          <w:p w14:paraId="7F14A055"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Frequent data-entry mistakes</w:t>
            </w:r>
          </w:p>
        </w:tc>
        <w:tc>
          <w:tcPr>
            <w:tcW w:w="1546" w:type="dxa"/>
            <w:tcBorders>
              <w:top w:val="single" w:sz="4" w:space="0" w:color="auto"/>
            </w:tcBorders>
            <w:tcMar>
              <w:top w:w="100" w:type="dxa"/>
              <w:left w:w="100" w:type="dxa"/>
              <w:bottom w:w="100" w:type="dxa"/>
              <w:right w:w="100" w:type="dxa"/>
            </w:tcMar>
          </w:tcPr>
          <w:p w14:paraId="5557E626"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38</w:t>
            </w:r>
          </w:p>
        </w:tc>
        <w:tc>
          <w:tcPr>
            <w:tcW w:w="1665" w:type="dxa"/>
            <w:tcBorders>
              <w:top w:val="single" w:sz="4" w:space="0" w:color="auto"/>
            </w:tcBorders>
            <w:tcMar>
              <w:top w:w="100" w:type="dxa"/>
              <w:left w:w="100" w:type="dxa"/>
              <w:bottom w:w="100" w:type="dxa"/>
              <w:right w:w="100" w:type="dxa"/>
            </w:tcMar>
          </w:tcPr>
          <w:p w14:paraId="282510A7"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70.3</w:t>
            </w:r>
          </w:p>
        </w:tc>
      </w:tr>
      <w:tr w:rsidR="00D05671" w:rsidRPr="00D05671" w14:paraId="594A66B2" w14:textId="77777777" w:rsidTr="00AD5942">
        <w:trPr>
          <w:trHeight w:val="515"/>
        </w:trPr>
        <w:tc>
          <w:tcPr>
            <w:tcW w:w="2252" w:type="dxa"/>
            <w:tcMar>
              <w:top w:w="100" w:type="dxa"/>
              <w:left w:w="100" w:type="dxa"/>
              <w:bottom w:w="100" w:type="dxa"/>
              <w:right w:w="100" w:type="dxa"/>
            </w:tcMar>
          </w:tcPr>
          <w:p w14:paraId="68FDDD8B"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lastRenderedPageBreak/>
              <w:t>System Integration</w:t>
            </w:r>
          </w:p>
        </w:tc>
        <w:tc>
          <w:tcPr>
            <w:tcW w:w="3897" w:type="dxa"/>
            <w:tcMar>
              <w:top w:w="100" w:type="dxa"/>
              <w:left w:w="100" w:type="dxa"/>
              <w:bottom w:w="100" w:type="dxa"/>
              <w:right w:w="100" w:type="dxa"/>
            </w:tcMar>
          </w:tcPr>
          <w:p w14:paraId="6E290B7D"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Difficulty moving/accessing data</w:t>
            </w:r>
          </w:p>
        </w:tc>
        <w:tc>
          <w:tcPr>
            <w:tcW w:w="1546" w:type="dxa"/>
            <w:tcMar>
              <w:top w:w="100" w:type="dxa"/>
              <w:left w:w="100" w:type="dxa"/>
              <w:bottom w:w="100" w:type="dxa"/>
              <w:right w:w="100" w:type="dxa"/>
            </w:tcMar>
          </w:tcPr>
          <w:p w14:paraId="37AAAD20"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17</w:t>
            </w:r>
          </w:p>
        </w:tc>
        <w:tc>
          <w:tcPr>
            <w:tcW w:w="1665" w:type="dxa"/>
            <w:tcMar>
              <w:top w:w="100" w:type="dxa"/>
              <w:left w:w="100" w:type="dxa"/>
              <w:bottom w:w="100" w:type="dxa"/>
              <w:right w:w="100" w:type="dxa"/>
            </w:tcMar>
          </w:tcPr>
          <w:p w14:paraId="29C08210"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31.5</w:t>
            </w:r>
          </w:p>
        </w:tc>
      </w:tr>
      <w:tr w:rsidR="00D05671" w:rsidRPr="00D05671" w14:paraId="4219F927" w14:textId="77777777" w:rsidTr="00AD5942">
        <w:trPr>
          <w:trHeight w:val="785"/>
        </w:trPr>
        <w:tc>
          <w:tcPr>
            <w:tcW w:w="2252" w:type="dxa"/>
            <w:tcMar>
              <w:top w:w="100" w:type="dxa"/>
              <w:left w:w="100" w:type="dxa"/>
              <w:bottom w:w="100" w:type="dxa"/>
              <w:right w:w="100" w:type="dxa"/>
            </w:tcMar>
          </w:tcPr>
          <w:p w14:paraId="16528E10" w14:textId="4998AF33" w:rsidR="00D05671" w:rsidRPr="00D05671" w:rsidRDefault="00D05671" w:rsidP="00D05671">
            <w:pPr>
              <w:pStyle w:val="Body"/>
              <w:spacing w:after="0"/>
              <w:rPr>
                <w:rFonts w:ascii="Arial" w:hAnsi="Arial" w:cs="Arial"/>
                <w:lang w:val="en"/>
              </w:rPr>
            </w:pPr>
            <w:r w:rsidRPr="00D05671">
              <w:rPr>
                <w:rFonts w:ascii="Arial" w:hAnsi="Arial" w:cs="Arial"/>
                <w:lang w:val="en"/>
              </w:rPr>
              <w:t>Verification</w:t>
            </w:r>
            <w:r>
              <w:rPr>
                <w:rFonts w:ascii="Arial" w:hAnsi="Arial" w:cs="Arial"/>
                <w:lang w:val="en"/>
              </w:rPr>
              <w:t>/</w:t>
            </w:r>
            <w:r w:rsidRPr="00D05671">
              <w:rPr>
                <w:rFonts w:ascii="Arial" w:hAnsi="Arial" w:cs="Arial"/>
                <w:lang w:val="en"/>
              </w:rPr>
              <w:t>Reporting</w:t>
            </w:r>
          </w:p>
        </w:tc>
        <w:tc>
          <w:tcPr>
            <w:tcW w:w="3897" w:type="dxa"/>
            <w:tcMar>
              <w:top w:w="100" w:type="dxa"/>
              <w:left w:w="100" w:type="dxa"/>
              <w:bottom w:w="100" w:type="dxa"/>
              <w:right w:w="100" w:type="dxa"/>
            </w:tcMar>
          </w:tcPr>
          <w:p w14:paraId="7820B5A7"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Errors persist even after verification</w:t>
            </w:r>
          </w:p>
        </w:tc>
        <w:tc>
          <w:tcPr>
            <w:tcW w:w="1546" w:type="dxa"/>
            <w:tcMar>
              <w:top w:w="100" w:type="dxa"/>
              <w:left w:w="100" w:type="dxa"/>
              <w:bottom w:w="100" w:type="dxa"/>
              <w:right w:w="100" w:type="dxa"/>
            </w:tcMar>
          </w:tcPr>
          <w:p w14:paraId="19E5D091"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41</w:t>
            </w:r>
          </w:p>
        </w:tc>
        <w:tc>
          <w:tcPr>
            <w:tcW w:w="1665" w:type="dxa"/>
            <w:tcMar>
              <w:top w:w="100" w:type="dxa"/>
              <w:left w:w="100" w:type="dxa"/>
              <w:bottom w:w="100" w:type="dxa"/>
              <w:right w:w="100" w:type="dxa"/>
            </w:tcMar>
          </w:tcPr>
          <w:p w14:paraId="207EF8C2"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76.0</w:t>
            </w:r>
          </w:p>
        </w:tc>
      </w:tr>
      <w:tr w:rsidR="00D05671" w:rsidRPr="00D05671" w14:paraId="07267EF0" w14:textId="77777777" w:rsidTr="00AD5942">
        <w:trPr>
          <w:trHeight w:val="515"/>
        </w:trPr>
        <w:tc>
          <w:tcPr>
            <w:tcW w:w="2252" w:type="dxa"/>
            <w:tcMar>
              <w:top w:w="100" w:type="dxa"/>
              <w:left w:w="100" w:type="dxa"/>
              <w:bottom w:w="100" w:type="dxa"/>
              <w:right w:w="100" w:type="dxa"/>
            </w:tcMar>
          </w:tcPr>
          <w:p w14:paraId="79781C5D"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Training &amp; Support</w:t>
            </w:r>
          </w:p>
        </w:tc>
        <w:tc>
          <w:tcPr>
            <w:tcW w:w="3897" w:type="dxa"/>
            <w:tcMar>
              <w:top w:w="100" w:type="dxa"/>
              <w:left w:w="100" w:type="dxa"/>
              <w:bottom w:w="100" w:type="dxa"/>
              <w:right w:w="100" w:type="dxa"/>
            </w:tcMar>
          </w:tcPr>
          <w:p w14:paraId="0FE51BC4"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Low confidence in handling data</w:t>
            </w:r>
          </w:p>
        </w:tc>
        <w:tc>
          <w:tcPr>
            <w:tcW w:w="1546" w:type="dxa"/>
            <w:tcMar>
              <w:top w:w="100" w:type="dxa"/>
              <w:left w:w="100" w:type="dxa"/>
              <w:bottom w:w="100" w:type="dxa"/>
              <w:right w:w="100" w:type="dxa"/>
            </w:tcMar>
          </w:tcPr>
          <w:p w14:paraId="6366EAF8"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36</w:t>
            </w:r>
          </w:p>
        </w:tc>
        <w:tc>
          <w:tcPr>
            <w:tcW w:w="1665" w:type="dxa"/>
            <w:tcMar>
              <w:top w:w="100" w:type="dxa"/>
              <w:left w:w="100" w:type="dxa"/>
              <w:bottom w:w="100" w:type="dxa"/>
              <w:right w:w="100" w:type="dxa"/>
            </w:tcMar>
          </w:tcPr>
          <w:p w14:paraId="7E5111D8"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66.7</w:t>
            </w:r>
          </w:p>
        </w:tc>
      </w:tr>
      <w:tr w:rsidR="00D05671" w:rsidRPr="00D05671" w14:paraId="583DFC83" w14:textId="77777777" w:rsidTr="00AD5942">
        <w:trPr>
          <w:trHeight w:val="785"/>
        </w:trPr>
        <w:tc>
          <w:tcPr>
            <w:tcW w:w="2252" w:type="dxa"/>
            <w:tcBorders>
              <w:bottom w:val="single" w:sz="4" w:space="0" w:color="auto"/>
            </w:tcBorders>
            <w:tcMar>
              <w:top w:w="100" w:type="dxa"/>
              <w:left w:w="100" w:type="dxa"/>
              <w:bottom w:w="100" w:type="dxa"/>
              <w:right w:w="100" w:type="dxa"/>
            </w:tcMar>
          </w:tcPr>
          <w:p w14:paraId="6AE06D37"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Governance &amp; Culture</w:t>
            </w:r>
          </w:p>
        </w:tc>
        <w:tc>
          <w:tcPr>
            <w:tcW w:w="3897" w:type="dxa"/>
            <w:tcBorders>
              <w:bottom w:val="single" w:sz="4" w:space="0" w:color="auto"/>
            </w:tcBorders>
            <w:tcMar>
              <w:top w:w="100" w:type="dxa"/>
              <w:left w:w="100" w:type="dxa"/>
              <w:bottom w:w="100" w:type="dxa"/>
              <w:right w:w="100" w:type="dxa"/>
            </w:tcMar>
          </w:tcPr>
          <w:p w14:paraId="3ECAC161"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Data policies unclear/inconsistently followed</w:t>
            </w:r>
          </w:p>
        </w:tc>
        <w:tc>
          <w:tcPr>
            <w:tcW w:w="1546" w:type="dxa"/>
            <w:tcBorders>
              <w:bottom w:val="single" w:sz="4" w:space="0" w:color="auto"/>
            </w:tcBorders>
            <w:tcMar>
              <w:top w:w="100" w:type="dxa"/>
              <w:left w:w="100" w:type="dxa"/>
              <w:bottom w:w="100" w:type="dxa"/>
              <w:right w:w="100" w:type="dxa"/>
            </w:tcMar>
          </w:tcPr>
          <w:p w14:paraId="03697D62"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36</w:t>
            </w:r>
          </w:p>
        </w:tc>
        <w:tc>
          <w:tcPr>
            <w:tcW w:w="1665" w:type="dxa"/>
            <w:tcBorders>
              <w:bottom w:val="single" w:sz="4" w:space="0" w:color="auto"/>
            </w:tcBorders>
            <w:tcMar>
              <w:top w:w="100" w:type="dxa"/>
              <w:left w:w="100" w:type="dxa"/>
              <w:bottom w:w="100" w:type="dxa"/>
              <w:right w:w="100" w:type="dxa"/>
            </w:tcMar>
          </w:tcPr>
          <w:p w14:paraId="00FBD599"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66.6</w:t>
            </w:r>
          </w:p>
        </w:tc>
      </w:tr>
    </w:tbl>
    <w:p w14:paraId="09998398" w14:textId="22CF20B8" w:rsidR="00E053D0" w:rsidRPr="00913472" w:rsidRDefault="00D05671" w:rsidP="00441B6F">
      <w:pPr>
        <w:pStyle w:val="Body"/>
        <w:spacing w:after="0"/>
        <w:rPr>
          <w:rFonts w:ascii="Arial" w:hAnsi="Arial" w:cs="Arial"/>
          <w:b/>
          <w:bCs/>
          <w:i/>
          <w:iCs/>
          <w:lang w:val="en"/>
        </w:rPr>
      </w:pPr>
      <w:r>
        <w:rPr>
          <w:rFonts w:ascii="Arial" w:hAnsi="Arial" w:cs="Arial"/>
          <w:i/>
          <w:iCs/>
          <w:lang w:val="en"/>
        </w:rPr>
        <w:t xml:space="preserve">* </w:t>
      </w:r>
      <w:r w:rsidRPr="00D05671">
        <w:rPr>
          <w:rFonts w:ascii="Arial" w:hAnsi="Arial" w:cs="Arial"/>
          <w:i/>
          <w:iCs/>
          <w:lang w:val="en"/>
        </w:rPr>
        <w:t>These percentages are calculated per question and reflect the proportion of respondents for each specific indicator, rather than a cumulative total.</w:t>
      </w:r>
    </w:p>
    <w:p w14:paraId="615A021C" w14:textId="77777777" w:rsidR="00790ADA" w:rsidRDefault="00790ADA" w:rsidP="00441B6F">
      <w:pPr>
        <w:pStyle w:val="Body"/>
        <w:spacing w:after="0"/>
        <w:rPr>
          <w:rFonts w:ascii="Arial" w:hAnsi="Arial" w:cs="Arial"/>
        </w:rPr>
      </w:pPr>
    </w:p>
    <w:p w14:paraId="6FBE8475" w14:textId="77777777" w:rsidR="00913472" w:rsidRPr="00913472" w:rsidRDefault="00913472" w:rsidP="00441B6F">
      <w:pPr>
        <w:pStyle w:val="Body"/>
        <w:spacing w:after="0"/>
        <w:rPr>
          <w:rFonts w:ascii="Arial" w:hAnsi="Arial" w:cs="Arial"/>
          <w:b/>
          <w:bCs/>
        </w:rPr>
      </w:pPr>
    </w:p>
    <w:p w14:paraId="550FC63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934D25F" w14:textId="77777777" w:rsidR="00790ADA" w:rsidRPr="00FB3A86" w:rsidRDefault="00790ADA" w:rsidP="00441B6F">
      <w:pPr>
        <w:pStyle w:val="ConcHead"/>
        <w:spacing w:after="0"/>
        <w:jc w:val="both"/>
        <w:rPr>
          <w:rFonts w:ascii="Arial" w:hAnsi="Arial" w:cs="Arial"/>
        </w:rPr>
      </w:pPr>
    </w:p>
    <w:p w14:paraId="4E6FFBC5" w14:textId="7D9BBA23" w:rsidR="008205AC" w:rsidRPr="008205AC" w:rsidRDefault="008205AC" w:rsidP="008205AC">
      <w:pPr>
        <w:pStyle w:val="Body"/>
        <w:rPr>
          <w:rFonts w:ascii="Arial" w:hAnsi="Arial" w:cs="Arial"/>
        </w:rPr>
      </w:pPr>
      <w:r w:rsidRPr="008205AC">
        <w:rPr>
          <w:rFonts w:ascii="Arial" w:hAnsi="Arial" w:cs="Arial"/>
        </w:rPr>
        <w:t>The study investigated factors contributing to student data inaccuracies at KAG East University by examining how student information is entered, stored, verified, shared, and governed. Findings indicate that errors arise from multiple, interacting issues: manual data entry, fragmented systems, weak verification methods, limited staff training, and inconsistent enforcement of data policies. Nearly three-quarters of staff reported that errors persisted even after verification, while system integration challenges forced repeated data entry and created inconsistent records.</w:t>
      </w:r>
    </w:p>
    <w:p w14:paraId="391A8A83" w14:textId="77777777" w:rsidR="008205AC" w:rsidRDefault="008205AC" w:rsidP="008205AC">
      <w:pPr>
        <w:pStyle w:val="Body"/>
        <w:rPr>
          <w:rFonts w:ascii="Arial" w:hAnsi="Arial" w:cs="Arial"/>
        </w:rPr>
      </w:pPr>
      <w:r w:rsidRPr="008205AC">
        <w:rPr>
          <w:rFonts w:ascii="Arial" w:hAnsi="Arial" w:cs="Arial"/>
        </w:rPr>
        <w:t>Training gaps and unclear ownership of data processes further reduced consistency and confidence among staff. These findings align with literature emphasizing that accuracy must be built into workflows rather than relying solely on error detection (Wang &amp; Strong, 1996; Prinsloo &amp; Kaliisa, 2022). Improving student data accuracy at KAG East University requires strengthening systems, processes, and staff capacity, with accountability and automation working together.</w:t>
      </w:r>
    </w:p>
    <w:p w14:paraId="0048BF67" w14:textId="0E043ED9" w:rsidR="008205AC" w:rsidRPr="008205AC" w:rsidRDefault="008205AC" w:rsidP="008205AC">
      <w:pPr>
        <w:pStyle w:val="Body"/>
        <w:rPr>
          <w:rFonts w:ascii="Arial" w:hAnsi="Arial" w:cs="Arial"/>
          <w:b/>
          <w:bCs/>
          <w:sz w:val="22"/>
          <w:szCs w:val="22"/>
        </w:rPr>
      </w:pPr>
      <w:r w:rsidRPr="008205AC">
        <w:rPr>
          <w:rFonts w:ascii="Arial" w:hAnsi="Arial" w:cs="Arial"/>
          <w:b/>
          <w:bCs/>
          <w:sz w:val="22"/>
          <w:szCs w:val="22"/>
        </w:rPr>
        <w:t>4.1 Recommendations</w:t>
      </w:r>
    </w:p>
    <w:p w14:paraId="0160D7BA" w14:textId="05D6FB05" w:rsidR="008205AC" w:rsidRPr="008205AC" w:rsidRDefault="008205AC" w:rsidP="008205AC">
      <w:pPr>
        <w:pStyle w:val="Body"/>
        <w:rPr>
          <w:rFonts w:ascii="Arial" w:hAnsi="Arial" w:cs="Arial"/>
        </w:rPr>
      </w:pPr>
      <w:r w:rsidRPr="008205AC">
        <w:rPr>
          <w:rFonts w:ascii="Arial" w:hAnsi="Arial" w:cs="Arial"/>
        </w:rPr>
        <w:t>Based on the findings, key improvements are needed to reduce data errors and ensure consistency in how student records are handled. Some of the recommendations include:</w:t>
      </w:r>
    </w:p>
    <w:p w14:paraId="45DC4115" w14:textId="082B827F" w:rsidR="008205AC" w:rsidRPr="008205AC" w:rsidRDefault="008205AC" w:rsidP="008205AC">
      <w:pPr>
        <w:pStyle w:val="Body"/>
        <w:numPr>
          <w:ilvl w:val="0"/>
          <w:numId w:val="33"/>
        </w:numPr>
        <w:rPr>
          <w:rFonts w:ascii="Arial" w:hAnsi="Arial" w:cs="Arial"/>
        </w:rPr>
      </w:pPr>
      <w:r w:rsidRPr="008205AC">
        <w:rPr>
          <w:rFonts w:ascii="Arial" w:hAnsi="Arial" w:cs="Arial"/>
          <w:b/>
          <w:bCs/>
        </w:rPr>
        <w:t>Improve Accuracy at the Point of Data Entry:</w:t>
      </w:r>
      <w:r>
        <w:rPr>
          <w:rFonts w:ascii="Arial" w:hAnsi="Arial" w:cs="Arial"/>
        </w:rPr>
        <w:t xml:space="preserve"> </w:t>
      </w:r>
      <w:r w:rsidRPr="008205AC">
        <w:rPr>
          <w:rFonts w:ascii="Arial" w:hAnsi="Arial" w:cs="Arial"/>
        </w:rPr>
        <w:t>The findings show that most errors originate during initial data capture, and current controls are not fully effective. Introducing a built-in data entry guide, such as dropdown selections, required fields, and automatic prompts, will guide users on what to enter and reduce errors before they reach the system.</w:t>
      </w:r>
    </w:p>
    <w:p w14:paraId="273803B9" w14:textId="21CED9C6" w:rsidR="008205AC" w:rsidRPr="008205AC" w:rsidRDefault="008205AC" w:rsidP="008205AC">
      <w:pPr>
        <w:pStyle w:val="Body"/>
        <w:numPr>
          <w:ilvl w:val="0"/>
          <w:numId w:val="33"/>
        </w:numPr>
        <w:rPr>
          <w:rFonts w:ascii="Arial" w:hAnsi="Arial" w:cs="Arial"/>
        </w:rPr>
      </w:pPr>
      <w:r w:rsidRPr="008205AC">
        <w:rPr>
          <w:rFonts w:ascii="Arial" w:hAnsi="Arial" w:cs="Arial"/>
          <w:b/>
          <w:bCs/>
        </w:rPr>
        <w:t>Strengthen System Integration to Reduce Manual Data Movement:</w:t>
      </w:r>
      <w:r>
        <w:rPr>
          <w:rFonts w:ascii="Arial" w:hAnsi="Arial" w:cs="Arial"/>
        </w:rPr>
        <w:t xml:space="preserve"> </w:t>
      </w:r>
      <w:r w:rsidRPr="008205AC">
        <w:rPr>
          <w:rFonts w:ascii="Arial" w:hAnsi="Arial" w:cs="Arial"/>
        </w:rPr>
        <w:t xml:space="preserve">Respondents indicated difficulty transferring information between systems, which leads to duplication and inconsistency. Using the same student identifier in every system and allowing information to update automatically between systems will reduce the need for staff to re-enter data and prevent differences in student details </w:t>
      </w:r>
      <w:r w:rsidRPr="008205AC">
        <w:rPr>
          <w:rFonts w:ascii="Arial" w:hAnsi="Arial" w:cs="Arial"/>
        </w:rPr>
        <w:lastRenderedPageBreak/>
        <w:t>across platforms. When systems update each other automatically, staff can rely on accurate and consistent student records.</w:t>
      </w:r>
    </w:p>
    <w:p w14:paraId="3C351E5E" w14:textId="2914179D" w:rsidR="008205AC" w:rsidRPr="008205AC" w:rsidRDefault="008205AC" w:rsidP="008205AC">
      <w:pPr>
        <w:pStyle w:val="Body"/>
        <w:numPr>
          <w:ilvl w:val="0"/>
          <w:numId w:val="33"/>
        </w:numPr>
        <w:rPr>
          <w:rFonts w:ascii="Arial" w:hAnsi="Arial" w:cs="Arial"/>
        </w:rPr>
      </w:pPr>
      <w:r w:rsidRPr="008205AC">
        <w:rPr>
          <w:rFonts w:ascii="Arial" w:hAnsi="Arial" w:cs="Arial"/>
          <w:b/>
          <w:bCs/>
        </w:rPr>
        <w:t>Redesign Verification to Detect Errors, Not Just Completion:</w:t>
      </w:r>
      <w:r>
        <w:rPr>
          <w:rFonts w:ascii="Arial" w:hAnsi="Arial" w:cs="Arial"/>
        </w:rPr>
        <w:t xml:space="preserve"> </w:t>
      </w:r>
      <w:r w:rsidRPr="008205AC">
        <w:rPr>
          <w:rFonts w:ascii="Arial" w:hAnsi="Arial" w:cs="Arial"/>
        </w:rPr>
        <w:t>Although verification takes place, errors continue to appear afterwards, showing that verification focuses on whether the step was completed rather than on correctness. Verification should include automatic error alerts that highlight missing information, incorrect entries, or mismatched records so errors can be corrected before data becomes final.</w:t>
      </w:r>
    </w:p>
    <w:p w14:paraId="1F40C6DF" w14:textId="13606FDD" w:rsidR="008205AC" w:rsidRPr="008205AC" w:rsidRDefault="008205AC" w:rsidP="008205AC">
      <w:pPr>
        <w:pStyle w:val="Body"/>
        <w:numPr>
          <w:ilvl w:val="0"/>
          <w:numId w:val="33"/>
        </w:numPr>
        <w:rPr>
          <w:rFonts w:ascii="Arial" w:hAnsi="Arial" w:cs="Arial"/>
        </w:rPr>
      </w:pPr>
      <w:r w:rsidRPr="008205AC">
        <w:rPr>
          <w:rFonts w:ascii="Arial" w:hAnsi="Arial" w:cs="Arial"/>
          <w:b/>
          <w:bCs/>
        </w:rPr>
        <w:t>Provide Continuous, Role-Specific Training Rather Than One-Off Sessions:</w:t>
      </w:r>
      <w:r>
        <w:rPr>
          <w:rFonts w:ascii="Arial" w:hAnsi="Arial" w:cs="Arial"/>
        </w:rPr>
        <w:t xml:space="preserve"> </w:t>
      </w:r>
      <w:r w:rsidRPr="008205AC">
        <w:rPr>
          <w:rFonts w:ascii="Arial" w:hAnsi="Arial" w:cs="Arial"/>
        </w:rPr>
        <w:t>The study revealed confidence gaps among staff due to insufficient training. Regular, short training sessions supported by simple job aids will allow staff to handle data more accurately and consistently. Training helps staff understand both how the system works and why accuracy matters.</w:t>
      </w:r>
    </w:p>
    <w:p w14:paraId="392A85B5" w14:textId="04A2A41B" w:rsidR="00315186" w:rsidRDefault="008205AC" w:rsidP="00441B6F">
      <w:pPr>
        <w:pStyle w:val="Body"/>
        <w:numPr>
          <w:ilvl w:val="0"/>
          <w:numId w:val="33"/>
        </w:numPr>
        <w:rPr>
          <w:rFonts w:ascii="Arial" w:hAnsi="Arial" w:cs="Arial"/>
        </w:rPr>
      </w:pPr>
      <w:r w:rsidRPr="008205AC">
        <w:rPr>
          <w:rFonts w:ascii="Arial" w:hAnsi="Arial" w:cs="Arial"/>
          <w:b/>
          <w:bCs/>
        </w:rPr>
        <w:t xml:space="preserve">Establish and Enforce a Clear Data Governance Structure: </w:t>
      </w:r>
      <w:r w:rsidRPr="008205AC">
        <w:rPr>
          <w:rFonts w:ascii="Arial" w:hAnsi="Arial" w:cs="Arial"/>
        </w:rPr>
        <w:t>The absence of consistent policy application results in inconsistent data handling across departments. Documenting who is responsible for each step and ensuring that the rules are followed uniformly will create a culture of accountability and data accuracy. Clear governance ensures everyone works from the same expectations and standards.</w:t>
      </w:r>
    </w:p>
    <w:p w14:paraId="4F8A2F43" w14:textId="77777777" w:rsidR="00BA7C25" w:rsidRDefault="00BA7C25" w:rsidP="00BA7C25">
      <w:pPr>
        <w:pStyle w:val="Body"/>
        <w:rPr>
          <w:rFonts w:ascii="Arial" w:hAnsi="Arial" w:cs="Arial"/>
        </w:rPr>
      </w:pPr>
    </w:p>
    <w:p w14:paraId="6FD7F367" w14:textId="69C132A3" w:rsidR="00BA7C25" w:rsidRPr="00BA7C25" w:rsidRDefault="00BA7C25" w:rsidP="00BA7C25">
      <w:pPr>
        <w:pStyle w:val="Body"/>
        <w:rPr>
          <w:rFonts w:ascii="Arial" w:hAnsi="Arial" w:cs="Arial"/>
          <w:b/>
          <w:bCs/>
        </w:rPr>
      </w:pPr>
      <w:r w:rsidRPr="00BA7C25">
        <w:rPr>
          <w:rFonts w:ascii="Arial" w:hAnsi="Arial" w:cs="Arial"/>
          <w:b/>
          <w:bCs/>
        </w:rPr>
        <w:t>Limitations</w:t>
      </w:r>
    </w:p>
    <w:p w14:paraId="4AA1A623" w14:textId="77777777" w:rsidR="00BA7C25" w:rsidRPr="00BA7C25" w:rsidRDefault="00BA7C25" w:rsidP="00BA7C25">
      <w:pPr>
        <w:pStyle w:val="Body"/>
        <w:rPr>
          <w:rFonts w:ascii="Arial" w:hAnsi="Arial" w:cs="Arial"/>
        </w:rPr>
      </w:pPr>
    </w:p>
    <w:p w14:paraId="02B51592" w14:textId="366F5FF6" w:rsidR="00BA7C25" w:rsidRPr="00431C70" w:rsidRDefault="00BA7C25" w:rsidP="00BA7C25">
      <w:pPr>
        <w:pStyle w:val="Body"/>
        <w:rPr>
          <w:rFonts w:ascii="Arial" w:hAnsi="Arial" w:cs="Arial"/>
        </w:rPr>
      </w:pPr>
      <w:r w:rsidRPr="00BA7C25">
        <w:rPr>
          <w:rFonts w:ascii="Arial" w:hAnsi="Arial" w:cs="Arial"/>
        </w:rPr>
        <w:t>This study was limited to one institution, which may have restricted the generalizability of its findings to other contexts. The sample size of 54, though adequate for descriptive analysis, limited statistical robustness. Additionally, self-reported data might have introduced response bias, as participants could have underreported or overreported practices. Despite these constraints, the findings offer valuable insights for similar institutions facing comparable challenges.</w:t>
      </w:r>
    </w:p>
    <w:p w14:paraId="2F583F39" w14:textId="77777777" w:rsidR="00315186" w:rsidRPr="00315186" w:rsidRDefault="00315186" w:rsidP="00441B6F"/>
    <w:p w14:paraId="57D19535" w14:textId="77777777" w:rsidR="002B685A" w:rsidRDefault="002B685A" w:rsidP="00441B6F">
      <w:pPr>
        <w:pStyle w:val="ReferHead"/>
        <w:spacing w:after="0"/>
        <w:jc w:val="both"/>
        <w:rPr>
          <w:rFonts w:ascii="Arial" w:hAnsi="Arial" w:cs="Arial"/>
          <w:b w:val="0"/>
          <w:caps w:val="0"/>
          <w:sz w:val="20"/>
        </w:rPr>
      </w:pPr>
    </w:p>
    <w:p w14:paraId="1E55F5B0" w14:textId="41663214"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77A7B353" w14:textId="77777777" w:rsidR="008205AC" w:rsidRDefault="008205AC" w:rsidP="00441B6F">
      <w:pPr>
        <w:pStyle w:val="ReferHead"/>
        <w:spacing w:after="0"/>
        <w:jc w:val="both"/>
        <w:rPr>
          <w:rFonts w:ascii="Arial" w:hAnsi="Arial" w:cs="Arial"/>
          <w:b w:val="0"/>
          <w:caps w:val="0"/>
          <w:sz w:val="20"/>
          <w:u w:val="single"/>
        </w:rPr>
      </w:pPr>
    </w:p>
    <w:p w14:paraId="04B73EAE" w14:textId="2E5D0447" w:rsidR="008205AC" w:rsidRDefault="008205AC" w:rsidP="00441B6F">
      <w:pPr>
        <w:pStyle w:val="ReferHead"/>
        <w:spacing w:after="0"/>
        <w:jc w:val="both"/>
        <w:rPr>
          <w:rFonts w:ascii="Arial" w:hAnsi="Arial" w:cs="Arial"/>
          <w:b w:val="0"/>
          <w:caps w:val="0"/>
          <w:sz w:val="20"/>
        </w:rPr>
      </w:pPr>
      <w:r w:rsidRPr="008205AC">
        <w:rPr>
          <w:rFonts w:ascii="Arial" w:hAnsi="Arial" w:cs="Arial"/>
          <w:b w:val="0"/>
          <w:caps w:val="0"/>
          <w:sz w:val="20"/>
        </w:rPr>
        <w:t>The study adhered to the ethical standards for social research as outlined in the Research and Innovation Policy of KAG East University. Participants were fully informed of the purpose of the study, assured of the confidentiality of their responses, and reminded that participation was entirely voluntary. No personal identifiers were collected, and all data was used solely for academic purposes in line with institutional research ethics.</w:t>
      </w:r>
    </w:p>
    <w:p w14:paraId="7B479A87" w14:textId="77777777" w:rsidR="00BA7C25" w:rsidRDefault="00BA7C25" w:rsidP="00441B6F">
      <w:pPr>
        <w:pStyle w:val="ReferHead"/>
        <w:spacing w:after="0"/>
        <w:jc w:val="both"/>
        <w:rPr>
          <w:rFonts w:ascii="Arial" w:hAnsi="Arial" w:cs="Arial"/>
          <w:b w:val="0"/>
          <w:caps w:val="0"/>
          <w:sz w:val="20"/>
        </w:rPr>
      </w:pPr>
    </w:p>
    <w:p w14:paraId="712B2EC5" w14:textId="77777777" w:rsidR="00BA7C25" w:rsidRDefault="00BA7C25" w:rsidP="00441B6F">
      <w:pPr>
        <w:pStyle w:val="ReferHead"/>
        <w:spacing w:after="0"/>
        <w:jc w:val="both"/>
        <w:rPr>
          <w:rFonts w:ascii="Arial" w:hAnsi="Arial" w:cs="Arial"/>
          <w:b w:val="0"/>
          <w:caps w:val="0"/>
          <w:sz w:val="20"/>
        </w:rPr>
      </w:pPr>
    </w:p>
    <w:p w14:paraId="4497C171" w14:textId="77777777" w:rsidR="00BA7C25" w:rsidRPr="00BA7C25" w:rsidRDefault="00BA7C25" w:rsidP="00BA7C25">
      <w:pPr>
        <w:pStyle w:val="ReferHead"/>
        <w:jc w:val="both"/>
        <w:rPr>
          <w:rFonts w:ascii="Arial" w:hAnsi="Arial" w:cs="Arial"/>
          <w:b w:val="0"/>
          <w:caps w:val="0"/>
          <w:sz w:val="20"/>
        </w:rPr>
      </w:pPr>
      <w:r w:rsidRPr="00BA7C25">
        <w:rPr>
          <w:rFonts w:ascii="Arial" w:hAnsi="Arial" w:cs="Arial"/>
          <w:b w:val="0"/>
          <w:caps w:val="0"/>
          <w:sz w:val="20"/>
        </w:rPr>
        <w:t>COMPETING INTERESTS DISCLAIMER:</w:t>
      </w:r>
    </w:p>
    <w:p w14:paraId="579C61DC" w14:textId="0CE4EA64" w:rsidR="00BA7C25" w:rsidRPr="008205AC" w:rsidRDefault="00BA7C25" w:rsidP="00BA7C25">
      <w:pPr>
        <w:pStyle w:val="ReferHead"/>
        <w:spacing w:after="0"/>
        <w:jc w:val="both"/>
        <w:rPr>
          <w:rFonts w:ascii="Arial" w:hAnsi="Arial" w:cs="Arial"/>
          <w:b w:val="0"/>
          <w:caps w:val="0"/>
          <w:sz w:val="20"/>
        </w:rPr>
      </w:pPr>
      <w:r w:rsidRPr="00BA7C25">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637A397" w14:textId="77777777" w:rsidR="005C784C" w:rsidRDefault="005C784C" w:rsidP="00441B6F">
      <w:pPr>
        <w:pStyle w:val="ReferHead"/>
        <w:spacing w:after="0"/>
        <w:jc w:val="both"/>
        <w:rPr>
          <w:rFonts w:ascii="Arial" w:hAnsi="Arial" w:cs="Arial"/>
          <w:b w:val="0"/>
          <w:caps w:val="0"/>
          <w:sz w:val="20"/>
        </w:rPr>
      </w:pPr>
    </w:p>
    <w:p w14:paraId="0B605FE3" w14:textId="77777777" w:rsidR="00860000" w:rsidRDefault="00860000" w:rsidP="00441B6F">
      <w:pPr>
        <w:pStyle w:val="ReferHead"/>
        <w:spacing w:after="0"/>
        <w:jc w:val="both"/>
        <w:rPr>
          <w:rFonts w:ascii="Arial" w:hAnsi="Arial" w:cs="Arial"/>
        </w:rPr>
      </w:pPr>
    </w:p>
    <w:p w14:paraId="0B4B504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F924FB9" w14:textId="77777777" w:rsidR="004D4277" w:rsidRDefault="004D4277" w:rsidP="005B0726">
      <w:pPr>
        <w:pStyle w:val="Body"/>
        <w:spacing w:after="0"/>
        <w:rPr>
          <w:rFonts w:ascii="Arial" w:hAnsi="Arial" w:cs="Arial"/>
        </w:rPr>
      </w:pPr>
    </w:p>
    <w:p w14:paraId="7A8DA665" w14:textId="3D9D9CA4" w:rsidR="00CB71CA" w:rsidRPr="00CB71CA" w:rsidRDefault="00CB71CA" w:rsidP="00CB71CA">
      <w:pPr>
        <w:pStyle w:val="Body"/>
        <w:rPr>
          <w:rFonts w:ascii="Arial" w:hAnsi="Arial" w:cs="Arial"/>
        </w:rPr>
      </w:pPr>
      <w:r w:rsidRPr="00CB71CA">
        <w:rPr>
          <w:rFonts w:ascii="Arial" w:hAnsi="Arial" w:cs="Arial"/>
        </w:rPr>
        <w:t xml:space="preserve">Alhassan, I., Sammon, D., &amp; Daly, M. (2019). Critical success factors for data governance: A theory building approach. Information Systems Management, 36(2), 98–110. </w:t>
      </w:r>
      <w:hyperlink r:id="rId12" w:history="1">
        <w:r w:rsidRPr="00EC6E8C">
          <w:rPr>
            <w:rStyle w:val="Hyperlink"/>
            <w:rFonts w:ascii="Arial" w:hAnsi="Arial" w:cs="Arial"/>
          </w:rPr>
          <w:t>https://doi.org/10.1080/10580530.2019.1589670</w:t>
        </w:r>
      </w:hyperlink>
      <w:r>
        <w:rPr>
          <w:rFonts w:ascii="Arial" w:hAnsi="Arial" w:cs="Arial"/>
        </w:rPr>
        <w:t xml:space="preserve"> </w:t>
      </w:r>
    </w:p>
    <w:p w14:paraId="6740CCDF" w14:textId="77777777" w:rsidR="00CB71CA" w:rsidRDefault="00CB71CA" w:rsidP="00CB71CA">
      <w:pPr>
        <w:pStyle w:val="Body"/>
        <w:contextualSpacing/>
        <w:rPr>
          <w:rFonts w:ascii="Arial" w:hAnsi="Arial" w:cs="Arial"/>
        </w:rPr>
      </w:pPr>
      <w:proofErr w:type="spellStart"/>
      <w:r w:rsidRPr="00CB71CA">
        <w:rPr>
          <w:rFonts w:ascii="Arial" w:hAnsi="Arial" w:cs="Arial"/>
        </w:rPr>
        <w:t>Aloye</w:t>
      </w:r>
      <w:proofErr w:type="spellEnd"/>
      <w:r w:rsidRPr="00CB71CA">
        <w:rPr>
          <w:rFonts w:ascii="Arial" w:hAnsi="Arial" w:cs="Arial"/>
        </w:rPr>
        <w:t xml:space="preserve"> Computer Enterprises. (2024). Data quality for higher education: Challenges and solutions.</w:t>
      </w:r>
      <w:r>
        <w:rPr>
          <w:rFonts w:ascii="Arial" w:hAnsi="Arial" w:cs="Arial"/>
        </w:rPr>
        <w:t xml:space="preserve"> </w:t>
      </w:r>
    </w:p>
    <w:p w14:paraId="273557B8" w14:textId="7A3EF97E" w:rsidR="00CB71CA" w:rsidRPr="00CB71CA" w:rsidRDefault="00183DFB" w:rsidP="00CB71CA">
      <w:pPr>
        <w:pStyle w:val="Body"/>
        <w:contextualSpacing/>
        <w:rPr>
          <w:rFonts w:ascii="Arial" w:hAnsi="Arial" w:cs="Arial"/>
        </w:rPr>
      </w:pPr>
      <w:hyperlink r:id="rId13" w:history="1">
        <w:r w:rsidR="00CB71CA" w:rsidRPr="00EC6E8C">
          <w:rPr>
            <w:rStyle w:val="Hyperlink"/>
            <w:rFonts w:ascii="Arial" w:hAnsi="Arial" w:cs="Arial"/>
          </w:rPr>
          <w:t>https://www.aloye.com/wp/data-quality-for-higher-education-challenges-and-solutions/</w:t>
        </w:r>
      </w:hyperlink>
      <w:r w:rsidR="00CB71CA">
        <w:rPr>
          <w:rFonts w:ascii="Arial" w:hAnsi="Arial" w:cs="Arial"/>
        </w:rPr>
        <w:t xml:space="preserve"> </w:t>
      </w:r>
    </w:p>
    <w:p w14:paraId="4472FE64" w14:textId="77777777" w:rsidR="00CB71CA" w:rsidRPr="00CB71CA" w:rsidRDefault="00CB71CA" w:rsidP="00CB71CA">
      <w:pPr>
        <w:pStyle w:val="Body"/>
        <w:rPr>
          <w:rFonts w:ascii="Arial" w:hAnsi="Arial" w:cs="Arial"/>
        </w:rPr>
      </w:pPr>
    </w:p>
    <w:p w14:paraId="0A962649" w14:textId="65AE5E61" w:rsidR="00CB71CA" w:rsidRPr="00CB71CA" w:rsidRDefault="00CB71CA" w:rsidP="00CB71CA">
      <w:pPr>
        <w:pStyle w:val="Body"/>
        <w:spacing w:after="0"/>
        <w:contextualSpacing/>
        <w:rPr>
          <w:rFonts w:ascii="Arial" w:hAnsi="Arial" w:cs="Arial"/>
        </w:rPr>
      </w:pPr>
      <w:proofErr w:type="spellStart"/>
      <w:r w:rsidRPr="00CB71CA">
        <w:rPr>
          <w:rFonts w:ascii="Arial" w:hAnsi="Arial" w:cs="Arial"/>
        </w:rPr>
        <w:t>Anikweze</w:t>
      </w:r>
      <w:proofErr w:type="spellEnd"/>
      <w:r w:rsidRPr="00CB71CA">
        <w:rPr>
          <w:rFonts w:ascii="Arial" w:hAnsi="Arial" w:cs="Arial"/>
        </w:rPr>
        <w:t xml:space="preserve">, C., Ugodulunwa, C., Francisca, N., Ekechukwu, L. E., </w:t>
      </w:r>
      <w:proofErr w:type="spellStart"/>
      <w:r w:rsidRPr="00CB71CA">
        <w:rPr>
          <w:rFonts w:ascii="Arial" w:hAnsi="Arial" w:cs="Arial"/>
        </w:rPr>
        <w:t>Ntasiobi</w:t>
      </w:r>
      <w:proofErr w:type="spellEnd"/>
      <w:r w:rsidRPr="00CB71CA">
        <w:rPr>
          <w:rFonts w:ascii="Arial" w:hAnsi="Arial" w:cs="Arial"/>
        </w:rPr>
        <w:t>, C., Uwaleke, C., Duru, C., &amp; Eze, A. (2019). Big data and assessment for learning in Nigerian universities: Prospects and challenges. American-Eurasian Journal of Agricultural &amp; Environmental Sciences,19(3),</w:t>
      </w:r>
      <w:r>
        <w:rPr>
          <w:rFonts w:ascii="Arial" w:hAnsi="Arial" w:cs="Arial"/>
        </w:rPr>
        <w:t xml:space="preserve"> </w:t>
      </w:r>
      <w:r w:rsidRPr="00CB71CA">
        <w:rPr>
          <w:rFonts w:ascii="Arial" w:hAnsi="Arial" w:cs="Arial"/>
        </w:rPr>
        <w:t xml:space="preserve">224–232. </w:t>
      </w:r>
      <w:hyperlink r:id="rId14" w:history="1">
        <w:r w:rsidR="00F54BD8" w:rsidRPr="00EC6E8C">
          <w:rPr>
            <w:rStyle w:val="Hyperlink"/>
            <w:rFonts w:ascii="Arial" w:hAnsi="Arial" w:cs="Arial"/>
          </w:rPr>
          <w:t>https://www.researchgate.net/publication/335160412_Big_Data_and_Assessment_for_Learning_in_Nigerian_Universities_Prospects_and_Challenges</w:t>
        </w:r>
      </w:hyperlink>
      <w:r w:rsidR="00F54BD8">
        <w:rPr>
          <w:rFonts w:ascii="Arial" w:hAnsi="Arial" w:cs="Arial"/>
        </w:rPr>
        <w:t xml:space="preserve"> </w:t>
      </w:r>
    </w:p>
    <w:p w14:paraId="3D477DD6" w14:textId="77777777" w:rsidR="00CB71CA" w:rsidRPr="00CB71CA" w:rsidRDefault="00CB71CA" w:rsidP="00CB71CA">
      <w:pPr>
        <w:pStyle w:val="Body"/>
        <w:rPr>
          <w:rFonts w:ascii="Arial" w:hAnsi="Arial" w:cs="Arial"/>
        </w:rPr>
      </w:pPr>
    </w:p>
    <w:p w14:paraId="49CCABD0" w14:textId="647FF288" w:rsidR="00CB71CA" w:rsidRPr="00CB71CA" w:rsidRDefault="00CB71CA" w:rsidP="00CB71CA">
      <w:pPr>
        <w:pStyle w:val="Body"/>
        <w:rPr>
          <w:rFonts w:ascii="Arial" w:hAnsi="Arial" w:cs="Arial"/>
        </w:rPr>
      </w:pPr>
      <w:r w:rsidRPr="00CB71CA">
        <w:rPr>
          <w:rFonts w:ascii="Arial" w:hAnsi="Arial" w:cs="Arial"/>
        </w:rPr>
        <w:t xml:space="preserve">Awoniyi, B. K., </w:t>
      </w:r>
      <w:proofErr w:type="spellStart"/>
      <w:r w:rsidRPr="00CB71CA">
        <w:rPr>
          <w:rFonts w:ascii="Arial" w:hAnsi="Arial" w:cs="Arial"/>
        </w:rPr>
        <w:t>Agbola</w:t>
      </w:r>
      <w:proofErr w:type="spellEnd"/>
      <w:r w:rsidRPr="00CB71CA">
        <w:rPr>
          <w:rFonts w:ascii="Arial" w:hAnsi="Arial" w:cs="Arial"/>
        </w:rPr>
        <w:t xml:space="preserve">, O. J., &amp; </w:t>
      </w:r>
      <w:proofErr w:type="spellStart"/>
      <w:r w:rsidRPr="00CB71CA">
        <w:rPr>
          <w:rFonts w:ascii="Arial" w:hAnsi="Arial" w:cs="Arial"/>
        </w:rPr>
        <w:t>Shogbade</w:t>
      </w:r>
      <w:proofErr w:type="spellEnd"/>
      <w:r w:rsidRPr="00CB71CA">
        <w:rPr>
          <w:rFonts w:ascii="Arial" w:hAnsi="Arial" w:cs="Arial"/>
        </w:rPr>
        <w:t xml:space="preserve">, F. B. (2025). Nigerian universities and the challenges of full integration of information and communication technology. Euro Afro Studies International Journal (EASIJ), 7(6), 1–16. </w:t>
      </w:r>
      <w:proofErr w:type="spellStart"/>
      <w:r w:rsidRPr="00CB71CA">
        <w:rPr>
          <w:rFonts w:ascii="Arial" w:hAnsi="Arial" w:cs="Arial"/>
        </w:rPr>
        <w:t>Zenodo</w:t>
      </w:r>
      <w:proofErr w:type="spellEnd"/>
      <w:r w:rsidRPr="00CB71CA">
        <w:rPr>
          <w:rFonts w:ascii="Arial" w:hAnsi="Arial" w:cs="Arial"/>
        </w:rPr>
        <w:t xml:space="preserve">. </w:t>
      </w:r>
      <w:hyperlink r:id="rId15" w:history="1">
        <w:r w:rsidR="00F54BD8" w:rsidRPr="00EC6E8C">
          <w:rPr>
            <w:rStyle w:val="Hyperlink"/>
            <w:rFonts w:ascii="Arial" w:hAnsi="Arial" w:cs="Arial"/>
          </w:rPr>
          <w:t>https://doi.org/10.5281/zenodo.17218502</w:t>
        </w:r>
      </w:hyperlink>
      <w:r w:rsidR="00F54BD8">
        <w:rPr>
          <w:rFonts w:ascii="Arial" w:hAnsi="Arial" w:cs="Arial"/>
        </w:rPr>
        <w:t xml:space="preserve"> </w:t>
      </w:r>
      <w:r w:rsidRPr="00CB71CA">
        <w:rPr>
          <w:rFonts w:ascii="Arial" w:hAnsi="Arial" w:cs="Arial"/>
        </w:rPr>
        <w:t xml:space="preserve"> </w:t>
      </w:r>
    </w:p>
    <w:p w14:paraId="252DC50E" w14:textId="5137B17D" w:rsidR="00CB71CA" w:rsidRPr="00CB71CA" w:rsidRDefault="00CB71CA" w:rsidP="00CB71CA">
      <w:pPr>
        <w:pStyle w:val="Body"/>
        <w:rPr>
          <w:rFonts w:ascii="Arial" w:hAnsi="Arial" w:cs="Arial"/>
        </w:rPr>
      </w:pPr>
      <w:r w:rsidRPr="00CB71CA">
        <w:rPr>
          <w:rFonts w:ascii="Arial" w:hAnsi="Arial" w:cs="Arial"/>
        </w:rPr>
        <w:t>Bell, E., Bryman, A., &amp; Harley, B. (2019). Business research methods (5th ed.). Oxford University Press.</w:t>
      </w:r>
    </w:p>
    <w:p w14:paraId="1C0242C2" w14:textId="7AE48608" w:rsidR="00CB71CA" w:rsidRPr="00CB71CA" w:rsidRDefault="00CB71CA" w:rsidP="00CB71CA">
      <w:pPr>
        <w:pStyle w:val="Body"/>
        <w:rPr>
          <w:rFonts w:ascii="Arial" w:hAnsi="Arial" w:cs="Arial"/>
        </w:rPr>
      </w:pPr>
      <w:r w:rsidRPr="00CB71CA">
        <w:rPr>
          <w:rFonts w:ascii="Arial" w:hAnsi="Arial" w:cs="Arial"/>
        </w:rPr>
        <w:t>Bryman, A. (2024). Social research methods (6th ed.). Oxford University Press.</w:t>
      </w:r>
    </w:p>
    <w:p w14:paraId="148BB4C3" w14:textId="2BF6E2D5" w:rsidR="00CB71CA" w:rsidRPr="00CB71CA" w:rsidRDefault="00CB71CA" w:rsidP="00CB71CA">
      <w:pPr>
        <w:pStyle w:val="Body"/>
        <w:rPr>
          <w:rFonts w:ascii="Arial" w:hAnsi="Arial" w:cs="Arial"/>
        </w:rPr>
      </w:pPr>
      <w:r w:rsidRPr="00CB71CA">
        <w:rPr>
          <w:rFonts w:ascii="Arial" w:hAnsi="Arial" w:cs="Arial"/>
        </w:rPr>
        <w:t>Cochran, W. G. (2023). Sampling techniques. John Wiley &amp; Sons.</w:t>
      </w:r>
    </w:p>
    <w:p w14:paraId="454EB552" w14:textId="76DB203F" w:rsidR="00CB71CA" w:rsidRPr="00CB71CA" w:rsidRDefault="00CB71CA" w:rsidP="00CB71CA">
      <w:pPr>
        <w:pStyle w:val="Body"/>
        <w:rPr>
          <w:rFonts w:ascii="Arial" w:hAnsi="Arial" w:cs="Arial"/>
        </w:rPr>
      </w:pPr>
      <w:r w:rsidRPr="00CB71CA">
        <w:rPr>
          <w:rFonts w:ascii="Arial" w:hAnsi="Arial" w:cs="Arial"/>
        </w:rPr>
        <w:t xml:space="preserve">Commission for University Education. (2021). Annual report on the status of university education in Kenya. </w:t>
      </w:r>
      <w:hyperlink r:id="rId16" w:history="1">
        <w:r w:rsidR="00F54BD8" w:rsidRPr="00EC6E8C">
          <w:rPr>
            <w:rStyle w:val="Hyperlink"/>
            <w:rFonts w:ascii="Arial" w:hAnsi="Arial" w:cs="Arial"/>
          </w:rPr>
          <w:t>https://cue.or.ke/</w:t>
        </w:r>
      </w:hyperlink>
      <w:r w:rsidR="00F54BD8">
        <w:rPr>
          <w:rFonts w:ascii="Arial" w:hAnsi="Arial" w:cs="Arial"/>
        </w:rPr>
        <w:t xml:space="preserve"> </w:t>
      </w:r>
    </w:p>
    <w:p w14:paraId="3F394DEC" w14:textId="3FD48F3D" w:rsidR="00CB71CA" w:rsidRPr="00CB71CA" w:rsidRDefault="00CB71CA" w:rsidP="00CB71CA">
      <w:pPr>
        <w:pStyle w:val="Body"/>
        <w:rPr>
          <w:rFonts w:ascii="Arial" w:hAnsi="Arial" w:cs="Arial"/>
        </w:rPr>
      </w:pPr>
      <w:r w:rsidRPr="00CB71CA">
        <w:rPr>
          <w:rFonts w:ascii="Arial" w:hAnsi="Arial" w:cs="Arial"/>
        </w:rPr>
        <w:t>Creswell, J. W., &amp; Creswell, J. D. (2023). Research design: Qualitative, quantitative, and mixed methods approaches (6th ed.). Sage Publications.</w:t>
      </w:r>
    </w:p>
    <w:p w14:paraId="056B6E53" w14:textId="5887E708" w:rsidR="00CB71CA" w:rsidRPr="00CB71CA" w:rsidRDefault="00CB71CA" w:rsidP="00CB71CA">
      <w:pPr>
        <w:pStyle w:val="Body"/>
        <w:rPr>
          <w:rFonts w:ascii="Arial" w:hAnsi="Arial" w:cs="Arial"/>
        </w:rPr>
      </w:pPr>
      <w:r w:rsidRPr="00CB71CA">
        <w:rPr>
          <w:rFonts w:ascii="Arial" w:hAnsi="Arial" w:cs="Arial"/>
        </w:rPr>
        <w:lastRenderedPageBreak/>
        <w:t>Dillman, D. A., Smyth, J. D., &amp; Christian, L. M. (2024). Internet, phone, mail, and mixed-mode surveys: The tailored design method (5th ed.). Wiley.</w:t>
      </w:r>
    </w:p>
    <w:p w14:paraId="519ACC13" w14:textId="69DA1DA2" w:rsidR="00CB71CA" w:rsidRPr="00CB71CA" w:rsidRDefault="00CB71CA" w:rsidP="00CB71CA">
      <w:pPr>
        <w:pStyle w:val="Body"/>
        <w:rPr>
          <w:rFonts w:ascii="Arial" w:hAnsi="Arial" w:cs="Arial"/>
        </w:rPr>
      </w:pPr>
      <w:r w:rsidRPr="00CB71CA">
        <w:rPr>
          <w:rFonts w:ascii="Arial" w:hAnsi="Arial" w:cs="Arial"/>
        </w:rPr>
        <w:t xml:space="preserve">Educause. (2023). 2023 EDUCAUSE Horizon Action Plan: Data governance. </w:t>
      </w:r>
      <w:hyperlink r:id="rId17" w:history="1">
        <w:r w:rsidR="00F54BD8" w:rsidRPr="00EC6E8C">
          <w:rPr>
            <w:rStyle w:val="Hyperlink"/>
            <w:rFonts w:ascii="Arial" w:hAnsi="Arial" w:cs="Arial"/>
          </w:rPr>
          <w:t>https://library.educause.edu/resources/2023/3/2023-educause-horizon-action-plan-data-governance</w:t>
        </w:r>
      </w:hyperlink>
      <w:r w:rsidR="00F54BD8">
        <w:rPr>
          <w:rFonts w:ascii="Arial" w:hAnsi="Arial" w:cs="Arial"/>
        </w:rPr>
        <w:t xml:space="preserve"> </w:t>
      </w:r>
    </w:p>
    <w:p w14:paraId="53D69C0A" w14:textId="4249EEBF" w:rsidR="00CB71CA" w:rsidRPr="00CB71CA" w:rsidRDefault="00CB71CA" w:rsidP="00CB71CA">
      <w:pPr>
        <w:pStyle w:val="Body"/>
        <w:rPr>
          <w:rFonts w:ascii="Arial" w:hAnsi="Arial" w:cs="Arial"/>
        </w:rPr>
      </w:pPr>
      <w:r w:rsidRPr="00CB71CA">
        <w:rPr>
          <w:rFonts w:ascii="Arial" w:hAnsi="Arial" w:cs="Arial"/>
        </w:rPr>
        <w:t>Hair, J. F., Black, W. C., Babin, B. J., &amp; Anderson, R. E. (2022). Multivariate data analysis (8th ed.). Cengage Learning.</w:t>
      </w:r>
    </w:p>
    <w:p w14:paraId="39E9FC9D" w14:textId="37B9992F" w:rsidR="00CB71CA" w:rsidRPr="00CB71CA" w:rsidRDefault="00CB71CA" w:rsidP="00CB71CA">
      <w:pPr>
        <w:pStyle w:val="Body"/>
        <w:rPr>
          <w:rFonts w:ascii="Arial" w:hAnsi="Arial" w:cs="Arial"/>
        </w:rPr>
      </w:pPr>
      <w:r w:rsidRPr="00CB71CA">
        <w:rPr>
          <w:rFonts w:ascii="Arial" w:hAnsi="Arial" w:cs="Arial"/>
        </w:rPr>
        <w:t xml:space="preserve">Mutua, J. (2021). Compliance and data accuracy in university accreditation: The Kenyan experience. African Education Review, 18(1), 67–80. </w:t>
      </w:r>
      <w:hyperlink r:id="rId18" w:history="1">
        <w:r w:rsidR="00F54BD8" w:rsidRPr="00EC6E8C">
          <w:rPr>
            <w:rStyle w:val="Hyperlink"/>
            <w:rFonts w:ascii="Arial" w:hAnsi="Arial" w:cs="Arial"/>
          </w:rPr>
          <w:t>https://doi.org/10.1080/AER.2021.18.1.67</w:t>
        </w:r>
      </w:hyperlink>
      <w:r w:rsidR="00F54BD8">
        <w:rPr>
          <w:rFonts w:ascii="Arial" w:hAnsi="Arial" w:cs="Arial"/>
        </w:rPr>
        <w:t xml:space="preserve"> </w:t>
      </w:r>
    </w:p>
    <w:p w14:paraId="197A255F" w14:textId="77777777" w:rsidR="00F54BD8" w:rsidRDefault="00CB71CA" w:rsidP="00F54BD8">
      <w:pPr>
        <w:pStyle w:val="Body"/>
        <w:contextualSpacing/>
        <w:rPr>
          <w:rFonts w:ascii="Arial" w:hAnsi="Arial" w:cs="Arial"/>
        </w:rPr>
      </w:pPr>
      <w:r w:rsidRPr="00CB71CA">
        <w:rPr>
          <w:rFonts w:ascii="Arial" w:hAnsi="Arial" w:cs="Arial"/>
        </w:rPr>
        <w:t xml:space="preserve">National Student Clearinghouse. (2023). Enrollment reporting: Error resolution | Clearinghouse Academy. </w:t>
      </w:r>
    </w:p>
    <w:p w14:paraId="158B4B8A" w14:textId="1D2BC858" w:rsidR="00CB71CA" w:rsidRDefault="00183DFB" w:rsidP="00CB71CA">
      <w:pPr>
        <w:pStyle w:val="Body"/>
        <w:contextualSpacing/>
        <w:rPr>
          <w:rFonts w:ascii="Arial" w:hAnsi="Arial" w:cs="Arial"/>
        </w:rPr>
      </w:pPr>
      <w:hyperlink r:id="rId19" w:history="1">
        <w:r w:rsidR="00F54BD8" w:rsidRPr="00EC6E8C">
          <w:rPr>
            <w:rStyle w:val="Hyperlink"/>
            <w:rFonts w:ascii="Arial" w:hAnsi="Arial" w:cs="Arial"/>
          </w:rPr>
          <w:t>https://www.studentclearinghouse.org/academy/courses/error-resolution-for-enrollment-reporting/</w:t>
        </w:r>
      </w:hyperlink>
      <w:r w:rsidR="00F54BD8">
        <w:rPr>
          <w:rFonts w:ascii="Arial" w:hAnsi="Arial" w:cs="Arial"/>
        </w:rPr>
        <w:t xml:space="preserve"> </w:t>
      </w:r>
    </w:p>
    <w:p w14:paraId="3F86EBD5" w14:textId="77777777" w:rsidR="00F54BD8" w:rsidRPr="00CB71CA" w:rsidRDefault="00F54BD8" w:rsidP="00CB71CA">
      <w:pPr>
        <w:pStyle w:val="Body"/>
        <w:contextualSpacing/>
        <w:rPr>
          <w:rFonts w:ascii="Arial" w:hAnsi="Arial" w:cs="Arial"/>
        </w:rPr>
      </w:pPr>
    </w:p>
    <w:p w14:paraId="2011163A" w14:textId="720F9DFC" w:rsidR="00CB71CA" w:rsidRPr="00CB71CA" w:rsidRDefault="00CB71CA" w:rsidP="00CB71CA">
      <w:pPr>
        <w:pStyle w:val="Body"/>
        <w:rPr>
          <w:rFonts w:ascii="Arial" w:hAnsi="Arial" w:cs="Arial"/>
        </w:rPr>
      </w:pPr>
      <w:r w:rsidRPr="00CB71CA">
        <w:rPr>
          <w:rFonts w:ascii="Arial" w:hAnsi="Arial" w:cs="Arial"/>
        </w:rPr>
        <w:t>Ngulube, P., &amp; Ncube, M. M. (2025). Predicting academic success and identifying at-risk students: A systematic review of data analytics and machine learning approaches in higher education institutions. Educational Administration: Theory and Practice, 31(1), 117–134.</w:t>
      </w:r>
    </w:p>
    <w:p w14:paraId="549DD890" w14:textId="617FF895" w:rsidR="00CB71CA" w:rsidRPr="00CB71CA" w:rsidRDefault="00CB71CA" w:rsidP="00CB71CA">
      <w:pPr>
        <w:pStyle w:val="Body"/>
        <w:rPr>
          <w:rFonts w:ascii="Arial" w:hAnsi="Arial" w:cs="Arial"/>
        </w:rPr>
      </w:pPr>
      <w:r w:rsidRPr="00CB71CA">
        <w:rPr>
          <w:rFonts w:ascii="Arial" w:hAnsi="Arial" w:cs="Arial"/>
        </w:rPr>
        <w:t xml:space="preserve">Nowell, L. S., Norris, J. M., White, D. E., &amp; Moules, N. J. (2017). Thematic analysis: Striving to meet the trustworthiness criteria. International Journal of Qualitative Methods, 16(1), 1–13. </w:t>
      </w:r>
      <w:hyperlink r:id="rId20" w:history="1">
        <w:r w:rsidR="00F54BD8" w:rsidRPr="00EC6E8C">
          <w:rPr>
            <w:rStyle w:val="Hyperlink"/>
            <w:rFonts w:ascii="Arial" w:hAnsi="Arial" w:cs="Arial"/>
          </w:rPr>
          <w:t>https://doi.org/10.1177/1609406917733847</w:t>
        </w:r>
      </w:hyperlink>
      <w:r w:rsidR="00F54BD8">
        <w:rPr>
          <w:rFonts w:ascii="Arial" w:hAnsi="Arial" w:cs="Arial"/>
        </w:rPr>
        <w:t xml:space="preserve"> </w:t>
      </w:r>
    </w:p>
    <w:p w14:paraId="35885E3C" w14:textId="460296B9" w:rsidR="00CB71CA" w:rsidRPr="00CB71CA" w:rsidRDefault="00CB71CA" w:rsidP="00CB71CA">
      <w:pPr>
        <w:pStyle w:val="Body"/>
        <w:rPr>
          <w:rFonts w:ascii="Arial" w:hAnsi="Arial" w:cs="Arial"/>
        </w:rPr>
      </w:pPr>
      <w:r w:rsidRPr="00CB71CA">
        <w:rPr>
          <w:rFonts w:ascii="Arial" w:hAnsi="Arial" w:cs="Arial"/>
        </w:rPr>
        <w:t xml:space="preserve">Otieno, M., &amp; Wekesa, B. (2021). Data management challenges in Kenyan universities: A case study of public and private institutions. East African Journal of Education and Social Sciences, 2(3), 34–42. </w:t>
      </w:r>
      <w:hyperlink r:id="rId21" w:history="1">
        <w:r w:rsidR="00F54BD8" w:rsidRPr="00EC6E8C">
          <w:rPr>
            <w:rStyle w:val="Hyperlink"/>
            <w:rFonts w:ascii="Arial" w:hAnsi="Arial" w:cs="Arial"/>
          </w:rPr>
          <w:t>https://doi.org/10.4314/eajess.v2i3.56</w:t>
        </w:r>
      </w:hyperlink>
      <w:r w:rsidR="00F54BD8">
        <w:rPr>
          <w:rFonts w:ascii="Arial" w:hAnsi="Arial" w:cs="Arial"/>
        </w:rPr>
        <w:t xml:space="preserve"> </w:t>
      </w:r>
    </w:p>
    <w:p w14:paraId="05D83A83" w14:textId="0295DCD2" w:rsidR="00CB71CA" w:rsidRPr="00CB71CA" w:rsidRDefault="00CB71CA" w:rsidP="00CB71CA">
      <w:pPr>
        <w:pStyle w:val="Body"/>
        <w:rPr>
          <w:rFonts w:ascii="Arial" w:hAnsi="Arial" w:cs="Arial"/>
        </w:rPr>
      </w:pPr>
      <w:r w:rsidRPr="00CB71CA">
        <w:rPr>
          <w:rFonts w:ascii="Arial" w:hAnsi="Arial" w:cs="Arial"/>
        </w:rPr>
        <w:t xml:space="preserve">Prinsloo, P. (2022). Data privacy on the African continent: Opportunities, challenges and implications for learning analytics. British Journal of Educational Technology. </w:t>
      </w:r>
      <w:hyperlink r:id="rId22" w:history="1">
        <w:r w:rsidR="00F54BD8" w:rsidRPr="00EC6E8C">
          <w:rPr>
            <w:rStyle w:val="Hyperlink"/>
            <w:rFonts w:ascii="Arial" w:hAnsi="Arial" w:cs="Arial"/>
          </w:rPr>
          <w:t>https://doi.org/10.1111/bjet.13226</w:t>
        </w:r>
      </w:hyperlink>
      <w:r w:rsidR="00F54BD8">
        <w:rPr>
          <w:rFonts w:ascii="Arial" w:hAnsi="Arial" w:cs="Arial"/>
        </w:rPr>
        <w:t xml:space="preserve"> </w:t>
      </w:r>
    </w:p>
    <w:p w14:paraId="44A46A96" w14:textId="2B0ED244" w:rsidR="00CB71CA" w:rsidRPr="00CB71CA" w:rsidRDefault="00CB71CA" w:rsidP="00CB71CA">
      <w:pPr>
        <w:pStyle w:val="Body"/>
        <w:rPr>
          <w:rFonts w:ascii="Arial" w:hAnsi="Arial" w:cs="Arial"/>
        </w:rPr>
      </w:pPr>
      <w:r w:rsidRPr="00CB71CA">
        <w:rPr>
          <w:rFonts w:ascii="Arial" w:hAnsi="Arial" w:cs="Arial"/>
        </w:rPr>
        <w:t xml:space="preserve">Prinsloo, P., &amp; </w:t>
      </w:r>
      <w:proofErr w:type="spellStart"/>
      <w:r w:rsidRPr="00CB71CA">
        <w:rPr>
          <w:rFonts w:ascii="Arial" w:hAnsi="Arial" w:cs="Arial"/>
        </w:rPr>
        <w:t>Kaliisa</w:t>
      </w:r>
      <w:proofErr w:type="spellEnd"/>
      <w:r w:rsidRPr="00CB71CA">
        <w:rPr>
          <w:rFonts w:ascii="Arial" w:hAnsi="Arial" w:cs="Arial"/>
        </w:rPr>
        <w:t xml:space="preserve">, R. (2022). Learning analytics in African higher education: Ethical considerations and data governance. British Journal of Educational Technology, 53(2), 219–238. </w:t>
      </w:r>
      <w:hyperlink r:id="rId23" w:history="1">
        <w:r w:rsidR="00F54BD8" w:rsidRPr="00EC6E8C">
          <w:rPr>
            <w:rStyle w:val="Hyperlink"/>
            <w:rFonts w:ascii="Arial" w:hAnsi="Arial" w:cs="Arial"/>
          </w:rPr>
          <w:t>https://doi.org/10.1111/bjet.13226</w:t>
        </w:r>
      </w:hyperlink>
      <w:r w:rsidR="00F54BD8">
        <w:rPr>
          <w:rFonts w:ascii="Arial" w:hAnsi="Arial" w:cs="Arial"/>
        </w:rPr>
        <w:t xml:space="preserve"> </w:t>
      </w:r>
    </w:p>
    <w:p w14:paraId="11E5D662" w14:textId="4B362F57" w:rsidR="00CB71CA" w:rsidRPr="00CB71CA" w:rsidRDefault="00CB71CA" w:rsidP="00CB71CA">
      <w:pPr>
        <w:pStyle w:val="Body"/>
        <w:rPr>
          <w:rFonts w:ascii="Arial" w:hAnsi="Arial" w:cs="Arial"/>
        </w:rPr>
      </w:pPr>
      <w:r w:rsidRPr="00CB71CA">
        <w:rPr>
          <w:rFonts w:ascii="Arial" w:hAnsi="Arial" w:cs="Arial"/>
        </w:rPr>
        <w:t>Saunders, M., Lewis, P., &amp; Thornhill, A. (2023). Research methods for business students (9th ed.). Pearson Education.</w:t>
      </w:r>
    </w:p>
    <w:p w14:paraId="671560D4" w14:textId="3D38E942" w:rsidR="00CB71CA" w:rsidRPr="00CB71CA" w:rsidRDefault="00CB71CA" w:rsidP="00CB71CA">
      <w:pPr>
        <w:pStyle w:val="Body"/>
        <w:rPr>
          <w:rFonts w:ascii="Arial" w:hAnsi="Arial" w:cs="Arial"/>
        </w:rPr>
      </w:pPr>
      <w:r w:rsidRPr="00CB71CA">
        <w:rPr>
          <w:rFonts w:ascii="Arial" w:hAnsi="Arial" w:cs="Arial"/>
        </w:rPr>
        <w:t xml:space="preserve">Siemens, G., &amp; Long, P. (2021). Learning analytics: The emergence of a discipline. American Behavioral Scientist, 64(1), 138–153. </w:t>
      </w:r>
      <w:hyperlink r:id="rId24" w:history="1">
        <w:r w:rsidR="00F54BD8" w:rsidRPr="00EC6E8C">
          <w:rPr>
            <w:rStyle w:val="Hyperlink"/>
            <w:rFonts w:ascii="Arial" w:hAnsi="Arial" w:cs="Arial"/>
          </w:rPr>
          <w:t>https://doi.org/10.1177/0002764218818247</w:t>
        </w:r>
      </w:hyperlink>
      <w:r w:rsidR="00F54BD8">
        <w:rPr>
          <w:rFonts w:ascii="Arial" w:hAnsi="Arial" w:cs="Arial"/>
        </w:rPr>
        <w:t xml:space="preserve"> </w:t>
      </w:r>
    </w:p>
    <w:p w14:paraId="7442896A" w14:textId="099C1FCB" w:rsidR="00CB71CA" w:rsidRPr="00CB71CA" w:rsidRDefault="00CB71CA" w:rsidP="00CB71CA">
      <w:pPr>
        <w:pStyle w:val="Body"/>
        <w:rPr>
          <w:rFonts w:ascii="Arial" w:hAnsi="Arial" w:cs="Arial"/>
        </w:rPr>
      </w:pPr>
      <w:r w:rsidRPr="00CB71CA">
        <w:rPr>
          <w:rFonts w:ascii="Arial" w:hAnsi="Arial" w:cs="Arial"/>
        </w:rPr>
        <w:t xml:space="preserve">Wafula, N., Ochieng, F., &amp; Kiilu, D. (2022). The impact of data accuracy on strategic decision-making in Kenyan universities. Journal of African Higher Education, 5(1), 45–60. </w:t>
      </w:r>
      <w:hyperlink r:id="rId25" w:history="1">
        <w:r w:rsidR="00F54BD8" w:rsidRPr="00EC6E8C">
          <w:rPr>
            <w:rStyle w:val="Hyperlink"/>
            <w:rFonts w:ascii="Arial" w:hAnsi="Arial" w:cs="Arial"/>
          </w:rPr>
          <w:t>https://doi.org/10.5281/zenodo.6468899</w:t>
        </w:r>
      </w:hyperlink>
      <w:r w:rsidR="00F54BD8">
        <w:rPr>
          <w:rFonts w:ascii="Arial" w:hAnsi="Arial" w:cs="Arial"/>
        </w:rPr>
        <w:t xml:space="preserve"> </w:t>
      </w:r>
    </w:p>
    <w:p w14:paraId="5A10DFD5" w14:textId="6FEDA48F" w:rsidR="00CB71CA" w:rsidRPr="00CB71CA" w:rsidRDefault="00CB71CA" w:rsidP="00CB71CA">
      <w:pPr>
        <w:pStyle w:val="Body"/>
        <w:rPr>
          <w:rFonts w:ascii="Arial" w:hAnsi="Arial" w:cs="Arial"/>
        </w:rPr>
      </w:pPr>
      <w:r w:rsidRPr="00CB71CA">
        <w:rPr>
          <w:rFonts w:ascii="Arial" w:hAnsi="Arial" w:cs="Arial"/>
        </w:rPr>
        <w:t xml:space="preserve">Walwyn, D. (2009). An analysis of the performance management of South African higher. South African Journal of Higher Education, 22(3), 708–724. </w:t>
      </w:r>
      <w:hyperlink r:id="rId26" w:history="1">
        <w:r w:rsidR="00F54BD8" w:rsidRPr="00EC6E8C">
          <w:rPr>
            <w:rStyle w:val="Hyperlink"/>
            <w:rFonts w:ascii="Arial" w:hAnsi="Arial" w:cs="Arial"/>
          </w:rPr>
          <w:t>https://doi.org/10.4314/sajhe.v22i3.25812</w:t>
        </w:r>
      </w:hyperlink>
      <w:r w:rsidR="00F54BD8">
        <w:rPr>
          <w:rFonts w:ascii="Arial" w:hAnsi="Arial" w:cs="Arial"/>
        </w:rPr>
        <w:t xml:space="preserve"> </w:t>
      </w:r>
      <w:r w:rsidRPr="00CB71CA">
        <w:rPr>
          <w:rFonts w:ascii="Arial" w:hAnsi="Arial" w:cs="Arial"/>
        </w:rPr>
        <w:t xml:space="preserve"> </w:t>
      </w:r>
    </w:p>
    <w:p w14:paraId="2DCEEEA1" w14:textId="4D9554CB" w:rsidR="00CB71CA" w:rsidRPr="00CB71CA" w:rsidRDefault="00CB71CA" w:rsidP="00CB71CA">
      <w:pPr>
        <w:pStyle w:val="Body"/>
        <w:rPr>
          <w:rFonts w:ascii="Arial" w:hAnsi="Arial" w:cs="Arial"/>
        </w:rPr>
      </w:pPr>
      <w:r w:rsidRPr="00CB71CA">
        <w:rPr>
          <w:rFonts w:ascii="Arial" w:hAnsi="Arial" w:cs="Arial"/>
        </w:rPr>
        <w:lastRenderedPageBreak/>
        <w:t xml:space="preserve">Wang, R. Y., &amp; Strong, D. M. (1996). Beyond accuracy: What data quality means to data consumers. Journal of Management Information Systems, 12(4), 5–33. </w:t>
      </w:r>
      <w:hyperlink r:id="rId27" w:history="1">
        <w:r w:rsidR="00F54BD8" w:rsidRPr="00EC6E8C">
          <w:rPr>
            <w:rStyle w:val="Hyperlink"/>
            <w:rFonts w:ascii="Arial" w:hAnsi="Arial" w:cs="Arial"/>
          </w:rPr>
          <w:t>https://doi.org/10.1080/07421222.1996.11518099</w:t>
        </w:r>
      </w:hyperlink>
    </w:p>
    <w:p w14:paraId="76A551D4" w14:textId="77777777" w:rsidR="00CB71CA" w:rsidRPr="00CB71CA" w:rsidRDefault="00CB71CA" w:rsidP="00CB71CA">
      <w:pPr>
        <w:pStyle w:val="Body"/>
        <w:rPr>
          <w:rFonts w:ascii="Arial" w:hAnsi="Arial" w:cs="Arial"/>
        </w:rPr>
      </w:pPr>
    </w:p>
    <w:p w14:paraId="3684FEB2" w14:textId="77777777" w:rsidR="005B0726" w:rsidRDefault="005B0726" w:rsidP="005B0726">
      <w:pPr>
        <w:pStyle w:val="Body"/>
        <w:spacing w:after="0"/>
        <w:rPr>
          <w:rFonts w:ascii="Arial" w:hAnsi="Arial" w:cs="Arial"/>
        </w:rPr>
      </w:pPr>
    </w:p>
    <w:p w14:paraId="347BE07B" w14:textId="4B676BF2" w:rsidR="00CB71CA" w:rsidRPr="005B0726" w:rsidRDefault="00CB71CA" w:rsidP="005B0726">
      <w:pPr>
        <w:pStyle w:val="Body"/>
        <w:spacing w:after="0"/>
        <w:rPr>
          <w:rFonts w:ascii="Arial" w:hAnsi="Arial" w:cs="Arial"/>
        </w:rPr>
        <w:sectPr w:rsidR="00CB71CA" w:rsidRPr="005B0726" w:rsidSect="00F437E4">
          <w:footerReference w:type="default" r:id="rId28"/>
          <w:type w:val="continuous"/>
          <w:pgSz w:w="12240" w:h="15840"/>
          <w:pgMar w:top="1440" w:right="2019" w:bottom="2019" w:left="2019" w:header="720" w:footer="1123" w:gutter="0"/>
          <w:cols w:space="720"/>
          <w:docGrid w:linePitch="272"/>
        </w:sectPr>
      </w:pPr>
    </w:p>
    <w:bookmarkEnd w:id="0"/>
    <w:p w14:paraId="0F5FB171" w14:textId="77777777" w:rsidR="00B01FCD" w:rsidRPr="00FB3A86" w:rsidRDefault="00B01FCD" w:rsidP="00F437E4">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5046E" w14:textId="77777777" w:rsidR="00183DFB" w:rsidRDefault="00183DFB" w:rsidP="00C37E61">
      <w:r>
        <w:separator/>
      </w:r>
    </w:p>
  </w:endnote>
  <w:endnote w:type="continuationSeparator" w:id="0">
    <w:p w14:paraId="08DD0017" w14:textId="77777777" w:rsidR="00183DFB" w:rsidRDefault="00183DF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E9093" w14:textId="3FA8DC24" w:rsidR="00754C9A" w:rsidRPr="00043F0F" w:rsidRDefault="00754C9A" w:rsidP="00043F0F">
    <w:pPr>
      <w:pStyle w:val="Footer"/>
    </w:pPr>
    <w:bookmarkStart w:id="1" w:name="_GoBack"/>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CAD3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F4D5C" w14:textId="77777777" w:rsidR="00183DFB" w:rsidRDefault="00183DFB" w:rsidP="00C37E61">
      <w:r>
        <w:separator/>
      </w:r>
    </w:p>
  </w:footnote>
  <w:footnote w:type="continuationSeparator" w:id="0">
    <w:p w14:paraId="45E0AD33" w14:textId="77777777" w:rsidR="00183DFB" w:rsidRDefault="00183DF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A84C5" w14:textId="77777777" w:rsidR="00296529" w:rsidRPr="00296529" w:rsidRDefault="00296529" w:rsidP="00296529">
    <w:pPr>
      <w:ind w:left="2160"/>
      <w:jc w:val="center"/>
      <w:rPr>
        <w:rFonts w:ascii="Times New Roman" w:eastAsia="Calibri" w:hAnsi="Times New Roman"/>
        <w:i/>
        <w:sz w:val="18"/>
        <w:szCs w:val="22"/>
      </w:rPr>
    </w:pPr>
  </w:p>
  <w:p w14:paraId="32944B7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1FDC2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4DF91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5AE73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B64F15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A8C423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E8D49EC"/>
    <w:multiLevelType w:val="multilevel"/>
    <w:tmpl w:val="3166725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085627F"/>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722874"/>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30"/>
  </w:num>
  <w:num w:numId="29">
    <w:abstractNumId w:val="26"/>
  </w:num>
  <w:num w:numId="30">
    <w:abstractNumId w:val="10"/>
  </w:num>
  <w:num w:numId="31">
    <w:abstractNumId w:val="29"/>
  </w:num>
  <w:num w:numId="32">
    <w:abstractNumId w:val="16"/>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1CB0"/>
    <w:rsid w:val="00030174"/>
    <w:rsid w:val="00043F0F"/>
    <w:rsid w:val="0004579C"/>
    <w:rsid w:val="000575AA"/>
    <w:rsid w:val="000A47FA"/>
    <w:rsid w:val="000A65D3"/>
    <w:rsid w:val="000B1E33"/>
    <w:rsid w:val="000C3B35"/>
    <w:rsid w:val="000D689F"/>
    <w:rsid w:val="000E7B7B"/>
    <w:rsid w:val="000E7D62"/>
    <w:rsid w:val="00103357"/>
    <w:rsid w:val="00123C9F"/>
    <w:rsid w:val="00126190"/>
    <w:rsid w:val="00130F17"/>
    <w:rsid w:val="001320BF"/>
    <w:rsid w:val="00163BC4"/>
    <w:rsid w:val="00183DFB"/>
    <w:rsid w:val="00191062"/>
    <w:rsid w:val="00192B72"/>
    <w:rsid w:val="001A29D8"/>
    <w:rsid w:val="001A5CAA"/>
    <w:rsid w:val="001B0427"/>
    <w:rsid w:val="001D3A51"/>
    <w:rsid w:val="001E10D2"/>
    <w:rsid w:val="001E25B4"/>
    <w:rsid w:val="001E44FE"/>
    <w:rsid w:val="00200595"/>
    <w:rsid w:val="00204835"/>
    <w:rsid w:val="002212CC"/>
    <w:rsid w:val="00231920"/>
    <w:rsid w:val="0023195C"/>
    <w:rsid w:val="0024187F"/>
    <w:rsid w:val="0024282C"/>
    <w:rsid w:val="002460DC"/>
    <w:rsid w:val="00250985"/>
    <w:rsid w:val="002556F6"/>
    <w:rsid w:val="00283105"/>
    <w:rsid w:val="00284C4C"/>
    <w:rsid w:val="00287E68"/>
    <w:rsid w:val="00296529"/>
    <w:rsid w:val="002B27FB"/>
    <w:rsid w:val="002B42A3"/>
    <w:rsid w:val="002B685A"/>
    <w:rsid w:val="002C57D2"/>
    <w:rsid w:val="002E0D56"/>
    <w:rsid w:val="003027CE"/>
    <w:rsid w:val="00315186"/>
    <w:rsid w:val="0033343E"/>
    <w:rsid w:val="003512C2"/>
    <w:rsid w:val="00371FB6"/>
    <w:rsid w:val="003763C1"/>
    <w:rsid w:val="00376BBE"/>
    <w:rsid w:val="00385AFE"/>
    <w:rsid w:val="0039224F"/>
    <w:rsid w:val="003A43A4"/>
    <w:rsid w:val="003A7E18"/>
    <w:rsid w:val="003C4C86"/>
    <w:rsid w:val="003C6258"/>
    <w:rsid w:val="003D5BFA"/>
    <w:rsid w:val="003E2904"/>
    <w:rsid w:val="003E29DA"/>
    <w:rsid w:val="00401927"/>
    <w:rsid w:val="0041027F"/>
    <w:rsid w:val="00412475"/>
    <w:rsid w:val="00423789"/>
    <w:rsid w:val="00431C70"/>
    <w:rsid w:val="00440F43"/>
    <w:rsid w:val="00441B6F"/>
    <w:rsid w:val="00446221"/>
    <w:rsid w:val="00450E62"/>
    <w:rsid w:val="004539DB"/>
    <w:rsid w:val="00471A80"/>
    <w:rsid w:val="004D305E"/>
    <w:rsid w:val="004D4277"/>
    <w:rsid w:val="004F42A1"/>
    <w:rsid w:val="00502516"/>
    <w:rsid w:val="00505F06"/>
    <w:rsid w:val="00506828"/>
    <w:rsid w:val="0053056E"/>
    <w:rsid w:val="005325AD"/>
    <w:rsid w:val="00554FDA"/>
    <w:rsid w:val="0058643D"/>
    <w:rsid w:val="005B0726"/>
    <w:rsid w:val="005C784C"/>
    <w:rsid w:val="005D17F6"/>
    <w:rsid w:val="005E5539"/>
    <w:rsid w:val="00602BF5"/>
    <w:rsid w:val="00617FDD"/>
    <w:rsid w:val="00623D0B"/>
    <w:rsid w:val="0062462B"/>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3D11"/>
    <w:rsid w:val="007369E6"/>
    <w:rsid w:val="00746E59"/>
    <w:rsid w:val="00754C9A"/>
    <w:rsid w:val="0075599A"/>
    <w:rsid w:val="00761D52"/>
    <w:rsid w:val="0077749E"/>
    <w:rsid w:val="00790ADA"/>
    <w:rsid w:val="007D2288"/>
    <w:rsid w:val="007E088F"/>
    <w:rsid w:val="007F7B32"/>
    <w:rsid w:val="00804BC2"/>
    <w:rsid w:val="0081431A"/>
    <w:rsid w:val="008205AC"/>
    <w:rsid w:val="00822553"/>
    <w:rsid w:val="0083216F"/>
    <w:rsid w:val="00860000"/>
    <w:rsid w:val="00863BD3"/>
    <w:rsid w:val="008641ED"/>
    <w:rsid w:val="00866D66"/>
    <w:rsid w:val="008671C6"/>
    <w:rsid w:val="00875803"/>
    <w:rsid w:val="008B459E"/>
    <w:rsid w:val="008E13AE"/>
    <w:rsid w:val="008E1506"/>
    <w:rsid w:val="008E439B"/>
    <w:rsid w:val="008E710C"/>
    <w:rsid w:val="008F69D6"/>
    <w:rsid w:val="00902823"/>
    <w:rsid w:val="00913472"/>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3BE"/>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4ED"/>
    <w:rsid w:val="00B52583"/>
    <w:rsid w:val="00B52896"/>
    <w:rsid w:val="00B95236"/>
    <w:rsid w:val="00B9614D"/>
    <w:rsid w:val="00B96BD9"/>
    <w:rsid w:val="00BA1B01"/>
    <w:rsid w:val="00BA2641"/>
    <w:rsid w:val="00BA7C25"/>
    <w:rsid w:val="00BB37AA"/>
    <w:rsid w:val="00BC53A0"/>
    <w:rsid w:val="00BE62AD"/>
    <w:rsid w:val="00BF121F"/>
    <w:rsid w:val="00BF1F80"/>
    <w:rsid w:val="00C018A8"/>
    <w:rsid w:val="00C166EF"/>
    <w:rsid w:val="00C17EB0"/>
    <w:rsid w:val="00C27F5F"/>
    <w:rsid w:val="00C30A0F"/>
    <w:rsid w:val="00C34720"/>
    <w:rsid w:val="00C37E61"/>
    <w:rsid w:val="00C45841"/>
    <w:rsid w:val="00C70F1B"/>
    <w:rsid w:val="00C71A47"/>
    <w:rsid w:val="00C7464C"/>
    <w:rsid w:val="00C85588"/>
    <w:rsid w:val="00C97D69"/>
    <w:rsid w:val="00CB71CA"/>
    <w:rsid w:val="00CD6755"/>
    <w:rsid w:val="00CD6856"/>
    <w:rsid w:val="00CE0089"/>
    <w:rsid w:val="00CE793C"/>
    <w:rsid w:val="00CF193C"/>
    <w:rsid w:val="00D05671"/>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37E4"/>
    <w:rsid w:val="00F469F0"/>
    <w:rsid w:val="00F53273"/>
    <w:rsid w:val="00F54BD8"/>
    <w:rsid w:val="00F755E4"/>
    <w:rsid w:val="00F77D02"/>
    <w:rsid w:val="00FB3A86"/>
    <w:rsid w:val="00FD36C8"/>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2B6957F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loye.com/wp/data-quality-for-higher-education-challenges-and-solutions/" TargetMode="External"/><Relationship Id="rId18" Type="http://schemas.openxmlformats.org/officeDocument/2006/relationships/hyperlink" Target="https://doi.org/10.1080/AER.2021.18.1.67" TargetMode="External"/><Relationship Id="rId26" Type="http://schemas.openxmlformats.org/officeDocument/2006/relationships/hyperlink" Target="https://doi.org/10.4314/sajhe.v22i3.25812" TargetMode="External"/><Relationship Id="rId3" Type="http://schemas.openxmlformats.org/officeDocument/2006/relationships/styles" Target="styles.xml"/><Relationship Id="rId21" Type="http://schemas.openxmlformats.org/officeDocument/2006/relationships/hyperlink" Target="https://doi.org/10.4314/eajess.v2i3.56" TargetMode="External"/><Relationship Id="rId7" Type="http://schemas.openxmlformats.org/officeDocument/2006/relationships/endnotes" Target="endnotes.xml"/><Relationship Id="rId12" Type="http://schemas.openxmlformats.org/officeDocument/2006/relationships/hyperlink" Target="https://doi.org/10.1080/10580530.2019.1589670" TargetMode="External"/><Relationship Id="rId17" Type="http://schemas.openxmlformats.org/officeDocument/2006/relationships/hyperlink" Target="https://library.educause.edu/resources/2023/3/2023-educause-horizon-action-plan-data-governance" TargetMode="External"/><Relationship Id="rId25" Type="http://schemas.openxmlformats.org/officeDocument/2006/relationships/hyperlink" Target="https://doi.org/10.5281/zenodo.6468899" TargetMode="External"/><Relationship Id="rId2" Type="http://schemas.openxmlformats.org/officeDocument/2006/relationships/numbering" Target="numbering.xml"/><Relationship Id="rId16" Type="http://schemas.openxmlformats.org/officeDocument/2006/relationships/hyperlink" Target="https://cue.or.ke/" TargetMode="External"/><Relationship Id="rId20" Type="http://schemas.openxmlformats.org/officeDocument/2006/relationships/hyperlink" Target="https://doi.org/10.1177/160940691773384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177/0002764218818247" TargetMode="External"/><Relationship Id="rId5" Type="http://schemas.openxmlformats.org/officeDocument/2006/relationships/webSettings" Target="webSettings.xml"/><Relationship Id="rId15" Type="http://schemas.openxmlformats.org/officeDocument/2006/relationships/hyperlink" Target="https://doi.org/10.5281/zenodo.17218502" TargetMode="External"/><Relationship Id="rId23" Type="http://schemas.openxmlformats.org/officeDocument/2006/relationships/hyperlink" Target="https://doi.org/10.1111/bjet.13226"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studentclearinghouse.org/academy/courses/error-resolution-for-enrollment-reporti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esearchgate.net/publication/335160412_Big_Data_and_Assessment_for_Learning_in_Nigerian_Universities_Prospects_and_Challenges" TargetMode="External"/><Relationship Id="rId22" Type="http://schemas.openxmlformats.org/officeDocument/2006/relationships/hyperlink" Target="https://doi.org/10.1111/bjet.13226" TargetMode="External"/><Relationship Id="rId27" Type="http://schemas.openxmlformats.org/officeDocument/2006/relationships/hyperlink" Target="https://doi.org/10.1080/07421222.1996.11518099"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CEA74-4D4A-4617-9D64-AAD8685E7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425</TotalTime>
  <Pages>14</Pages>
  <Words>5174</Words>
  <Characters>29493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34598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88</cp:revision>
  <cp:lastPrinted>1999-07-06T11:00:00Z</cp:lastPrinted>
  <dcterms:created xsi:type="dcterms:W3CDTF">2026-01-07T05:54:00Z</dcterms:created>
  <dcterms:modified xsi:type="dcterms:W3CDTF">2026-01-08T07:49:00Z</dcterms:modified>
</cp:coreProperties>
</file>