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AF3E" w14:textId="0E4F516E" w:rsidR="000053C4" w:rsidRPr="000053C4" w:rsidRDefault="000053C4" w:rsidP="00FF35BC">
      <w:pPr>
        <w:pStyle w:val="Heading1"/>
        <w:rPr>
          <w:rStyle w:val="Emphasis"/>
          <w:i w:val="0"/>
          <w:u w:val="single"/>
        </w:rPr>
      </w:pPr>
      <w:bookmarkStart w:id="0" w:name="_GoBack"/>
      <w:bookmarkEnd w:id="0"/>
      <w:r w:rsidRPr="000053C4">
        <w:rPr>
          <w:rStyle w:val="Emphasis"/>
          <w:i w:val="0"/>
          <w:u w:val="single"/>
        </w:rPr>
        <w:t>Review Article</w:t>
      </w:r>
    </w:p>
    <w:p w14:paraId="3B483312" w14:textId="1A78B0C8" w:rsidR="00FF35BC" w:rsidRPr="00FF35BC" w:rsidRDefault="00FF35BC" w:rsidP="00FF35BC">
      <w:pPr>
        <w:pStyle w:val="Heading1"/>
        <w:rPr>
          <w:i/>
        </w:rPr>
      </w:pPr>
      <w:r w:rsidRPr="00FF35BC">
        <w:rPr>
          <w:rStyle w:val="Emphasis"/>
          <w:i w:val="0"/>
        </w:rPr>
        <w:t>Does Academic Resilience Predict School Success? — Reviewing Empirical Evidences in Secondary Education</w:t>
      </w:r>
    </w:p>
    <w:p w14:paraId="5BDC1639" w14:textId="77777777" w:rsidR="00FF35BC" w:rsidRDefault="00FF35BC" w:rsidP="00FF35BC"/>
    <w:p w14:paraId="254D7CFF" w14:textId="77777777" w:rsidR="00FF35BC" w:rsidRDefault="00FF35BC" w:rsidP="00FF35BC">
      <w:pPr>
        <w:pStyle w:val="Heading2"/>
      </w:pPr>
      <w:r>
        <w:t>Abstract</w:t>
      </w:r>
    </w:p>
    <w:p w14:paraId="28C118E2" w14:textId="77777777" w:rsidR="00FF35BC" w:rsidRDefault="00FF35BC" w:rsidP="00FF35BC">
      <w:pPr>
        <w:pStyle w:val="NormalWeb"/>
      </w:pPr>
      <w:r>
        <w:t>Academic resilience has become a central construct in secondary education research because it speaks directly to a persistent educational dilemma: why some adolescents sustain achievement and positive school functioning despite adversity while others with comparable risk exposure do not. This review synthesizes empirical evidence on whether academic resilience predicts school success in secondary education and clarifies how definitional and measurement choices shape conclusions. Drawing on recent meta-analytic and systematic review evidence alongside large-scale international assessment research and school-based studies, the review shows that academic resilience is consistently associated with indicators of school success, but the strength and interpretability of this relationship vary markedly across operationalizations. In correlational syntheses, resilience-related protective factors exhibit statistically reliable but typically small links with achievement outcomes, suggesting predictive relevance but also indicating that resilience is not a standalone remedy for structural disadvantage. Evidence from large-scale assessments highlights the role of school climate, instructional quality, and cultural-contextual protective factors in differentiating resilient from non-resilient adolescents. At the same time, research warns that “resilience” is often defined partly by academic performance itself, complicating causal claims about prediction. The review proposes an integrative account that treats academic resilience as a dynamic capacity expressed through self-regulation, perceived competence, and supportive relationships, and it outlines implications for identification, measurement, and intervention in secondary schooling.</w:t>
      </w:r>
    </w:p>
    <w:p w14:paraId="12E44C34" w14:textId="77777777" w:rsidR="00FF35BC" w:rsidRDefault="00FF35BC" w:rsidP="00FF35BC">
      <w:pPr>
        <w:pStyle w:val="NormalWeb"/>
      </w:pPr>
      <w:r>
        <w:rPr>
          <w:rStyle w:val="Strong"/>
        </w:rPr>
        <w:t>Keywords:</w:t>
      </w:r>
      <w:r>
        <w:t xml:space="preserve"> academic resilience; secondary education; school success; academic achievement; educational disadvantage; protective factors; academic buoyancy</w:t>
      </w:r>
    </w:p>
    <w:p w14:paraId="5B4C1FE9" w14:textId="77777777" w:rsidR="00FF35BC" w:rsidRDefault="00FF35BC" w:rsidP="00FF35BC"/>
    <w:p w14:paraId="12711041" w14:textId="77777777" w:rsidR="00FF35BC" w:rsidRDefault="00FF35BC" w:rsidP="00FF35BC">
      <w:pPr>
        <w:pStyle w:val="Heading2"/>
      </w:pPr>
      <w:r>
        <w:t>1. Introduction</w:t>
      </w:r>
    </w:p>
    <w:p w14:paraId="16894297" w14:textId="77777777" w:rsidR="00FF35BC" w:rsidRDefault="00FF35BC" w:rsidP="00FF35BC">
      <w:pPr>
        <w:pStyle w:val="NormalWeb"/>
      </w:pPr>
      <w:r>
        <w:t xml:space="preserve">The secondary school years represent a developmental period marked by intensified academic demands, identity consolidation, and heightened sensitivity to social context. For many adolescents, this is also the stage at which disparities in educational opportunity become more visible: socioeconomic disadvantage, migration-related stressors, learning barriers, and mental health risks can converge with school transitions and performance pressures. Within this landscape, the construct of </w:t>
      </w:r>
      <w:r>
        <w:rPr>
          <w:rStyle w:val="Emphasis"/>
        </w:rPr>
        <w:t>academic resilience</w:t>
      </w:r>
      <w:r>
        <w:t xml:space="preserve"> has gained prominence because it describes a pattern educators care about deeply—students sustaining or recovering </w:t>
      </w:r>
      <w:r>
        <w:lastRenderedPageBreak/>
        <w:t xml:space="preserve">positive academic functioning despite adversity. Yet the field still wrestles with a deceptively simple question: </w:t>
      </w:r>
      <w:r>
        <w:rPr>
          <w:rStyle w:val="Emphasis"/>
        </w:rPr>
        <w:t>does academic resilience predict school success</w:t>
      </w:r>
      <w:r>
        <w:t xml:space="preserve"> in secondary education, or is it largely a descriptive label applied after success has already occurred?</w:t>
      </w:r>
    </w:p>
    <w:p w14:paraId="2ACC5E71" w14:textId="77777777" w:rsidR="00FF35BC" w:rsidRDefault="00FF35BC" w:rsidP="00FF35BC">
      <w:pPr>
        <w:pStyle w:val="NormalWeb"/>
      </w:pPr>
      <w:r>
        <w:t xml:space="preserve">A major reason the question remains contested is that academic resilience sits at the intersection of outcome and process. Some scholars conceptualize resilience as </w:t>
      </w:r>
      <w:r>
        <w:rPr>
          <w:rStyle w:val="Emphasis"/>
        </w:rPr>
        <w:t>positive adaptation</w:t>
      </w:r>
      <w:r>
        <w:t xml:space="preserve"> in the presence of risk, meaning that academic success is a defining feature of resilience rather than something predicted by it. Other work treats resilience more like a capacity or set of competencies—self-regulation, persistence, and adaptive coping—that should forecast later outcomes, including grades, engagement, and persistence. These conceptual distinctions are not merely academic; they change how schools identify students for support, how researchers interpret effect sizes, and how policymakers evaluate interventions intended to “build resilience.”</w:t>
      </w:r>
    </w:p>
    <w:p w14:paraId="7D4FE8BE" w14:textId="77777777" w:rsidR="00FF35BC" w:rsidRDefault="00FF35BC" w:rsidP="00FF35BC">
      <w:pPr>
        <w:pStyle w:val="NormalWeb"/>
      </w:pPr>
      <w:r>
        <w:t>Recent quantitative syntheses suggest that protective factors often linked to academic resilience—self-efficacy, supportive relationships, adaptive beliefs—are reliably associated with achievement, but typically with modest magnitudes (</w:t>
      </w:r>
      <w:proofErr w:type="spellStart"/>
      <w:r>
        <w:t>Hunsu</w:t>
      </w:r>
      <w:proofErr w:type="spellEnd"/>
      <w:r>
        <w:t xml:space="preserve"> et al., 2023). Systematic reviews further show that the field lacks a single standard approach to measuring academic resilience, with studies varying in whether they treat it as a continuous trait-like construct, an interaction between adversity and achievement, or a categorical status assigned to “high-achieving disadvantaged” students (Rudd et al., 2021). These differences matter especially in secondary education, where performance metrics are consequential and where school contexts (e.g., tracking, climate, peer culture) can either buffer or amplify adversity.</w:t>
      </w:r>
    </w:p>
    <w:p w14:paraId="7DA0BD1A" w14:textId="77777777" w:rsidR="00FF35BC" w:rsidRDefault="00FF35BC" w:rsidP="00FF35BC">
      <w:pPr>
        <w:pStyle w:val="NormalWeb"/>
      </w:pPr>
      <w:r>
        <w:t xml:space="preserve">A complementary line of research focuses on “everyday” resilience in learning—often framed as </w:t>
      </w:r>
      <w:r>
        <w:rPr>
          <w:rStyle w:val="Emphasis"/>
        </w:rPr>
        <w:t>academic buoyancy</w:t>
      </w:r>
      <w:r>
        <w:t xml:space="preserve">—and indicates that students who can respond adaptively to routine setbacks may be protected against achievement losses when minor adversities occur (Martin &amp; Marsh, 2008; </w:t>
      </w:r>
      <w:proofErr w:type="spellStart"/>
      <w:r>
        <w:t>Putwain</w:t>
      </w:r>
      <w:proofErr w:type="spellEnd"/>
      <w:r>
        <w:t xml:space="preserve"> et al., 2020). While buoyancy is not identical to academic resilience in the face of chronic disadvantage, the two constructs share mechanisms and help clarify the pathways through which resilience-related capacities may translate into school success over time.</w:t>
      </w:r>
    </w:p>
    <w:p w14:paraId="1A8386DC" w14:textId="77777777" w:rsidR="00FF35BC" w:rsidRDefault="00FF35BC" w:rsidP="00FF35BC">
      <w:pPr>
        <w:pStyle w:val="Heading3"/>
      </w:pPr>
      <w:r>
        <w:t>1.1 Conceptualizing academic resilience in secondary education</w:t>
      </w:r>
    </w:p>
    <w:p w14:paraId="42D95580" w14:textId="77777777" w:rsidR="00FF35BC" w:rsidRDefault="00FF35BC" w:rsidP="00FF35BC">
      <w:pPr>
        <w:pStyle w:val="NormalWeb"/>
      </w:pPr>
      <w:r>
        <w:t>Across research traditions, academic resilience is generally anchored in a risk–adaptation logic: adversity raises the probability of negative outcomes, yet some students show unexpectedly positive adaptation. However, operationalizations differ substantially. In large-scale assessments, “academically resilient” students are often defined as those who are socioeconomically disadvantaged but perform in the top segment of achievement distribution within a jurisdiction. This definition is appealing for equity monitoring but embeds achievement directly into the resilience label, blurring prediction. Ye et al. (2021) highlight that the “norms” underpinning these definitions—how risk is defined, what counts as success, and what reference group is used—shape who is classified as resilient and what conclusions follow.</w:t>
      </w:r>
    </w:p>
    <w:p w14:paraId="26B1F674" w14:textId="77777777" w:rsidR="00FF35BC" w:rsidRDefault="00FF35BC" w:rsidP="00FF35BC">
      <w:pPr>
        <w:pStyle w:val="NormalWeb"/>
      </w:pPr>
      <w:r>
        <w:t xml:space="preserve">In school- and student-level psychological research, academic resilience is sometimes treated as a measurable construct reflecting adaptive responses to academic adversity. The Academic Resilience Scale (ARS-30) is a prominent example, capturing multidimensional responses such as perseverance, help-seeking, and emotional regulation when facing academic stressors (Cassidy, 2016). This approach aligns more directly with prediction because it measures </w:t>
      </w:r>
      <w:r>
        <w:lastRenderedPageBreak/>
        <w:t>resilience-related tendencies or skills that can, in principle, precede later outcomes. Yet even here, questions remain about contextual specificity (e.g., school systems, cultural expectations), developmental appropriateness for adolescents, and whether scales capture resilience “capacity” or situational coping responses.</w:t>
      </w:r>
    </w:p>
    <w:p w14:paraId="144889A6" w14:textId="77777777" w:rsidR="00FF35BC" w:rsidRDefault="00FF35BC" w:rsidP="00FF35BC">
      <w:pPr>
        <w:pStyle w:val="Heading3"/>
      </w:pPr>
      <w:r>
        <w:t>1.2 Defining “school success” in secondary schooling</w:t>
      </w:r>
    </w:p>
    <w:p w14:paraId="3DD5600D" w14:textId="77777777" w:rsidR="00FF35BC" w:rsidRDefault="00FF35BC" w:rsidP="00FF35BC">
      <w:pPr>
        <w:pStyle w:val="NormalWeb"/>
      </w:pPr>
      <w:r>
        <w:t>School success in secondary education is broader than test scores. While academic achievement is central, secondary schooling outcomes include course completion, progression, attendance, engagement, and avoidance of burnout or disengagement trajectories. These outcomes matter because they serve as gateways to higher education and employment. Predictive claims about academic resilience are therefore most meaningful when they consider multiple indicators of school functioning rather than relying on grades alone.</w:t>
      </w:r>
    </w:p>
    <w:p w14:paraId="3DD295C9" w14:textId="77777777" w:rsidR="00FF35BC" w:rsidRDefault="00FF35BC" w:rsidP="00FF35BC">
      <w:pPr>
        <w:pStyle w:val="Heading3"/>
      </w:pPr>
      <w:r>
        <w:t>1.3 Why prediction matters: equity, prevention, and intervention design</w:t>
      </w:r>
    </w:p>
    <w:p w14:paraId="52C9094C" w14:textId="77777777" w:rsidR="00FF35BC" w:rsidRDefault="00FF35BC" w:rsidP="00FF35BC">
      <w:pPr>
        <w:pStyle w:val="NormalWeb"/>
      </w:pPr>
      <w:r>
        <w:t>If academic resilience is predictive, then assessing resilience-related capacities can help schools intervene early—especially for students facing disadvantage—by strengthening self-regulation, perceived competence, and support structures before disengagement becomes entrenched. If resilience is mainly descriptive, schools must focus more heavily on structural opportunity and the instructional conditions that enable success, rather than assuming that “building resilience” in students will independently close achievement gaps. The evidence increasingly suggests that both perspectives contain truth: resilience-related factors matter, but their effects are constrained by context and by how resilience is defined and measured (</w:t>
      </w:r>
      <w:proofErr w:type="spellStart"/>
      <w:r>
        <w:t>Hunsu</w:t>
      </w:r>
      <w:proofErr w:type="spellEnd"/>
      <w:r>
        <w:t xml:space="preserve"> et al., 2023; Rudd et al., 2021; Ye et al., 2021).</w:t>
      </w:r>
    </w:p>
    <w:p w14:paraId="05769B2E" w14:textId="77777777" w:rsidR="00FF35BC" w:rsidRDefault="00FF35BC" w:rsidP="00FF35BC">
      <w:pPr>
        <w:pStyle w:val="Heading3"/>
      </w:pPr>
      <w:r>
        <w:t>1.4 Scope and objectives of the review</w:t>
      </w:r>
    </w:p>
    <w:p w14:paraId="322BDCC6" w14:textId="77777777" w:rsidR="00FF35BC" w:rsidRDefault="00FF35BC" w:rsidP="00FF35BC">
      <w:pPr>
        <w:pStyle w:val="NormalWeb"/>
      </w:pPr>
      <w:r>
        <w:t>This review focuses on empirical evidence relevant to secondary education and addresses three objectives. First, it clarifies major definitions and measurement approaches for academic resilience, emphasizing how these choices affect claims about prediction. Second, it synthesizes evidence on whether academic resilience (or closely related resilience capacities) is associated with—and plausibly predictive of—secondary school success outcomes, including achievement and broader school functioning. Third, it derives implications for research design, school practice, and policy, with particular attention to equity and the prevention of school failure trajectories.</w:t>
      </w:r>
    </w:p>
    <w:p w14:paraId="57C16016" w14:textId="77777777" w:rsidR="00FF35BC" w:rsidRDefault="00FF35BC" w:rsidP="00FF35BC"/>
    <w:p w14:paraId="309002C3" w14:textId="77777777" w:rsidR="00FF35BC" w:rsidRDefault="00FF35BC" w:rsidP="00FF35BC">
      <w:pPr>
        <w:pStyle w:val="Heading2"/>
      </w:pPr>
      <w:r>
        <w:t>2. Methods for literature selection</w:t>
      </w:r>
    </w:p>
    <w:p w14:paraId="1FC6B35B" w14:textId="77777777" w:rsidR="00FF35BC" w:rsidRDefault="00FF35BC" w:rsidP="00FF35BC">
      <w:pPr>
        <w:pStyle w:val="NormalWeb"/>
      </w:pPr>
      <w:r>
        <w:t xml:space="preserve">A targeted literature search was designed to capture recent empirical evidence on academic resilience and school success outcomes, with an emphasis on secondary education while allowing inclusion of a small number of seminal conceptual or measurement studies necessary to interpret current findings. Searches were conducted across Scopus, Web of Science Core Collection, ERIC, PsycINFO, and Google Scholar to reduce database-specific blind spots. The primary search string combined terms for the construct and outcomes, adapted to database syntax: (“academic resilience” OR “educational resilience” OR </w:t>
      </w:r>
      <w:r>
        <w:lastRenderedPageBreak/>
        <w:t xml:space="preserve">“academic buoyancy”) AND (“secondary school” OR “high school” OR </w:t>
      </w:r>
      <w:proofErr w:type="spellStart"/>
      <w:r>
        <w:t>adolescen</w:t>
      </w:r>
      <w:proofErr w:type="spellEnd"/>
      <w:r>
        <w:t>* OR “middle school”) AND (“achievement” OR “grades” OR “school success” OR “engagement” OR “attendance” OR “school burnout”). Additional searches targeted large-scale assessment work by pairing “academic resilience” with “PISA” and “TIMSS,” and targeted measurement work using (“Academic Resilience Scale” OR ARS-30).</w:t>
      </w:r>
    </w:p>
    <w:p w14:paraId="24DB6C99" w14:textId="77777777" w:rsidR="00FF35BC" w:rsidRDefault="00FF35BC" w:rsidP="00FF35BC">
      <w:pPr>
        <w:pStyle w:val="NormalWeb"/>
      </w:pPr>
      <w:r>
        <w:t>The date range prioritized 2014–2025 to meet the aim of synthesizing recent evidence, but foundational works were retained when they were repeatedly cited as definitional anchors or construct foundations. Inclusion criteria required peer-reviewed journal publication, explicit operationalization of academic resilience or a closely aligned construct (e.g., academic buoyancy where clearly framed as everyday academic resilience), and quantitative evidence linking resilience or resilience-related protective factors with school success indicators. Studies were excluded if they were not peer-reviewed, lacked a clear resilience operationalization, focused exclusively on tertiary education without adolescent relevance, or did not report empirical relationships with academic or school functioning outcomes. Screening proceeded by title/abstract review, followed by full-text verification of eligibility for retained records, prioritizing studies with clear methods and interpretable statistical reporting.</w:t>
      </w:r>
    </w:p>
    <w:p w14:paraId="10E1E873" w14:textId="77777777" w:rsidR="00FF35BC" w:rsidRDefault="00FF35BC" w:rsidP="00FF35BC"/>
    <w:p w14:paraId="459F4677" w14:textId="77777777" w:rsidR="00FF35BC" w:rsidRDefault="00FF35BC" w:rsidP="00FF35BC">
      <w:pPr>
        <w:pStyle w:val="Heading2"/>
      </w:pPr>
      <w:r>
        <w:t>3. Definitional and measurement choices that shape “prediction”</w:t>
      </w:r>
    </w:p>
    <w:p w14:paraId="0A5F1009" w14:textId="77777777" w:rsidR="00FF35BC" w:rsidRDefault="00FF35BC" w:rsidP="00FF35BC">
      <w:pPr>
        <w:pStyle w:val="Heading3"/>
      </w:pPr>
      <w:r>
        <w:t>3.1 Resilience as “status” versus resilience as “capacity”</w:t>
      </w:r>
    </w:p>
    <w:p w14:paraId="7BF6E3B6" w14:textId="77777777" w:rsidR="00FF35BC" w:rsidRDefault="00FF35BC" w:rsidP="00FF35BC">
      <w:pPr>
        <w:pStyle w:val="NormalWeb"/>
      </w:pPr>
      <w:r>
        <w:t xml:space="preserve">A central interpretive issue is whether academic resilience is defined as an </w:t>
      </w:r>
      <w:r>
        <w:rPr>
          <w:rStyle w:val="Emphasis"/>
        </w:rPr>
        <w:t>outcome state</w:t>
      </w:r>
      <w:r>
        <w:t xml:space="preserve"> (high achievement despite disadvantage) or a </w:t>
      </w:r>
      <w:r>
        <w:rPr>
          <w:rStyle w:val="Emphasis"/>
        </w:rPr>
        <w:t>capacity/process</w:t>
      </w:r>
      <w:r>
        <w:t xml:space="preserve"> (skills and responses that enable adaptation). Rudd et al. (2021) show that quantitative research operationalizes academic resilience in multiple ways, including residual-based models (achievement higher than predicted by risk), categorical classifications (resilient vs non-resilient), and scale-based measurement (self-reported resilience responses). These approaches do not answer the predictive question equally well. When resilience is defined by achievement, it can correlate strongly with success by definition, but it does not necessarily </w:t>
      </w:r>
      <w:r>
        <w:rPr>
          <w:rStyle w:val="Emphasis"/>
        </w:rPr>
        <w:t>predict</w:t>
      </w:r>
      <w:r>
        <w:t xml:space="preserve"> success over time. When resilience is measured as a capacity, it can be used prospectively, but it introduces challenges of construct validity and context specificity.</w:t>
      </w:r>
    </w:p>
    <w:p w14:paraId="498AB108" w14:textId="77777777" w:rsidR="00FF35BC" w:rsidRDefault="00FF35BC" w:rsidP="00FF35BC">
      <w:pPr>
        <w:pStyle w:val="NormalWeb"/>
      </w:pPr>
      <w:r>
        <w:t>Ye et al. (2021) argue that the “underlying norms” of resilience definitions in large-scale assessments are often under-specified. For instance, how disadvantage is defined (family SES index, school-level poverty, migration status) and how success is defined (top quartile, proficiency threshold, relative rank) changes who counts as resilient. These definitional degrees of freedom can yield different prevalence estimates and different conclusions about what predicts resilience and what resilience predicts.</w:t>
      </w:r>
    </w:p>
    <w:p w14:paraId="68B659BE" w14:textId="77777777" w:rsidR="00FF35BC" w:rsidRDefault="00FF35BC" w:rsidP="00FF35BC">
      <w:pPr>
        <w:pStyle w:val="Heading3"/>
      </w:pPr>
      <w:r>
        <w:t>3.2 Measurement via self-report scales in adolescent samples</w:t>
      </w:r>
    </w:p>
    <w:p w14:paraId="369DC60F" w14:textId="77777777" w:rsidR="00FF35BC" w:rsidRDefault="00FF35BC" w:rsidP="00FF35BC">
      <w:pPr>
        <w:pStyle w:val="NormalWeb"/>
      </w:pPr>
      <w:r>
        <w:t xml:space="preserve">The ARS-30 (Cassidy, 2016) represents a prominent attempt to operationalize academic resilience as a multidimensional construct reflecting adaptive responses to academic adversity. This measurement approach has advantages for prediction: it can be assessed </w:t>
      </w:r>
      <w:r>
        <w:lastRenderedPageBreak/>
        <w:t>before achievement outcomes occur and can capture mechanisms such as perseverance and help-seeking that plausibly drive later success. Cassidy (2015) further links academic resilience to academic self-efficacy, suggesting that perceived competence may be a foundational driver of resilient responding. In secondary education, this implies that resilience is not solely a stable trait but may be shaped through experiences that alter students’ beliefs about their capability and control over learning.</w:t>
      </w:r>
    </w:p>
    <w:p w14:paraId="5DC406D6" w14:textId="77777777" w:rsidR="00FF35BC" w:rsidRDefault="00FF35BC" w:rsidP="00FF35BC">
      <w:pPr>
        <w:pStyle w:val="Heading3"/>
      </w:pPr>
      <w:r>
        <w:t>3.3 Large-scale assessment operationalization and contextual inference</w:t>
      </w:r>
    </w:p>
    <w:p w14:paraId="44473455" w14:textId="77777777" w:rsidR="00FF35BC" w:rsidRDefault="00FF35BC" w:rsidP="00FF35BC">
      <w:pPr>
        <w:pStyle w:val="NormalWeb"/>
      </w:pPr>
      <w:r>
        <w:t xml:space="preserve">Large-scale assessments such as PISA and TIMSS offer powerful datasets for studying academic resilience at population scale. Sandoval-Hernández and </w:t>
      </w:r>
      <w:proofErr w:type="spellStart"/>
      <w:r>
        <w:t>Białowolski</w:t>
      </w:r>
      <w:proofErr w:type="spellEnd"/>
      <w:r>
        <w:t xml:space="preserve"> (2016) use TIMSS-based analyses to identify factors and conditions associated with academic resilience across multiple Asian education systems, underscoring that resilience is not solely individual-level but is patterned by system-level and school-level conditions. Similarly, PISA-based work shows that protective factors differ across cultural contexts, with certain supports functioning differently in individualist versus collectivist settings (Özcan &amp; Bulus, 2022). These studies strengthen external validity but also raise interpretive cautions: the resilience label is typically built from SES and achievement, so prediction must be framed carefully as prediction of </w:t>
      </w:r>
      <w:r>
        <w:rPr>
          <w:rStyle w:val="Emphasis"/>
        </w:rPr>
        <w:t>resilient classification</w:t>
      </w:r>
      <w:r>
        <w:t xml:space="preserve"> or of subsequent success outcomes beyond concurrent achievement.</w:t>
      </w:r>
    </w:p>
    <w:p w14:paraId="7AAF6CA1" w14:textId="77777777" w:rsidR="00FF35BC" w:rsidRDefault="00FF35BC" w:rsidP="00FF35BC"/>
    <w:p w14:paraId="36E74ED4" w14:textId="77777777" w:rsidR="00FF35BC" w:rsidRDefault="00FF35BC" w:rsidP="00FF35BC">
      <w:pPr>
        <w:pStyle w:val="Heading2"/>
      </w:pPr>
      <w:r>
        <w:t>4. Empirical evidence linking academic resilience to school success</w:t>
      </w:r>
    </w:p>
    <w:p w14:paraId="62C7FC0C" w14:textId="77777777" w:rsidR="00FF35BC" w:rsidRDefault="00FF35BC" w:rsidP="00FF35BC">
      <w:pPr>
        <w:pStyle w:val="Heading3"/>
      </w:pPr>
      <w:r>
        <w:t>4.1 Meta-analytic evidence: reliable but modest associations</w:t>
      </w:r>
    </w:p>
    <w:p w14:paraId="2D1D3AD1" w14:textId="77777777" w:rsidR="00FF35BC" w:rsidRDefault="00FF35BC" w:rsidP="00FF35BC">
      <w:pPr>
        <w:pStyle w:val="NormalWeb"/>
      </w:pPr>
      <w:r>
        <w:t xml:space="preserve">The most direct summary of the empirical association between resilience-related factors and achievement comes from meta-analytic synthesis. </w:t>
      </w:r>
      <w:proofErr w:type="spellStart"/>
      <w:r>
        <w:t>Hunsu</w:t>
      </w:r>
      <w:proofErr w:type="spellEnd"/>
      <w:r>
        <w:t xml:space="preserve"> et al. (2023) aggregated correlational evidence and found that protective factors linked to academic resilience show statistically significant relationships with achievement outcomes, but the average magnitude is small. This pattern matters for the predictive question in two ways. First, it supports the claim that resilience-related protective factors are not merely rhetorical; they do relate to measurable academic outcomes. Second, the modest effect sizes caution against treating resilience as a single lever that can overcome large structural disadvantages. In secondary education, where SES gradients are often steep, small average effects still have practical value if they are scalable and targetable, but they should not be interpreted as fully compensatory.</w:t>
      </w:r>
    </w:p>
    <w:p w14:paraId="55663153" w14:textId="77777777" w:rsidR="00FF35BC" w:rsidRDefault="00FF35BC" w:rsidP="00FF35BC">
      <w:pPr>
        <w:pStyle w:val="NormalWeb"/>
      </w:pPr>
      <w:r>
        <w:t>Rudd et al. (2021) complement this conclusion by showing that effect sizes and conclusions vary with measurement choices. Studies that define resilience through achievement thresholds will necessarily find strong links between resilience status and achievement (because they overlap), whereas studies that measure resilience capacities (e.g., self-report scales) tend to yield more modest but interpretable predictive associations.</w:t>
      </w:r>
    </w:p>
    <w:p w14:paraId="4C7F2F58" w14:textId="77777777" w:rsidR="00FF35BC" w:rsidRDefault="00FF35BC" w:rsidP="00FF35BC">
      <w:pPr>
        <w:pStyle w:val="Heading3"/>
      </w:pPr>
      <w:r>
        <w:t>4.2 Large-scale evidence: resilience is patterned by schools and systems</w:t>
      </w:r>
    </w:p>
    <w:p w14:paraId="464815EA" w14:textId="77777777" w:rsidR="00FF35BC" w:rsidRDefault="00FF35BC" w:rsidP="00FF35BC">
      <w:pPr>
        <w:pStyle w:val="NormalWeb"/>
      </w:pPr>
      <w:r>
        <w:lastRenderedPageBreak/>
        <w:t xml:space="preserve">International assessment evidence underscores that academic resilience is not only an individual attribute; it is distributed unevenly across schooling contexts. Sandoval-Hernández and </w:t>
      </w:r>
      <w:proofErr w:type="spellStart"/>
      <w:r>
        <w:t>Białowolski</w:t>
      </w:r>
      <w:proofErr w:type="spellEnd"/>
      <w:r>
        <w:t xml:space="preserve"> (2016) show, using TIMSS-based data, that conditions promoting academic resilience differ across education systems, implying that what predicts resilience in one context may not generalize directly to another. PISA-based analysis likewise indicates that protective factors associated with resilient outcomes depend on cultural orientation and context. Özcan and Bulus (2022) demonstrate that protective factors linked to resilience differ across individualist and collectivist cultures, highlighting that resilience-supportive processes may operate through different social norms, motivational patterns, and support structures.</w:t>
      </w:r>
    </w:p>
    <w:p w14:paraId="567D8EC5" w14:textId="77777777" w:rsidR="00FF35BC" w:rsidRDefault="00FF35BC" w:rsidP="00FF35BC">
      <w:pPr>
        <w:pStyle w:val="NormalWeb"/>
      </w:pPr>
      <w:r>
        <w:t>For secondary education, this means that “academic resilience” cannot be reduced to a universal individual trait; it reflects an interaction between students’ capacities and the opportunity structures schools provide. The predictive utility of academic resilience measures will therefore depend on whether they incorporate or at least account for school-level climate, instructional quality, and support systems.</w:t>
      </w:r>
    </w:p>
    <w:p w14:paraId="29DAF076" w14:textId="77777777" w:rsidR="00FF35BC" w:rsidRDefault="00FF35BC" w:rsidP="00FF35BC">
      <w:pPr>
        <w:pStyle w:val="Heading3"/>
      </w:pPr>
      <w:r>
        <w:t>4.3 School-level and relational resources as pathways to success</w:t>
      </w:r>
    </w:p>
    <w:p w14:paraId="4F47B0FD" w14:textId="77777777" w:rsidR="00FF35BC" w:rsidRDefault="00FF35BC" w:rsidP="00FF35BC">
      <w:pPr>
        <w:pStyle w:val="NormalWeb"/>
      </w:pPr>
      <w:r>
        <w:t xml:space="preserve">Empirical research repeatedly identifies relational resources as key correlates of resilient adaptation. </w:t>
      </w:r>
      <w:proofErr w:type="spellStart"/>
      <w:r>
        <w:t>Anagnostaki</w:t>
      </w:r>
      <w:proofErr w:type="spellEnd"/>
      <w:r>
        <w:t xml:space="preserve"> et al. (2016), focusing on immigrant youth in Greek schools, show that personal and family resources are linked with academic resilience, illustrating that resilience is embedded in relational ecologies rather than only in individual grit-like qualities. Fenwick et al. (2022) extend this logic into school improvement settings by examining how academic resilience can be promoted within disadvantaged school contexts, reinforcing that school practices and structures matter.</w:t>
      </w:r>
    </w:p>
    <w:p w14:paraId="0C5DB6C0" w14:textId="77777777" w:rsidR="00FF35BC" w:rsidRDefault="00FF35BC" w:rsidP="00FF35BC">
      <w:pPr>
        <w:pStyle w:val="NormalWeb"/>
      </w:pPr>
      <w:r>
        <w:t>This relational emphasis helps explain why resilience can appear predictive of school success: resilient students often possess or access supportive networks that stabilize engagement and persistence through stressors. In secondary schooling, where peer influence intensifies and teacher relationships can shape belonging and motivation, resilience-related adaptation may manifest as sustained effort, strategic help-seeking, and continued participation in learning even after setbacks.</w:t>
      </w:r>
    </w:p>
    <w:p w14:paraId="02389941" w14:textId="77777777" w:rsidR="00FF35BC" w:rsidRDefault="00FF35BC" w:rsidP="00FF35BC">
      <w:pPr>
        <w:pStyle w:val="Heading3"/>
      </w:pPr>
      <w:r>
        <w:t>4.4 Resilience-related competencies and protection against achievement loss</w:t>
      </w:r>
    </w:p>
    <w:p w14:paraId="505BFA40" w14:textId="77777777" w:rsidR="00FF35BC" w:rsidRDefault="00FF35BC" w:rsidP="00FF35BC">
      <w:pPr>
        <w:pStyle w:val="NormalWeb"/>
      </w:pPr>
      <w:r>
        <w:t xml:space="preserve">The academic buoyancy literature clarifies a protective function that is closely aligned with predictive claims. Martin and Marsh (2008) frame buoyancy as students’ capacity to deal with routine academic setbacks and pressures, positioning it as “everyday academic resilience.” </w:t>
      </w:r>
      <w:proofErr w:type="spellStart"/>
      <w:r>
        <w:t>Putwain</w:t>
      </w:r>
      <w:proofErr w:type="spellEnd"/>
      <w:r>
        <w:t xml:space="preserve"> et al. (2020) provide evidence that academic buoyancy can protect achievement against minor academic adversities, suggesting a moderation model: when adversity occurs (e.g., attendance issues, behavioral challenges), students higher in buoyancy are less likely to experience achievement declines.</w:t>
      </w:r>
    </w:p>
    <w:p w14:paraId="739C4676" w14:textId="77777777" w:rsidR="00FF35BC" w:rsidRDefault="00FF35BC" w:rsidP="00FF35BC">
      <w:pPr>
        <w:pStyle w:val="NormalWeb"/>
      </w:pPr>
      <w:r>
        <w:t>Although buoyancy is not synonymous with academic resilience defined under chronic disadvantage, it strengthens the plausibility of a predictive mechanism: resilient responding is not simply correlated with good outcomes, but can buffer the negative impact of adverse events on achievement trajectories. For secondary education, this implies that resilience-supportive interventions may yield the greatest academic payoff when adversity is present or likely, rather than producing large main effects in uniformly supportive contexts.</w:t>
      </w:r>
    </w:p>
    <w:p w14:paraId="4D480C36" w14:textId="77777777" w:rsidR="00FF35BC" w:rsidRDefault="00FF35BC" w:rsidP="00FF35BC">
      <w:pPr>
        <w:pStyle w:val="Heading3"/>
      </w:pPr>
      <w:r>
        <w:lastRenderedPageBreak/>
        <w:t>4.5 Developmental evidence: resilience processes accumulate over time</w:t>
      </w:r>
    </w:p>
    <w:p w14:paraId="60094A75" w14:textId="77777777" w:rsidR="00FF35BC" w:rsidRDefault="00FF35BC" w:rsidP="00FF35BC">
      <w:pPr>
        <w:pStyle w:val="NormalWeb"/>
      </w:pPr>
      <w:r>
        <w:t>While this review centers on secondary education, developmental evidence helps interpret prediction as a process unfolding over years. Liew et al. (2018) show in a longitudinal design that regulation-related resiliency and interpersonal relationships are linked with later achievement, illustrating that resilient adaptation involves self-regulation and relational supports over time. The implication for secondary education is not that early-grade findings transfer directly, but that resilience mechanisms may be cumulative: students entering adolescence with stronger regulatory capacities and supportive relationships may be better positioned to remain engaged and achieve despite increasing academic demands.</w:t>
      </w:r>
    </w:p>
    <w:p w14:paraId="5F7A5859" w14:textId="77777777" w:rsidR="00FF35BC" w:rsidRDefault="00FF35BC" w:rsidP="00FF35BC">
      <w:pPr>
        <w:pStyle w:val="Heading3"/>
      </w:pPr>
      <w:r>
        <w:t>4.6 What the evidence suggests about “prediction”</w:t>
      </w:r>
    </w:p>
    <w:p w14:paraId="739C331C" w14:textId="77777777" w:rsidR="00FF35BC" w:rsidRDefault="00FF35BC" w:rsidP="00FF35BC">
      <w:pPr>
        <w:pStyle w:val="NormalWeb"/>
      </w:pPr>
      <w:r>
        <w:t>Taken together, the evidence supports a qualified affirmative answer: academic resilience is associated with school success and, when operationalized as a capacity or as resilience-related protective factors, it has predictive relevance. However, the predictive interpretation depends on how resilience is defined. When resilience is constructed using achievement, prediction becomes circular. When resilience is measured independently (e.g., via resilience responses, buoyancy, self-efficacy-linked resilience tendencies), associations with later success are more interpretable but often modest in size (</w:t>
      </w:r>
      <w:proofErr w:type="spellStart"/>
      <w:r>
        <w:t>Hunsu</w:t>
      </w:r>
      <w:proofErr w:type="spellEnd"/>
      <w:r>
        <w:t xml:space="preserve"> et al., 2023; Rudd et al., 2021). Large-scale evidence further suggests that resilience is contingent on context, meaning that prediction improves when school and system conditions are modeled rather than treated as background noise (Özcan &amp; Bulus, 2022; Sandoval-Hernández &amp; Białowolski, 2016; Ye et al., 2021).</w:t>
      </w:r>
    </w:p>
    <w:p w14:paraId="4A619EC6" w14:textId="77777777" w:rsidR="00FF35BC" w:rsidRDefault="00FF35BC" w:rsidP="00FF35BC"/>
    <w:p w14:paraId="1E14F776" w14:textId="77777777" w:rsidR="00FF35BC" w:rsidRDefault="00FF35BC" w:rsidP="00FF35BC">
      <w:pPr>
        <w:pStyle w:val="Heading2"/>
      </w:pPr>
      <w:r>
        <w:t>5. Integrative synthesis: mechanisms and boundary conditions in secondary education</w:t>
      </w:r>
    </w:p>
    <w:p w14:paraId="25662211" w14:textId="77777777" w:rsidR="00FF35BC" w:rsidRDefault="00FF35BC" w:rsidP="00FF35BC">
      <w:pPr>
        <w:pStyle w:val="NormalWeb"/>
      </w:pPr>
      <w:r>
        <w:t>A coherent interpretation of the literature is that academic resilience influences school success primarily through three mutually reinforcing mechanisms: perceived competence (often captured as academic self-efficacy), self-regulation and adaptive coping, and access to supportive relationships and school climates. Cassidy’s work positions self-efficacy as a foundational ingredient for resilient responding; students who believe they can influence outcomes persist longer, reinterpret setbacks as manageable, and engage in adaptive strategies (Cassidy, 2015, 2016). This aligns with the broader pattern in resilience research in which beliefs about control and competence shape effort allocation under stress.</w:t>
      </w:r>
    </w:p>
    <w:p w14:paraId="5A35A27E" w14:textId="77777777" w:rsidR="00FF35BC" w:rsidRDefault="00FF35BC" w:rsidP="00FF35BC">
      <w:pPr>
        <w:pStyle w:val="NormalWeb"/>
      </w:pPr>
      <w:r>
        <w:t>Self-regulation likely strengthens the pathway from resilience to success by enabling strategic learning behaviors. In secondary education, where workload increases and autonomy demands rise, resilient students may maintain routines, seek feedback, and regulate negative affect that would otherwise disrupt performance. The buoyancy findings strengthen this interpretation: resilience-like capacities can operate as protective moderators, reducing the degree to which adverse events translate into achievement loss (</w:t>
      </w:r>
      <w:proofErr w:type="spellStart"/>
      <w:r>
        <w:t>Putwain</w:t>
      </w:r>
      <w:proofErr w:type="spellEnd"/>
      <w:r>
        <w:t xml:space="preserve"> et al., 2020).</w:t>
      </w:r>
    </w:p>
    <w:p w14:paraId="56A79E14" w14:textId="77777777" w:rsidR="00FF35BC" w:rsidRDefault="00FF35BC" w:rsidP="00FF35BC">
      <w:pPr>
        <w:pStyle w:val="NormalWeb"/>
      </w:pPr>
      <w:r>
        <w:t xml:space="preserve">Boundary conditions matter. First, context shapes the payoff of resilience: in highly constrained environments, individual resilience may have less opportunity to translate into measurable achievement gains. Second, cultural norms and support structures influence </w:t>
      </w:r>
      <w:r>
        <w:lastRenderedPageBreak/>
        <w:t>which protective factors matter most. Özcan and Bulus (2022) provide evidence that protective factors associated with resilience differ across individualist and collectivist settings, implying that interventions imported across contexts without adaptation may underperform. Third, definitional choices constrain inference. Ye et al. (2021) emphasize that the validity of resilience claims rests on transparent norms for defining risk and success, and Rudd et al. (2021) show that operationalization diversity can yield inconsistent conclusions.</w:t>
      </w:r>
    </w:p>
    <w:p w14:paraId="77684B17" w14:textId="77777777" w:rsidR="00FF35BC" w:rsidRDefault="00FF35BC" w:rsidP="00FF35BC">
      <w:pPr>
        <w:pStyle w:val="NormalWeb"/>
      </w:pPr>
      <w:r>
        <w:t>Finally, a crucial implication for prediction is methodological: the strongest evidence would come from longitudinal designs in secondary schooling that measure resilience capacities at baseline, track exposure to adversities over time, and model subsequent achievement and engagement outcomes while controlling for prior achievement and contextual factors. Much existing research is correlational or classification-based; as a result, causal interpretations should be cautious even when associations are reliable.</w:t>
      </w:r>
    </w:p>
    <w:p w14:paraId="7715ABC9" w14:textId="77777777" w:rsidR="00FF35BC" w:rsidRDefault="00FF35BC" w:rsidP="00FF35BC"/>
    <w:p w14:paraId="156C36BB" w14:textId="77777777" w:rsidR="00FF35BC" w:rsidRDefault="00FF35BC" w:rsidP="00FF35BC">
      <w:pPr>
        <w:pStyle w:val="Heading2"/>
      </w:pPr>
      <w:r>
        <w:t>6. Implications for practice, policy, and research in secondary schooling</w:t>
      </w:r>
    </w:p>
    <w:p w14:paraId="737C6F62" w14:textId="77777777" w:rsidR="00FF35BC" w:rsidRDefault="00FF35BC" w:rsidP="00FF35BC">
      <w:pPr>
        <w:pStyle w:val="NormalWeb"/>
      </w:pPr>
      <w:r>
        <w:t>In secondary education systems, the evidence supports adopting academic resilience as a useful guiding construct, but only if it is operationalized carefully and linked to actionable school practices. For schools, resilience-informed practice should not reduce adversity to an individual student problem. Instead, it should combine student capacity-building (e.g., self-efficacy support, coping and self-regulation skills) with context-building (e.g., supportive teacher–student relationships, predictable structures, fair discipline, and academic support pathways). The modest average effect sizes in quantitative syntheses (</w:t>
      </w:r>
      <w:proofErr w:type="spellStart"/>
      <w:r>
        <w:t>Hunsu</w:t>
      </w:r>
      <w:proofErr w:type="spellEnd"/>
      <w:r>
        <w:t xml:space="preserve"> et al., 2023) reinforce that resilience-building should be integrated with structural supports rather than treated as a substitute for them.</w:t>
      </w:r>
    </w:p>
    <w:p w14:paraId="07C9FF70" w14:textId="77777777" w:rsidR="00FF35BC" w:rsidRDefault="00FF35BC" w:rsidP="00FF35BC">
      <w:pPr>
        <w:pStyle w:val="NormalWeb"/>
      </w:pPr>
      <w:r>
        <w:t>For policymakers, large-scale assessment evidence suggests that academically resilient outcomes are patterned by system conditions. This implies that monitoring resilience prevalence can be a meaningful equity indicator, but it also warns against simplistic accountability narratives. If resilience is partly a product of school opportunity structures, then the policy question becomes not only “How resilient are students?” but also “Which school and system features increase the probability that disadvantaged adolescents can succeed?” (Sandoval-Hernández &amp; Białowolski, 2016; Özcan &amp; Bulus, 2022).</w:t>
      </w:r>
    </w:p>
    <w:p w14:paraId="6B59107A" w14:textId="77777777" w:rsidR="00FF35BC" w:rsidRDefault="00FF35BC" w:rsidP="00FF35BC">
      <w:pPr>
        <w:pStyle w:val="NormalWeb"/>
      </w:pPr>
      <w:r>
        <w:t>For researchers, the next phase of the field should prioritize measurement clarity and prospective designs. Rudd et al. (2021) show that operationalization diversity is a major obstacle to cumulative knowledge. Standardizing reporting—explicitly stating adversity definitions, success thresholds, reference norms, and timing—would improve comparability and strengthen predictive claims. In secondary education specifically, studies should integrate multiple success indicators (achievement, engagement, attendance, persistence) and test models that specify pathways from resilience capacities to outcomes, rather than treating resilience as either a label or a generic trait.</w:t>
      </w:r>
    </w:p>
    <w:p w14:paraId="52D9F947" w14:textId="77777777" w:rsidR="00FF35BC" w:rsidRDefault="00FF35BC" w:rsidP="00FF35BC"/>
    <w:p w14:paraId="0F3CF46F" w14:textId="77777777" w:rsidR="00FF35BC" w:rsidRDefault="00FF35BC" w:rsidP="00FF35BC">
      <w:pPr>
        <w:pStyle w:val="Heading2"/>
      </w:pPr>
      <w:r>
        <w:lastRenderedPageBreak/>
        <w:t>7. Conclusions</w:t>
      </w:r>
    </w:p>
    <w:p w14:paraId="3079FF6C" w14:textId="77777777" w:rsidR="00FF35BC" w:rsidRDefault="00FF35BC" w:rsidP="00FF35BC">
      <w:pPr>
        <w:pStyle w:val="NormalWeb"/>
      </w:pPr>
      <w:r>
        <w:t>Academic resilience is meaningfully associated with school success in secondary education, but the strength and interpretation of this relationship depend on how resilience is defined and measured. Evidence indicates that resilience-related protective factors and resilience-like competencies contribute to academic outcomes, often by buffering the negative impact of adversity and sustaining engagement and effort when setbacks occur. At the same time, the field must avoid circular reasoning when resilience is defined using achievement itself, and it must recognize that resilience operates within opportunity structures that can either enable or suppress the translation of individual capacities into measurable success. A defensible conclusion is that academic resilience can be predictive of school success when assessed as a capacity independent of achievement and when examined in designs that account for prior performance and contextual conditions. For secondary schooling, the practical promise of the construct lies in combining student-focused supports with school-level conditions that make resilient adaptation possible.</w:t>
      </w:r>
    </w:p>
    <w:p w14:paraId="53489572" w14:textId="77777777" w:rsidR="00FF35BC" w:rsidRDefault="00FF35BC" w:rsidP="00FF35BC"/>
    <w:p w14:paraId="229A0DA2" w14:textId="77777777" w:rsidR="00FF35BC" w:rsidRDefault="00FF35BC" w:rsidP="00FF35BC">
      <w:pPr>
        <w:pStyle w:val="Heading2"/>
      </w:pPr>
      <w:r>
        <w:t>8. Limitations</w:t>
      </w:r>
    </w:p>
    <w:p w14:paraId="0B09C3D1" w14:textId="77777777" w:rsidR="00FF35BC" w:rsidRDefault="00FF35BC" w:rsidP="00FF35BC">
      <w:pPr>
        <w:pStyle w:val="NormalWeb"/>
      </w:pPr>
      <w:r>
        <w:t>This review emphasizes peer-reviewed quantitative evidence and therefore gives less weight to qualitative accounts that can illuminate lived experiences of adversity and adaptation in secondary students. The review also synthesizes evidence across different operationalizations of academic resilience; while this reflects the reality of the field, it means that conclusions necessarily include some heterogeneity in constructs and methods. In addition, international large-scale assessment studies strengthen generalizability but can constrain causal interpretation because resilience classifications often embed achievement in their definitions. Finally, while the review centers on secondary education, a small number of developmental and foundational works were included to clarify mechanisms and construct foundations, which may not always map directly onto adolescent schooling contexts.</w:t>
      </w:r>
    </w:p>
    <w:p w14:paraId="35378028" w14:textId="77777777" w:rsidR="00A326E8" w:rsidRDefault="00A326E8" w:rsidP="00FF35BC">
      <w:pPr>
        <w:pStyle w:val="NormalWeb"/>
      </w:pPr>
    </w:p>
    <w:p w14:paraId="765B4368" w14:textId="77777777" w:rsidR="00A326E8" w:rsidRDefault="00A326E8" w:rsidP="00A326E8">
      <w:pPr>
        <w:pStyle w:val="NormalWeb"/>
      </w:pPr>
      <w:r>
        <w:t>COMPETING INTERESTS DISCLAIMER:</w:t>
      </w:r>
    </w:p>
    <w:p w14:paraId="7E9B6BBE" w14:textId="2635EB90" w:rsidR="00A326E8" w:rsidRDefault="00A326E8" w:rsidP="00A326E8">
      <w:pPr>
        <w:pStyle w:val="NormalWeb"/>
      </w:pPr>
      <w:r>
        <w:t>Authors have declared that they have no known competing financial interests OR non-financial interests OR personal relationships that could have appeared to influence the work reported in this paper.</w:t>
      </w:r>
    </w:p>
    <w:p w14:paraId="10A9D2BD" w14:textId="77777777" w:rsidR="00FF35BC" w:rsidRDefault="00FF35BC" w:rsidP="00FF35BC"/>
    <w:p w14:paraId="5E065DC5" w14:textId="77777777" w:rsidR="00FF35BC" w:rsidRDefault="00FF35BC" w:rsidP="00FF35BC">
      <w:pPr>
        <w:pStyle w:val="Heading2"/>
      </w:pPr>
      <w:r>
        <w:t xml:space="preserve">References </w:t>
      </w:r>
    </w:p>
    <w:p w14:paraId="354848DA" w14:textId="77777777" w:rsidR="00FF35BC" w:rsidRDefault="00FF35BC" w:rsidP="00FF35BC">
      <w:pPr>
        <w:pStyle w:val="NormalWeb"/>
      </w:pPr>
      <w:proofErr w:type="spellStart"/>
      <w:r>
        <w:t>Anagnostaki</w:t>
      </w:r>
      <w:proofErr w:type="spellEnd"/>
      <w:r>
        <w:t xml:space="preserve">, L., Pavlopoulos, V., Obradović, J., Masten, A. S., &amp; </w:t>
      </w:r>
      <w:proofErr w:type="spellStart"/>
      <w:r>
        <w:t>Motti-Stefanidi</w:t>
      </w:r>
      <w:proofErr w:type="spellEnd"/>
      <w:r>
        <w:t xml:space="preserve">, F. (2016). Academic resilience of immigrant youth in Greek schools: Personal and family resources. </w:t>
      </w:r>
      <w:r>
        <w:rPr>
          <w:rStyle w:val="Emphasis"/>
        </w:rPr>
        <w:t>European Journal of Developmental Psychology, 13</w:t>
      </w:r>
      <w:r>
        <w:t xml:space="preserve">(3), 377–393. </w:t>
      </w:r>
      <w:hyperlink r:id="rId8" w:history="1">
        <w:r w:rsidR="00831623" w:rsidRPr="00872D26">
          <w:rPr>
            <w:rStyle w:val="Hyperlink"/>
          </w:rPr>
          <w:t>https://doi.org/10.1080/17405629.2016.1168738</w:t>
        </w:r>
      </w:hyperlink>
      <w:r w:rsidR="00831623">
        <w:t xml:space="preserve"> </w:t>
      </w:r>
    </w:p>
    <w:p w14:paraId="311F9775" w14:textId="77777777" w:rsidR="00FF35BC" w:rsidRDefault="00FF35BC" w:rsidP="00FF35BC">
      <w:pPr>
        <w:pStyle w:val="NormalWeb"/>
      </w:pPr>
      <w:r>
        <w:lastRenderedPageBreak/>
        <w:t xml:space="preserve">Aliyev, R., Akbaş, U., &amp; Özbay, Y. (2021). Mediating role of internal factors in predicting academic resilience. </w:t>
      </w:r>
      <w:r>
        <w:rPr>
          <w:rStyle w:val="Emphasis"/>
        </w:rPr>
        <w:t>International Journal of School &amp; Educational Psychology, 9</w:t>
      </w:r>
      <w:r>
        <w:t xml:space="preserve">(3), 236–251. </w:t>
      </w:r>
      <w:hyperlink r:id="rId9" w:history="1">
        <w:r w:rsidR="00831623" w:rsidRPr="00872D26">
          <w:rPr>
            <w:rStyle w:val="Hyperlink"/>
          </w:rPr>
          <w:t>https://doi.org/10.1080/21683603.2021.1904068</w:t>
        </w:r>
      </w:hyperlink>
      <w:r w:rsidR="00831623">
        <w:t xml:space="preserve"> </w:t>
      </w:r>
    </w:p>
    <w:p w14:paraId="24022930" w14:textId="77777777" w:rsidR="00FF35BC" w:rsidRDefault="00FF35BC" w:rsidP="00FF35BC">
      <w:pPr>
        <w:pStyle w:val="NormalWeb"/>
      </w:pPr>
      <w:r>
        <w:t xml:space="preserve">Cassidy, S. (2015). Resilience building in students: The role of academic self-efficacy. </w:t>
      </w:r>
      <w:r>
        <w:rPr>
          <w:rStyle w:val="Emphasis"/>
        </w:rPr>
        <w:t>Frontiers in Psychology, 6</w:t>
      </w:r>
      <w:r>
        <w:t xml:space="preserve">, 1781. </w:t>
      </w:r>
      <w:hyperlink r:id="rId10" w:tgtFrame="_new" w:history="1">
        <w:r>
          <w:rPr>
            <w:rStyle w:val="Hyperlink"/>
          </w:rPr>
          <w:t>https://doi.org/10.3389/fpsyg.2015.01781</w:t>
        </w:r>
      </w:hyperlink>
      <w:r w:rsidR="00831623">
        <w:t xml:space="preserve"> </w:t>
      </w:r>
    </w:p>
    <w:p w14:paraId="01F2ED6F" w14:textId="77777777" w:rsidR="00FF35BC" w:rsidRDefault="00FF35BC" w:rsidP="00FF35BC">
      <w:pPr>
        <w:pStyle w:val="NormalWeb"/>
      </w:pPr>
      <w:r>
        <w:t xml:space="preserve">Cassidy, S. (2016). The Academic Resilience Scale (ARS-30): A new multidimensional construct measure. </w:t>
      </w:r>
      <w:r>
        <w:rPr>
          <w:rStyle w:val="Emphasis"/>
        </w:rPr>
        <w:t>Frontiers in Psychology, 7</w:t>
      </w:r>
      <w:r>
        <w:t xml:space="preserve">, 1787. </w:t>
      </w:r>
      <w:hyperlink r:id="rId11" w:tgtFrame="_new" w:history="1">
        <w:r>
          <w:rPr>
            <w:rStyle w:val="Hyperlink"/>
          </w:rPr>
          <w:t>https://doi.org/10.3389/fpsyg.2016.01787</w:t>
        </w:r>
      </w:hyperlink>
      <w:r w:rsidR="00831623">
        <w:t xml:space="preserve"> </w:t>
      </w:r>
    </w:p>
    <w:p w14:paraId="5F8B6A61" w14:textId="77777777" w:rsidR="00FF35BC" w:rsidRDefault="00FF35BC" w:rsidP="00FF35BC">
      <w:pPr>
        <w:pStyle w:val="NormalWeb"/>
      </w:pPr>
      <w:r>
        <w:t xml:space="preserve">Fenwick, A., Kinsella, B., &amp; Harford, J. (2022). Promoting academic resilience in DEIS schools. </w:t>
      </w:r>
      <w:r>
        <w:rPr>
          <w:rStyle w:val="Emphasis"/>
        </w:rPr>
        <w:t>Irish Educational Studies, 41</w:t>
      </w:r>
      <w:r>
        <w:t xml:space="preserve">(3), 513–530. </w:t>
      </w:r>
      <w:hyperlink r:id="rId12" w:history="1">
        <w:r w:rsidR="00831623" w:rsidRPr="00872D26">
          <w:rPr>
            <w:rStyle w:val="Hyperlink"/>
          </w:rPr>
          <w:t>https://doi.org/10.1080/03323315.2022.2094107</w:t>
        </w:r>
      </w:hyperlink>
      <w:r w:rsidR="00831623">
        <w:t xml:space="preserve"> </w:t>
      </w:r>
    </w:p>
    <w:p w14:paraId="027CE7C8" w14:textId="77777777" w:rsidR="00FF35BC" w:rsidRDefault="00FF35BC" w:rsidP="00FF35BC">
      <w:pPr>
        <w:pStyle w:val="NormalWeb"/>
      </w:pPr>
      <w:proofErr w:type="spellStart"/>
      <w:r>
        <w:t>Hunsu</w:t>
      </w:r>
      <w:proofErr w:type="spellEnd"/>
      <w:r>
        <w:t xml:space="preserve">, N. J., </w:t>
      </w:r>
      <w:proofErr w:type="spellStart"/>
      <w:r>
        <w:t>Oje</w:t>
      </w:r>
      <w:proofErr w:type="spellEnd"/>
      <w:r>
        <w:t xml:space="preserve">, A. V., Tanner-Smith, E. E., &amp; </w:t>
      </w:r>
      <w:proofErr w:type="spellStart"/>
      <w:r>
        <w:t>Adesope</w:t>
      </w:r>
      <w:proofErr w:type="spellEnd"/>
      <w:r>
        <w:t xml:space="preserve">, O. (2023). Relationships between risk factors, protective factors and achievement outcomes in academic resilience research: A meta-analytic review. </w:t>
      </w:r>
      <w:r>
        <w:rPr>
          <w:rStyle w:val="Emphasis"/>
        </w:rPr>
        <w:t>Educational Research Review, 41</w:t>
      </w:r>
      <w:r>
        <w:t xml:space="preserve">, 100548. </w:t>
      </w:r>
      <w:hyperlink r:id="rId13" w:history="1">
        <w:r w:rsidR="00831623" w:rsidRPr="00872D26">
          <w:rPr>
            <w:rStyle w:val="Hyperlink"/>
          </w:rPr>
          <w:t>https://doi.org/10.1016/j.edurev.2023.100548</w:t>
        </w:r>
      </w:hyperlink>
      <w:r w:rsidR="00831623">
        <w:t xml:space="preserve"> </w:t>
      </w:r>
    </w:p>
    <w:p w14:paraId="0CD4944A" w14:textId="77777777" w:rsidR="00FF35BC" w:rsidRDefault="00FF35BC" w:rsidP="00FF35BC">
      <w:pPr>
        <w:pStyle w:val="NormalWeb"/>
      </w:pPr>
      <w:r>
        <w:t xml:space="preserve">Liew, J., Cao, Q., Hughes, J. N., &amp; Deutz, M. H. (2018). Academic resilience despite early academic adversity: A three-wave longitudinal study on regulation-related resiliency, interpersonal relationships, and achievement in first to third grade. </w:t>
      </w:r>
      <w:r>
        <w:rPr>
          <w:rStyle w:val="Emphasis"/>
        </w:rPr>
        <w:t>Early Education and Development, 29</w:t>
      </w:r>
      <w:r>
        <w:t xml:space="preserve">(6), 762–779. </w:t>
      </w:r>
      <w:hyperlink r:id="rId14" w:history="1">
        <w:r w:rsidR="00831623" w:rsidRPr="00872D26">
          <w:rPr>
            <w:rStyle w:val="Hyperlink"/>
          </w:rPr>
          <w:t>https://doi.org/10.1080/10409289.2018.1429766</w:t>
        </w:r>
      </w:hyperlink>
      <w:r w:rsidR="00831623">
        <w:t xml:space="preserve"> </w:t>
      </w:r>
    </w:p>
    <w:p w14:paraId="524989F0" w14:textId="77777777" w:rsidR="00FF35BC" w:rsidRDefault="00FF35BC" w:rsidP="00FF35BC">
      <w:pPr>
        <w:pStyle w:val="NormalWeb"/>
      </w:pPr>
      <w:r>
        <w:t xml:space="preserve">Martin, A. J., &amp; Marsh, H. W. (2006). Academic resilience and its psychological and educational correlates: A construct validity approach. </w:t>
      </w:r>
      <w:r>
        <w:rPr>
          <w:rStyle w:val="Emphasis"/>
        </w:rPr>
        <w:t>Psychology in the Schools, 43</w:t>
      </w:r>
      <w:r>
        <w:t xml:space="preserve">(3), 267–281. </w:t>
      </w:r>
      <w:hyperlink r:id="rId15" w:history="1">
        <w:r w:rsidR="00831623" w:rsidRPr="00872D26">
          <w:rPr>
            <w:rStyle w:val="Hyperlink"/>
          </w:rPr>
          <w:t>https://doi.org/10.1002/pits.20149</w:t>
        </w:r>
      </w:hyperlink>
      <w:r w:rsidR="00831623">
        <w:t xml:space="preserve"> </w:t>
      </w:r>
    </w:p>
    <w:p w14:paraId="6A3DAFB7" w14:textId="77777777" w:rsidR="00FF35BC" w:rsidRDefault="00FF35BC" w:rsidP="00FF35BC">
      <w:pPr>
        <w:pStyle w:val="NormalWeb"/>
      </w:pPr>
      <w:r>
        <w:t xml:space="preserve">Martin, A. J., &amp; Marsh, H. W. (2008). Academic buoyancy: Towards an understanding of students’ everyday academic resilience. </w:t>
      </w:r>
      <w:r>
        <w:rPr>
          <w:rStyle w:val="Emphasis"/>
        </w:rPr>
        <w:t>Journal of School Psychology, 46</w:t>
      </w:r>
      <w:r>
        <w:t xml:space="preserve">(1), 53–83. </w:t>
      </w:r>
      <w:hyperlink r:id="rId16" w:tgtFrame="_new" w:history="1">
        <w:r>
          <w:rPr>
            <w:rStyle w:val="Hyperlink"/>
          </w:rPr>
          <w:t>https://doi.org/10.1016/j.jsp.2007.01.002</w:t>
        </w:r>
      </w:hyperlink>
    </w:p>
    <w:p w14:paraId="5B8AF3D8" w14:textId="77777777" w:rsidR="00FF35BC" w:rsidRDefault="00FF35BC" w:rsidP="00FF35BC">
      <w:pPr>
        <w:pStyle w:val="NormalWeb"/>
      </w:pPr>
      <w:r>
        <w:t xml:space="preserve">Özcan, B., &amp; Bulus, M. (2022). Protective factors associated with academic resilience of adolescents in individualist and collectivist cultures: Evidence from PISA 2018 large-scale assessment. </w:t>
      </w:r>
      <w:r>
        <w:rPr>
          <w:rStyle w:val="Emphasis"/>
        </w:rPr>
        <w:t>Current Psychology, 41</w:t>
      </w:r>
      <w:r>
        <w:t xml:space="preserve">, 1740–1756. </w:t>
      </w:r>
      <w:hyperlink r:id="rId17" w:history="1">
        <w:r w:rsidR="00831623" w:rsidRPr="00872D26">
          <w:rPr>
            <w:rStyle w:val="Hyperlink"/>
          </w:rPr>
          <w:t>https://doi.org/10.1007/s12144-022-02944-z</w:t>
        </w:r>
      </w:hyperlink>
      <w:r w:rsidR="00831623">
        <w:t xml:space="preserve"> </w:t>
      </w:r>
    </w:p>
    <w:p w14:paraId="7CB982AD" w14:textId="77777777" w:rsidR="00FF35BC" w:rsidRDefault="00FF35BC" w:rsidP="00FF35BC">
      <w:pPr>
        <w:pStyle w:val="NormalWeb"/>
      </w:pPr>
      <w:proofErr w:type="spellStart"/>
      <w:r>
        <w:t>Putwain</w:t>
      </w:r>
      <w:proofErr w:type="spellEnd"/>
      <w:r>
        <w:t xml:space="preserve">, D. W., Gallard, D., &amp; Beaumont, J. (2020). Academic buoyancy protects achievement against minor academic adversities. </w:t>
      </w:r>
      <w:r>
        <w:rPr>
          <w:rStyle w:val="Emphasis"/>
        </w:rPr>
        <w:t>Learning and Individual Differences, 83–84</w:t>
      </w:r>
      <w:r>
        <w:t xml:space="preserve">, 101936. </w:t>
      </w:r>
      <w:hyperlink r:id="rId18" w:history="1">
        <w:r w:rsidR="00831623" w:rsidRPr="00872D26">
          <w:rPr>
            <w:rStyle w:val="Hyperlink"/>
          </w:rPr>
          <w:t>https://doi.org/10.1016/j.lindif.2020.101936</w:t>
        </w:r>
      </w:hyperlink>
      <w:r w:rsidR="00831623">
        <w:t xml:space="preserve"> </w:t>
      </w:r>
    </w:p>
    <w:p w14:paraId="73D7258C" w14:textId="77777777" w:rsidR="00FF35BC" w:rsidRDefault="00FF35BC" w:rsidP="00FF35BC">
      <w:pPr>
        <w:pStyle w:val="NormalWeb"/>
      </w:pPr>
      <w:r>
        <w:t xml:space="preserve">Rudd, G., </w:t>
      </w:r>
      <w:proofErr w:type="spellStart"/>
      <w:r>
        <w:t>Meissel</w:t>
      </w:r>
      <w:proofErr w:type="spellEnd"/>
      <w:r>
        <w:t xml:space="preserve">, K., &amp; Meyer, F. (2021). Measuring academic resilience in quantitative research: A systematic review of the literature. </w:t>
      </w:r>
      <w:r>
        <w:rPr>
          <w:rStyle w:val="Emphasis"/>
        </w:rPr>
        <w:t>Educational Research Review, 34</w:t>
      </w:r>
      <w:r>
        <w:t xml:space="preserve">, 100402. </w:t>
      </w:r>
      <w:hyperlink r:id="rId19" w:history="1">
        <w:r w:rsidR="00831623" w:rsidRPr="00872D26">
          <w:rPr>
            <w:rStyle w:val="Hyperlink"/>
          </w:rPr>
          <w:t>https://doi.org/10.1016/j.edurev.2021.100402</w:t>
        </w:r>
      </w:hyperlink>
      <w:r w:rsidR="00831623">
        <w:t xml:space="preserve"> </w:t>
      </w:r>
    </w:p>
    <w:p w14:paraId="1FC8720F" w14:textId="77777777" w:rsidR="00FF35BC" w:rsidRDefault="00FF35BC" w:rsidP="00FF35BC">
      <w:pPr>
        <w:pStyle w:val="NormalWeb"/>
      </w:pPr>
      <w:proofErr w:type="spellStart"/>
      <w:r>
        <w:t>Şam</w:t>
      </w:r>
      <w:proofErr w:type="spellEnd"/>
      <w:r>
        <w:t xml:space="preserve">, M., &amp; Aliyev, R. (2025). Academic Resilience Scale for Adolescents in Turkey: Relationship with school burnout and school attachment. </w:t>
      </w:r>
      <w:r>
        <w:rPr>
          <w:rStyle w:val="Emphasis"/>
        </w:rPr>
        <w:t>Adversity and Resilience Science, 6</w:t>
      </w:r>
      <w:r>
        <w:t xml:space="preserve">, 643–659. </w:t>
      </w:r>
      <w:hyperlink r:id="rId20" w:history="1">
        <w:r w:rsidR="00831623" w:rsidRPr="00872D26">
          <w:rPr>
            <w:rStyle w:val="Hyperlink"/>
          </w:rPr>
          <w:t>https://doi.org/10.1007/s42844-025-00186-z</w:t>
        </w:r>
      </w:hyperlink>
      <w:r w:rsidR="00831623">
        <w:t xml:space="preserve"> </w:t>
      </w:r>
    </w:p>
    <w:p w14:paraId="67CC6936" w14:textId="77777777" w:rsidR="00FF35BC" w:rsidRDefault="00FF35BC" w:rsidP="00FF35BC">
      <w:pPr>
        <w:pStyle w:val="NormalWeb"/>
      </w:pPr>
      <w:r>
        <w:lastRenderedPageBreak/>
        <w:t xml:space="preserve">Sandoval-Hernández, A., &amp; </w:t>
      </w:r>
      <w:proofErr w:type="spellStart"/>
      <w:r>
        <w:t>Białowolski</w:t>
      </w:r>
      <w:proofErr w:type="spellEnd"/>
      <w:r>
        <w:t xml:space="preserve">, P. (2016). Factors and conditions promoting academic resilience: A TIMSS-based analysis of five Asian education systems. </w:t>
      </w:r>
      <w:r>
        <w:rPr>
          <w:rStyle w:val="Emphasis"/>
        </w:rPr>
        <w:t>Asia Pacific Education Review, 17</w:t>
      </w:r>
      <w:r>
        <w:t xml:space="preserve">, 511–520. </w:t>
      </w:r>
      <w:hyperlink r:id="rId21" w:history="1">
        <w:r w:rsidR="00831623" w:rsidRPr="00872D26">
          <w:rPr>
            <w:rStyle w:val="Hyperlink"/>
          </w:rPr>
          <w:t>https://doi.org/10.1007/s12564-016-9447-4</w:t>
        </w:r>
      </w:hyperlink>
      <w:r w:rsidR="00831623">
        <w:t xml:space="preserve"> </w:t>
      </w:r>
    </w:p>
    <w:p w14:paraId="27ED2C90" w14:textId="77777777" w:rsidR="00FF35BC" w:rsidRDefault="00FF35BC" w:rsidP="00FF35BC">
      <w:pPr>
        <w:pStyle w:val="NormalWeb"/>
      </w:pPr>
      <w:r>
        <w:t xml:space="preserve">Ye, W., </w:t>
      </w:r>
      <w:proofErr w:type="spellStart"/>
      <w:r>
        <w:t>Strietholt</w:t>
      </w:r>
      <w:proofErr w:type="spellEnd"/>
      <w:r>
        <w:t xml:space="preserve">, R., &amp; </w:t>
      </w:r>
      <w:proofErr w:type="spellStart"/>
      <w:r>
        <w:t>Blömeke</w:t>
      </w:r>
      <w:proofErr w:type="spellEnd"/>
      <w:r>
        <w:t xml:space="preserve">, S. (2021). Academic resilience: Underlying norms and validity of definitions. </w:t>
      </w:r>
      <w:r>
        <w:rPr>
          <w:rStyle w:val="Emphasis"/>
        </w:rPr>
        <w:t>Educational Assessment, Evaluation and Accountability, 33</w:t>
      </w:r>
      <w:r>
        <w:t xml:space="preserve">, 169–202. </w:t>
      </w:r>
      <w:hyperlink r:id="rId22" w:history="1">
        <w:r w:rsidR="00831623" w:rsidRPr="00872D26">
          <w:rPr>
            <w:rStyle w:val="Hyperlink"/>
          </w:rPr>
          <w:t>https://doi.org/10.1007/s11092-020-09351-7</w:t>
        </w:r>
      </w:hyperlink>
      <w:r w:rsidR="00831623">
        <w:t xml:space="preserve"> </w:t>
      </w:r>
    </w:p>
    <w:p w14:paraId="50D35206" w14:textId="77777777" w:rsidR="005F1FE6" w:rsidRPr="00FF35BC" w:rsidRDefault="00D055EE" w:rsidP="00FF35BC">
      <w:r w:rsidRPr="00FF35BC">
        <w:t xml:space="preserve"> </w:t>
      </w:r>
    </w:p>
    <w:sectPr w:rsidR="005F1FE6" w:rsidRPr="00FF35BC" w:rsidSect="00CB6EB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5C1EC" w14:textId="77777777" w:rsidR="00351F61" w:rsidRDefault="00351F61" w:rsidP="00075995">
      <w:pPr>
        <w:spacing w:after="0" w:line="240" w:lineRule="auto"/>
      </w:pPr>
      <w:r>
        <w:separator/>
      </w:r>
    </w:p>
  </w:endnote>
  <w:endnote w:type="continuationSeparator" w:id="0">
    <w:p w14:paraId="6EF57F28" w14:textId="77777777" w:rsidR="00351F61" w:rsidRDefault="00351F61" w:rsidP="0007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EBD0" w14:textId="77777777" w:rsidR="00075995" w:rsidRDefault="00075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CF55" w14:textId="77777777" w:rsidR="00075995" w:rsidRDefault="00075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81A4" w14:textId="77777777" w:rsidR="00075995" w:rsidRDefault="00075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80947" w14:textId="77777777" w:rsidR="00351F61" w:rsidRDefault="00351F61" w:rsidP="00075995">
      <w:pPr>
        <w:spacing w:after="0" w:line="240" w:lineRule="auto"/>
      </w:pPr>
      <w:r>
        <w:separator/>
      </w:r>
    </w:p>
  </w:footnote>
  <w:footnote w:type="continuationSeparator" w:id="0">
    <w:p w14:paraId="22D06A40" w14:textId="77777777" w:rsidR="00351F61" w:rsidRDefault="00351F61" w:rsidP="0007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0283" w14:textId="7A8B2A88" w:rsidR="00075995" w:rsidRDefault="00075995">
    <w:pPr>
      <w:pStyle w:val="Header"/>
    </w:pPr>
    <w:r>
      <w:rPr>
        <w:noProof/>
      </w:rPr>
      <w:pict w14:anchorId="1EBE0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5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3CD8" w14:textId="482268A2" w:rsidR="00075995" w:rsidRDefault="00075995">
    <w:pPr>
      <w:pStyle w:val="Header"/>
    </w:pPr>
    <w:r>
      <w:rPr>
        <w:noProof/>
      </w:rPr>
      <w:pict w14:anchorId="719A5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5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5800" w14:textId="433CFDD9" w:rsidR="00075995" w:rsidRDefault="00075995">
    <w:pPr>
      <w:pStyle w:val="Header"/>
    </w:pPr>
    <w:r>
      <w:rPr>
        <w:noProof/>
      </w:rPr>
      <w:pict w14:anchorId="0BAB3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5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6"/>
  </w:num>
  <w:num w:numId="5">
    <w:abstractNumId w:val="20"/>
  </w:num>
  <w:num w:numId="6">
    <w:abstractNumId w:val="8"/>
  </w:num>
  <w:num w:numId="7">
    <w:abstractNumId w:val="2"/>
  </w:num>
  <w:num w:numId="8">
    <w:abstractNumId w:val="32"/>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8"/>
  </w:num>
  <w:num w:numId="17">
    <w:abstractNumId w:val="29"/>
  </w:num>
  <w:num w:numId="18">
    <w:abstractNumId w:val="27"/>
  </w:num>
  <w:num w:numId="19">
    <w:abstractNumId w:val="26"/>
  </w:num>
  <w:num w:numId="20">
    <w:abstractNumId w:val="13"/>
  </w:num>
  <w:num w:numId="21">
    <w:abstractNumId w:val="22"/>
  </w:num>
  <w:num w:numId="22">
    <w:abstractNumId w:val="24"/>
  </w:num>
  <w:num w:numId="23">
    <w:abstractNumId w:val="0"/>
  </w:num>
  <w:num w:numId="24">
    <w:abstractNumId w:val="31"/>
  </w:num>
  <w:num w:numId="25">
    <w:abstractNumId w:val="4"/>
  </w:num>
  <w:num w:numId="26">
    <w:abstractNumId w:val="19"/>
  </w:num>
  <w:num w:numId="27">
    <w:abstractNumId w:val="25"/>
  </w:num>
  <w:num w:numId="28">
    <w:abstractNumId w:val="23"/>
  </w:num>
  <w:num w:numId="29">
    <w:abstractNumId w:val="14"/>
  </w:num>
  <w:num w:numId="30">
    <w:abstractNumId w:val="30"/>
  </w:num>
  <w:num w:numId="31">
    <w:abstractNumId w:val="12"/>
  </w:num>
  <w:num w:numId="32">
    <w:abstractNumId w:val="28"/>
  </w:num>
  <w:num w:numId="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53C4"/>
    <w:rsid w:val="000078F4"/>
    <w:rsid w:val="00007AAB"/>
    <w:rsid w:val="000425DD"/>
    <w:rsid w:val="00053D7A"/>
    <w:rsid w:val="0005616C"/>
    <w:rsid w:val="0006037D"/>
    <w:rsid w:val="0006413B"/>
    <w:rsid w:val="000643E7"/>
    <w:rsid w:val="0006527C"/>
    <w:rsid w:val="000652AA"/>
    <w:rsid w:val="00075995"/>
    <w:rsid w:val="00086EDD"/>
    <w:rsid w:val="000A0EB4"/>
    <w:rsid w:val="000A79B2"/>
    <w:rsid w:val="000C4F0E"/>
    <w:rsid w:val="000D461E"/>
    <w:rsid w:val="000D6AAA"/>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7AC1"/>
    <w:rsid w:val="00260455"/>
    <w:rsid w:val="00260B1D"/>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32243"/>
    <w:rsid w:val="00351F61"/>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54C7D"/>
    <w:rsid w:val="005577C6"/>
    <w:rsid w:val="0056389E"/>
    <w:rsid w:val="00564FB4"/>
    <w:rsid w:val="00571246"/>
    <w:rsid w:val="005A5DEC"/>
    <w:rsid w:val="005B22C5"/>
    <w:rsid w:val="005B4ADB"/>
    <w:rsid w:val="005D2267"/>
    <w:rsid w:val="005F1FE6"/>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502B"/>
    <w:rsid w:val="006B66BC"/>
    <w:rsid w:val="006D2558"/>
    <w:rsid w:val="006D455D"/>
    <w:rsid w:val="006E13D4"/>
    <w:rsid w:val="006E4B0A"/>
    <w:rsid w:val="006F708E"/>
    <w:rsid w:val="00711B14"/>
    <w:rsid w:val="00713825"/>
    <w:rsid w:val="00720F41"/>
    <w:rsid w:val="00721966"/>
    <w:rsid w:val="00737A32"/>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4A49"/>
    <w:rsid w:val="008374C4"/>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929A7"/>
    <w:rsid w:val="00992B92"/>
    <w:rsid w:val="00994A4A"/>
    <w:rsid w:val="009B3A8A"/>
    <w:rsid w:val="009B55DE"/>
    <w:rsid w:val="009D05A9"/>
    <w:rsid w:val="009D0B9D"/>
    <w:rsid w:val="009D13F6"/>
    <w:rsid w:val="009D5BA5"/>
    <w:rsid w:val="009E5244"/>
    <w:rsid w:val="009F0120"/>
    <w:rsid w:val="00A00B22"/>
    <w:rsid w:val="00A029C3"/>
    <w:rsid w:val="00A2270F"/>
    <w:rsid w:val="00A27BF4"/>
    <w:rsid w:val="00A326E8"/>
    <w:rsid w:val="00A478B2"/>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7779E"/>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E2E7D"/>
    <w:rsid w:val="00EF4D40"/>
    <w:rsid w:val="00F13040"/>
    <w:rsid w:val="00F278AB"/>
    <w:rsid w:val="00F36C5B"/>
    <w:rsid w:val="00F43CC2"/>
    <w:rsid w:val="00F45317"/>
    <w:rsid w:val="00F4728A"/>
    <w:rsid w:val="00F6047F"/>
    <w:rsid w:val="00F754E8"/>
    <w:rsid w:val="00FA03AB"/>
    <w:rsid w:val="00FA5C8B"/>
    <w:rsid w:val="00FA7321"/>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B4C4B8"/>
  <w15:docId w15:val="{D2278D79-8347-46B7-8CDA-A1F92CA6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075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995"/>
  </w:style>
  <w:style w:type="paragraph" w:styleId="Footer">
    <w:name w:val="footer"/>
    <w:basedOn w:val="Normal"/>
    <w:link w:val="FooterChar"/>
    <w:uiPriority w:val="99"/>
    <w:unhideWhenUsed/>
    <w:rsid w:val="00075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405629.2016.1168738" TargetMode="External"/><Relationship Id="rId13" Type="http://schemas.openxmlformats.org/officeDocument/2006/relationships/hyperlink" Target="https://doi.org/10.1016/j.edurev.2023.100548" TargetMode="External"/><Relationship Id="rId18" Type="http://schemas.openxmlformats.org/officeDocument/2006/relationships/hyperlink" Target="https://doi.org/10.1016/j.lindif.2020.10193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s12564-016-9447-4" TargetMode="External"/><Relationship Id="rId7" Type="http://schemas.openxmlformats.org/officeDocument/2006/relationships/endnotes" Target="endnotes.xml"/><Relationship Id="rId12" Type="http://schemas.openxmlformats.org/officeDocument/2006/relationships/hyperlink" Target="https://doi.org/10.1080/03323315.2022.2094107" TargetMode="External"/><Relationship Id="rId17" Type="http://schemas.openxmlformats.org/officeDocument/2006/relationships/hyperlink" Target="https://doi.org/10.1007/s12144-022-02944-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sp.2007.01.002" TargetMode="External"/><Relationship Id="rId20" Type="http://schemas.openxmlformats.org/officeDocument/2006/relationships/hyperlink" Target="https://doi.org/10.1007/s42844-025-00186-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16.0178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2/pits.2014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89/fpsyg.2015.01781" TargetMode="External"/><Relationship Id="rId19" Type="http://schemas.openxmlformats.org/officeDocument/2006/relationships/hyperlink" Target="https://doi.org/10.1016/j.edurev.2021.100402" TargetMode="External"/><Relationship Id="rId4" Type="http://schemas.openxmlformats.org/officeDocument/2006/relationships/settings" Target="settings.xml"/><Relationship Id="rId9" Type="http://schemas.openxmlformats.org/officeDocument/2006/relationships/hyperlink" Target="https://doi.org/10.1080/21683603.2021.1904068" TargetMode="External"/><Relationship Id="rId14" Type="http://schemas.openxmlformats.org/officeDocument/2006/relationships/hyperlink" Target="https://doi.org/10.1080/10409289.2018.1429766" TargetMode="External"/><Relationship Id="rId22" Type="http://schemas.openxmlformats.org/officeDocument/2006/relationships/hyperlink" Target="https://doi.org/10.1007/s11092-020-09351-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C6F1B-4EE1-4356-B6F8-D7621F15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6124</TotalTime>
  <Pages>11</Pages>
  <Words>4874</Words>
  <Characters>27784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85</cp:revision>
  <cp:lastPrinted>2025-12-13T07:14:00Z</cp:lastPrinted>
  <dcterms:created xsi:type="dcterms:W3CDTF">2025-09-24T12:44:00Z</dcterms:created>
  <dcterms:modified xsi:type="dcterms:W3CDTF">2026-01-12T08:04:00Z</dcterms:modified>
</cp:coreProperties>
</file>