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10ECC" w14:textId="77777777" w:rsidR="00BB7829" w:rsidRPr="00BB7829" w:rsidRDefault="00BB7829" w:rsidP="00BB7829">
      <w:pPr>
        <w:pStyle w:val="Heading1"/>
        <w:rPr>
          <w:lang w:val="en-GB"/>
        </w:rPr>
      </w:pPr>
      <w:bookmarkStart w:id="0" w:name="_GoBack"/>
      <w:bookmarkEnd w:id="0"/>
      <w:r w:rsidRPr="00BB7829">
        <w:rPr>
          <w:lang w:val="en-GB"/>
        </w:rPr>
        <w:t>Management of Undergraduate Programmes and the Development of Employability Skills in Nigeria: A Contemporary Review</w:t>
      </w:r>
    </w:p>
    <w:p w14:paraId="2341701E" w14:textId="77777777" w:rsidR="00BB7829" w:rsidRPr="00BB7829" w:rsidRDefault="00BB7829" w:rsidP="00BB7829">
      <w:pPr>
        <w:pStyle w:val="Heading2"/>
        <w:rPr>
          <w:lang w:val="en-GB"/>
        </w:rPr>
      </w:pPr>
      <w:r w:rsidRPr="00BB7829">
        <w:rPr>
          <w:lang w:val="en-GB"/>
        </w:rPr>
        <w:t>Abstract</w:t>
      </w:r>
    </w:p>
    <w:p w14:paraId="2076F7BB" w14:textId="77777777" w:rsidR="00BB7829" w:rsidRPr="00BB7829" w:rsidRDefault="00BB7829" w:rsidP="00BB7829">
      <w:pPr>
        <w:pStyle w:val="NormalWeb"/>
        <w:rPr>
          <w:lang w:val="en-GB"/>
        </w:rPr>
      </w:pPr>
      <w:r w:rsidRPr="00BB7829">
        <w:rPr>
          <w:lang w:val="en-GB"/>
        </w:rPr>
        <w:t>Nigeria’s undergraduate education system is under sustained pressure to deliver graduates who can transition effectively into a rapidly changing labour market. While employability is often framed as an individual graduate attribute, evidence increasingly suggests that employability outcomes are strongly shaped by how undergraduate programmes are designed, governed, delivered, and evaluated. This review synthesises recent peer-reviewed literature on employability skills development with a specific focus on programme management practices in Nigeria. It argues that employability in Nigeria is best understood as a system-level outcome produced through curriculum alignment, high-quality work-integrated learning, robust university–industry partnerships, entrepreneurship education, career development supports, digitally enabled learning environments, and continuous quality improvement mechanisms. Drawing from stakeholder-oriented studies and evidence from work placement learning and entrepreneurship education, the paper highlights the managerial levers available to academic leaders and quality assurance units, as well as the implementation constraints that limit impact. The review proposes an integrated programme management framework for Nigerian undergraduate education that prioritises constructive alignment, authentic assessment, supervised workplace learning, and evidence-driven programme renewal. It concludes by identifying actionable directions for institutional leadership, policy design, and future research, with particular emphasis on strengthening employability governance and measurement in resource-constrained contexts.</w:t>
      </w:r>
    </w:p>
    <w:p w14:paraId="0F0A89B1" w14:textId="77777777" w:rsidR="00BB7829" w:rsidRPr="00BB7829" w:rsidRDefault="00BB7829" w:rsidP="00BB7829">
      <w:pPr>
        <w:pStyle w:val="NormalWeb"/>
        <w:rPr>
          <w:lang w:val="en-GB"/>
        </w:rPr>
      </w:pPr>
      <w:r w:rsidRPr="00BB7829">
        <w:rPr>
          <w:rStyle w:val="Strong"/>
          <w:lang w:val="en-GB"/>
        </w:rPr>
        <w:t>Keywords:</w:t>
      </w:r>
      <w:r w:rsidRPr="00BB7829">
        <w:rPr>
          <w:lang w:val="en-GB"/>
        </w:rPr>
        <w:t xml:space="preserve"> employability skills; undergraduate programme management; Nigeria; work-integrated learning; entrepreneurship education; university–industry partnership; curriculum alignment; career development</w:t>
      </w:r>
    </w:p>
    <w:p w14:paraId="22510D17" w14:textId="77777777" w:rsidR="00BB7829" w:rsidRPr="00BB7829" w:rsidRDefault="00BB7829" w:rsidP="00BB7829">
      <w:pPr>
        <w:rPr>
          <w:lang w:val="en-GB"/>
        </w:rPr>
      </w:pPr>
    </w:p>
    <w:p w14:paraId="1A6FF144" w14:textId="77777777" w:rsidR="00BB7829" w:rsidRPr="00BB7829" w:rsidRDefault="00BB7829" w:rsidP="00BB7829">
      <w:pPr>
        <w:pStyle w:val="Heading2"/>
        <w:rPr>
          <w:lang w:val="en-GB"/>
        </w:rPr>
      </w:pPr>
      <w:r w:rsidRPr="00BB7829">
        <w:rPr>
          <w:lang w:val="en-GB"/>
        </w:rPr>
        <w:t>1. Introduction</w:t>
      </w:r>
    </w:p>
    <w:p w14:paraId="5387833C" w14:textId="77777777" w:rsidR="00BB7829" w:rsidRPr="00BB7829" w:rsidRDefault="00BB7829" w:rsidP="00BB7829">
      <w:pPr>
        <w:pStyle w:val="NormalWeb"/>
        <w:rPr>
          <w:lang w:val="en-GB"/>
        </w:rPr>
      </w:pPr>
      <w:r w:rsidRPr="00BB7829">
        <w:rPr>
          <w:lang w:val="en-GB"/>
        </w:rPr>
        <w:t xml:space="preserve">Graduate employability has become a defining performance expectation for universities globally, driven by intensified competition, public accountability pressures, and a labour market characterised by technological disruption and shifting skill demands. Within this global context, Nigeria faces a particularly complex employability challenge. The country’s undergraduate education system operates amid massification, uneven resourcing, and persistent concerns about the alignment between graduate capabilities and employer expectations. In Nigeria, employability debates are frequently connected to graduate unemployment and underemployment, but the deeper issue extends beyond job counts to the broader question of whether undergraduate programmes systematically develop the </w:t>
      </w:r>
      <w:r w:rsidRPr="00BB7829">
        <w:rPr>
          <w:lang w:val="en-GB"/>
        </w:rPr>
        <w:lastRenderedPageBreak/>
        <w:t>transferable capabilities, professional behaviours, and adaptive learning dispositions that support sustained career progression.</w:t>
      </w:r>
    </w:p>
    <w:p w14:paraId="10C28438" w14:textId="77777777" w:rsidR="00BB7829" w:rsidRPr="00BB7829" w:rsidRDefault="00BB7829" w:rsidP="00BB7829">
      <w:pPr>
        <w:pStyle w:val="NormalWeb"/>
        <w:rPr>
          <w:lang w:val="en-GB"/>
        </w:rPr>
      </w:pPr>
      <w:r w:rsidRPr="00BB7829">
        <w:rPr>
          <w:lang w:val="en-GB"/>
        </w:rPr>
        <w:t xml:space="preserve">A key problem in employability policy discourse is the tendency to treat employability as either a generic “soft skills” deficit or an individual responsibility. Contemporary higher education scholarship increasingly disputes this narrow framing by emphasising that employability outcomes depend on how institutions structure learning opportunities across the student lifecycle. In this view, employability is not an add-on but an emergent product of programme governance, curriculum coherence, teaching quality, assessment design, workplace learning, and employer engagement. In Nigeria, empirical studies show that stakeholders—academic leaders, industry actors, and employability programme managers—often converge on the view that employability requires deliberate institutional design and resourcing rather than isolated initiatives (Okolie et al., 2019; </w:t>
      </w:r>
      <w:proofErr w:type="spellStart"/>
      <w:r w:rsidRPr="00BB7829">
        <w:rPr>
          <w:lang w:val="en-GB"/>
        </w:rPr>
        <w:t>Nwajiuba</w:t>
      </w:r>
      <w:proofErr w:type="spellEnd"/>
      <w:r w:rsidRPr="00BB7829">
        <w:rPr>
          <w:lang w:val="en-GB"/>
        </w:rPr>
        <w:t xml:space="preserve"> et al., 2020). </w:t>
      </w:r>
    </w:p>
    <w:p w14:paraId="11570FA5" w14:textId="77777777" w:rsidR="00BB7829" w:rsidRPr="00BB7829" w:rsidRDefault="00BB7829" w:rsidP="00BB7829">
      <w:pPr>
        <w:pStyle w:val="NormalWeb"/>
        <w:rPr>
          <w:lang w:val="en-GB"/>
        </w:rPr>
      </w:pPr>
      <w:r w:rsidRPr="00BB7829">
        <w:rPr>
          <w:lang w:val="en-GB"/>
        </w:rPr>
        <w:t xml:space="preserve">Programme management matters because it shapes what is taught, how learning is sequenced, which competencies are assessed, and whether students gain credible exposure to real work contexts. The management of undergraduate programmes includes formal curriculum governance, academic staffing and workload models, quality assurance routines, placement coordination systems, partnership strategies, and feedback loops that enable continuous improvement. In Nigeria, the quality and structure of work placement learning and the nature of university–industry relationships are particularly consequential. Evidence from work placement learning research indicates that employability-related outcomes are influenced not only by placement participation but by the quality of supervision, perceived employability, and institutional support mechanisms (Okolie, 2022). </w:t>
      </w:r>
    </w:p>
    <w:p w14:paraId="53FFE25D" w14:textId="77777777" w:rsidR="00BB7829" w:rsidRPr="00BB7829" w:rsidRDefault="00BB7829" w:rsidP="00BB7829">
      <w:pPr>
        <w:pStyle w:val="NormalWeb"/>
        <w:rPr>
          <w:lang w:val="en-GB"/>
        </w:rPr>
      </w:pPr>
      <w:r w:rsidRPr="00BB7829">
        <w:rPr>
          <w:lang w:val="en-GB"/>
        </w:rPr>
        <w:t>This review therefore focuses on employability through the lens of programme management: what Nigerian undergraduate programme leaders can do—within constraints—to strengthen employability skill development, and what institutional features appear most strongly associated with positive employability-related learning outcomes.</w:t>
      </w:r>
    </w:p>
    <w:p w14:paraId="1A9BF72F" w14:textId="77777777" w:rsidR="00BB7829" w:rsidRPr="00BB7829" w:rsidRDefault="00BB7829" w:rsidP="00BB7829">
      <w:pPr>
        <w:pStyle w:val="Heading3"/>
        <w:rPr>
          <w:lang w:val="en-GB"/>
        </w:rPr>
      </w:pPr>
      <w:r w:rsidRPr="00BB7829">
        <w:rPr>
          <w:lang w:val="en-GB"/>
        </w:rPr>
        <w:t>1.1 Scope and objectives</w:t>
      </w:r>
    </w:p>
    <w:p w14:paraId="6C66810A" w14:textId="77777777" w:rsidR="00BB7829" w:rsidRPr="00BB7829" w:rsidRDefault="00BB7829" w:rsidP="00BB7829">
      <w:pPr>
        <w:pStyle w:val="NormalWeb"/>
        <w:rPr>
          <w:lang w:val="en-GB"/>
        </w:rPr>
      </w:pPr>
      <w:r w:rsidRPr="00BB7829">
        <w:rPr>
          <w:lang w:val="en-GB"/>
        </w:rPr>
        <w:t>This review examines peer-reviewed evidence on how the management of Nigerian undergraduate programmes shapes employability skills development. It focuses on programme-level and institutional-level mechanisms, including curriculum alignment, work-integrated learning (WIL) and placements, entrepreneurship education, career development and mentoring supports, digital skill development, stakeholder engagement, and quality assurance for employability. The objectives are: (a) to synthesise recent empirical and review literature relevant to Nigeria; (b) to identify managerial “levers” within undergraduate programme governance that can strengthen employability outcomes; (c) to propose an integrated, evidence-informed programme management approach suited to the Nigerian context; and (d) to outline implications for leadership practice and future research.</w:t>
      </w:r>
    </w:p>
    <w:p w14:paraId="33715AF7" w14:textId="77777777" w:rsidR="00BB7829" w:rsidRPr="00BB7829" w:rsidRDefault="00BB7829" w:rsidP="00BB7829">
      <w:pPr>
        <w:rPr>
          <w:lang w:val="en-GB"/>
        </w:rPr>
      </w:pPr>
    </w:p>
    <w:p w14:paraId="1EBB72CD" w14:textId="77777777" w:rsidR="00BB7829" w:rsidRPr="00BB7829" w:rsidRDefault="00BB7829" w:rsidP="00BB7829">
      <w:pPr>
        <w:pStyle w:val="Heading2"/>
        <w:rPr>
          <w:lang w:val="en-GB"/>
        </w:rPr>
      </w:pPr>
      <w:r w:rsidRPr="00BB7829">
        <w:rPr>
          <w:lang w:val="en-GB"/>
        </w:rPr>
        <w:t>2. Methods for literature selection</w:t>
      </w:r>
    </w:p>
    <w:p w14:paraId="182FD760" w14:textId="77777777" w:rsidR="00BB7829" w:rsidRPr="00BB7829" w:rsidRDefault="00BB7829" w:rsidP="00BB7829">
      <w:pPr>
        <w:pStyle w:val="NormalWeb"/>
        <w:rPr>
          <w:lang w:val="en-GB"/>
        </w:rPr>
      </w:pPr>
      <w:r w:rsidRPr="00BB7829">
        <w:rPr>
          <w:lang w:val="en-GB"/>
        </w:rPr>
        <w:t xml:space="preserve">A structured narrative review approach was adopted to balance contextual depth with coverage of recent empirical evidence. Searches were conducted in Scopus, Web of Science, </w:t>
      </w:r>
      <w:r w:rsidRPr="00BB7829">
        <w:rPr>
          <w:lang w:val="en-GB"/>
        </w:rPr>
        <w:lastRenderedPageBreak/>
        <w:t>Google Scholar, and ScienceDirect, complemented by targeted publisher searches for Nigeria-focused employability research. The core search string combined terms related to employability and programme management, for example: “Nigeria” AND (“graduate employability” OR “employability skills” OR “work placement learning” OR “work-integrated learning” OR “entrepreneurship education”) AND (“undergraduate programme” OR “curriculum” OR “programme management” OR “quality assurance” OR “university–industry”). Searches prioritised literature published from 2019 to 2025 to meet the “recent evidence” requirement, while allowing inclusion of highly relevant 2019 studies that shape Nigeria-specific stakeholder understanding.</w:t>
      </w:r>
    </w:p>
    <w:p w14:paraId="7E663A7D" w14:textId="77777777" w:rsidR="00BB7829" w:rsidRPr="00BB7829" w:rsidRDefault="00BB7829" w:rsidP="00BB7829">
      <w:pPr>
        <w:pStyle w:val="NormalWeb"/>
        <w:rPr>
          <w:lang w:val="en-GB"/>
        </w:rPr>
      </w:pPr>
      <w:r w:rsidRPr="00BB7829">
        <w:rPr>
          <w:lang w:val="en-GB"/>
        </w:rPr>
        <w:t>Inclusion criteria were: peer-reviewed journal articles; explicit relevance to employability skills development in higher education (with preference for Nigerian undergraduate contexts); and availability of a verified DOI. Exclusion criteria were: conference papers, unpublished theses, and non-peer-reviewed reports; studies without DOI information; and articles that discussed employability only in abstract terms without clear relevance to programme design, learning interventions, or management mechanisms. The final synthesis emphasises studies that provide actionable implications for undergraduate programme governance and delivery in Nigeria.</w:t>
      </w:r>
    </w:p>
    <w:p w14:paraId="32DECB97" w14:textId="77777777" w:rsidR="00BB7829" w:rsidRPr="00BB7829" w:rsidRDefault="00BB7829" w:rsidP="00BB7829">
      <w:pPr>
        <w:rPr>
          <w:lang w:val="en-GB"/>
        </w:rPr>
      </w:pPr>
    </w:p>
    <w:p w14:paraId="28353533" w14:textId="77777777" w:rsidR="00BB7829" w:rsidRPr="00BB7829" w:rsidRDefault="00BB7829" w:rsidP="00BB7829">
      <w:pPr>
        <w:pStyle w:val="Heading2"/>
        <w:rPr>
          <w:lang w:val="en-GB"/>
        </w:rPr>
      </w:pPr>
      <w:r w:rsidRPr="00BB7829">
        <w:rPr>
          <w:lang w:val="en-GB"/>
        </w:rPr>
        <w:t>3. Conceptualising employability as a programme management outcome</w:t>
      </w:r>
    </w:p>
    <w:p w14:paraId="1C46BB19" w14:textId="77777777" w:rsidR="00BB7829" w:rsidRPr="00BB7829" w:rsidRDefault="00BB7829" w:rsidP="00BB7829">
      <w:pPr>
        <w:pStyle w:val="NormalWeb"/>
        <w:rPr>
          <w:lang w:val="en-GB"/>
        </w:rPr>
      </w:pPr>
      <w:r w:rsidRPr="00BB7829">
        <w:rPr>
          <w:lang w:val="en-GB"/>
        </w:rPr>
        <w:t>Employability is often operationalised as a set of skills, attributes, and understandings that increase the likelihood of gaining employment and succeeding in work. However, the most policy-relevant interpretation for higher education management is employability as a structured institutional outcome: a capability profile produced through the curriculum and learning environment rather than a personality trait or post-study job statistic. Stakeholder perspectives research reinforces that employers, students, and universities value employability in multidimensional terms, spanning technical competence, communication, problem-solving, teamwork, professional identity formation, and career self-management (Cheng et al., 2022). This multidimensionality is important in Nigeria, where employers and policy actors commonly differentiate between discipline-specific competence and transferable “work readiness” capabilities, and where students may experience a weak signalling relationship between degree attainment and labour market advantage.</w:t>
      </w:r>
    </w:p>
    <w:p w14:paraId="60847231" w14:textId="77777777" w:rsidR="00BB7829" w:rsidRPr="00BB7829" w:rsidRDefault="00BB7829" w:rsidP="00BB7829">
      <w:pPr>
        <w:pStyle w:val="NormalWeb"/>
        <w:rPr>
          <w:lang w:val="en-GB"/>
        </w:rPr>
      </w:pPr>
      <w:r w:rsidRPr="00BB7829">
        <w:rPr>
          <w:lang w:val="en-GB"/>
        </w:rPr>
        <w:t>From a programme management standpoint, employability can be strengthened by ensuring constructive alignment between programme learning outcomes, teaching activities, assessment tasks, and authentic work contexts. If employability is embedded in programme outcomes but not assessed, students may rationally prioritise assessed academic knowledge over skill development. Similarly, if workplace learning is present but poorly supervised or weakly connected to academic reflection, the employability benefit may be inconsistent. The management challenge is therefore not simply to add employability content, but to operationalise employability through coherent design, staffing, and evaluation processes across programme components.</w:t>
      </w:r>
    </w:p>
    <w:p w14:paraId="541D9FE9" w14:textId="77777777" w:rsidR="00BB7829" w:rsidRPr="00BB7829" w:rsidRDefault="00BB7829" w:rsidP="00BB7829">
      <w:pPr>
        <w:rPr>
          <w:lang w:val="en-GB"/>
        </w:rPr>
      </w:pPr>
    </w:p>
    <w:p w14:paraId="0F8C8CE2" w14:textId="77777777" w:rsidR="006009AA" w:rsidRPr="006009AA" w:rsidRDefault="006009AA" w:rsidP="006009AA">
      <w:pPr>
        <w:spacing w:before="100" w:beforeAutospacing="1" w:after="100" w:afterAutospacing="1" w:line="240" w:lineRule="auto"/>
        <w:ind w:left="0" w:right="0" w:firstLine="0"/>
        <w:jc w:val="left"/>
        <w:outlineLvl w:val="1"/>
        <w:rPr>
          <w:b/>
          <w:bCs/>
          <w:color w:val="auto"/>
          <w:kern w:val="0"/>
          <w:sz w:val="36"/>
          <w:szCs w:val="36"/>
          <w:lang w:val="en-US" w:eastAsia="en-US"/>
        </w:rPr>
      </w:pPr>
      <w:r w:rsidRPr="006009AA">
        <w:rPr>
          <w:b/>
          <w:bCs/>
          <w:color w:val="auto"/>
          <w:kern w:val="0"/>
          <w:sz w:val="36"/>
          <w:szCs w:val="36"/>
          <w:lang w:val="en-US" w:eastAsia="en-US"/>
        </w:rPr>
        <w:lastRenderedPageBreak/>
        <w:t xml:space="preserve">4. Employability development in Nigeria: what the recent literature implies </w:t>
      </w:r>
    </w:p>
    <w:p w14:paraId="1E056869" w14:textId="77777777" w:rsidR="006009AA" w:rsidRPr="006009AA" w:rsidRDefault="006009AA" w:rsidP="006009AA">
      <w:pPr>
        <w:spacing w:before="100" w:beforeAutospacing="1" w:after="100" w:afterAutospacing="1" w:line="240" w:lineRule="auto"/>
        <w:ind w:left="0" w:right="0" w:firstLine="0"/>
        <w:jc w:val="left"/>
        <w:rPr>
          <w:color w:val="auto"/>
          <w:kern w:val="0"/>
          <w:lang w:val="en-US" w:eastAsia="en-US"/>
        </w:rPr>
      </w:pPr>
      <w:r w:rsidRPr="006009AA">
        <w:rPr>
          <w:color w:val="auto"/>
          <w:kern w:val="0"/>
          <w:lang w:val="en-US" w:eastAsia="en-US"/>
        </w:rPr>
        <w:t xml:space="preserve">Recent literature on Nigeria repeatedly suggests that employability skill development is less a problem of “knowing what skills matter” and more a problem of building reliable institutional conditions that can deliver those skills across large and diverse student cohorts. In other words, the dominant challenge is an implementation gap: universities and policy actors often articulate strong employability intentions, yet students’ day-to-day learning experiences may not consistently produce the combination of transferable skills, workplace </w:t>
      </w:r>
      <w:proofErr w:type="spellStart"/>
      <w:r w:rsidRPr="006009AA">
        <w:rPr>
          <w:color w:val="auto"/>
          <w:kern w:val="0"/>
          <w:lang w:val="en-US" w:eastAsia="en-US"/>
        </w:rPr>
        <w:t>behaviours</w:t>
      </w:r>
      <w:proofErr w:type="spellEnd"/>
      <w:r w:rsidRPr="006009AA">
        <w:rPr>
          <w:color w:val="auto"/>
          <w:kern w:val="0"/>
          <w:lang w:val="en-US" w:eastAsia="en-US"/>
        </w:rPr>
        <w:t xml:space="preserve">, and career self-management capacities employers expect. The implication is that employability should be understood not as a peripheral outcome that follows automatically from discipline teaching, but as a managed educational product shaped by </w:t>
      </w:r>
      <w:proofErr w:type="spellStart"/>
      <w:r w:rsidRPr="006009AA">
        <w:rPr>
          <w:color w:val="auto"/>
          <w:kern w:val="0"/>
          <w:lang w:val="en-US" w:eastAsia="en-US"/>
        </w:rPr>
        <w:t>programme</w:t>
      </w:r>
      <w:proofErr w:type="spellEnd"/>
      <w:r w:rsidRPr="006009AA">
        <w:rPr>
          <w:color w:val="auto"/>
          <w:kern w:val="0"/>
          <w:lang w:val="en-US" w:eastAsia="en-US"/>
        </w:rPr>
        <w:t xml:space="preserve"> governance decisions—how curriculum priorities are set, how teaching and assessment are </w:t>
      </w:r>
      <w:proofErr w:type="spellStart"/>
      <w:r w:rsidRPr="006009AA">
        <w:rPr>
          <w:color w:val="auto"/>
          <w:kern w:val="0"/>
          <w:lang w:val="en-US" w:eastAsia="en-US"/>
        </w:rPr>
        <w:t>organised</w:t>
      </w:r>
      <w:proofErr w:type="spellEnd"/>
      <w:r w:rsidRPr="006009AA">
        <w:rPr>
          <w:color w:val="auto"/>
          <w:kern w:val="0"/>
          <w:lang w:val="en-US" w:eastAsia="en-US"/>
        </w:rPr>
        <w:t xml:space="preserve">, and how external stakeholder relationships are </w:t>
      </w:r>
      <w:proofErr w:type="spellStart"/>
      <w:r w:rsidRPr="006009AA">
        <w:rPr>
          <w:color w:val="auto"/>
          <w:kern w:val="0"/>
          <w:lang w:val="en-US" w:eastAsia="en-US"/>
        </w:rPr>
        <w:t>operationalised</w:t>
      </w:r>
      <w:proofErr w:type="spellEnd"/>
      <w:r w:rsidRPr="006009AA">
        <w:rPr>
          <w:color w:val="auto"/>
          <w:kern w:val="0"/>
          <w:lang w:val="en-US" w:eastAsia="en-US"/>
        </w:rPr>
        <w:t xml:space="preserve">. Nigerian studies that foreground stakeholder voices consistently reinforce that employability is a shared system outcome rather than a student-only responsibility, and that coordination failures across this system can weaken the effectiveness of even well-designed interventions (Okolie et al., 2019; </w:t>
      </w:r>
      <w:proofErr w:type="spellStart"/>
      <w:r w:rsidRPr="006009AA">
        <w:rPr>
          <w:color w:val="auto"/>
          <w:kern w:val="0"/>
          <w:lang w:val="en-US" w:eastAsia="en-US"/>
        </w:rPr>
        <w:t>Nwajiuba</w:t>
      </w:r>
      <w:proofErr w:type="spellEnd"/>
      <w:r w:rsidRPr="006009AA">
        <w:rPr>
          <w:color w:val="auto"/>
          <w:kern w:val="0"/>
          <w:lang w:val="en-US" w:eastAsia="en-US"/>
        </w:rPr>
        <w:t xml:space="preserve"> et al., 2020).</w:t>
      </w:r>
    </w:p>
    <w:p w14:paraId="5083415C" w14:textId="77777777" w:rsidR="006009AA" w:rsidRPr="006009AA" w:rsidRDefault="006009AA" w:rsidP="006009AA">
      <w:pPr>
        <w:spacing w:before="100" w:beforeAutospacing="1" w:after="100" w:afterAutospacing="1" w:line="240" w:lineRule="auto"/>
        <w:ind w:left="0" w:right="0" w:firstLine="0"/>
        <w:jc w:val="left"/>
        <w:rPr>
          <w:color w:val="auto"/>
          <w:kern w:val="0"/>
          <w:lang w:val="en-US" w:eastAsia="en-US"/>
        </w:rPr>
      </w:pPr>
      <w:r w:rsidRPr="006009AA">
        <w:rPr>
          <w:color w:val="auto"/>
          <w:kern w:val="0"/>
          <w:lang w:val="en-US" w:eastAsia="en-US"/>
        </w:rPr>
        <w:t xml:space="preserve">A key insight emerging from Nigeria-focused evidence is the need to interpret employability as both competence development and transition readiness. Competence development involves building transferable skills such as communication, teamwork, problem-solving, and self-directed learning. Transition readiness concerns students’ confidence and capability to move from university into work, including identity formation, career decision-making, and the ability to </w:t>
      </w:r>
      <w:proofErr w:type="spellStart"/>
      <w:r w:rsidRPr="006009AA">
        <w:rPr>
          <w:color w:val="auto"/>
          <w:kern w:val="0"/>
          <w:lang w:val="en-US" w:eastAsia="en-US"/>
        </w:rPr>
        <w:t>mobilise</w:t>
      </w:r>
      <w:proofErr w:type="spellEnd"/>
      <w:r w:rsidRPr="006009AA">
        <w:rPr>
          <w:color w:val="auto"/>
          <w:kern w:val="0"/>
          <w:lang w:val="en-US" w:eastAsia="en-US"/>
        </w:rPr>
        <w:t xml:space="preserve"> learning in unfamiliar contexts. These dimensions are mutually reinforcing: competence without readiness can lead to graduates who possess skills but struggle to translate them into </w:t>
      </w:r>
      <w:proofErr w:type="spellStart"/>
      <w:r w:rsidRPr="006009AA">
        <w:rPr>
          <w:color w:val="auto"/>
          <w:kern w:val="0"/>
          <w:lang w:val="en-US" w:eastAsia="en-US"/>
        </w:rPr>
        <w:t>labour</w:t>
      </w:r>
      <w:proofErr w:type="spellEnd"/>
      <w:r w:rsidRPr="006009AA">
        <w:rPr>
          <w:color w:val="auto"/>
          <w:kern w:val="0"/>
          <w:lang w:val="en-US" w:eastAsia="en-US"/>
        </w:rPr>
        <w:t xml:space="preserve"> market outcomes, while readiness without competence can produce confidence unsupported by demonstrable capability. Nigeria’s higher education environment, </w:t>
      </w:r>
      <w:proofErr w:type="spellStart"/>
      <w:r w:rsidRPr="006009AA">
        <w:rPr>
          <w:color w:val="auto"/>
          <w:kern w:val="0"/>
          <w:lang w:val="en-US" w:eastAsia="en-US"/>
        </w:rPr>
        <w:t>characterised</w:t>
      </w:r>
      <w:proofErr w:type="spellEnd"/>
      <w:r w:rsidRPr="006009AA">
        <w:rPr>
          <w:color w:val="auto"/>
          <w:kern w:val="0"/>
          <w:lang w:val="en-US" w:eastAsia="en-US"/>
        </w:rPr>
        <w:t xml:space="preserve"> by heterogeneous institutional quality and varying access to industry engagement, makes it especially important to manage employability as a structured pathway across the undergraduate lifecycle rather than as a late-stage “final year” concern.</w:t>
      </w:r>
    </w:p>
    <w:p w14:paraId="566F4F9F" w14:textId="77777777" w:rsidR="006009AA" w:rsidRPr="006009AA" w:rsidRDefault="006009AA" w:rsidP="006009AA">
      <w:pPr>
        <w:spacing w:before="100" w:beforeAutospacing="1" w:after="100" w:afterAutospacing="1" w:line="240" w:lineRule="auto"/>
        <w:ind w:left="0" w:right="0" w:firstLine="0"/>
        <w:jc w:val="left"/>
        <w:outlineLvl w:val="2"/>
        <w:rPr>
          <w:b/>
          <w:bCs/>
          <w:color w:val="auto"/>
          <w:kern w:val="0"/>
          <w:sz w:val="27"/>
          <w:szCs w:val="27"/>
          <w:lang w:val="en-US" w:eastAsia="en-US"/>
        </w:rPr>
      </w:pPr>
      <w:r w:rsidRPr="006009AA">
        <w:rPr>
          <w:b/>
          <w:bCs/>
          <w:color w:val="auto"/>
          <w:kern w:val="0"/>
          <w:sz w:val="27"/>
          <w:szCs w:val="27"/>
          <w:lang w:val="en-US" w:eastAsia="en-US"/>
        </w:rPr>
        <w:t>4.1 Stakeholder alignment and the employability “ecosystem”</w:t>
      </w:r>
    </w:p>
    <w:p w14:paraId="074E6181" w14:textId="77777777" w:rsidR="006009AA" w:rsidRPr="006009AA" w:rsidRDefault="006009AA" w:rsidP="006009AA">
      <w:pPr>
        <w:spacing w:before="100" w:beforeAutospacing="1" w:after="100" w:afterAutospacing="1" w:line="240" w:lineRule="auto"/>
        <w:ind w:left="0" w:right="0" w:firstLine="0"/>
        <w:jc w:val="left"/>
        <w:rPr>
          <w:color w:val="auto"/>
          <w:kern w:val="0"/>
          <w:lang w:val="en-US" w:eastAsia="en-US"/>
        </w:rPr>
      </w:pPr>
      <w:r w:rsidRPr="006009AA">
        <w:rPr>
          <w:color w:val="auto"/>
          <w:kern w:val="0"/>
          <w:lang w:val="en-US" w:eastAsia="en-US"/>
        </w:rPr>
        <w:t xml:space="preserve">A prominent theme in the recent Nigerian literature is that employability development depends on ecosystem alignment—among universities, employers, regulators, and students—and that weak alignment results in fragmented initiatives, unclear expectations, and inconsistent opportunities for students. In a stakeholder-oriented discussion of quality and graduate employability in Nigeria, </w:t>
      </w:r>
      <w:proofErr w:type="spellStart"/>
      <w:r w:rsidRPr="006009AA">
        <w:rPr>
          <w:color w:val="auto"/>
          <w:kern w:val="0"/>
          <w:lang w:val="en-US" w:eastAsia="en-US"/>
        </w:rPr>
        <w:t>Nwajiuba</w:t>
      </w:r>
      <w:proofErr w:type="spellEnd"/>
      <w:r w:rsidRPr="006009AA">
        <w:rPr>
          <w:color w:val="auto"/>
          <w:kern w:val="0"/>
          <w:lang w:val="en-US" w:eastAsia="en-US"/>
        </w:rPr>
        <w:t xml:space="preserve"> et al. (2020) </w:t>
      </w:r>
      <w:proofErr w:type="spellStart"/>
      <w:r w:rsidRPr="006009AA">
        <w:rPr>
          <w:color w:val="auto"/>
          <w:kern w:val="0"/>
          <w:lang w:val="en-US" w:eastAsia="en-US"/>
        </w:rPr>
        <w:t>emphasise</w:t>
      </w:r>
      <w:proofErr w:type="spellEnd"/>
      <w:r w:rsidRPr="006009AA">
        <w:rPr>
          <w:color w:val="auto"/>
          <w:kern w:val="0"/>
          <w:lang w:val="en-US" w:eastAsia="en-US"/>
        </w:rPr>
        <w:t xml:space="preserve"> that improving employability requires coordinated action and shared responsibility rather than placing the burden solely on universities or graduates. This has direct </w:t>
      </w:r>
      <w:proofErr w:type="spellStart"/>
      <w:r w:rsidRPr="006009AA">
        <w:rPr>
          <w:color w:val="auto"/>
          <w:kern w:val="0"/>
          <w:lang w:val="en-US" w:eastAsia="en-US"/>
        </w:rPr>
        <w:t>programme</w:t>
      </w:r>
      <w:proofErr w:type="spellEnd"/>
      <w:r w:rsidRPr="006009AA">
        <w:rPr>
          <w:color w:val="auto"/>
          <w:kern w:val="0"/>
          <w:lang w:val="en-US" w:eastAsia="en-US"/>
        </w:rPr>
        <w:t xml:space="preserve"> management implications: employability cannot be treated as a generic skills module bolted onto an already full curriculum; instead, </w:t>
      </w:r>
      <w:proofErr w:type="spellStart"/>
      <w:r w:rsidRPr="006009AA">
        <w:rPr>
          <w:color w:val="auto"/>
          <w:kern w:val="0"/>
          <w:lang w:val="en-US" w:eastAsia="en-US"/>
        </w:rPr>
        <w:t>programmes</w:t>
      </w:r>
      <w:proofErr w:type="spellEnd"/>
      <w:r w:rsidRPr="006009AA">
        <w:rPr>
          <w:color w:val="auto"/>
          <w:kern w:val="0"/>
          <w:lang w:val="en-US" w:eastAsia="en-US"/>
        </w:rPr>
        <w:t xml:space="preserve"> must create structured, assessable opportunities for students to </w:t>
      </w:r>
      <w:proofErr w:type="spellStart"/>
      <w:r w:rsidRPr="006009AA">
        <w:rPr>
          <w:color w:val="auto"/>
          <w:kern w:val="0"/>
          <w:lang w:val="en-US" w:eastAsia="en-US"/>
        </w:rPr>
        <w:t>practise</w:t>
      </w:r>
      <w:proofErr w:type="spellEnd"/>
      <w:r w:rsidRPr="006009AA">
        <w:rPr>
          <w:color w:val="auto"/>
          <w:kern w:val="0"/>
          <w:lang w:val="en-US" w:eastAsia="en-US"/>
        </w:rPr>
        <w:t xml:space="preserve"> and demonstrate employability-related competencies with input from </w:t>
      </w:r>
      <w:proofErr w:type="spellStart"/>
      <w:r w:rsidRPr="006009AA">
        <w:rPr>
          <w:color w:val="auto"/>
          <w:kern w:val="0"/>
          <w:lang w:val="en-US" w:eastAsia="en-US"/>
        </w:rPr>
        <w:t>labour</w:t>
      </w:r>
      <w:proofErr w:type="spellEnd"/>
      <w:r w:rsidRPr="006009AA">
        <w:rPr>
          <w:color w:val="auto"/>
          <w:kern w:val="0"/>
          <w:lang w:val="en-US" w:eastAsia="en-US"/>
        </w:rPr>
        <w:t xml:space="preserve"> market actors (</w:t>
      </w:r>
      <w:proofErr w:type="spellStart"/>
      <w:r w:rsidRPr="006009AA">
        <w:rPr>
          <w:color w:val="auto"/>
          <w:kern w:val="0"/>
          <w:lang w:val="en-US" w:eastAsia="en-US"/>
        </w:rPr>
        <w:t>Nwajiuba</w:t>
      </w:r>
      <w:proofErr w:type="spellEnd"/>
      <w:r w:rsidRPr="006009AA">
        <w:rPr>
          <w:color w:val="auto"/>
          <w:kern w:val="0"/>
          <w:lang w:val="en-US" w:eastAsia="en-US"/>
        </w:rPr>
        <w:t xml:space="preserve"> et al., 2020).</w:t>
      </w:r>
    </w:p>
    <w:p w14:paraId="64FF4410" w14:textId="77777777" w:rsidR="006009AA" w:rsidRPr="006009AA" w:rsidRDefault="006009AA" w:rsidP="006009AA">
      <w:pPr>
        <w:spacing w:before="100" w:beforeAutospacing="1" w:after="100" w:afterAutospacing="1" w:line="240" w:lineRule="auto"/>
        <w:ind w:left="0" w:right="0" w:firstLine="0"/>
        <w:jc w:val="left"/>
        <w:rPr>
          <w:color w:val="auto"/>
          <w:kern w:val="0"/>
          <w:lang w:val="en-US" w:eastAsia="en-US"/>
        </w:rPr>
      </w:pPr>
      <w:r w:rsidRPr="006009AA">
        <w:rPr>
          <w:color w:val="auto"/>
          <w:kern w:val="0"/>
          <w:lang w:val="en-US" w:eastAsia="en-US"/>
        </w:rPr>
        <w:t xml:space="preserve">Complementing this view, Okolie et al. (2019) highlight that improving graduate outcomes in Nigeria requires strengthening the institutional mechanisms that connect training to </w:t>
      </w:r>
      <w:proofErr w:type="spellStart"/>
      <w:r w:rsidRPr="006009AA">
        <w:rPr>
          <w:color w:val="auto"/>
          <w:kern w:val="0"/>
          <w:lang w:val="en-US" w:eastAsia="en-US"/>
        </w:rPr>
        <w:t>labour</w:t>
      </w:r>
      <w:proofErr w:type="spellEnd"/>
      <w:r w:rsidRPr="006009AA">
        <w:rPr>
          <w:color w:val="auto"/>
          <w:kern w:val="0"/>
          <w:lang w:val="en-US" w:eastAsia="en-US"/>
        </w:rPr>
        <w:t xml:space="preserve"> market realities. Although sectoral contexts vary, the underlying message is consistent: where </w:t>
      </w:r>
      <w:proofErr w:type="spellStart"/>
      <w:r w:rsidRPr="006009AA">
        <w:rPr>
          <w:color w:val="auto"/>
          <w:kern w:val="0"/>
          <w:lang w:val="en-US" w:eastAsia="en-US"/>
        </w:rPr>
        <w:lastRenderedPageBreak/>
        <w:t>programme</w:t>
      </w:r>
      <w:proofErr w:type="spellEnd"/>
      <w:r w:rsidRPr="006009AA">
        <w:rPr>
          <w:color w:val="auto"/>
          <w:kern w:val="0"/>
          <w:lang w:val="en-US" w:eastAsia="en-US"/>
        </w:rPr>
        <w:t xml:space="preserve"> content, teaching practices, and assessment remain detached from workplace expectations, students may graduate without sufficient “work-readiness </w:t>
      </w:r>
      <w:proofErr w:type="spellStart"/>
      <w:r w:rsidRPr="006009AA">
        <w:rPr>
          <w:color w:val="auto"/>
          <w:kern w:val="0"/>
          <w:lang w:val="en-US" w:eastAsia="en-US"/>
        </w:rPr>
        <w:t>signalling</w:t>
      </w:r>
      <w:proofErr w:type="spellEnd"/>
      <w:r w:rsidRPr="006009AA">
        <w:rPr>
          <w:color w:val="auto"/>
          <w:kern w:val="0"/>
          <w:lang w:val="en-US" w:eastAsia="en-US"/>
        </w:rPr>
        <w:t xml:space="preserve">”—not necessarily because they lack ability, but because their learning experiences did not require them to apply knowledge in realistic settings (Okolie et al., 2019). Taken together, these stakeholder-driven arguments imply that Nigerian employability reforms must address governance and coordination questions: Who defines employability outcomes at </w:t>
      </w:r>
      <w:proofErr w:type="spellStart"/>
      <w:r w:rsidRPr="006009AA">
        <w:rPr>
          <w:color w:val="auto"/>
          <w:kern w:val="0"/>
          <w:lang w:val="en-US" w:eastAsia="en-US"/>
        </w:rPr>
        <w:t>programme</w:t>
      </w:r>
      <w:proofErr w:type="spellEnd"/>
      <w:r w:rsidRPr="006009AA">
        <w:rPr>
          <w:color w:val="auto"/>
          <w:kern w:val="0"/>
          <w:lang w:val="en-US" w:eastAsia="en-US"/>
        </w:rPr>
        <w:t xml:space="preserve"> level? How are employer expectations incorporated without undermining disciplinary standards? How is feedback from employers and graduates converted into curriculum renewal rather than remaining an external critique? The literature suggests that employability progress is more likely when these questions are resolved through formal structures—advisory boards, partnership agreements, and curriculum review processes—rather than depending on informal relationships or isolated champions (Okolie et al., 2019; </w:t>
      </w:r>
      <w:proofErr w:type="spellStart"/>
      <w:r w:rsidRPr="006009AA">
        <w:rPr>
          <w:color w:val="auto"/>
          <w:kern w:val="0"/>
          <w:lang w:val="en-US" w:eastAsia="en-US"/>
        </w:rPr>
        <w:t>Nwajiuba</w:t>
      </w:r>
      <w:proofErr w:type="spellEnd"/>
      <w:r w:rsidRPr="006009AA">
        <w:rPr>
          <w:color w:val="auto"/>
          <w:kern w:val="0"/>
          <w:lang w:val="en-US" w:eastAsia="en-US"/>
        </w:rPr>
        <w:t xml:space="preserve"> et al., 2020).</w:t>
      </w:r>
    </w:p>
    <w:p w14:paraId="2FE30E7A" w14:textId="77777777" w:rsidR="006009AA" w:rsidRPr="006009AA" w:rsidRDefault="006009AA" w:rsidP="006009AA">
      <w:pPr>
        <w:spacing w:before="100" w:beforeAutospacing="1" w:after="100" w:afterAutospacing="1" w:line="240" w:lineRule="auto"/>
        <w:ind w:left="0" w:right="0" w:firstLine="0"/>
        <w:jc w:val="left"/>
        <w:outlineLvl w:val="2"/>
        <w:rPr>
          <w:b/>
          <w:bCs/>
          <w:color w:val="auto"/>
          <w:kern w:val="0"/>
          <w:sz w:val="27"/>
          <w:szCs w:val="27"/>
          <w:lang w:val="en-US" w:eastAsia="en-US"/>
        </w:rPr>
      </w:pPr>
      <w:r w:rsidRPr="006009AA">
        <w:rPr>
          <w:b/>
          <w:bCs/>
          <w:color w:val="auto"/>
          <w:kern w:val="0"/>
          <w:sz w:val="27"/>
          <w:szCs w:val="27"/>
          <w:lang w:val="en-US" w:eastAsia="en-US"/>
        </w:rPr>
        <w:t>4.2 Work placement learning as a pivotal employability pathway</w:t>
      </w:r>
    </w:p>
    <w:p w14:paraId="34AF310B" w14:textId="77777777" w:rsidR="006009AA" w:rsidRPr="006009AA" w:rsidRDefault="006009AA" w:rsidP="006009AA">
      <w:pPr>
        <w:spacing w:before="100" w:beforeAutospacing="1" w:after="100" w:afterAutospacing="1" w:line="240" w:lineRule="auto"/>
        <w:ind w:left="0" w:right="0" w:firstLine="0"/>
        <w:jc w:val="left"/>
        <w:rPr>
          <w:color w:val="auto"/>
          <w:kern w:val="0"/>
          <w:lang w:val="en-US" w:eastAsia="en-US"/>
        </w:rPr>
      </w:pPr>
      <w:r w:rsidRPr="006009AA">
        <w:rPr>
          <w:color w:val="auto"/>
          <w:kern w:val="0"/>
          <w:lang w:val="en-US" w:eastAsia="en-US"/>
        </w:rPr>
        <w:t>Work placement learning is repeatedly positioned as a high-leverage pathway for employability development in Nigeria, but the literature warns against assuming that placement participation alone guarantees employability gains. The most policy-relevant point is that placements function effectively only when they are managed as learning systems, not merely as temporary student attachments to workplaces. Okolie (2022) demonstrates this clearly by showing that work placement learning predicts students’ readiness for school-to-work transition and that the strength of this relationship depends on psychosocial and institutional conditions, including perceived employability and faculty supervisor support. In effect, placements contribute to employability not only by exposing students to work routines but by strengthening students’ belief that they can secure and succeed in employment—and by providing guidance that helps them make sense of workplace experiences as structured learning (Okolie, 2022).</w:t>
      </w:r>
    </w:p>
    <w:p w14:paraId="3FF93ADA" w14:textId="77777777" w:rsidR="006009AA" w:rsidRPr="006009AA" w:rsidRDefault="006009AA" w:rsidP="006009AA">
      <w:pPr>
        <w:spacing w:before="100" w:beforeAutospacing="1" w:after="100" w:afterAutospacing="1" w:line="240" w:lineRule="auto"/>
        <w:ind w:left="0" w:right="0" w:firstLine="0"/>
        <w:jc w:val="left"/>
        <w:rPr>
          <w:color w:val="auto"/>
          <w:kern w:val="0"/>
          <w:lang w:val="en-US" w:eastAsia="en-US"/>
        </w:rPr>
      </w:pPr>
      <w:r w:rsidRPr="006009AA">
        <w:rPr>
          <w:color w:val="auto"/>
          <w:kern w:val="0"/>
          <w:lang w:val="en-US" w:eastAsia="en-US"/>
        </w:rPr>
        <w:t xml:space="preserve">This finding sharpens the managerial implications for Nigerian undergraduate </w:t>
      </w:r>
      <w:proofErr w:type="spellStart"/>
      <w:r w:rsidRPr="006009AA">
        <w:rPr>
          <w:color w:val="auto"/>
          <w:kern w:val="0"/>
          <w:lang w:val="en-US" w:eastAsia="en-US"/>
        </w:rPr>
        <w:t>programme</w:t>
      </w:r>
      <w:proofErr w:type="spellEnd"/>
      <w:r w:rsidRPr="006009AA">
        <w:rPr>
          <w:color w:val="auto"/>
          <w:kern w:val="0"/>
          <w:lang w:val="en-US" w:eastAsia="en-US"/>
        </w:rPr>
        <w:t xml:space="preserve"> administration. First, placement quality is not a “nice to have” but a central determinant of employability outcomes; therefore, universities need supervision standards, clear learning expectations, and monitoring processes that protect students from placements that offer limited learning. Second, faculty supervisor support is not incidental—it is a mechanism that can convert workplace exposure into competence development through reflection, feedback, and problem-solving guidance (Okolie, 2022). Where supervision is weak due to workload pressure or inadequate institutional support, placements may become routine administrative requirements rather than transformative learning opportunities. Third, perceived employability matters as an outcome and as a pathway: students who interpret placement experiences as building credible skills and networks are more likely to report stronger transition readiness, implying that </w:t>
      </w:r>
      <w:proofErr w:type="spellStart"/>
      <w:r w:rsidRPr="006009AA">
        <w:rPr>
          <w:color w:val="auto"/>
          <w:kern w:val="0"/>
          <w:lang w:val="en-US" w:eastAsia="en-US"/>
        </w:rPr>
        <w:t>programmes</w:t>
      </w:r>
      <w:proofErr w:type="spellEnd"/>
      <w:r w:rsidRPr="006009AA">
        <w:rPr>
          <w:color w:val="auto"/>
          <w:kern w:val="0"/>
          <w:lang w:val="en-US" w:eastAsia="en-US"/>
        </w:rPr>
        <w:t xml:space="preserve"> should make employability language explicit—helping students name, evidence, and communicate what they learned (Okolie, 2022).</w:t>
      </w:r>
    </w:p>
    <w:p w14:paraId="57539E73" w14:textId="77777777" w:rsidR="006009AA" w:rsidRPr="006009AA" w:rsidRDefault="006009AA" w:rsidP="006009AA">
      <w:pPr>
        <w:spacing w:before="100" w:beforeAutospacing="1" w:after="100" w:afterAutospacing="1" w:line="240" w:lineRule="auto"/>
        <w:ind w:left="0" w:right="0" w:firstLine="0"/>
        <w:jc w:val="left"/>
        <w:rPr>
          <w:color w:val="auto"/>
          <w:kern w:val="0"/>
          <w:lang w:val="en-US" w:eastAsia="en-US"/>
        </w:rPr>
      </w:pPr>
      <w:r w:rsidRPr="006009AA">
        <w:rPr>
          <w:color w:val="auto"/>
          <w:kern w:val="0"/>
          <w:lang w:val="en-US" w:eastAsia="en-US"/>
        </w:rPr>
        <w:t xml:space="preserve">Overall, recent Nigeria-focused literature implies that employability development depends on moving from declarative commitments to operational clarity. Stakeholders </w:t>
      </w:r>
      <w:proofErr w:type="spellStart"/>
      <w:r w:rsidRPr="006009AA">
        <w:rPr>
          <w:color w:val="auto"/>
          <w:kern w:val="0"/>
          <w:lang w:val="en-US" w:eastAsia="en-US"/>
        </w:rPr>
        <w:t>recognise</w:t>
      </w:r>
      <w:proofErr w:type="spellEnd"/>
      <w:r w:rsidRPr="006009AA">
        <w:rPr>
          <w:color w:val="auto"/>
          <w:kern w:val="0"/>
          <w:lang w:val="en-US" w:eastAsia="en-US"/>
        </w:rPr>
        <w:t xml:space="preserve"> what is needed—relevant skills, workplace exposure, and credible pathways to transition—but the decisive factor is whether undergraduate </w:t>
      </w:r>
      <w:proofErr w:type="spellStart"/>
      <w:r w:rsidRPr="006009AA">
        <w:rPr>
          <w:color w:val="auto"/>
          <w:kern w:val="0"/>
          <w:lang w:val="en-US" w:eastAsia="en-US"/>
        </w:rPr>
        <w:t>programmes</w:t>
      </w:r>
      <w:proofErr w:type="spellEnd"/>
      <w:r w:rsidRPr="006009AA">
        <w:rPr>
          <w:color w:val="auto"/>
          <w:kern w:val="0"/>
          <w:lang w:val="en-US" w:eastAsia="en-US"/>
        </w:rPr>
        <w:t xml:space="preserve"> can manage these elements consistently at scale through alignment, partnership governance, and supportive supervision (Okolie et al., 2019; </w:t>
      </w:r>
      <w:proofErr w:type="spellStart"/>
      <w:r w:rsidRPr="006009AA">
        <w:rPr>
          <w:color w:val="auto"/>
          <w:kern w:val="0"/>
          <w:lang w:val="en-US" w:eastAsia="en-US"/>
        </w:rPr>
        <w:t>Nwajiuba</w:t>
      </w:r>
      <w:proofErr w:type="spellEnd"/>
      <w:r w:rsidRPr="006009AA">
        <w:rPr>
          <w:color w:val="auto"/>
          <w:kern w:val="0"/>
          <w:lang w:val="en-US" w:eastAsia="en-US"/>
        </w:rPr>
        <w:t xml:space="preserve"> et al., 2020; Okolie, 2022).</w:t>
      </w:r>
    </w:p>
    <w:p w14:paraId="3DF29923" w14:textId="77777777" w:rsidR="00BB7829" w:rsidRPr="00BB7829" w:rsidRDefault="00BB7829" w:rsidP="00BB7829">
      <w:pPr>
        <w:pStyle w:val="Heading2"/>
        <w:rPr>
          <w:lang w:val="en-GB"/>
        </w:rPr>
      </w:pPr>
      <w:r w:rsidRPr="00BB7829">
        <w:rPr>
          <w:lang w:val="en-GB"/>
        </w:rPr>
        <w:lastRenderedPageBreak/>
        <w:t>5. Managerial levers for employability in Nigerian undergraduate programmes</w:t>
      </w:r>
    </w:p>
    <w:p w14:paraId="1EE9BB1E" w14:textId="77777777" w:rsidR="00BB7829" w:rsidRPr="00BB7829" w:rsidRDefault="00BB7829" w:rsidP="00BB7829">
      <w:pPr>
        <w:pStyle w:val="Heading3"/>
        <w:rPr>
          <w:lang w:val="en-GB"/>
        </w:rPr>
      </w:pPr>
      <w:r w:rsidRPr="00BB7829">
        <w:rPr>
          <w:lang w:val="en-GB"/>
        </w:rPr>
        <w:t>5.1 Curriculum alignment and explicit employability outcomes</w:t>
      </w:r>
    </w:p>
    <w:p w14:paraId="07BC3ADB" w14:textId="77777777" w:rsidR="00BB7829" w:rsidRPr="00BB7829" w:rsidRDefault="00BB7829" w:rsidP="00BB7829">
      <w:pPr>
        <w:pStyle w:val="NormalWeb"/>
        <w:rPr>
          <w:lang w:val="en-GB"/>
        </w:rPr>
      </w:pPr>
      <w:r w:rsidRPr="00BB7829">
        <w:rPr>
          <w:lang w:val="en-GB"/>
        </w:rPr>
        <w:t>A foundational lever is curriculum alignment. Programmes that articulate employability outcomes clearly and map them across courses are more likely to create coherent skill development pathways. Stakeholder perspective reviews suggest that employability is most effectively developed when embedded in learning activities and assessed authentically, rather than presented as stand-alone seminars or optional workshops (Cheng et al., 2022). For Nigerian programme managers, the key operational step is to make employability outcomes assessable and visible: for example, integrating communication, teamwork, and problem-solving into disciplinary assessments and requiring evidence of competence development across progressive levels of study.</w:t>
      </w:r>
    </w:p>
    <w:p w14:paraId="5B2A8593" w14:textId="77777777" w:rsidR="00BB7829" w:rsidRPr="00BB7829" w:rsidRDefault="00BB7829" w:rsidP="00BB7829">
      <w:pPr>
        <w:pStyle w:val="NormalWeb"/>
        <w:rPr>
          <w:lang w:val="en-GB"/>
        </w:rPr>
      </w:pPr>
      <w:r w:rsidRPr="00BB7829">
        <w:rPr>
          <w:lang w:val="en-GB"/>
        </w:rPr>
        <w:t>This is particularly important in Nigeria because students often navigate resource-constrained learning environments and may prioritise content memorisation if assessment formats reward reproduction. Programme management that rebalances assessment toward authentic tasks can shift student effort toward employability-relevant learning. Authentic assessment does not require expensive infrastructure; it requires design capability, rubric calibration, and assessment governance that supports consistency across courses.</w:t>
      </w:r>
    </w:p>
    <w:p w14:paraId="09534414" w14:textId="77777777" w:rsidR="00BB7829" w:rsidRPr="00BB7829" w:rsidRDefault="00BB7829" w:rsidP="00BB7829">
      <w:pPr>
        <w:pStyle w:val="Heading3"/>
        <w:rPr>
          <w:lang w:val="en-GB"/>
        </w:rPr>
      </w:pPr>
      <w:r w:rsidRPr="00BB7829">
        <w:rPr>
          <w:lang w:val="en-GB"/>
        </w:rPr>
        <w:t>5.2 Work-integrated learning design, supervision, and feedback loops</w:t>
      </w:r>
    </w:p>
    <w:p w14:paraId="5A67676A" w14:textId="77777777" w:rsidR="00BB7829" w:rsidRPr="00BB7829" w:rsidRDefault="00BB7829" w:rsidP="00BB7829">
      <w:pPr>
        <w:pStyle w:val="NormalWeb"/>
        <w:rPr>
          <w:lang w:val="en-GB"/>
        </w:rPr>
      </w:pPr>
      <w:r w:rsidRPr="00BB7829">
        <w:rPr>
          <w:lang w:val="en-GB"/>
        </w:rPr>
        <w:t>Nigeria-focused WIL research indicates that employability benefits arise when placements are structured as learning experiences with intentional developmental scaffolding. In Okolie’s (2022) Nigerian study, faculty supervisor support functioned as a critical moderator, suggesting that institutional commitment to supervision quality is not peripheral but central. This implies programme leaders should treat supervision as an academic workload component with performance expectations, training, and monitoring rather than as informal goodwill labour.</w:t>
      </w:r>
    </w:p>
    <w:p w14:paraId="4BF73788" w14:textId="77777777" w:rsidR="00BB7829" w:rsidRPr="00BB7829" w:rsidRDefault="00BB7829" w:rsidP="00BB7829">
      <w:pPr>
        <w:pStyle w:val="NormalWeb"/>
        <w:rPr>
          <w:lang w:val="en-GB"/>
        </w:rPr>
      </w:pPr>
      <w:r w:rsidRPr="00BB7829">
        <w:rPr>
          <w:lang w:val="en-GB"/>
        </w:rPr>
        <w:t>More recent Nigerian evidence also links WIL participation to a broad range of employability competencies. A study of engineering undergraduates in Nigerian universities found that work-integrated learning was associated with enhanced employability competencies, supporting the broader claim that WIL can strengthen transferable skillsets when implemented systematically (Adegbite &amp; Hoole, 2024). Programme management therefore needs to ensure that WIL is not only available but also designed with explicit competency targets, supervisor guidance protocols, and structured reflection and assessment.</w:t>
      </w:r>
    </w:p>
    <w:p w14:paraId="661A3711" w14:textId="77777777" w:rsidR="00BB7829" w:rsidRPr="00BB7829" w:rsidRDefault="00BB7829" w:rsidP="00BB7829">
      <w:pPr>
        <w:pStyle w:val="Heading3"/>
        <w:rPr>
          <w:lang w:val="en-GB"/>
        </w:rPr>
      </w:pPr>
      <w:r w:rsidRPr="00BB7829">
        <w:rPr>
          <w:lang w:val="en-GB"/>
        </w:rPr>
        <w:t>5.3 Career development, mentoring, and institutional support structures</w:t>
      </w:r>
    </w:p>
    <w:p w14:paraId="16BF7F24" w14:textId="77777777" w:rsidR="00BB7829" w:rsidRPr="00BB7829" w:rsidRDefault="00BB7829" w:rsidP="00BB7829">
      <w:pPr>
        <w:pStyle w:val="NormalWeb"/>
        <w:rPr>
          <w:lang w:val="en-GB"/>
        </w:rPr>
      </w:pPr>
      <w:r w:rsidRPr="00BB7829">
        <w:rPr>
          <w:lang w:val="en-GB"/>
        </w:rPr>
        <w:t xml:space="preserve">Career self-management has emerged as an important employability dimension because graduate transitions increasingly depend on opportunity recognition, networking, and career decision-making under uncertainty. In Nigeria, institutional career development supports remain uneven, and students may rely on informal networks. Evidence from Nigerian higher education suggests that structured career training with mentoring can improve clarity about career ambitions, personal development planning, and employability skills development, but </w:t>
      </w:r>
      <w:r w:rsidRPr="00BB7829">
        <w:rPr>
          <w:lang w:val="en-GB"/>
        </w:rPr>
        <w:lastRenderedPageBreak/>
        <w:t xml:space="preserve">implementation is constrained by resource limitations and inconsistent programme delivery (Okolie et al., 2020). </w:t>
      </w:r>
    </w:p>
    <w:p w14:paraId="4B7D3423" w14:textId="77777777" w:rsidR="00BB7829" w:rsidRPr="00BB7829" w:rsidRDefault="00BB7829" w:rsidP="00BB7829">
      <w:pPr>
        <w:pStyle w:val="NormalWeb"/>
        <w:rPr>
          <w:lang w:val="en-GB"/>
        </w:rPr>
      </w:pPr>
      <w:r w:rsidRPr="00BB7829">
        <w:rPr>
          <w:lang w:val="en-GB"/>
        </w:rPr>
        <w:t>From a management perspective, the significance of mentoring is not simply relational but structural. Effective mentoring programmes require governance: selection and training of mentors, scheduling, integration with curriculum milestones, and monitoring of participation and outcomes. Programme leaders can embed mentoring through credit-bearing professional development modules, capstone career portfolio requirements, or departmental mentoring systems that link students to alumni and industry partners. These arrangements can operate at relatively low cost if coordinated with existing course structures, but they require administrative capacity and accountability mechanisms.</w:t>
      </w:r>
    </w:p>
    <w:p w14:paraId="1D45F510" w14:textId="77777777" w:rsidR="00BB7829" w:rsidRPr="00BB7829" w:rsidRDefault="00BB7829" w:rsidP="00BB7829">
      <w:pPr>
        <w:pStyle w:val="Heading3"/>
        <w:rPr>
          <w:lang w:val="en-GB"/>
        </w:rPr>
      </w:pPr>
      <w:r w:rsidRPr="00BB7829">
        <w:rPr>
          <w:lang w:val="en-GB"/>
        </w:rPr>
        <w:t>5.4 Entrepreneurship education and innovation support within Nigerian universities</w:t>
      </w:r>
    </w:p>
    <w:p w14:paraId="1FD73231" w14:textId="77777777" w:rsidR="00BB7829" w:rsidRPr="00BB7829" w:rsidRDefault="00BB7829" w:rsidP="00BB7829">
      <w:pPr>
        <w:pStyle w:val="NormalWeb"/>
        <w:rPr>
          <w:lang w:val="en-GB"/>
        </w:rPr>
      </w:pPr>
      <w:r w:rsidRPr="00BB7829">
        <w:rPr>
          <w:lang w:val="en-GB"/>
        </w:rPr>
        <w:t>Nigeria has actively promoted entrepreneurship education as an employability strategy, including policy pressures for compulsory entrepreneurship content. Yet the impact depends on pedagogy and institutional ecosystem support. A qualitative–quantitative study of entrepreneurship and innovation in Nigerian universities highlights that while entrepreneurship education is widespread, universities face operational challenges regarding implementation quality, innovation support structures, and consistency across institutions (Oyinlola et al., 2024). Programme management implications include the need to move beyond theoretical entrepreneurship courses toward experiential entrepreneurship learning, innovation problem-solving, and practical support for student ventures or project-based enterprise learning.</w:t>
      </w:r>
    </w:p>
    <w:p w14:paraId="1DAD514D" w14:textId="77777777" w:rsidR="00BB7829" w:rsidRPr="00BB7829" w:rsidRDefault="00BB7829" w:rsidP="00BB7829">
      <w:pPr>
        <w:pStyle w:val="NormalWeb"/>
        <w:rPr>
          <w:lang w:val="en-GB"/>
        </w:rPr>
      </w:pPr>
      <w:r w:rsidRPr="00BB7829">
        <w:rPr>
          <w:lang w:val="en-GB"/>
        </w:rPr>
        <w:t>The broader entrepreneurship education evidence base indicates that entrepreneurship education tends to have small positive effects on intentions and self-efficacy, with variability depending on design and duration (Martínez-Gregorio et al., 2021). This aligns with Nigerian findings that policy-driven inclusion alone is insufficient; impact is more likely when entrepreneurship learning is experiential, iterative, and supported by institutional resources such as mentorship, incubation, and industry engagement.</w:t>
      </w:r>
    </w:p>
    <w:p w14:paraId="1D14C619" w14:textId="77777777" w:rsidR="00BB7829" w:rsidRPr="00BB7829" w:rsidRDefault="00BB7829" w:rsidP="00BB7829">
      <w:pPr>
        <w:pStyle w:val="NormalWeb"/>
        <w:rPr>
          <w:lang w:val="en-GB"/>
        </w:rPr>
      </w:pPr>
      <w:r w:rsidRPr="00BB7829">
        <w:rPr>
          <w:lang w:val="en-GB"/>
        </w:rPr>
        <w:t>A recent study of Nigerian students in compulsory entrepreneurship courses further strengthens the case for experiential pedagogy. Udeozor et al. (2025) argue that experiential learning approaches in compulsory entrepreneurship education are linked to entrepreneurial and innovation intentions, implying that pedagogical choices are decisive when participation is mandatory. For Nigerian programme managers, this means entrepreneurship modules should be redesigned around problem-based learning, prototyping, market testing, and reflective learning logs rather than lecture-only delivery.</w:t>
      </w:r>
    </w:p>
    <w:p w14:paraId="41007FBA" w14:textId="77777777" w:rsidR="00BB7829" w:rsidRPr="00BB7829" w:rsidRDefault="00BB7829" w:rsidP="00BB7829">
      <w:pPr>
        <w:pStyle w:val="Heading3"/>
        <w:rPr>
          <w:lang w:val="en-GB"/>
        </w:rPr>
      </w:pPr>
      <w:r w:rsidRPr="00BB7829">
        <w:rPr>
          <w:lang w:val="en-GB"/>
        </w:rPr>
        <w:t>5.5 Digital literacy and employability in work-integrated learning contexts</w:t>
      </w:r>
    </w:p>
    <w:p w14:paraId="4B30E9D2" w14:textId="77777777" w:rsidR="00BB7829" w:rsidRPr="00BB7829" w:rsidRDefault="00BB7829" w:rsidP="00BB7829">
      <w:pPr>
        <w:pStyle w:val="NormalWeb"/>
        <w:rPr>
          <w:lang w:val="en-GB"/>
        </w:rPr>
      </w:pPr>
      <w:r w:rsidRPr="00BB7829">
        <w:rPr>
          <w:lang w:val="en-GB"/>
        </w:rPr>
        <w:t xml:space="preserve">Employability in Nigeria is increasingly shaped by digital skills demands, particularly as employers adopt digitally mediated workflows. Evidence suggests digital literacy can strengthen the relationship between WIL and employability outcomes. A Nigerian study in Social Sciences &amp; Humanities Open found that WIL had a direct positive association with graduate employability and an indirect positive effect through digital literacy; however, life-career skills did not moderate the relationship in that study (Adegbite, 2024). This suggests that programme managers should not assume digital skills emerge automatically through </w:t>
      </w:r>
      <w:r w:rsidRPr="00BB7829">
        <w:rPr>
          <w:lang w:val="en-GB"/>
        </w:rPr>
        <w:lastRenderedPageBreak/>
        <w:t>general technology exposure. Instead, WIL should be designed to include digital task engagement, digital communication competence, and structured reflection on how digital tools shape professional practice.</w:t>
      </w:r>
    </w:p>
    <w:p w14:paraId="2E8702AB" w14:textId="77777777" w:rsidR="00BB7829" w:rsidRPr="00BB7829" w:rsidRDefault="00BB7829" w:rsidP="00BB7829">
      <w:pPr>
        <w:pStyle w:val="NormalWeb"/>
        <w:rPr>
          <w:lang w:val="en-GB"/>
        </w:rPr>
      </w:pPr>
      <w:r w:rsidRPr="00BB7829">
        <w:rPr>
          <w:lang w:val="en-GB"/>
        </w:rPr>
        <w:t>Operationally, this can be implemented through workplace digital task audits, supervisor feedback on digital performance, and assessment components that require students to document digitally mediated outputs. Importantly, digital employability development should not be treated as only an ICT department responsibility; discipline programmes should identify the digital practices most relevant to their fields and integrate them into course tasks and placement expectations.</w:t>
      </w:r>
    </w:p>
    <w:p w14:paraId="0C7E2ABF" w14:textId="77777777" w:rsidR="00BB7829" w:rsidRPr="00BB7829" w:rsidRDefault="00BB7829" w:rsidP="00BB7829">
      <w:pPr>
        <w:pStyle w:val="Heading3"/>
        <w:rPr>
          <w:lang w:val="en-GB"/>
        </w:rPr>
      </w:pPr>
      <w:r w:rsidRPr="00BB7829">
        <w:rPr>
          <w:lang w:val="en-GB"/>
        </w:rPr>
        <w:t>5.6 Employability embedding through assessment and evidence of competence</w:t>
      </w:r>
    </w:p>
    <w:p w14:paraId="5F3AA5F2" w14:textId="77777777" w:rsidR="00BB7829" w:rsidRPr="00BB7829" w:rsidRDefault="00BB7829" w:rsidP="00BB7829">
      <w:pPr>
        <w:pStyle w:val="NormalWeb"/>
        <w:rPr>
          <w:lang w:val="en-GB"/>
        </w:rPr>
      </w:pPr>
      <w:r w:rsidRPr="00BB7829">
        <w:rPr>
          <w:lang w:val="en-GB"/>
        </w:rPr>
        <w:t>Assessment is one of the most powerful management levers because it signals institutional priorities and shapes student behaviour. If employability is not assessed, it is often deprioritised. Stakeholder perspective reviews emphasise that employability development is strengthened when students can demonstrate competence evidence, receive feedback, and understand how their learning connects to work expectations (Cheng et al., 2022). Nigerian programme leaders can institutionalise employability evidence through e-portfolios, competency-based rubrics, assessed reflective journals linked to placements, and capstone projects co-designed with employers.</w:t>
      </w:r>
    </w:p>
    <w:p w14:paraId="67FD1678" w14:textId="77777777" w:rsidR="00BB7829" w:rsidRPr="00BB7829" w:rsidRDefault="00BB7829" w:rsidP="00BB7829">
      <w:pPr>
        <w:pStyle w:val="NormalWeb"/>
        <w:rPr>
          <w:lang w:val="en-GB"/>
        </w:rPr>
      </w:pPr>
      <w:r w:rsidRPr="00BB7829">
        <w:rPr>
          <w:lang w:val="en-GB"/>
        </w:rPr>
        <w:t>The management challenge in Nigeria is ensuring assessment reforms remain feasible under large class sizes and staff workload constraints. Programme governance can address this by introducing scalable assessment strategies such as structured peer review, template-based reflective assessment, and group-based industry projects with calibrated marking rubrics. These are not perfect substitutes for individualised assessment, but they can enable employability assessment at scale when supported by careful design and moderation.</w:t>
      </w:r>
    </w:p>
    <w:p w14:paraId="7353E676" w14:textId="77777777" w:rsidR="00BB7829" w:rsidRPr="00BB7829" w:rsidRDefault="00BB7829" w:rsidP="00BB7829">
      <w:pPr>
        <w:rPr>
          <w:lang w:val="en-GB"/>
        </w:rPr>
      </w:pPr>
    </w:p>
    <w:p w14:paraId="74BD3A25" w14:textId="77777777" w:rsidR="006009AA" w:rsidRPr="006009AA" w:rsidRDefault="006009AA" w:rsidP="006009AA">
      <w:pPr>
        <w:spacing w:before="100" w:beforeAutospacing="1" w:after="100" w:afterAutospacing="1" w:line="240" w:lineRule="auto"/>
        <w:ind w:left="0" w:right="0" w:firstLine="0"/>
        <w:jc w:val="left"/>
        <w:outlineLvl w:val="1"/>
        <w:rPr>
          <w:b/>
          <w:bCs/>
          <w:color w:val="auto"/>
          <w:kern w:val="0"/>
          <w:sz w:val="36"/>
          <w:szCs w:val="36"/>
          <w:lang w:val="en-US" w:eastAsia="en-US"/>
        </w:rPr>
      </w:pPr>
      <w:r w:rsidRPr="006009AA">
        <w:rPr>
          <w:b/>
          <w:bCs/>
          <w:color w:val="auto"/>
          <w:kern w:val="0"/>
          <w:sz w:val="36"/>
          <w:szCs w:val="36"/>
          <w:lang w:val="en-US" w:eastAsia="en-US"/>
        </w:rPr>
        <w:t xml:space="preserve">6. Quality assurance, governance, and partnership management for employability </w:t>
      </w:r>
    </w:p>
    <w:p w14:paraId="1A6C9242" w14:textId="77777777" w:rsidR="006009AA" w:rsidRPr="006009AA" w:rsidRDefault="006009AA" w:rsidP="006009AA">
      <w:pPr>
        <w:spacing w:before="100" w:beforeAutospacing="1" w:after="100" w:afterAutospacing="1" w:line="240" w:lineRule="auto"/>
        <w:ind w:left="0" w:right="0" w:firstLine="0"/>
        <w:jc w:val="left"/>
        <w:rPr>
          <w:color w:val="auto"/>
          <w:kern w:val="0"/>
          <w:lang w:val="en-US" w:eastAsia="en-US"/>
        </w:rPr>
      </w:pPr>
      <w:r w:rsidRPr="006009AA">
        <w:rPr>
          <w:color w:val="auto"/>
          <w:kern w:val="0"/>
          <w:lang w:val="en-US" w:eastAsia="en-US"/>
        </w:rPr>
        <w:t xml:space="preserve">Quality assurance, governance, and partnership management form the “backbone” of employability development because they determine whether employability is treated as a measurable </w:t>
      </w:r>
      <w:proofErr w:type="spellStart"/>
      <w:r w:rsidRPr="006009AA">
        <w:rPr>
          <w:color w:val="auto"/>
          <w:kern w:val="0"/>
          <w:lang w:val="en-US" w:eastAsia="en-US"/>
        </w:rPr>
        <w:t>programme</w:t>
      </w:r>
      <w:proofErr w:type="spellEnd"/>
      <w:r w:rsidRPr="006009AA">
        <w:rPr>
          <w:color w:val="auto"/>
          <w:kern w:val="0"/>
          <w:lang w:val="en-US" w:eastAsia="en-US"/>
        </w:rPr>
        <w:t xml:space="preserve"> outcome or remains an aspirational statement. In the Nigerian context, recent literature implies that employability gains are most plausible when institutions move beyond episodic initiatives and instead build repeatable systems that coordinate curriculum decisions, employer engagement, student support, and feedback-driven improvement. Stakeholder-focused work in Nigeria consistently frames employability as a shared responsibility across universities and </w:t>
      </w:r>
      <w:proofErr w:type="spellStart"/>
      <w:r w:rsidRPr="006009AA">
        <w:rPr>
          <w:color w:val="auto"/>
          <w:kern w:val="0"/>
          <w:lang w:val="en-US" w:eastAsia="en-US"/>
        </w:rPr>
        <w:t>labour</w:t>
      </w:r>
      <w:proofErr w:type="spellEnd"/>
      <w:r w:rsidRPr="006009AA">
        <w:rPr>
          <w:color w:val="auto"/>
          <w:kern w:val="0"/>
          <w:lang w:val="en-US" w:eastAsia="en-US"/>
        </w:rPr>
        <w:t xml:space="preserve"> market actors, which means quality assurance must be designed to manage cross-boundary relationships rather than only internal academic processes (</w:t>
      </w:r>
      <w:proofErr w:type="spellStart"/>
      <w:r w:rsidRPr="006009AA">
        <w:rPr>
          <w:color w:val="auto"/>
          <w:kern w:val="0"/>
          <w:lang w:val="en-US" w:eastAsia="en-US"/>
        </w:rPr>
        <w:t>Nwajiuba</w:t>
      </w:r>
      <w:proofErr w:type="spellEnd"/>
      <w:r w:rsidRPr="006009AA">
        <w:rPr>
          <w:color w:val="auto"/>
          <w:kern w:val="0"/>
          <w:lang w:val="en-US" w:eastAsia="en-US"/>
        </w:rPr>
        <w:t xml:space="preserve"> et al., 2020). At the same time, Nigeria-focused discussions of graduate outcomes highlight that strengthening employability requires practical institutional mechanisms that make </w:t>
      </w:r>
      <w:proofErr w:type="spellStart"/>
      <w:r w:rsidRPr="006009AA">
        <w:rPr>
          <w:color w:val="auto"/>
          <w:kern w:val="0"/>
          <w:lang w:val="en-US" w:eastAsia="en-US"/>
        </w:rPr>
        <w:t>programmes</w:t>
      </w:r>
      <w:proofErr w:type="spellEnd"/>
      <w:r w:rsidRPr="006009AA">
        <w:rPr>
          <w:color w:val="auto"/>
          <w:kern w:val="0"/>
          <w:lang w:val="en-US" w:eastAsia="en-US"/>
        </w:rPr>
        <w:t xml:space="preserve"> responsive to </w:t>
      </w:r>
      <w:proofErr w:type="spellStart"/>
      <w:r w:rsidRPr="006009AA">
        <w:rPr>
          <w:color w:val="auto"/>
          <w:kern w:val="0"/>
          <w:lang w:val="en-US" w:eastAsia="en-US"/>
        </w:rPr>
        <w:t>labour</w:t>
      </w:r>
      <w:proofErr w:type="spellEnd"/>
      <w:r w:rsidRPr="006009AA">
        <w:rPr>
          <w:color w:val="auto"/>
          <w:kern w:val="0"/>
          <w:lang w:val="en-US" w:eastAsia="en-US"/>
        </w:rPr>
        <w:t xml:space="preserve"> market realities, especially through structured work exposure and credible signals of competence (Okolie et al., 2019). Together, </w:t>
      </w:r>
      <w:r w:rsidRPr="006009AA">
        <w:rPr>
          <w:color w:val="auto"/>
          <w:kern w:val="0"/>
          <w:lang w:val="en-US" w:eastAsia="en-US"/>
        </w:rPr>
        <w:lastRenderedPageBreak/>
        <w:t xml:space="preserve">these insights position </w:t>
      </w:r>
      <w:proofErr w:type="spellStart"/>
      <w:r w:rsidRPr="006009AA">
        <w:rPr>
          <w:color w:val="auto"/>
          <w:kern w:val="0"/>
          <w:lang w:val="en-US" w:eastAsia="en-US"/>
        </w:rPr>
        <w:t>programme</w:t>
      </w:r>
      <w:proofErr w:type="spellEnd"/>
      <w:r w:rsidRPr="006009AA">
        <w:rPr>
          <w:color w:val="auto"/>
          <w:kern w:val="0"/>
          <w:lang w:val="en-US" w:eastAsia="en-US"/>
        </w:rPr>
        <w:t>-level governance as a central determinant of whether employability is actually delivered at scale.</w:t>
      </w:r>
    </w:p>
    <w:p w14:paraId="5233A858" w14:textId="77777777" w:rsidR="006009AA" w:rsidRPr="006009AA" w:rsidRDefault="006009AA" w:rsidP="006009AA">
      <w:pPr>
        <w:spacing w:before="100" w:beforeAutospacing="1" w:after="100" w:afterAutospacing="1" w:line="240" w:lineRule="auto"/>
        <w:ind w:left="0" w:right="0" w:firstLine="0"/>
        <w:jc w:val="left"/>
        <w:outlineLvl w:val="2"/>
        <w:rPr>
          <w:b/>
          <w:bCs/>
          <w:color w:val="auto"/>
          <w:kern w:val="0"/>
          <w:sz w:val="27"/>
          <w:szCs w:val="27"/>
          <w:lang w:val="en-US" w:eastAsia="en-US"/>
        </w:rPr>
      </w:pPr>
      <w:r w:rsidRPr="006009AA">
        <w:rPr>
          <w:b/>
          <w:bCs/>
          <w:color w:val="auto"/>
          <w:kern w:val="0"/>
          <w:sz w:val="27"/>
          <w:szCs w:val="27"/>
          <w:lang w:val="en-US" w:eastAsia="en-US"/>
        </w:rPr>
        <w:t xml:space="preserve">6.1 Stakeholder governance and </w:t>
      </w:r>
      <w:proofErr w:type="spellStart"/>
      <w:r w:rsidRPr="006009AA">
        <w:rPr>
          <w:b/>
          <w:bCs/>
          <w:color w:val="auto"/>
          <w:kern w:val="0"/>
          <w:sz w:val="27"/>
          <w:szCs w:val="27"/>
          <w:lang w:val="en-US" w:eastAsia="en-US"/>
        </w:rPr>
        <w:t>programme</w:t>
      </w:r>
      <w:proofErr w:type="spellEnd"/>
      <w:r w:rsidRPr="006009AA">
        <w:rPr>
          <w:b/>
          <w:bCs/>
          <w:color w:val="auto"/>
          <w:kern w:val="0"/>
          <w:sz w:val="27"/>
          <w:szCs w:val="27"/>
          <w:lang w:val="en-US" w:eastAsia="en-US"/>
        </w:rPr>
        <w:t>–industry partnership structures</w:t>
      </w:r>
    </w:p>
    <w:p w14:paraId="22CE24EB" w14:textId="77777777" w:rsidR="006009AA" w:rsidRPr="006009AA" w:rsidRDefault="006009AA" w:rsidP="006009AA">
      <w:pPr>
        <w:spacing w:before="100" w:beforeAutospacing="1" w:after="100" w:afterAutospacing="1" w:line="240" w:lineRule="auto"/>
        <w:ind w:left="0" w:right="0" w:firstLine="0"/>
        <w:jc w:val="left"/>
        <w:rPr>
          <w:color w:val="auto"/>
          <w:kern w:val="0"/>
          <w:lang w:val="en-US" w:eastAsia="en-US"/>
        </w:rPr>
      </w:pPr>
      <w:r w:rsidRPr="006009AA">
        <w:rPr>
          <w:color w:val="auto"/>
          <w:kern w:val="0"/>
          <w:lang w:val="en-US" w:eastAsia="en-US"/>
        </w:rPr>
        <w:t xml:space="preserve">The literature suggests that partnerships contribute to employability only when they are governed as long-term institutional arrangements rather than treated as informal networks or ad hoc goodwill. A stakeholder approach </w:t>
      </w:r>
      <w:proofErr w:type="spellStart"/>
      <w:r w:rsidRPr="006009AA">
        <w:rPr>
          <w:color w:val="auto"/>
          <w:kern w:val="0"/>
          <w:lang w:val="en-US" w:eastAsia="en-US"/>
        </w:rPr>
        <w:t>emphasises</w:t>
      </w:r>
      <w:proofErr w:type="spellEnd"/>
      <w:r w:rsidRPr="006009AA">
        <w:rPr>
          <w:color w:val="auto"/>
          <w:kern w:val="0"/>
          <w:lang w:val="en-US" w:eastAsia="en-US"/>
        </w:rPr>
        <w:t xml:space="preserve"> that improving higher education quality and graduate employability requires coordination among multiple parties—universities, employers, regulators, and students—each holding legitimate expectations and resources that must be aligned (</w:t>
      </w:r>
      <w:proofErr w:type="spellStart"/>
      <w:r w:rsidRPr="006009AA">
        <w:rPr>
          <w:color w:val="auto"/>
          <w:kern w:val="0"/>
          <w:lang w:val="en-US" w:eastAsia="en-US"/>
        </w:rPr>
        <w:t>Nwajiuba</w:t>
      </w:r>
      <w:proofErr w:type="spellEnd"/>
      <w:r w:rsidRPr="006009AA">
        <w:rPr>
          <w:color w:val="auto"/>
          <w:kern w:val="0"/>
          <w:lang w:val="en-US" w:eastAsia="en-US"/>
        </w:rPr>
        <w:t xml:space="preserve"> et al., 2020). For </w:t>
      </w:r>
      <w:proofErr w:type="spellStart"/>
      <w:r w:rsidRPr="006009AA">
        <w:rPr>
          <w:color w:val="auto"/>
          <w:kern w:val="0"/>
          <w:lang w:val="en-US" w:eastAsia="en-US"/>
        </w:rPr>
        <w:t>programme</w:t>
      </w:r>
      <w:proofErr w:type="spellEnd"/>
      <w:r w:rsidRPr="006009AA">
        <w:rPr>
          <w:color w:val="auto"/>
          <w:kern w:val="0"/>
          <w:lang w:val="en-US" w:eastAsia="en-US"/>
        </w:rPr>
        <w:t xml:space="preserve"> management, this implies that partnership governance should be embedded into routine decision structures: </w:t>
      </w:r>
      <w:proofErr w:type="spellStart"/>
      <w:r w:rsidRPr="006009AA">
        <w:rPr>
          <w:color w:val="auto"/>
          <w:kern w:val="0"/>
          <w:lang w:val="en-US" w:eastAsia="en-US"/>
        </w:rPr>
        <w:t>programme</w:t>
      </w:r>
      <w:proofErr w:type="spellEnd"/>
      <w:r w:rsidRPr="006009AA">
        <w:rPr>
          <w:color w:val="auto"/>
          <w:kern w:val="0"/>
          <w:lang w:val="en-US" w:eastAsia="en-US"/>
        </w:rPr>
        <w:t xml:space="preserve"> advisory boards with employer representation, documented partnership objectives linked to </w:t>
      </w:r>
      <w:proofErr w:type="spellStart"/>
      <w:r w:rsidRPr="006009AA">
        <w:rPr>
          <w:color w:val="auto"/>
          <w:kern w:val="0"/>
          <w:lang w:val="en-US" w:eastAsia="en-US"/>
        </w:rPr>
        <w:t>programme</w:t>
      </w:r>
      <w:proofErr w:type="spellEnd"/>
      <w:r w:rsidRPr="006009AA">
        <w:rPr>
          <w:color w:val="auto"/>
          <w:kern w:val="0"/>
          <w:lang w:val="en-US" w:eastAsia="en-US"/>
        </w:rPr>
        <w:t xml:space="preserve"> learning outcomes, and planned cycles of engagement that go beyond placements alone. When engagement is narrowly defined as “finding placement slots,” the partnership becomes fragile and transactional; when engagement is governed around shared curriculum relevance, assessment authenticity, and workplace learning quality, the partnership becomes a sustained employability infrastructure (</w:t>
      </w:r>
      <w:proofErr w:type="spellStart"/>
      <w:r w:rsidRPr="006009AA">
        <w:rPr>
          <w:color w:val="auto"/>
          <w:kern w:val="0"/>
          <w:lang w:val="en-US" w:eastAsia="en-US"/>
        </w:rPr>
        <w:t>Nwajiuba</w:t>
      </w:r>
      <w:proofErr w:type="spellEnd"/>
      <w:r w:rsidRPr="006009AA">
        <w:rPr>
          <w:color w:val="auto"/>
          <w:kern w:val="0"/>
          <w:lang w:val="en-US" w:eastAsia="en-US"/>
        </w:rPr>
        <w:t xml:space="preserve"> et al., 2020).</w:t>
      </w:r>
    </w:p>
    <w:p w14:paraId="596B02E4" w14:textId="77777777" w:rsidR="006009AA" w:rsidRPr="006009AA" w:rsidRDefault="006009AA" w:rsidP="006009AA">
      <w:pPr>
        <w:spacing w:before="100" w:beforeAutospacing="1" w:after="100" w:afterAutospacing="1" w:line="240" w:lineRule="auto"/>
        <w:ind w:left="0" w:right="0" w:firstLine="0"/>
        <w:jc w:val="left"/>
        <w:rPr>
          <w:color w:val="auto"/>
          <w:kern w:val="0"/>
          <w:lang w:val="en-US" w:eastAsia="en-US"/>
        </w:rPr>
      </w:pPr>
      <w:r w:rsidRPr="006009AA">
        <w:rPr>
          <w:color w:val="auto"/>
          <w:kern w:val="0"/>
          <w:lang w:val="en-US" w:eastAsia="en-US"/>
        </w:rPr>
        <w:t xml:space="preserve">A key governance challenge is balancing external relevance with academic integrity. The recent Nigerian evidence implies that employability improvements are most sustainable when partnerships support curriculum “translation” rather than curriculum “replacement.” Employers can contribute by clarifying the contexts in which disciplinary knowledge is applied, identifying common workplace tasks and performance standards, and supporting authentic project briefs, while academic staff retain responsibility for ensuring intellectual </w:t>
      </w:r>
      <w:proofErr w:type="spellStart"/>
      <w:r w:rsidRPr="006009AA">
        <w:rPr>
          <w:color w:val="auto"/>
          <w:kern w:val="0"/>
          <w:lang w:val="en-US" w:eastAsia="en-US"/>
        </w:rPr>
        <w:t>rigour</w:t>
      </w:r>
      <w:proofErr w:type="spellEnd"/>
      <w:r w:rsidRPr="006009AA">
        <w:rPr>
          <w:color w:val="auto"/>
          <w:kern w:val="0"/>
          <w:lang w:val="en-US" w:eastAsia="en-US"/>
        </w:rPr>
        <w:t xml:space="preserve"> and ethical learning design. This division of </w:t>
      </w:r>
      <w:proofErr w:type="spellStart"/>
      <w:r w:rsidRPr="006009AA">
        <w:rPr>
          <w:color w:val="auto"/>
          <w:kern w:val="0"/>
          <w:lang w:val="en-US" w:eastAsia="en-US"/>
        </w:rPr>
        <w:t>labour</w:t>
      </w:r>
      <w:proofErr w:type="spellEnd"/>
      <w:r w:rsidRPr="006009AA">
        <w:rPr>
          <w:color w:val="auto"/>
          <w:kern w:val="0"/>
          <w:lang w:val="en-US" w:eastAsia="en-US"/>
        </w:rPr>
        <w:t xml:space="preserve"> is consistent with the broader claim that employability depends on institutional mechanisms that connect training to </w:t>
      </w:r>
      <w:proofErr w:type="spellStart"/>
      <w:r w:rsidRPr="006009AA">
        <w:rPr>
          <w:color w:val="auto"/>
          <w:kern w:val="0"/>
          <w:lang w:val="en-US" w:eastAsia="en-US"/>
        </w:rPr>
        <w:t>labour</w:t>
      </w:r>
      <w:proofErr w:type="spellEnd"/>
      <w:r w:rsidRPr="006009AA">
        <w:rPr>
          <w:color w:val="auto"/>
          <w:kern w:val="0"/>
          <w:lang w:val="en-US" w:eastAsia="en-US"/>
        </w:rPr>
        <w:t xml:space="preserve"> market expectations without reducing higher education to short-term vocationalism (Okolie et al., 2019). Operationally, </w:t>
      </w:r>
      <w:proofErr w:type="spellStart"/>
      <w:r w:rsidRPr="006009AA">
        <w:rPr>
          <w:color w:val="auto"/>
          <w:kern w:val="0"/>
          <w:lang w:val="en-US" w:eastAsia="en-US"/>
        </w:rPr>
        <w:t>programme</w:t>
      </w:r>
      <w:proofErr w:type="spellEnd"/>
      <w:r w:rsidRPr="006009AA">
        <w:rPr>
          <w:color w:val="auto"/>
          <w:kern w:val="0"/>
          <w:lang w:val="en-US" w:eastAsia="en-US"/>
        </w:rPr>
        <w:t xml:space="preserve"> leaders can strengthen this balance by </w:t>
      </w:r>
      <w:proofErr w:type="spellStart"/>
      <w:r w:rsidRPr="006009AA">
        <w:rPr>
          <w:color w:val="auto"/>
          <w:kern w:val="0"/>
          <w:lang w:val="en-US" w:eastAsia="en-US"/>
        </w:rPr>
        <w:t>formalising</w:t>
      </w:r>
      <w:proofErr w:type="spellEnd"/>
      <w:r w:rsidRPr="006009AA">
        <w:rPr>
          <w:color w:val="auto"/>
          <w:kern w:val="0"/>
          <w:lang w:val="en-US" w:eastAsia="en-US"/>
        </w:rPr>
        <w:t xml:space="preserve"> partnership roles—who contributes to capstone project design, who offers guest teaching, who evaluates student workplace performance, and how feedback is captured and acted upon.</w:t>
      </w:r>
    </w:p>
    <w:p w14:paraId="795AD584" w14:textId="77777777" w:rsidR="006009AA" w:rsidRPr="006009AA" w:rsidRDefault="006009AA" w:rsidP="006009AA">
      <w:pPr>
        <w:spacing w:before="100" w:beforeAutospacing="1" w:after="100" w:afterAutospacing="1" w:line="240" w:lineRule="auto"/>
        <w:ind w:left="0" w:right="0" w:firstLine="0"/>
        <w:jc w:val="left"/>
        <w:rPr>
          <w:color w:val="auto"/>
          <w:kern w:val="0"/>
          <w:lang w:val="en-US" w:eastAsia="en-US"/>
        </w:rPr>
      </w:pPr>
      <w:r w:rsidRPr="006009AA">
        <w:rPr>
          <w:color w:val="auto"/>
          <w:kern w:val="0"/>
          <w:lang w:val="en-US" w:eastAsia="en-US"/>
        </w:rPr>
        <w:t>Another practical governance issue is partnership quality assurance. Not all workplace partners provide meaningful learning conditions, and Nigerian employability literature implies that quality variation can undermine student development and fairness. Partnerships therefore need minimal standards that are transparently communicated and monitored, such as agreed learning tasks, supervision availability, ethical treatment of students, and opportunities for students to demonstrate competencies. A stakeholder lens supports this because it treats employers not only as hosts but as co-producers of learning, making it legitimate for universities to set expectations and review performance as part of partnership renewal (</w:t>
      </w:r>
      <w:proofErr w:type="spellStart"/>
      <w:r w:rsidRPr="006009AA">
        <w:rPr>
          <w:color w:val="auto"/>
          <w:kern w:val="0"/>
          <w:lang w:val="en-US" w:eastAsia="en-US"/>
        </w:rPr>
        <w:t>Nwajiuba</w:t>
      </w:r>
      <w:proofErr w:type="spellEnd"/>
      <w:r w:rsidRPr="006009AA">
        <w:rPr>
          <w:color w:val="auto"/>
          <w:kern w:val="0"/>
          <w:lang w:val="en-US" w:eastAsia="en-US"/>
        </w:rPr>
        <w:t xml:space="preserve"> et al., 2020). This approach also aligns with the view that improving graduate outcomes requires strengthening the institutional channels that turn workplace exposure into verified competence development (Okolie et al., 2019).</w:t>
      </w:r>
    </w:p>
    <w:p w14:paraId="2CBE305A" w14:textId="77777777" w:rsidR="006009AA" w:rsidRPr="006009AA" w:rsidRDefault="006009AA" w:rsidP="006009AA">
      <w:pPr>
        <w:spacing w:before="100" w:beforeAutospacing="1" w:after="100" w:afterAutospacing="1" w:line="240" w:lineRule="auto"/>
        <w:ind w:left="0" w:right="0" w:firstLine="0"/>
        <w:jc w:val="left"/>
        <w:outlineLvl w:val="2"/>
        <w:rPr>
          <w:b/>
          <w:bCs/>
          <w:color w:val="auto"/>
          <w:kern w:val="0"/>
          <w:sz w:val="27"/>
          <w:szCs w:val="27"/>
          <w:lang w:val="en-US" w:eastAsia="en-US"/>
        </w:rPr>
      </w:pPr>
      <w:r w:rsidRPr="006009AA">
        <w:rPr>
          <w:b/>
          <w:bCs/>
          <w:color w:val="auto"/>
          <w:kern w:val="0"/>
          <w:sz w:val="27"/>
          <w:szCs w:val="27"/>
          <w:lang w:val="en-US" w:eastAsia="en-US"/>
        </w:rPr>
        <w:t>6.2 Quality improvement cycles based on employability evidence</w:t>
      </w:r>
    </w:p>
    <w:p w14:paraId="1751A8DE" w14:textId="77777777" w:rsidR="006009AA" w:rsidRPr="006009AA" w:rsidRDefault="006009AA" w:rsidP="006009AA">
      <w:pPr>
        <w:spacing w:before="100" w:beforeAutospacing="1" w:after="100" w:afterAutospacing="1" w:line="240" w:lineRule="auto"/>
        <w:ind w:left="0" w:right="0" w:firstLine="0"/>
        <w:jc w:val="left"/>
        <w:rPr>
          <w:color w:val="auto"/>
          <w:kern w:val="0"/>
          <w:lang w:val="en-US" w:eastAsia="en-US"/>
        </w:rPr>
      </w:pPr>
      <w:r w:rsidRPr="006009AA">
        <w:rPr>
          <w:color w:val="auto"/>
          <w:kern w:val="0"/>
          <w:lang w:val="en-US" w:eastAsia="en-US"/>
        </w:rPr>
        <w:t xml:space="preserve">Quality assurance becomes employability-relevant when it measures what </w:t>
      </w:r>
      <w:proofErr w:type="spellStart"/>
      <w:r w:rsidRPr="006009AA">
        <w:rPr>
          <w:color w:val="auto"/>
          <w:kern w:val="0"/>
          <w:lang w:val="en-US" w:eastAsia="en-US"/>
        </w:rPr>
        <w:t>programmes</w:t>
      </w:r>
      <w:proofErr w:type="spellEnd"/>
      <w:r w:rsidRPr="006009AA">
        <w:rPr>
          <w:color w:val="auto"/>
          <w:kern w:val="0"/>
          <w:lang w:val="en-US" w:eastAsia="en-US"/>
        </w:rPr>
        <w:t xml:space="preserve"> intend to produce and uses that evidence to improve design and delivery. A recurring problem in employability initiatives is reliance on activity indicators—counts of workshops, numbers of placements, or attendance at career events—without strong evidence of capability </w:t>
      </w:r>
      <w:r w:rsidRPr="006009AA">
        <w:rPr>
          <w:color w:val="auto"/>
          <w:kern w:val="0"/>
          <w:lang w:val="en-US" w:eastAsia="en-US"/>
        </w:rPr>
        <w:lastRenderedPageBreak/>
        <w:t xml:space="preserve">development. Recent Nigerian evidence suggests that the employability value of workplace learning depends significantly on conditions that are measurable and manageable, including students’ perceived employability and the quality of academic support during placements (Okolie, 2022). This points to a more effective quality assurance focus: </w:t>
      </w:r>
      <w:proofErr w:type="spellStart"/>
      <w:r w:rsidRPr="006009AA">
        <w:rPr>
          <w:color w:val="auto"/>
          <w:kern w:val="0"/>
          <w:lang w:val="en-US" w:eastAsia="en-US"/>
        </w:rPr>
        <w:t>programme</w:t>
      </w:r>
      <w:proofErr w:type="spellEnd"/>
      <w:r w:rsidRPr="006009AA">
        <w:rPr>
          <w:color w:val="auto"/>
          <w:kern w:val="0"/>
          <w:lang w:val="en-US" w:eastAsia="en-US"/>
        </w:rPr>
        <w:t xml:space="preserve"> teams should routinely evaluate not only whether placements occurred, but whether the placement experience built confidence, competence evidence, and transition readiness—and whether academic supervision strengthened learning.</w:t>
      </w:r>
    </w:p>
    <w:p w14:paraId="32C7FAA8" w14:textId="77777777" w:rsidR="006009AA" w:rsidRPr="006009AA" w:rsidRDefault="006009AA" w:rsidP="006009AA">
      <w:pPr>
        <w:spacing w:before="100" w:beforeAutospacing="1" w:after="100" w:afterAutospacing="1" w:line="240" w:lineRule="auto"/>
        <w:ind w:left="0" w:right="0" w:firstLine="0"/>
        <w:jc w:val="left"/>
        <w:rPr>
          <w:color w:val="auto"/>
          <w:kern w:val="0"/>
          <w:lang w:val="en-US" w:eastAsia="en-US"/>
        </w:rPr>
      </w:pPr>
      <w:r w:rsidRPr="006009AA">
        <w:rPr>
          <w:color w:val="auto"/>
          <w:kern w:val="0"/>
          <w:lang w:val="en-US" w:eastAsia="en-US"/>
        </w:rPr>
        <w:t xml:space="preserve">Okolie (2022) underscores that faculty supervisor support matters, implying that quality assurance should treat supervision as a defined </w:t>
      </w:r>
      <w:proofErr w:type="spellStart"/>
      <w:r w:rsidRPr="006009AA">
        <w:rPr>
          <w:color w:val="auto"/>
          <w:kern w:val="0"/>
          <w:lang w:val="en-US" w:eastAsia="en-US"/>
        </w:rPr>
        <w:t>programme</w:t>
      </w:r>
      <w:proofErr w:type="spellEnd"/>
      <w:r w:rsidRPr="006009AA">
        <w:rPr>
          <w:color w:val="auto"/>
          <w:kern w:val="0"/>
          <w:lang w:val="en-US" w:eastAsia="en-US"/>
        </w:rPr>
        <w:t xml:space="preserve"> function with standards, training, and accountability rather than as an informal add-on. In practice, this can translate into simple but systematic monitoring tools: supervisor engagement logs, structured student reflection templates, and end-of-placement evaluations that capture learning tasks completed, feedback received, and challenges encountered. The managerial value of such tools is not bureaucratic compliance; rather, they create a feedback loop that identifies weak points (e.g., poor task variety, inadequate supervision, misalignment with </w:t>
      </w:r>
      <w:proofErr w:type="spellStart"/>
      <w:r w:rsidRPr="006009AA">
        <w:rPr>
          <w:color w:val="auto"/>
          <w:kern w:val="0"/>
          <w:lang w:val="en-US" w:eastAsia="en-US"/>
        </w:rPr>
        <w:t>programme</w:t>
      </w:r>
      <w:proofErr w:type="spellEnd"/>
      <w:r w:rsidRPr="006009AA">
        <w:rPr>
          <w:color w:val="auto"/>
          <w:kern w:val="0"/>
          <w:lang w:val="en-US" w:eastAsia="en-US"/>
        </w:rPr>
        <w:t xml:space="preserve"> outcomes) and enables targeted improvements over time (Okolie, 2022).</w:t>
      </w:r>
    </w:p>
    <w:p w14:paraId="3CE7C6BD" w14:textId="77777777" w:rsidR="006009AA" w:rsidRPr="006009AA" w:rsidRDefault="006009AA" w:rsidP="006009AA">
      <w:pPr>
        <w:spacing w:before="100" w:beforeAutospacing="1" w:after="100" w:afterAutospacing="1" w:line="240" w:lineRule="auto"/>
        <w:ind w:left="0" w:right="0" w:firstLine="0"/>
        <w:jc w:val="left"/>
        <w:rPr>
          <w:color w:val="auto"/>
          <w:kern w:val="0"/>
          <w:lang w:val="en-US" w:eastAsia="en-US"/>
        </w:rPr>
      </w:pPr>
      <w:r w:rsidRPr="006009AA">
        <w:rPr>
          <w:color w:val="auto"/>
          <w:kern w:val="0"/>
          <w:lang w:val="en-US" w:eastAsia="en-US"/>
        </w:rPr>
        <w:t xml:space="preserve">A robust employability quality cycle can also integrate stakeholder feedback more strategically. A stakeholder approach implies that employer perspectives should not appear only as external critiques but as structured inputs into </w:t>
      </w:r>
      <w:proofErr w:type="spellStart"/>
      <w:r w:rsidRPr="006009AA">
        <w:rPr>
          <w:color w:val="auto"/>
          <w:kern w:val="0"/>
          <w:lang w:val="en-US" w:eastAsia="en-US"/>
        </w:rPr>
        <w:t>programme</w:t>
      </w:r>
      <w:proofErr w:type="spellEnd"/>
      <w:r w:rsidRPr="006009AA">
        <w:rPr>
          <w:color w:val="auto"/>
          <w:kern w:val="0"/>
          <w:lang w:val="en-US" w:eastAsia="en-US"/>
        </w:rPr>
        <w:t xml:space="preserve"> renewal decisions (</w:t>
      </w:r>
      <w:proofErr w:type="spellStart"/>
      <w:r w:rsidRPr="006009AA">
        <w:rPr>
          <w:color w:val="auto"/>
          <w:kern w:val="0"/>
          <w:lang w:val="en-US" w:eastAsia="en-US"/>
        </w:rPr>
        <w:t>Nwajiuba</w:t>
      </w:r>
      <w:proofErr w:type="spellEnd"/>
      <w:r w:rsidRPr="006009AA">
        <w:rPr>
          <w:color w:val="auto"/>
          <w:kern w:val="0"/>
          <w:lang w:val="en-US" w:eastAsia="en-US"/>
        </w:rPr>
        <w:t xml:space="preserve"> et al., 2020). Similarly, the Nigerian graduate outcomes discussion suggests that employability depends on institutional responsiveness to </w:t>
      </w:r>
      <w:proofErr w:type="spellStart"/>
      <w:r w:rsidRPr="006009AA">
        <w:rPr>
          <w:color w:val="auto"/>
          <w:kern w:val="0"/>
          <w:lang w:val="en-US" w:eastAsia="en-US"/>
        </w:rPr>
        <w:t>labour</w:t>
      </w:r>
      <w:proofErr w:type="spellEnd"/>
      <w:r w:rsidRPr="006009AA">
        <w:rPr>
          <w:color w:val="auto"/>
          <w:kern w:val="0"/>
          <w:lang w:val="en-US" w:eastAsia="en-US"/>
        </w:rPr>
        <w:t xml:space="preserve"> market signals, which requires mechanisms to capture and interpret those signals (Okolie et al., 2019). A feasible </w:t>
      </w:r>
      <w:proofErr w:type="spellStart"/>
      <w:r w:rsidRPr="006009AA">
        <w:rPr>
          <w:color w:val="auto"/>
          <w:kern w:val="0"/>
          <w:lang w:val="en-US" w:eastAsia="en-US"/>
        </w:rPr>
        <w:t>programme</w:t>
      </w:r>
      <w:proofErr w:type="spellEnd"/>
      <w:r w:rsidRPr="006009AA">
        <w:rPr>
          <w:color w:val="auto"/>
          <w:kern w:val="0"/>
          <w:lang w:val="en-US" w:eastAsia="en-US"/>
        </w:rPr>
        <w:t xml:space="preserve">-level model is an annual “employability review” as part of </w:t>
      </w:r>
      <w:proofErr w:type="spellStart"/>
      <w:r w:rsidRPr="006009AA">
        <w:rPr>
          <w:color w:val="auto"/>
          <w:kern w:val="0"/>
          <w:lang w:val="en-US" w:eastAsia="en-US"/>
        </w:rPr>
        <w:t>programme</w:t>
      </w:r>
      <w:proofErr w:type="spellEnd"/>
      <w:r w:rsidRPr="006009AA">
        <w:rPr>
          <w:color w:val="auto"/>
          <w:kern w:val="0"/>
          <w:lang w:val="en-US" w:eastAsia="en-US"/>
        </w:rPr>
        <w:t xml:space="preserve"> board processes, where evidence from placement evaluations, employer feedback on student performance, and student competence portfolios (or equivalent artefacts) is discussed alongside curriculum mapping and assessment outcomes. Even when graduate destination data are imperfect, these intermediate indicators can still guide improvement by highlighting where the </w:t>
      </w:r>
      <w:proofErr w:type="spellStart"/>
      <w:r w:rsidRPr="006009AA">
        <w:rPr>
          <w:color w:val="auto"/>
          <w:kern w:val="0"/>
          <w:lang w:val="en-US" w:eastAsia="en-US"/>
        </w:rPr>
        <w:t>programme</w:t>
      </w:r>
      <w:proofErr w:type="spellEnd"/>
      <w:r w:rsidRPr="006009AA">
        <w:rPr>
          <w:color w:val="auto"/>
          <w:kern w:val="0"/>
          <w:lang w:val="en-US" w:eastAsia="en-US"/>
        </w:rPr>
        <w:t xml:space="preserve"> is not consistently producing the intended employability capabilities (Okolie, 2022).</w:t>
      </w:r>
    </w:p>
    <w:p w14:paraId="22C013FC" w14:textId="77777777" w:rsidR="006009AA" w:rsidRPr="006009AA" w:rsidRDefault="006009AA" w:rsidP="006009AA">
      <w:pPr>
        <w:spacing w:before="100" w:beforeAutospacing="1" w:after="100" w:afterAutospacing="1" w:line="240" w:lineRule="auto"/>
        <w:ind w:left="0" w:right="0" w:firstLine="0"/>
        <w:jc w:val="left"/>
        <w:rPr>
          <w:color w:val="auto"/>
          <w:kern w:val="0"/>
          <w:lang w:val="en-US" w:eastAsia="en-US"/>
        </w:rPr>
      </w:pPr>
      <w:r w:rsidRPr="006009AA">
        <w:rPr>
          <w:color w:val="auto"/>
          <w:kern w:val="0"/>
          <w:lang w:val="en-US" w:eastAsia="en-US"/>
        </w:rPr>
        <w:t>Importantly, quality assurance for employability should also address equity and consistency. If employability is partly produced through partnerships and placements, then unequal access to high-quality placement sites or uneven supervision intensity can create unequal graduate outcomes. Governance that sets minimum standards, monitors variations, and reallocates support to weaker points is therefore essential to prevent employability from becoming dependent on chance or personal networks. This is consistent with the Nigerian stakeholder argument that employability is a collective outcome requiring coordinated stewardship (</w:t>
      </w:r>
      <w:proofErr w:type="spellStart"/>
      <w:r w:rsidRPr="006009AA">
        <w:rPr>
          <w:color w:val="auto"/>
          <w:kern w:val="0"/>
          <w:lang w:val="en-US" w:eastAsia="en-US"/>
        </w:rPr>
        <w:t>Nwajiuba</w:t>
      </w:r>
      <w:proofErr w:type="spellEnd"/>
      <w:r w:rsidRPr="006009AA">
        <w:rPr>
          <w:color w:val="auto"/>
          <w:kern w:val="0"/>
          <w:lang w:val="en-US" w:eastAsia="en-US"/>
        </w:rPr>
        <w:t xml:space="preserve"> et al., 2020) and with the broader Nigeria-oriented claim that institutional mechanisms must strengthen the reliability of graduate outcomes (Okolie et al., 2019). Ultimately, the literature implies that Nigerian universities can improve employability not only by adding initiatives but by building governance and quality systems that ensure employability practices are implemented consistently, evaluated meaningfully, and improved continuously (Okolie, 2022).</w:t>
      </w:r>
    </w:p>
    <w:p w14:paraId="3DCB5D6C" w14:textId="77777777" w:rsidR="00BB7829" w:rsidRPr="00BB7829" w:rsidRDefault="00BB7829" w:rsidP="00BB7829">
      <w:pPr>
        <w:rPr>
          <w:lang w:val="en-GB"/>
        </w:rPr>
      </w:pPr>
    </w:p>
    <w:p w14:paraId="3DCBDEE3" w14:textId="77777777" w:rsidR="006009AA" w:rsidRPr="006009AA" w:rsidRDefault="006009AA" w:rsidP="006009AA">
      <w:pPr>
        <w:spacing w:before="100" w:beforeAutospacing="1" w:after="100" w:afterAutospacing="1" w:line="240" w:lineRule="auto"/>
        <w:ind w:left="0" w:right="0" w:firstLine="0"/>
        <w:jc w:val="left"/>
        <w:outlineLvl w:val="1"/>
        <w:rPr>
          <w:b/>
          <w:bCs/>
          <w:color w:val="auto"/>
          <w:kern w:val="0"/>
          <w:sz w:val="36"/>
          <w:szCs w:val="36"/>
          <w:lang w:val="en-US" w:eastAsia="en-US"/>
        </w:rPr>
      </w:pPr>
      <w:r w:rsidRPr="006009AA">
        <w:rPr>
          <w:b/>
          <w:bCs/>
          <w:color w:val="auto"/>
          <w:kern w:val="0"/>
          <w:sz w:val="36"/>
          <w:szCs w:val="36"/>
          <w:lang w:val="en-US" w:eastAsia="en-US"/>
        </w:rPr>
        <w:lastRenderedPageBreak/>
        <w:t xml:space="preserve">7. Measuring employability in Nigeria: challenges and pragmatic strategies </w:t>
      </w:r>
    </w:p>
    <w:p w14:paraId="51327E75" w14:textId="77777777" w:rsidR="006009AA" w:rsidRPr="006009AA" w:rsidRDefault="006009AA" w:rsidP="006009AA">
      <w:pPr>
        <w:spacing w:before="100" w:beforeAutospacing="1" w:after="100" w:afterAutospacing="1" w:line="240" w:lineRule="auto"/>
        <w:ind w:left="0" w:right="0" w:firstLine="0"/>
        <w:jc w:val="left"/>
        <w:rPr>
          <w:color w:val="auto"/>
          <w:kern w:val="0"/>
          <w:lang w:val="en-US" w:eastAsia="en-US"/>
        </w:rPr>
      </w:pPr>
      <w:r w:rsidRPr="006009AA">
        <w:rPr>
          <w:color w:val="auto"/>
          <w:kern w:val="0"/>
          <w:lang w:val="en-US" w:eastAsia="en-US"/>
        </w:rPr>
        <w:t xml:space="preserve">Measuring employability in Nigeria is both essential and methodologically difficult. It is essential because what is not measured is rarely managed: </w:t>
      </w:r>
      <w:proofErr w:type="spellStart"/>
      <w:r w:rsidRPr="006009AA">
        <w:rPr>
          <w:color w:val="auto"/>
          <w:kern w:val="0"/>
          <w:lang w:val="en-US" w:eastAsia="en-US"/>
        </w:rPr>
        <w:t>programme</w:t>
      </w:r>
      <w:proofErr w:type="spellEnd"/>
      <w:r w:rsidRPr="006009AA">
        <w:rPr>
          <w:color w:val="auto"/>
          <w:kern w:val="0"/>
          <w:lang w:val="en-US" w:eastAsia="en-US"/>
        </w:rPr>
        <w:t xml:space="preserve"> teams cannot reliably improve employability if they lack credible evidence of what students are learning, how confidently they can transition into work, and whether </w:t>
      </w:r>
      <w:proofErr w:type="spellStart"/>
      <w:r w:rsidRPr="006009AA">
        <w:rPr>
          <w:color w:val="auto"/>
          <w:kern w:val="0"/>
          <w:lang w:val="en-US" w:eastAsia="en-US"/>
        </w:rPr>
        <w:t>programme</w:t>
      </w:r>
      <w:proofErr w:type="spellEnd"/>
      <w:r w:rsidRPr="006009AA">
        <w:rPr>
          <w:color w:val="auto"/>
          <w:kern w:val="0"/>
          <w:lang w:val="en-US" w:eastAsia="en-US"/>
        </w:rPr>
        <w:t xml:space="preserve"> design features such as placements actually function as intended. It is difficult because employability is not a single outcome. Employment status, job quality, career progression, and skills application are shaped by macroeconomic conditions, </w:t>
      </w:r>
      <w:proofErr w:type="spellStart"/>
      <w:r w:rsidRPr="006009AA">
        <w:rPr>
          <w:color w:val="auto"/>
          <w:kern w:val="0"/>
          <w:lang w:val="en-US" w:eastAsia="en-US"/>
        </w:rPr>
        <w:t>labour</w:t>
      </w:r>
      <w:proofErr w:type="spellEnd"/>
      <w:r w:rsidRPr="006009AA">
        <w:rPr>
          <w:color w:val="auto"/>
          <w:kern w:val="0"/>
          <w:lang w:val="en-US" w:eastAsia="en-US"/>
        </w:rPr>
        <w:t xml:space="preserve"> market structure, regional opportunity differences, and social networks—factors that sit outside the control of universities. For Nigerian universities, the challenge is therefore not only “what to measure,” but also “how to measure what universities can plausibly influence” while </w:t>
      </w:r>
      <w:proofErr w:type="spellStart"/>
      <w:r w:rsidRPr="006009AA">
        <w:rPr>
          <w:color w:val="auto"/>
          <w:kern w:val="0"/>
          <w:lang w:val="en-US" w:eastAsia="en-US"/>
        </w:rPr>
        <w:t>recognising</w:t>
      </w:r>
      <w:proofErr w:type="spellEnd"/>
      <w:r w:rsidRPr="006009AA">
        <w:rPr>
          <w:color w:val="auto"/>
          <w:kern w:val="0"/>
          <w:lang w:val="en-US" w:eastAsia="en-US"/>
        </w:rPr>
        <w:t xml:space="preserve"> that graduate employment itself is a noisy indicator. This is why the recent Nigerian literature points toward intermediate outcomes—such as perceived employability, self-efficacy, transition readiness, and competence evidence—as workable targets for measurement and quality improvement (Okolie, 2022).</w:t>
      </w:r>
    </w:p>
    <w:p w14:paraId="192A4019" w14:textId="77777777" w:rsidR="006009AA" w:rsidRPr="006009AA" w:rsidRDefault="006009AA" w:rsidP="006009AA">
      <w:pPr>
        <w:spacing w:before="100" w:beforeAutospacing="1" w:after="100" w:afterAutospacing="1" w:line="240" w:lineRule="auto"/>
        <w:ind w:left="0" w:right="0" w:firstLine="0"/>
        <w:jc w:val="left"/>
        <w:rPr>
          <w:color w:val="auto"/>
          <w:kern w:val="0"/>
          <w:lang w:val="en-US" w:eastAsia="en-US"/>
        </w:rPr>
      </w:pPr>
      <w:r w:rsidRPr="006009AA">
        <w:rPr>
          <w:color w:val="auto"/>
          <w:kern w:val="0"/>
          <w:lang w:val="en-US" w:eastAsia="en-US"/>
        </w:rPr>
        <w:t xml:space="preserve">A further challenge is that the </w:t>
      </w:r>
      <w:proofErr w:type="spellStart"/>
      <w:r w:rsidRPr="006009AA">
        <w:rPr>
          <w:color w:val="auto"/>
          <w:kern w:val="0"/>
          <w:lang w:val="en-US" w:eastAsia="en-US"/>
        </w:rPr>
        <w:t>labour</w:t>
      </w:r>
      <w:proofErr w:type="spellEnd"/>
      <w:r w:rsidRPr="006009AA">
        <w:rPr>
          <w:color w:val="auto"/>
          <w:kern w:val="0"/>
          <w:lang w:val="en-US" w:eastAsia="en-US"/>
        </w:rPr>
        <w:t xml:space="preserve"> market signal of a Nigerian degree may vary substantially by discipline, institution type, geographic region, and sector. In some cases, the </w:t>
      </w:r>
      <w:proofErr w:type="spellStart"/>
      <w:r w:rsidRPr="006009AA">
        <w:rPr>
          <w:color w:val="auto"/>
          <w:kern w:val="0"/>
          <w:lang w:val="en-US" w:eastAsia="en-US"/>
        </w:rPr>
        <w:t>labour</w:t>
      </w:r>
      <w:proofErr w:type="spellEnd"/>
      <w:r w:rsidRPr="006009AA">
        <w:rPr>
          <w:color w:val="auto"/>
          <w:kern w:val="0"/>
          <w:lang w:val="en-US" w:eastAsia="en-US"/>
        </w:rPr>
        <w:t xml:space="preserve"> market rewards credential prestige; in others, it rewards demonstrable competence and networks. When employability is measured only by graduate employment rates, institutional comparisons can become misleading because they may reflect differences in student intake profiles or local </w:t>
      </w:r>
      <w:proofErr w:type="spellStart"/>
      <w:r w:rsidRPr="006009AA">
        <w:rPr>
          <w:color w:val="auto"/>
          <w:kern w:val="0"/>
          <w:lang w:val="en-US" w:eastAsia="en-US"/>
        </w:rPr>
        <w:t>labour</w:t>
      </w:r>
      <w:proofErr w:type="spellEnd"/>
      <w:r w:rsidRPr="006009AA">
        <w:rPr>
          <w:color w:val="auto"/>
          <w:kern w:val="0"/>
          <w:lang w:val="en-US" w:eastAsia="en-US"/>
        </w:rPr>
        <w:t xml:space="preserve"> market conditions rather than </w:t>
      </w:r>
      <w:proofErr w:type="spellStart"/>
      <w:r w:rsidRPr="006009AA">
        <w:rPr>
          <w:color w:val="auto"/>
          <w:kern w:val="0"/>
          <w:lang w:val="en-US" w:eastAsia="en-US"/>
        </w:rPr>
        <w:t>programme</w:t>
      </w:r>
      <w:proofErr w:type="spellEnd"/>
      <w:r w:rsidRPr="006009AA">
        <w:rPr>
          <w:color w:val="auto"/>
          <w:kern w:val="0"/>
          <w:lang w:val="en-US" w:eastAsia="en-US"/>
        </w:rPr>
        <w:t xml:space="preserve"> quality. At the same time, an exclusive focus on “skills” measured through self-report surveys can also be misleading if instruments are not anchored in authentic performance evidence. The measurement task in Nigeria is therefore best approached as a pragmatic balance: universities should track employment-related indicators where feasible, but place greater operational emphasis on employability constructs that can be influenced through </w:t>
      </w:r>
      <w:proofErr w:type="spellStart"/>
      <w:r w:rsidRPr="006009AA">
        <w:rPr>
          <w:color w:val="auto"/>
          <w:kern w:val="0"/>
          <w:lang w:val="en-US" w:eastAsia="en-US"/>
        </w:rPr>
        <w:t>programme</w:t>
      </w:r>
      <w:proofErr w:type="spellEnd"/>
      <w:r w:rsidRPr="006009AA">
        <w:rPr>
          <w:color w:val="auto"/>
          <w:kern w:val="0"/>
          <w:lang w:val="en-US" w:eastAsia="en-US"/>
        </w:rPr>
        <w:t xml:space="preserve"> management, especially those connected to work-integrated learning (WIL), supervision quality, and demonstrable capability.</w:t>
      </w:r>
    </w:p>
    <w:p w14:paraId="04E9C0A6" w14:textId="77777777" w:rsidR="006009AA" w:rsidRPr="006009AA" w:rsidRDefault="006009AA" w:rsidP="006009AA">
      <w:pPr>
        <w:spacing w:before="100" w:beforeAutospacing="1" w:after="100" w:afterAutospacing="1" w:line="240" w:lineRule="auto"/>
        <w:ind w:left="0" w:right="0" w:firstLine="0"/>
        <w:jc w:val="left"/>
        <w:outlineLvl w:val="2"/>
        <w:rPr>
          <w:b/>
          <w:bCs/>
          <w:color w:val="auto"/>
          <w:kern w:val="0"/>
          <w:sz w:val="27"/>
          <w:szCs w:val="27"/>
          <w:lang w:val="en-US" w:eastAsia="en-US"/>
        </w:rPr>
      </w:pPr>
      <w:r w:rsidRPr="006009AA">
        <w:rPr>
          <w:b/>
          <w:bCs/>
          <w:color w:val="auto"/>
          <w:kern w:val="0"/>
          <w:sz w:val="27"/>
          <w:szCs w:val="27"/>
          <w:lang w:val="en-US" w:eastAsia="en-US"/>
        </w:rPr>
        <w:t>7.1 Core measurement challenges in the Nigerian context</w:t>
      </w:r>
    </w:p>
    <w:p w14:paraId="16905150" w14:textId="77777777" w:rsidR="006009AA" w:rsidRPr="006009AA" w:rsidRDefault="006009AA" w:rsidP="006009AA">
      <w:pPr>
        <w:spacing w:before="100" w:beforeAutospacing="1" w:after="100" w:afterAutospacing="1" w:line="240" w:lineRule="auto"/>
        <w:ind w:left="0" w:right="0" w:firstLine="0"/>
        <w:jc w:val="left"/>
        <w:rPr>
          <w:color w:val="auto"/>
          <w:kern w:val="0"/>
          <w:lang w:val="en-US" w:eastAsia="en-US"/>
        </w:rPr>
      </w:pPr>
      <w:r w:rsidRPr="006009AA">
        <w:rPr>
          <w:color w:val="auto"/>
          <w:kern w:val="0"/>
          <w:lang w:val="en-US" w:eastAsia="en-US"/>
        </w:rPr>
        <w:t xml:space="preserve">A central conceptual problem is attribution. Even when a graduate secures employment, it is often unclear whether this outcome is attributable to </w:t>
      </w:r>
      <w:proofErr w:type="spellStart"/>
      <w:r w:rsidRPr="006009AA">
        <w:rPr>
          <w:color w:val="auto"/>
          <w:kern w:val="0"/>
          <w:lang w:val="en-US" w:eastAsia="en-US"/>
        </w:rPr>
        <w:t>programme</w:t>
      </w:r>
      <w:proofErr w:type="spellEnd"/>
      <w:r w:rsidRPr="006009AA">
        <w:rPr>
          <w:color w:val="auto"/>
          <w:kern w:val="0"/>
          <w:lang w:val="en-US" w:eastAsia="en-US"/>
        </w:rPr>
        <w:t xml:space="preserve"> learning, </w:t>
      </w:r>
      <w:proofErr w:type="spellStart"/>
      <w:r w:rsidRPr="006009AA">
        <w:rPr>
          <w:color w:val="auto"/>
          <w:kern w:val="0"/>
          <w:lang w:val="en-US" w:eastAsia="en-US"/>
        </w:rPr>
        <w:t>labour</w:t>
      </w:r>
      <w:proofErr w:type="spellEnd"/>
      <w:r w:rsidRPr="006009AA">
        <w:rPr>
          <w:color w:val="auto"/>
          <w:kern w:val="0"/>
          <w:lang w:val="en-US" w:eastAsia="en-US"/>
        </w:rPr>
        <w:t xml:space="preserve"> market networks, personal initiative, or external circumstances. Okolie (2022) addresses this challenge implicitly by focusing on readiness for school-to-work transition and by modelling how work placement learning relates to readiness through pathways such as perceived employability and self-efficacy, with faculty supervisor support also playing a meaningful role. This provides a strong measurement implication for Nigeria: if universities focus on employability outcomes that sit closer to educational experience—such as readiness, confidence in employability, and supervised learning quality—then measurement becomes more actionable and more fairly attributable to </w:t>
      </w:r>
      <w:proofErr w:type="spellStart"/>
      <w:r w:rsidRPr="006009AA">
        <w:rPr>
          <w:color w:val="auto"/>
          <w:kern w:val="0"/>
          <w:lang w:val="en-US" w:eastAsia="en-US"/>
        </w:rPr>
        <w:t>programme</w:t>
      </w:r>
      <w:proofErr w:type="spellEnd"/>
      <w:r w:rsidRPr="006009AA">
        <w:rPr>
          <w:color w:val="auto"/>
          <w:kern w:val="0"/>
          <w:lang w:val="en-US" w:eastAsia="en-US"/>
        </w:rPr>
        <w:t>-level interventions (</w:t>
      </w:r>
      <w:proofErr w:type="spellStart"/>
      <w:r w:rsidRPr="006009AA">
        <w:rPr>
          <w:color w:val="auto"/>
          <w:kern w:val="0"/>
          <w:lang w:val="en-US" w:eastAsia="en-US"/>
        </w:rPr>
        <w:t>Okolie</w:t>
      </w:r>
      <w:proofErr w:type="spellEnd"/>
      <w:r w:rsidRPr="006009AA">
        <w:rPr>
          <w:color w:val="auto"/>
          <w:kern w:val="0"/>
          <w:lang w:val="en-US" w:eastAsia="en-US"/>
        </w:rPr>
        <w:t>, 2022).</w:t>
      </w:r>
    </w:p>
    <w:p w14:paraId="398C1599" w14:textId="77777777" w:rsidR="006009AA" w:rsidRPr="006009AA" w:rsidRDefault="006009AA" w:rsidP="006009AA">
      <w:pPr>
        <w:spacing w:before="100" w:beforeAutospacing="1" w:after="100" w:afterAutospacing="1" w:line="240" w:lineRule="auto"/>
        <w:ind w:left="0" w:right="0" w:firstLine="0"/>
        <w:jc w:val="left"/>
        <w:rPr>
          <w:color w:val="auto"/>
          <w:kern w:val="0"/>
          <w:lang w:val="en-US" w:eastAsia="en-US"/>
        </w:rPr>
      </w:pPr>
      <w:r w:rsidRPr="006009AA">
        <w:rPr>
          <w:color w:val="auto"/>
          <w:kern w:val="0"/>
          <w:lang w:val="en-US" w:eastAsia="en-US"/>
        </w:rPr>
        <w:t xml:space="preserve">A second challenge is data infrastructure. Many Nigerian institutions face difficulty with graduate tracking due to limited resources, incomplete alumni databases, high graduate mobility, and informal employment pathways that are difficult to capture through </w:t>
      </w:r>
      <w:r w:rsidRPr="006009AA">
        <w:rPr>
          <w:color w:val="auto"/>
          <w:kern w:val="0"/>
          <w:lang w:val="en-US" w:eastAsia="en-US"/>
        </w:rPr>
        <w:lastRenderedPageBreak/>
        <w:t xml:space="preserve">conventional surveys. Even when employment surveys exist, response rates may be low, and data may be biased toward graduates who are easily reachable or more engaged with their alma mater. This does not mean measurement is impossible; rather, it means measurement should be designed as “minimum viable evidence” that is collected routinely and used for improvement. The most productive question becomes: what indicators can </w:t>
      </w:r>
      <w:proofErr w:type="spellStart"/>
      <w:r w:rsidRPr="006009AA">
        <w:rPr>
          <w:color w:val="auto"/>
          <w:kern w:val="0"/>
          <w:lang w:val="en-US" w:eastAsia="en-US"/>
        </w:rPr>
        <w:t>programmes</w:t>
      </w:r>
      <w:proofErr w:type="spellEnd"/>
      <w:r w:rsidRPr="006009AA">
        <w:rPr>
          <w:color w:val="auto"/>
          <w:kern w:val="0"/>
          <w:lang w:val="en-US" w:eastAsia="en-US"/>
        </w:rPr>
        <w:t xml:space="preserve"> collect consistently each year that provide a reasonable picture of employability development, even if graduate outcome data remain incomplete?</w:t>
      </w:r>
    </w:p>
    <w:p w14:paraId="4E255683" w14:textId="77777777" w:rsidR="006009AA" w:rsidRPr="006009AA" w:rsidRDefault="006009AA" w:rsidP="006009AA">
      <w:pPr>
        <w:spacing w:before="100" w:beforeAutospacing="1" w:after="100" w:afterAutospacing="1" w:line="240" w:lineRule="auto"/>
        <w:ind w:left="0" w:right="0" w:firstLine="0"/>
        <w:jc w:val="left"/>
        <w:rPr>
          <w:color w:val="auto"/>
          <w:kern w:val="0"/>
          <w:lang w:val="en-US" w:eastAsia="en-US"/>
        </w:rPr>
      </w:pPr>
      <w:r w:rsidRPr="006009AA">
        <w:rPr>
          <w:color w:val="auto"/>
          <w:kern w:val="0"/>
          <w:lang w:val="en-US" w:eastAsia="en-US"/>
        </w:rPr>
        <w:t xml:space="preserve">A third challenge is construct validity in employability measurement. Employability includes both competence and the capacity to </w:t>
      </w:r>
      <w:proofErr w:type="spellStart"/>
      <w:r w:rsidRPr="006009AA">
        <w:rPr>
          <w:color w:val="auto"/>
          <w:kern w:val="0"/>
          <w:lang w:val="en-US" w:eastAsia="en-US"/>
        </w:rPr>
        <w:t>mobilise</w:t>
      </w:r>
      <w:proofErr w:type="spellEnd"/>
      <w:r w:rsidRPr="006009AA">
        <w:rPr>
          <w:color w:val="auto"/>
          <w:kern w:val="0"/>
          <w:lang w:val="en-US" w:eastAsia="en-US"/>
        </w:rPr>
        <w:t xml:space="preserve"> competence in real contexts. A measure such as “digital literacy,” for example, can be treated as a capability pathway that supports employability. Adegbite (2024) demonstrates that digital literacy can operate as a mediator in the relationship between work-integrated learning and graduate employability, which implies that employability measurement in Nigeria should include capability domains that reflect contemporary work realities rather than relying only on generic soft-skill inventories. If digital literacy is an active pathway through which WIL translates into employability, then tracking digital skill development is not optional; it becomes part of a coherent employability measurement logic (Adegbite, 2024).</w:t>
      </w:r>
    </w:p>
    <w:p w14:paraId="0974C7D2" w14:textId="77777777" w:rsidR="006009AA" w:rsidRPr="006009AA" w:rsidRDefault="006009AA" w:rsidP="006009AA">
      <w:pPr>
        <w:spacing w:before="100" w:beforeAutospacing="1" w:after="100" w:afterAutospacing="1" w:line="240" w:lineRule="auto"/>
        <w:ind w:left="0" w:right="0" w:firstLine="0"/>
        <w:jc w:val="left"/>
        <w:outlineLvl w:val="2"/>
        <w:rPr>
          <w:b/>
          <w:bCs/>
          <w:color w:val="auto"/>
          <w:kern w:val="0"/>
          <w:sz w:val="27"/>
          <w:szCs w:val="27"/>
          <w:lang w:val="en-US" w:eastAsia="en-US"/>
        </w:rPr>
      </w:pPr>
      <w:r w:rsidRPr="006009AA">
        <w:rPr>
          <w:b/>
          <w:bCs/>
          <w:color w:val="auto"/>
          <w:kern w:val="0"/>
          <w:sz w:val="27"/>
          <w:szCs w:val="27"/>
          <w:lang w:val="en-US" w:eastAsia="en-US"/>
        </w:rPr>
        <w:t xml:space="preserve">7.2 Pragmatic measurement strategies for </w:t>
      </w:r>
      <w:proofErr w:type="spellStart"/>
      <w:r w:rsidRPr="006009AA">
        <w:rPr>
          <w:b/>
          <w:bCs/>
          <w:color w:val="auto"/>
          <w:kern w:val="0"/>
          <w:sz w:val="27"/>
          <w:szCs w:val="27"/>
          <w:lang w:val="en-US" w:eastAsia="en-US"/>
        </w:rPr>
        <w:t>programme</w:t>
      </w:r>
      <w:proofErr w:type="spellEnd"/>
      <w:r w:rsidRPr="006009AA">
        <w:rPr>
          <w:b/>
          <w:bCs/>
          <w:color w:val="auto"/>
          <w:kern w:val="0"/>
          <w:sz w:val="27"/>
          <w:szCs w:val="27"/>
          <w:lang w:val="en-US" w:eastAsia="en-US"/>
        </w:rPr>
        <w:t xml:space="preserve"> teams and quality units</w:t>
      </w:r>
    </w:p>
    <w:p w14:paraId="602269CD" w14:textId="77777777" w:rsidR="006009AA" w:rsidRPr="006009AA" w:rsidRDefault="006009AA" w:rsidP="006009AA">
      <w:pPr>
        <w:spacing w:before="100" w:beforeAutospacing="1" w:after="100" w:afterAutospacing="1" w:line="240" w:lineRule="auto"/>
        <w:ind w:left="0" w:right="0" w:firstLine="0"/>
        <w:jc w:val="left"/>
        <w:rPr>
          <w:color w:val="auto"/>
          <w:kern w:val="0"/>
          <w:lang w:val="en-US" w:eastAsia="en-US"/>
        </w:rPr>
      </w:pPr>
      <w:r w:rsidRPr="006009AA">
        <w:rPr>
          <w:color w:val="auto"/>
          <w:kern w:val="0"/>
          <w:lang w:val="en-US" w:eastAsia="en-US"/>
        </w:rPr>
        <w:t xml:space="preserve">Given these challenges, a pragmatic employability measurement strategy in Nigeria should </w:t>
      </w:r>
      <w:proofErr w:type="spellStart"/>
      <w:r w:rsidRPr="006009AA">
        <w:rPr>
          <w:color w:val="auto"/>
          <w:kern w:val="0"/>
          <w:lang w:val="en-US" w:eastAsia="en-US"/>
        </w:rPr>
        <w:t>prioritise</w:t>
      </w:r>
      <w:proofErr w:type="spellEnd"/>
      <w:r w:rsidRPr="006009AA">
        <w:rPr>
          <w:color w:val="auto"/>
          <w:kern w:val="0"/>
          <w:lang w:val="en-US" w:eastAsia="en-US"/>
        </w:rPr>
        <w:t xml:space="preserve"> triangulation: combining multiple imperfect indicators to create a more credible overall picture. A single measure is rarely sufficient, but a small set of complementary indicators can be powerful for </w:t>
      </w:r>
      <w:proofErr w:type="spellStart"/>
      <w:r w:rsidRPr="006009AA">
        <w:rPr>
          <w:color w:val="auto"/>
          <w:kern w:val="0"/>
          <w:lang w:val="en-US" w:eastAsia="en-US"/>
        </w:rPr>
        <w:t>programme</w:t>
      </w:r>
      <w:proofErr w:type="spellEnd"/>
      <w:r w:rsidRPr="006009AA">
        <w:rPr>
          <w:color w:val="auto"/>
          <w:kern w:val="0"/>
          <w:lang w:val="en-US" w:eastAsia="en-US"/>
        </w:rPr>
        <w:t xml:space="preserve"> improvement.</w:t>
      </w:r>
    </w:p>
    <w:p w14:paraId="2341C540" w14:textId="77777777" w:rsidR="006009AA" w:rsidRPr="006009AA" w:rsidRDefault="006009AA" w:rsidP="006009AA">
      <w:pPr>
        <w:spacing w:before="100" w:beforeAutospacing="1" w:after="100" w:afterAutospacing="1" w:line="240" w:lineRule="auto"/>
        <w:ind w:left="0" w:right="0" w:firstLine="0"/>
        <w:jc w:val="left"/>
        <w:rPr>
          <w:color w:val="auto"/>
          <w:kern w:val="0"/>
          <w:lang w:val="en-US" w:eastAsia="en-US"/>
        </w:rPr>
      </w:pPr>
      <w:r w:rsidRPr="006009AA">
        <w:rPr>
          <w:color w:val="auto"/>
          <w:kern w:val="0"/>
          <w:lang w:val="en-US" w:eastAsia="en-US"/>
        </w:rPr>
        <w:t xml:space="preserve">One practical approach is to adopt a layered indicator model. At the first layer, </w:t>
      </w:r>
      <w:proofErr w:type="spellStart"/>
      <w:r w:rsidRPr="006009AA">
        <w:rPr>
          <w:color w:val="auto"/>
          <w:kern w:val="0"/>
          <w:lang w:val="en-US" w:eastAsia="en-US"/>
        </w:rPr>
        <w:t>programmes</w:t>
      </w:r>
      <w:proofErr w:type="spellEnd"/>
      <w:r w:rsidRPr="006009AA">
        <w:rPr>
          <w:color w:val="auto"/>
          <w:kern w:val="0"/>
          <w:lang w:val="en-US" w:eastAsia="en-US"/>
        </w:rPr>
        <w:t xml:space="preserve"> can track WIL participation and basic placement characteristics (duration, sector, role type) because WIL is repeatedly positioned as a key employability mechanism in Nigeria (Okolie, 2022; Adegbite, 2024). At the second layer, </w:t>
      </w:r>
      <w:proofErr w:type="spellStart"/>
      <w:r w:rsidRPr="006009AA">
        <w:rPr>
          <w:color w:val="auto"/>
          <w:kern w:val="0"/>
          <w:lang w:val="en-US" w:eastAsia="en-US"/>
        </w:rPr>
        <w:t>programmes</w:t>
      </w:r>
      <w:proofErr w:type="spellEnd"/>
      <w:r w:rsidRPr="006009AA">
        <w:rPr>
          <w:color w:val="auto"/>
          <w:kern w:val="0"/>
          <w:lang w:val="en-US" w:eastAsia="en-US"/>
        </w:rPr>
        <w:t xml:space="preserve"> can track intermediate outcomes that are more proximal to educational experiences, including perceived employability, self-efficacy related to work transition, and readiness for school-to-work transition. These constructs are not merely “soft perceptions”; in Okolie’s (2022) analysis, perceived employability and self-efficacy are meaningful pathways that help explain how placement learning contributes to transition readiness, making them legitimate quality indicators when measured consistently and interpreted cautiously (Okolie, 2022). At the third layer, </w:t>
      </w:r>
      <w:proofErr w:type="spellStart"/>
      <w:r w:rsidRPr="006009AA">
        <w:rPr>
          <w:color w:val="auto"/>
          <w:kern w:val="0"/>
          <w:lang w:val="en-US" w:eastAsia="en-US"/>
        </w:rPr>
        <w:t>programmes</w:t>
      </w:r>
      <w:proofErr w:type="spellEnd"/>
      <w:r w:rsidRPr="006009AA">
        <w:rPr>
          <w:color w:val="auto"/>
          <w:kern w:val="0"/>
          <w:lang w:val="en-US" w:eastAsia="en-US"/>
        </w:rPr>
        <w:t xml:space="preserve"> can collect competence evidence through structured artefacts: placement supervisor evaluations, assessed reflective reports, portfolios, and capstone outputs. The aim is not to generate bureaucratic paperwork but to create a credible evidence trail that students can use for </w:t>
      </w:r>
      <w:proofErr w:type="spellStart"/>
      <w:r w:rsidRPr="006009AA">
        <w:rPr>
          <w:color w:val="auto"/>
          <w:kern w:val="0"/>
          <w:lang w:val="en-US" w:eastAsia="en-US"/>
        </w:rPr>
        <w:t>signalling</w:t>
      </w:r>
      <w:proofErr w:type="spellEnd"/>
      <w:r w:rsidRPr="006009AA">
        <w:rPr>
          <w:color w:val="auto"/>
          <w:kern w:val="0"/>
          <w:lang w:val="en-US" w:eastAsia="en-US"/>
        </w:rPr>
        <w:t xml:space="preserve"> and that </w:t>
      </w:r>
      <w:proofErr w:type="spellStart"/>
      <w:r w:rsidRPr="006009AA">
        <w:rPr>
          <w:color w:val="auto"/>
          <w:kern w:val="0"/>
          <w:lang w:val="en-US" w:eastAsia="en-US"/>
        </w:rPr>
        <w:t>programme</w:t>
      </w:r>
      <w:proofErr w:type="spellEnd"/>
      <w:r w:rsidRPr="006009AA">
        <w:rPr>
          <w:color w:val="auto"/>
          <w:kern w:val="0"/>
          <w:lang w:val="en-US" w:eastAsia="en-US"/>
        </w:rPr>
        <w:t xml:space="preserve"> teams can use for improvement.</w:t>
      </w:r>
    </w:p>
    <w:p w14:paraId="2D38F1AE" w14:textId="77777777" w:rsidR="006009AA" w:rsidRPr="006009AA" w:rsidRDefault="006009AA" w:rsidP="006009AA">
      <w:pPr>
        <w:spacing w:before="100" w:beforeAutospacing="1" w:after="100" w:afterAutospacing="1" w:line="240" w:lineRule="auto"/>
        <w:ind w:left="0" w:right="0" w:firstLine="0"/>
        <w:jc w:val="left"/>
        <w:rPr>
          <w:color w:val="auto"/>
          <w:kern w:val="0"/>
          <w:lang w:val="en-US" w:eastAsia="en-US"/>
        </w:rPr>
      </w:pPr>
      <w:r w:rsidRPr="006009AA">
        <w:rPr>
          <w:color w:val="auto"/>
          <w:kern w:val="0"/>
          <w:lang w:val="en-US" w:eastAsia="en-US"/>
        </w:rPr>
        <w:t xml:space="preserve">Digital literacy should be treated as a specific employability domain within this framework. Adegbite’s (2024) findings suggest that digital literacy strengthens employability outcomes linked to WIL, implying that measurement systems should capture whether students are actually engaging with digitally mediated tasks, tools, and workflows during placements and coursework. This can be </w:t>
      </w:r>
      <w:proofErr w:type="spellStart"/>
      <w:r w:rsidRPr="006009AA">
        <w:rPr>
          <w:color w:val="auto"/>
          <w:kern w:val="0"/>
          <w:lang w:val="en-US" w:eastAsia="en-US"/>
        </w:rPr>
        <w:t>operationalised</w:t>
      </w:r>
      <w:proofErr w:type="spellEnd"/>
      <w:r w:rsidRPr="006009AA">
        <w:rPr>
          <w:color w:val="auto"/>
          <w:kern w:val="0"/>
          <w:lang w:val="en-US" w:eastAsia="en-US"/>
        </w:rPr>
        <w:t xml:space="preserve"> through targeted rubrics (e.g., digital communication competence, data handling, use of professional software), supervisor feedback, and student reflection on digital task performance. When digital literacy is treated as measurable capability development rather than a vague assumption, it becomes easier to improve through curriculum and placement design (Adegbite, 2024).</w:t>
      </w:r>
    </w:p>
    <w:p w14:paraId="7C9C7A59" w14:textId="77777777" w:rsidR="006009AA" w:rsidRPr="006009AA" w:rsidRDefault="006009AA" w:rsidP="006009AA">
      <w:pPr>
        <w:spacing w:before="100" w:beforeAutospacing="1" w:after="100" w:afterAutospacing="1" w:line="240" w:lineRule="auto"/>
        <w:ind w:left="0" w:right="0" w:firstLine="0"/>
        <w:jc w:val="left"/>
        <w:rPr>
          <w:color w:val="auto"/>
          <w:kern w:val="0"/>
          <w:lang w:val="en-US" w:eastAsia="en-US"/>
        </w:rPr>
      </w:pPr>
      <w:r w:rsidRPr="006009AA">
        <w:rPr>
          <w:color w:val="auto"/>
          <w:kern w:val="0"/>
          <w:lang w:val="en-US" w:eastAsia="en-US"/>
        </w:rPr>
        <w:lastRenderedPageBreak/>
        <w:t xml:space="preserve">Another pragmatic strategy is to </w:t>
      </w:r>
      <w:proofErr w:type="spellStart"/>
      <w:r w:rsidRPr="006009AA">
        <w:rPr>
          <w:color w:val="auto"/>
          <w:kern w:val="0"/>
          <w:lang w:val="en-US" w:eastAsia="en-US"/>
        </w:rPr>
        <w:t>institutionalise</w:t>
      </w:r>
      <w:proofErr w:type="spellEnd"/>
      <w:r w:rsidRPr="006009AA">
        <w:rPr>
          <w:color w:val="auto"/>
          <w:kern w:val="0"/>
          <w:lang w:val="en-US" w:eastAsia="en-US"/>
        </w:rPr>
        <w:t xml:space="preserve"> annual employability review routines at </w:t>
      </w:r>
      <w:proofErr w:type="spellStart"/>
      <w:r w:rsidRPr="006009AA">
        <w:rPr>
          <w:color w:val="auto"/>
          <w:kern w:val="0"/>
          <w:lang w:val="en-US" w:eastAsia="en-US"/>
        </w:rPr>
        <w:t>programme</w:t>
      </w:r>
      <w:proofErr w:type="spellEnd"/>
      <w:r w:rsidRPr="006009AA">
        <w:rPr>
          <w:color w:val="auto"/>
          <w:kern w:val="0"/>
          <w:lang w:val="en-US" w:eastAsia="en-US"/>
        </w:rPr>
        <w:t xml:space="preserve"> level. An annual review can examine: (a) placement quality indicators and supervision patterns; (b) distributions of readiness and perceived employability scores over time; (c) evidence of competence in portfolios and capstones; and (d) employer feedback trends where available. This supports continuous improvement logic by identifying recurring weaknesses (for example, weak supervision or low confidence in employability) and linking them back to actionable </w:t>
      </w:r>
      <w:proofErr w:type="spellStart"/>
      <w:r w:rsidRPr="006009AA">
        <w:rPr>
          <w:color w:val="auto"/>
          <w:kern w:val="0"/>
          <w:lang w:val="en-US" w:eastAsia="en-US"/>
        </w:rPr>
        <w:t>programme</w:t>
      </w:r>
      <w:proofErr w:type="spellEnd"/>
      <w:r w:rsidRPr="006009AA">
        <w:rPr>
          <w:color w:val="auto"/>
          <w:kern w:val="0"/>
          <w:lang w:val="en-US" w:eastAsia="en-US"/>
        </w:rPr>
        <w:t xml:space="preserve"> management decisions. Okolie’s (2022) emphasis on faculty supervisor support is particularly useful here: supervision can be measured, monitored, and strengthened through training and workload allocation, turning an abstract quality issue into a concrete management agenda (Okolie, 2022).</w:t>
      </w:r>
    </w:p>
    <w:p w14:paraId="1A0E95E1" w14:textId="77777777" w:rsidR="006009AA" w:rsidRPr="006009AA" w:rsidRDefault="006009AA" w:rsidP="006009AA">
      <w:pPr>
        <w:spacing w:before="100" w:beforeAutospacing="1" w:after="100" w:afterAutospacing="1" w:line="240" w:lineRule="auto"/>
        <w:ind w:left="0" w:right="0" w:firstLine="0"/>
        <w:jc w:val="left"/>
        <w:rPr>
          <w:color w:val="auto"/>
          <w:kern w:val="0"/>
          <w:lang w:val="en-US" w:eastAsia="en-US"/>
        </w:rPr>
      </w:pPr>
      <w:r w:rsidRPr="006009AA">
        <w:rPr>
          <w:color w:val="auto"/>
          <w:kern w:val="0"/>
          <w:lang w:val="en-US" w:eastAsia="en-US"/>
        </w:rPr>
        <w:t>Ultimately, the recent Nigeria-focused evidence suggests that employability measurement should be designed to support improvement, not only accountability. By focusing on WIL-linked indicators, intermediate outcomes such as readiness and perceived employability, and capability pathways such as digital literacy, Nigerian universities can build feasible measurement systems even when graduate employment tracking is incomplete (Okolie, 2022; Adegbite, 2024).</w:t>
      </w:r>
    </w:p>
    <w:p w14:paraId="3C98A1CB" w14:textId="77777777" w:rsidR="00BB7829" w:rsidRPr="00BB7829" w:rsidRDefault="00BB7829" w:rsidP="00BB7829">
      <w:pPr>
        <w:rPr>
          <w:lang w:val="en-GB"/>
        </w:rPr>
      </w:pPr>
    </w:p>
    <w:p w14:paraId="4683C668" w14:textId="77777777" w:rsidR="00BB7829" w:rsidRPr="00BB7829" w:rsidRDefault="00BB7829" w:rsidP="00BB7829">
      <w:pPr>
        <w:pStyle w:val="Heading2"/>
        <w:rPr>
          <w:lang w:val="en-GB"/>
        </w:rPr>
      </w:pPr>
      <w:r w:rsidRPr="00BB7829">
        <w:rPr>
          <w:lang w:val="en-GB"/>
        </w:rPr>
        <w:t>8. Implications for programme leadership and future research</w:t>
      </w:r>
    </w:p>
    <w:p w14:paraId="485F5F91" w14:textId="77777777" w:rsidR="00BB7829" w:rsidRPr="00BB7829" w:rsidRDefault="00BB7829" w:rsidP="00BB7829">
      <w:pPr>
        <w:pStyle w:val="NormalWeb"/>
        <w:rPr>
          <w:lang w:val="en-GB"/>
        </w:rPr>
      </w:pPr>
      <w:r w:rsidRPr="00BB7829">
        <w:rPr>
          <w:lang w:val="en-GB"/>
        </w:rPr>
        <w:t>The reviewed literature suggests that employability in Nigeria can be improved when undergraduate programme management treats employability as an integrated design-and-delivery agenda. The most consistent implication is that employability outcomes depend on systematic implementation: embedding outcomes into curriculum maps, resourcing and governing WIL supervision, strengthening programme–industry partnership structures, redesigning entrepreneurship education around experiential pedagogy, and assessing employability through authentic evidence.</w:t>
      </w:r>
    </w:p>
    <w:p w14:paraId="0DE22B13" w14:textId="77777777" w:rsidR="00BB7829" w:rsidRPr="00BB7829" w:rsidRDefault="00BB7829" w:rsidP="00BB7829">
      <w:pPr>
        <w:pStyle w:val="NormalWeb"/>
        <w:rPr>
          <w:lang w:val="en-GB"/>
        </w:rPr>
      </w:pPr>
      <w:r w:rsidRPr="00BB7829">
        <w:rPr>
          <w:lang w:val="en-GB"/>
        </w:rPr>
        <w:t>For future research, Nigeria needs more programme-level evaluation studies that compare employability outcomes across different implementation models, particularly comparing supervision-intense versus supervision-light WIL designs, and theory-based versus experiential entrepreneurship modules. Research is also needed on employability equity: how socioeconomic status, gender, disability, and region shape access to placements, mentoring, and innovation resources, and how programme management can mitigate these disparities. Finally, there is a need for institutionally grounded measurement research that validates employability constructs and develops feasible dashboards for Nigerian quality assurance systems.</w:t>
      </w:r>
    </w:p>
    <w:p w14:paraId="389B32DF" w14:textId="77777777" w:rsidR="00BB7829" w:rsidRPr="00BB7829" w:rsidRDefault="00BB7829" w:rsidP="00BB7829">
      <w:pPr>
        <w:rPr>
          <w:lang w:val="en-GB"/>
        </w:rPr>
      </w:pPr>
    </w:p>
    <w:p w14:paraId="34FB6CFB" w14:textId="77777777" w:rsidR="00BB7829" w:rsidRPr="00BB7829" w:rsidRDefault="00BB7829" w:rsidP="00BB7829">
      <w:pPr>
        <w:pStyle w:val="Heading2"/>
        <w:rPr>
          <w:lang w:val="en-GB"/>
        </w:rPr>
      </w:pPr>
      <w:r w:rsidRPr="00BB7829">
        <w:rPr>
          <w:lang w:val="en-GB"/>
        </w:rPr>
        <w:t>9. Conclusions</w:t>
      </w:r>
    </w:p>
    <w:p w14:paraId="2C90961A" w14:textId="77777777" w:rsidR="00BB7829" w:rsidRPr="00BB7829" w:rsidRDefault="00BB7829" w:rsidP="00BB7829">
      <w:pPr>
        <w:pStyle w:val="NormalWeb"/>
        <w:rPr>
          <w:lang w:val="en-GB"/>
        </w:rPr>
      </w:pPr>
      <w:r w:rsidRPr="00BB7829">
        <w:rPr>
          <w:lang w:val="en-GB"/>
        </w:rPr>
        <w:t xml:space="preserve">Employability skills development in Nigeria is best understood as a managed educational outcome produced through the design, governance, and resourcing of undergraduate </w:t>
      </w:r>
      <w:r w:rsidRPr="00BB7829">
        <w:rPr>
          <w:lang w:val="en-GB"/>
        </w:rPr>
        <w:lastRenderedPageBreak/>
        <w:t>programmes. The evidence reviewed indicates that Nigerian universities can strengthen employability by moving from fragmented initiatives toward integrated programme management strategies. High-impact levers include constructive alignment of employability outcomes with assessed learning, high-quality work-integrated learning with meaningful supervision and reflection, structured career development and mentoring supports, experiential entrepreneurship education embedded within innovation ecosystems, and deliberate integration of digital literacy into discipline learning and placements. These strategies are feasible even in resource-constrained environments when institutions prioritise governance clarity, partnership quality, and continuous improvement routines. Ultimately, the development of employability in Nigeria depends less on declaring employability as a goal and more on implementing it through coherent programme management, accountable leadership, and evidence-informed renewal.</w:t>
      </w:r>
    </w:p>
    <w:p w14:paraId="41DB30C6" w14:textId="77777777" w:rsidR="00BB7829" w:rsidRPr="00BB7829" w:rsidRDefault="00BB7829" w:rsidP="00BB7829">
      <w:pPr>
        <w:rPr>
          <w:lang w:val="en-GB"/>
        </w:rPr>
      </w:pPr>
    </w:p>
    <w:p w14:paraId="10EAE0CB" w14:textId="77777777" w:rsidR="00BB7829" w:rsidRPr="00BB7829" w:rsidRDefault="00BB7829" w:rsidP="00BB7829">
      <w:pPr>
        <w:pStyle w:val="Heading2"/>
        <w:rPr>
          <w:lang w:val="en-GB"/>
        </w:rPr>
      </w:pPr>
      <w:r w:rsidRPr="00BB7829">
        <w:rPr>
          <w:lang w:val="en-GB"/>
        </w:rPr>
        <w:t>10. Limitations</w:t>
      </w:r>
    </w:p>
    <w:p w14:paraId="1DBE7C74" w14:textId="77777777" w:rsidR="00BB7829" w:rsidRPr="00BB7829" w:rsidRDefault="00BB7829" w:rsidP="00BB7829">
      <w:pPr>
        <w:pStyle w:val="NormalWeb"/>
        <w:rPr>
          <w:lang w:val="en-GB"/>
        </w:rPr>
      </w:pPr>
      <w:r w:rsidRPr="00BB7829">
        <w:rPr>
          <w:lang w:val="en-GB"/>
        </w:rPr>
        <w:t>This review adopted a structured narrative approach and prioritised recent peer-reviewed journal literature with verified DOIs. While this strengthens scholarly reliability, it may exclude relevant Nigerian policy documents, institutional reports, and practice-based evidence that do not carry DOIs. In addition, the review emphasises programme management implications, which may under-represent broader political-economic and labour market dynamics that shape graduate employment outcomes beyond university control. Finally, access constraints across some publisher platforms can limit the breadth of studies available for synthesis, even when they are indexed in major databases.</w:t>
      </w:r>
    </w:p>
    <w:p w14:paraId="186AC24B" w14:textId="77777777" w:rsidR="00D7601D" w:rsidRPr="00D7601D" w:rsidRDefault="00D7601D" w:rsidP="00D7601D">
      <w:pPr>
        <w:spacing w:after="200" w:line="276" w:lineRule="auto"/>
        <w:ind w:left="0" w:right="0" w:firstLine="0"/>
        <w:jc w:val="left"/>
        <w:rPr>
          <w:rFonts w:ascii="Arial" w:hAnsi="Arial" w:cs="Arial"/>
          <w:b/>
          <w:bCs/>
          <w:color w:val="auto"/>
          <w:kern w:val="0"/>
          <w:sz w:val="22"/>
          <w:szCs w:val="22"/>
          <w:lang w:val="en-GB" w:eastAsia="en-GB"/>
        </w:rPr>
      </w:pPr>
      <w:r w:rsidRPr="00D7601D">
        <w:rPr>
          <w:rFonts w:ascii="Arial" w:hAnsi="Arial" w:cs="Arial"/>
          <w:b/>
          <w:bCs/>
          <w:color w:val="auto"/>
          <w:kern w:val="0"/>
          <w:sz w:val="22"/>
          <w:szCs w:val="22"/>
          <w:lang w:val="en-GB" w:eastAsia="en-GB"/>
        </w:rPr>
        <w:t>COMPETING INTERESTS DISCLAIMER:</w:t>
      </w:r>
    </w:p>
    <w:p w14:paraId="52AC66F9" w14:textId="77777777" w:rsidR="00D7601D" w:rsidRPr="00D7601D" w:rsidRDefault="00D7601D" w:rsidP="00D7601D">
      <w:pPr>
        <w:spacing w:after="200" w:line="276" w:lineRule="auto"/>
        <w:ind w:left="0" w:right="0" w:firstLine="0"/>
        <w:jc w:val="left"/>
        <w:rPr>
          <w:rFonts w:ascii="Calibri" w:hAnsi="Calibri"/>
          <w:color w:val="auto"/>
          <w:kern w:val="0"/>
          <w:sz w:val="22"/>
          <w:szCs w:val="22"/>
          <w:lang w:val="en-GB" w:eastAsia="en-GB"/>
        </w:rPr>
      </w:pPr>
      <w:r w:rsidRPr="00D7601D">
        <w:rPr>
          <w:rFonts w:ascii="Arial" w:hAnsi="Arial" w:cs="Arial"/>
          <w:color w:val="auto"/>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FB9242A" w14:textId="77777777" w:rsidR="00BB7829" w:rsidRPr="00BB7829" w:rsidRDefault="00BB7829" w:rsidP="00BB7829">
      <w:pPr>
        <w:rPr>
          <w:lang w:val="en-GB"/>
        </w:rPr>
      </w:pPr>
    </w:p>
    <w:p w14:paraId="6CAD37AC" w14:textId="77777777" w:rsidR="00BB7829" w:rsidRPr="00BB7829" w:rsidRDefault="00BB7829" w:rsidP="00BB7829">
      <w:pPr>
        <w:pStyle w:val="Heading2"/>
        <w:rPr>
          <w:lang w:val="en-GB"/>
        </w:rPr>
      </w:pPr>
      <w:r w:rsidRPr="00BB7829">
        <w:rPr>
          <w:lang w:val="en-GB"/>
        </w:rPr>
        <w:t xml:space="preserve">References </w:t>
      </w:r>
    </w:p>
    <w:p w14:paraId="4C3DA836" w14:textId="77777777" w:rsidR="00BB7829" w:rsidRPr="00BB7829" w:rsidRDefault="00BB7829" w:rsidP="00BB7829">
      <w:pPr>
        <w:pStyle w:val="NormalWeb"/>
        <w:rPr>
          <w:lang w:val="en-GB"/>
        </w:rPr>
      </w:pPr>
      <w:proofErr w:type="spellStart"/>
      <w:r w:rsidRPr="00BB7829">
        <w:rPr>
          <w:lang w:val="en-GB"/>
        </w:rPr>
        <w:t>Abelha</w:t>
      </w:r>
      <w:proofErr w:type="spellEnd"/>
      <w:r w:rsidRPr="00BB7829">
        <w:rPr>
          <w:lang w:val="en-GB"/>
        </w:rPr>
        <w:t xml:space="preserve">, M., Fernandes, S., Mesquita, D., Seabra, F., &amp; Ferreira-Oliveira, A. T. (2020). Graduate employability and competence development in higher education—A systematic literature review using PRISMA. </w:t>
      </w:r>
      <w:r w:rsidRPr="00BB7829">
        <w:rPr>
          <w:rStyle w:val="Emphasis"/>
          <w:lang w:val="en-GB"/>
        </w:rPr>
        <w:t>Sustainability, 12</w:t>
      </w:r>
      <w:r w:rsidRPr="00BB7829">
        <w:rPr>
          <w:lang w:val="en-GB"/>
        </w:rPr>
        <w:t xml:space="preserve">(15), 5900. </w:t>
      </w:r>
      <w:hyperlink r:id="rId8" w:tgtFrame="_new" w:history="1">
        <w:r w:rsidRPr="00BB7829">
          <w:rPr>
            <w:rStyle w:val="Hyperlink"/>
            <w:lang w:val="en-GB"/>
          </w:rPr>
          <w:t>https://doi.org/10.3390/su12155900</w:t>
        </w:r>
      </w:hyperlink>
    </w:p>
    <w:p w14:paraId="746AFAA7" w14:textId="77777777" w:rsidR="00BB7829" w:rsidRPr="00BB7829" w:rsidRDefault="00BB7829" w:rsidP="00BB7829">
      <w:pPr>
        <w:pStyle w:val="NormalWeb"/>
        <w:rPr>
          <w:lang w:val="en-GB"/>
        </w:rPr>
      </w:pPr>
      <w:r w:rsidRPr="00BB7829">
        <w:rPr>
          <w:lang w:val="en-GB"/>
        </w:rPr>
        <w:t xml:space="preserve">Adegbite, W. M. (2024). Unpacking mediation and moderating effect of digital literacy and life-career knowledge in the relationship between work-integrated learning and graduate employability. </w:t>
      </w:r>
      <w:r w:rsidRPr="00BB7829">
        <w:rPr>
          <w:rStyle w:val="Emphasis"/>
          <w:lang w:val="en-GB"/>
        </w:rPr>
        <w:t>Social Sciences &amp; Humanities Open, 10</w:t>
      </w:r>
      <w:r w:rsidRPr="00BB7829">
        <w:rPr>
          <w:lang w:val="en-GB"/>
        </w:rPr>
        <w:t xml:space="preserve">, 101161. </w:t>
      </w:r>
      <w:hyperlink r:id="rId9" w:history="1">
        <w:r w:rsidR="005A2AA6" w:rsidRPr="0014132B">
          <w:rPr>
            <w:rStyle w:val="Hyperlink"/>
            <w:lang w:val="en-GB"/>
          </w:rPr>
          <w:t>https://doi.org/10.1016/j.ssaho.2024.101161</w:t>
        </w:r>
      </w:hyperlink>
      <w:r w:rsidR="005A2AA6">
        <w:rPr>
          <w:lang w:val="en-GB"/>
        </w:rPr>
        <w:t xml:space="preserve"> </w:t>
      </w:r>
    </w:p>
    <w:p w14:paraId="471ECD1B" w14:textId="77777777" w:rsidR="00BB7829" w:rsidRPr="00BB7829" w:rsidRDefault="00BB7829" w:rsidP="00BB7829">
      <w:pPr>
        <w:pStyle w:val="NormalWeb"/>
        <w:rPr>
          <w:lang w:val="en-GB"/>
        </w:rPr>
      </w:pPr>
      <w:r w:rsidRPr="00BB7829">
        <w:rPr>
          <w:lang w:val="en-GB"/>
        </w:rPr>
        <w:t xml:space="preserve">Adegbite, W. M., &amp; Hoole, C. (2024). The nexus of work integrated learning and skills among engineering students in Nigerian universities: A structural equation model approach. </w:t>
      </w:r>
      <w:r w:rsidRPr="00BB7829">
        <w:rPr>
          <w:rStyle w:val="Emphasis"/>
          <w:lang w:val="en-GB"/>
        </w:rPr>
        <w:lastRenderedPageBreak/>
        <w:t>Journal of Teaching and Learning for Graduate Employability, 15</w:t>
      </w:r>
      <w:r w:rsidRPr="00BB7829">
        <w:rPr>
          <w:lang w:val="en-GB"/>
        </w:rPr>
        <w:t xml:space="preserve">(1), 91–107. </w:t>
      </w:r>
      <w:hyperlink r:id="rId10" w:history="1">
        <w:r w:rsidR="005A2AA6" w:rsidRPr="0014132B">
          <w:rPr>
            <w:rStyle w:val="Hyperlink"/>
            <w:lang w:val="en-GB"/>
          </w:rPr>
          <w:t>https://doi.org/10.21153/jtlge2024vol15no1art1824</w:t>
        </w:r>
      </w:hyperlink>
      <w:r w:rsidR="005A2AA6">
        <w:rPr>
          <w:lang w:val="en-GB"/>
        </w:rPr>
        <w:t xml:space="preserve"> </w:t>
      </w:r>
    </w:p>
    <w:p w14:paraId="03AF6924" w14:textId="77777777" w:rsidR="00BB7829" w:rsidRPr="00BB7829" w:rsidRDefault="00BB7829" w:rsidP="00BB7829">
      <w:pPr>
        <w:pStyle w:val="NormalWeb"/>
        <w:rPr>
          <w:lang w:val="en-GB"/>
        </w:rPr>
      </w:pPr>
      <w:r w:rsidRPr="00BB7829">
        <w:rPr>
          <w:lang w:val="en-GB"/>
        </w:rPr>
        <w:t xml:space="preserve">Cheng, M., Adekola, O., Albia, J., &amp; Cai, S. (2022). Employability in higher education: A review of key stakeholders’ perspectives. </w:t>
      </w:r>
      <w:r w:rsidRPr="00BB7829">
        <w:rPr>
          <w:rStyle w:val="Emphasis"/>
          <w:lang w:val="en-GB"/>
        </w:rPr>
        <w:t>Higher Education Evaluation and Development, 16</w:t>
      </w:r>
      <w:r w:rsidRPr="00BB7829">
        <w:rPr>
          <w:lang w:val="en-GB"/>
        </w:rPr>
        <w:t xml:space="preserve">(1), 16–31. </w:t>
      </w:r>
      <w:hyperlink r:id="rId11" w:tgtFrame="_new" w:history="1">
        <w:r w:rsidRPr="00BB7829">
          <w:rPr>
            <w:rStyle w:val="Hyperlink"/>
            <w:lang w:val="en-GB"/>
          </w:rPr>
          <w:t>https://doi.org/10.1108/HEED-03-2021-0025</w:t>
        </w:r>
      </w:hyperlink>
    </w:p>
    <w:p w14:paraId="7B6145DE" w14:textId="77777777" w:rsidR="00BB7829" w:rsidRPr="00BB7829" w:rsidRDefault="00BB7829" w:rsidP="00BB7829">
      <w:pPr>
        <w:pStyle w:val="NormalWeb"/>
        <w:rPr>
          <w:lang w:val="en-GB"/>
        </w:rPr>
      </w:pPr>
      <w:r w:rsidRPr="00BB7829">
        <w:rPr>
          <w:lang w:val="en-GB"/>
        </w:rPr>
        <w:t xml:space="preserve">Jackson, D., &amp; </w:t>
      </w:r>
      <w:proofErr w:type="spellStart"/>
      <w:r w:rsidRPr="00BB7829">
        <w:rPr>
          <w:lang w:val="en-GB"/>
        </w:rPr>
        <w:t>Bridgstock</w:t>
      </w:r>
      <w:proofErr w:type="spellEnd"/>
      <w:r w:rsidRPr="00BB7829">
        <w:rPr>
          <w:lang w:val="en-GB"/>
        </w:rPr>
        <w:t xml:space="preserve">, R. (2021). What actually works to enhance graduate employability? The relative value of embedded, co-curricular and extra-curricular learning and paid work. </w:t>
      </w:r>
      <w:r w:rsidRPr="00BB7829">
        <w:rPr>
          <w:rStyle w:val="Emphasis"/>
          <w:lang w:val="en-GB"/>
        </w:rPr>
        <w:t>Higher Education, 81</w:t>
      </w:r>
      <w:r w:rsidRPr="00BB7829">
        <w:rPr>
          <w:lang w:val="en-GB"/>
        </w:rPr>
        <w:t xml:space="preserve">(4), 723–739. </w:t>
      </w:r>
      <w:hyperlink r:id="rId12" w:history="1">
        <w:r w:rsidR="005A2AA6" w:rsidRPr="0014132B">
          <w:rPr>
            <w:rStyle w:val="Hyperlink"/>
            <w:lang w:val="en-GB"/>
          </w:rPr>
          <w:t>https://doi.org/10.1007/s10734-020-00570-x</w:t>
        </w:r>
      </w:hyperlink>
      <w:r w:rsidR="005A2AA6">
        <w:rPr>
          <w:lang w:val="en-GB"/>
        </w:rPr>
        <w:t xml:space="preserve"> </w:t>
      </w:r>
    </w:p>
    <w:p w14:paraId="5DC253E7" w14:textId="77777777" w:rsidR="00BB7829" w:rsidRPr="00BB7829" w:rsidRDefault="00BB7829" w:rsidP="00BB7829">
      <w:pPr>
        <w:pStyle w:val="NormalWeb"/>
        <w:rPr>
          <w:lang w:val="en-GB"/>
        </w:rPr>
      </w:pPr>
      <w:r w:rsidRPr="00BB7829">
        <w:rPr>
          <w:lang w:val="en-GB"/>
        </w:rPr>
        <w:t xml:space="preserve">Martínez-Gregorio, S., Badenes-Ribera, L., &amp; Oliver, A. (2021). Effect of entrepreneurship education on entrepreneurship intention and related outcomes in educational contexts: A meta-analysis. </w:t>
      </w:r>
      <w:r w:rsidRPr="00BB7829">
        <w:rPr>
          <w:rStyle w:val="Emphasis"/>
          <w:lang w:val="en-GB"/>
        </w:rPr>
        <w:t>The International Journal of Management Education, 19</w:t>
      </w:r>
      <w:r w:rsidRPr="00BB7829">
        <w:rPr>
          <w:lang w:val="en-GB"/>
        </w:rPr>
        <w:t xml:space="preserve">(3), 100545. </w:t>
      </w:r>
      <w:hyperlink r:id="rId13" w:tgtFrame="_new" w:history="1">
        <w:r w:rsidRPr="00BB7829">
          <w:rPr>
            <w:rStyle w:val="Hyperlink"/>
            <w:lang w:val="en-GB"/>
          </w:rPr>
          <w:t>https://doi.org/10.1016/j.ijme.2021.100545</w:t>
        </w:r>
      </w:hyperlink>
    </w:p>
    <w:p w14:paraId="0319A14F" w14:textId="77777777" w:rsidR="00BB7829" w:rsidRPr="00BB7829" w:rsidRDefault="00BB7829" w:rsidP="00BB7829">
      <w:pPr>
        <w:pStyle w:val="NormalWeb"/>
        <w:rPr>
          <w:lang w:val="en-GB"/>
        </w:rPr>
      </w:pPr>
      <w:proofErr w:type="spellStart"/>
      <w:r w:rsidRPr="00BB7829">
        <w:rPr>
          <w:lang w:val="en-GB"/>
        </w:rPr>
        <w:t>Nwajiuba</w:t>
      </w:r>
      <w:proofErr w:type="spellEnd"/>
      <w:r w:rsidRPr="00BB7829">
        <w:rPr>
          <w:lang w:val="en-GB"/>
        </w:rPr>
        <w:t xml:space="preserve">, C. A., Igwe, P. A., </w:t>
      </w:r>
      <w:proofErr w:type="spellStart"/>
      <w:r w:rsidRPr="00BB7829">
        <w:rPr>
          <w:lang w:val="en-GB"/>
        </w:rPr>
        <w:t>Akinsola-Obatolu</w:t>
      </w:r>
      <w:proofErr w:type="spellEnd"/>
      <w:r w:rsidRPr="00BB7829">
        <w:rPr>
          <w:lang w:val="en-GB"/>
        </w:rPr>
        <w:t xml:space="preserve">, M., Ituma, A., &amp; </w:t>
      </w:r>
      <w:proofErr w:type="spellStart"/>
      <w:r w:rsidRPr="00BB7829">
        <w:rPr>
          <w:lang w:val="en-GB"/>
        </w:rPr>
        <w:t>Binuomote</w:t>
      </w:r>
      <w:proofErr w:type="spellEnd"/>
      <w:r w:rsidRPr="00BB7829">
        <w:rPr>
          <w:lang w:val="en-GB"/>
        </w:rPr>
        <w:t xml:space="preserve">, M. O. (2020). What can be done to improve higher education quality and graduate employability in Nigeria? A stakeholder approach. </w:t>
      </w:r>
      <w:r w:rsidRPr="00BB7829">
        <w:rPr>
          <w:rStyle w:val="Emphasis"/>
          <w:lang w:val="en-GB"/>
        </w:rPr>
        <w:t>Industry and Higher Education, 34</w:t>
      </w:r>
      <w:r w:rsidRPr="00BB7829">
        <w:rPr>
          <w:lang w:val="en-GB"/>
        </w:rPr>
        <w:t xml:space="preserve">(5), 358–367. </w:t>
      </w:r>
      <w:hyperlink r:id="rId14" w:history="1">
        <w:r w:rsidR="005A2AA6" w:rsidRPr="0014132B">
          <w:rPr>
            <w:rStyle w:val="Hyperlink"/>
            <w:lang w:val="en-GB"/>
          </w:rPr>
          <w:t>https://doi.org/10.1177/0950422219901102</w:t>
        </w:r>
      </w:hyperlink>
      <w:r w:rsidR="005A2AA6">
        <w:rPr>
          <w:lang w:val="en-GB"/>
        </w:rPr>
        <w:t xml:space="preserve"> </w:t>
      </w:r>
    </w:p>
    <w:p w14:paraId="094E05C1" w14:textId="77777777" w:rsidR="00BB7829" w:rsidRPr="00BB7829" w:rsidRDefault="00BB7829" w:rsidP="00BB7829">
      <w:pPr>
        <w:pStyle w:val="NormalWeb"/>
        <w:rPr>
          <w:lang w:val="en-GB"/>
        </w:rPr>
      </w:pPr>
      <w:r w:rsidRPr="00BB7829">
        <w:rPr>
          <w:lang w:val="en-GB"/>
        </w:rPr>
        <w:t xml:space="preserve">Okolie, U. C. (2022). Work placement learning and students' readiness for school-to-work transition: Do perceived employability and faculty supervisor support matter? </w:t>
      </w:r>
      <w:r w:rsidRPr="00BB7829">
        <w:rPr>
          <w:rStyle w:val="Emphasis"/>
          <w:lang w:val="en-GB"/>
        </w:rPr>
        <w:t xml:space="preserve">Journal of Vocational </w:t>
      </w:r>
      <w:proofErr w:type="spellStart"/>
      <w:r w:rsidRPr="00BB7829">
        <w:rPr>
          <w:rStyle w:val="Emphasis"/>
          <w:lang w:val="en-GB"/>
        </w:rPr>
        <w:t>Behavior</w:t>
      </w:r>
      <w:proofErr w:type="spellEnd"/>
      <w:r w:rsidRPr="00BB7829">
        <w:rPr>
          <w:rStyle w:val="Emphasis"/>
          <w:lang w:val="en-GB"/>
        </w:rPr>
        <w:t>, 139</w:t>
      </w:r>
      <w:r w:rsidRPr="00BB7829">
        <w:rPr>
          <w:lang w:val="en-GB"/>
        </w:rPr>
        <w:t xml:space="preserve">, 103805. </w:t>
      </w:r>
      <w:hyperlink r:id="rId15" w:history="1">
        <w:r w:rsidR="005A2AA6" w:rsidRPr="0014132B">
          <w:rPr>
            <w:rStyle w:val="Hyperlink"/>
            <w:lang w:val="en-GB"/>
          </w:rPr>
          <w:t>https://doi.org/10.1016/j.jvb.2022.103805</w:t>
        </w:r>
      </w:hyperlink>
      <w:r w:rsidR="005A2AA6">
        <w:rPr>
          <w:lang w:val="en-GB"/>
        </w:rPr>
        <w:t xml:space="preserve"> </w:t>
      </w:r>
    </w:p>
    <w:p w14:paraId="113F7D7B" w14:textId="77777777" w:rsidR="00BB7829" w:rsidRPr="00BB7829" w:rsidRDefault="00BB7829" w:rsidP="00BB7829">
      <w:pPr>
        <w:pStyle w:val="NormalWeb"/>
        <w:rPr>
          <w:lang w:val="en-GB"/>
        </w:rPr>
      </w:pPr>
      <w:r w:rsidRPr="00BB7829">
        <w:rPr>
          <w:lang w:val="en-GB"/>
        </w:rPr>
        <w:t xml:space="preserve">Okolie, U. C., Igwe, P. A., &amp; Elom, E. N. (2019). Improving graduate outcomes for technical colleges in Nigeria. </w:t>
      </w:r>
      <w:r w:rsidRPr="00BB7829">
        <w:rPr>
          <w:rStyle w:val="Emphasis"/>
          <w:lang w:val="en-GB"/>
        </w:rPr>
        <w:t>Australian Journal of Career Development, 28</w:t>
      </w:r>
      <w:r w:rsidRPr="00BB7829">
        <w:rPr>
          <w:lang w:val="en-GB"/>
        </w:rPr>
        <w:t xml:space="preserve">(1), 21–30. </w:t>
      </w:r>
      <w:hyperlink r:id="rId16" w:history="1">
        <w:r w:rsidR="005A2AA6" w:rsidRPr="0014132B">
          <w:rPr>
            <w:rStyle w:val="Hyperlink"/>
            <w:lang w:val="en-GB"/>
          </w:rPr>
          <w:t>https://doi.org/10.1177/1038416218772189</w:t>
        </w:r>
      </w:hyperlink>
      <w:r w:rsidR="005A2AA6">
        <w:rPr>
          <w:lang w:val="en-GB"/>
        </w:rPr>
        <w:t xml:space="preserve"> </w:t>
      </w:r>
    </w:p>
    <w:p w14:paraId="4BBDA347" w14:textId="77777777" w:rsidR="00BB7829" w:rsidRPr="00BB7829" w:rsidRDefault="00BB7829" w:rsidP="00BB7829">
      <w:pPr>
        <w:pStyle w:val="NormalWeb"/>
        <w:rPr>
          <w:lang w:val="en-GB"/>
        </w:rPr>
      </w:pPr>
      <w:r w:rsidRPr="00BB7829">
        <w:rPr>
          <w:lang w:val="en-GB"/>
        </w:rPr>
        <w:t xml:space="preserve">Okolie, U. C., </w:t>
      </w:r>
      <w:proofErr w:type="spellStart"/>
      <w:r w:rsidRPr="00BB7829">
        <w:rPr>
          <w:lang w:val="en-GB"/>
        </w:rPr>
        <w:t>Nwajiuba</w:t>
      </w:r>
      <w:proofErr w:type="spellEnd"/>
      <w:r w:rsidRPr="00BB7829">
        <w:rPr>
          <w:lang w:val="en-GB"/>
        </w:rPr>
        <w:t xml:space="preserve">, C. A., </w:t>
      </w:r>
      <w:proofErr w:type="spellStart"/>
      <w:r w:rsidRPr="00BB7829">
        <w:rPr>
          <w:lang w:val="en-GB"/>
        </w:rPr>
        <w:t>Binuomote</w:t>
      </w:r>
      <w:proofErr w:type="spellEnd"/>
      <w:r w:rsidRPr="00BB7829">
        <w:rPr>
          <w:lang w:val="en-GB"/>
        </w:rPr>
        <w:t xml:space="preserve">, M. O., </w:t>
      </w:r>
      <w:proofErr w:type="spellStart"/>
      <w:r w:rsidRPr="00BB7829">
        <w:rPr>
          <w:lang w:val="en-GB"/>
        </w:rPr>
        <w:t>Ehiobuche</w:t>
      </w:r>
      <w:proofErr w:type="spellEnd"/>
      <w:r w:rsidRPr="00BB7829">
        <w:rPr>
          <w:lang w:val="en-GB"/>
        </w:rPr>
        <w:t xml:space="preserve">, C., </w:t>
      </w:r>
      <w:proofErr w:type="spellStart"/>
      <w:r w:rsidRPr="00BB7829">
        <w:rPr>
          <w:lang w:val="en-GB"/>
        </w:rPr>
        <w:t>Igu</w:t>
      </w:r>
      <w:proofErr w:type="spellEnd"/>
      <w:r w:rsidRPr="00BB7829">
        <w:rPr>
          <w:lang w:val="en-GB"/>
        </w:rPr>
        <w:t xml:space="preserve">, N. C. N., &amp; Ajoke, O. S. (2020). Career training with mentoring programs in higher education. </w:t>
      </w:r>
      <w:r w:rsidRPr="00BB7829">
        <w:rPr>
          <w:rStyle w:val="Emphasis"/>
          <w:lang w:val="en-GB"/>
        </w:rPr>
        <w:t>Education + Training, 62</w:t>
      </w:r>
      <w:r w:rsidRPr="00BB7829">
        <w:rPr>
          <w:lang w:val="en-GB"/>
        </w:rPr>
        <w:t xml:space="preserve">(3), 214–234. </w:t>
      </w:r>
      <w:hyperlink r:id="rId17" w:history="1">
        <w:r w:rsidR="005A2AA6" w:rsidRPr="0014132B">
          <w:rPr>
            <w:rStyle w:val="Hyperlink"/>
            <w:lang w:val="en-GB"/>
          </w:rPr>
          <w:t>https://doi.org/10.1108/ET-04-2019-0071</w:t>
        </w:r>
      </w:hyperlink>
      <w:r w:rsidR="005A2AA6">
        <w:rPr>
          <w:lang w:val="en-GB"/>
        </w:rPr>
        <w:t xml:space="preserve"> </w:t>
      </w:r>
    </w:p>
    <w:p w14:paraId="452DAFF3" w14:textId="77777777" w:rsidR="00BB7829" w:rsidRPr="00BB7829" w:rsidRDefault="00BB7829" w:rsidP="00BB7829">
      <w:pPr>
        <w:pStyle w:val="NormalWeb"/>
        <w:rPr>
          <w:lang w:val="en-GB"/>
        </w:rPr>
      </w:pPr>
      <w:r w:rsidRPr="00BB7829">
        <w:rPr>
          <w:lang w:val="en-GB"/>
        </w:rPr>
        <w:t xml:space="preserve">Okolie, U. C., Nwosu, H. E., &amp; </w:t>
      </w:r>
      <w:proofErr w:type="spellStart"/>
      <w:r w:rsidRPr="00BB7829">
        <w:rPr>
          <w:lang w:val="en-GB"/>
        </w:rPr>
        <w:t>Mlanga</w:t>
      </w:r>
      <w:proofErr w:type="spellEnd"/>
      <w:r w:rsidRPr="00BB7829">
        <w:rPr>
          <w:lang w:val="en-GB"/>
        </w:rPr>
        <w:t xml:space="preserve">, S. (2019). Graduate employability: How the higher education institutions can meet the demand of the labour market. </w:t>
      </w:r>
      <w:r w:rsidRPr="00BB7829">
        <w:rPr>
          <w:rStyle w:val="Emphasis"/>
          <w:lang w:val="en-GB"/>
        </w:rPr>
        <w:t>Higher Education, Skills and Work-Based Learning, 9</w:t>
      </w:r>
      <w:r w:rsidRPr="00BB7829">
        <w:rPr>
          <w:lang w:val="en-GB"/>
        </w:rPr>
        <w:t xml:space="preserve">(4), 620–636. </w:t>
      </w:r>
      <w:hyperlink r:id="rId18" w:history="1">
        <w:r w:rsidR="005A2AA6" w:rsidRPr="0014132B">
          <w:rPr>
            <w:rStyle w:val="Hyperlink"/>
            <w:lang w:val="en-GB"/>
          </w:rPr>
          <w:t>https://doi.org/10.1108/HESWBL-09-2018-0089</w:t>
        </w:r>
      </w:hyperlink>
      <w:r w:rsidR="005A2AA6">
        <w:rPr>
          <w:lang w:val="en-GB"/>
        </w:rPr>
        <w:t xml:space="preserve"> </w:t>
      </w:r>
    </w:p>
    <w:p w14:paraId="04C3D4A6" w14:textId="77777777" w:rsidR="00BB7829" w:rsidRPr="00BB7829" w:rsidRDefault="00BB7829" w:rsidP="00BB7829">
      <w:pPr>
        <w:pStyle w:val="NormalWeb"/>
        <w:rPr>
          <w:lang w:val="en-GB"/>
        </w:rPr>
      </w:pPr>
      <w:proofErr w:type="spellStart"/>
      <w:r w:rsidRPr="00BB7829">
        <w:rPr>
          <w:lang w:val="en-GB"/>
        </w:rPr>
        <w:t>Otache</w:t>
      </w:r>
      <w:proofErr w:type="spellEnd"/>
      <w:r w:rsidRPr="00BB7829">
        <w:rPr>
          <w:lang w:val="en-GB"/>
        </w:rPr>
        <w:t xml:space="preserve">, I., &amp; </w:t>
      </w:r>
      <w:proofErr w:type="spellStart"/>
      <w:r w:rsidRPr="00BB7829">
        <w:rPr>
          <w:lang w:val="en-GB"/>
        </w:rPr>
        <w:t>Edopkolor</w:t>
      </w:r>
      <w:proofErr w:type="spellEnd"/>
      <w:r w:rsidRPr="00BB7829">
        <w:rPr>
          <w:lang w:val="en-GB"/>
        </w:rPr>
        <w:t xml:space="preserve">, J. E. (2022). Work placement learning and student employability: Evidence from Nigeria. </w:t>
      </w:r>
      <w:r w:rsidRPr="00BB7829">
        <w:rPr>
          <w:rStyle w:val="Emphasis"/>
          <w:lang w:val="en-GB"/>
        </w:rPr>
        <w:t>Industry and Higher Education, 36</w:t>
      </w:r>
      <w:r w:rsidRPr="00BB7829">
        <w:rPr>
          <w:lang w:val="en-GB"/>
        </w:rPr>
        <w:t xml:space="preserve">(6), 730–741. </w:t>
      </w:r>
      <w:hyperlink r:id="rId19" w:history="1">
        <w:r w:rsidR="005A2AA6" w:rsidRPr="0014132B">
          <w:rPr>
            <w:rStyle w:val="Hyperlink"/>
            <w:lang w:val="en-GB"/>
          </w:rPr>
          <w:t>https://doi.org/10.1177/09504222221091989</w:t>
        </w:r>
      </w:hyperlink>
      <w:r w:rsidR="005A2AA6">
        <w:rPr>
          <w:lang w:val="en-GB"/>
        </w:rPr>
        <w:t xml:space="preserve"> </w:t>
      </w:r>
    </w:p>
    <w:p w14:paraId="67C18FD6" w14:textId="77777777" w:rsidR="00BB7829" w:rsidRPr="00BB7829" w:rsidRDefault="00BB7829" w:rsidP="00BB7829">
      <w:pPr>
        <w:pStyle w:val="NormalWeb"/>
        <w:rPr>
          <w:lang w:val="en-GB"/>
        </w:rPr>
      </w:pPr>
      <w:r w:rsidRPr="00BB7829">
        <w:rPr>
          <w:lang w:val="en-GB"/>
        </w:rPr>
        <w:t xml:space="preserve">Oyinlola, M., Kolade, O., Okoya, S. A., Ajala, O., </w:t>
      </w:r>
      <w:proofErr w:type="spellStart"/>
      <w:r w:rsidRPr="00BB7829">
        <w:rPr>
          <w:lang w:val="en-GB"/>
        </w:rPr>
        <w:t>Adefila</w:t>
      </w:r>
      <w:proofErr w:type="spellEnd"/>
      <w:r w:rsidRPr="00BB7829">
        <w:rPr>
          <w:lang w:val="en-GB"/>
        </w:rPr>
        <w:t xml:space="preserve">, A., </w:t>
      </w:r>
      <w:proofErr w:type="spellStart"/>
      <w:r w:rsidRPr="00BB7829">
        <w:rPr>
          <w:lang w:val="en-GB"/>
        </w:rPr>
        <w:t>Adediji</w:t>
      </w:r>
      <w:proofErr w:type="spellEnd"/>
      <w:r w:rsidRPr="00BB7829">
        <w:rPr>
          <w:lang w:val="en-GB"/>
        </w:rPr>
        <w:t xml:space="preserve">, A., </w:t>
      </w:r>
      <w:proofErr w:type="spellStart"/>
      <w:r w:rsidRPr="00BB7829">
        <w:rPr>
          <w:lang w:val="en-GB"/>
        </w:rPr>
        <w:t>Babaremu</w:t>
      </w:r>
      <w:proofErr w:type="spellEnd"/>
      <w:r w:rsidRPr="00BB7829">
        <w:rPr>
          <w:lang w:val="en-GB"/>
        </w:rPr>
        <w:t xml:space="preserve">, K., Tijani, B., </w:t>
      </w:r>
      <w:proofErr w:type="spellStart"/>
      <w:r w:rsidRPr="00BB7829">
        <w:rPr>
          <w:lang w:val="en-GB"/>
        </w:rPr>
        <w:t>Adejuwon</w:t>
      </w:r>
      <w:proofErr w:type="spellEnd"/>
      <w:r w:rsidRPr="00BB7829">
        <w:rPr>
          <w:lang w:val="en-GB"/>
        </w:rPr>
        <w:t xml:space="preserve">, J., Wambui, F., &amp; Akinlabi, E. T. (2024). Entrepreneurship and innovation in Nigerian universities: Trends, challenges and opportunities. </w:t>
      </w:r>
      <w:proofErr w:type="spellStart"/>
      <w:r w:rsidRPr="00BB7829">
        <w:rPr>
          <w:rStyle w:val="Emphasis"/>
          <w:lang w:val="en-GB"/>
        </w:rPr>
        <w:t>Heliyon</w:t>
      </w:r>
      <w:proofErr w:type="spellEnd"/>
      <w:r w:rsidRPr="00BB7829">
        <w:rPr>
          <w:rStyle w:val="Emphasis"/>
          <w:lang w:val="en-GB"/>
        </w:rPr>
        <w:t>, 10</w:t>
      </w:r>
      <w:r w:rsidRPr="00BB7829">
        <w:rPr>
          <w:lang w:val="en-GB"/>
        </w:rPr>
        <w:t xml:space="preserve">(9), e29940. </w:t>
      </w:r>
      <w:hyperlink r:id="rId20" w:history="1">
        <w:r w:rsidR="005A2AA6" w:rsidRPr="0014132B">
          <w:rPr>
            <w:rStyle w:val="Hyperlink"/>
            <w:lang w:val="en-GB"/>
          </w:rPr>
          <w:t>https://doi.org/10.1016/j.heliyon.2024.e29940</w:t>
        </w:r>
      </w:hyperlink>
      <w:r w:rsidR="005A2AA6">
        <w:rPr>
          <w:lang w:val="en-GB"/>
        </w:rPr>
        <w:t xml:space="preserve"> </w:t>
      </w:r>
    </w:p>
    <w:p w14:paraId="07B7F30A" w14:textId="77777777" w:rsidR="00BB7829" w:rsidRPr="00BB7829" w:rsidRDefault="00BB7829" w:rsidP="00BB7829">
      <w:pPr>
        <w:pStyle w:val="NormalWeb"/>
        <w:rPr>
          <w:lang w:val="en-GB"/>
        </w:rPr>
      </w:pPr>
      <w:r w:rsidRPr="00BB7829">
        <w:rPr>
          <w:lang w:val="en-GB"/>
        </w:rPr>
        <w:t xml:space="preserve">Udeozor, V., Hughes, M., Ogundana, O. M., &amp; Umoru, U. (2025). Enhancing entrepreneurial outcomes: The role of experiential pedagogy in compulsory entrepreneurship education in </w:t>
      </w:r>
      <w:r w:rsidRPr="00BB7829">
        <w:rPr>
          <w:lang w:val="en-GB"/>
        </w:rPr>
        <w:lastRenderedPageBreak/>
        <w:t xml:space="preserve">developing economies. </w:t>
      </w:r>
      <w:r w:rsidRPr="00BB7829">
        <w:rPr>
          <w:rStyle w:val="Emphasis"/>
          <w:lang w:val="en-GB"/>
        </w:rPr>
        <w:t>Journal of the International Council for Small Business</w:t>
      </w:r>
      <w:r w:rsidRPr="00BB7829">
        <w:rPr>
          <w:lang w:val="en-GB"/>
        </w:rPr>
        <w:t xml:space="preserve">. Advance online publication. </w:t>
      </w:r>
      <w:hyperlink r:id="rId21" w:history="1">
        <w:r w:rsidR="005A2AA6" w:rsidRPr="0014132B">
          <w:rPr>
            <w:rStyle w:val="Hyperlink"/>
            <w:lang w:val="en-GB"/>
          </w:rPr>
          <w:t>https://doi.org/10.1080/26437015.2025.2497250</w:t>
        </w:r>
      </w:hyperlink>
      <w:r w:rsidR="005A2AA6">
        <w:rPr>
          <w:lang w:val="en-GB"/>
        </w:rPr>
        <w:t xml:space="preserve"> </w:t>
      </w:r>
    </w:p>
    <w:p w14:paraId="36F3887F" w14:textId="77777777" w:rsidR="005F1FE6" w:rsidRPr="00BB7829" w:rsidRDefault="00D055EE" w:rsidP="009851F5">
      <w:pPr>
        <w:rPr>
          <w:lang w:val="en-GB"/>
        </w:rPr>
      </w:pPr>
      <w:r w:rsidRPr="00BB7829">
        <w:rPr>
          <w:lang w:val="en-GB"/>
        </w:rPr>
        <w:t xml:space="preserve"> </w:t>
      </w:r>
    </w:p>
    <w:sectPr w:rsidR="005F1FE6" w:rsidRPr="00BB7829" w:rsidSect="00CB6EB6">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A28B0" w14:textId="77777777" w:rsidR="0026481E" w:rsidRDefault="0026481E" w:rsidP="000E4F32">
      <w:pPr>
        <w:spacing w:after="0" w:line="240" w:lineRule="auto"/>
      </w:pPr>
      <w:r>
        <w:separator/>
      </w:r>
    </w:p>
  </w:endnote>
  <w:endnote w:type="continuationSeparator" w:id="0">
    <w:p w14:paraId="00590AA7" w14:textId="77777777" w:rsidR="0026481E" w:rsidRDefault="0026481E" w:rsidP="000E4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3553D" w14:textId="77777777" w:rsidR="000E4F32" w:rsidRDefault="000E4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6583D" w14:textId="77777777" w:rsidR="000E4F32" w:rsidRDefault="000E4F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B98AE" w14:textId="77777777" w:rsidR="000E4F32" w:rsidRDefault="000E4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CA115" w14:textId="77777777" w:rsidR="0026481E" w:rsidRDefault="0026481E" w:rsidP="000E4F32">
      <w:pPr>
        <w:spacing w:after="0" w:line="240" w:lineRule="auto"/>
      </w:pPr>
      <w:r>
        <w:separator/>
      </w:r>
    </w:p>
  </w:footnote>
  <w:footnote w:type="continuationSeparator" w:id="0">
    <w:p w14:paraId="462E06F5" w14:textId="77777777" w:rsidR="0026481E" w:rsidRDefault="0026481E" w:rsidP="000E4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86435" w14:textId="03C01E38" w:rsidR="000E4F32" w:rsidRDefault="000E4F32">
    <w:pPr>
      <w:pStyle w:val="Header"/>
    </w:pPr>
    <w:r>
      <w:rPr>
        <w:noProof/>
      </w:rPr>
      <w:pict w14:anchorId="4FDD9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98407"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A2089" w14:textId="35D8EEDC" w:rsidR="000E4F32" w:rsidRDefault="000E4F32">
    <w:pPr>
      <w:pStyle w:val="Header"/>
    </w:pPr>
    <w:r>
      <w:rPr>
        <w:noProof/>
      </w:rPr>
      <w:pict w14:anchorId="1217C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98408"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F4EB6" w14:textId="6DA8E5F5" w:rsidR="000E4F32" w:rsidRDefault="000E4F32">
    <w:pPr>
      <w:pStyle w:val="Header"/>
    </w:pPr>
    <w:r>
      <w:rPr>
        <w:noProof/>
      </w:rPr>
      <w:pict w14:anchorId="3571E6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98406"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21"/>
  </w:num>
  <w:num w:numId="4">
    <w:abstractNumId w:val="6"/>
  </w:num>
  <w:num w:numId="5">
    <w:abstractNumId w:val="20"/>
  </w:num>
  <w:num w:numId="6">
    <w:abstractNumId w:val="8"/>
  </w:num>
  <w:num w:numId="7">
    <w:abstractNumId w:val="2"/>
  </w:num>
  <w:num w:numId="8">
    <w:abstractNumId w:val="32"/>
  </w:num>
  <w:num w:numId="9">
    <w:abstractNumId w:val="9"/>
  </w:num>
  <w:num w:numId="10">
    <w:abstractNumId w:val="10"/>
  </w:num>
  <w:num w:numId="11">
    <w:abstractNumId w:val="16"/>
  </w:num>
  <w:num w:numId="12">
    <w:abstractNumId w:val="15"/>
  </w:num>
  <w:num w:numId="13">
    <w:abstractNumId w:val="17"/>
  </w:num>
  <w:num w:numId="14">
    <w:abstractNumId w:val="7"/>
  </w:num>
  <w:num w:numId="15">
    <w:abstractNumId w:val="1"/>
  </w:num>
  <w:num w:numId="16">
    <w:abstractNumId w:val="18"/>
  </w:num>
  <w:num w:numId="17">
    <w:abstractNumId w:val="29"/>
  </w:num>
  <w:num w:numId="18">
    <w:abstractNumId w:val="27"/>
  </w:num>
  <w:num w:numId="19">
    <w:abstractNumId w:val="26"/>
  </w:num>
  <w:num w:numId="20">
    <w:abstractNumId w:val="13"/>
  </w:num>
  <w:num w:numId="21">
    <w:abstractNumId w:val="22"/>
  </w:num>
  <w:num w:numId="22">
    <w:abstractNumId w:val="24"/>
  </w:num>
  <w:num w:numId="23">
    <w:abstractNumId w:val="0"/>
  </w:num>
  <w:num w:numId="24">
    <w:abstractNumId w:val="31"/>
  </w:num>
  <w:num w:numId="25">
    <w:abstractNumId w:val="4"/>
  </w:num>
  <w:num w:numId="26">
    <w:abstractNumId w:val="19"/>
  </w:num>
  <w:num w:numId="27">
    <w:abstractNumId w:val="25"/>
  </w:num>
  <w:num w:numId="28">
    <w:abstractNumId w:val="23"/>
  </w:num>
  <w:num w:numId="29">
    <w:abstractNumId w:val="14"/>
  </w:num>
  <w:num w:numId="30">
    <w:abstractNumId w:val="30"/>
  </w:num>
  <w:num w:numId="31">
    <w:abstractNumId w:val="12"/>
  </w:num>
  <w:num w:numId="32">
    <w:abstractNumId w:val="28"/>
  </w:num>
  <w:num w:numId="3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425DD"/>
    <w:rsid w:val="00053D7A"/>
    <w:rsid w:val="0005616C"/>
    <w:rsid w:val="0006037D"/>
    <w:rsid w:val="0006413B"/>
    <w:rsid w:val="000643E7"/>
    <w:rsid w:val="0006527C"/>
    <w:rsid w:val="000652AA"/>
    <w:rsid w:val="00086EDD"/>
    <w:rsid w:val="000A0EB4"/>
    <w:rsid w:val="000A79B2"/>
    <w:rsid w:val="000C4F0E"/>
    <w:rsid w:val="000D461E"/>
    <w:rsid w:val="000D6AAA"/>
    <w:rsid w:val="000E4F32"/>
    <w:rsid w:val="000E67D1"/>
    <w:rsid w:val="000E709D"/>
    <w:rsid w:val="000F27AA"/>
    <w:rsid w:val="00114147"/>
    <w:rsid w:val="001261CC"/>
    <w:rsid w:val="00126ADF"/>
    <w:rsid w:val="00131E50"/>
    <w:rsid w:val="00135191"/>
    <w:rsid w:val="00142919"/>
    <w:rsid w:val="001514E1"/>
    <w:rsid w:val="001560E3"/>
    <w:rsid w:val="00166050"/>
    <w:rsid w:val="00186E2A"/>
    <w:rsid w:val="0019059D"/>
    <w:rsid w:val="0019667B"/>
    <w:rsid w:val="001A165A"/>
    <w:rsid w:val="001A3703"/>
    <w:rsid w:val="001A7A4E"/>
    <w:rsid w:val="001B2FA4"/>
    <w:rsid w:val="001B5753"/>
    <w:rsid w:val="001E6EC5"/>
    <w:rsid w:val="00202F35"/>
    <w:rsid w:val="0022042D"/>
    <w:rsid w:val="002312EA"/>
    <w:rsid w:val="0024324D"/>
    <w:rsid w:val="00257AC1"/>
    <w:rsid w:val="00260455"/>
    <w:rsid w:val="00260B1D"/>
    <w:rsid w:val="0026481E"/>
    <w:rsid w:val="00267B17"/>
    <w:rsid w:val="00271A26"/>
    <w:rsid w:val="002778DD"/>
    <w:rsid w:val="00284F1F"/>
    <w:rsid w:val="002A01F2"/>
    <w:rsid w:val="002A4C47"/>
    <w:rsid w:val="002B76E6"/>
    <w:rsid w:val="002C0DF9"/>
    <w:rsid w:val="002C48BB"/>
    <w:rsid w:val="002D6FFA"/>
    <w:rsid w:val="002E0776"/>
    <w:rsid w:val="002F0434"/>
    <w:rsid w:val="002F4C0C"/>
    <w:rsid w:val="00307595"/>
    <w:rsid w:val="0031286E"/>
    <w:rsid w:val="00332243"/>
    <w:rsid w:val="0035701C"/>
    <w:rsid w:val="003664CE"/>
    <w:rsid w:val="003740DE"/>
    <w:rsid w:val="00391BB6"/>
    <w:rsid w:val="003975AE"/>
    <w:rsid w:val="003A104D"/>
    <w:rsid w:val="003A4787"/>
    <w:rsid w:val="003B035B"/>
    <w:rsid w:val="003B09B4"/>
    <w:rsid w:val="003B3553"/>
    <w:rsid w:val="003B400E"/>
    <w:rsid w:val="003B6CCD"/>
    <w:rsid w:val="003C31E9"/>
    <w:rsid w:val="003C4000"/>
    <w:rsid w:val="003E35A3"/>
    <w:rsid w:val="003E61B2"/>
    <w:rsid w:val="003F02C5"/>
    <w:rsid w:val="003F6E91"/>
    <w:rsid w:val="00400005"/>
    <w:rsid w:val="00405181"/>
    <w:rsid w:val="004132B1"/>
    <w:rsid w:val="004148C1"/>
    <w:rsid w:val="004148F5"/>
    <w:rsid w:val="00416C8C"/>
    <w:rsid w:val="00456E20"/>
    <w:rsid w:val="004615AF"/>
    <w:rsid w:val="004711B7"/>
    <w:rsid w:val="004A16BD"/>
    <w:rsid w:val="004A508F"/>
    <w:rsid w:val="004A5427"/>
    <w:rsid w:val="004A586B"/>
    <w:rsid w:val="004B02DF"/>
    <w:rsid w:val="004C1A63"/>
    <w:rsid w:val="004C6306"/>
    <w:rsid w:val="004C7547"/>
    <w:rsid w:val="004E1999"/>
    <w:rsid w:val="004E7311"/>
    <w:rsid w:val="004F2BB5"/>
    <w:rsid w:val="004F5E1D"/>
    <w:rsid w:val="00516AA1"/>
    <w:rsid w:val="00523936"/>
    <w:rsid w:val="0052448D"/>
    <w:rsid w:val="0054487D"/>
    <w:rsid w:val="00554C7D"/>
    <w:rsid w:val="005577C6"/>
    <w:rsid w:val="0056389E"/>
    <w:rsid w:val="00564FB4"/>
    <w:rsid w:val="00571246"/>
    <w:rsid w:val="005A2AA6"/>
    <w:rsid w:val="005A5DEC"/>
    <w:rsid w:val="005B22C5"/>
    <w:rsid w:val="005B4ADB"/>
    <w:rsid w:val="005D2267"/>
    <w:rsid w:val="005F1FE6"/>
    <w:rsid w:val="006009AA"/>
    <w:rsid w:val="00605701"/>
    <w:rsid w:val="0061521F"/>
    <w:rsid w:val="00622C65"/>
    <w:rsid w:val="00626F6E"/>
    <w:rsid w:val="00632906"/>
    <w:rsid w:val="006405CF"/>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66BC"/>
    <w:rsid w:val="006D2558"/>
    <w:rsid w:val="006D455D"/>
    <w:rsid w:val="006E13D4"/>
    <w:rsid w:val="006E4B0A"/>
    <w:rsid w:val="006F708E"/>
    <w:rsid w:val="00711B14"/>
    <w:rsid w:val="00713825"/>
    <w:rsid w:val="00720F41"/>
    <w:rsid w:val="00721966"/>
    <w:rsid w:val="00737A32"/>
    <w:rsid w:val="00755BDC"/>
    <w:rsid w:val="00761CB6"/>
    <w:rsid w:val="00773599"/>
    <w:rsid w:val="00774395"/>
    <w:rsid w:val="0078275D"/>
    <w:rsid w:val="00783E9E"/>
    <w:rsid w:val="00786C67"/>
    <w:rsid w:val="007B0E74"/>
    <w:rsid w:val="007B437D"/>
    <w:rsid w:val="007C5F8A"/>
    <w:rsid w:val="007C7951"/>
    <w:rsid w:val="007D03BC"/>
    <w:rsid w:val="007D38FC"/>
    <w:rsid w:val="007E249F"/>
    <w:rsid w:val="007F1928"/>
    <w:rsid w:val="008017C0"/>
    <w:rsid w:val="00804929"/>
    <w:rsid w:val="008107F6"/>
    <w:rsid w:val="00812006"/>
    <w:rsid w:val="00820C75"/>
    <w:rsid w:val="00831623"/>
    <w:rsid w:val="0083179B"/>
    <w:rsid w:val="008374C4"/>
    <w:rsid w:val="00855A4C"/>
    <w:rsid w:val="00856AFD"/>
    <w:rsid w:val="0087023A"/>
    <w:rsid w:val="00870945"/>
    <w:rsid w:val="00876190"/>
    <w:rsid w:val="008811F8"/>
    <w:rsid w:val="00881487"/>
    <w:rsid w:val="00883166"/>
    <w:rsid w:val="008A2470"/>
    <w:rsid w:val="008A4BFC"/>
    <w:rsid w:val="008A7416"/>
    <w:rsid w:val="008E71C6"/>
    <w:rsid w:val="008F3850"/>
    <w:rsid w:val="00916DED"/>
    <w:rsid w:val="00921557"/>
    <w:rsid w:val="00925CAF"/>
    <w:rsid w:val="00935182"/>
    <w:rsid w:val="00951A3D"/>
    <w:rsid w:val="009536DC"/>
    <w:rsid w:val="009851F5"/>
    <w:rsid w:val="009929A7"/>
    <w:rsid w:val="00992B92"/>
    <w:rsid w:val="00994A4A"/>
    <w:rsid w:val="009B3A8A"/>
    <w:rsid w:val="009B55DE"/>
    <w:rsid w:val="009D05A9"/>
    <w:rsid w:val="009D0B9D"/>
    <w:rsid w:val="009D13F6"/>
    <w:rsid w:val="009D5BA5"/>
    <w:rsid w:val="009E5244"/>
    <w:rsid w:val="009F0120"/>
    <w:rsid w:val="00A00B22"/>
    <w:rsid w:val="00A029C3"/>
    <w:rsid w:val="00A2270F"/>
    <w:rsid w:val="00A24B38"/>
    <w:rsid w:val="00A27BF4"/>
    <w:rsid w:val="00A478B2"/>
    <w:rsid w:val="00A47C0A"/>
    <w:rsid w:val="00A50845"/>
    <w:rsid w:val="00A5299F"/>
    <w:rsid w:val="00A54719"/>
    <w:rsid w:val="00A57A87"/>
    <w:rsid w:val="00A62C46"/>
    <w:rsid w:val="00A64590"/>
    <w:rsid w:val="00A7055A"/>
    <w:rsid w:val="00A8506E"/>
    <w:rsid w:val="00A97AEF"/>
    <w:rsid w:val="00AA2B64"/>
    <w:rsid w:val="00AA4644"/>
    <w:rsid w:val="00AA4B35"/>
    <w:rsid w:val="00AB0C7A"/>
    <w:rsid w:val="00AB1103"/>
    <w:rsid w:val="00AD7B8B"/>
    <w:rsid w:val="00AE651D"/>
    <w:rsid w:val="00AE79C2"/>
    <w:rsid w:val="00AF7425"/>
    <w:rsid w:val="00B06888"/>
    <w:rsid w:val="00B1065D"/>
    <w:rsid w:val="00B451DB"/>
    <w:rsid w:val="00B6043D"/>
    <w:rsid w:val="00B84C19"/>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BA6"/>
    <w:rsid w:val="00C524EC"/>
    <w:rsid w:val="00C54922"/>
    <w:rsid w:val="00C5683C"/>
    <w:rsid w:val="00C57B8F"/>
    <w:rsid w:val="00C6694F"/>
    <w:rsid w:val="00C7136B"/>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71250"/>
    <w:rsid w:val="00D75C9D"/>
    <w:rsid w:val="00D7601D"/>
    <w:rsid w:val="00D9293B"/>
    <w:rsid w:val="00D95D20"/>
    <w:rsid w:val="00DA3203"/>
    <w:rsid w:val="00DC5FB9"/>
    <w:rsid w:val="00DC6BC2"/>
    <w:rsid w:val="00DC74C9"/>
    <w:rsid w:val="00DD02B6"/>
    <w:rsid w:val="00DD62DF"/>
    <w:rsid w:val="00DE0A9F"/>
    <w:rsid w:val="00DE544F"/>
    <w:rsid w:val="00DF20BB"/>
    <w:rsid w:val="00DF5AB4"/>
    <w:rsid w:val="00E125DA"/>
    <w:rsid w:val="00E20962"/>
    <w:rsid w:val="00E22310"/>
    <w:rsid w:val="00E40B47"/>
    <w:rsid w:val="00E52157"/>
    <w:rsid w:val="00E643E8"/>
    <w:rsid w:val="00E6564A"/>
    <w:rsid w:val="00E7044C"/>
    <w:rsid w:val="00E76785"/>
    <w:rsid w:val="00E93BAE"/>
    <w:rsid w:val="00E97F4E"/>
    <w:rsid w:val="00EA45FD"/>
    <w:rsid w:val="00EC266D"/>
    <w:rsid w:val="00EC4D6C"/>
    <w:rsid w:val="00EE2E7D"/>
    <w:rsid w:val="00EF4D40"/>
    <w:rsid w:val="00EF4D87"/>
    <w:rsid w:val="00F13040"/>
    <w:rsid w:val="00F133C3"/>
    <w:rsid w:val="00F278AB"/>
    <w:rsid w:val="00F36C5B"/>
    <w:rsid w:val="00F43CC2"/>
    <w:rsid w:val="00F45317"/>
    <w:rsid w:val="00F4728A"/>
    <w:rsid w:val="00F6047F"/>
    <w:rsid w:val="00F754E8"/>
    <w:rsid w:val="00FA03AB"/>
    <w:rsid w:val="00FA5C8B"/>
    <w:rsid w:val="00FA7321"/>
    <w:rsid w:val="00FB1450"/>
    <w:rsid w:val="00FB6475"/>
    <w:rsid w:val="00FC1A30"/>
    <w:rsid w:val="00FC3FB3"/>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5DCA67"/>
  <w15:docId w15:val="{51E7571E-BE40-4BB3-AEC0-FAD7B7B0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Header">
    <w:name w:val="header"/>
    <w:basedOn w:val="Normal"/>
    <w:link w:val="HeaderChar"/>
    <w:uiPriority w:val="99"/>
    <w:unhideWhenUsed/>
    <w:rsid w:val="000E4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F32"/>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0E4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F32"/>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2155900" TargetMode="External"/><Relationship Id="rId13" Type="http://schemas.openxmlformats.org/officeDocument/2006/relationships/hyperlink" Target="https://doi.org/10.1016/j.ijme.2021.100545" TargetMode="External"/><Relationship Id="rId18" Type="http://schemas.openxmlformats.org/officeDocument/2006/relationships/hyperlink" Target="https://doi.org/10.1108/HESWBL-09-2018-0089"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080/26437015.2025.2497250" TargetMode="External"/><Relationship Id="rId7" Type="http://schemas.openxmlformats.org/officeDocument/2006/relationships/endnotes" Target="endnotes.xml"/><Relationship Id="rId12" Type="http://schemas.openxmlformats.org/officeDocument/2006/relationships/hyperlink" Target="https://doi.org/10.1007/s10734-020-00570-x" TargetMode="External"/><Relationship Id="rId17" Type="http://schemas.openxmlformats.org/officeDocument/2006/relationships/hyperlink" Target="https://doi.org/10.1108/ET-04-2019-0071"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177/1038416218772189" TargetMode="External"/><Relationship Id="rId20" Type="http://schemas.openxmlformats.org/officeDocument/2006/relationships/hyperlink" Target="https://doi.org/10.1016/j.heliyon.2024.e2994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HEED-03-2021-0025"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6/j.jvb.2022.10380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21153/jtlge2024vol15no1art1824" TargetMode="External"/><Relationship Id="rId19" Type="http://schemas.openxmlformats.org/officeDocument/2006/relationships/hyperlink" Target="https://doi.org/10.1177/09504222221091989" TargetMode="External"/><Relationship Id="rId4" Type="http://schemas.openxmlformats.org/officeDocument/2006/relationships/settings" Target="settings.xml"/><Relationship Id="rId9" Type="http://schemas.openxmlformats.org/officeDocument/2006/relationships/hyperlink" Target="https://doi.org/10.1016/j.ssaho.2024.101161" TargetMode="External"/><Relationship Id="rId14" Type="http://schemas.openxmlformats.org/officeDocument/2006/relationships/hyperlink" Target="https://doi.org/10.1177/0950422219901102"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E968C-BDCB-4A1D-83A8-BFE2B7E19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6493</TotalTime>
  <Pages>16</Pages>
  <Words>7583</Words>
  <Characters>43229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1170</cp:lastModifiedBy>
  <cp:revision>93</cp:revision>
  <cp:lastPrinted>2025-12-13T07:14:00Z</cp:lastPrinted>
  <dcterms:created xsi:type="dcterms:W3CDTF">2025-09-24T12:44:00Z</dcterms:created>
  <dcterms:modified xsi:type="dcterms:W3CDTF">2026-01-13T12:12:00Z</dcterms:modified>
</cp:coreProperties>
</file>