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0ED5C" w14:textId="219989EC" w:rsidR="00482C46" w:rsidRPr="008131B3" w:rsidRDefault="00C50D00" w:rsidP="001D3863">
      <w:pPr>
        <w:pStyle w:val="BlockText"/>
        <w:jc w:val="right"/>
        <w:rPr>
          <w:rFonts w:ascii="Times New Roman" w:hAnsi="Times New Roman" w:cs="Times New Roman"/>
        </w:rPr>
      </w:pPr>
      <w:r w:rsidRPr="008131B3">
        <w:rPr>
          <w:rFonts w:ascii="Times New Roman" w:hAnsi="Times New Roman" w:cs="Times New Roman"/>
        </w:rPr>
        <w:t>Awareness Towards Sustainable Development Among Higher Secondary School Students</w:t>
      </w:r>
    </w:p>
    <w:p w14:paraId="03B62BF5" w14:textId="1E1EED9E" w:rsidR="004D6702" w:rsidRDefault="004D6702" w:rsidP="00F86D1F">
      <w:pPr>
        <w:pStyle w:val="BlockText"/>
        <w:pBdr>
          <w:bottom w:val="single" w:sz="12" w:space="1" w:color="auto"/>
        </w:pBdr>
        <w:jc w:val="right"/>
        <w:rPr>
          <w:rFonts w:ascii="Times New Roman" w:hAnsi="Times New Roman" w:cs="Times New Roman"/>
          <w:b w:val="0"/>
          <w:bCs/>
        </w:rPr>
      </w:pPr>
    </w:p>
    <w:p w14:paraId="238E8C3C" w14:textId="77777777" w:rsidR="001F7A15" w:rsidRDefault="001F7A15" w:rsidP="00F86D1F">
      <w:pPr>
        <w:pStyle w:val="BlockText"/>
        <w:pBdr>
          <w:bottom w:val="single" w:sz="12" w:space="1" w:color="auto"/>
        </w:pBdr>
        <w:jc w:val="right"/>
        <w:rPr>
          <w:rFonts w:ascii="Times New Roman" w:hAnsi="Times New Roman" w:cs="Times New Roman"/>
          <w:b w:val="0"/>
          <w:bCs/>
        </w:rPr>
      </w:pPr>
    </w:p>
    <w:p w14:paraId="53A2B69D" w14:textId="12B41CAF" w:rsidR="00290B21" w:rsidRPr="00F86D1F" w:rsidRDefault="00F86D1F" w:rsidP="008B35B5">
      <w:pPr>
        <w:jc w:val="both"/>
        <w:rPr>
          <w:rFonts w:ascii="Arial" w:hAnsi="Arial" w:cs="Arial"/>
          <w:b/>
          <w:bCs/>
          <w:lang w:val="en-US"/>
        </w:rPr>
      </w:pPr>
      <w:r w:rsidRPr="00F86D1F">
        <w:rPr>
          <w:rFonts w:ascii="Arial" w:hAnsi="Arial" w:cs="Arial"/>
          <w:b/>
          <w:bCs/>
          <w:lang w:val="en-US"/>
        </w:rPr>
        <w:t xml:space="preserve">ABSTRACT: </w:t>
      </w:r>
    </w:p>
    <w:p w14:paraId="1EB5ED4A" w14:textId="06932E49" w:rsidR="0022274B" w:rsidRDefault="0022274B" w:rsidP="00DC588D">
      <w:pPr>
        <w:jc w:val="both"/>
        <w:rPr>
          <w:rFonts w:ascii="Times New Roman" w:hAnsi="Times New Roman" w:cs="Times New Roman"/>
          <w:sz w:val="24"/>
          <w:szCs w:val="24"/>
        </w:rPr>
      </w:pPr>
      <w:bookmarkStart w:id="0" w:name="_Hlk217154611"/>
      <w:r w:rsidRPr="0022274B">
        <w:rPr>
          <w:rFonts w:ascii="Times New Roman" w:hAnsi="Times New Roman" w:cs="Times New Roman"/>
          <w:sz w:val="24"/>
          <w:szCs w:val="24"/>
        </w:rPr>
        <w:t xml:space="preserve">Awareness of sustainable development is indispensable for safeguarding the environment and ensuring intergenerational equity. At the higher secondary level, education plays a pivotal role in cultivating such awareness, as it shapes students’ attitudes and competencies toward sustainable futures. The present study </w:t>
      </w:r>
      <w:r w:rsidR="00F97031">
        <w:rPr>
          <w:rFonts w:ascii="Times New Roman" w:hAnsi="Times New Roman" w:cs="Times New Roman"/>
          <w:sz w:val="24"/>
          <w:szCs w:val="24"/>
        </w:rPr>
        <w:t>aims to investigate the level of sustainable development awareness among higher secondary school students, with a particular focus on</w:t>
      </w:r>
      <w:r w:rsidRPr="0022274B">
        <w:rPr>
          <w:rFonts w:ascii="Times New Roman" w:hAnsi="Times New Roman" w:cs="Times New Roman"/>
          <w:sz w:val="24"/>
          <w:szCs w:val="24"/>
        </w:rPr>
        <w:t xml:space="preserve"> gender and academic stream as comparative variables. Employing a descriptive survey design, the investigation was conducted on a stratified random sample of 150 students</w:t>
      </w:r>
      <w:r w:rsidR="003F412F">
        <w:rPr>
          <w:rFonts w:ascii="Times New Roman" w:hAnsi="Times New Roman" w:cs="Times New Roman"/>
          <w:sz w:val="24"/>
          <w:szCs w:val="24"/>
        </w:rPr>
        <w:t xml:space="preserve">. </w:t>
      </w:r>
      <w:r w:rsidRPr="0022274B">
        <w:rPr>
          <w:rFonts w:ascii="Times New Roman" w:hAnsi="Times New Roman" w:cs="Times New Roman"/>
          <w:sz w:val="24"/>
          <w:szCs w:val="24"/>
        </w:rPr>
        <w:t>Data were collected using a structured instrument and analyzed through statistical measures, including mean, standard deviation, and independent sample t-tests.</w:t>
      </w:r>
      <w:r w:rsidRPr="003F412F">
        <w:rPr>
          <w:rFonts w:ascii="Times New Roman" w:hAnsi="Times New Roman" w:cs="Times New Roman"/>
          <w:sz w:val="24"/>
          <w:szCs w:val="24"/>
        </w:rPr>
        <w:t xml:space="preserve"> </w:t>
      </w:r>
      <w:r w:rsidR="003F412F" w:rsidRPr="003F412F">
        <w:rPr>
          <w:rFonts w:ascii="Times New Roman" w:hAnsi="Times New Roman" w:cs="Times New Roman"/>
          <w:sz w:val="24"/>
          <w:szCs w:val="24"/>
        </w:rPr>
        <w:t xml:space="preserve">The study assessed awareness towards sustainable development among higher secondary school students based on gender and academic stream. The sample included 150 students for gender comparison (75 male, 75 female) and 150 students across streams (Arts, Science, Commerce; </w:t>
      </w:r>
      <w:r w:rsidR="003F412F" w:rsidRPr="003F412F">
        <w:rPr>
          <w:rFonts w:ascii="Times New Roman" w:hAnsi="Times New Roman" w:cs="Times New Roman"/>
          <w:i/>
          <w:iCs/>
          <w:sz w:val="24"/>
          <w:szCs w:val="24"/>
        </w:rPr>
        <w:t>n</w:t>
      </w:r>
      <w:r w:rsidR="003F412F" w:rsidRPr="003F412F">
        <w:rPr>
          <w:rFonts w:ascii="Times New Roman" w:hAnsi="Times New Roman" w:cs="Times New Roman"/>
          <w:sz w:val="24"/>
          <w:szCs w:val="24"/>
        </w:rPr>
        <w:t xml:space="preserve"> = 50 each). Independent samples </w:t>
      </w:r>
      <w:r w:rsidR="003F412F" w:rsidRPr="003F412F">
        <w:rPr>
          <w:rFonts w:ascii="Times New Roman" w:hAnsi="Times New Roman" w:cs="Times New Roman"/>
          <w:i/>
          <w:iCs/>
          <w:sz w:val="24"/>
          <w:szCs w:val="24"/>
        </w:rPr>
        <w:t>t</w:t>
      </w:r>
      <w:r w:rsidR="003F412F" w:rsidRPr="003F412F">
        <w:rPr>
          <w:rFonts w:ascii="Times New Roman" w:hAnsi="Times New Roman" w:cs="Times New Roman"/>
          <w:sz w:val="24"/>
          <w:szCs w:val="24"/>
        </w:rPr>
        <w:t>-tests were applied at the 0.05 level of significance.</w:t>
      </w:r>
      <w:r w:rsidR="003F412F">
        <w:rPr>
          <w:rFonts w:ascii="Times New Roman" w:hAnsi="Times New Roman" w:cs="Times New Roman"/>
          <w:sz w:val="24"/>
          <w:szCs w:val="24"/>
        </w:rPr>
        <w:t xml:space="preserve"> </w:t>
      </w:r>
      <w:r w:rsidR="003F412F" w:rsidRPr="003F412F">
        <w:rPr>
          <w:rFonts w:ascii="Times New Roman" w:hAnsi="Times New Roman" w:cs="Times New Roman"/>
          <w:sz w:val="24"/>
          <w:szCs w:val="24"/>
        </w:rPr>
        <w:t>Male students (Mean = 76.87, SD = 10.19) scored slightly higher than female students (Mean = 75.93, SD = 10.41); however, the difference was not significant (</w:t>
      </w:r>
      <w:r w:rsidR="003F412F" w:rsidRPr="003F412F">
        <w:rPr>
          <w:rFonts w:ascii="Times New Roman" w:hAnsi="Times New Roman" w:cs="Times New Roman"/>
          <w:i/>
          <w:iCs/>
          <w:sz w:val="24"/>
          <w:szCs w:val="24"/>
        </w:rPr>
        <w:t>t</w:t>
      </w:r>
      <w:r w:rsidR="003F412F" w:rsidRPr="003F412F">
        <w:rPr>
          <w:rFonts w:ascii="Times New Roman" w:hAnsi="Times New Roman" w:cs="Times New Roman"/>
          <w:sz w:val="24"/>
          <w:szCs w:val="24"/>
        </w:rPr>
        <w:t xml:space="preserve"> = 0.55, </w:t>
      </w:r>
      <w:r w:rsidR="003F412F" w:rsidRPr="003F412F">
        <w:rPr>
          <w:rFonts w:ascii="Times New Roman" w:hAnsi="Times New Roman" w:cs="Times New Roman"/>
          <w:i/>
          <w:iCs/>
          <w:sz w:val="24"/>
          <w:szCs w:val="24"/>
        </w:rPr>
        <w:t>p</w:t>
      </w:r>
      <w:r w:rsidR="003F412F" w:rsidRPr="003F412F">
        <w:rPr>
          <w:rFonts w:ascii="Times New Roman" w:hAnsi="Times New Roman" w:cs="Times New Roman"/>
          <w:sz w:val="24"/>
          <w:szCs w:val="24"/>
        </w:rPr>
        <w:t xml:space="preserve"> &gt; 0.05).</w:t>
      </w:r>
      <w:r w:rsidR="003F412F">
        <w:rPr>
          <w:rFonts w:ascii="Times New Roman" w:hAnsi="Times New Roman" w:cs="Times New Roman"/>
          <w:sz w:val="24"/>
          <w:szCs w:val="24"/>
        </w:rPr>
        <w:t xml:space="preserve"> </w:t>
      </w:r>
      <w:r w:rsidR="003F412F" w:rsidRPr="003F412F">
        <w:rPr>
          <w:rFonts w:ascii="Times New Roman" w:hAnsi="Times New Roman" w:cs="Times New Roman"/>
          <w:sz w:val="24"/>
          <w:szCs w:val="24"/>
        </w:rPr>
        <w:t>Stream-wise analysis also revealed no significant differences. Arts students (Mean = 76.22, SD = 8.54) and Science students (Mean = 76.66, SD = 9.98) did not differ significantly (</w:t>
      </w:r>
      <w:r w:rsidR="003F412F" w:rsidRPr="003F412F">
        <w:rPr>
          <w:rFonts w:ascii="Times New Roman" w:hAnsi="Times New Roman" w:cs="Times New Roman"/>
          <w:i/>
          <w:iCs/>
          <w:sz w:val="24"/>
          <w:szCs w:val="24"/>
        </w:rPr>
        <w:t>t</w:t>
      </w:r>
      <w:r w:rsidR="003F412F" w:rsidRPr="003F412F">
        <w:rPr>
          <w:rFonts w:ascii="Times New Roman" w:hAnsi="Times New Roman" w:cs="Times New Roman"/>
          <w:sz w:val="24"/>
          <w:szCs w:val="24"/>
        </w:rPr>
        <w:t xml:space="preserve"> = –0.24, </w:t>
      </w:r>
      <w:r w:rsidR="003F412F" w:rsidRPr="003F412F">
        <w:rPr>
          <w:rFonts w:ascii="Times New Roman" w:hAnsi="Times New Roman" w:cs="Times New Roman"/>
          <w:i/>
          <w:iCs/>
          <w:sz w:val="24"/>
          <w:szCs w:val="24"/>
        </w:rPr>
        <w:t>p</w:t>
      </w:r>
      <w:r w:rsidR="003F412F" w:rsidRPr="003F412F">
        <w:rPr>
          <w:rFonts w:ascii="Times New Roman" w:hAnsi="Times New Roman" w:cs="Times New Roman"/>
          <w:sz w:val="24"/>
          <w:szCs w:val="24"/>
        </w:rPr>
        <w:t xml:space="preserve"> &gt; 0.05). Similarly, no significant difference was found between Arts and Commerce students (</w:t>
      </w:r>
      <w:r w:rsidR="003F412F" w:rsidRPr="003F412F">
        <w:rPr>
          <w:rFonts w:ascii="Times New Roman" w:hAnsi="Times New Roman" w:cs="Times New Roman"/>
          <w:i/>
          <w:iCs/>
          <w:sz w:val="24"/>
          <w:szCs w:val="24"/>
        </w:rPr>
        <w:t>t</w:t>
      </w:r>
      <w:r w:rsidR="003F412F" w:rsidRPr="003F412F">
        <w:rPr>
          <w:rFonts w:ascii="Times New Roman" w:hAnsi="Times New Roman" w:cs="Times New Roman"/>
          <w:sz w:val="24"/>
          <w:szCs w:val="24"/>
        </w:rPr>
        <w:t xml:space="preserve"> = –0.05, </w:t>
      </w:r>
      <w:r w:rsidR="003F412F" w:rsidRPr="003F412F">
        <w:rPr>
          <w:rFonts w:ascii="Times New Roman" w:hAnsi="Times New Roman" w:cs="Times New Roman"/>
          <w:i/>
          <w:iCs/>
          <w:sz w:val="24"/>
          <w:szCs w:val="24"/>
        </w:rPr>
        <w:t>p</w:t>
      </w:r>
      <w:r w:rsidR="003F412F" w:rsidRPr="003F412F">
        <w:rPr>
          <w:rFonts w:ascii="Times New Roman" w:hAnsi="Times New Roman" w:cs="Times New Roman"/>
          <w:sz w:val="24"/>
          <w:szCs w:val="24"/>
        </w:rPr>
        <w:t xml:space="preserve"> &gt; 0.05) or between Science and Commerce students (</w:t>
      </w:r>
      <w:r w:rsidR="003F412F" w:rsidRPr="003F412F">
        <w:rPr>
          <w:rFonts w:ascii="Times New Roman" w:hAnsi="Times New Roman" w:cs="Times New Roman"/>
          <w:i/>
          <w:iCs/>
          <w:sz w:val="24"/>
          <w:szCs w:val="24"/>
        </w:rPr>
        <w:t>t</w:t>
      </w:r>
      <w:r w:rsidR="003F412F" w:rsidRPr="003F412F">
        <w:rPr>
          <w:rFonts w:ascii="Times New Roman" w:hAnsi="Times New Roman" w:cs="Times New Roman"/>
          <w:sz w:val="24"/>
          <w:szCs w:val="24"/>
        </w:rPr>
        <w:t xml:space="preserve"> = 0.15, </w:t>
      </w:r>
      <w:r w:rsidR="003F412F" w:rsidRPr="003F412F">
        <w:rPr>
          <w:rFonts w:ascii="Times New Roman" w:hAnsi="Times New Roman" w:cs="Times New Roman"/>
          <w:i/>
          <w:iCs/>
          <w:sz w:val="24"/>
          <w:szCs w:val="24"/>
        </w:rPr>
        <w:t>p</w:t>
      </w:r>
      <w:r w:rsidR="003F412F" w:rsidRPr="003F412F">
        <w:rPr>
          <w:rFonts w:ascii="Times New Roman" w:hAnsi="Times New Roman" w:cs="Times New Roman"/>
          <w:sz w:val="24"/>
          <w:szCs w:val="24"/>
        </w:rPr>
        <w:t xml:space="preserve"> &gt; 0.05).</w:t>
      </w:r>
      <w:r w:rsidR="003F412F">
        <w:rPr>
          <w:rFonts w:ascii="Times New Roman" w:hAnsi="Times New Roman" w:cs="Times New Roman"/>
          <w:sz w:val="24"/>
          <w:szCs w:val="24"/>
        </w:rPr>
        <w:t xml:space="preserve"> </w:t>
      </w:r>
      <w:r w:rsidR="003F412F" w:rsidRPr="003F412F">
        <w:rPr>
          <w:rFonts w:ascii="Times New Roman" w:hAnsi="Times New Roman" w:cs="Times New Roman"/>
          <w:sz w:val="24"/>
          <w:szCs w:val="24"/>
        </w:rPr>
        <w:t>Although marginally higher mean scores were observed among male and science students, no statistically significant differences were found across gender or academic streams, indicating a uniform level of sustainable development awareness among higher secondary school students.</w:t>
      </w:r>
      <w:r w:rsidR="003F412F">
        <w:rPr>
          <w:rFonts w:ascii="Times New Roman" w:hAnsi="Times New Roman" w:cs="Times New Roman"/>
          <w:sz w:val="24"/>
          <w:szCs w:val="24"/>
        </w:rPr>
        <w:t xml:space="preserve"> </w:t>
      </w:r>
      <w:r w:rsidRPr="0022274B">
        <w:rPr>
          <w:rFonts w:ascii="Times New Roman" w:hAnsi="Times New Roman" w:cs="Times New Roman"/>
          <w:sz w:val="24"/>
          <w:szCs w:val="24"/>
        </w:rPr>
        <w:t>The results underscore the importance of integrating sustainability-related content systematically within curricula, thereby reinforcing the capacity of secondary education to contribute to the global sustainability agenda.</w:t>
      </w:r>
    </w:p>
    <w:bookmarkEnd w:id="0"/>
    <w:p w14:paraId="5C71DAF8" w14:textId="3327F384" w:rsidR="00DC588D" w:rsidRPr="00DC588D" w:rsidRDefault="00103CF9" w:rsidP="00DC588D">
      <w:pPr>
        <w:jc w:val="both"/>
        <w:rPr>
          <w:rFonts w:ascii="Times New Roman" w:hAnsi="Times New Roman" w:cs="Times New Roman"/>
          <w:sz w:val="24"/>
          <w:szCs w:val="24"/>
        </w:rPr>
      </w:pPr>
      <w:r w:rsidRPr="004D6702">
        <w:rPr>
          <w:rFonts w:ascii="Times New Roman" w:hAnsi="Times New Roman" w:cs="Times New Roman"/>
          <w:b/>
          <w:bCs/>
          <w:sz w:val="24"/>
          <w:szCs w:val="24"/>
          <w:lang w:val="en-US"/>
        </w:rPr>
        <w:t>K</w:t>
      </w:r>
      <w:r w:rsidR="001F1BD5" w:rsidRPr="004D6702">
        <w:rPr>
          <w:rFonts w:ascii="Times New Roman" w:hAnsi="Times New Roman" w:cs="Times New Roman"/>
          <w:b/>
          <w:bCs/>
          <w:sz w:val="24"/>
          <w:szCs w:val="24"/>
          <w:lang w:val="en-US"/>
        </w:rPr>
        <w:t>eywords</w:t>
      </w:r>
      <w:r w:rsidRPr="004D6702">
        <w:rPr>
          <w:rFonts w:ascii="Times New Roman" w:hAnsi="Times New Roman" w:cs="Times New Roman"/>
          <w:b/>
          <w:bCs/>
          <w:sz w:val="24"/>
          <w:szCs w:val="24"/>
          <w:lang w:val="en-US"/>
        </w:rPr>
        <w:t>:</w:t>
      </w:r>
      <w:r>
        <w:rPr>
          <w:rFonts w:ascii="Times New Roman" w:hAnsi="Times New Roman" w:cs="Times New Roman"/>
          <w:b/>
          <w:bCs/>
          <w:lang w:val="en-US"/>
        </w:rPr>
        <w:t xml:space="preserve"> </w:t>
      </w:r>
      <w:r w:rsidR="00DC588D" w:rsidRPr="001F1BD5">
        <w:rPr>
          <w:rFonts w:ascii="Times New Roman" w:hAnsi="Times New Roman" w:cs="Times New Roman"/>
          <w:sz w:val="24"/>
          <w:szCs w:val="24"/>
        </w:rPr>
        <w:t xml:space="preserve">Sustainable Development Awareness, </w:t>
      </w:r>
      <w:r w:rsidR="00DC588D" w:rsidRPr="00DC588D">
        <w:rPr>
          <w:rFonts w:ascii="Times New Roman" w:hAnsi="Times New Roman" w:cs="Times New Roman"/>
          <w:sz w:val="24"/>
          <w:szCs w:val="24"/>
        </w:rPr>
        <w:t>Higher Secondary Students</w:t>
      </w:r>
      <w:r w:rsidR="00A02236" w:rsidRPr="001F1BD5">
        <w:rPr>
          <w:rFonts w:ascii="Times New Roman" w:hAnsi="Times New Roman" w:cs="Times New Roman"/>
          <w:sz w:val="24"/>
          <w:szCs w:val="24"/>
        </w:rPr>
        <w:t xml:space="preserve">, </w:t>
      </w:r>
      <w:r w:rsidR="00DC588D" w:rsidRPr="00DC588D">
        <w:rPr>
          <w:rFonts w:ascii="Times New Roman" w:hAnsi="Times New Roman" w:cs="Times New Roman"/>
          <w:sz w:val="24"/>
          <w:szCs w:val="24"/>
        </w:rPr>
        <w:t>Gender Differences</w:t>
      </w:r>
      <w:r w:rsidR="00A02236" w:rsidRPr="001F1BD5">
        <w:rPr>
          <w:rFonts w:ascii="Times New Roman" w:hAnsi="Times New Roman" w:cs="Times New Roman"/>
          <w:sz w:val="24"/>
          <w:szCs w:val="24"/>
        </w:rPr>
        <w:t xml:space="preserve">, </w:t>
      </w:r>
      <w:r w:rsidR="00DC588D" w:rsidRPr="00DC588D">
        <w:rPr>
          <w:rFonts w:ascii="Times New Roman" w:hAnsi="Times New Roman" w:cs="Times New Roman"/>
          <w:sz w:val="24"/>
          <w:szCs w:val="24"/>
        </w:rPr>
        <w:t>Academic Streams</w:t>
      </w:r>
    </w:p>
    <w:p w14:paraId="73F544B4" w14:textId="16EA48F8" w:rsidR="00103CF9" w:rsidRPr="008F247E" w:rsidRDefault="00103CF9" w:rsidP="00103CF9">
      <w:pPr>
        <w:jc w:val="both"/>
        <w:rPr>
          <w:rFonts w:ascii="Times New Roman" w:hAnsi="Times New Roman" w:cs="Times New Roman"/>
          <w:b/>
          <w:bCs/>
          <w:lang w:val="en-US"/>
        </w:rPr>
      </w:pPr>
    </w:p>
    <w:p w14:paraId="3CF7506E" w14:textId="464247A1" w:rsidR="005525BB" w:rsidRPr="00D57DF3" w:rsidRDefault="004D6702" w:rsidP="00D57DF3">
      <w:pPr>
        <w:pStyle w:val="ListParagraph"/>
        <w:numPr>
          <w:ilvl w:val="0"/>
          <w:numId w:val="4"/>
        </w:numPr>
        <w:jc w:val="both"/>
        <w:rPr>
          <w:rFonts w:ascii="Arial" w:hAnsi="Arial" w:cs="Arial"/>
          <w:b/>
          <w:bCs/>
          <w:lang w:val="en-US"/>
        </w:rPr>
      </w:pPr>
      <w:bookmarkStart w:id="1" w:name="_GoBack"/>
      <w:bookmarkEnd w:id="1"/>
      <w:r w:rsidRPr="00D57DF3">
        <w:rPr>
          <w:rFonts w:ascii="Arial" w:hAnsi="Arial" w:cs="Arial"/>
          <w:b/>
          <w:bCs/>
          <w:lang w:val="en-US"/>
        </w:rPr>
        <w:t>INTRODUCTION:</w:t>
      </w:r>
    </w:p>
    <w:p w14:paraId="286E400A" w14:textId="404038EC" w:rsidR="00482C46" w:rsidRPr="004D6702" w:rsidRDefault="00482C46" w:rsidP="008B35B5">
      <w:pPr>
        <w:pStyle w:val="BodyText"/>
        <w:spacing w:before="20" w:after="20" w:line="360" w:lineRule="auto"/>
        <w:ind w:right="567"/>
        <w:jc w:val="both"/>
        <w:rPr>
          <w:rFonts w:ascii="Arial" w:hAnsi="Arial" w:cs="Arial"/>
          <w:sz w:val="20"/>
          <w:szCs w:val="20"/>
          <w:lang w:eastAsia="en-IN"/>
        </w:rPr>
      </w:pPr>
      <w:r w:rsidRPr="004D6702">
        <w:rPr>
          <w:rFonts w:ascii="Arial" w:hAnsi="Arial" w:cs="Arial"/>
          <w:sz w:val="20"/>
          <w:szCs w:val="20"/>
        </w:rPr>
        <w:t>According to the theory of sustainable development, current demands should be satisfied</w:t>
      </w:r>
      <w:r w:rsidR="00B70965" w:rsidRPr="004D6702">
        <w:rPr>
          <w:rFonts w:ascii="Arial" w:hAnsi="Arial" w:cs="Arial"/>
          <w:sz w:val="20"/>
          <w:szCs w:val="20"/>
        </w:rPr>
        <w:t xml:space="preserve"> </w:t>
      </w:r>
      <w:r w:rsidRPr="004D6702">
        <w:rPr>
          <w:rFonts w:ascii="Arial" w:hAnsi="Arial" w:cs="Arial"/>
          <w:sz w:val="20"/>
          <w:szCs w:val="20"/>
        </w:rPr>
        <w:t xml:space="preserve">without </w:t>
      </w:r>
      <w:r w:rsidR="00B02235" w:rsidRPr="004D6702">
        <w:rPr>
          <w:rFonts w:ascii="Arial" w:hAnsi="Arial" w:cs="Arial"/>
          <w:sz w:val="20"/>
          <w:szCs w:val="20"/>
        </w:rPr>
        <w:t>compromising the capacity of future generations to meet their own needs</w:t>
      </w:r>
      <w:r w:rsidRPr="004D6702">
        <w:rPr>
          <w:rFonts w:ascii="Arial" w:hAnsi="Arial" w:cs="Arial"/>
          <w:sz w:val="20"/>
          <w:szCs w:val="20"/>
        </w:rPr>
        <w:t xml:space="preserve">. While acknowledging the constraints imposed by social structure, technology, and the environment, it places a higher priority on the world’s poor. Created in the 1987 Brundtland Commission report, it seeks to ensure everyone’s long-term </w:t>
      </w:r>
      <w:r w:rsidR="00061242" w:rsidRPr="004D6702">
        <w:rPr>
          <w:rFonts w:ascii="Arial" w:hAnsi="Arial" w:cs="Arial"/>
          <w:sz w:val="20"/>
          <w:szCs w:val="20"/>
        </w:rPr>
        <w:t>well-being</w:t>
      </w:r>
      <w:r w:rsidRPr="004D6702">
        <w:rPr>
          <w:rFonts w:ascii="Arial" w:hAnsi="Arial" w:cs="Arial"/>
          <w:sz w:val="20"/>
          <w:szCs w:val="20"/>
        </w:rPr>
        <w:t xml:space="preserve"> by preventing development from undermining one another (Brundtland Commission Report, 1987). </w:t>
      </w:r>
      <w:r w:rsidRPr="004D6702">
        <w:rPr>
          <w:rFonts w:ascii="Arial" w:hAnsi="Arial" w:cs="Arial"/>
          <w:sz w:val="20"/>
          <w:szCs w:val="20"/>
          <w:lang w:eastAsia="en-IN"/>
        </w:rPr>
        <w:t xml:space="preserve">UNESCO highlights the importance of awareness regarding sustainable development, seeking to </w:t>
      </w:r>
      <w:r w:rsidR="00A846ED" w:rsidRPr="004D6702">
        <w:rPr>
          <w:rFonts w:ascii="Arial" w:hAnsi="Arial" w:cs="Arial"/>
          <w:sz w:val="20"/>
          <w:szCs w:val="20"/>
          <w:lang w:eastAsia="en-IN"/>
        </w:rPr>
        <w:t>harmonize</w:t>
      </w:r>
      <w:r w:rsidRPr="004D6702">
        <w:rPr>
          <w:rFonts w:ascii="Arial" w:hAnsi="Arial" w:cs="Arial"/>
          <w:sz w:val="20"/>
          <w:szCs w:val="20"/>
          <w:lang w:eastAsia="en-IN"/>
        </w:rPr>
        <w:t xml:space="preserve"> economic progress, environmental </w:t>
      </w:r>
      <w:r w:rsidRPr="004D6702">
        <w:rPr>
          <w:rFonts w:ascii="Arial" w:hAnsi="Arial" w:cs="Arial"/>
          <w:sz w:val="20"/>
          <w:szCs w:val="20"/>
          <w:lang w:eastAsia="en-IN"/>
        </w:rPr>
        <w:lastRenderedPageBreak/>
        <w:t xml:space="preserve">preservation, and social welfare, while urging that young individuals be provided with the knowledge, skills, and values that </w:t>
      </w:r>
      <w:r w:rsidR="00364883" w:rsidRPr="004D6702">
        <w:rPr>
          <w:rFonts w:ascii="Arial" w:hAnsi="Arial" w:cs="Arial"/>
          <w:sz w:val="20"/>
          <w:szCs w:val="20"/>
          <w:lang w:eastAsia="en-IN"/>
        </w:rPr>
        <w:t>are needed</w:t>
      </w:r>
      <w:r w:rsidRPr="004D6702">
        <w:rPr>
          <w:rFonts w:ascii="Arial" w:hAnsi="Arial" w:cs="Arial"/>
          <w:sz w:val="20"/>
          <w:szCs w:val="20"/>
          <w:lang w:eastAsia="en-IN"/>
        </w:rPr>
        <w:t xml:space="preserve"> (UNESCO, 1987).</w:t>
      </w:r>
    </w:p>
    <w:p w14:paraId="2AEDF7B6" w14:textId="47EF580A" w:rsidR="00AE07C7" w:rsidRPr="004D6702" w:rsidRDefault="00AE07C7" w:rsidP="008B35B5">
      <w:pPr>
        <w:pStyle w:val="BodyText"/>
        <w:spacing w:before="20" w:after="20" w:line="360" w:lineRule="auto"/>
        <w:ind w:right="567"/>
        <w:jc w:val="both"/>
        <w:rPr>
          <w:rFonts w:ascii="Arial" w:hAnsi="Arial" w:cs="Arial"/>
          <w:sz w:val="20"/>
          <w:szCs w:val="20"/>
          <w:lang w:eastAsia="en-IN"/>
        </w:rPr>
      </w:pPr>
      <w:r w:rsidRPr="004D6702">
        <w:rPr>
          <w:rFonts w:ascii="Arial" w:hAnsi="Arial" w:cs="Arial"/>
          <w:sz w:val="20"/>
          <w:szCs w:val="20"/>
          <w:lang w:eastAsia="en-IN"/>
        </w:rPr>
        <w:t xml:space="preserve">NITI Aayog (National Institution for Transforming India) plays a central role in translating the SDGs into tangible actions by mapping the global goals onto India's national policies, schemes, and programs. This process </w:t>
      </w:r>
      <w:r w:rsidR="004E4F55" w:rsidRPr="004D6702">
        <w:rPr>
          <w:rFonts w:ascii="Arial" w:hAnsi="Arial" w:cs="Arial"/>
          <w:sz w:val="20"/>
          <w:szCs w:val="20"/>
          <w:lang w:eastAsia="en-IN"/>
        </w:rPr>
        <w:t>enables India to tailor the SDGs to its specific development needs while upholding broader global objectives (NITI Aayog,</w:t>
      </w:r>
      <w:r w:rsidRPr="004D6702">
        <w:rPr>
          <w:rFonts w:ascii="Arial" w:hAnsi="Arial" w:cs="Arial"/>
          <w:sz w:val="20"/>
          <w:szCs w:val="20"/>
          <w:lang w:eastAsia="en-IN"/>
        </w:rPr>
        <w:t xml:space="preserve"> 2015). </w:t>
      </w:r>
      <w:r w:rsidR="003F578C" w:rsidRPr="004D6702">
        <w:rPr>
          <w:rFonts w:ascii="Arial" w:hAnsi="Arial" w:cs="Arial"/>
          <w:sz w:val="20"/>
          <w:szCs w:val="20"/>
          <w:lang w:eastAsia="en-IN"/>
        </w:rPr>
        <w:t xml:space="preserve"> </w:t>
      </w:r>
      <w:r w:rsidR="008A708F" w:rsidRPr="004D6702">
        <w:rPr>
          <w:rFonts w:ascii="Arial" w:hAnsi="Arial" w:cs="Arial"/>
          <w:sz w:val="20"/>
          <w:szCs w:val="20"/>
          <w:lang w:eastAsia="en-IN"/>
        </w:rPr>
        <w:t xml:space="preserve">The higher secondary education system in India, which educates students between the ages of 16 and 18, is essential in helping young people </w:t>
      </w:r>
      <w:r w:rsidR="00BE4A4F" w:rsidRPr="004D6702">
        <w:rPr>
          <w:rFonts w:ascii="Arial" w:hAnsi="Arial" w:cs="Arial"/>
          <w:sz w:val="20"/>
          <w:szCs w:val="20"/>
          <w:lang w:eastAsia="en-IN"/>
        </w:rPr>
        <w:t>become</w:t>
      </w:r>
      <w:r w:rsidR="008A708F" w:rsidRPr="004D6702">
        <w:rPr>
          <w:rFonts w:ascii="Arial" w:hAnsi="Arial" w:cs="Arial"/>
          <w:sz w:val="20"/>
          <w:szCs w:val="20"/>
          <w:lang w:eastAsia="en-IN"/>
        </w:rPr>
        <w:t xml:space="preserve"> responsible members of society. We can create a crucial framework for raising sustainability consciousness and giving students the information and abilities they need to contribute to </w:t>
      </w:r>
      <w:r w:rsidR="00BE4A4F" w:rsidRPr="004D6702">
        <w:rPr>
          <w:rFonts w:ascii="Arial" w:hAnsi="Arial" w:cs="Arial"/>
          <w:sz w:val="20"/>
          <w:szCs w:val="20"/>
          <w:lang w:eastAsia="en-IN"/>
        </w:rPr>
        <w:t>a</w:t>
      </w:r>
      <w:r w:rsidR="008A708F" w:rsidRPr="004D6702">
        <w:rPr>
          <w:rFonts w:ascii="Arial" w:hAnsi="Arial" w:cs="Arial"/>
          <w:sz w:val="20"/>
          <w:szCs w:val="20"/>
          <w:lang w:eastAsia="en-IN"/>
        </w:rPr>
        <w:t xml:space="preserve"> sustainable future by including the Sustainable Development Goals (SDGs) in the curriculum. Overpopulation, </w:t>
      </w:r>
      <w:r w:rsidR="00A846ED" w:rsidRPr="004D6702">
        <w:rPr>
          <w:rFonts w:ascii="Arial" w:hAnsi="Arial" w:cs="Arial"/>
          <w:sz w:val="20"/>
          <w:szCs w:val="20"/>
          <w:lang w:eastAsia="en-IN"/>
        </w:rPr>
        <w:t>urbanization</w:t>
      </w:r>
      <w:r w:rsidR="007B2999" w:rsidRPr="004D6702">
        <w:rPr>
          <w:rFonts w:ascii="Arial" w:hAnsi="Arial" w:cs="Arial"/>
          <w:sz w:val="20"/>
          <w:szCs w:val="20"/>
          <w:lang w:eastAsia="en-IN"/>
        </w:rPr>
        <w:t>, pollution, and unequal resource distribution are some of the key</w:t>
      </w:r>
      <w:r w:rsidR="008A708F" w:rsidRPr="004D6702">
        <w:rPr>
          <w:rFonts w:ascii="Arial" w:hAnsi="Arial" w:cs="Arial"/>
          <w:sz w:val="20"/>
          <w:szCs w:val="20"/>
          <w:lang w:eastAsia="en-IN"/>
        </w:rPr>
        <w:t xml:space="preserve"> sustainability issues that India faces (UNESCO, 2017). </w:t>
      </w:r>
    </w:p>
    <w:p w14:paraId="26DEB1AC" w14:textId="65AEF4CD" w:rsidR="008A708F" w:rsidRPr="004D6702" w:rsidRDefault="007B2999" w:rsidP="008B35B5">
      <w:pPr>
        <w:pStyle w:val="BodyText"/>
        <w:spacing w:before="20" w:after="20" w:line="360" w:lineRule="auto"/>
        <w:ind w:right="567"/>
        <w:jc w:val="both"/>
        <w:rPr>
          <w:rFonts w:ascii="Arial" w:hAnsi="Arial" w:cs="Arial"/>
          <w:sz w:val="20"/>
          <w:szCs w:val="20"/>
          <w:lang w:eastAsia="en-IN"/>
        </w:rPr>
      </w:pPr>
      <w:r w:rsidRPr="004D6702">
        <w:rPr>
          <w:rFonts w:ascii="Arial" w:hAnsi="Arial" w:cs="Arial"/>
          <w:sz w:val="20"/>
          <w:szCs w:val="20"/>
          <w:lang w:eastAsia="en-IN"/>
        </w:rPr>
        <w:t xml:space="preserve">One of the primary benefits of raising awareness among students is the development of a sense of global responsibility. As the world becomes increasingly interconnected, the next generation must </w:t>
      </w:r>
      <w:r w:rsidR="00A846ED" w:rsidRPr="004D6702">
        <w:rPr>
          <w:rFonts w:ascii="Arial" w:hAnsi="Arial" w:cs="Arial"/>
          <w:sz w:val="20"/>
          <w:szCs w:val="20"/>
          <w:lang w:eastAsia="en-IN"/>
        </w:rPr>
        <w:t>recognize</w:t>
      </w:r>
      <w:r w:rsidRPr="004D6702">
        <w:rPr>
          <w:rFonts w:ascii="Arial" w:hAnsi="Arial" w:cs="Arial"/>
          <w:sz w:val="20"/>
          <w:szCs w:val="20"/>
          <w:lang w:eastAsia="en-IN"/>
        </w:rPr>
        <w:t xml:space="preserve"> shared responsibility in addressing challenges that transcend national borders (UNESCO, 2017). Engaging students with these global challenges encourages critical and creative thinking about potential solutions and better prepares them to contribute meaningfully to global conversations and initiatives (Sterling, 2010). Furthermore, empowering students with knowledge about sustainability can stimulate innovation. Today's students are the inventors, scientists, and creators of tomorrow, and by nurturing their awareness of sustainability, we open the door for them to develop ground-breaking solutions to complex global problems (Carter et al., 2018).</w:t>
      </w:r>
    </w:p>
    <w:p w14:paraId="33457C2E" w14:textId="3BC7AB7A" w:rsidR="007B2999" w:rsidRPr="004D6702" w:rsidRDefault="00BE4A4F" w:rsidP="008B35B5">
      <w:pPr>
        <w:pStyle w:val="BodyText"/>
        <w:spacing w:before="20" w:after="20" w:line="360" w:lineRule="auto"/>
        <w:ind w:right="567"/>
        <w:jc w:val="both"/>
        <w:rPr>
          <w:rFonts w:ascii="Arial" w:hAnsi="Arial" w:cs="Arial"/>
          <w:sz w:val="20"/>
          <w:szCs w:val="20"/>
          <w:lang w:eastAsia="en-IN"/>
        </w:rPr>
      </w:pPr>
      <w:r w:rsidRPr="004D6702">
        <w:rPr>
          <w:rFonts w:ascii="Arial" w:hAnsi="Arial" w:cs="Arial"/>
          <w:sz w:val="20"/>
          <w:szCs w:val="20"/>
          <w:lang w:eastAsia="en-IN"/>
        </w:rPr>
        <w:t xml:space="preserve">By actively engaging with the SDGs, students can develop a sense of responsibility and ownership in participating in the achievement of sustainable development (World Health </w:t>
      </w:r>
      <w:r w:rsidR="00A846ED" w:rsidRPr="004D6702">
        <w:rPr>
          <w:rFonts w:ascii="Arial" w:hAnsi="Arial" w:cs="Arial"/>
          <w:sz w:val="20"/>
          <w:szCs w:val="20"/>
          <w:lang w:eastAsia="en-IN"/>
        </w:rPr>
        <w:t>Organization</w:t>
      </w:r>
      <w:r w:rsidRPr="004D6702">
        <w:rPr>
          <w:rFonts w:ascii="Arial" w:hAnsi="Arial" w:cs="Arial"/>
          <w:sz w:val="20"/>
          <w:szCs w:val="20"/>
          <w:lang w:eastAsia="en-IN"/>
        </w:rPr>
        <w:t>, 2022).</w:t>
      </w:r>
    </w:p>
    <w:p w14:paraId="6131FC7B" w14:textId="0537AA44" w:rsidR="00812A5A" w:rsidRPr="00D57DF3" w:rsidRDefault="00D57DF3" w:rsidP="008B35B5">
      <w:pPr>
        <w:pStyle w:val="BodyText"/>
        <w:spacing w:before="20" w:after="20" w:line="360" w:lineRule="auto"/>
        <w:ind w:right="567"/>
        <w:jc w:val="both"/>
        <w:rPr>
          <w:rFonts w:ascii="Arial" w:hAnsi="Arial" w:cs="Arial"/>
          <w:b/>
          <w:sz w:val="20"/>
          <w:szCs w:val="20"/>
          <w:u w:val="single"/>
        </w:rPr>
      </w:pPr>
      <w:r>
        <w:rPr>
          <w:rFonts w:ascii="Arial" w:hAnsi="Arial" w:cs="Arial"/>
          <w:b/>
          <w:sz w:val="20"/>
          <w:szCs w:val="20"/>
        </w:rPr>
        <w:t xml:space="preserve">1.1 </w:t>
      </w:r>
      <w:r w:rsidR="00812A5A" w:rsidRPr="00D57DF3">
        <w:rPr>
          <w:rFonts w:ascii="Arial" w:hAnsi="Arial" w:cs="Arial"/>
          <w:b/>
          <w:sz w:val="20"/>
          <w:szCs w:val="20"/>
          <w:u w:val="single"/>
        </w:rPr>
        <w:t>Background of the Study:</w:t>
      </w:r>
    </w:p>
    <w:p w14:paraId="38414793" w14:textId="7E173DFA" w:rsidR="00812A5A" w:rsidRPr="004D6702" w:rsidRDefault="00013AE7" w:rsidP="008B35B5">
      <w:pPr>
        <w:pStyle w:val="BodyText"/>
        <w:spacing w:before="20" w:after="20" w:line="360" w:lineRule="auto"/>
        <w:ind w:right="567"/>
        <w:jc w:val="both"/>
        <w:rPr>
          <w:rFonts w:ascii="Arial" w:hAnsi="Arial" w:cs="Arial"/>
          <w:sz w:val="20"/>
          <w:szCs w:val="20"/>
          <w:lang w:eastAsia="en-IN"/>
        </w:rPr>
      </w:pPr>
      <w:r w:rsidRPr="004D6702">
        <w:rPr>
          <w:rFonts w:ascii="Arial" w:hAnsi="Arial" w:cs="Arial"/>
          <w:sz w:val="20"/>
          <w:szCs w:val="20"/>
          <w:lang w:eastAsia="en-IN"/>
        </w:rPr>
        <w:t xml:space="preserve">Education, especially in secondary and higher secondary schools, is crucial in imparting the principles of sustainable development to future generations (Brundtland Commission report, 1987). </w:t>
      </w:r>
      <w:r w:rsidR="00DE4A0E" w:rsidRPr="004D6702">
        <w:rPr>
          <w:rFonts w:ascii="Arial" w:hAnsi="Arial" w:cs="Arial"/>
          <w:sz w:val="20"/>
          <w:szCs w:val="20"/>
          <w:lang w:eastAsia="en-IN"/>
        </w:rPr>
        <w:t xml:space="preserve">Research on sustainable development education at the secondary school level has shown that students' awareness is influenced by factors such as curriculum, teachers' knowledge, local environmental issues, and cultural practices. However, gaps in knowledge and practical engagement with sustainability issues remain, often resulting from limited exposure to sustainability education and insufficient integration of real-world environmental challenges into school curricula. </w:t>
      </w:r>
    </w:p>
    <w:p w14:paraId="6AAC558B" w14:textId="7235AD76" w:rsidR="00710F3D" w:rsidRDefault="00710F3D" w:rsidP="008B35B5">
      <w:pPr>
        <w:pStyle w:val="BodyText"/>
        <w:spacing w:before="20" w:after="20" w:line="360" w:lineRule="auto"/>
        <w:ind w:right="567"/>
        <w:jc w:val="both"/>
        <w:rPr>
          <w:rFonts w:ascii="Arial" w:hAnsi="Arial" w:cs="Arial"/>
          <w:sz w:val="20"/>
          <w:szCs w:val="20"/>
          <w:lang w:val="en-IN" w:eastAsia="en-IN"/>
        </w:rPr>
      </w:pPr>
      <w:r w:rsidRPr="004D6702">
        <w:rPr>
          <w:rFonts w:ascii="Arial" w:hAnsi="Arial" w:cs="Arial"/>
          <w:sz w:val="20"/>
          <w:szCs w:val="20"/>
          <w:lang w:val="en-IN" w:eastAsia="en-IN"/>
        </w:rPr>
        <w:t xml:space="preserve">Schools should embed sustainable development into all aspects of learning and operations: integrating environmental education (like climate change, biodiversity, renewable energy); using hands-on experiences such as field trips and projects; promoting health via nutrition, fitness, mental wellness; ensuring clean water, sanitation, and hygiene; creating sustainable, green campuses; and partnering with NGOs, government, and the community. Education thus becomes a tool to balance social, economic, and environmental needs, equip students with critical thinking </w:t>
      </w:r>
      <w:r w:rsidRPr="004D6702">
        <w:rPr>
          <w:rFonts w:ascii="Arial" w:hAnsi="Arial" w:cs="Arial"/>
          <w:sz w:val="20"/>
          <w:szCs w:val="20"/>
          <w:lang w:val="en-IN" w:eastAsia="en-IN"/>
        </w:rPr>
        <w:lastRenderedPageBreak/>
        <w:t>and global citizenship skills, and align with the UN’s Sustainable Development Goals—eradicating poverty, ensuring quality education, gender equality, clean water and energy, reducing inequalities, and protecting life on land and below water.</w:t>
      </w:r>
    </w:p>
    <w:p w14:paraId="46BD74C4" w14:textId="77777777" w:rsidR="004D6702" w:rsidRDefault="004D6702" w:rsidP="008B35B5">
      <w:pPr>
        <w:pStyle w:val="BodyText"/>
        <w:spacing w:before="20" w:after="20" w:line="360" w:lineRule="auto"/>
        <w:ind w:right="567"/>
        <w:jc w:val="both"/>
        <w:rPr>
          <w:rFonts w:ascii="Arial" w:hAnsi="Arial" w:cs="Arial"/>
          <w:sz w:val="20"/>
          <w:szCs w:val="20"/>
          <w:lang w:val="en-IN" w:eastAsia="en-IN"/>
        </w:rPr>
      </w:pPr>
    </w:p>
    <w:p w14:paraId="6161F3AB" w14:textId="5900E9B4" w:rsidR="004D6702" w:rsidRPr="00D57DF3" w:rsidRDefault="00D57DF3" w:rsidP="00D57DF3">
      <w:pPr>
        <w:pStyle w:val="ListParagraph"/>
        <w:numPr>
          <w:ilvl w:val="0"/>
          <w:numId w:val="4"/>
        </w:numPr>
        <w:jc w:val="both"/>
        <w:rPr>
          <w:rFonts w:ascii="Arial" w:hAnsi="Arial" w:cs="Arial"/>
          <w:b/>
          <w:bCs/>
          <w:lang w:val="en-US"/>
        </w:rPr>
      </w:pPr>
      <w:r w:rsidRPr="00D57DF3">
        <w:rPr>
          <w:rFonts w:ascii="Arial" w:hAnsi="Arial" w:cs="Arial"/>
          <w:b/>
          <w:bCs/>
          <w:lang w:val="en-US"/>
        </w:rPr>
        <w:t>METHODOLOGY:</w:t>
      </w:r>
    </w:p>
    <w:p w14:paraId="05CDD711" w14:textId="77777777" w:rsidR="004D6702" w:rsidRPr="00D57DF3" w:rsidRDefault="004D6702" w:rsidP="00F90D0C">
      <w:pPr>
        <w:pStyle w:val="BodyText3"/>
        <w:spacing w:line="360" w:lineRule="auto"/>
      </w:pPr>
      <w:r w:rsidRPr="00D57DF3">
        <w:t>The present investigation adopts a descriptive survey research design to evaluate the level of sustainable development awareness among higher secondary students in Mayurbhanj district, Odisha. The target population comprised all students enrolled in Classes XI and XII within the district. A stratified random sampling procedure was employed to ensure proportional representation, yielding a sample of 150 students drawn from five schools across the major academic streams (Arts, Science, and Commerce) and both genders (male and female). Data were collected using a rigorously validated structured questionnaire, with prior consent obtained from institutional authorities and participants in adherence to established ethical protocols, including informed consent, voluntary participation, and confidentiality of responses. Analytical procedures involved the application of descriptive statistics (mean and standard deviation) and inferential tests (independent-sample t-tests) to examine group-wise differences by gender and academic stream. Additionally, qualitative responses were subjected to thematic categorization to provide contextual insights. Consideration was given to limitations relating to sample size, regional focus, and generalizability, thereby ensuring transparency, reliability, and validity of the findings.</w:t>
      </w:r>
    </w:p>
    <w:p w14:paraId="213F89E2" w14:textId="4E389EAB" w:rsidR="00290B21" w:rsidRPr="00D57DF3" w:rsidRDefault="00D57DF3" w:rsidP="008B35B5">
      <w:pPr>
        <w:jc w:val="both"/>
        <w:rPr>
          <w:rFonts w:ascii="Arial" w:hAnsi="Arial" w:cs="Arial"/>
          <w:b/>
          <w:bCs/>
          <w:lang w:val="en-US"/>
        </w:rPr>
      </w:pPr>
      <w:r>
        <w:rPr>
          <w:rFonts w:ascii="Arial" w:hAnsi="Arial" w:cs="Arial"/>
          <w:b/>
          <w:bCs/>
          <w:lang w:val="en-US"/>
        </w:rPr>
        <w:t xml:space="preserve">2.1 </w:t>
      </w:r>
      <w:r w:rsidR="00290B21" w:rsidRPr="00D57DF3">
        <w:rPr>
          <w:rFonts w:ascii="Arial" w:hAnsi="Arial" w:cs="Arial"/>
          <w:b/>
          <w:bCs/>
          <w:lang w:val="en-US"/>
        </w:rPr>
        <w:t>Objectives</w:t>
      </w:r>
      <w:r w:rsidR="00A5730B" w:rsidRPr="00D57DF3">
        <w:rPr>
          <w:rFonts w:ascii="Arial" w:hAnsi="Arial" w:cs="Arial"/>
          <w:b/>
          <w:bCs/>
          <w:lang w:val="en-US"/>
        </w:rPr>
        <w:t>:</w:t>
      </w:r>
    </w:p>
    <w:p w14:paraId="1B338BED" w14:textId="03A0FCE6" w:rsidR="00296936" w:rsidRPr="00D57DF3" w:rsidRDefault="00296936" w:rsidP="008B35B5">
      <w:pPr>
        <w:pStyle w:val="BodyText"/>
        <w:numPr>
          <w:ilvl w:val="0"/>
          <w:numId w:val="1"/>
        </w:numPr>
        <w:spacing w:before="20" w:after="20" w:line="360" w:lineRule="auto"/>
        <w:ind w:right="567"/>
        <w:jc w:val="both"/>
        <w:rPr>
          <w:rFonts w:ascii="Arial" w:hAnsi="Arial" w:cs="Arial"/>
          <w:b/>
          <w:sz w:val="20"/>
          <w:szCs w:val="20"/>
        </w:rPr>
      </w:pPr>
      <w:r w:rsidRPr="00D57DF3">
        <w:rPr>
          <w:rFonts w:ascii="Arial" w:hAnsi="Arial" w:cs="Arial"/>
          <w:sz w:val="20"/>
          <w:szCs w:val="20"/>
        </w:rPr>
        <w:t>To</w:t>
      </w:r>
      <w:r w:rsidRPr="00D57DF3">
        <w:rPr>
          <w:rFonts w:ascii="Arial" w:hAnsi="Arial" w:cs="Arial"/>
          <w:spacing w:val="80"/>
          <w:sz w:val="20"/>
          <w:szCs w:val="20"/>
        </w:rPr>
        <w:t xml:space="preserve"> </w:t>
      </w:r>
      <w:r w:rsidRPr="00D57DF3">
        <w:rPr>
          <w:rFonts w:ascii="Arial" w:hAnsi="Arial" w:cs="Arial"/>
          <w:sz w:val="20"/>
          <w:szCs w:val="20"/>
        </w:rPr>
        <w:t>study</w:t>
      </w:r>
      <w:r w:rsidRPr="00D57DF3">
        <w:rPr>
          <w:rFonts w:ascii="Arial" w:hAnsi="Arial" w:cs="Arial"/>
          <w:spacing w:val="74"/>
          <w:sz w:val="20"/>
          <w:szCs w:val="20"/>
        </w:rPr>
        <w:t xml:space="preserve"> </w:t>
      </w:r>
      <w:r w:rsidRPr="00D57DF3">
        <w:rPr>
          <w:rFonts w:ascii="Arial" w:hAnsi="Arial" w:cs="Arial"/>
          <w:sz w:val="20"/>
          <w:szCs w:val="20"/>
        </w:rPr>
        <w:t>the</w:t>
      </w:r>
      <w:r w:rsidRPr="00D57DF3">
        <w:rPr>
          <w:rFonts w:ascii="Arial" w:hAnsi="Arial" w:cs="Arial"/>
          <w:spacing w:val="80"/>
          <w:sz w:val="20"/>
          <w:szCs w:val="20"/>
        </w:rPr>
        <w:t xml:space="preserve"> </w:t>
      </w:r>
      <w:r w:rsidRPr="00D57DF3">
        <w:rPr>
          <w:rFonts w:ascii="Arial" w:hAnsi="Arial" w:cs="Arial"/>
          <w:sz w:val="20"/>
          <w:szCs w:val="20"/>
        </w:rPr>
        <w:t>level</w:t>
      </w:r>
      <w:r w:rsidRPr="00D57DF3">
        <w:rPr>
          <w:rFonts w:ascii="Arial" w:hAnsi="Arial" w:cs="Arial"/>
          <w:spacing w:val="80"/>
          <w:sz w:val="20"/>
          <w:szCs w:val="20"/>
        </w:rPr>
        <w:t xml:space="preserve"> </w:t>
      </w:r>
      <w:r w:rsidRPr="00D57DF3">
        <w:rPr>
          <w:rFonts w:ascii="Arial" w:hAnsi="Arial" w:cs="Arial"/>
          <w:sz w:val="20"/>
          <w:szCs w:val="20"/>
        </w:rPr>
        <w:t>of</w:t>
      </w:r>
      <w:r w:rsidRPr="00D57DF3">
        <w:rPr>
          <w:rFonts w:ascii="Arial" w:hAnsi="Arial" w:cs="Arial"/>
          <w:spacing w:val="76"/>
          <w:sz w:val="20"/>
          <w:szCs w:val="20"/>
        </w:rPr>
        <w:t xml:space="preserve"> </w:t>
      </w:r>
      <w:r w:rsidRPr="00D57DF3">
        <w:rPr>
          <w:rFonts w:ascii="Arial" w:hAnsi="Arial" w:cs="Arial"/>
          <w:sz w:val="20"/>
          <w:szCs w:val="20"/>
        </w:rPr>
        <w:t>awareness</w:t>
      </w:r>
      <w:r w:rsidRPr="00D57DF3">
        <w:rPr>
          <w:rFonts w:ascii="Arial" w:hAnsi="Arial" w:cs="Arial"/>
          <w:spacing w:val="80"/>
          <w:sz w:val="20"/>
          <w:szCs w:val="20"/>
        </w:rPr>
        <w:t xml:space="preserve"> </w:t>
      </w:r>
      <w:r w:rsidRPr="00D57DF3">
        <w:rPr>
          <w:rFonts w:ascii="Arial" w:hAnsi="Arial" w:cs="Arial"/>
          <w:sz w:val="20"/>
          <w:szCs w:val="20"/>
        </w:rPr>
        <w:t>towards</w:t>
      </w:r>
      <w:r w:rsidRPr="00D57DF3">
        <w:rPr>
          <w:rFonts w:ascii="Arial" w:hAnsi="Arial" w:cs="Arial"/>
          <w:spacing w:val="80"/>
          <w:sz w:val="20"/>
          <w:szCs w:val="20"/>
        </w:rPr>
        <w:t xml:space="preserve"> </w:t>
      </w:r>
      <w:r w:rsidRPr="00D57DF3">
        <w:rPr>
          <w:rFonts w:ascii="Arial" w:hAnsi="Arial" w:cs="Arial"/>
          <w:sz w:val="20"/>
          <w:szCs w:val="20"/>
        </w:rPr>
        <w:t>sustainable</w:t>
      </w:r>
      <w:r w:rsidRPr="00D57DF3">
        <w:rPr>
          <w:rFonts w:ascii="Arial" w:hAnsi="Arial" w:cs="Arial"/>
          <w:spacing w:val="80"/>
          <w:sz w:val="20"/>
          <w:szCs w:val="20"/>
        </w:rPr>
        <w:t xml:space="preserve"> </w:t>
      </w:r>
      <w:r w:rsidRPr="00D57DF3">
        <w:rPr>
          <w:rFonts w:ascii="Arial" w:hAnsi="Arial" w:cs="Arial"/>
          <w:sz w:val="20"/>
          <w:szCs w:val="20"/>
        </w:rPr>
        <w:t>development</w:t>
      </w:r>
      <w:r w:rsidRPr="00D57DF3">
        <w:rPr>
          <w:rFonts w:ascii="Arial" w:hAnsi="Arial" w:cs="Arial"/>
          <w:spacing w:val="80"/>
          <w:sz w:val="20"/>
          <w:szCs w:val="20"/>
        </w:rPr>
        <w:t xml:space="preserve"> </w:t>
      </w:r>
      <w:r w:rsidRPr="00D57DF3">
        <w:rPr>
          <w:rFonts w:ascii="Arial" w:hAnsi="Arial" w:cs="Arial"/>
          <w:sz w:val="20"/>
          <w:szCs w:val="20"/>
        </w:rPr>
        <w:t>among</w:t>
      </w:r>
      <w:r w:rsidRPr="00D57DF3">
        <w:rPr>
          <w:rFonts w:ascii="Arial" w:hAnsi="Arial" w:cs="Arial"/>
          <w:spacing w:val="80"/>
          <w:sz w:val="20"/>
          <w:szCs w:val="20"/>
        </w:rPr>
        <w:t xml:space="preserve"> </w:t>
      </w:r>
      <w:r w:rsidRPr="00D57DF3">
        <w:rPr>
          <w:rFonts w:ascii="Arial" w:hAnsi="Arial" w:cs="Arial"/>
          <w:sz w:val="20"/>
          <w:szCs w:val="20"/>
        </w:rPr>
        <w:t>higher secondary school students based on their gender.</w:t>
      </w:r>
      <w:bookmarkStart w:id="2" w:name="(ii)__To_compare_the_level_of_awareness_"/>
      <w:bookmarkEnd w:id="2"/>
    </w:p>
    <w:p w14:paraId="238BCC14" w14:textId="77777777" w:rsidR="00296936" w:rsidRPr="00D57DF3" w:rsidRDefault="00296936" w:rsidP="008B35B5">
      <w:pPr>
        <w:pStyle w:val="BodyText"/>
        <w:numPr>
          <w:ilvl w:val="0"/>
          <w:numId w:val="1"/>
        </w:numPr>
        <w:spacing w:before="20" w:after="20" w:line="360" w:lineRule="auto"/>
        <w:ind w:right="567"/>
        <w:jc w:val="both"/>
        <w:rPr>
          <w:rFonts w:ascii="Arial" w:hAnsi="Arial" w:cs="Arial"/>
          <w:b/>
          <w:sz w:val="20"/>
          <w:szCs w:val="20"/>
        </w:rPr>
      </w:pPr>
      <w:r w:rsidRPr="00D57DF3">
        <w:rPr>
          <w:rFonts w:ascii="Arial" w:hAnsi="Arial" w:cs="Arial"/>
          <w:sz w:val="20"/>
          <w:szCs w:val="20"/>
        </w:rPr>
        <w:t>To</w:t>
      </w:r>
      <w:r w:rsidRPr="00D57DF3">
        <w:rPr>
          <w:rFonts w:ascii="Arial" w:hAnsi="Arial" w:cs="Arial"/>
          <w:spacing w:val="40"/>
          <w:sz w:val="20"/>
          <w:szCs w:val="20"/>
        </w:rPr>
        <w:t xml:space="preserve"> </w:t>
      </w:r>
      <w:r w:rsidRPr="00D57DF3">
        <w:rPr>
          <w:rFonts w:ascii="Arial" w:hAnsi="Arial" w:cs="Arial"/>
          <w:sz w:val="20"/>
          <w:szCs w:val="20"/>
        </w:rPr>
        <w:t>compare</w:t>
      </w:r>
      <w:r w:rsidRPr="00D57DF3">
        <w:rPr>
          <w:rFonts w:ascii="Arial" w:hAnsi="Arial" w:cs="Arial"/>
          <w:spacing w:val="40"/>
          <w:sz w:val="20"/>
          <w:szCs w:val="20"/>
        </w:rPr>
        <w:t xml:space="preserve"> </w:t>
      </w:r>
      <w:r w:rsidRPr="00D57DF3">
        <w:rPr>
          <w:rFonts w:ascii="Arial" w:hAnsi="Arial" w:cs="Arial"/>
          <w:sz w:val="20"/>
          <w:szCs w:val="20"/>
        </w:rPr>
        <w:t>the</w:t>
      </w:r>
      <w:r w:rsidRPr="00D57DF3">
        <w:rPr>
          <w:rFonts w:ascii="Arial" w:hAnsi="Arial" w:cs="Arial"/>
          <w:spacing w:val="40"/>
          <w:sz w:val="20"/>
          <w:szCs w:val="20"/>
        </w:rPr>
        <w:t xml:space="preserve"> </w:t>
      </w:r>
      <w:r w:rsidRPr="00D57DF3">
        <w:rPr>
          <w:rFonts w:ascii="Arial" w:hAnsi="Arial" w:cs="Arial"/>
          <w:sz w:val="20"/>
          <w:szCs w:val="20"/>
        </w:rPr>
        <w:t>level</w:t>
      </w:r>
      <w:r w:rsidRPr="00D57DF3">
        <w:rPr>
          <w:rFonts w:ascii="Arial" w:hAnsi="Arial" w:cs="Arial"/>
          <w:spacing w:val="40"/>
          <w:sz w:val="20"/>
          <w:szCs w:val="20"/>
        </w:rPr>
        <w:t xml:space="preserve"> </w:t>
      </w:r>
      <w:r w:rsidRPr="00D57DF3">
        <w:rPr>
          <w:rFonts w:ascii="Arial" w:hAnsi="Arial" w:cs="Arial"/>
          <w:sz w:val="20"/>
          <w:szCs w:val="20"/>
        </w:rPr>
        <w:t>of</w:t>
      </w:r>
      <w:r w:rsidRPr="00D57DF3">
        <w:rPr>
          <w:rFonts w:ascii="Arial" w:hAnsi="Arial" w:cs="Arial"/>
          <w:spacing w:val="40"/>
          <w:sz w:val="20"/>
          <w:szCs w:val="20"/>
        </w:rPr>
        <w:t xml:space="preserve"> </w:t>
      </w:r>
      <w:r w:rsidRPr="00D57DF3">
        <w:rPr>
          <w:rFonts w:ascii="Arial" w:hAnsi="Arial" w:cs="Arial"/>
          <w:sz w:val="20"/>
          <w:szCs w:val="20"/>
        </w:rPr>
        <w:t>awareness</w:t>
      </w:r>
      <w:r w:rsidRPr="00D57DF3">
        <w:rPr>
          <w:rFonts w:ascii="Arial" w:hAnsi="Arial" w:cs="Arial"/>
          <w:spacing w:val="40"/>
          <w:sz w:val="20"/>
          <w:szCs w:val="20"/>
        </w:rPr>
        <w:t xml:space="preserve"> </w:t>
      </w:r>
      <w:r w:rsidRPr="00D57DF3">
        <w:rPr>
          <w:rFonts w:ascii="Arial" w:hAnsi="Arial" w:cs="Arial"/>
          <w:sz w:val="20"/>
          <w:szCs w:val="20"/>
        </w:rPr>
        <w:t>towards</w:t>
      </w:r>
      <w:r w:rsidRPr="00D57DF3">
        <w:rPr>
          <w:rFonts w:ascii="Arial" w:hAnsi="Arial" w:cs="Arial"/>
          <w:spacing w:val="40"/>
          <w:sz w:val="20"/>
          <w:szCs w:val="20"/>
        </w:rPr>
        <w:t xml:space="preserve"> </w:t>
      </w:r>
      <w:r w:rsidRPr="00D57DF3">
        <w:rPr>
          <w:rFonts w:ascii="Arial" w:hAnsi="Arial" w:cs="Arial"/>
          <w:sz w:val="20"/>
          <w:szCs w:val="20"/>
        </w:rPr>
        <w:t>sustainable</w:t>
      </w:r>
      <w:r w:rsidRPr="00D57DF3">
        <w:rPr>
          <w:rFonts w:ascii="Arial" w:hAnsi="Arial" w:cs="Arial"/>
          <w:spacing w:val="40"/>
          <w:sz w:val="20"/>
          <w:szCs w:val="20"/>
        </w:rPr>
        <w:t xml:space="preserve"> </w:t>
      </w:r>
      <w:r w:rsidRPr="00D57DF3">
        <w:rPr>
          <w:rFonts w:ascii="Arial" w:hAnsi="Arial" w:cs="Arial"/>
          <w:sz w:val="20"/>
          <w:szCs w:val="20"/>
        </w:rPr>
        <w:t>development</w:t>
      </w:r>
      <w:r w:rsidRPr="00D57DF3">
        <w:rPr>
          <w:rFonts w:ascii="Arial" w:hAnsi="Arial" w:cs="Arial"/>
          <w:spacing w:val="40"/>
          <w:sz w:val="20"/>
          <w:szCs w:val="20"/>
        </w:rPr>
        <w:t xml:space="preserve"> </w:t>
      </w:r>
      <w:r w:rsidRPr="00D57DF3">
        <w:rPr>
          <w:rFonts w:ascii="Arial" w:hAnsi="Arial" w:cs="Arial"/>
          <w:sz w:val="20"/>
          <w:szCs w:val="20"/>
        </w:rPr>
        <w:t>of</w:t>
      </w:r>
      <w:r w:rsidRPr="00D57DF3">
        <w:rPr>
          <w:rFonts w:ascii="Arial" w:hAnsi="Arial" w:cs="Arial"/>
          <w:spacing w:val="40"/>
          <w:sz w:val="20"/>
          <w:szCs w:val="20"/>
        </w:rPr>
        <w:t xml:space="preserve"> </w:t>
      </w:r>
      <w:r w:rsidRPr="00D57DF3">
        <w:rPr>
          <w:rFonts w:ascii="Arial" w:hAnsi="Arial" w:cs="Arial"/>
          <w:sz w:val="20"/>
          <w:szCs w:val="20"/>
        </w:rPr>
        <w:t>the</w:t>
      </w:r>
      <w:r w:rsidRPr="00D57DF3">
        <w:rPr>
          <w:rFonts w:ascii="Arial" w:hAnsi="Arial" w:cs="Arial"/>
          <w:spacing w:val="40"/>
          <w:sz w:val="20"/>
          <w:szCs w:val="20"/>
        </w:rPr>
        <w:t xml:space="preserve"> </w:t>
      </w:r>
      <w:r w:rsidRPr="00D57DF3">
        <w:rPr>
          <w:rFonts w:ascii="Arial" w:hAnsi="Arial" w:cs="Arial"/>
          <w:sz w:val="20"/>
          <w:szCs w:val="20"/>
        </w:rPr>
        <w:t>higher secondary school students based on streams.</w:t>
      </w:r>
    </w:p>
    <w:p w14:paraId="26DDF84B" w14:textId="45CFC4F6" w:rsidR="00290B21" w:rsidRPr="00D57DF3" w:rsidRDefault="00D57DF3" w:rsidP="00D57DF3">
      <w:pPr>
        <w:jc w:val="both"/>
        <w:rPr>
          <w:rFonts w:ascii="Arial" w:hAnsi="Arial" w:cs="Arial"/>
          <w:b/>
          <w:bCs/>
          <w:lang w:val="en-US"/>
        </w:rPr>
      </w:pPr>
      <w:r w:rsidRPr="00D57DF3">
        <w:rPr>
          <w:rFonts w:ascii="Arial" w:hAnsi="Arial" w:cs="Arial"/>
          <w:b/>
          <w:bCs/>
          <w:lang w:val="en-US"/>
        </w:rPr>
        <w:t xml:space="preserve">2.2 </w:t>
      </w:r>
      <w:r w:rsidR="00290B21" w:rsidRPr="00D57DF3">
        <w:rPr>
          <w:rFonts w:ascii="Arial" w:hAnsi="Arial" w:cs="Arial"/>
          <w:b/>
          <w:bCs/>
          <w:lang w:val="en-US"/>
        </w:rPr>
        <w:t>Hypothesis</w:t>
      </w:r>
      <w:r w:rsidR="00296936" w:rsidRPr="00D57DF3">
        <w:rPr>
          <w:rFonts w:ascii="Arial" w:hAnsi="Arial" w:cs="Arial"/>
          <w:b/>
          <w:bCs/>
          <w:lang w:val="en-US"/>
        </w:rPr>
        <w:t>:</w:t>
      </w:r>
    </w:p>
    <w:p w14:paraId="1F4DB0BF" w14:textId="77777777" w:rsidR="00843AB0" w:rsidRPr="00D57DF3" w:rsidRDefault="00843AB0" w:rsidP="007F6A03">
      <w:pPr>
        <w:pStyle w:val="BodyText"/>
        <w:spacing w:before="20" w:after="20" w:line="360" w:lineRule="auto"/>
        <w:ind w:right="567"/>
        <w:jc w:val="both"/>
        <w:rPr>
          <w:rFonts w:ascii="Arial" w:hAnsi="Arial" w:cs="Arial"/>
          <w:sz w:val="20"/>
          <w:szCs w:val="20"/>
        </w:rPr>
      </w:pPr>
      <w:r w:rsidRPr="00DC403D">
        <w:rPr>
          <w:b/>
          <w:position w:val="4"/>
        </w:rPr>
        <w:t>H</w:t>
      </w:r>
      <w:r w:rsidRPr="00DC403D">
        <w:rPr>
          <w:b/>
        </w:rPr>
        <w:t>01</w:t>
      </w:r>
      <w:r w:rsidRPr="00DC403D">
        <w:rPr>
          <w:b/>
          <w:position w:val="4"/>
        </w:rPr>
        <w:t>:</w:t>
      </w:r>
      <w:r w:rsidRPr="00DC403D">
        <w:rPr>
          <w:b/>
          <w:spacing w:val="-7"/>
          <w:position w:val="4"/>
        </w:rPr>
        <w:t xml:space="preserve"> </w:t>
      </w:r>
      <w:r w:rsidRPr="00D57DF3">
        <w:rPr>
          <w:rFonts w:ascii="Arial" w:hAnsi="Arial" w:cs="Arial"/>
          <w:position w:val="2"/>
          <w:sz w:val="20"/>
          <w:szCs w:val="20"/>
        </w:rPr>
        <w:t>There</w:t>
      </w:r>
      <w:r w:rsidRPr="00D57DF3">
        <w:rPr>
          <w:rFonts w:ascii="Arial" w:hAnsi="Arial" w:cs="Arial"/>
          <w:spacing w:val="-5"/>
          <w:position w:val="2"/>
          <w:sz w:val="20"/>
          <w:szCs w:val="20"/>
        </w:rPr>
        <w:t xml:space="preserve"> </w:t>
      </w:r>
      <w:r w:rsidRPr="00D57DF3">
        <w:rPr>
          <w:rFonts w:ascii="Arial" w:hAnsi="Arial" w:cs="Arial"/>
          <w:position w:val="2"/>
          <w:sz w:val="20"/>
          <w:szCs w:val="20"/>
        </w:rPr>
        <w:t>exists</w:t>
      </w:r>
      <w:r w:rsidRPr="00D57DF3">
        <w:rPr>
          <w:rFonts w:ascii="Arial" w:hAnsi="Arial" w:cs="Arial"/>
          <w:spacing w:val="-6"/>
          <w:position w:val="2"/>
          <w:sz w:val="20"/>
          <w:szCs w:val="20"/>
        </w:rPr>
        <w:t xml:space="preserve"> </w:t>
      </w:r>
      <w:r w:rsidRPr="00D57DF3">
        <w:rPr>
          <w:rFonts w:ascii="Arial" w:hAnsi="Arial" w:cs="Arial"/>
          <w:position w:val="2"/>
          <w:sz w:val="20"/>
          <w:szCs w:val="20"/>
        </w:rPr>
        <w:t>no significant difference</w:t>
      </w:r>
      <w:r w:rsidRPr="00D57DF3">
        <w:rPr>
          <w:rFonts w:ascii="Arial" w:hAnsi="Arial" w:cs="Arial"/>
          <w:spacing w:val="-1"/>
          <w:position w:val="2"/>
          <w:sz w:val="20"/>
          <w:szCs w:val="20"/>
        </w:rPr>
        <w:t xml:space="preserve"> </w:t>
      </w:r>
      <w:r w:rsidRPr="00D57DF3">
        <w:rPr>
          <w:rFonts w:ascii="Arial" w:hAnsi="Arial" w:cs="Arial"/>
          <w:position w:val="2"/>
          <w:sz w:val="20"/>
          <w:szCs w:val="20"/>
        </w:rPr>
        <w:t>between</w:t>
      </w:r>
      <w:r w:rsidRPr="00D57DF3">
        <w:rPr>
          <w:rFonts w:ascii="Arial" w:hAnsi="Arial" w:cs="Arial"/>
          <w:spacing w:val="-4"/>
          <w:position w:val="2"/>
          <w:sz w:val="20"/>
          <w:szCs w:val="20"/>
        </w:rPr>
        <w:t xml:space="preserve"> </w:t>
      </w:r>
      <w:r w:rsidRPr="00D57DF3">
        <w:rPr>
          <w:rFonts w:ascii="Arial" w:hAnsi="Arial" w:cs="Arial"/>
          <w:position w:val="2"/>
          <w:sz w:val="20"/>
          <w:szCs w:val="20"/>
        </w:rPr>
        <w:t>male</w:t>
      </w:r>
      <w:r w:rsidRPr="00D57DF3">
        <w:rPr>
          <w:rFonts w:ascii="Arial" w:hAnsi="Arial" w:cs="Arial"/>
          <w:spacing w:val="-5"/>
          <w:position w:val="2"/>
          <w:sz w:val="20"/>
          <w:szCs w:val="20"/>
        </w:rPr>
        <w:t xml:space="preserve"> </w:t>
      </w:r>
      <w:r w:rsidRPr="00D57DF3">
        <w:rPr>
          <w:rFonts w:ascii="Arial" w:hAnsi="Arial" w:cs="Arial"/>
          <w:position w:val="2"/>
          <w:sz w:val="20"/>
          <w:szCs w:val="20"/>
        </w:rPr>
        <w:t>and</w:t>
      </w:r>
      <w:r w:rsidRPr="00D57DF3">
        <w:rPr>
          <w:rFonts w:ascii="Arial" w:hAnsi="Arial" w:cs="Arial"/>
          <w:spacing w:val="-1"/>
          <w:position w:val="2"/>
          <w:sz w:val="20"/>
          <w:szCs w:val="20"/>
        </w:rPr>
        <w:t xml:space="preserve"> </w:t>
      </w:r>
      <w:r w:rsidRPr="00D57DF3">
        <w:rPr>
          <w:rFonts w:ascii="Arial" w:hAnsi="Arial" w:cs="Arial"/>
          <w:position w:val="2"/>
          <w:sz w:val="20"/>
          <w:szCs w:val="20"/>
        </w:rPr>
        <w:t>female</w:t>
      </w:r>
      <w:r w:rsidRPr="00D57DF3">
        <w:rPr>
          <w:rFonts w:ascii="Arial" w:hAnsi="Arial" w:cs="Arial"/>
          <w:spacing w:val="-5"/>
          <w:position w:val="2"/>
          <w:sz w:val="20"/>
          <w:szCs w:val="20"/>
        </w:rPr>
        <w:t xml:space="preserve"> </w:t>
      </w:r>
      <w:r w:rsidRPr="00D57DF3">
        <w:rPr>
          <w:rFonts w:ascii="Arial" w:hAnsi="Arial" w:cs="Arial"/>
          <w:position w:val="2"/>
          <w:sz w:val="20"/>
          <w:szCs w:val="20"/>
        </w:rPr>
        <w:t>higher</w:t>
      </w:r>
      <w:r w:rsidRPr="00D57DF3">
        <w:rPr>
          <w:rFonts w:ascii="Arial" w:hAnsi="Arial" w:cs="Arial"/>
          <w:spacing w:val="-3"/>
          <w:position w:val="2"/>
          <w:sz w:val="20"/>
          <w:szCs w:val="20"/>
        </w:rPr>
        <w:t xml:space="preserve"> </w:t>
      </w:r>
      <w:r w:rsidRPr="00D57DF3">
        <w:rPr>
          <w:rFonts w:ascii="Arial" w:hAnsi="Arial" w:cs="Arial"/>
          <w:position w:val="2"/>
          <w:sz w:val="20"/>
          <w:szCs w:val="20"/>
        </w:rPr>
        <w:t>secondary</w:t>
      </w:r>
      <w:r w:rsidRPr="00D57DF3">
        <w:rPr>
          <w:rFonts w:ascii="Arial" w:hAnsi="Arial" w:cs="Arial"/>
          <w:spacing w:val="-13"/>
          <w:position w:val="2"/>
          <w:sz w:val="20"/>
          <w:szCs w:val="20"/>
        </w:rPr>
        <w:t xml:space="preserve"> </w:t>
      </w:r>
      <w:r w:rsidRPr="00D57DF3">
        <w:rPr>
          <w:rFonts w:ascii="Arial" w:hAnsi="Arial" w:cs="Arial"/>
          <w:position w:val="2"/>
          <w:sz w:val="20"/>
          <w:szCs w:val="20"/>
        </w:rPr>
        <w:t xml:space="preserve">school </w:t>
      </w:r>
      <w:r w:rsidRPr="00D57DF3">
        <w:rPr>
          <w:rFonts w:ascii="Arial" w:hAnsi="Arial" w:cs="Arial"/>
          <w:sz w:val="20"/>
          <w:szCs w:val="20"/>
        </w:rPr>
        <w:t>students in their level of sustainable development awareness.</w:t>
      </w:r>
    </w:p>
    <w:p w14:paraId="02824065" w14:textId="595C1AD1" w:rsidR="00843AB0" w:rsidRPr="00DC403D" w:rsidRDefault="00843AB0" w:rsidP="007F6A03">
      <w:pPr>
        <w:pStyle w:val="BodyText"/>
        <w:spacing w:before="20" w:after="20" w:line="360" w:lineRule="auto"/>
        <w:ind w:right="567"/>
        <w:jc w:val="both"/>
        <w:rPr>
          <w:b/>
          <w:position w:val="4"/>
        </w:rPr>
      </w:pPr>
      <w:r w:rsidRPr="00DC403D">
        <w:rPr>
          <w:b/>
          <w:position w:val="4"/>
        </w:rPr>
        <w:t>The second objective</w:t>
      </w:r>
      <w:r w:rsidR="008B35B5" w:rsidRPr="00DC403D">
        <w:rPr>
          <w:b/>
          <w:position w:val="4"/>
        </w:rPr>
        <w:t>,</w:t>
      </w:r>
      <w:r w:rsidRPr="00DC403D">
        <w:rPr>
          <w:b/>
          <w:position w:val="4"/>
        </w:rPr>
        <w:t xml:space="preserve"> following hypotheses are: </w:t>
      </w:r>
    </w:p>
    <w:p w14:paraId="59ED0E39" w14:textId="1141E523" w:rsidR="00843AB0" w:rsidRPr="00D57DF3" w:rsidRDefault="00843AB0" w:rsidP="007F6A03">
      <w:pPr>
        <w:pStyle w:val="BodyText"/>
        <w:spacing w:before="20" w:after="20" w:line="360" w:lineRule="auto"/>
        <w:ind w:right="567"/>
        <w:jc w:val="both"/>
        <w:rPr>
          <w:rFonts w:ascii="Arial" w:hAnsi="Arial" w:cs="Arial"/>
          <w:sz w:val="20"/>
          <w:szCs w:val="20"/>
        </w:rPr>
      </w:pPr>
      <w:r w:rsidRPr="00DC403D">
        <w:rPr>
          <w:b/>
          <w:position w:val="4"/>
        </w:rPr>
        <w:t>H</w:t>
      </w:r>
      <w:r w:rsidRPr="00DC403D">
        <w:rPr>
          <w:b/>
        </w:rPr>
        <w:t>02</w:t>
      </w:r>
      <w:r w:rsidRPr="00DC403D">
        <w:rPr>
          <w:b/>
          <w:position w:val="4"/>
        </w:rPr>
        <w:t>:</w:t>
      </w:r>
      <w:r w:rsidRPr="00DC403D">
        <w:rPr>
          <w:b/>
          <w:spacing w:val="-15"/>
          <w:position w:val="4"/>
        </w:rPr>
        <w:t xml:space="preserve"> </w:t>
      </w:r>
      <w:r w:rsidRPr="00D57DF3">
        <w:rPr>
          <w:rFonts w:ascii="Arial" w:hAnsi="Arial" w:cs="Arial"/>
          <w:position w:val="2"/>
          <w:sz w:val="20"/>
          <w:szCs w:val="20"/>
        </w:rPr>
        <w:t>There</w:t>
      </w:r>
      <w:r w:rsidRPr="00D57DF3">
        <w:rPr>
          <w:rFonts w:ascii="Arial" w:hAnsi="Arial" w:cs="Arial"/>
          <w:spacing w:val="-5"/>
          <w:position w:val="2"/>
          <w:sz w:val="20"/>
          <w:szCs w:val="20"/>
        </w:rPr>
        <w:t xml:space="preserve"> </w:t>
      </w:r>
      <w:r w:rsidRPr="00D57DF3">
        <w:rPr>
          <w:rFonts w:ascii="Arial" w:hAnsi="Arial" w:cs="Arial"/>
          <w:position w:val="2"/>
          <w:sz w:val="20"/>
          <w:szCs w:val="20"/>
        </w:rPr>
        <w:t>exists</w:t>
      </w:r>
      <w:r w:rsidRPr="00D57DF3">
        <w:rPr>
          <w:rFonts w:ascii="Arial" w:hAnsi="Arial" w:cs="Arial"/>
          <w:spacing w:val="-6"/>
          <w:position w:val="2"/>
          <w:sz w:val="20"/>
          <w:szCs w:val="20"/>
        </w:rPr>
        <w:t xml:space="preserve"> </w:t>
      </w:r>
      <w:r w:rsidRPr="00D57DF3">
        <w:rPr>
          <w:rFonts w:ascii="Arial" w:hAnsi="Arial" w:cs="Arial"/>
          <w:position w:val="2"/>
          <w:sz w:val="20"/>
          <w:szCs w:val="20"/>
        </w:rPr>
        <w:t>no significant difference</w:t>
      </w:r>
      <w:r w:rsidRPr="00D57DF3">
        <w:rPr>
          <w:rFonts w:ascii="Arial" w:hAnsi="Arial" w:cs="Arial"/>
          <w:spacing w:val="-5"/>
          <w:position w:val="2"/>
          <w:sz w:val="20"/>
          <w:szCs w:val="20"/>
        </w:rPr>
        <w:t xml:space="preserve"> </w:t>
      </w:r>
      <w:r w:rsidRPr="00D57DF3">
        <w:rPr>
          <w:rFonts w:ascii="Arial" w:hAnsi="Arial" w:cs="Arial"/>
          <w:position w:val="2"/>
          <w:sz w:val="20"/>
          <w:szCs w:val="20"/>
        </w:rPr>
        <w:t>between</w:t>
      </w:r>
      <w:r w:rsidRPr="00D57DF3">
        <w:rPr>
          <w:rFonts w:ascii="Arial" w:hAnsi="Arial" w:cs="Arial"/>
          <w:spacing w:val="-8"/>
          <w:position w:val="2"/>
          <w:sz w:val="20"/>
          <w:szCs w:val="20"/>
        </w:rPr>
        <w:t xml:space="preserve"> </w:t>
      </w:r>
      <w:r w:rsidRPr="00D57DF3">
        <w:rPr>
          <w:rFonts w:ascii="Arial" w:hAnsi="Arial" w:cs="Arial"/>
          <w:position w:val="2"/>
          <w:sz w:val="20"/>
          <w:szCs w:val="20"/>
        </w:rPr>
        <w:t>higher</w:t>
      </w:r>
      <w:r w:rsidRPr="00D57DF3">
        <w:rPr>
          <w:rFonts w:ascii="Arial" w:hAnsi="Arial" w:cs="Arial"/>
          <w:spacing w:val="-3"/>
          <w:position w:val="2"/>
          <w:sz w:val="20"/>
          <w:szCs w:val="20"/>
        </w:rPr>
        <w:t xml:space="preserve"> </w:t>
      </w:r>
      <w:r w:rsidRPr="00D57DF3">
        <w:rPr>
          <w:rFonts w:ascii="Arial" w:hAnsi="Arial" w:cs="Arial"/>
          <w:position w:val="2"/>
          <w:sz w:val="20"/>
          <w:szCs w:val="20"/>
        </w:rPr>
        <w:t>secondary</w:t>
      </w:r>
      <w:r w:rsidRPr="00D57DF3">
        <w:rPr>
          <w:rFonts w:ascii="Arial" w:hAnsi="Arial" w:cs="Arial"/>
          <w:spacing w:val="-6"/>
          <w:position w:val="2"/>
          <w:sz w:val="20"/>
          <w:szCs w:val="20"/>
        </w:rPr>
        <w:t xml:space="preserve"> </w:t>
      </w:r>
      <w:r w:rsidRPr="00D57DF3">
        <w:rPr>
          <w:rFonts w:ascii="Arial" w:hAnsi="Arial" w:cs="Arial"/>
          <w:position w:val="2"/>
          <w:sz w:val="20"/>
          <w:szCs w:val="20"/>
        </w:rPr>
        <w:t>school</w:t>
      </w:r>
      <w:r w:rsidRPr="00D57DF3">
        <w:rPr>
          <w:rFonts w:ascii="Arial" w:hAnsi="Arial" w:cs="Arial"/>
          <w:spacing w:val="-12"/>
          <w:position w:val="2"/>
          <w:sz w:val="20"/>
          <w:szCs w:val="20"/>
        </w:rPr>
        <w:t xml:space="preserve"> </w:t>
      </w:r>
      <w:r w:rsidRPr="00D57DF3">
        <w:rPr>
          <w:rFonts w:ascii="Arial" w:hAnsi="Arial" w:cs="Arial"/>
          <w:position w:val="2"/>
          <w:sz w:val="20"/>
          <w:szCs w:val="20"/>
        </w:rPr>
        <w:t>students</w:t>
      </w:r>
      <w:r w:rsidRPr="00D57DF3">
        <w:rPr>
          <w:rFonts w:ascii="Arial" w:hAnsi="Arial" w:cs="Arial"/>
          <w:spacing w:val="-6"/>
          <w:position w:val="2"/>
          <w:sz w:val="20"/>
          <w:szCs w:val="20"/>
        </w:rPr>
        <w:t xml:space="preserve"> </w:t>
      </w:r>
      <w:r w:rsidRPr="00D57DF3">
        <w:rPr>
          <w:rFonts w:ascii="Arial" w:hAnsi="Arial" w:cs="Arial"/>
          <w:position w:val="2"/>
          <w:sz w:val="20"/>
          <w:szCs w:val="20"/>
        </w:rPr>
        <w:t>studying in</w:t>
      </w:r>
      <w:r w:rsidRPr="00D57DF3">
        <w:rPr>
          <w:rFonts w:ascii="Arial" w:hAnsi="Arial" w:cs="Arial"/>
          <w:spacing w:val="-8"/>
          <w:position w:val="2"/>
          <w:sz w:val="20"/>
          <w:szCs w:val="20"/>
        </w:rPr>
        <w:t xml:space="preserve"> </w:t>
      </w:r>
      <w:r w:rsidRPr="00D57DF3">
        <w:rPr>
          <w:rFonts w:ascii="Arial" w:hAnsi="Arial" w:cs="Arial"/>
          <w:position w:val="2"/>
          <w:sz w:val="20"/>
          <w:szCs w:val="20"/>
        </w:rPr>
        <w:t xml:space="preserve">the </w:t>
      </w:r>
      <w:r w:rsidRPr="00D57DF3">
        <w:rPr>
          <w:rFonts w:ascii="Arial" w:hAnsi="Arial" w:cs="Arial"/>
          <w:sz w:val="20"/>
          <w:szCs w:val="20"/>
        </w:rPr>
        <w:t xml:space="preserve">Arts and Science </w:t>
      </w:r>
      <w:r w:rsidR="008B35B5" w:rsidRPr="00D57DF3">
        <w:rPr>
          <w:rFonts w:ascii="Arial" w:hAnsi="Arial" w:cs="Arial"/>
          <w:sz w:val="20"/>
          <w:szCs w:val="20"/>
        </w:rPr>
        <w:t>streams</w:t>
      </w:r>
      <w:r w:rsidRPr="00D57DF3">
        <w:rPr>
          <w:rFonts w:ascii="Arial" w:hAnsi="Arial" w:cs="Arial"/>
          <w:sz w:val="20"/>
          <w:szCs w:val="20"/>
        </w:rPr>
        <w:t xml:space="preserve"> in their level of sustainable development awareness.</w:t>
      </w:r>
    </w:p>
    <w:p w14:paraId="76478F00" w14:textId="21DAF40C" w:rsidR="00843AB0" w:rsidRPr="00D57DF3" w:rsidRDefault="00843AB0" w:rsidP="007F6A03">
      <w:pPr>
        <w:pStyle w:val="BodyText"/>
        <w:spacing w:before="20" w:after="20" w:line="360" w:lineRule="auto"/>
        <w:ind w:right="567"/>
        <w:jc w:val="both"/>
        <w:rPr>
          <w:rFonts w:ascii="Arial" w:hAnsi="Arial" w:cs="Arial"/>
          <w:sz w:val="20"/>
          <w:szCs w:val="20"/>
        </w:rPr>
      </w:pPr>
      <w:r w:rsidRPr="00DC403D">
        <w:rPr>
          <w:b/>
          <w:position w:val="2"/>
        </w:rPr>
        <w:t>H</w:t>
      </w:r>
      <w:r w:rsidRPr="00DC403D">
        <w:rPr>
          <w:b/>
        </w:rPr>
        <w:t>03</w:t>
      </w:r>
      <w:r w:rsidRPr="00DC403D">
        <w:rPr>
          <w:b/>
          <w:position w:val="2"/>
        </w:rPr>
        <w:t>:</w:t>
      </w:r>
      <w:r w:rsidRPr="00DC403D">
        <w:rPr>
          <w:b/>
          <w:spacing w:val="-11"/>
          <w:position w:val="2"/>
        </w:rPr>
        <w:t xml:space="preserve"> </w:t>
      </w:r>
      <w:r w:rsidRPr="00D57DF3">
        <w:rPr>
          <w:rFonts w:ascii="Arial" w:hAnsi="Arial" w:cs="Arial"/>
          <w:sz w:val="20"/>
          <w:szCs w:val="20"/>
        </w:rPr>
        <w:t>There</w:t>
      </w:r>
      <w:r w:rsidRPr="00D57DF3">
        <w:rPr>
          <w:rFonts w:ascii="Arial" w:hAnsi="Arial" w:cs="Arial"/>
          <w:spacing w:val="-5"/>
          <w:sz w:val="20"/>
          <w:szCs w:val="20"/>
        </w:rPr>
        <w:t xml:space="preserve"> </w:t>
      </w:r>
      <w:r w:rsidRPr="00D57DF3">
        <w:rPr>
          <w:rFonts w:ascii="Arial" w:hAnsi="Arial" w:cs="Arial"/>
          <w:sz w:val="20"/>
          <w:szCs w:val="20"/>
        </w:rPr>
        <w:t>exists</w:t>
      </w:r>
      <w:r w:rsidRPr="00D57DF3">
        <w:rPr>
          <w:rFonts w:ascii="Arial" w:hAnsi="Arial" w:cs="Arial"/>
          <w:spacing w:val="-6"/>
          <w:sz w:val="20"/>
          <w:szCs w:val="20"/>
        </w:rPr>
        <w:t xml:space="preserve"> </w:t>
      </w:r>
      <w:r w:rsidRPr="00D57DF3">
        <w:rPr>
          <w:rFonts w:ascii="Arial" w:hAnsi="Arial" w:cs="Arial"/>
          <w:sz w:val="20"/>
          <w:szCs w:val="20"/>
        </w:rPr>
        <w:t>no</w:t>
      </w:r>
      <w:r w:rsidRPr="00D57DF3">
        <w:rPr>
          <w:rFonts w:ascii="Arial" w:hAnsi="Arial" w:cs="Arial"/>
          <w:spacing w:val="-1"/>
          <w:sz w:val="20"/>
          <w:szCs w:val="20"/>
        </w:rPr>
        <w:t xml:space="preserve"> </w:t>
      </w:r>
      <w:r w:rsidRPr="00D57DF3">
        <w:rPr>
          <w:rFonts w:ascii="Arial" w:hAnsi="Arial" w:cs="Arial"/>
          <w:sz w:val="20"/>
          <w:szCs w:val="20"/>
        </w:rPr>
        <w:t>significant difference</w:t>
      </w:r>
      <w:r w:rsidRPr="00D57DF3">
        <w:rPr>
          <w:rFonts w:ascii="Arial" w:hAnsi="Arial" w:cs="Arial"/>
          <w:spacing w:val="-5"/>
          <w:sz w:val="20"/>
          <w:szCs w:val="20"/>
        </w:rPr>
        <w:t xml:space="preserve"> </w:t>
      </w:r>
      <w:r w:rsidRPr="00D57DF3">
        <w:rPr>
          <w:rFonts w:ascii="Arial" w:hAnsi="Arial" w:cs="Arial"/>
          <w:sz w:val="20"/>
          <w:szCs w:val="20"/>
        </w:rPr>
        <w:t>between</w:t>
      </w:r>
      <w:r w:rsidRPr="00D57DF3">
        <w:rPr>
          <w:rFonts w:ascii="Arial" w:hAnsi="Arial" w:cs="Arial"/>
          <w:spacing w:val="-4"/>
          <w:sz w:val="20"/>
          <w:szCs w:val="20"/>
        </w:rPr>
        <w:t xml:space="preserve"> </w:t>
      </w:r>
      <w:r w:rsidRPr="00D57DF3">
        <w:rPr>
          <w:rFonts w:ascii="Arial" w:hAnsi="Arial" w:cs="Arial"/>
          <w:sz w:val="20"/>
          <w:szCs w:val="20"/>
        </w:rPr>
        <w:t>higher</w:t>
      </w:r>
      <w:r w:rsidRPr="00D57DF3">
        <w:rPr>
          <w:rFonts w:ascii="Arial" w:hAnsi="Arial" w:cs="Arial"/>
          <w:spacing w:val="-3"/>
          <w:sz w:val="20"/>
          <w:szCs w:val="20"/>
        </w:rPr>
        <w:t xml:space="preserve"> </w:t>
      </w:r>
      <w:r w:rsidRPr="00D57DF3">
        <w:rPr>
          <w:rFonts w:ascii="Arial" w:hAnsi="Arial" w:cs="Arial"/>
          <w:sz w:val="20"/>
          <w:szCs w:val="20"/>
        </w:rPr>
        <w:t>secondary</w:t>
      </w:r>
      <w:r w:rsidRPr="00D57DF3">
        <w:rPr>
          <w:rFonts w:ascii="Arial" w:hAnsi="Arial" w:cs="Arial"/>
          <w:spacing w:val="-9"/>
          <w:sz w:val="20"/>
          <w:szCs w:val="20"/>
        </w:rPr>
        <w:t xml:space="preserve"> </w:t>
      </w:r>
      <w:r w:rsidRPr="00D57DF3">
        <w:rPr>
          <w:rFonts w:ascii="Arial" w:hAnsi="Arial" w:cs="Arial"/>
          <w:sz w:val="20"/>
          <w:szCs w:val="20"/>
        </w:rPr>
        <w:t>school</w:t>
      </w:r>
      <w:r w:rsidRPr="00D57DF3">
        <w:rPr>
          <w:rFonts w:ascii="Arial" w:hAnsi="Arial" w:cs="Arial"/>
          <w:spacing w:val="-3"/>
          <w:sz w:val="20"/>
          <w:szCs w:val="20"/>
        </w:rPr>
        <w:t xml:space="preserve"> </w:t>
      </w:r>
      <w:r w:rsidRPr="00D57DF3">
        <w:rPr>
          <w:rFonts w:ascii="Arial" w:hAnsi="Arial" w:cs="Arial"/>
          <w:sz w:val="20"/>
          <w:szCs w:val="20"/>
        </w:rPr>
        <w:t>students</w:t>
      </w:r>
      <w:r w:rsidRPr="00D57DF3">
        <w:rPr>
          <w:rFonts w:ascii="Arial" w:hAnsi="Arial" w:cs="Arial"/>
          <w:spacing w:val="-6"/>
          <w:sz w:val="20"/>
          <w:szCs w:val="20"/>
        </w:rPr>
        <w:t xml:space="preserve"> </w:t>
      </w:r>
      <w:r w:rsidRPr="00D57DF3">
        <w:rPr>
          <w:rFonts w:ascii="Arial" w:hAnsi="Arial" w:cs="Arial"/>
          <w:sz w:val="20"/>
          <w:szCs w:val="20"/>
        </w:rPr>
        <w:t>studying</w:t>
      </w:r>
      <w:r w:rsidRPr="00D57DF3">
        <w:rPr>
          <w:rFonts w:ascii="Arial" w:hAnsi="Arial" w:cs="Arial"/>
          <w:spacing w:val="-1"/>
          <w:sz w:val="20"/>
          <w:szCs w:val="20"/>
        </w:rPr>
        <w:t xml:space="preserve"> </w:t>
      </w:r>
      <w:r w:rsidRPr="00D57DF3">
        <w:rPr>
          <w:rFonts w:ascii="Arial" w:hAnsi="Arial" w:cs="Arial"/>
          <w:sz w:val="20"/>
          <w:szCs w:val="20"/>
        </w:rPr>
        <w:t>in</w:t>
      </w:r>
      <w:r w:rsidRPr="00D57DF3">
        <w:rPr>
          <w:rFonts w:ascii="Arial" w:hAnsi="Arial" w:cs="Arial"/>
          <w:spacing w:val="-9"/>
          <w:sz w:val="20"/>
          <w:szCs w:val="20"/>
        </w:rPr>
        <w:t xml:space="preserve"> </w:t>
      </w:r>
      <w:r w:rsidRPr="00D57DF3">
        <w:rPr>
          <w:rFonts w:ascii="Arial" w:hAnsi="Arial" w:cs="Arial"/>
          <w:sz w:val="20"/>
          <w:szCs w:val="20"/>
        </w:rPr>
        <w:t xml:space="preserve">the Arts and Commerce </w:t>
      </w:r>
      <w:r w:rsidR="008B35B5" w:rsidRPr="00D57DF3">
        <w:rPr>
          <w:rFonts w:ascii="Arial" w:hAnsi="Arial" w:cs="Arial"/>
          <w:sz w:val="20"/>
          <w:szCs w:val="20"/>
        </w:rPr>
        <w:t>streams</w:t>
      </w:r>
      <w:r w:rsidRPr="00D57DF3">
        <w:rPr>
          <w:rFonts w:ascii="Arial" w:hAnsi="Arial" w:cs="Arial"/>
          <w:sz w:val="20"/>
          <w:szCs w:val="20"/>
        </w:rPr>
        <w:t xml:space="preserve"> in their level of sustainable development awareness.</w:t>
      </w:r>
    </w:p>
    <w:p w14:paraId="3245F23B" w14:textId="645D5274" w:rsidR="00843AB0" w:rsidRPr="00D57DF3" w:rsidRDefault="00843AB0" w:rsidP="007F6A03">
      <w:pPr>
        <w:pStyle w:val="BodyText"/>
        <w:spacing w:before="20" w:after="20" w:line="360" w:lineRule="auto"/>
        <w:ind w:right="567"/>
        <w:jc w:val="both"/>
        <w:rPr>
          <w:rFonts w:ascii="Arial" w:hAnsi="Arial" w:cs="Arial"/>
          <w:sz w:val="20"/>
          <w:szCs w:val="20"/>
        </w:rPr>
      </w:pPr>
      <w:r w:rsidRPr="00DC403D">
        <w:rPr>
          <w:b/>
          <w:position w:val="2"/>
        </w:rPr>
        <w:t>H</w:t>
      </w:r>
      <w:r w:rsidRPr="00DC403D">
        <w:rPr>
          <w:b/>
        </w:rPr>
        <w:t>04:</w:t>
      </w:r>
      <w:r w:rsidRPr="00DC403D">
        <w:rPr>
          <w:b/>
          <w:spacing w:val="-1"/>
        </w:rPr>
        <w:t xml:space="preserve"> </w:t>
      </w:r>
      <w:r w:rsidRPr="00D57DF3">
        <w:rPr>
          <w:rFonts w:ascii="Arial" w:hAnsi="Arial" w:cs="Arial"/>
          <w:position w:val="2"/>
          <w:sz w:val="20"/>
          <w:szCs w:val="20"/>
        </w:rPr>
        <w:t>There</w:t>
      </w:r>
      <w:r w:rsidRPr="00D57DF3">
        <w:rPr>
          <w:rFonts w:ascii="Arial" w:hAnsi="Arial" w:cs="Arial"/>
          <w:spacing w:val="-1"/>
          <w:position w:val="2"/>
          <w:sz w:val="20"/>
          <w:szCs w:val="20"/>
        </w:rPr>
        <w:t xml:space="preserve"> </w:t>
      </w:r>
      <w:r w:rsidRPr="00D57DF3">
        <w:rPr>
          <w:rFonts w:ascii="Arial" w:hAnsi="Arial" w:cs="Arial"/>
          <w:position w:val="2"/>
          <w:sz w:val="20"/>
          <w:szCs w:val="20"/>
        </w:rPr>
        <w:t>exists</w:t>
      </w:r>
      <w:r w:rsidRPr="00D57DF3">
        <w:rPr>
          <w:rFonts w:ascii="Arial" w:hAnsi="Arial" w:cs="Arial"/>
          <w:spacing w:val="-3"/>
          <w:position w:val="2"/>
          <w:sz w:val="20"/>
          <w:szCs w:val="20"/>
        </w:rPr>
        <w:t xml:space="preserve"> </w:t>
      </w:r>
      <w:r w:rsidRPr="00D57DF3">
        <w:rPr>
          <w:rFonts w:ascii="Arial" w:hAnsi="Arial" w:cs="Arial"/>
          <w:position w:val="2"/>
          <w:sz w:val="20"/>
          <w:szCs w:val="20"/>
        </w:rPr>
        <w:t>no significant difference</w:t>
      </w:r>
      <w:r w:rsidRPr="00D57DF3">
        <w:rPr>
          <w:rFonts w:ascii="Arial" w:hAnsi="Arial" w:cs="Arial"/>
          <w:spacing w:val="-1"/>
          <w:position w:val="2"/>
          <w:sz w:val="20"/>
          <w:szCs w:val="20"/>
        </w:rPr>
        <w:t xml:space="preserve"> </w:t>
      </w:r>
      <w:r w:rsidRPr="00D57DF3">
        <w:rPr>
          <w:rFonts w:ascii="Arial" w:hAnsi="Arial" w:cs="Arial"/>
          <w:position w:val="2"/>
          <w:sz w:val="20"/>
          <w:szCs w:val="20"/>
        </w:rPr>
        <w:t>between</w:t>
      </w:r>
      <w:r w:rsidRPr="00D57DF3">
        <w:rPr>
          <w:rFonts w:ascii="Arial" w:hAnsi="Arial" w:cs="Arial"/>
          <w:spacing w:val="-1"/>
          <w:position w:val="2"/>
          <w:sz w:val="20"/>
          <w:szCs w:val="20"/>
        </w:rPr>
        <w:t xml:space="preserve"> </w:t>
      </w:r>
      <w:r w:rsidRPr="00D57DF3">
        <w:rPr>
          <w:rFonts w:ascii="Arial" w:hAnsi="Arial" w:cs="Arial"/>
          <w:position w:val="2"/>
          <w:sz w:val="20"/>
          <w:szCs w:val="20"/>
        </w:rPr>
        <w:t>higher secondary</w:t>
      </w:r>
      <w:r w:rsidRPr="00D57DF3">
        <w:rPr>
          <w:rFonts w:ascii="Arial" w:hAnsi="Arial" w:cs="Arial"/>
          <w:spacing w:val="-9"/>
          <w:position w:val="2"/>
          <w:sz w:val="20"/>
          <w:szCs w:val="20"/>
        </w:rPr>
        <w:t xml:space="preserve"> </w:t>
      </w:r>
      <w:r w:rsidRPr="00D57DF3">
        <w:rPr>
          <w:rFonts w:ascii="Arial" w:hAnsi="Arial" w:cs="Arial"/>
          <w:position w:val="2"/>
          <w:sz w:val="20"/>
          <w:szCs w:val="20"/>
        </w:rPr>
        <w:t>school</w:t>
      </w:r>
      <w:r w:rsidRPr="00D57DF3">
        <w:rPr>
          <w:rFonts w:ascii="Arial" w:hAnsi="Arial" w:cs="Arial"/>
          <w:spacing w:val="-9"/>
          <w:position w:val="2"/>
          <w:sz w:val="20"/>
          <w:szCs w:val="20"/>
        </w:rPr>
        <w:t xml:space="preserve"> </w:t>
      </w:r>
      <w:r w:rsidRPr="00D57DF3">
        <w:rPr>
          <w:rFonts w:ascii="Arial" w:hAnsi="Arial" w:cs="Arial"/>
          <w:position w:val="2"/>
          <w:sz w:val="20"/>
          <w:szCs w:val="20"/>
        </w:rPr>
        <w:t>students</w:t>
      </w:r>
      <w:r w:rsidRPr="00D57DF3">
        <w:rPr>
          <w:rFonts w:ascii="Arial" w:hAnsi="Arial" w:cs="Arial"/>
          <w:spacing w:val="-3"/>
          <w:position w:val="2"/>
          <w:sz w:val="20"/>
          <w:szCs w:val="20"/>
        </w:rPr>
        <w:t xml:space="preserve"> </w:t>
      </w:r>
      <w:r w:rsidRPr="00D57DF3">
        <w:rPr>
          <w:rFonts w:ascii="Arial" w:hAnsi="Arial" w:cs="Arial"/>
          <w:position w:val="2"/>
          <w:sz w:val="20"/>
          <w:szCs w:val="20"/>
        </w:rPr>
        <w:t>studying in</w:t>
      </w:r>
      <w:r w:rsidRPr="00D57DF3">
        <w:rPr>
          <w:rFonts w:ascii="Arial" w:hAnsi="Arial" w:cs="Arial"/>
          <w:spacing w:val="-5"/>
          <w:position w:val="2"/>
          <w:sz w:val="20"/>
          <w:szCs w:val="20"/>
        </w:rPr>
        <w:t xml:space="preserve"> </w:t>
      </w:r>
      <w:r w:rsidRPr="00D57DF3">
        <w:rPr>
          <w:rFonts w:ascii="Arial" w:hAnsi="Arial" w:cs="Arial"/>
          <w:position w:val="2"/>
          <w:sz w:val="20"/>
          <w:szCs w:val="20"/>
        </w:rPr>
        <w:t xml:space="preserve">the </w:t>
      </w:r>
      <w:r w:rsidRPr="00D57DF3">
        <w:rPr>
          <w:rFonts w:ascii="Arial" w:hAnsi="Arial" w:cs="Arial"/>
          <w:sz w:val="20"/>
          <w:szCs w:val="20"/>
        </w:rPr>
        <w:t xml:space="preserve">Science and Commerce </w:t>
      </w:r>
      <w:r w:rsidR="008B35B5" w:rsidRPr="00D57DF3">
        <w:rPr>
          <w:rFonts w:ascii="Arial" w:hAnsi="Arial" w:cs="Arial"/>
          <w:sz w:val="20"/>
          <w:szCs w:val="20"/>
        </w:rPr>
        <w:t>streams</w:t>
      </w:r>
      <w:r w:rsidRPr="00D57DF3">
        <w:rPr>
          <w:rFonts w:ascii="Arial" w:hAnsi="Arial" w:cs="Arial"/>
          <w:sz w:val="20"/>
          <w:szCs w:val="20"/>
        </w:rPr>
        <w:t xml:space="preserve"> in their level of sustainable development awareness.</w:t>
      </w:r>
    </w:p>
    <w:p w14:paraId="6C5D0A9A" w14:textId="77777777" w:rsidR="00D57DF3" w:rsidRPr="00D57DF3" w:rsidRDefault="00D57DF3" w:rsidP="00D57DF3">
      <w:pPr>
        <w:jc w:val="both"/>
        <w:rPr>
          <w:rFonts w:ascii="Times New Roman" w:hAnsi="Times New Roman" w:cs="Times New Roman"/>
          <w:b/>
          <w:bCs/>
          <w:sz w:val="24"/>
          <w:szCs w:val="24"/>
        </w:rPr>
      </w:pPr>
      <w:r w:rsidRPr="00D57DF3">
        <w:rPr>
          <w:rFonts w:ascii="Times New Roman" w:hAnsi="Times New Roman" w:cs="Times New Roman"/>
          <w:b/>
          <w:bCs/>
          <w:sz w:val="24"/>
          <w:szCs w:val="24"/>
        </w:rPr>
        <w:t>3. RESULTS AND DISCUSSION</w:t>
      </w:r>
    </w:p>
    <w:p w14:paraId="486C9734" w14:textId="77777777" w:rsidR="00D57DF3" w:rsidRPr="00D57DF3" w:rsidRDefault="00D57DF3" w:rsidP="00D57DF3">
      <w:pPr>
        <w:jc w:val="both"/>
        <w:rPr>
          <w:rFonts w:ascii="Times New Roman" w:hAnsi="Times New Roman" w:cs="Times New Roman"/>
          <w:b/>
          <w:bCs/>
          <w:sz w:val="24"/>
          <w:szCs w:val="24"/>
        </w:rPr>
      </w:pPr>
      <w:r w:rsidRPr="00D57DF3">
        <w:rPr>
          <w:rFonts w:ascii="Times New Roman" w:hAnsi="Times New Roman" w:cs="Times New Roman"/>
          <w:b/>
          <w:bCs/>
          <w:sz w:val="24"/>
          <w:szCs w:val="24"/>
        </w:rPr>
        <w:t>3.1 Results</w:t>
      </w:r>
    </w:p>
    <w:p w14:paraId="08F1770B" w14:textId="77777777" w:rsidR="00D57DF3" w:rsidRPr="00D57DF3" w:rsidRDefault="00D57DF3" w:rsidP="00D57DF3">
      <w:pPr>
        <w:jc w:val="both"/>
        <w:rPr>
          <w:rFonts w:ascii="Times New Roman" w:hAnsi="Times New Roman" w:cs="Times New Roman"/>
          <w:b/>
          <w:bCs/>
          <w:sz w:val="24"/>
          <w:szCs w:val="24"/>
        </w:rPr>
      </w:pPr>
      <w:r w:rsidRPr="00D57DF3">
        <w:rPr>
          <w:rFonts w:ascii="Times New Roman" w:hAnsi="Times New Roman" w:cs="Times New Roman"/>
          <w:b/>
          <w:bCs/>
          <w:sz w:val="24"/>
          <w:szCs w:val="24"/>
        </w:rPr>
        <w:lastRenderedPageBreak/>
        <w:t>3.1.1 Awareness of Sustainable Development Based on Gender</w:t>
      </w:r>
    </w:p>
    <w:p w14:paraId="3270899C" w14:textId="4DC764EB" w:rsidR="00D57DF3" w:rsidRPr="00D57DF3" w:rsidRDefault="00D57DF3" w:rsidP="00D57DF3">
      <w:pPr>
        <w:jc w:val="both"/>
        <w:rPr>
          <w:rFonts w:ascii="Arial" w:hAnsi="Arial" w:cs="Arial"/>
          <w:sz w:val="20"/>
          <w:szCs w:val="20"/>
        </w:rPr>
      </w:pPr>
      <w:r w:rsidRPr="00D57DF3">
        <w:rPr>
          <w:rFonts w:ascii="Arial" w:hAnsi="Arial" w:cs="Arial"/>
          <w:sz w:val="20"/>
          <w:szCs w:val="20"/>
        </w:rPr>
        <w:t xml:space="preserve">The level of awareness towards sustainable development among higher secondary school students was </w:t>
      </w:r>
      <w:r w:rsidR="00497513" w:rsidRPr="00D57DF3">
        <w:rPr>
          <w:rFonts w:ascii="Arial" w:hAnsi="Arial" w:cs="Arial"/>
          <w:sz w:val="20"/>
          <w:szCs w:val="20"/>
        </w:rPr>
        <w:t>analysed</w:t>
      </w:r>
      <w:r w:rsidRPr="00D57DF3">
        <w:rPr>
          <w:rFonts w:ascii="Arial" w:hAnsi="Arial" w:cs="Arial"/>
          <w:sz w:val="20"/>
          <w:szCs w:val="20"/>
        </w:rPr>
        <w:t xml:space="preserve"> based on gender. Male students (</w:t>
      </w:r>
      <w:r w:rsidRPr="00D57DF3">
        <w:rPr>
          <w:rFonts w:ascii="Arial" w:hAnsi="Arial" w:cs="Arial"/>
          <w:i/>
          <w:iCs/>
          <w:sz w:val="20"/>
          <w:szCs w:val="20"/>
        </w:rPr>
        <w:t>n</w:t>
      </w:r>
      <w:r w:rsidRPr="00D57DF3">
        <w:rPr>
          <w:rFonts w:ascii="Arial" w:hAnsi="Arial" w:cs="Arial"/>
          <w:sz w:val="20"/>
          <w:szCs w:val="20"/>
        </w:rPr>
        <w:t xml:space="preserve"> = 75) obtained a mean score of 76.87 (SD = 10.19), while female students (</w:t>
      </w:r>
      <w:r w:rsidRPr="00D57DF3">
        <w:rPr>
          <w:rFonts w:ascii="Arial" w:hAnsi="Arial" w:cs="Arial"/>
          <w:i/>
          <w:iCs/>
          <w:sz w:val="20"/>
          <w:szCs w:val="20"/>
        </w:rPr>
        <w:t>n</w:t>
      </w:r>
      <w:r w:rsidRPr="00D57DF3">
        <w:rPr>
          <w:rFonts w:ascii="Arial" w:hAnsi="Arial" w:cs="Arial"/>
          <w:sz w:val="20"/>
          <w:szCs w:val="20"/>
        </w:rPr>
        <w:t xml:space="preserve"> = 75) recorded a mean score of 75.93 (SD = 10.41). An independent samples </w:t>
      </w:r>
      <w:r w:rsidRPr="00D57DF3">
        <w:rPr>
          <w:rFonts w:ascii="Arial" w:hAnsi="Arial" w:cs="Arial"/>
          <w:i/>
          <w:iCs/>
          <w:sz w:val="20"/>
          <w:szCs w:val="20"/>
        </w:rPr>
        <w:t>t</w:t>
      </w:r>
      <w:r w:rsidRPr="00D57DF3">
        <w:rPr>
          <w:rFonts w:ascii="Arial" w:hAnsi="Arial" w:cs="Arial"/>
          <w:sz w:val="20"/>
          <w:szCs w:val="20"/>
        </w:rPr>
        <w:t>-test revealed no statistically significant difference between the two groups (</w:t>
      </w:r>
      <w:r w:rsidRPr="00D57DF3">
        <w:rPr>
          <w:rFonts w:ascii="Arial" w:hAnsi="Arial" w:cs="Arial"/>
          <w:i/>
          <w:iCs/>
          <w:sz w:val="20"/>
          <w:szCs w:val="20"/>
        </w:rPr>
        <w:t>t</w:t>
      </w:r>
      <w:r w:rsidRPr="00D57DF3">
        <w:rPr>
          <w:rFonts w:ascii="Arial" w:hAnsi="Arial" w:cs="Arial"/>
          <w:sz w:val="20"/>
          <w:szCs w:val="20"/>
        </w:rPr>
        <w:t xml:space="preserve"> = 0.55, </w:t>
      </w:r>
      <w:r w:rsidRPr="00D57DF3">
        <w:rPr>
          <w:rFonts w:ascii="Arial" w:hAnsi="Arial" w:cs="Arial"/>
          <w:i/>
          <w:iCs/>
          <w:sz w:val="20"/>
          <w:szCs w:val="20"/>
        </w:rPr>
        <w:t>P</w:t>
      </w:r>
      <w:r w:rsidRPr="00D57DF3">
        <w:rPr>
          <w:rFonts w:ascii="Arial" w:hAnsi="Arial" w:cs="Arial"/>
          <w:sz w:val="20"/>
          <w:szCs w:val="20"/>
        </w:rPr>
        <w:t xml:space="preserve"> = .58) at the 0.05 level of significance. These results indicate that awareness of sustainable development is comparable among male and female students (Table 1).</w:t>
      </w:r>
    </w:p>
    <w:p w14:paraId="225BEA62" w14:textId="1DCA8DA0" w:rsidR="00D57DF3" w:rsidRPr="00D57DF3" w:rsidRDefault="00D57DF3" w:rsidP="00D57DF3">
      <w:pPr>
        <w:jc w:val="both"/>
        <w:rPr>
          <w:rFonts w:ascii="Arial" w:hAnsi="Arial" w:cs="Arial"/>
          <w:sz w:val="20"/>
          <w:szCs w:val="20"/>
        </w:rPr>
      </w:pPr>
      <w:r w:rsidRPr="00D57DF3">
        <w:rPr>
          <w:rFonts w:ascii="Arial" w:hAnsi="Arial" w:cs="Arial"/>
          <w:i/>
          <w:iCs/>
          <w:sz w:val="20"/>
          <w:szCs w:val="20"/>
        </w:rPr>
        <w:t>Table 1: Difference in the level of awareness towards sustainable development based on gender</w:t>
      </w:r>
    </w:p>
    <w:p w14:paraId="6B010255" w14:textId="6CB0FF6F" w:rsidR="00D57DF3" w:rsidRPr="00D178ED" w:rsidRDefault="00D57DF3" w:rsidP="00D57DF3">
      <w:pPr>
        <w:pStyle w:val="BodyText2"/>
        <w:rPr>
          <w:b/>
          <w:lang w:val="en-US"/>
        </w:rPr>
      </w:pPr>
    </w:p>
    <w:tbl>
      <w:tblPr>
        <w:tblW w:w="93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979"/>
        <w:gridCol w:w="483"/>
        <w:gridCol w:w="1184"/>
        <w:gridCol w:w="1184"/>
        <w:gridCol w:w="1319"/>
        <w:gridCol w:w="1184"/>
        <w:gridCol w:w="1460"/>
      </w:tblGrid>
      <w:tr w:rsidR="00D57DF3" w:rsidRPr="00D178ED" w14:paraId="4E4FCBAC" w14:textId="77777777" w:rsidTr="00AC24FC">
        <w:trPr>
          <w:trHeight w:val="764"/>
        </w:trPr>
        <w:tc>
          <w:tcPr>
            <w:tcW w:w="1545" w:type="dxa"/>
            <w:vMerge w:val="restart"/>
            <w:tcBorders>
              <w:top w:val="single" w:sz="4" w:space="0" w:color="auto"/>
              <w:left w:val="single" w:sz="4" w:space="0" w:color="auto"/>
              <w:bottom w:val="single" w:sz="4" w:space="0" w:color="auto"/>
              <w:right w:val="single" w:sz="4" w:space="0" w:color="auto"/>
            </w:tcBorders>
          </w:tcPr>
          <w:p w14:paraId="20C35B49" w14:textId="77777777" w:rsidR="00D57DF3" w:rsidRPr="009D053A" w:rsidRDefault="00D57DF3" w:rsidP="00AC24FC">
            <w:pPr>
              <w:pStyle w:val="BodyText2"/>
              <w:rPr>
                <w:sz w:val="20"/>
                <w:szCs w:val="20"/>
              </w:rPr>
            </w:pPr>
          </w:p>
          <w:p w14:paraId="0191C249" w14:textId="77777777" w:rsidR="00D57DF3" w:rsidRPr="009D053A" w:rsidRDefault="00D57DF3" w:rsidP="00AC24FC">
            <w:pPr>
              <w:pStyle w:val="BodyText2"/>
              <w:rPr>
                <w:sz w:val="20"/>
                <w:szCs w:val="20"/>
              </w:rPr>
            </w:pPr>
            <w:r w:rsidRPr="009D053A">
              <w:rPr>
                <w:sz w:val="20"/>
                <w:szCs w:val="20"/>
              </w:rPr>
              <w:t>Level of awareness towards sustainable development</w:t>
            </w:r>
          </w:p>
        </w:tc>
        <w:tc>
          <w:tcPr>
            <w:tcW w:w="979" w:type="dxa"/>
            <w:tcBorders>
              <w:top w:val="single" w:sz="4" w:space="0" w:color="auto"/>
              <w:left w:val="single" w:sz="4" w:space="0" w:color="auto"/>
              <w:bottom w:val="single" w:sz="4" w:space="0" w:color="auto"/>
              <w:right w:val="single" w:sz="4" w:space="0" w:color="auto"/>
            </w:tcBorders>
          </w:tcPr>
          <w:p w14:paraId="4FD717ED" w14:textId="77777777" w:rsidR="00D57DF3" w:rsidRPr="009D053A" w:rsidRDefault="00D57DF3" w:rsidP="00AC24FC">
            <w:pPr>
              <w:pStyle w:val="BodyText2"/>
              <w:rPr>
                <w:sz w:val="20"/>
                <w:szCs w:val="20"/>
              </w:rPr>
            </w:pPr>
            <w:r w:rsidRPr="009D053A">
              <w:rPr>
                <w:sz w:val="20"/>
                <w:szCs w:val="20"/>
              </w:rPr>
              <w:t>Gender</w:t>
            </w:r>
          </w:p>
        </w:tc>
        <w:tc>
          <w:tcPr>
            <w:tcW w:w="483" w:type="dxa"/>
            <w:tcBorders>
              <w:top w:val="single" w:sz="4" w:space="0" w:color="auto"/>
              <w:left w:val="single" w:sz="4" w:space="0" w:color="auto"/>
              <w:bottom w:val="single" w:sz="4" w:space="0" w:color="auto"/>
              <w:right w:val="single" w:sz="4" w:space="0" w:color="auto"/>
            </w:tcBorders>
          </w:tcPr>
          <w:p w14:paraId="09BDBBCA" w14:textId="77777777" w:rsidR="00D57DF3" w:rsidRPr="009D053A" w:rsidRDefault="00D57DF3" w:rsidP="00AC24FC">
            <w:pPr>
              <w:pStyle w:val="BodyText2"/>
              <w:rPr>
                <w:sz w:val="20"/>
                <w:szCs w:val="20"/>
              </w:rPr>
            </w:pPr>
            <w:r w:rsidRPr="009D053A">
              <w:rPr>
                <w:sz w:val="20"/>
                <w:szCs w:val="20"/>
              </w:rPr>
              <w:t>N</w:t>
            </w:r>
          </w:p>
        </w:tc>
        <w:tc>
          <w:tcPr>
            <w:tcW w:w="1184" w:type="dxa"/>
            <w:tcBorders>
              <w:top w:val="single" w:sz="4" w:space="0" w:color="auto"/>
              <w:left w:val="single" w:sz="4" w:space="0" w:color="auto"/>
              <w:bottom w:val="single" w:sz="4" w:space="0" w:color="auto"/>
              <w:right w:val="single" w:sz="4" w:space="0" w:color="auto"/>
            </w:tcBorders>
          </w:tcPr>
          <w:p w14:paraId="4ED9E769" w14:textId="77777777" w:rsidR="00D57DF3" w:rsidRPr="009D053A" w:rsidRDefault="00D57DF3" w:rsidP="00AC24FC">
            <w:pPr>
              <w:pStyle w:val="BodyText2"/>
              <w:rPr>
                <w:sz w:val="20"/>
                <w:szCs w:val="20"/>
              </w:rPr>
            </w:pPr>
            <w:r w:rsidRPr="009D053A">
              <w:rPr>
                <w:sz w:val="20"/>
                <w:szCs w:val="20"/>
              </w:rPr>
              <w:t>Mean</w:t>
            </w:r>
          </w:p>
        </w:tc>
        <w:tc>
          <w:tcPr>
            <w:tcW w:w="1184" w:type="dxa"/>
            <w:tcBorders>
              <w:top w:val="single" w:sz="4" w:space="0" w:color="auto"/>
              <w:left w:val="single" w:sz="4" w:space="0" w:color="auto"/>
              <w:bottom w:val="single" w:sz="4" w:space="0" w:color="auto"/>
              <w:right w:val="single" w:sz="4" w:space="0" w:color="auto"/>
            </w:tcBorders>
          </w:tcPr>
          <w:p w14:paraId="188F755F" w14:textId="77777777" w:rsidR="00D57DF3" w:rsidRPr="009D053A" w:rsidRDefault="00D57DF3" w:rsidP="00AC24FC">
            <w:pPr>
              <w:pStyle w:val="BodyText2"/>
              <w:rPr>
                <w:sz w:val="20"/>
                <w:szCs w:val="20"/>
              </w:rPr>
            </w:pPr>
            <w:r w:rsidRPr="009D053A">
              <w:rPr>
                <w:sz w:val="20"/>
                <w:szCs w:val="20"/>
              </w:rPr>
              <w:t>SD</w:t>
            </w:r>
          </w:p>
        </w:tc>
        <w:tc>
          <w:tcPr>
            <w:tcW w:w="1319" w:type="dxa"/>
            <w:tcBorders>
              <w:top w:val="single" w:sz="4" w:space="0" w:color="auto"/>
              <w:left w:val="single" w:sz="4" w:space="0" w:color="auto"/>
              <w:bottom w:val="single" w:sz="4" w:space="0" w:color="auto"/>
              <w:right w:val="single" w:sz="4" w:space="0" w:color="auto"/>
            </w:tcBorders>
          </w:tcPr>
          <w:p w14:paraId="52968943" w14:textId="77777777" w:rsidR="00D57DF3" w:rsidRPr="009D053A" w:rsidRDefault="00D57DF3" w:rsidP="00AC24FC">
            <w:pPr>
              <w:pStyle w:val="BodyText2"/>
              <w:rPr>
                <w:sz w:val="20"/>
                <w:szCs w:val="20"/>
              </w:rPr>
            </w:pPr>
            <w:r w:rsidRPr="009D053A">
              <w:rPr>
                <w:sz w:val="20"/>
                <w:szCs w:val="20"/>
              </w:rPr>
              <w:t>Calculated t value</w:t>
            </w:r>
          </w:p>
        </w:tc>
        <w:tc>
          <w:tcPr>
            <w:tcW w:w="1184" w:type="dxa"/>
            <w:tcBorders>
              <w:top w:val="single" w:sz="4" w:space="0" w:color="auto"/>
              <w:left w:val="single" w:sz="4" w:space="0" w:color="auto"/>
              <w:bottom w:val="single" w:sz="4" w:space="0" w:color="auto"/>
              <w:right w:val="single" w:sz="4" w:space="0" w:color="auto"/>
            </w:tcBorders>
          </w:tcPr>
          <w:p w14:paraId="741CC1AD" w14:textId="77777777" w:rsidR="00D57DF3" w:rsidRPr="009D053A" w:rsidRDefault="00D57DF3" w:rsidP="00AC24FC">
            <w:pPr>
              <w:pStyle w:val="BodyText2"/>
              <w:rPr>
                <w:sz w:val="20"/>
                <w:szCs w:val="20"/>
              </w:rPr>
            </w:pPr>
            <w:r w:rsidRPr="009D053A">
              <w:rPr>
                <w:sz w:val="20"/>
                <w:szCs w:val="20"/>
              </w:rPr>
              <w:t>Table value</w:t>
            </w:r>
          </w:p>
        </w:tc>
        <w:tc>
          <w:tcPr>
            <w:tcW w:w="1460" w:type="dxa"/>
            <w:tcBorders>
              <w:top w:val="single" w:sz="4" w:space="0" w:color="auto"/>
              <w:left w:val="single" w:sz="4" w:space="0" w:color="auto"/>
              <w:bottom w:val="single" w:sz="4" w:space="0" w:color="auto"/>
              <w:right w:val="single" w:sz="4" w:space="0" w:color="auto"/>
            </w:tcBorders>
          </w:tcPr>
          <w:p w14:paraId="0E3F1119" w14:textId="77777777" w:rsidR="00D57DF3" w:rsidRPr="009D053A" w:rsidRDefault="00D57DF3" w:rsidP="00AC24FC">
            <w:pPr>
              <w:pStyle w:val="BodyText2"/>
              <w:rPr>
                <w:sz w:val="20"/>
                <w:szCs w:val="20"/>
              </w:rPr>
            </w:pPr>
            <w:r w:rsidRPr="009D053A">
              <w:rPr>
                <w:sz w:val="20"/>
                <w:szCs w:val="20"/>
              </w:rPr>
              <w:t>Remarks at 5% level of significance</w:t>
            </w:r>
          </w:p>
          <w:p w14:paraId="247F9A51" w14:textId="77777777" w:rsidR="00D57DF3" w:rsidRPr="009D053A" w:rsidRDefault="00D57DF3" w:rsidP="00AC24FC">
            <w:pPr>
              <w:pStyle w:val="BodyText2"/>
              <w:rPr>
                <w:sz w:val="20"/>
                <w:szCs w:val="20"/>
              </w:rPr>
            </w:pPr>
          </w:p>
        </w:tc>
      </w:tr>
      <w:tr w:rsidR="00D57DF3" w:rsidRPr="00D178ED" w14:paraId="142DB85F" w14:textId="77777777" w:rsidTr="00AC24FC">
        <w:trPr>
          <w:trHeight w:val="7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4572CE" w14:textId="77777777" w:rsidR="00D57DF3" w:rsidRPr="009D053A" w:rsidRDefault="00D57DF3" w:rsidP="00AC24FC">
            <w:pPr>
              <w:pStyle w:val="BodyText2"/>
              <w:rPr>
                <w:sz w:val="20"/>
                <w:szCs w:val="20"/>
              </w:rPr>
            </w:pPr>
          </w:p>
        </w:tc>
        <w:tc>
          <w:tcPr>
            <w:tcW w:w="979" w:type="dxa"/>
            <w:tcBorders>
              <w:top w:val="single" w:sz="4" w:space="0" w:color="auto"/>
              <w:left w:val="single" w:sz="4" w:space="0" w:color="auto"/>
              <w:bottom w:val="single" w:sz="4" w:space="0" w:color="auto"/>
              <w:right w:val="single" w:sz="4" w:space="0" w:color="auto"/>
            </w:tcBorders>
          </w:tcPr>
          <w:p w14:paraId="11522334" w14:textId="77777777" w:rsidR="00D57DF3" w:rsidRPr="009D053A" w:rsidRDefault="00D57DF3" w:rsidP="00AC24FC">
            <w:pPr>
              <w:pStyle w:val="BodyText2"/>
              <w:rPr>
                <w:sz w:val="20"/>
                <w:szCs w:val="20"/>
              </w:rPr>
            </w:pPr>
          </w:p>
          <w:p w14:paraId="171D379E" w14:textId="77777777" w:rsidR="00D57DF3" w:rsidRPr="009D053A" w:rsidRDefault="00D57DF3" w:rsidP="00AC24FC">
            <w:pPr>
              <w:pStyle w:val="BodyText2"/>
              <w:rPr>
                <w:sz w:val="20"/>
                <w:szCs w:val="20"/>
              </w:rPr>
            </w:pPr>
            <w:r w:rsidRPr="009D053A">
              <w:rPr>
                <w:sz w:val="20"/>
                <w:szCs w:val="20"/>
              </w:rPr>
              <w:t>Male</w:t>
            </w:r>
          </w:p>
        </w:tc>
        <w:tc>
          <w:tcPr>
            <w:tcW w:w="483" w:type="dxa"/>
            <w:tcBorders>
              <w:top w:val="single" w:sz="4" w:space="0" w:color="auto"/>
              <w:left w:val="single" w:sz="4" w:space="0" w:color="auto"/>
              <w:bottom w:val="single" w:sz="4" w:space="0" w:color="auto"/>
              <w:right w:val="single" w:sz="4" w:space="0" w:color="auto"/>
            </w:tcBorders>
          </w:tcPr>
          <w:p w14:paraId="56EB64F0" w14:textId="77777777" w:rsidR="00D57DF3" w:rsidRPr="009D053A" w:rsidRDefault="00D57DF3" w:rsidP="00AC24FC">
            <w:pPr>
              <w:pStyle w:val="BodyText2"/>
              <w:rPr>
                <w:sz w:val="20"/>
                <w:szCs w:val="20"/>
              </w:rPr>
            </w:pPr>
          </w:p>
          <w:p w14:paraId="1F8C4267" w14:textId="77777777" w:rsidR="00D57DF3" w:rsidRPr="009D053A" w:rsidRDefault="00D57DF3" w:rsidP="00AC24FC">
            <w:pPr>
              <w:pStyle w:val="BodyText2"/>
              <w:rPr>
                <w:sz w:val="20"/>
                <w:szCs w:val="20"/>
              </w:rPr>
            </w:pPr>
            <w:r w:rsidRPr="009D053A">
              <w:rPr>
                <w:sz w:val="20"/>
                <w:szCs w:val="20"/>
              </w:rPr>
              <w:t>75</w:t>
            </w:r>
          </w:p>
        </w:tc>
        <w:tc>
          <w:tcPr>
            <w:tcW w:w="1184" w:type="dxa"/>
            <w:tcBorders>
              <w:top w:val="single" w:sz="4" w:space="0" w:color="auto"/>
              <w:left w:val="single" w:sz="4" w:space="0" w:color="auto"/>
              <w:bottom w:val="single" w:sz="4" w:space="0" w:color="auto"/>
              <w:right w:val="single" w:sz="4" w:space="0" w:color="auto"/>
            </w:tcBorders>
          </w:tcPr>
          <w:p w14:paraId="62DC1C84" w14:textId="77777777" w:rsidR="00D57DF3" w:rsidRPr="009D053A" w:rsidRDefault="00D57DF3" w:rsidP="00AC24FC">
            <w:pPr>
              <w:pStyle w:val="BodyText2"/>
              <w:rPr>
                <w:sz w:val="20"/>
                <w:szCs w:val="20"/>
              </w:rPr>
            </w:pPr>
          </w:p>
          <w:p w14:paraId="313EEF83" w14:textId="77777777" w:rsidR="00D57DF3" w:rsidRPr="009D053A" w:rsidRDefault="00D57DF3" w:rsidP="00AC24FC">
            <w:pPr>
              <w:pStyle w:val="BodyText2"/>
              <w:rPr>
                <w:sz w:val="20"/>
                <w:szCs w:val="20"/>
              </w:rPr>
            </w:pPr>
            <w:r w:rsidRPr="009D053A">
              <w:rPr>
                <w:sz w:val="20"/>
                <w:szCs w:val="20"/>
              </w:rPr>
              <w:t>76.86667</w:t>
            </w:r>
          </w:p>
        </w:tc>
        <w:tc>
          <w:tcPr>
            <w:tcW w:w="1184" w:type="dxa"/>
            <w:tcBorders>
              <w:top w:val="single" w:sz="4" w:space="0" w:color="auto"/>
              <w:left w:val="single" w:sz="4" w:space="0" w:color="auto"/>
              <w:bottom w:val="single" w:sz="4" w:space="0" w:color="auto"/>
              <w:right w:val="single" w:sz="4" w:space="0" w:color="auto"/>
            </w:tcBorders>
          </w:tcPr>
          <w:p w14:paraId="56773C38" w14:textId="77777777" w:rsidR="00D57DF3" w:rsidRPr="009D053A" w:rsidRDefault="00D57DF3" w:rsidP="00AC24FC">
            <w:pPr>
              <w:pStyle w:val="BodyText2"/>
              <w:rPr>
                <w:sz w:val="20"/>
                <w:szCs w:val="20"/>
              </w:rPr>
            </w:pPr>
          </w:p>
          <w:p w14:paraId="374E230F" w14:textId="77777777" w:rsidR="00D57DF3" w:rsidRPr="009D053A" w:rsidRDefault="00D57DF3" w:rsidP="00AC24FC">
            <w:pPr>
              <w:pStyle w:val="BodyText2"/>
              <w:rPr>
                <w:sz w:val="20"/>
                <w:szCs w:val="20"/>
              </w:rPr>
            </w:pPr>
            <w:r w:rsidRPr="009D053A">
              <w:rPr>
                <w:sz w:val="20"/>
                <w:szCs w:val="20"/>
              </w:rPr>
              <w:t>10.1892</w:t>
            </w:r>
          </w:p>
          <w:p w14:paraId="4BA3D3CF" w14:textId="77777777" w:rsidR="00D57DF3" w:rsidRPr="009D053A" w:rsidRDefault="00D57DF3" w:rsidP="00AC24FC">
            <w:pPr>
              <w:pStyle w:val="BodyText2"/>
              <w:rPr>
                <w:sz w:val="20"/>
                <w:szCs w:val="20"/>
              </w:rPr>
            </w:pPr>
          </w:p>
        </w:tc>
        <w:tc>
          <w:tcPr>
            <w:tcW w:w="1319" w:type="dxa"/>
            <w:vMerge w:val="restart"/>
            <w:tcBorders>
              <w:top w:val="single" w:sz="4" w:space="0" w:color="auto"/>
              <w:left w:val="single" w:sz="4" w:space="0" w:color="auto"/>
              <w:bottom w:val="single" w:sz="4" w:space="0" w:color="auto"/>
              <w:right w:val="single" w:sz="4" w:space="0" w:color="auto"/>
            </w:tcBorders>
          </w:tcPr>
          <w:p w14:paraId="67019279" w14:textId="77777777" w:rsidR="00D57DF3" w:rsidRPr="009D053A" w:rsidRDefault="00D57DF3" w:rsidP="00AC24FC">
            <w:pPr>
              <w:pStyle w:val="BodyText2"/>
              <w:rPr>
                <w:sz w:val="20"/>
                <w:szCs w:val="20"/>
              </w:rPr>
            </w:pPr>
          </w:p>
          <w:p w14:paraId="425D29D6" w14:textId="77777777" w:rsidR="00D57DF3" w:rsidRPr="009D053A" w:rsidRDefault="00D57DF3" w:rsidP="00AC24FC">
            <w:pPr>
              <w:pStyle w:val="BodyText2"/>
              <w:rPr>
                <w:sz w:val="20"/>
                <w:szCs w:val="20"/>
              </w:rPr>
            </w:pPr>
          </w:p>
          <w:p w14:paraId="0B1AD694" w14:textId="77777777" w:rsidR="00D57DF3" w:rsidRPr="009D053A" w:rsidRDefault="00D57DF3" w:rsidP="00AC24FC">
            <w:pPr>
              <w:pStyle w:val="BodyText2"/>
              <w:rPr>
                <w:sz w:val="20"/>
                <w:szCs w:val="20"/>
              </w:rPr>
            </w:pPr>
            <w:r w:rsidRPr="009D053A">
              <w:rPr>
                <w:sz w:val="20"/>
                <w:szCs w:val="20"/>
              </w:rPr>
              <w:t>0.554865</w:t>
            </w:r>
          </w:p>
        </w:tc>
        <w:tc>
          <w:tcPr>
            <w:tcW w:w="1184" w:type="dxa"/>
            <w:vMerge w:val="restart"/>
            <w:tcBorders>
              <w:top w:val="single" w:sz="4" w:space="0" w:color="auto"/>
              <w:left w:val="single" w:sz="4" w:space="0" w:color="auto"/>
              <w:bottom w:val="single" w:sz="4" w:space="0" w:color="auto"/>
              <w:right w:val="single" w:sz="4" w:space="0" w:color="auto"/>
            </w:tcBorders>
          </w:tcPr>
          <w:p w14:paraId="1FA6AB75" w14:textId="77777777" w:rsidR="00D57DF3" w:rsidRPr="009D053A" w:rsidRDefault="00D57DF3" w:rsidP="00AC24FC">
            <w:pPr>
              <w:pStyle w:val="BodyText2"/>
              <w:rPr>
                <w:sz w:val="20"/>
                <w:szCs w:val="20"/>
              </w:rPr>
            </w:pPr>
          </w:p>
          <w:p w14:paraId="580C6A1D" w14:textId="77777777" w:rsidR="00D57DF3" w:rsidRPr="009D053A" w:rsidRDefault="00D57DF3" w:rsidP="00AC24FC">
            <w:pPr>
              <w:pStyle w:val="BodyText2"/>
              <w:rPr>
                <w:sz w:val="20"/>
                <w:szCs w:val="20"/>
              </w:rPr>
            </w:pPr>
          </w:p>
          <w:p w14:paraId="6F4FC6BB" w14:textId="77777777" w:rsidR="00D57DF3" w:rsidRPr="009D053A" w:rsidRDefault="00D57DF3" w:rsidP="00AC24FC">
            <w:pPr>
              <w:pStyle w:val="BodyText2"/>
              <w:rPr>
                <w:sz w:val="20"/>
                <w:szCs w:val="20"/>
              </w:rPr>
            </w:pPr>
            <w:r w:rsidRPr="009D053A">
              <w:rPr>
                <w:sz w:val="20"/>
                <w:szCs w:val="20"/>
              </w:rPr>
              <w:t>1.976122</w:t>
            </w:r>
          </w:p>
        </w:tc>
        <w:tc>
          <w:tcPr>
            <w:tcW w:w="1460" w:type="dxa"/>
            <w:vMerge w:val="restart"/>
            <w:tcBorders>
              <w:top w:val="single" w:sz="4" w:space="0" w:color="auto"/>
              <w:left w:val="single" w:sz="4" w:space="0" w:color="auto"/>
              <w:bottom w:val="single" w:sz="4" w:space="0" w:color="auto"/>
              <w:right w:val="single" w:sz="4" w:space="0" w:color="auto"/>
            </w:tcBorders>
          </w:tcPr>
          <w:p w14:paraId="6287D8DC" w14:textId="77777777" w:rsidR="00D57DF3" w:rsidRPr="009D053A" w:rsidRDefault="00D57DF3" w:rsidP="00AC24FC">
            <w:pPr>
              <w:pStyle w:val="BodyText2"/>
              <w:rPr>
                <w:sz w:val="20"/>
                <w:szCs w:val="20"/>
              </w:rPr>
            </w:pPr>
          </w:p>
          <w:p w14:paraId="1097638A" w14:textId="77777777" w:rsidR="00D57DF3" w:rsidRPr="009D053A" w:rsidRDefault="00D57DF3" w:rsidP="00AC24FC">
            <w:pPr>
              <w:pStyle w:val="BodyText2"/>
              <w:rPr>
                <w:sz w:val="20"/>
                <w:szCs w:val="20"/>
              </w:rPr>
            </w:pPr>
          </w:p>
          <w:p w14:paraId="1AD26307" w14:textId="77777777" w:rsidR="00D57DF3" w:rsidRPr="009D053A" w:rsidRDefault="00D57DF3" w:rsidP="00AC24FC">
            <w:pPr>
              <w:pStyle w:val="BodyText2"/>
              <w:rPr>
                <w:sz w:val="20"/>
                <w:szCs w:val="20"/>
              </w:rPr>
            </w:pPr>
            <w:r w:rsidRPr="009D053A">
              <w:rPr>
                <w:sz w:val="20"/>
                <w:szCs w:val="20"/>
              </w:rPr>
              <w:t>Not Significant</w:t>
            </w:r>
          </w:p>
        </w:tc>
      </w:tr>
      <w:tr w:rsidR="00D57DF3" w:rsidRPr="00D178ED" w14:paraId="6C6C019E" w14:textId="77777777" w:rsidTr="00AC24FC">
        <w:trPr>
          <w:trHeight w:val="7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6CA29" w14:textId="77777777" w:rsidR="00D57DF3" w:rsidRPr="00D178ED" w:rsidRDefault="00D57DF3" w:rsidP="00AC24FC">
            <w:pPr>
              <w:pStyle w:val="BodyText2"/>
            </w:pPr>
          </w:p>
        </w:tc>
        <w:tc>
          <w:tcPr>
            <w:tcW w:w="979" w:type="dxa"/>
            <w:tcBorders>
              <w:top w:val="single" w:sz="4" w:space="0" w:color="auto"/>
              <w:left w:val="single" w:sz="4" w:space="0" w:color="auto"/>
              <w:bottom w:val="single" w:sz="4" w:space="0" w:color="auto"/>
              <w:right w:val="single" w:sz="4" w:space="0" w:color="auto"/>
            </w:tcBorders>
          </w:tcPr>
          <w:p w14:paraId="548662D5" w14:textId="77777777" w:rsidR="00D57DF3" w:rsidRPr="00D178ED" w:rsidRDefault="00D57DF3" w:rsidP="00AC24FC">
            <w:pPr>
              <w:pStyle w:val="BodyText2"/>
            </w:pPr>
          </w:p>
          <w:p w14:paraId="428A5A59" w14:textId="77777777" w:rsidR="00D57DF3" w:rsidRPr="00D178ED" w:rsidRDefault="00D57DF3" w:rsidP="00AC24FC">
            <w:pPr>
              <w:pStyle w:val="BodyText2"/>
            </w:pPr>
            <w:r w:rsidRPr="00D178ED">
              <w:t>Female</w:t>
            </w:r>
          </w:p>
        </w:tc>
        <w:tc>
          <w:tcPr>
            <w:tcW w:w="483" w:type="dxa"/>
            <w:tcBorders>
              <w:top w:val="single" w:sz="4" w:space="0" w:color="auto"/>
              <w:left w:val="single" w:sz="4" w:space="0" w:color="auto"/>
              <w:bottom w:val="single" w:sz="4" w:space="0" w:color="auto"/>
              <w:right w:val="single" w:sz="4" w:space="0" w:color="auto"/>
            </w:tcBorders>
          </w:tcPr>
          <w:p w14:paraId="50B8E16C" w14:textId="77777777" w:rsidR="00D57DF3" w:rsidRPr="00D178ED" w:rsidRDefault="00D57DF3" w:rsidP="00AC24FC">
            <w:pPr>
              <w:pStyle w:val="BodyText2"/>
            </w:pPr>
          </w:p>
          <w:p w14:paraId="5FACC4F3" w14:textId="77777777" w:rsidR="00D57DF3" w:rsidRPr="00D178ED" w:rsidRDefault="00D57DF3" w:rsidP="00AC24FC">
            <w:pPr>
              <w:pStyle w:val="BodyText2"/>
            </w:pPr>
            <w:r w:rsidRPr="00D178ED">
              <w:t>75</w:t>
            </w:r>
          </w:p>
        </w:tc>
        <w:tc>
          <w:tcPr>
            <w:tcW w:w="1184" w:type="dxa"/>
            <w:tcBorders>
              <w:top w:val="single" w:sz="4" w:space="0" w:color="auto"/>
              <w:left w:val="single" w:sz="4" w:space="0" w:color="auto"/>
              <w:bottom w:val="single" w:sz="4" w:space="0" w:color="auto"/>
              <w:right w:val="single" w:sz="4" w:space="0" w:color="auto"/>
            </w:tcBorders>
          </w:tcPr>
          <w:p w14:paraId="020C7A85" w14:textId="77777777" w:rsidR="00D57DF3" w:rsidRPr="00D178ED" w:rsidRDefault="00D57DF3" w:rsidP="00AC24FC">
            <w:pPr>
              <w:pStyle w:val="BodyText2"/>
            </w:pPr>
          </w:p>
          <w:p w14:paraId="33C4E46F" w14:textId="77777777" w:rsidR="00D57DF3" w:rsidRPr="00D178ED" w:rsidRDefault="00D57DF3" w:rsidP="00AC24FC">
            <w:pPr>
              <w:pStyle w:val="BodyText2"/>
            </w:pPr>
            <w:r w:rsidRPr="00D178ED">
              <w:t>75.93333</w:t>
            </w:r>
          </w:p>
        </w:tc>
        <w:tc>
          <w:tcPr>
            <w:tcW w:w="1184" w:type="dxa"/>
            <w:tcBorders>
              <w:top w:val="single" w:sz="4" w:space="0" w:color="auto"/>
              <w:left w:val="single" w:sz="4" w:space="0" w:color="auto"/>
              <w:bottom w:val="single" w:sz="4" w:space="0" w:color="auto"/>
              <w:right w:val="single" w:sz="4" w:space="0" w:color="auto"/>
            </w:tcBorders>
          </w:tcPr>
          <w:p w14:paraId="237C3EEF" w14:textId="77777777" w:rsidR="00D57DF3" w:rsidRPr="00D178ED" w:rsidRDefault="00D57DF3" w:rsidP="00AC24FC">
            <w:pPr>
              <w:pStyle w:val="BodyText2"/>
            </w:pPr>
          </w:p>
          <w:p w14:paraId="708721AD" w14:textId="77777777" w:rsidR="00D57DF3" w:rsidRPr="00D178ED" w:rsidRDefault="00D57DF3" w:rsidP="00AC24FC">
            <w:pPr>
              <w:pStyle w:val="BodyText2"/>
            </w:pPr>
            <w:r w:rsidRPr="00D178ED">
              <w:t>10.41093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3D54C" w14:textId="77777777" w:rsidR="00D57DF3" w:rsidRPr="00D178ED" w:rsidRDefault="00D57DF3" w:rsidP="00AC24FC">
            <w:pPr>
              <w:pStyle w:val="BodyText2"/>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A8A5D" w14:textId="77777777" w:rsidR="00D57DF3" w:rsidRPr="00D178ED" w:rsidRDefault="00D57DF3" w:rsidP="00AC24FC">
            <w:pPr>
              <w:pStyle w:val="BodyText2"/>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B161C" w14:textId="77777777" w:rsidR="00D57DF3" w:rsidRPr="00D178ED" w:rsidRDefault="00D57DF3" w:rsidP="00AC24FC">
            <w:pPr>
              <w:pStyle w:val="BodyText2"/>
            </w:pPr>
          </w:p>
        </w:tc>
      </w:tr>
    </w:tbl>
    <w:p w14:paraId="0686F540" w14:textId="77777777" w:rsidR="00D57DF3" w:rsidRPr="00D178ED" w:rsidRDefault="00D57DF3" w:rsidP="00D57DF3">
      <w:pPr>
        <w:pStyle w:val="BodyText2"/>
        <w:rPr>
          <w:b/>
          <w:lang w:val="en-US"/>
        </w:rPr>
      </w:pPr>
    </w:p>
    <w:p w14:paraId="63807C83" w14:textId="77777777" w:rsidR="008E1F87" w:rsidRPr="008E1F87" w:rsidRDefault="008E1F87" w:rsidP="008E1F87">
      <w:pPr>
        <w:pStyle w:val="BodyText2"/>
        <w:rPr>
          <w:rFonts w:ascii="Arial" w:hAnsi="Arial" w:cs="Arial"/>
          <w:sz w:val="20"/>
          <w:szCs w:val="20"/>
          <w:lang w:val="en-US"/>
        </w:rPr>
      </w:pPr>
      <w:r w:rsidRPr="008E1F87">
        <w:rPr>
          <w:rFonts w:ascii="Arial" w:hAnsi="Arial" w:cs="Arial"/>
          <w:sz w:val="20"/>
          <w:szCs w:val="20"/>
          <w:lang w:val="en-US"/>
        </w:rPr>
        <w:t>For better understanding, the bar graphs are represented below...</w:t>
      </w:r>
    </w:p>
    <w:p w14:paraId="09EE5368" w14:textId="352E05B6" w:rsidR="00D57DF3" w:rsidRDefault="008E1F87" w:rsidP="00D57DF3">
      <w:pPr>
        <w:jc w:val="both"/>
        <w:rPr>
          <w:rFonts w:ascii="Times New Roman" w:hAnsi="Times New Roman" w:cs="Times New Roman"/>
          <w:b/>
          <w:bCs/>
          <w:sz w:val="24"/>
          <w:szCs w:val="24"/>
        </w:rPr>
      </w:pPr>
      <w:r w:rsidRPr="00D178ED">
        <w:rPr>
          <w:noProof/>
          <w:lang w:val="en-US"/>
        </w:rPr>
        <w:drawing>
          <wp:inline distT="0" distB="0" distL="0" distR="0" wp14:anchorId="419DEAE3" wp14:editId="137F4375">
            <wp:extent cx="5973097" cy="2448232"/>
            <wp:effectExtent l="0" t="0" r="8890" b="9525"/>
            <wp:docPr id="2033116820" name="Chart 7">
              <a:extLst xmlns:a="http://schemas.openxmlformats.org/drawingml/2006/main">
                <a:ext uri="{FF2B5EF4-FFF2-40B4-BE49-F238E27FC236}">
                  <a16:creationId xmlns:a16="http://schemas.microsoft.com/office/drawing/2014/main" id="{83C9FD20-C4A5-45F3-9E21-AD188B60F1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6E094D8" w14:textId="144B8C77" w:rsidR="008E1F87" w:rsidRPr="00D57DF3" w:rsidRDefault="008E1F87" w:rsidP="008E1F87">
      <w:pPr>
        <w:jc w:val="both"/>
        <w:rPr>
          <w:rFonts w:ascii="Times New Roman" w:hAnsi="Times New Roman" w:cs="Times New Roman"/>
          <w:b/>
          <w:bCs/>
          <w:sz w:val="24"/>
          <w:szCs w:val="24"/>
        </w:rPr>
      </w:pPr>
      <w:r>
        <w:rPr>
          <w:rFonts w:ascii="Times New Roman" w:hAnsi="Times New Roman" w:cs="Times New Roman"/>
          <w:b/>
          <w:bCs/>
          <w:sz w:val="24"/>
          <w:szCs w:val="24"/>
        </w:rPr>
        <w:t xml:space="preserve">Fig 1. </w:t>
      </w:r>
      <w:r w:rsidRPr="00D57DF3">
        <w:rPr>
          <w:rFonts w:ascii="Times New Roman" w:hAnsi="Times New Roman" w:cs="Times New Roman"/>
          <w:b/>
          <w:bCs/>
          <w:i/>
          <w:iCs/>
          <w:sz w:val="24"/>
          <w:szCs w:val="24"/>
        </w:rPr>
        <w:t>Difference in the level of awareness towards sustainable development based on gender</w:t>
      </w:r>
    </w:p>
    <w:p w14:paraId="233DB375" w14:textId="10BAE35C" w:rsidR="008E1F87" w:rsidRDefault="008E1F87" w:rsidP="00D57DF3">
      <w:pPr>
        <w:jc w:val="both"/>
        <w:rPr>
          <w:rFonts w:ascii="Times New Roman" w:hAnsi="Times New Roman" w:cs="Times New Roman"/>
          <w:b/>
          <w:bCs/>
          <w:sz w:val="24"/>
          <w:szCs w:val="24"/>
        </w:rPr>
      </w:pPr>
    </w:p>
    <w:p w14:paraId="73E03C8F" w14:textId="57F26A8C" w:rsidR="00D57DF3" w:rsidRPr="00D57DF3" w:rsidRDefault="00D57DF3" w:rsidP="00D57DF3">
      <w:pPr>
        <w:jc w:val="both"/>
        <w:rPr>
          <w:rFonts w:ascii="Times New Roman" w:hAnsi="Times New Roman" w:cs="Times New Roman"/>
          <w:b/>
          <w:bCs/>
          <w:sz w:val="24"/>
          <w:szCs w:val="24"/>
        </w:rPr>
      </w:pPr>
      <w:r w:rsidRPr="00D57DF3">
        <w:rPr>
          <w:rFonts w:ascii="Times New Roman" w:hAnsi="Times New Roman" w:cs="Times New Roman"/>
          <w:b/>
          <w:bCs/>
          <w:sz w:val="24"/>
          <w:szCs w:val="24"/>
        </w:rPr>
        <w:t>3.1.2 Awareness of Sustainable Development Based on Academic Stream</w:t>
      </w:r>
    </w:p>
    <w:p w14:paraId="7C8037FA" w14:textId="77777777" w:rsidR="00D57DF3" w:rsidRPr="00D57DF3" w:rsidRDefault="00D57DF3" w:rsidP="00D57DF3">
      <w:pPr>
        <w:jc w:val="both"/>
        <w:rPr>
          <w:rFonts w:ascii="Arial" w:hAnsi="Arial" w:cs="Arial"/>
          <w:b/>
          <w:bCs/>
          <w:sz w:val="20"/>
          <w:szCs w:val="20"/>
        </w:rPr>
      </w:pPr>
      <w:r w:rsidRPr="00D57DF3">
        <w:rPr>
          <w:rFonts w:ascii="Arial" w:hAnsi="Arial" w:cs="Arial"/>
          <w:b/>
          <w:bCs/>
          <w:sz w:val="20"/>
          <w:szCs w:val="20"/>
        </w:rPr>
        <w:t>Arts and Science Streams</w:t>
      </w:r>
    </w:p>
    <w:p w14:paraId="5DF05FBD" w14:textId="77777777" w:rsidR="00D57DF3" w:rsidRPr="00D57DF3" w:rsidRDefault="00D57DF3" w:rsidP="00D57DF3">
      <w:pPr>
        <w:jc w:val="both"/>
        <w:rPr>
          <w:rFonts w:ascii="Arial" w:hAnsi="Arial" w:cs="Arial"/>
          <w:sz w:val="20"/>
          <w:szCs w:val="20"/>
        </w:rPr>
      </w:pPr>
      <w:r w:rsidRPr="00D57DF3">
        <w:rPr>
          <w:rFonts w:ascii="Arial" w:hAnsi="Arial" w:cs="Arial"/>
          <w:sz w:val="20"/>
          <w:szCs w:val="20"/>
        </w:rPr>
        <w:lastRenderedPageBreak/>
        <w:t>Arts stream students (</w:t>
      </w:r>
      <w:r w:rsidRPr="00D57DF3">
        <w:rPr>
          <w:rFonts w:ascii="Arial" w:hAnsi="Arial" w:cs="Arial"/>
          <w:i/>
          <w:iCs/>
          <w:sz w:val="20"/>
          <w:szCs w:val="20"/>
        </w:rPr>
        <w:t>n</w:t>
      </w:r>
      <w:r w:rsidRPr="00D57DF3">
        <w:rPr>
          <w:rFonts w:ascii="Arial" w:hAnsi="Arial" w:cs="Arial"/>
          <w:sz w:val="20"/>
          <w:szCs w:val="20"/>
        </w:rPr>
        <w:t xml:space="preserve"> = 50) had a mean awareness score of 76.22 (SD = 8.54), whereas Science stream students (</w:t>
      </w:r>
      <w:r w:rsidRPr="00D57DF3">
        <w:rPr>
          <w:rFonts w:ascii="Arial" w:hAnsi="Arial" w:cs="Arial"/>
          <w:i/>
          <w:iCs/>
          <w:sz w:val="20"/>
          <w:szCs w:val="20"/>
        </w:rPr>
        <w:t>n</w:t>
      </w:r>
      <w:r w:rsidRPr="00D57DF3">
        <w:rPr>
          <w:rFonts w:ascii="Arial" w:hAnsi="Arial" w:cs="Arial"/>
          <w:sz w:val="20"/>
          <w:szCs w:val="20"/>
        </w:rPr>
        <w:t xml:space="preserve"> = 50) recorded a slightly higher mean score of 76.66 (SD = 9.98). The difference between the two groups was not statistically significant (</w:t>
      </w:r>
      <w:r w:rsidRPr="00D57DF3">
        <w:rPr>
          <w:rFonts w:ascii="Arial" w:hAnsi="Arial" w:cs="Arial"/>
          <w:i/>
          <w:iCs/>
          <w:sz w:val="20"/>
          <w:szCs w:val="20"/>
        </w:rPr>
        <w:t>t</w:t>
      </w:r>
      <w:r w:rsidRPr="00D57DF3">
        <w:rPr>
          <w:rFonts w:ascii="Arial" w:hAnsi="Arial" w:cs="Arial"/>
          <w:sz w:val="20"/>
          <w:szCs w:val="20"/>
        </w:rPr>
        <w:t xml:space="preserve"> = –0.24, </w:t>
      </w:r>
      <w:r w:rsidRPr="00D57DF3">
        <w:rPr>
          <w:rFonts w:ascii="Arial" w:hAnsi="Arial" w:cs="Arial"/>
          <w:i/>
          <w:iCs/>
          <w:sz w:val="20"/>
          <w:szCs w:val="20"/>
        </w:rPr>
        <w:t>P</w:t>
      </w:r>
      <w:r w:rsidRPr="00D57DF3">
        <w:rPr>
          <w:rFonts w:ascii="Arial" w:hAnsi="Arial" w:cs="Arial"/>
          <w:sz w:val="20"/>
          <w:szCs w:val="20"/>
        </w:rPr>
        <w:t xml:space="preserve"> = .81) at the 0.05 level (Table 2).</w:t>
      </w:r>
    </w:p>
    <w:p w14:paraId="6995C17B" w14:textId="5E74C429" w:rsidR="00D57DF3" w:rsidRPr="000A3D85" w:rsidRDefault="00D57DF3" w:rsidP="00D57DF3">
      <w:pPr>
        <w:jc w:val="both"/>
        <w:rPr>
          <w:rFonts w:ascii="Arial" w:hAnsi="Arial" w:cs="Arial"/>
          <w:b/>
          <w:bCs/>
          <w:i/>
          <w:iCs/>
          <w:sz w:val="20"/>
          <w:szCs w:val="20"/>
        </w:rPr>
      </w:pPr>
      <w:r w:rsidRPr="00D57DF3">
        <w:rPr>
          <w:rFonts w:ascii="Arial" w:hAnsi="Arial" w:cs="Arial"/>
          <w:b/>
          <w:bCs/>
          <w:i/>
          <w:iCs/>
          <w:sz w:val="20"/>
          <w:szCs w:val="20"/>
        </w:rPr>
        <w:t xml:space="preserve">(Table 2: </w:t>
      </w:r>
      <w:r w:rsidRPr="00D57DF3">
        <w:rPr>
          <w:rFonts w:ascii="Arial" w:hAnsi="Arial" w:cs="Arial"/>
          <w:i/>
          <w:iCs/>
          <w:sz w:val="20"/>
          <w:szCs w:val="20"/>
        </w:rPr>
        <w:t>Difference in the level of awareness towards sustainable development between Arts and Science students</w:t>
      </w:r>
    </w:p>
    <w:tbl>
      <w:tblPr>
        <w:tblW w:w="9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092"/>
        <w:gridCol w:w="516"/>
        <w:gridCol w:w="866"/>
        <w:gridCol w:w="1268"/>
        <w:gridCol w:w="1413"/>
        <w:gridCol w:w="1268"/>
        <w:gridCol w:w="1581"/>
      </w:tblGrid>
      <w:tr w:rsidR="008E1F87" w:rsidRPr="00D178ED" w14:paraId="04D3070F" w14:textId="77777777" w:rsidTr="008E1F87">
        <w:trPr>
          <w:trHeight w:val="159"/>
        </w:trPr>
        <w:tc>
          <w:tcPr>
            <w:tcW w:w="1654" w:type="dxa"/>
            <w:vMerge w:val="restart"/>
            <w:tcBorders>
              <w:top w:val="single" w:sz="4" w:space="0" w:color="auto"/>
              <w:left w:val="single" w:sz="4" w:space="0" w:color="auto"/>
              <w:bottom w:val="single" w:sz="4" w:space="0" w:color="auto"/>
              <w:right w:val="single" w:sz="4" w:space="0" w:color="auto"/>
            </w:tcBorders>
          </w:tcPr>
          <w:p w14:paraId="765C632E" w14:textId="77777777" w:rsidR="008E1F87" w:rsidRPr="00D178ED" w:rsidRDefault="008E1F87" w:rsidP="00AC24FC">
            <w:pPr>
              <w:pStyle w:val="BodyText2"/>
            </w:pPr>
          </w:p>
          <w:p w14:paraId="5155CFD9" w14:textId="77777777" w:rsidR="008E1F87" w:rsidRPr="00D178ED" w:rsidRDefault="008E1F87" w:rsidP="00AC24FC">
            <w:pPr>
              <w:pStyle w:val="BodyText2"/>
            </w:pPr>
          </w:p>
          <w:p w14:paraId="6413A6A6" w14:textId="77777777" w:rsidR="008E1F87" w:rsidRPr="00D178ED" w:rsidRDefault="008E1F87" w:rsidP="00AC24FC">
            <w:pPr>
              <w:pStyle w:val="BodyText2"/>
            </w:pPr>
          </w:p>
          <w:p w14:paraId="60ED20F1" w14:textId="77777777" w:rsidR="008E1F87" w:rsidRPr="00D178ED" w:rsidRDefault="008E1F87" w:rsidP="00AC24FC">
            <w:pPr>
              <w:pStyle w:val="BodyText2"/>
            </w:pPr>
            <w:r w:rsidRPr="00D178ED">
              <w:t>Level of awareness towards sustainable development</w:t>
            </w:r>
          </w:p>
          <w:p w14:paraId="0415BA4F" w14:textId="77777777" w:rsidR="008E1F87" w:rsidRPr="00D178ED" w:rsidRDefault="008E1F87" w:rsidP="00AC24FC">
            <w:pPr>
              <w:pStyle w:val="BodyText2"/>
            </w:pPr>
          </w:p>
          <w:p w14:paraId="50992CBC" w14:textId="77777777" w:rsidR="008E1F87" w:rsidRPr="00D178ED" w:rsidRDefault="008E1F87" w:rsidP="00AC24FC">
            <w:pPr>
              <w:pStyle w:val="BodyText2"/>
            </w:pPr>
          </w:p>
          <w:p w14:paraId="1F55FF71" w14:textId="77777777" w:rsidR="008E1F87" w:rsidRPr="00D178ED" w:rsidRDefault="008E1F87" w:rsidP="00AC24FC">
            <w:pPr>
              <w:pStyle w:val="BodyText2"/>
            </w:pPr>
          </w:p>
        </w:tc>
        <w:tc>
          <w:tcPr>
            <w:tcW w:w="1092" w:type="dxa"/>
            <w:tcBorders>
              <w:top w:val="single" w:sz="4" w:space="0" w:color="auto"/>
              <w:left w:val="single" w:sz="4" w:space="0" w:color="auto"/>
              <w:bottom w:val="single" w:sz="4" w:space="0" w:color="auto"/>
              <w:right w:val="single" w:sz="4" w:space="0" w:color="auto"/>
            </w:tcBorders>
          </w:tcPr>
          <w:p w14:paraId="41354F0B" w14:textId="77777777" w:rsidR="008E1F87" w:rsidRPr="00D178ED" w:rsidRDefault="008E1F87" w:rsidP="00AC24FC">
            <w:pPr>
              <w:pStyle w:val="BodyText2"/>
            </w:pPr>
            <w:r w:rsidRPr="00D178ED">
              <w:t>Stream</w:t>
            </w:r>
          </w:p>
        </w:tc>
        <w:tc>
          <w:tcPr>
            <w:tcW w:w="516" w:type="dxa"/>
            <w:tcBorders>
              <w:top w:val="single" w:sz="4" w:space="0" w:color="auto"/>
              <w:left w:val="single" w:sz="4" w:space="0" w:color="auto"/>
              <w:bottom w:val="single" w:sz="4" w:space="0" w:color="auto"/>
              <w:right w:val="single" w:sz="4" w:space="0" w:color="auto"/>
            </w:tcBorders>
          </w:tcPr>
          <w:p w14:paraId="35262D4B" w14:textId="77777777" w:rsidR="008E1F87" w:rsidRPr="00D178ED" w:rsidRDefault="008E1F87" w:rsidP="00AC24FC">
            <w:pPr>
              <w:pStyle w:val="BodyText2"/>
            </w:pPr>
            <w:r w:rsidRPr="00D178ED">
              <w:t>N</w:t>
            </w:r>
          </w:p>
        </w:tc>
        <w:tc>
          <w:tcPr>
            <w:tcW w:w="866" w:type="dxa"/>
            <w:tcBorders>
              <w:top w:val="single" w:sz="4" w:space="0" w:color="auto"/>
              <w:left w:val="single" w:sz="4" w:space="0" w:color="auto"/>
              <w:bottom w:val="single" w:sz="4" w:space="0" w:color="auto"/>
              <w:right w:val="single" w:sz="4" w:space="0" w:color="auto"/>
            </w:tcBorders>
          </w:tcPr>
          <w:p w14:paraId="14A456FD" w14:textId="77777777" w:rsidR="008E1F87" w:rsidRPr="00D178ED" w:rsidRDefault="008E1F87" w:rsidP="00AC24FC">
            <w:pPr>
              <w:pStyle w:val="BodyText2"/>
            </w:pPr>
            <w:r w:rsidRPr="00D178ED">
              <w:t>Mean</w:t>
            </w:r>
          </w:p>
        </w:tc>
        <w:tc>
          <w:tcPr>
            <w:tcW w:w="1268" w:type="dxa"/>
            <w:tcBorders>
              <w:top w:val="single" w:sz="4" w:space="0" w:color="auto"/>
              <w:left w:val="single" w:sz="4" w:space="0" w:color="auto"/>
              <w:bottom w:val="single" w:sz="4" w:space="0" w:color="auto"/>
              <w:right w:val="single" w:sz="4" w:space="0" w:color="auto"/>
            </w:tcBorders>
          </w:tcPr>
          <w:p w14:paraId="7FA9D8FC" w14:textId="77777777" w:rsidR="008E1F87" w:rsidRPr="00D178ED" w:rsidRDefault="008E1F87" w:rsidP="00AC24FC">
            <w:pPr>
              <w:pStyle w:val="BodyText2"/>
            </w:pPr>
            <w:r w:rsidRPr="00D178ED">
              <w:t>SD</w:t>
            </w:r>
          </w:p>
        </w:tc>
        <w:tc>
          <w:tcPr>
            <w:tcW w:w="1413" w:type="dxa"/>
            <w:tcBorders>
              <w:top w:val="single" w:sz="4" w:space="0" w:color="auto"/>
              <w:left w:val="single" w:sz="4" w:space="0" w:color="auto"/>
              <w:bottom w:val="single" w:sz="4" w:space="0" w:color="auto"/>
              <w:right w:val="single" w:sz="4" w:space="0" w:color="auto"/>
            </w:tcBorders>
          </w:tcPr>
          <w:p w14:paraId="31F63AC7" w14:textId="77777777" w:rsidR="008E1F87" w:rsidRPr="00D178ED" w:rsidRDefault="008E1F87" w:rsidP="00AC24FC">
            <w:pPr>
              <w:pStyle w:val="BodyText2"/>
            </w:pPr>
            <w:r w:rsidRPr="00D178ED">
              <w:t>Calculated t value</w:t>
            </w:r>
          </w:p>
        </w:tc>
        <w:tc>
          <w:tcPr>
            <w:tcW w:w="1268" w:type="dxa"/>
            <w:tcBorders>
              <w:top w:val="single" w:sz="4" w:space="0" w:color="auto"/>
              <w:left w:val="single" w:sz="4" w:space="0" w:color="auto"/>
              <w:bottom w:val="single" w:sz="4" w:space="0" w:color="auto"/>
              <w:right w:val="single" w:sz="4" w:space="0" w:color="auto"/>
            </w:tcBorders>
          </w:tcPr>
          <w:p w14:paraId="4E39A841" w14:textId="77777777" w:rsidR="008E1F87" w:rsidRPr="00D178ED" w:rsidRDefault="008E1F87" w:rsidP="00AC24FC">
            <w:pPr>
              <w:pStyle w:val="BodyText2"/>
            </w:pPr>
            <w:r w:rsidRPr="00D178ED">
              <w:t>Table value</w:t>
            </w:r>
          </w:p>
        </w:tc>
        <w:tc>
          <w:tcPr>
            <w:tcW w:w="1581" w:type="dxa"/>
            <w:tcBorders>
              <w:top w:val="single" w:sz="4" w:space="0" w:color="auto"/>
              <w:left w:val="single" w:sz="4" w:space="0" w:color="auto"/>
              <w:bottom w:val="single" w:sz="4" w:space="0" w:color="auto"/>
              <w:right w:val="single" w:sz="4" w:space="0" w:color="auto"/>
            </w:tcBorders>
          </w:tcPr>
          <w:p w14:paraId="14F895CA" w14:textId="77777777" w:rsidR="008E1F87" w:rsidRPr="00D178ED" w:rsidRDefault="008E1F87" w:rsidP="00AC24FC">
            <w:pPr>
              <w:pStyle w:val="BodyText2"/>
            </w:pPr>
            <w:r w:rsidRPr="00D178ED">
              <w:t>Remarks at 5% level of significance</w:t>
            </w:r>
          </w:p>
          <w:p w14:paraId="1F97277F" w14:textId="77777777" w:rsidR="008E1F87" w:rsidRPr="00D178ED" w:rsidRDefault="008E1F87" w:rsidP="00AC24FC">
            <w:pPr>
              <w:pStyle w:val="BodyText2"/>
            </w:pPr>
          </w:p>
        </w:tc>
      </w:tr>
      <w:tr w:rsidR="008E1F87" w:rsidRPr="00D178ED" w14:paraId="6FA67657" w14:textId="77777777" w:rsidTr="008E1F87">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8EB6" w14:textId="77777777" w:rsidR="008E1F87" w:rsidRPr="00D178ED" w:rsidRDefault="008E1F87" w:rsidP="00AC24FC">
            <w:pPr>
              <w:pStyle w:val="BodyText2"/>
            </w:pPr>
          </w:p>
        </w:tc>
        <w:tc>
          <w:tcPr>
            <w:tcW w:w="1092" w:type="dxa"/>
            <w:tcBorders>
              <w:top w:val="single" w:sz="4" w:space="0" w:color="auto"/>
              <w:left w:val="single" w:sz="4" w:space="0" w:color="auto"/>
              <w:bottom w:val="single" w:sz="4" w:space="0" w:color="auto"/>
              <w:right w:val="single" w:sz="4" w:space="0" w:color="auto"/>
            </w:tcBorders>
          </w:tcPr>
          <w:p w14:paraId="78E9A1CC" w14:textId="77777777" w:rsidR="008E1F87" w:rsidRPr="00D178ED" w:rsidRDefault="008E1F87" w:rsidP="00AC24FC">
            <w:pPr>
              <w:pStyle w:val="BodyText2"/>
            </w:pPr>
            <w:r w:rsidRPr="00D178ED">
              <w:t>Arts</w:t>
            </w:r>
          </w:p>
          <w:p w14:paraId="35F10C77" w14:textId="77777777" w:rsidR="008E1F87" w:rsidRPr="00D178ED" w:rsidRDefault="008E1F87" w:rsidP="00AC24FC">
            <w:pPr>
              <w:pStyle w:val="BodyText2"/>
            </w:pPr>
          </w:p>
          <w:p w14:paraId="7B7806B8" w14:textId="77777777" w:rsidR="008E1F87" w:rsidRPr="00D178ED" w:rsidRDefault="008E1F87" w:rsidP="00AC24FC">
            <w:pPr>
              <w:pStyle w:val="BodyText2"/>
            </w:pPr>
          </w:p>
        </w:tc>
        <w:tc>
          <w:tcPr>
            <w:tcW w:w="516" w:type="dxa"/>
            <w:tcBorders>
              <w:top w:val="single" w:sz="4" w:space="0" w:color="auto"/>
              <w:left w:val="single" w:sz="4" w:space="0" w:color="auto"/>
              <w:bottom w:val="single" w:sz="4" w:space="0" w:color="auto"/>
              <w:right w:val="single" w:sz="4" w:space="0" w:color="auto"/>
            </w:tcBorders>
          </w:tcPr>
          <w:p w14:paraId="46A6CAB6" w14:textId="77777777" w:rsidR="008E1F87" w:rsidRPr="00D178ED" w:rsidRDefault="008E1F87" w:rsidP="00AC24FC">
            <w:pPr>
              <w:pStyle w:val="BodyText2"/>
            </w:pPr>
            <w:r w:rsidRPr="00D178ED">
              <w:t>50</w:t>
            </w:r>
          </w:p>
        </w:tc>
        <w:tc>
          <w:tcPr>
            <w:tcW w:w="866" w:type="dxa"/>
            <w:tcBorders>
              <w:top w:val="single" w:sz="4" w:space="0" w:color="auto"/>
              <w:left w:val="single" w:sz="4" w:space="0" w:color="auto"/>
              <w:bottom w:val="single" w:sz="4" w:space="0" w:color="auto"/>
              <w:right w:val="single" w:sz="4" w:space="0" w:color="auto"/>
            </w:tcBorders>
          </w:tcPr>
          <w:p w14:paraId="07BB8A5A" w14:textId="77777777" w:rsidR="008E1F87" w:rsidRPr="00D178ED" w:rsidRDefault="008E1F87" w:rsidP="00AC24FC">
            <w:pPr>
              <w:pStyle w:val="BodyText2"/>
            </w:pPr>
            <w:r w:rsidRPr="00D178ED">
              <w:t>76.22</w:t>
            </w:r>
          </w:p>
        </w:tc>
        <w:tc>
          <w:tcPr>
            <w:tcW w:w="1268" w:type="dxa"/>
            <w:tcBorders>
              <w:top w:val="single" w:sz="4" w:space="0" w:color="auto"/>
              <w:left w:val="single" w:sz="4" w:space="0" w:color="auto"/>
              <w:bottom w:val="single" w:sz="4" w:space="0" w:color="auto"/>
              <w:right w:val="single" w:sz="4" w:space="0" w:color="auto"/>
            </w:tcBorders>
          </w:tcPr>
          <w:p w14:paraId="40B75731" w14:textId="77777777" w:rsidR="008E1F87" w:rsidRPr="00D178ED" w:rsidRDefault="008E1F87" w:rsidP="00AC24FC">
            <w:pPr>
              <w:pStyle w:val="BodyText2"/>
            </w:pPr>
            <w:r w:rsidRPr="00D178ED">
              <w:t>8.538723</w:t>
            </w:r>
          </w:p>
        </w:tc>
        <w:tc>
          <w:tcPr>
            <w:tcW w:w="1413" w:type="dxa"/>
            <w:vMerge w:val="restart"/>
            <w:tcBorders>
              <w:top w:val="single" w:sz="4" w:space="0" w:color="auto"/>
              <w:left w:val="single" w:sz="4" w:space="0" w:color="auto"/>
              <w:bottom w:val="single" w:sz="4" w:space="0" w:color="auto"/>
              <w:right w:val="single" w:sz="4" w:space="0" w:color="auto"/>
            </w:tcBorders>
          </w:tcPr>
          <w:p w14:paraId="5498CAFE" w14:textId="77777777" w:rsidR="008E1F87" w:rsidRPr="00D178ED" w:rsidRDefault="008E1F87" w:rsidP="00AC24FC">
            <w:pPr>
              <w:pStyle w:val="BodyText2"/>
            </w:pPr>
            <w:r w:rsidRPr="00D178ED">
              <w:t>-0.23687</w:t>
            </w:r>
          </w:p>
        </w:tc>
        <w:tc>
          <w:tcPr>
            <w:tcW w:w="1268" w:type="dxa"/>
            <w:vMerge w:val="restart"/>
            <w:tcBorders>
              <w:top w:val="single" w:sz="4" w:space="0" w:color="auto"/>
              <w:left w:val="single" w:sz="4" w:space="0" w:color="auto"/>
              <w:bottom w:val="single" w:sz="4" w:space="0" w:color="auto"/>
              <w:right w:val="single" w:sz="4" w:space="0" w:color="auto"/>
            </w:tcBorders>
          </w:tcPr>
          <w:p w14:paraId="04B04419" w14:textId="77777777" w:rsidR="008E1F87" w:rsidRPr="00D178ED" w:rsidRDefault="008E1F87" w:rsidP="00AC24FC">
            <w:pPr>
              <w:pStyle w:val="BodyText2"/>
            </w:pPr>
            <w:r w:rsidRPr="00D178ED">
              <w:t>1.984467</w:t>
            </w:r>
          </w:p>
        </w:tc>
        <w:tc>
          <w:tcPr>
            <w:tcW w:w="1581" w:type="dxa"/>
            <w:vMerge w:val="restart"/>
            <w:tcBorders>
              <w:top w:val="single" w:sz="4" w:space="0" w:color="auto"/>
              <w:left w:val="single" w:sz="4" w:space="0" w:color="auto"/>
              <w:bottom w:val="single" w:sz="4" w:space="0" w:color="auto"/>
              <w:right w:val="single" w:sz="4" w:space="0" w:color="auto"/>
            </w:tcBorders>
          </w:tcPr>
          <w:p w14:paraId="7931340B" w14:textId="77777777" w:rsidR="008E1F87" w:rsidRPr="00D178ED" w:rsidRDefault="008E1F87" w:rsidP="00AC24FC">
            <w:pPr>
              <w:pStyle w:val="BodyText2"/>
            </w:pPr>
            <w:r w:rsidRPr="00D178ED">
              <w:t>Not Significant</w:t>
            </w:r>
          </w:p>
        </w:tc>
      </w:tr>
      <w:tr w:rsidR="008E1F87" w:rsidRPr="00D178ED" w14:paraId="6331FD1D" w14:textId="77777777" w:rsidTr="008E1F87">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6DA9E" w14:textId="77777777" w:rsidR="008E1F87" w:rsidRPr="00D178ED" w:rsidRDefault="008E1F87" w:rsidP="00AC24FC">
            <w:pPr>
              <w:pStyle w:val="BodyText2"/>
            </w:pPr>
          </w:p>
        </w:tc>
        <w:tc>
          <w:tcPr>
            <w:tcW w:w="1092" w:type="dxa"/>
            <w:tcBorders>
              <w:top w:val="single" w:sz="4" w:space="0" w:color="auto"/>
              <w:left w:val="single" w:sz="4" w:space="0" w:color="auto"/>
              <w:bottom w:val="single" w:sz="4" w:space="0" w:color="auto"/>
              <w:right w:val="single" w:sz="4" w:space="0" w:color="auto"/>
            </w:tcBorders>
          </w:tcPr>
          <w:p w14:paraId="67CDD8B5" w14:textId="77777777" w:rsidR="008E1F87" w:rsidRPr="00D178ED" w:rsidRDefault="008E1F87" w:rsidP="00AC24FC">
            <w:pPr>
              <w:pStyle w:val="BodyText2"/>
            </w:pPr>
            <w:r w:rsidRPr="00D178ED">
              <w:t>Science</w:t>
            </w:r>
          </w:p>
        </w:tc>
        <w:tc>
          <w:tcPr>
            <w:tcW w:w="516" w:type="dxa"/>
            <w:tcBorders>
              <w:top w:val="single" w:sz="4" w:space="0" w:color="auto"/>
              <w:left w:val="single" w:sz="4" w:space="0" w:color="auto"/>
              <w:bottom w:val="single" w:sz="4" w:space="0" w:color="auto"/>
              <w:right w:val="single" w:sz="4" w:space="0" w:color="auto"/>
            </w:tcBorders>
          </w:tcPr>
          <w:p w14:paraId="5EFF7483" w14:textId="77777777" w:rsidR="008E1F87" w:rsidRPr="00D178ED" w:rsidRDefault="008E1F87" w:rsidP="00AC24FC">
            <w:pPr>
              <w:pStyle w:val="BodyText2"/>
            </w:pPr>
            <w:r w:rsidRPr="00D178ED">
              <w:t>50</w:t>
            </w:r>
          </w:p>
        </w:tc>
        <w:tc>
          <w:tcPr>
            <w:tcW w:w="866" w:type="dxa"/>
            <w:tcBorders>
              <w:top w:val="single" w:sz="4" w:space="0" w:color="auto"/>
              <w:left w:val="single" w:sz="4" w:space="0" w:color="auto"/>
              <w:bottom w:val="single" w:sz="4" w:space="0" w:color="auto"/>
              <w:right w:val="single" w:sz="4" w:space="0" w:color="auto"/>
            </w:tcBorders>
          </w:tcPr>
          <w:p w14:paraId="0925C0DA" w14:textId="77777777" w:rsidR="008E1F87" w:rsidRPr="00D178ED" w:rsidRDefault="008E1F87" w:rsidP="00AC24FC">
            <w:pPr>
              <w:pStyle w:val="BodyText2"/>
            </w:pPr>
            <w:r w:rsidRPr="00D178ED">
              <w:t>76.66</w:t>
            </w:r>
          </w:p>
        </w:tc>
        <w:tc>
          <w:tcPr>
            <w:tcW w:w="1268" w:type="dxa"/>
            <w:tcBorders>
              <w:top w:val="single" w:sz="4" w:space="0" w:color="auto"/>
              <w:left w:val="single" w:sz="4" w:space="0" w:color="auto"/>
              <w:bottom w:val="single" w:sz="4" w:space="0" w:color="auto"/>
              <w:right w:val="single" w:sz="4" w:space="0" w:color="auto"/>
            </w:tcBorders>
          </w:tcPr>
          <w:p w14:paraId="086416F5" w14:textId="77777777" w:rsidR="008E1F87" w:rsidRPr="00D178ED" w:rsidRDefault="008E1F87" w:rsidP="00AC24FC">
            <w:pPr>
              <w:pStyle w:val="BodyText2"/>
            </w:pPr>
            <w:r w:rsidRPr="00D178ED">
              <w:t>9.980818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16B7B" w14:textId="77777777" w:rsidR="008E1F87" w:rsidRPr="00D178ED" w:rsidRDefault="008E1F87" w:rsidP="00AC24FC">
            <w:pPr>
              <w:pStyle w:val="BodyText2"/>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5032F" w14:textId="77777777" w:rsidR="008E1F87" w:rsidRPr="00D178ED" w:rsidRDefault="008E1F87" w:rsidP="00AC24FC">
            <w:pPr>
              <w:pStyle w:val="BodyText2"/>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7F014" w14:textId="77777777" w:rsidR="008E1F87" w:rsidRPr="00D178ED" w:rsidRDefault="008E1F87" w:rsidP="00AC24FC">
            <w:pPr>
              <w:pStyle w:val="BodyText2"/>
            </w:pPr>
          </w:p>
        </w:tc>
      </w:tr>
    </w:tbl>
    <w:p w14:paraId="268278AE" w14:textId="77777777" w:rsidR="008E1F87" w:rsidRDefault="008E1F87" w:rsidP="00D57DF3">
      <w:pPr>
        <w:jc w:val="both"/>
        <w:rPr>
          <w:rFonts w:ascii="Times New Roman" w:hAnsi="Times New Roman" w:cs="Times New Roman"/>
          <w:b/>
          <w:bCs/>
          <w:sz w:val="24"/>
          <w:szCs w:val="24"/>
        </w:rPr>
      </w:pPr>
    </w:p>
    <w:p w14:paraId="4ACF35C0" w14:textId="77777777" w:rsidR="008E1F87" w:rsidRPr="000A3D85" w:rsidRDefault="008E1F87" w:rsidP="008E1F87">
      <w:pPr>
        <w:pStyle w:val="BodyText2"/>
        <w:rPr>
          <w:rFonts w:ascii="Arial" w:hAnsi="Arial" w:cs="Arial"/>
          <w:sz w:val="20"/>
          <w:szCs w:val="20"/>
          <w:lang w:val="en-US"/>
        </w:rPr>
      </w:pPr>
      <w:r w:rsidRPr="000A3D85">
        <w:rPr>
          <w:rFonts w:ascii="Arial" w:hAnsi="Arial" w:cs="Arial"/>
          <w:sz w:val="20"/>
          <w:szCs w:val="20"/>
          <w:lang w:val="en-US"/>
        </w:rPr>
        <w:t>For a better understanding of the researcher who made the bar graphs, they are discussed below.</w:t>
      </w:r>
    </w:p>
    <w:p w14:paraId="739CA443" w14:textId="10CE4D83" w:rsidR="008E1F87" w:rsidRDefault="008E1F87" w:rsidP="00D57DF3">
      <w:pPr>
        <w:jc w:val="both"/>
        <w:rPr>
          <w:rFonts w:ascii="Times New Roman" w:hAnsi="Times New Roman" w:cs="Times New Roman"/>
          <w:b/>
          <w:bCs/>
          <w:sz w:val="24"/>
          <w:szCs w:val="24"/>
        </w:rPr>
      </w:pPr>
      <w:r w:rsidRPr="00D178ED">
        <w:rPr>
          <w:noProof/>
          <w:lang w:val="en-US"/>
        </w:rPr>
        <w:drawing>
          <wp:inline distT="0" distB="0" distL="0" distR="0" wp14:anchorId="55804AD8" wp14:editId="35C41969">
            <wp:extent cx="5448300" cy="3041650"/>
            <wp:effectExtent l="0" t="0" r="0" b="6350"/>
            <wp:docPr id="618151411" name="Chart 6">
              <a:extLst xmlns:a="http://schemas.openxmlformats.org/drawingml/2006/main">
                <a:ext uri="{FF2B5EF4-FFF2-40B4-BE49-F238E27FC236}">
                  <a16:creationId xmlns:a16="http://schemas.microsoft.com/office/drawing/2014/main" id="{B9F85C42-BD73-4DF8-934F-29E3592181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FD0131" w14:textId="1ECCD6E0" w:rsidR="008E1F87" w:rsidRPr="000A3D85" w:rsidRDefault="008E1F87" w:rsidP="00D57DF3">
      <w:pPr>
        <w:jc w:val="both"/>
        <w:rPr>
          <w:rFonts w:ascii="Arial" w:hAnsi="Arial" w:cs="Arial"/>
          <w:b/>
          <w:bCs/>
          <w:sz w:val="20"/>
          <w:szCs w:val="20"/>
        </w:rPr>
      </w:pPr>
      <w:r>
        <w:rPr>
          <w:rFonts w:ascii="Times New Roman" w:hAnsi="Times New Roman" w:cs="Times New Roman"/>
          <w:b/>
          <w:bCs/>
          <w:sz w:val="24"/>
          <w:szCs w:val="24"/>
        </w:rPr>
        <w:t>Fig</w:t>
      </w:r>
      <w:r w:rsidR="000A3D85">
        <w:rPr>
          <w:rFonts w:ascii="Times New Roman" w:hAnsi="Times New Roman" w:cs="Times New Roman"/>
          <w:b/>
          <w:bCs/>
          <w:sz w:val="24"/>
          <w:szCs w:val="24"/>
        </w:rPr>
        <w:t xml:space="preserve"> 2</w:t>
      </w:r>
      <w:r>
        <w:rPr>
          <w:rFonts w:ascii="Times New Roman" w:hAnsi="Times New Roman" w:cs="Times New Roman"/>
          <w:b/>
          <w:bCs/>
          <w:sz w:val="24"/>
          <w:szCs w:val="24"/>
        </w:rPr>
        <w:t xml:space="preserve">: </w:t>
      </w:r>
      <w:r w:rsidRPr="00D57DF3">
        <w:rPr>
          <w:rFonts w:ascii="Arial" w:hAnsi="Arial" w:cs="Arial"/>
          <w:i/>
          <w:iCs/>
          <w:sz w:val="20"/>
          <w:szCs w:val="20"/>
        </w:rPr>
        <w:t>Difference in the level of awareness towards sustainable development between Arts and Science students</w:t>
      </w:r>
    </w:p>
    <w:p w14:paraId="312C7423" w14:textId="77777777" w:rsidR="00D57DF3" w:rsidRPr="00D57DF3" w:rsidRDefault="00D57DF3" w:rsidP="00D57DF3">
      <w:pPr>
        <w:jc w:val="both"/>
        <w:rPr>
          <w:rFonts w:ascii="Arial" w:hAnsi="Arial" w:cs="Arial"/>
          <w:b/>
          <w:bCs/>
          <w:sz w:val="20"/>
          <w:szCs w:val="20"/>
        </w:rPr>
      </w:pPr>
      <w:r w:rsidRPr="00D57DF3">
        <w:rPr>
          <w:rFonts w:ascii="Arial" w:hAnsi="Arial" w:cs="Arial"/>
          <w:b/>
          <w:bCs/>
          <w:sz w:val="20"/>
          <w:szCs w:val="20"/>
        </w:rPr>
        <w:t>Arts and Commerce Streams</w:t>
      </w:r>
    </w:p>
    <w:p w14:paraId="11701E23" w14:textId="77777777" w:rsidR="00D57DF3" w:rsidRPr="00D57DF3" w:rsidRDefault="00D57DF3" w:rsidP="00D57DF3">
      <w:pPr>
        <w:jc w:val="both"/>
        <w:rPr>
          <w:rFonts w:ascii="Arial" w:hAnsi="Arial" w:cs="Arial"/>
          <w:sz w:val="20"/>
          <w:szCs w:val="20"/>
        </w:rPr>
      </w:pPr>
      <w:r w:rsidRPr="00D57DF3">
        <w:rPr>
          <w:rFonts w:ascii="Arial" w:hAnsi="Arial" w:cs="Arial"/>
          <w:sz w:val="20"/>
          <w:szCs w:val="20"/>
        </w:rPr>
        <w:t>The comparison between Arts (</w:t>
      </w:r>
      <w:r w:rsidRPr="00D57DF3">
        <w:rPr>
          <w:rFonts w:ascii="Arial" w:hAnsi="Arial" w:cs="Arial"/>
          <w:i/>
          <w:iCs/>
          <w:sz w:val="20"/>
          <w:szCs w:val="20"/>
        </w:rPr>
        <w:t>n</w:t>
      </w:r>
      <w:r w:rsidRPr="00D57DF3">
        <w:rPr>
          <w:rFonts w:ascii="Arial" w:hAnsi="Arial" w:cs="Arial"/>
          <w:sz w:val="20"/>
          <w:szCs w:val="20"/>
        </w:rPr>
        <w:t xml:space="preserve"> = 50; Mean = 76.22, SD = 8.54) and Commerce students (</w:t>
      </w:r>
      <w:r w:rsidRPr="00D57DF3">
        <w:rPr>
          <w:rFonts w:ascii="Arial" w:hAnsi="Arial" w:cs="Arial"/>
          <w:i/>
          <w:iCs/>
          <w:sz w:val="20"/>
          <w:szCs w:val="20"/>
        </w:rPr>
        <w:t>n</w:t>
      </w:r>
      <w:r w:rsidRPr="00D57DF3">
        <w:rPr>
          <w:rFonts w:ascii="Arial" w:hAnsi="Arial" w:cs="Arial"/>
          <w:sz w:val="20"/>
          <w:szCs w:val="20"/>
        </w:rPr>
        <w:t xml:space="preserve"> = 50; Mean = 76.32, SD = 12.19) showed negligible variation in awareness scores. The obtained </w:t>
      </w:r>
      <w:r w:rsidRPr="00D57DF3">
        <w:rPr>
          <w:rFonts w:ascii="Arial" w:hAnsi="Arial" w:cs="Arial"/>
          <w:i/>
          <w:iCs/>
          <w:sz w:val="20"/>
          <w:szCs w:val="20"/>
        </w:rPr>
        <w:t>t</w:t>
      </w:r>
      <w:r w:rsidRPr="00D57DF3">
        <w:rPr>
          <w:rFonts w:ascii="Arial" w:hAnsi="Arial" w:cs="Arial"/>
          <w:sz w:val="20"/>
          <w:szCs w:val="20"/>
        </w:rPr>
        <w:t>-value (–0.05) was not significant (</w:t>
      </w:r>
      <w:r w:rsidRPr="00D57DF3">
        <w:rPr>
          <w:rFonts w:ascii="Arial" w:hAnsi="Arial" w:cs="Arial"/>
          <w:i/>
          <w:iCs/>
          <w:sz w:val="20"/>
          <w:szCs w:val="20"/>
        </w:rPr>
        <w:t>P</w:t>
      </w:r>
      <w:r w:rsidRPr="00D57DF3">
        <w:rPr>
          <w:rFonts w:ascii="Arial" w:hAnsi="Arial" w:cs="Arial"/>
          <w:sz w:val="20"/>
          <w:szCs w:val="20"/>
        </w:rPr>
        <w:t xml:space="preserve"> = .96), confirming the absence of a meaningful difference (Table 3).</w:t>
      </w:r>
    </w:p>
    <w:p w14:paraId="1540D9C4" w14:textId="0452257C" w:rsidR="00D57DF3" w:rsidRPr="000A3D85" w:rsidRDefault="00D57DF3" w:rsidP="00D57DF3">
      <w:pPr>
        <w:jc w:val="both"/>
        <w:rPr>
          <w:rFonts w:ascii="Arial" w:hAnsi="Arial" w:cs="Arial"/>
          <w:b/>
          <w:bCs/>
          <w:i/>
          <w:iCs/>
          <w:sz w:val="20"/>
          <w:szCs w:val="20"/>
        </w:rPr>
      </w:pPr>
      <w:r w:rsidRPr="00D57DF3">
        <w:rPr>
          <w:rFonts w:ascii="Arial" w:hAnsi="Arial" w:cs="Arial"/>
          <w:b/>
          <w:bCs/>
          <w:i/>
          <w:iCs/>
          <w:sz w:val="20"/>
          <w:szCs w:val="20"/>
        </w:rPr>
        <w:lastRenderedPageBreak/>
        <w:t xml:space="preserve">Table 3: </w:t>
      </w:r>
      <w:r w:rsidRPr="00D57DF3">
        <w:rPr>
          <w:rFonts w:ascii="Arial" w:hAnsi="Arial" w:cs="Arial"/>
          <w:i/>
          <w:iCs/>
          <w:sz w:val="20"/>
          <w:szCs w:val="20"/>
        </w:rPr>
        <w:t>Difference in the level of awareness towards sustainable development between Arts and Commerce students</w:t>
      </w: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396"/>
        <w:gridCol w:w="502"/>
        <w:gridCol w:w="839"/>
        <w:gridCol w:w="1228"/>
        <w:gridCol w:w="1368"/>
        <w:gridCol w:w="1228"/>
        <w:gridCol w:w="1514"/>
      </w:tblGrid>
      <w:tr w:rsidR="00921DAA" w:rsidRPr="00D178ED" w14:paraId="705AEF3A" w14:textId="77777777" w:rsidTr="00AC24FC">
        <w:trPr>
          <w:trHeight w:val="416"/>
        </w:trPr>
        <w:tc>
          <w:tcPr>
            <w:tcW w:w="1602" w:type="dxa"/>
            <w:vMerge w:val="restart"/>
            <w:tcBorders>
              <w:top w:val="single" w:sz="4" w:space="0" w:color="auto"/>
              <w:left w:val="single" w:sz="4" w:space="0" w:color="auto"/>
              <w:bottom w:val="single" w:sz="4" w:space="0" w:color="auto"/>
              <w:right w:val="single" w:sz="4" w:space="0" w:color="auto"/>
            </w:tcBorders>
          </w:tcPr>
          <w:p w14:paraId="46840A91" w14:textId="77777777" w:rsidR="00921DAA" w:rsidRPr="00D178ED" w:rsidRDefault="00921DAA" w:rsidP="00AC24FC">
            <w:pPr>
              <w:pStyle w:val="BodyText2"/>
            </w:pPr>
          </w:p>
          <w:p w14:paraId="529643ED" w14:textId="77777777" w:rsidR="00921DAA" w:rsidRPr="00921DAA" w:rsidRDefault="00921DAA" w:rsidP="000A3D85">
            <w:pPr>
              <w:pStyle w:val="BodyText2"/>
              <w:jc w:val="left"/>
              <w:rPr>
                <w:b/>
                <w:bCs/>
              </w:rPr>
            </w:pPr>
            <w:r w:rsidRPr="00921DAA">
              <w:rPr>
                <w:b/>
                <w:bCs/>
              </w:rPr>
              <w:t>Level of awareness towards sustainable development</w:t>
            </w:r>
          </w:p>
          <w:p w14:paraId="69B8C079" w14:textId="77777777" w:rsidR="00921DAA" w:rsidRPr="00D178ED" w:rsidRDefault="00921DAA" w:rsidP="00AC24FC">
            <w:pPr>
              <w:pStyle w:val="BodyText2"/>
            </w:pPr>
          </w:p>
        </w:tc>
        <w:tc>
          <w:tcPr>
            <w:tcW w:w="1396" w:type="dxa"/>
            <w:tcBorders>
              <w:top w:val="single" w:sz="4" w:space="0" w:color="auto"/>
              <w:left w:val="single" w:sz="4" w:space="0" w:color="auto"/>
              <w:bottom w:val="single" w:sz="4" w:space="0" w:color="auto"/>
              <w:right w:val="single" w:sz="4" w:space="0" w:color="auto"/>
            </w:tcBorders>
          </w:tcPr>
          <w:p w14:paraId="6FBCD8F1" w14:textId="77777777" w:rsidR="00921DAA" w:rsidRPr="00921DAA" w:rsidRDefault="00921DAA" w:rsidP="00AC24FC">
            <w:pPr>
              <w:pStyle w:val="BodyText2"/>
              <w:rPr>
                <w:b/>
                <w:bCs/>
              </w:rPr>
            </w:pPr>
            <w:r w:rsidRPr="00921DAA">
              <w:rPr>
                <w:b/>
                <w:bCs/>
              </w:rPr>
              <w:t>Stream</w:t>
            </w:r>
          </w:p>
        </w:tc>
        <w:tc>
          <w:tcPr>
            <w:tcW w:w="502" w:type="dxa"/>
            <w:tcBorders>
              <w:top w:val="single" w:sz="4" w:space="0" w:color="auto"/>
              <w:left w:val="single" w:sz="4" w:space="0" w:color="auto"/>
              <w:bottom w:val="single" w:sz="4" w:space="0" w:color="auto"/>
              <w:right w:val="single" w:sz="4" w:space="0" w:color="auto"/>
            </w:tcBorders>
          </w:tcPr>
          <w:p w14:paraId="3ADB8079" w14:textId="77777777" w:rsidR="00921DAA" w:rsidRPr="00921DAA" w:rsidRDefault="00921DAA" w:rsidP="00AC24FC">
            <w:pPr>
              <w:pStyle w:val="BodyText2"/>
              <w:rPr>
                <w:b/>
                <w:bCs/>
              </w:rPr>
            </w:pPr>
            <w:r w:rsidRPr="00921DAA">
              <w:rPr>
                <w:b/>
                <w:bCs/>
              </w:rPr>
              <w:t>N</w:t>
            </w:r>
          </w:p>
        </w:tc>
        <w:tc>
          <w:tcPr>
            <w:tcW w:w="839" w:type="dxa"/>
            <w:tcBorders>
              <w:top w:val="single" w:sz="4" w:space="0" w:color="auto"/>
              <w:left w:val="single" w:sz="4" w:space="0" w:color="auto"/>
              <w:bottom w:val="single" w:sz="4" w:space="0" w:color="auto"/>
              <w:right w:val="single" w:sz="4" w:space="0" w:color="auto"/>
            </w:tcBorders>
          </w:tcPr>
          <w:p w14:paraId="11DC8397" w14:textId="77777777" w:rsidR="00921DAA" w:rsidRPr="00921DAA" w:rsidRDefault="00921DAA" w:rsidP="00AC24FC">
            <w:pPr>
              <w:pStyle w:val="BodyText2"/>
              <w:rPr>
                <w:b/>
                <w:bCs/>
              </w:rPr>
            </w:pPr>
            <w:r w:rsidRPr="00921DAA">
              <w:rPr>
                <w:b/>
                <w:bCs/>
              </w:rPr>
              <w:t>Mean</w:t>
            </w:r>
          </w:p>
        </w:tc>
        <w:tc>
          <w:tcPr>
            <w:tcW w:w="1228" w:type="dxa"/>
            <w:tcBorders>
              <w:top w:val="single" w:sz="4" w:space="0" w:color="auto"/>
              <w:left w:val="single" w:sz="4" w:space="0" w:color="auto"/>
              <w:bottom w:val="single" w:sz="4" w:space="0" w:color="auto"/>
              <w:right w:val="single" w:sz="4" w:space="0" w:color="auto"/>
            </w:tcBorders>
          </w:tcPr>
          <w:p w14:paraId="53B10555" w14:textId="77777777" w:rsidR="00921DAA" w:rsidRPr="00921DAA" w:rsidRDefault="00921DAA" w:rsidP="00AC24FC">
            <w:pPr>
              <w:pStyle w:val="BodyText2"/>
              <w:rPr>
                <w:b/>
                <w:bCs/>
              </w:rPr>
            </w:pPr>
            <w:r w:rsidRPr="00921DAA">
              <w:rPr>
                <w:b/>
                <w:bCs/>
              </w:rPr>
              <w:t>SD</w:t>
            </w:r>
          </w:p>
        </w:tc>
        <w:tc>
          <w:tcPr>
            <w:tcW w:w="1368" w:type="dxa"/>
            <w:tcBorders>
              <w:top w:val="single" w:sz="4" w:space="0" w:color="auto"/>
              <w:left w:val="single" w:sz="4" w:space="0" w:color="auto"/>
              <w:bottom w:val="single" w:sz="4" w:space="0" w:color="auto"/>
              <w:right w:val="single" w:sz="4" w:space="0" w:color="auto"/>
            </w:tcBorders>
          </w:tcPr>
          <w:p w14:paraId="492660AD" w14:textId="77777777" w:rsidR="00921DAA" w:rsidRPr="00921DAA" w:rsidRDefault="00921DAA" w:rsidP="00AC24FC">
            <w:pPr>
              <w:pStyle w:val="BodyText2"/>
              <w:rPr>
                <w:b/>
                <w:bCs/>
              </w:rPr>
            </w:pPr>
            <w:r w:rsidRPr="00921DAA">
              <w:rPr>
                <w:b/>
                <w:bCs/>
              </w:rPr>
              <w:t>Calculated t value</w:t>
            </w:r>
          </w:p>
        </w:tc>
        <w:tc>
          <w:tcPr>
            <w:tcW w:w="1228" w:type="dxa"/>
            <w:tcBorders>
              <w:top w:val="single" w:sz="4" w:space="0" w:color="auto"/>
              <w:left w:val="single" w:sz="4" w:space="0" w:color="auto"/>
              <w:bottom w:val="single" w:sz="4" w:space="0" w:color="auto"/>
              <w:right w:val="single" w:sz="4" w:space="0" w:color="auto"/>
            </w:tcBorders>
          </w:tcPr>
          <w:p w14:paraId="60579BAC" w14:textId="77777777" w:rsidR="00921DAA" w:rsidRPr="00921DAA" w:rsidRDefault="00921DAA" w:rsidP="00AC24FC">
            <w:pPr>
              <w:pStyle w:val="BodyText2"/>
              <w:rPr>
                <w:b/>
                <w:bCs/>
              </w:rPr>
            </w:pPr>
            <w:r w:rsidRPr="00921DAA">
              <w:rPr>
                <w:b/>
                <w:bCs/>
              </w:rPr>
              <w:t>Table value</w:t>
            </w:r>
          </w:p>
        </w:tc>
        <w:tc>
          <w:tcPr>
            <w:tcW w:w="1514" w:type="dxa"/>
            <w:tcBorders>
              <w:top w:val="single" w:sz="4" w:space="0" w:color="auto"/>
              <w:left w:val="single" w:sz="4" w:space="0" w:color="auto"/>
              <w:bottom w:val="single" w:sz="4" w:space="0" w:color="auto"/>
              <w:right w:val="single" w:sz="4" w:space="0" w:color="auto"/>
            </w:tcBorders>
          </w:tcPr>
          <w:p w14:paraId="1BFBF29F" w14:textId="77777777" w:rsidR="00921DAA" w:rsidRPr="00921DAA" w:rsidRDefault="00921DAA" w:rsidP="00AC24FC">
            <w:pPr>
              <w:pStyle w:val="BodyText2"/>
              <w:rPr>
                <w:b/>
                <w:bCs/>
              </w:rPr>
            </w:pPr>
            <w:r w:rsidRPr="00921DAA">
              <w:rPr>
                <w:b/>
                <w:bCs/>
              </w:rPr>
              <w:t>Remarks at 5% level of significance</w:t>
            </w:r>
          </w:p>
          <w:p w14:paraId="2B978F23" w14:textId="77777777" w:rsidR="00921DAA" w:rsidRPr="00921DAA" w:rsidRDefault="00921DAA" w:rsidP="00AC24FC">
            <w:pPr>
              <w:pStyle w:val="BodyText2"/>
              <w:rPr>
                <w:b/>
                <w:bCs/>
              </w:rPr>
            </w:pPr>
          </w:p>
        </w:tc>
      </w:tr>
      <w:tr w:rsidR="00921DAA" w:rsidRPr="00D178ED" w14:paraId="78C6B480" w14:textId="77777777" w:rsidTr="00AC24FC">
        <w:trPr>
          <w:trHeight w:val="6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88924" w14:textId="77777777" w:rsidR="00921DAA" w:rsidRPr="00D178ED" w:rsidRDefault="00921DAA" w:rsidP="00AC24FC">
            <w:pPr>
              <w:pStyle w:val="BodyText2"/>
            </w:pPr>
          </w:p>
        </w:tc>
        <w:tc>
          <w:tcPr>
            <w:tcW w:w="1396" w:type="dxa"/>
            <w:tcBorders>
              <w:top w:val="single" w:sz="4" w:space="0" w:color="auto"/>
              <w:left w:val="single" w:sz="4" w:space="0" w:color="auto"/>
              <w:bottom w:val="single" w:sz="4" w:space="0" w:color="auto"/>
              <w:right w:val="single" w:sz="4" w:space="0" w:color="auto"/>
            </w:tcBorders>
          </w:tcPr>
          <w:p w14:paraId="55D21AB2" w14:textId="77777777" w:rsidR="00921DAA" w:rsidRPr="00D178ED" w:rsidRDefault="00921DAA" w:rsidP="00AC24FC">
            <w:pPr>
              <w:pStyle w:val="BodyText2"/>
            </w:pPr>
            <w:r w:rsidRPr="00D178ED">
              <w:t>Arts</w:t>
            </w:r>
          </w:p>
          <w:p w14:paraId="7856F8CD" w14:textId="77777777" w:rsidR="00921DAA" w:rsidRPr="00D178ED" w:rsidRDefault="00921DAA" w:rsidP="00AC24FC">
            <w:pPr>
              <w:pStyle w:val="BodyText2"/>
            </w:pPr>
          </w:p>
          <w:p w14:paraId="3B93BE05" w14:textId="77777777" w:rsidR="00921DAA" w:rsidRPr="00D178ED" w:rsidRDefault="00921DAA" w:rsidP="00AC24FC">
            <w:pPr>
              <w:pStyle w:val="BodyText2"/>
            </w:pPr>
          </w:p>
        </w:tc>
        <w:tc>
          <w:tcPr>
            <w:tcW w:w="502" w:type="dxa"/>
            <w:tcBorders>
              <w:top w:val="single" w:sz="4" w:space="0" w:color="auto"/>
              <w:left w:val="single" w:sz="4" w:space="0" w:color="auto"/>
              <w:bottom w:val="single" w:sz="4" w:space="0" w:color="auto"/>
              <w:right w:val="single" w:sz="4" w:space="0" w:color="auto"/>
            </w:tcBorders>
          </w:tcPr>
          <w:p w14:paraId="2DED8EDF" w14:textId="77777777" w:rsidR="00921DAA" w:rsidRPr="00D178ED" w:rsidRDefault="00921DAA" w:rsidP="00AC24FC">
            <w:pPr>
              <w:pStyle w:val="BodyText2"/>
            </w:pPr>
            <w:r w:rsidRPr="00D178ED">
              <w:t>50</w:t>
            </w:r>
          </w:p>
        </w:tc>
        <w:tc>
          <w:tcPr>
            <w:tcW w:w="839" w:type="dxa"/>
            <w:tcBorders>
              <w:top w:val="single" w:sz="4" w:space="0" w:color="auto"/>
              <w:left w:val="single" w:sz="4" w:space="0" w:color="auto"/>
              <w:bottom w:val="single" w:sz="4" w:space="0" w:color="auto"/>
              <w:right w:val="single" w:sz="4" w:space="0" w:color="auto"/>
            </w:tcBorders>
          </w:tcPr>
          <w:p w14:paraId="0D8EDEAD" w14:textId="77777777" w:rsidR="00921DAA" w:rsidRPr="00D178ED" w:rsidRDefault="00921DAA" w:rsidP="00AC24FC">
            <w:pPr>
              <w:pStyle w:val="BodyText2"/>
            </w:pPr>
            <w:r w:rsidRPr="00D178ED">
              <w:t>76.22</w:t>
            </w:r>
          </w:p>
        </w:tc>
        <w:tc>
          <w:tcPr>
            <w:tcW w:w="1228" w:type="dxa"/>
            <w:tcBorders>
              <w:top w:val="single" w:sz="4" w:space="0" w:color="auto"/>
              <w:left w:val="single" w:sz="4" w:space="0" w:color="auto"/>
              <w:bottom w:val="single" w:sz="4" w:space="0" w:color="auto"/>
              <w:right w:val="single" w:sz="4" w:space="0" w:color="auto"/>
            </w:tcBorders>
          </w:tcPr>
          <w:p w14:paraId="3D014846" w14:textId="77777777" w:rsidR="00921DAA" w:rsidRPr="00D178ED" w:rsidRDefault="00921DAA" w:rsidP="00AC24FC">
            <w:pPr>
              <w:pStyle w:val="BodyText2"/>
            </w:pPr>
            <w:r w:rsidRPr="00D178ED">
              <w:t>8.538723</w:t>
            </w:r>
          </w:p>
        </w:tc>
        <w:tc>
          <w:tcPr>
            <w:tcW w:w="1368" w:type="dxa"/>
            <w:vMerge w:val="restart"/>
            <w:tcBorders>
              <w:top w:val="single" w:sz="4" w:space="0" w:color="auto"/>
              <w:left w:val="single" w:sz="4" w:space="0" w:color="auto"/>
              <w:bottom w:val="single" w:sz="4" w:space="0" w:color="auto"/>
              <w:right w:val="single" w:sz="4" w:space="0" w:color="auto"/>
            </w:tcBorders>
          </w:tcPr>
          <w:p w14:paraId="753E6C75" w14:textId="77777777" w:rsidR="00921DAA" w:rsidRPr="00D178ED" w:rsidRDefault="00921DAA" w:rsidP="00AC24FC">
            <w:pPr>
              <w:pStyle w:val="BodyText2"/>
            </w:pPr>
          </w:p>
          <w:p w14:paraId="76D3CC32" w14:textId="77777777" w:rsidR="00921DAA" w:rsidRPr="00D178ED" w:rsidRDefault="00921DAA" w:rsidP="00AC24FC">
            <w:pPr>
              <w:pStyle w:val="BodyText2"/>
            </w:pPr>
          </w:p>
          <w:p w14:paraId="364D9892" w14:textId="77777777" w:rsidR="00921DAA" w:rsidRPr="00D178ED" w:rsidRDefault="00921DAA" w:rsidP="00AC24FC">
            <w:pPr>
              <w:pStyle w:val="BodyText2"/>
            </w:pPr>
          </w:p>
          <w:p w14:paraId="59E2DCFF" w14:textId="77777777" w:rsidR="00921DAA" w:rsidRPr="00D178ED" w:rsidRDefault="00921DAA" w:rsidP="00AC24FC">
            <w:pPr>
              <w:pStyle w:val="BodyText2"/>
            </w:pPr>
          </w:p>
          <w:p w14:paraId="6F45192C" w14:textId="77777777" w:rsidR="00921DAA" w:rsidRPr="00D178ED" w:rsidRDefault="00921DAA" w:rsidP="00AC24FC">
            <w:pPr>
              <w:pStyle w:val="BodyText2"/>
            </w:pPr>
            <w:r w:rsidRPr="00D178ED">
              <w:t>-0.04752</w:t>
            </w:r>
          </w:p>
          <w:p w14:paraId="48E39476" w14:textId="77777777" w:rsidR="00921DAA" w:rsidRPr="00D178ED" w:rsidRDefault="00921DAA" w:rsidP="00AC24FC">
            <w:pPr>
              <w:pStyle w:val="BodyText2"/>
            </w:pPr>
          </w:p>
        </w:tc>
        <w:tc>
          <w:tcPr>
            <w:tcW w:w="1228" w:type="dxa"/>
            <w:vMerge w:val="restart"/>
            <w:tcBorders>
              <w:top w:val="single" w:sz="4" w:space="0" w:color="auto"/>
              <w:left w:val="single" w:sz="4" w:space="0" w:color="auto"/>
              <w:bottom w:val="single" w:sz="4" w:space="0" w:color="auto"/>
              <w:right w:val="single" w:sz="4" w:space="0" w:color="auto"/>
            </w:tcBorders>
          </w:tcPr>
          <w:p w14:paraId="5DC346DC" w14:textId="77777777" w:rsidR="00921DAA" w:rsidRPr="00D178ED" w:rsidRDefault="00921DAA" w:rsidP="00AC24FC">
            <w:pPr>
              <w:pStyle w:val="BodyText2"/>
            </w:pPr>
          </w:p>
          <w:p w14:paraId="27825784" w14:textId="77777777" w:rsidR="00921DAA" w:rsidRPr="00D178ED" w:rsidRDefault="00921DAA" w:rsidP="00AC24FC">
            <w:pPr>
              <w:pStyle w:val="BodyText2"/>
            </w:pPr>
          </w:p>
          <w:p w14:paraId="4E642484" w14:textId="77777777" w:rsidR="00921DAA" w:rsidRPr="00D178ED" w:rsidRDefault="00921DAA" w:rsidP="00AC24FC">
            <w:pPr>
              <w:pStyle w:val="BodyText2"/>
            </w:pPr>
          </w:p>
          <w:p w14:paraId="72D9B351" w14:textId="77777777" w:rsidR="00921DAA" w:rsidRPr="00D178ED" w:rsidRDefault="00921DAA" w:rsidP="00AC24FC">
            <w:pPr>
              <w:pStyle w:val="BodyText2"/>
            </w:pPr>
          </w:p>
          <w:p w14:paraId="24C122B0" w14:textId="77777777" w:rsidR="00921DAA" w:rsidRPr="00D178ED" w:rsidRDefault="00921DAA" w:rsidP="00AC24FC">
            <w:pPr>
              <w:pStyle w:val="BodyText2"/>
            </w:pPr>
            <w:r w:rsidRPr="00D178ED">
              <w:t>1.984467</w:t>
            </w:r>
          </w:p>
        </w:tc>
        <w:tc>
          <w:tcPr>
            <w:tcW w:w="1514" w:type="dxa"/>
            <w:vMerge w:val="restart"/>
            <w:tcBorders>
              <w:top w:val="single" w:sz="4" w:space="0" w:color="auto"/>
              <w:left w:val="single" w:sz="4" w:space="0" w:color="auto"/>
              <w:bottom w:val="single" w:sz="4" w:space="0" w:color="auto"/>
              <w:right w:val="single" w:sz="4" w:space="0" w:color="auto"/>
            </w:tcBorders>
          </w:tcPr>
          <w:p w14:paraId="205C81F2" w14:textId="77777777" w:rsidR="00921DAA" w:rsidRPr="00D178ED" w:rsidRDefault="00921DAA" w:rsidP="00AC24FC">
            <w:pPr>
              <w:pStyle w:val="BodyText2"/>
            </w:pPr>
          </w:p>
          <w:p w14:paraId="17F1E9BF" w14:textId="77777777" w:rsidR="00921DAA" w:rsidRPr="00D178ED" w:rsidRDefault="00921DAA" w:rsidP="00AC24FC">
            <w:pPr>
              <w:pStyle w:val="BodyText2"/>
            </w:pPr>
          </w:p>
          <w:p w14:paraId="36A10D25" w14:textId="77777777" w:rsidR="00921DAA" w:rsidRPr="00D178ED" w:rsidRDefault="00921DAA" w:rsidP="00AC24FC">
            <w:pPr>
              <w:pStyle w:val="BodyText2"/>
            </w:pPr>
          </w:p>
          <w:p w14:paraId="5B82063A" w14:textId="77777777" w:rsidR="00921DAA" w:rsidRPr="00D178ED" w:rsidRDefault="00921DAA" w:rsidP="00AC24FC">
            <w:pPr>
              <w:pStyle w:val="BodyText2"/>
            </w:pPr>
          </w:p>
          <w:p w14:paraId="2635CB58" w14:textId="77777777" w:rsidR="00921DAA" w:rsidRPr="00D178ED" w:rsidRDefault="00921DAA" w:rsidP="00AC24FC">
            <w:pPr>
              <w:pStyle w:val="BodyText2"/>
            </w:pPr>
            <w:r w:rsidRPr="00D178ED">
              <w:t>Not Significant</w:t>
            </w:r>
          </w:p>
        </w:tc>
      </w:tr>
      <w:tr w:rsidR="00921DAA" w:rsidRPr="00D178ED" w14:paraId="557780CD" w14:textId="77777777" w:rsidTr="00AC24FC">
        <w:trPr>
          <w:trHeight w:val="10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0781EA" w14:textId="77777777" w:rsidR="00921DAA" w:rsidRPr="00D178ED" w:rsidRDefault="00921DAA" w:rsidP="00AC24FC">
            <w:pPr>
              <w:pStyle w:val="BodyText2"/>
            </w:pPr>
          </w:p>
        </w:tc>
        <w:tc>
          <w:tcPr>
            <w:tcW w:w="1396" w:type="dxa"/>
            <w:tcBorders>
              <w:top w:val="single" w:sz="4" w:space="0" w:color="auto"/>
              <w:left w:val="single" w:sz="4" w:space="0" w:color="auto"/>
              <w:bottom w:val="single" w:sz="4" w:space="0" w:color="auto"/>
              <w:right w:val="single" w:sz="4" w:space="0" w:color="auto"/>
            </w:tcBorders>
          </w:tcPr>
          <w:p w14:paraId="0D0FF21C" w14:textId="77777777" w:rsidR="00921DAA" w:rsidRPr="00D178ED" w:rsidRDefault="00921DAA" w:rsidP="00AC24FC">
            <w:pPr>
              <w:pStyle w:val="BodyText2"/>
            </w:pPr>
            <w:r w:rsidRPr="00D178ED">
              <w:t>Commerce</w:t>
            </w:r>
          </w:p>
        </w:tc>
        <w:tc>
          <w:tcPr>
            <w:tcW w:w="502" w:type="dxa"/>
            <w:tcBorders>
              <w:top w:val="single" w:sz="4" w:space="0" w:color="auto"/>
              <w:left w:val="single" w:sz="4" w:space="0" w:color="auto"/>
              <w:bottom w:val="single" w:sz="4" w:space="0" w:color="auto"/>
              <w:right w:val="single" w:sz="4" w:space="0" w:color="auto"/>
            </w:tcBorders>
          </w:tcPr>
          <w:p w14:paraId="37C7D8A4" w14:textId="77777777" w:rsidR="00921DAA" w:rsidRPr="00D178ED" w:rsidRDefault="00921DAA" w:rsidP="00AC24FC">
            <w:pPr>
              <w:pStyle w:val="BodyText2"/>
            </w:pPr>
            <w:r w:rsidRPr="00D178ED">
              <w:t>50</w:t>
            </w:r>
          </w:p>
        </w:tc>
        <w:tc>
          <w:tcPr>
            <w:tcW w:w="839" w:type="dxa"/>
            <w:tcBorders>
              <w:top w:val="single" w:sz="4" w:space="0" w:color="auto"/>
              <w:left w:val="single" w:sz="4" w:space="0" w:color="auto"/>
              <w:bottom w:val="single" w:sz="4" w:space="0" w:color="auto"/>
              <w:right w:val="single" w:sz="4" w:space="0" w:color="auto"/>
            </w:tcBorders>
          </w:tcPr>
          <w:p w14:paraId="08CED576" w14:textId="77777777" w:rsidR="00921DAA" w:rsidRPr="00D178ED" w:rsidRDefault="00921DAA" w:rsidP="00AC24FC">
            <w:pPr>
              <w:pStyle w:val="BodyText2"/>
            </w:pPr>
            <w:r w:rsidRPr="00D178ED">
              <w:t>76.32</w:t>
            </w:r>
          </w:p>
        </w:tc>
        <w:tc>
          <w:tcPr>
            <w:tcW w:w="1228" w:type="dxa"/>
            <w:tcBorders>
              <w:top w:val="single" w:sz="4" w:space="0" w:color="auto"/>
              <w:left w:val="single" w:sz="4" w:space="0" w:color="auto"/>
              <w:bottom w:val="single" w:sz="4" w:space="0" w:color="auto"/>
              <w:right w:val="single" w:sz="4" w:space="0" w:color="auto"/>
            </w:tcBorders>
          </w:tcPr>
          <w:p w14:paraId="01DFC718" w14:textId="77777777" w:rsidR="00921DAA" w:rsidRPr="00D178ED" w:rsidRDefault="00921DAA" w:rsidP="00AC24FC">
            <w:pPr>
              <w:pStyle w:val="BodyText2"/>
            </w:pPr>
            <w:r w:rsidRPr="00D178ED">
              <w:t>12.18638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5922E" w14:textId="77777777" w:rsidR="00921DAA" w:rsidRPr="00D178ED" w:rsidRDefault="00921DAA" w:rsidP="00AC24FC">
            <w:pPr>
              <w:pStyle w:val="BodyText2"/>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59382" w14:textId="77777777" w:rsidR="00921DAA" w:rsidRPr="00D178ED" w:rsidRDefault="00921DAA" w:rsidP="00AC24FC">
            <w:pPr>
              <w:pStyle w:val="BodyText2"/>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988D74" w14:textId="77777777" w:rsidR="00921DAA" w:rsidRPr="00D178ED" w:rsidRDefault="00921DAA" w:rsidP="00AC24FC">
            <w:pPr>
              <w:pStyle w:val="BodyText2"/>
            </w:pPr>
          </w:p>
        </w:tc>
      </w:tr>
    </w:tbl>
    <w:p w14:paraId="2ECB40DC" w14:textId="77777777" w:rsidR="00921DAA" w:rsidRDefault="00921DAA" w:rsidP="00D57DF3">
      <w:pPr>
        <w:jc w:val="both"/>
        <w:rPr>
          <w:rFonts w:ascii="Times New Roman" w:hAnsi="Times New Roman" w:cs="Times New Roman"/>
          <w:b/>
          <w:bCs/>
          <w:i/>
          <w:iCs/>
          <w:sz w:val="24"/>
          <w:szCs w:val="24"/>
        </w:rPr>
      </w:pPr>
    </w:p>
    <w:p w14:paraId="7C139E81" w14:textId="77777777" w:rsidR="00921DAA" w:rsidRPr="000A3D85" w:rsidRDefault="00921DAA" w:rsidP="00921DAA">
      <w:pPr>
        <w:pStyle w:val="BodyText2"/>
        <w:rPr>
          <w:rFonts w:ascii="Arial" w:hAnsi="Arial" w:cs="Arial"/>
          <w:sz w:val="20"/>
          <w:szCs w:val="20"/>
          <w:lang w:val="en-US"/>
        </w:rPr>
      </w:pPr>
      <w:r w:rsidRPr="000A3D85">
        <w:rPr>
          <w:rFonts w:ascii="Arial" w:hAnsi="Arial" w:cs="Arial"/>
          <w:sz w:val="20"/>
          <w:szCs w:val="20"/>
          <w:lang w:val="en-US"/>
        </w:rPr>
        <w:t>For a better understanding of the researcher who made the bar graphs, they are discussed below.</w:t>
      </w:r>
    </w:p>
    <w:p w14:paraId="002DE76B" w14:textId="77777777" w:rsidR="00921DAA" w:rsidRDefault="00921DAA" w:rsidP="00D57DF3">
      <w:pPr>
        <w:jc w:val="both"/>
        <w:rPr>
          <w:rFonts w:ascii="Times New Roman" w:hAnsi="Times New Roman" w:cs="Times New Roman"/>
          <w:b/>
          <w:bCs/>
          <w:i/>
          <w:iCs/>
          <w:sz w:val="24"/>
          <w:szCs w:val="24"/>
        </w:rPr>
      </w:pPr>
    </w:p>
    <w:p w14:paraId="6B1EA4F6" w14:textId="77777777" w:rsidR="008E1F87" w:rsidRDefault="008E1F87" w:rsidP="00D57DF3">
      <w:pPr>
        <w:jc w:val="both"/>
        <w:rPr>
          <w:rFonts w:ascii="Times New Roman" w:hAnsi="Times New Roman" w:cs="Times New Roman"/>
          <w:b/>
          <w:bCs/>
          <w:sz w:val="24"/>
          <w:szCs w:val="24"/>
        </w:rPr>
      </w:pPr>
    </w:p>
    <w:p w14:paraId="764DB75E" w14:textId="46D128F6" w:rsidR="00921DAA" w:rsidRPr="00D57DF3" w:rsidRDefault="00921DAA" w:rsidP="00D57DF3">
      <w:pPr>
        <w:jc w:val="both"/>
        <w:rPr>
          <w:rFonts w:ascii="Times New Roman" w:hAnsi="Times New Roman" w:cs="Times New Roman"/>
          <w:b/>
          <w:bCs/>
          <w:sz w:val="24"/>
          <w:szCs w:val="24"/>
        </w:rPr>
      </w:pPr>
      <w:r w:rsidRPr="00D178ED">
        <w:rPr>
          <w:noProof/>
          <w:lang w:val="en-US"/>
        </w:rPr>
        <w:drawing>
          <wp:inline distT="0" distB="0" distL="0" distR="0" wp14:anchorId="611D3A8F" wp14:editId="395C6DF2">
            <wp:extent cx="5478780" cy="3566160"/>
            <wp:effectExtent l="0" t="0" r="7620" b="15240"/>
            <wp:docPr id="895239231" name="Chart 5">
              <a:extLst xmlns:a="http://schemas.openxmlformats.org/drawingml/2006/main">
                <a:ext uri="{FF2B5EF4-FFF2-40B4-BE49-F238E27FC236}">
                  <a16:creationId xmlns:a16="http://schemas.microsoft.com/office/drawing/2014/main" id="{23CA0689-DBFF-40DA-86F8-99A514D1F4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3C88CB" w14:textId="5AFB1B07" w:rsidR="000A3D85" w:rsidRDefault="000A3D85" w:rsidP="00D57DF3">
      <w:pPr>
        <w:jc w:val="both"/>
        <w:rPr>
          <w:rFonts w:ascii="Arial" w:hAnsi="Arial" w:cs="Arial"/>
          <w:b/>
          <w:bCs/>
          <w:sz w:val="20"/>
          <w:szCs w:val="20"/>
        </w:rPr>
      </w:pPr>
      <w:r>
        <w:rPr>
          <w:rFonts w:ascii="Arial" w:hAnsi="Arial" w:cs="Arial"/>
          <w:b/>
          <w:bCs/>
          <w:sz w:val="20"/>
          <w:szCs w:val="20"/>
        </w:rPr>
        <w:t xml:space="preserve">Fig. 3: </w:t>
      </w:r>
      <w:r w:rsidRPr="00D57DF3">
        <w:rPr>
          <w:rFonts w:ascii="Arial" w:hAnsi="Arial" w:cs="Arial"/>
          <w:i/>
          <w:iCs/>
          <w:sz w:val="20"/>
          <w:szCs w:val="20"/>
        </w:rPr>
        <w:t>Difference in the level of awareness towards sustainable development between Arts and Commerce students</w:t>
      </w:r>
    </w:p>
    <w:p w14:paraId="73EEFEC1" w14:textId="6DE0201A" w:rsidR="00D57DF3" w:rsidRPr="00D57DF3" w:rsidRDefault="00D57DF3" w:rsidP="00D57DF3">
      <w:pPr>
        <w:jc w:val="both"/>
        <w:rPr>
          <w:rFonts w:ascii="Arial" w:hAnsi="Arial" w:cs="Arial"/>
          <w:b/>
          <w:bCs/>
          <w:sz w:val="20"/>
          <w:szCs w:val="20"/>
        </w:rPr>
      </w:pPr>
      <w:r w:rsidRPr="00D57DF3">
        <w:rPr>
          <w:rFonts w:ascii="Arial" w:hAnsi="Arial" w:cs="Arial"/>
          <w:b/>
          <w:bCs/>
          <w:sz w:val="20"/>
          <w:szCs w:val="20"/>
        </w:rPr>
        <w:t>Science and Commerce Streams</w:t>
      </w:r>
    </w:p>
    <w:p w14:paraId="32B0280D" w14:textId="77777777" w:rsidR="00D57DF3" w:rsidRPr="00D57DF3" w:rsidRDefault="00D57DF3" w:rsidP="00D57DF3">
      <w:pPr>
        <w:jc w:val="both"/>
        <w:rPr>
          <w:rFonts w:ascii="Arial" w:hAnsi="Arial" w:cs="Arial"/>
          <w:sz w:val="20"/>
          <w:szCs w:val="20"/>
        </w:rPr>
      </w:pPr>
      <w:r w:rsidRPr="00D57DF3">
        <w:rPr>
          <w:rFonts w:ascii="Arial" w:hAnsi="Arial" w:cs="Arial"/>
          <w:sz w:val="20"/>
          <w:szCs w:val="20"/>
        </w:rPr>
        <w:lastRenderedPageBreak/>
        <w:t>Science students (</w:t>
      </w:r>
      <w:r w:rsidRPr="00D57DF3">
        <w:rPr>
          <w:rFonts w:ascii="Arial" w:hAnsi="Arial" w:cs="Arial"/>
          <w:i/>
          <w:iCs/>
          <w:sz w:val="20"/>
          <w:szCs w:val="20"/>
        </w:rPr>
        <w:t>n</w:t>
      </w:r>
      <w:r w:rsidRPr="00D57DF3">
        <w:rPr>
          <w:rFonts w:ascii="Arial" w:hAnsi="Arial" w:cs="Arial"/>
          <w:sz w:val="20"/>
          <w:szCs w:val="20"/>
        </w:rPr>
        <w:t xml:space="preserve"> = 50) achieved a mean score of 76.66 (SD = 9.98), while Commerce students (</w:t>
      </w:r>
      <w:r w:rsidRPr="00D57DF3">
        <w:rPr>
          <w:rFonts w:ascii="Arial" w:hAnsi="Arial" w:cs="Arial"/>
          <w:i/>
          <w:iCs/>
          <w:sz w:val="20"/>
          <w:szCs w:val="20"/>
        </w:rPr>
        <w:t>n</w:t>
      </w:r>
      <w:r w:rsidRPr="00D57DF3">
        <w:rPr>
          <w:rFonts w:ascii="Arial" w:hAnsi="Arial" w:cs="Arial"/>
          <w:sz w:val="20"/>
          <w:szCs w:val="20"/>
        </w:rPr>
        <w:t xml:space="preserve"> = 50) scored 76.32 (SD = 12.19). The independent </w:t>
      </w:r>
      <w:r w:rsidRPr="00D57DF3">
        <w:rPr>
          <w:rFonts w:ascii="Arial" w:hAnsi="Arial" w:cs="Arial"/>
          <w:i/>
          <w:iCs/>
          <w:sz w:val="20"/>
          <w:szCs w:val="20"/>
        </w:rPr>
        <w:t>t</w:t>
      </w:r>
      <w:r w:rsidRPr="00D57DF3">
        <w:rPr>
          <w:rFonts w:ascii="Arial" w:hAnsi="Arial" w:cs="Arial"/>
          <w:sz w:val="20"/>
          <w:szCs w:val="20"/>
        </w:rPr>
        <w:t>-test indicated no statistically significant difference (</w:t>
      </w:r>
      <w:r w:rsidRPr="00D57DF3">
        <w:rPr>
          <w:rFonts w:ascii="Arial" w:hAnsi="Arial" w:cs="Arial"/>
          <w:i/>
          <w:iCs/>
          <w:sz w:val="20"/>
          <w:szCs w:val="20"/>
        </w:rPr>
        <w:t>t</w:t>
      </w:r>
      <w:r w:rsidRPr="00D57DF3">
        <w:rPr>
          <w:rFonts w:ascii="Arial" w:hAnsi="Arial" w:cs="Arial"/>
          <w:sz w:val="20"/>
          <w:szCs w:val="20"/>
        </w:rPr>
        <w:t xml:space="preserve"> = 0.15, </w:t>
      </w:r>
      <w:r w:rsidRPr="00D57DF3">
        <w:rPr>
          <w:rFonts w:ascii="Arial" w:hAnsi="Arial" w:cs="Arial"/>
          <w:i/>
          <w:iCs/>
          <w:sz w:val="20"/>
          <w:szCs w:val="20"/>
        </w:rPr>
        <w:t>P</w:t>
      </w:r>
      <w:r w:rsidRPr="00D57DF3">
        <w:rPr>
          <w:rFonts w:ascii="Arial" w:hAnsi="Arial" w:cs="Arial"/>
          <w:sz w:val="20"/>
          <w:szCs w:val="20"/>
        </w:rPr>
        <w:t xml:space="preserve"> = .88) between these two streams (Table 4).</w:t>
      </w:r>
    </w:p>
    <w:p w14:paraId="2AFD50F7" w14:textId="0A492370" w:rsidR="00D57DF3" w:rsidRPr="000A3D85" w:rsidRDefault="00D57DF3" w:rsidP="00D57DF3">
      <w:pPr>
        <w:jc w:val="both"/>
        <w:rPr>
          <w:rFonts w:ascii="Arial" w:hAnsi="Arial" w:cs="Arial"/>
          <w:b/>
          <w:bCs/>
          <w:i/>
          <w:iCs/>
          <w:sz w:val="20"/>
          <w:szCs w:val="20"/>
        </w:rPr>
      </w:pPr>
      <w:r w:rsidRPr="00D57DF3">
        <w:rPr>
          <w:rFonts w:ascii="Arial" w:hAnsi="Arial" w:cs="Arial"/>
          <w:b/>
          <w:bCs/>
          <w:i/>
          <w:iCs/>
          <w:sz w:val="20"/>
          <w:szCs w:val="20"/>
        </w:rPr>
        <w:t xml:space="preserve">Table 4: </w:t>
      </w:r>
      <w:r w:rsidRPr="00D57DF3">
        <w:rPr>
          <w:rFonts w:ascii="Arial" w:hAnsi="Arial" w:cs="Arial"/>
          <w:i/>
          <w:iCs/>
          <w:sz w:val="20"/>
          <w:szCs w:val="20"/>
        </w:rPr>
        <w:t>Difference in the level of awareness towards sustainable development between Science and Commerce students</w:t>
      </w:r>
    </w:p>
    <w:tbl>
      <w:tblPr>
        <w:tblW w:w="940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269"/>
        <w:gridCol w:w="456"/>
        <w:gridCol w:w="803"/>
        <w:gridCol w:w="1116"/>
        <w:gridCol w:w="1323"/>
        <w:gridCol w:w="1116"/>
        <w:gridCol w:w="1416"/>
      </w:tblGrid>
      <w:tr w:rsidR="000A3D85" w:rsidRPr="00D178ED" w14:paraId="5D1D6B7B" w14:textId="77777777" w:rsidTr="000A3D85">
        <w:trPr>
          <w:trHeight w:val="494"/>
        </w:trPr>
        <w:tc>
          <w:tcPr>
            <w:tcW w:w="1909" w:type="dxa"/>
            <w:vMerge w:val="restart"/>
            <w:tcBorders>
              <w:top w:val="single" w:sz="4" w:space="0" w:color="auto"/>
              <w:left w:val="single" w:sz="4" w:space="0" w:color="auto"/>
              <w:bottom w:val="single" w:sz="4" w:space="0" w:color="auto"/>
              <w:right w:val="single" w:sz="4" w:space="0" w:color="auto"/>
            </w:tcBorders>
          </w:tcPr>
          <w:p w14:paraId="1E012C43" w14:textId="77777777" w:rsidR="000A3D85" w:rsidRPr="000A3D85" w:rsidRDefault="000A3D85" w:rsidP="000A3D85">
            <w:pPr>
              <w:pStyle w:val="BodyText2"/>
              <w:jc w:val="left"/>
              <w:rPr>
                <w:b/>
                <w:bCs/>
              </w:rPr>
            </w:pPr>
          </w:p>
          <w:p w14:paraId="2E0BB5FF" w14:textId="77777777" w:rsidR="000A3D85" w:rsidRPr="00D178ED" w:rsidRDefault="000A3D85" w:rsidP="000A3D85">
            <w:pPr>
              <w:pStyle w:val="BodyText2"/>
              <w:jc w:val="left"/>
            </w:pPr>
            <w:r w:rsidRPr="000A3D85">
              <w:rPr>
                <w:b/>
                <w:bCs/>
              </w:rPr>
              <w:t>Level of awareness towards sustainable development</w:t>
            </w:r>
          </w:p>
        </w:tc>
        <w:tc>
          <w:tcPr>
            <w:tcW w:w="1269" w:type="dxa"/>
            <w:tcBorders>
              <w:top w:val="single" w:sz="4" w:space="0" w:color="auto"/>
              <w:left w:val="single" w:sz="4" w:space="0" w:color="auto"/>
              <w:bottom w:val="single" w:sz="4" w:space="0" w:color="auto"/>
              <w:right w:val="single" w:sz="4" w:space="0" w:color="auto"/>
            </w:tcBorders>
          </w:tcPr>
          <w:p w14:paraId="1251BF32" w14:textId="77777777" w:rsidR="000A3D85" w:rsidRPr="000A3D85" w:rsidRDefault="000A3D85" w:rsidP="00AC24FC">
            <w:pPr>
              <w:pStyle w:val="BodyText2"/>
              <w:rPr>
                <w:b/>
                <w:bCs/>
              </w:rPr>
            </w:pPr>
            <w:r w:rsidRPr="000A3D85">
              <w:rPr>
                <w:b/>
                <w:bCs/>
              </w:rPr>
              <w:t>Stream</w:t>
            </w:r>
          </w:p>
        </w:tc>
        <w:tc>
          <w:tcPr>
            <w:tcW w:w="456" w:type="dxa"/>
            <w:tcBorders>
              <w:top w:val="single" w:sz="4" w:space="0" w:color="auto"/>
              <w:left w:val="single" w:sz="4" w:space="0" w:color="auto"/>
              <w:bottom w:val="single" w:sz="4" w:space="0" w:color="auto"/>
              <w:right w:val="single" w:sz="4" w:space="0" w:color="auto"/>
            </w:tcBorders>
          </w:tcPr>
          <w:p w14:paraId="6520A68C" w14:textId="77777777" w:rsidR="000A3D85" w:rsidRPr="000A3D85" w:rsidRDefault="000A3D85" w:rsidP="00AC24FC">
            <w:pPr>
              <w:pStyle w:val="BodyText2"/>
              <w:rPr>
                <w:b/>
                <w:bCs/>
              </w:rPr>
            </w:pPr>
            <w:r w:rsidRPr="000A3D85">
              <w:rPr>
                <w:b/>
                <w:bCs/>
              </w:rPr>
              <w:t>N</w:t>
            </w:r>
          </w:p>
        </w:tc>
        <w:tc>
          <w:tcPr>
            <w:tcW w:w="803" w:type="dxa"/>
            <w:tcBorders>
              <w:top w:val="single" w:sz="4" w:space="0" w:color="auto"/>
              <w:left w:val="single" w:sz="4" w:space="0" w:color="auto"/>
              <w:bottom w:val="single" w:sz="4" w:space="0" w:color="auto"/>
              <w:right w:val="single" w:sz="4" w:space="0" w:color="auto"/>
            </w:tcBorders>
          </w:tcPr>
          <w:p w14:paraId="30A22A58" w14:textId="77777777" w:rsidR="000A3D85" w:rsidRPr="000A3D85" w:rsidRDefault="000A3D85" w:rsidP="00AC24FC">
            <w:pPr>
              <w:pStyle w:val="BodyText2"/>
              <w:rPr>
                <w:b/>
                <w:bCs/>
              </w:rPr>
            </w:pPr>
            <w:r w:rsidRPr="000A3D85">
              <w:rPr>
                <w:b/>
                <w:bCs/>
              </w:rPr>
              <w:t>Mean</w:t>
            </w:r>
          </w:p>
        </w:tc>
        <w:tc>
          <w:tcPr>
            <w:tcW w:w="1116" w:type="dxa"/>
            <w:tcBorders>
              <w:top w:val="single" w:sz="4" w:space="0" w:color="auto"/>
              <w:left w:val="single" w:sz="4" w:space="0" w:color="auto"/>
              <w:bottom w:val="single" w:sz="4" w:space="0" w:color="auto"/>
              <w:right w:val="single" w:sz="4" w:space="0" w:color="auto"/>
            </w:tcBorders>
          </w:tcPr>
          <w:p w14:paraId="583F3182" w14:textId="77777777" w:rsidR="000A3D85" w:rsidRPr="000A3D85" w:rsidRDefault="000A3D85" w:rsidP="00AC24FC">
            <w:pPr>
              <w:pStyle w:val="BodyText2"/>
              <w:rPr>
                <w:b/>
                <w:bCs/>
              </w:rPr>
            </w:pPr>
            <w:r w:rsidRPr="000A3D85">
              <w:rPr>
                <w:b/>
                <w:bCs/>
              </w:rPr>
              <w:t>SD</w:t>
            </w:r>
          </w:p>
        </w:tc>
        <w:tc>
          <w:tcPr>
            <w:tcW w:w="1323" w:type="dxa"/>
            <w:tcBorders>
              <w:top w:val="single" w:sz="4" w:space="0" w:color="auto"/>
              <w:left w:val="single" w:sz="4" w:space="0" w:color="auto"/>
              <w:bottom w:val="single" w:sz="4" w:space="0" w:color="auto"/>
              <w:right w:val="single" w:sz="4" w:space="0" w:color="auto"/>
            </w:tcBorders>
          </w:tcPr>
          <w:p w14:paraId="0B5B2345" w14:textId="77777777" w:rsidR="000A3D85" w:rsidRPr="000A3D85" w:rsidRDefault="000A3D85" w:rsidP="00AC24FC">
            <w:pPr>
              <w:pStyle w:val="BodyText2"/>
              <w:rPr>
                <w:b/>
                <w:bCs/>
              </w:rPr>
            </w:pPr>
            <w:r w:rsidRPr="000A3D85">
              <w:rPr>
                <w:b/>
                <w:bCs/>
              </w:rPr>
              <w:t>Calculated t value</w:t>
            </w:r>
          </w:p>
        </w:tc>
        <w:tc>
          <w:tcPr>
            <w:tcW w:w="1116" w:type="dxa"/>
            <w:tcBorders>
              <w:top w:val="single" w:sz="4" w:space="0" w:color="auto"/>
              <w:left w:val="single" w:sz="4" w:space="0" w:color="auto"/>
              <w:bottom w:val="single" w:sz="4" w:space="0" w:color="auto"/>
              <w:right w:val="single" w:sz="4" w:space="0" w:color="auto"/>
            </w:tcBorders>
          </w:tcPr>
          <w:p w14:paraId="4264B5C7" w14:textId="77777777" w:rsidR="000A3D85" w:rsidRPr="000A3D85" w:rsidRDefault="000A3D85" w:rsidP="00AC24FC">
            <w:pPr>
              <w:pStyle w:val="BodyText2"/>
              <w:rPr>
                <w:b/>
                <w:bCs/>
              </w:rPr>
            </w:pPr>
            <w:r w:rsidRPr="000A3D85">
              <w:rPr>
                <w:b/>
                <w:bCs/>
              </w:rPr>
              <w:t>Table value</w:t>
            </w:r>
          </w:p>
        </w:tc>
        <w:tc>
          <w:tcPr>
            <w:tcW w:w="1416" w:type="dxa"/>
            <w:tcBorders>
              <w:top w:val="single" w:sz="4" w:space="0" w:color="auto"/>
              <w:left w:val="single" w:sz="4" w:space="0" w:color="auto"/>
              <w:bottom w:val="single" w:sz="4" w:space="0" w:color="auto"/>
              <w:right w:val="single" w:sz="4" w:space="0" w:color="auto"/>
            </w:tcBorders>
          </w:tcPr>
          <w:p w14:paraId="2C9E7779" w14:textId="77777777" w:rsidR="000A3D85" w:rsidRPr="000A3D85" w:rsidRDefault="000A3D85" w:rsidP="00AC24FC">
            <w:pPr>
              <w:pStyle w:val="BodyText2"/>
              <w:rPr>
                <w:b/>
                <w:bCs/>
              </w:rPr>
            </w:pPr>
            <w:r w:rsidRPr="000A3D85">
              <w:rPr>
                <w:b/>
                <w:bCs/>
              </w:rPr>
              <w:t>Remarks at 5% level of significance</w:t>
            </w:r>
          </w:p>
          <w:p w14:paraId="565A312D" w14:textId="77777777" w:rsidR="000A3D85" w:rsidRPr="000A3D85" w:rsidRDefault="000A3D85" w:rsidP="00AC24FC">
            <w:pPr>
              <w:pStyle w:val="BodyText2"/>
              <w:rPr>
                <w:b/>
                <w:bCs/>
              </w:rPr>
            </w:pPr>
          </w:p>
        </w:tc>
      </w:tr>
      <w:tr w:rsidR="000A3D85" w:rsidRPr="00D178ED" w14:paraId="02AD9C51" w14:textId="77777777" w:rsidTr="000A3D85">
        <w:trPr>
          <w:trHeight w:val="363"/>
        </w:trPr>
        <w:tc>
          <w:tcPr>
            <w:tcW w:w="1909" w:type="dxa"/>
            <w:vMerge/>
            <w:tcBorders>
              <w:top w:val="single" w:sz="4" w:space="0" w:color="auto"/>
              <w:left w:val="single" w:sz="4" w:space="0" w:color="auto"/>
              <w:bottom w:val="single" w:sz="4" w:space="0" w:color="auto"/>
              <w:right w:val="single" w:sz="4" w:space="0" w:color="auto"/>
            </w:tcBorders>
            <w:vAlign w:val="center"/>
            <w:hideMark/>
          </w:tcPr>
          <w:p w14:paraId="4CB1293F" w14:textId="77777777" w:rsidR="000A3D85" w:rsidRPr="00D178ED" w:rsidRDefault="000A3D85" w:rsidP="00AC24FC">
            <w:pPr>
              <w:pStyle w:val="BodyText2"/>
            </w:pPr>
          </w:p>
        </w:tc>
        <w:tc>
          <w:tcPr>
            <w:tcW w:w="1269" w:type="dxa"/>
            <w:tcBorders>
              <w:top w:val="single" w:sz="4" w:space="0" w:color="auto"/>
              <w:left w:val="single" w:sz="4" w:space="0" w:color="auto"/>
              <w:bottom w:val="single" w:sz="4" w:space="0" w:color="auto"/>
              <w:right w:val="single" w:sz="4" w:space="0" w:color="auto"/>
            </w:tcBorders>
          </w:tcPr>
          <w:p w14:paraId="43882E61" w14:textId="77777777" w:rsidR="000A3D85" w:rsidRPr="00D178ED" w:rsidRDefault="000A3D85" w:rsidP="00AC24FC">
            <w:pPr>
              <w:pStyle w:val="BodyText2"/>
            </w:pPr>
            <w:r w:rsidRPr="00D178ED">
              <w:t>Science</w:t>
            </w:r>
          </w:p>
          <w:p w14:paraId="5A680692" w14:textId="77777777" w:rsidR="000A3D85" w:rsidRPr="00D178ED" w:rsidRDefault="000A3D85" w:rsidP="00AC24FC">
            <w:pPr>
              <w:pStyle w:val="BodyText2"/>
            </w:pPr>
          </w:p>
          <w:p w14:paraId="63D0E5E1" w14:textId="77777777" w:rsidR="000A3D85" w:rsidRPr="00D178ED" w:rsidRDefault="000A3D85" w:rsidP="00AC24FC">
            <w:pPr>
              <w:pStyle w:val="BodyText2"/>
            </w:pPr>
          </w:p>
        </w:tc>
        <w:tc>
          <w:tcPr>
            <w:tcW w:w="456" w:type="dxa"/>
            <w:tcBorders>
              <w:top w:val="single" w:sz="4" w:space="0" w:color="auto"/>
              <w:left w:val="single" w:sz="4" w:space="0" w:color="auto"/>
              <w:bottom w:val="single" w:sz="4" w:space="0" w:color="auto"/>
              <w:right w:val="single" w:sz="4" w:space="0" w:color="auto"/>
            </w:tcBorders>
          </w:tcPr>
          <w:p w14:paraId="600FD695" w14:textId="77777777" w:rsidR="000A3D85" w:rsidRPr="00D178ED" w:rsidRDefault="000A3D85" w:rsidP="00AC24FC">
            <w:pPr>
              <w:pStyle w:val="BodyText2"/>
            </w:pPr>
            <w:r w:rsidRPr="00D178ED">
              <w:t>50</w:t>
            </w:r>
          </w:p>
        </w:tc>
        <w:tc>
          <w:tcPr>
            <w:tcW w:w="803" w:type="dxa"/>
            <w:tcBorders>
              <w:top w:val="single" w:sz="4" w:space="0" w:color="auto"/>
              <w:left w:val="single" w:sz="4" w:space="0" w:color="auto"/>
              <w:bottom w:val="single" w:sz="4" w:space="0" w:color="auto"/>
              <w:right w:val="single" w:sz="4" w:space="0" w:color="auto"/>
            </w:tcBorders>
          </w:tcPr>
          <w:p w14:paraId="5AA7F6E8" w14:textId="77777777" w:rsidR="000A3D85" w:rsidRPr="00D178ED" w:rsidRDefault="000A3D85" w:rsidP="00AC24FC">
            <w:pPr>
              <w:pStyle w:val="BodyText2"/>
            </w:pPr>
            <w:r w:rsidRPr="00D178ED">
              <w:t>76.66</w:t>
            </w:r>
          </w:p>
        </w:tc>
        <w:tc>
          <w:tcPr>
            <w:tcW w:w="1116" w:type="dxa"/>
            <w:tcBorders>
              <w:top w:val="single" w:sz="4" w:space="0" w:color="auto"/>
              <w:left w:val="single" w:sz="4" w:space="0" w:color="auto"/>
              <w:bottom w:val="single" w:sz="4" w:space="0" w:color="auto"/>
              <w:right w:val="single" w:sz="4" w:space="0" w:color="auto"/>
            </w:tcBorders>
          </w:tcPr>
          <w:p w14:paraId="78B807E2" w14:textId="77777777" w:rsidR="000A3D85" w:rsidRPr="00D178ED" w:rsidRDefault="000A3D85" w:rsidP="00AC24FC">
            <w:pPr>
              <w:pStyle w:val="BodyText2"/>
            </w:pPr>
            <w:r w:rsidRPr="00D178ED">
              <w:t>9.980818</w:t>
            </w:r>
          </w:p>
          <w:p w14:paraId="47134EA1" w14:textId="77777777" w:rsidR="000A3D85" w:rsidRPr="00D178ED" w:rsidRDefault="000A3D85" w:rsidP="00AC24FC">
            <w:pPr>
              <w:pStyle w:val="BodyText2"/>
            </w:pPr>
          </w:p>
        </w:tc>
        <w:tc>
          <w:tcPr>
            <w:tcW w:w="1323" w:type="dxa"/>
            <w:vMerge w:val="restart"/>
            <w:tcBorders>
              <w:top w:val="single" w:sz="4" w:space="0" w:color="auto"/>
              <w:left w:val="single" w:sz="4" w:space="0" w:color="auto"/>
              <w:bottom w:val="single" w:sz="4" w:space="0" w:color="auto"/>
              <w:right w:val="single" w:sz="4" w:space="0" w:color="auto"/>
            </w:tcBorders>
          </w:tcPr>
          <w:p w14:paraId="4ABC551F" w14:textId="77777777" w:rsidR="000A3D85" w:rsidRPr="00D178ED" w:rsidRDefault="000A3D85" w:rsidP="00AC24FC">
            <w:pPr>
              <w:pStyle w:val="BodyText2"/>
            </w:pPr>
          </w:p>
          <w:p w14:paraId="361A6FE9" w14:textId="77777777" w:rsidR="000A3D85" w:rsidRPr="00D178ED" w:rsidRDefault="000A3D85" w:rsidP="00AC24FC">
            <w:pPr>
              <w:pStyle w:val="BodyText2"/>
            </w:pPr>
            <w:r w:rsidRPr="00D178ED">
              <w:t>0.152626</w:t>
            </w:r>
          </w:p>
        </w:tc>
        <w:tc>
          <w:tcPr>
            <w:tcW w:w="1116" w:type="dxa"/>
            <w:vMerge w:val="restart"/>
            <w:tcBorders>
              <w:top w:val="single" w:sz="4" w:space="0" w:color="auto"/>
              <w:left w:val="single" w:sz="4" w:space="0" w:color="auto"/>
              <w:bottom w:val="single" w:sz="4" w:space="0" w:color="auto"/>
              <w:right w:val="single" w:sz="4" w:space="0" w:color="auto"/>
            </w:tcBorders>
          </w:tcPr>
          <w:p w14:paraId="2F441BD5" w14:textId="77777777" w:rsidR="000A3D85" w:rsidRPr="00D178ED" w:rsidRDefault="000A3D85" w:rsidP="00AC24FC">
            <w:pPr>
              <w:pStyle w:val="BodyText2"/>
            </w:pPr>
          </w:p>
          <w:p w14:paraId="62EC7A37" w14:textId="77777777" w:rsidR="000A3D85" w:rsidRPr="00D178ED" w:rsidRDefault="000A3D85" w:rsidP="00AC24FC">
            <w:pPr>
              <w:pStyle w:val="BodyText2"/>
            </w:pPr>
            <w:r w:rsidRPr="00D178ED">
              <w:t>1.984467</w:t>
            </w:r>
          </w:p>
        </w:tc>
        <w:tc>
          <w:tcPr>
            <w:tcW w:w="1416" w:type="dxa"/>
            <w:vMerge w:val="restart"/>
            <w:tcBorders>
              <w:top w:val="single" w:sz="4" w:space="0" w:color="auto"/>
              <w:left w:val="single" w:sz="4" w:space="0" w:color="auto"/>
              <w:bottom w:val="single" w:sz="4" w:space="0" w:color="auto"/>
              <w:right w:val="single" w:sz="4" w:space="0" w:color="auto"/>
            </w:tcBorders>
          </w:tcPr>
          <w:p w14:paraId="251986E5" w14:textId="77777777" w:rsidR="000A3D85" w:rsidRDefault="000A3D85" w:rsidP="00AC24FC">
            <w:pPr>
              <w:pStyle w:val="BodyText2"/>
            </w:pPr>
          </w:p>
          <w:p w14:paraId="5F58BCC8" w14:textId="77777777" w:rsidR="000A3D85" w:rsidRPr="00D178ED" w:rsidRDefault="000A3D85" w:rsidP="00AC24FC">
            <w:pPr>
              <w:pStyle w:val="BodyText2"/>
            </w:pPr>
            <w:r w:rsidRPr="00D178ED">
              <w:t>Not Significant</w:t>
            </w:r>
          </w:p>
          <w:p w14:paraId="6A4F2A55" w14:textId="77777777" w:rsidR="000A3D85" w:rsidRPr="00D178ED" w:rsidRDefault="000A3D85" w:rsidP="00AC24FC">
            <w:pPr>
              <w:pStyle w:val="BodyText2"/>
            </w:pPr>
          </w:p>
          <w:p w14:paraId="7A17EB5F" w14:textId="77777777" w:rsidR="000A3D85" w:rsidRPr="00D178ED" w:rsidRDefault="000A3D85" w:rsidP="00AC24FC">
            <w:pPr>
              <w:pStyle w:val="BodyText2"/>
            </w:pPr>
          </w:p>
        </w:tc>
      </w:tr>
      <w:tr w:rsidR="000A3D85" w:rsidRPr="00D178ED" w14:paraId="3586B9F4" w14:textId="77777777" w:rsidTr="000A3D85">
        <w:trPr>
          <w:trHeight w:val="50"/>
        </w:trPr>
        <w:tc>
          <w:tcPr>
            <w:tcW w:w="1909" w:type="dxa"/>
            <w:vMerge/>
            <w:tcBorders>
              <w:top w:val="single" w:sz="4" w:space="0" w:color="auto"/>
              <w:left w:val="single" w:sz="4" w:space="0" w:color="auto"/>
              <w:bottom w:val="single" w:sz="4" w:space="0" w:color="auto"/>
              <w:right w:val="single" w:sz="4" w:space="0" w:color="auto"/>
            </w:tcBorders>
            <w:vAlign w:val="center"/>
            <w:hideMark/>
          </w:tcPr>
          <w:p w14:paraId="59528C31" w14:textId="77777777" w:rsidR="000A3D85" w:rsidRPr="00D178ED" w:rsidRDefault="000A3D85" w:rsidP="00AC24FC">
            <w:pPr>
              <w:pStyle w:val="BodyText2"/>
            </w:pPr>
          </w:p>
        </w:tc>
        <w:tc>
          <w:tcPr>
            <w:tcW w:w="1269" w:type="dxa"/>
            <w:tcBorders>
              <w:top w:val="single" w:sz="4" w:space="0" w:color="auto"/>
              <w:left w:val="single" w:sz="4" w:space="0" w:color="auto"/>
              <w:bottom w:val="single" w:sz="4" w:space="0" w:color="auto"/>
              <w:right w:val="single" w:sz="4" w:space="0" w:color="auto"/>
            </w:tcBorders>
          </w:tcPr>
          <w:p w14:paraId="4ED9198E" w14:textId="77777777" w:rsidR="000A3D85" w:rsidRPr="00D178ED" w:rsidRDefault="000A3D85" w:rsidP="00AC24FC">
            <w:pPr>
              <w:pStyle w:val="BodyText2"/>
            </w:pPr>
            <w:r w:rsidRPr="00D178ED">
              <w:t>Commerce</w:t>
            </w:r>
          </w:p>
          <w:p w14:paraId="79B640B0" w14:textId="77777777" w:rsidR="000A3D85" w:rsidRPr="00D178ED" w:rsidRDefault="000A3D85" w:rsidP="00AC24FC">
            <w:pPr>
              <w:pStyle w:val="BodyText2"/>
            </w:pPr>
          </w:p>
          <w:p w14:paraId="5FDC938D" w14:textId="77777777" w:rsidR="000A3D85" w:rsidRPr="00D178ED" w:rsidRDefault="000A3D85" w:rsidP="00AC24FC">
            <w:pPr>
              <w:pStyle w:val="BodyText2"/>
            </w:pPr>
          </w:p>
        </w:tc>
        <w:tc>
          <w:tcPr>
            <w:tcW w:w="456" w:type="dxa"/>
            <w:tcBorders>
              <w:top w:val="single" w:sz="4" w:space="0" w:color="auto"/>
              <w:left w:val="single" w:sz="4" w:space="0" w:color="auto"/>
              <w:bottom w:val="single" w:sz="4" w:space="0" w:color="auto"/>
              <w:right w:val="single" w:sz="4" w:space="0" w:color="auto"/>
            </w:tcBorders>
          </w:tcPr>
          <w:p w14:paraId="2C156C8E" w14:textId="77777777" w:rsidR="000A3D85" w:rsidRPr="00D178ED" w:rsidRDefault="000A3D85" w:rsidP="00AC24FC">
            <w:pPr>
              <w:pStyle w:val="BodyText2"/>
            </w:pPr>
            <w:r w:rsidRPr="00D178ED">
              <w:t>50</w:t>
            </w:r>
          </w:p>
        </w:tc>
        <w:tc>
          <w:tcPr>
            <w:tcW w:w="803" w:type="dxa"/>
            <w:tcBorders>
              <w:top w:val="single" w:sz="4" w:space="0" w:color="auto"/>
              <w:left w:val="single" w:sz="4" w:space="0" w:color="auto"/>
              <w:bottom w:val="single" w:sz="4" w:space="0" w:color="auto"/>
              <w:right w:val="single" w:sz="4" w:space="0" w:color="auto"/>
            </w:tcBorders>
          </w:tcPr>
          <w:p w14:paraId="4CF23F61" w14:textId="77777777" w:rsidR="000A3D85" w:rsidRPr="00D178ED" w:rsidRDefault="000A3D85" w:rsidP="00AC24FC">
            <w:pPr>
              <w:pStyle w:val="BodyText2"/>
            </w:pPr>
            <w:r w:rsidRPr="00D178ED">
              <w:t>76.32</w:t>
            </w:r>
          </w:p>
        </w:tc>
        <w:tc>
          <w:tcPr>
            <w:tcW w:w="1116" w:type="dxa"/>
            <w:tcBorders>
              <w:top w:val="single" w:sz="4" w:space="0" w:color="auto"/>
              <w:left w:val="single" w:sz="4" w:space="0" w:color="auto"/>
              <w:bottom w:val="single" w:sz="4" w:space="0" w:color="auto"/>
              <w:right w:val="single" w:sz="4" w:space="0" w:color="auto"/>
            </w:tcBorders>
          </w:tcPr>
          <w:p w14:paraId="04764422" w14:textId="77777777" w:rsidR="000A3D85" w:rsidRPr="00D178ED" w:rsidRDefault="000A3D85" w:rsidP="00AC24FC">
            <w:pPr>
              <w:pStyle w:val="BodyText2"/>
            </w:pPr>
            <w:r w:rsidRPr="00D178ED">
              <w:t>12.18638</w:t>
            </w:r>
          </w:p>
          <w:p w14:paraId="4820824D" w14:textId="77777777" w:rsidR="000A3D85" w:rsidRPr="00D178ED" w:rsidRDefault="000A3D85" w:rsidP="00AC24FC">
            <w:pPr>
              <w:pStyle w:val="BodyText2"/>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3956C" w14:textId="77777777" w:rsidR="000A3D85" w:rsidRPr="00D178ED" w:rsidRDefault="000A3D85" w:rsidP="00AC24FC">
            <w:pPr>
              <w:pStyle w:val="BodyText2"/>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814B8" w14:textId="77777777" w:rsidR="000A3D85" w:rsidRPr="00D178ED" w:rsidRDefault="000A3D85" w:rsidP="00AC24FC">
            <w:pPr>
              <w:pStyle w:val="BodyText2"/>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FB16E" w14:textId="77777777" w:rsidR="000A3D85" w:rsidRPr="00D178ED" w:rsidRDefault="000A3D85" w:rsidP="00AC24FC">
            <w:pPr>
              <w:pStyle w:val="BodyText2"/>
            </w:pPr>
          </w:p>
        </w:tc>
      </w:tr>
    </w:tbl>
    <w:p w14:paraId="54F803CF" w14:textId="77777777" w:rsidR="000A3D85" w:rsidRPr="008131B3" w:rsidRDefault="000A3D85" w:rsidP="000A3D85">
      <w:pPr>
        <w:pStyle w:val="BodyText2"/>
        <w:rPr>
          <w:lang w:val="en-US"/>
        </w:rPr>
      </w:pPr>
      <w:r w:rsidRPr="00D178ED">
        <w:rPr>
          <w:lang w:val="en-US"/>
        </w:rPr>
        <w:t xml:space="preserve">For a better understanding of the researcher </w:t>
      </w:r>
      <w:r>
        <w:rPr>
          <w:lang w:val="en-US"/>
        </w:rPr>
        <w:t>who made</w:t>
      </w:r>
      <w:r w:rsidRPr="00D178ED">
        <w:rPr>
          <w:lang w:val="en-US"/>
        </w:rPr>
        <w:t xml:space="preserve"> the bar graphs, </w:t>
      </w:r>
      <w:r>
        <w:rPr>
          <w:lang w:val="en-US"/>
        </w:rPr>
        <w:t>they</w:t>
      </w:r>
      <w:r w:rsidRPr="00D178ED">
        <w:rPr>
          <w:lang w:val="en-US"/>
        </w:rPr>
        <w:t xml:space="preserve"> </w:t>
      </w:r>
      <w:r>
        <w:rPr>
          <w:lang w:val="en-US"/>
        </w:rPr>
        <w:t>are</w:t>
      </w:r>
      <w:r w:rsidRPr="00D178ED">
        <w:rPr>
          <w:lang w:val="en-US"/>
        </w:rPr>
        <w:t xml:space="preserve"> discussed below.</w:t>
      </w:r>
    </w:p>
    <w:p w14:paraId="075D4101" w14:textId="77777777" w:rsidR="000A3D85" w:rsidRDefault="000A3D85" w:rsidP="000A3D85">
      <w:pPr>
        <w:pStyle w:val="BodyText2"/>
        <w:rPr>
          <w:b/>
          <w:lang w:val="en-US"/>
        </w:rPr>
      </w:pPr>
    </w:p>
    <w:p w14:paraId="0C989C30" w14:textId="30A00E9C" w:rsidR="000A3D85" w:rsidRPr="00D178ED" w:rsidRDefault="000A3D85" w:rsidP="000A3D85">
      <w:pPr>
        <w:pStyle w:val="BodyText2"/>
        <w:rPr>
          <w:b/>
          <w:lang w:val="en-US"/>
        </w:rPr>
      </w:pPr>
      <w:r w:rsidRPr="00D178ED">
        <w:rPr>
          <w:noProof/>
          <w:lang w:val="en-US"/>
        </w:rPr>
        <w:drawing>
          <wp:inline distT="0" distB="0" distL="0" distR="0" wp14:anchorId="6642D86A" wp14:editId="7E4EF296">
            <wp:extent cx="5731510" cy="2781468"/>
            <wp:effectExtent l="0" t="0" r="2540" b="0"/>
            <wp:docPr id="1029785440" name="Chart 4">
              <a:extLst xmlns:a="http://schemas.openxmlformats.org/drawingml/2006/main">
                <a:ext uri="{FF2B5EF4-FFF2-40B4-BE49-F238E27FC236}">
                  <a16:creationId xmlns:a16="http://schemas.microsoft.com/office/drawing/2014/main" id="{8483A65F-48FF-48E6-822F-064CB33025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17F031" w14:textId="1CBD917C" w:rsidR="00D57DF3" w:rsidRPr="00D57DF3" w:rsidRDefault="000A3D85" w:rsidP="00D57DF3">
      <w:pPr>
        <w:jc w:val="both"/>
        <w:rPr>
          <w:rFonts w:ascii="Arial" w:hAnsi="Arial" w:cs="Arial"/>
          <w:b/>
          <w:bCs/>
          <w:i/>
          <w:iCs/>
          <w:sz w:val="20"/>
          <w:szCs w:val="20"/>
        </w:rPr>
      </w:pPr>
      <w:r>
        <w:rPr>
          <w:rFonts w:ascii="Times New Roman" w:hAnsi="Times New Roman" w:cs="Times New Roman"/>
          <w:b/>
          <w:bCs/>
          <w:i/>
          <w:iCs/>
          <w:sz w:val="24"/>
          <w:szCs w:val="24"/>
        </w:rPr>
        <w:t xml:space="preserve">Fig. 4: </w:t>
      </w:r>
      <w:r w:rsidRPr="00D57DF3">
        <w:rPr>
          <w:rFonts w:ascii="Arial" w:hAnsi="Arial" w:cs="Arial"/>
          <w:i/>
          <w:iCs/>
          <w:sz w:val="20"/>
          <w:szCs w:val="20"/>
        </w:rPr>
        <w:t>Difference in the level of awareness towards sustainable development between Science and Commerce students</w:t>
      </w:r>
    </w:p>
    <w:p w14:paraId="5866672F" w14:textId="77777777" w:rsidR="00D57DF3" w:rsidRPr="00D57DF3" w:rsidRDefault="00D57DF3" w:rsidP="00D57DF3">
      <w:pPr>
        <w:jc w:val="both"/>
        <w:rPr>
          <w:rFonts w:ascii="Times New Roman" w:hAnsi="Times New Roman" w:cs="Times New Roman"/>
          <w:b/>
          <w:bCs/>
          <w:sz w:val="24"/>
          <w:szCs w:val="24"/>
        </w:rPr>
      </w:pPr>
      <w:r w:rsidRPr="00D57DF3">
        <w:rPr>
          <w:rFonts w:ascii="Times New Roman" w:hAnsi="Times New Roman" w:cs="Times New Roman"/>
          <w:b/>
          <w:bCs/>
          <w:sz w:val="24"/>
          <w:szCs w:val="24"/>
        </w:rPr>
        <w:t>3.2 Discussion</w:t>
      </w:r>
    </w:p>
    <w:p w14:paraId="4203E68C" w14:textId="69901921" w:rsidR="00D57DF3" w:rsidRPr="00D57DF3" w:rsidRDefault="00D57DF3" w:rsidP="00F90D0C">
      <w:pPr>
        <w:pStyle w:val="BodyText3"/>
        <w:spacing w:line="360" w:lineRule="auto"/>
      </w:pPr>
      <w:r w:rsidRPr="00D57DF3">
        <w:t xml:space="preserve">The findings of the present study reveal that gender and academic stream do not significantly influence the level of awareness towards sustainable development among higher secondary school students. Although male students and Science stream students consistently obtained marginally higher mean scores, these differences did not attain statistical significance, suggesting a broadly uniform level of </w:t>
      </w:r>
      <w:r w:rsidRPr="00D57DF3">
        <w:lastRenderedPageBreak/>
        <w:t>awareness across groups.</w:t>
      </w:r>
      <w:r w:rsidR="00497513" w:rsidRPr="00497513">
        <w:t xml:space="preserve"> </w:t>
      </w:r>
      <w:r w:rsidRPr="00D57DF3">
        <w:t xml:space="preserve">These results align with earlier studies (Gorain, 2022; Sarkar, 2022), which reported that students possess adequate conceptual knowledge of sustainable development but lack its translation into values, attitudes, and practices. The slightly higher awareness among </w:t>
      </w:r>
      <w:r w:rsidR="00497513" w:rsidRPr="00D57DF3">
        <w:t>science</w:t>
      </w:r>
      <w:r w:rsidRPr="00D57DF3">
        <w:t xml:space="preserve"> students may be attributed to greater curricular exposure to environmental and sustainability-related topics, as supported by previous research (Kaur &amp; Kaur, 2022; Mohalik &amp; Rath, 2022).</w:t>
      </w:r>
    </w:p>
    <w:p w14:paraId="4E3422C4" w14:textId="24716DE8" w:rsidR="00D57DF3" w:rsidRPr="00D57DF3" w:rsidRDefault="00D57DF3" w:rsidP="00F90D0C">
      <w:pPr>
        <w:spacing w:line="360" w:lineRule="auto"/>
        <w:jc w:val="both"/>
        <w:rPr>
          <w:rFonts w:ascii="Arial" w:hAnsi="Arial" w:cs="Arial"/>
          <w:sz w:val="20"/>
          <w:szCs w:val="20"/>
        </w:rPr>
      </w:pPr>
      <w:r w:rsidRPr="00D57DF3">
        <w:rPr>
          <w:rFonts w:ascii="Arial" w:hAnsi="Arial" w:cs="Arial"/>
          <w:sz w:val="20"/>
          <w:szCs w:val="20"/>
        </w:rPr>
        <w:t>However, the absence of significant differences across streams indicates that sustainability education has not been sufficiently integrated into higher secondary curricula, irrespective of discipline. This supports the argument that sustainable development should be approached as a cross-curricular and value-oriented educational goal, rather than being confined to science-related subjects (Biswas, 2018; Das et al., 2014; Alahmadi &amp; Alnaim, 2023).</w:t>
      </w:r>
      <w:r w:rsidR="00497513" w:rsidRPr="00497513">
        <w:rPr>
          <w:rFonts w:ascii="Arial" w:hAnsi="Arial" w:cs="Arial"/>
          <w:sz w:val="20"/>
          <w:szCs w:val="20"/>
        </w:rPr>
        <w:t xml:space="preserve"> </w:t>
      </w:r>
      <w:r w:rsidRPr="00D57DF3">
        <w:rPr>
          <w:rFonts w:ascii="Arial" w:hAnsi="Arial" w:cs="Arial"/>
          <w:sz w:val="20"/>
          <w:szCs w:val="20"/>
        </w:rPr>
        <w:t>Overall, the findings highlight the need for action-oriented, experiential, and skill-based learning strategies in higher secondary education to move beyond awareness and foster responsible</w:t>
      </w:r>
      <w:r w:rsidR="00497513">
        <w:rPr>
          <w:rFonts w:ascii="Arial" w:hAnsi="Arial" w:cs="Arial"/>
          <w:sz w:val="20"/>
          <w:szCs w:val="20"/>
        </w:rPr>
        <w:t>,</w:t>
      </w:r>
      <w:r w:rsidRPr="00D57DF3">
        <w:rPr>
          <w:rFonts w:ascii="Arial" w:hAnsi="Arial" w:cs="Arial"/>
          <w:sz w:val="20"/>
          <w:szCs w:val="20"/>
        </w:rPr>
        <w:t xml:space="preserve"> sustainable behaviors in line with Agenda 2030 and the Sustainable Development Goals (SDGs).</w:t>
      </w:r>
    </w:p>
    <w:p w14:paraId="22612833" w14:textId="2AE72BB2" w:rsidR="008530FE" w:rsidRPr="00D83023" w:rsidRDefault="008530FE" w:rsidP="008530FE">
      <w:pPr>
        <w:pStyle w:val="BodyText2"/>
        <w:rPr>
          <w:rFonts w:ascii="Arial" w:hAnsi="Arial" w:cs="Arial"/>
          <w:sz w:val="22"/>
          <w:szCs w:val="22"/>
          <w:lang w:val="en-US"/>
        </w:rPr>
      </w:pPr>
      <w:r w:rsidRPr="00D83023">
        <w:rPr>
          <w:rFonts w:ascii="Arial" w:hAnsi="Arial" w:cs="Arial"/>
          <w:b/>
          <w:bCs/>
          <w:sz w:val="22"/>
          <w:szCs w:val="22"/>
          <w:lang w:val="en-US"/>
        </w:rPr>
        <w:t>Major Findings</w:t>
      </w:r>
      <w:r w:rsidR="00D83023">
        <w:rPr>
          <w:rFonts w:ascii="Arial" w:hAnsi="Arial" w:cs="Arial"/>
          <w:b/>
          <w:bCs/>
          <w:sz w:val="22"/>
          <w:szCs w:val="22"/>
          <w:lang w:val="en-US"/>
        </w:rPr>
        <w:t>:</w:t>
      </w:r>
    </w:p>
    <w:p w14:paraId="044FFDC1" w14:textId="41F2D8B3" w:rsidR="008530FE" w:rsidRPr="00D83023" w:rsidRDefault="008530FE" w:rsidP="00F90D0C">
      <w:pPr>
        <w:pStyle w:val="BodyText2"/>
        <w:spacing w:line="360" w:lineRule="auto"/>
        <w:rPr>
          <w:rFonts w:ascii="Arial" w:hAnsi="Arial" w:cs="Arial"/>
          <w:sz w:val="20"/>
          <w:szCs w:val="20"/>
        </w:rPr>
      </w:pPr>
      <w:r w:rsidRPr="00F90D0C">
        <w:rPr>
          <w:rFonts w:ascii="Arial" w:hAnsi="Arial" w:cs="Arial"/>
          <w:sz w:val="20"/>
          <w:szCs w:val="20"/>
        </w:rPr>
        <w:t>Taking academic stream and gender into account, the survey sought to determine how well-</w:t>
      </w:r>
      <w:r w:rsidRPr="00D83023">
        <w:rPr>
          <w:rFonts w:ascii="Arial" w:hAnsi="Arial" w:cs="Arial"/>
          <w:sz w:val="20"/>
          <w:szCs w:val="20"/>
        </w:rPr>
        <w:t xml:space="preserve">informed higher secondary school students were regarding sustainable development. Significant variations in mean scores were </w:t>
      </w:r>
      <w:r w:rsidR="000C3557" w:rsidRPr="00D83023">
        <w:rPr>
          <w:rFonts w:ascii="Arial" w:hAnsi="Arial" w:cs="Arial"/>
          <w:sz w:val="20"/>
          <w:szCs w:val="20"/>
        </w:rPr>
        <w:t>analyzed</w:t>
      </w:r>
      <w:r w:rsidRPr="00D83023">
        <w:rPr>
          <w:rFonts w:ascii="Arial" w:hAnsi="Arial" w:cs="Arial"/>
          <w:sz w:val="20"/>
          <w:szCs w:val="20"/>
        </w:rPr>
        <w:t xml:space="preserve"> using t-tests, and quantitative data </w:t>
      </w:r>
      <w:r w:rsidR="000C3557" w:rsidRPr="00D83023">
        <w:rPr>
          <w:rFonts w:ascii="Arial" w:hAnsi="Arial" w:cs="Arial"/>
          <w:sz w:val="20"/>
          <w:szCs w:val="20"/>
        </w:rPr>
        <w:t>were</w:t>
      </w:r>
      <w:r w:rsidRPr="00D83023">
        <w:rPr>
          <w:rFonts w:ascii="Arial" w:hAnsi="Arial" w:cs="Arial"/>
          <w:sz w:val="20"/>
          <w:szCs w:val="20"/>
        </w:rPr>
        <w:t xml:space="preserve"> gathered using a self-made tool. An initial survey analysis of the study’s 150 responses was carried out. The percentage of male and female students was 50% each, while </w:t>
      </w:r>
      <w:r w:rsidR="000C3557" w:rsidRPr="00D83023">
        <w:rPr>
          <w:rFonts w:ascii="Arial" w:hAnsi="Arial" w:cs="Arial"/>
          <w:sz w:val="20"/>
          <w:szCs w:val="20"/>
        </w:rPr>
        <w:t xml:space="preserve">the </w:t>
      </w:r>
      <w:r w:rsidRPr="00D83023">
        <w:rPr>
          <w:rFonts w:ascii="Arial" w:hAnsi="Arial" w:cs="Arial"/>
          <w:sz w:val="20"/>
          <w:szCs w:val="20"/>
        </w:rPr>
        <w:t>proportion of students in the arts, science, and commerce streams was 33.3% each.</w:t>
      </w:r>
    </w:p>
    <w:p w14:paraId="0BC684B2" w14:textId="77777777" w:rsidR="008530FE" w:rsidRPr="00D83023" w:rsidRDefault="008530FE" w:rsidP="008530FE">
      <w:pPr>
        <w:pStyle w:val="BodyText2"/>
        <w:rPr>
          <w:rFonts w:ascii="Arial" w:hAnsi="Arial" w:cs="Arial"/>
          <w:bCs/>
          <w:sz w:val="20"/>
          <w:szCs w:val="20"/>
          <w:lang w:val="en-US"/>
        </w:rPr>
      </w:pPr>
      <w:r w:rsidRPr="00D83023">
        <w:rPr>
          <w:rFonts w:ascii="Arial" w:hAnsi="Arial" w:cs="Arial"/>
          <w:sz w:val="20"/>
          <w:szCs w:val="20"/>
          <w:lang w:val="en-US"/>
        </w:rPr>
        <w:t>The following key conclusions were drawn from the data analysis and test of the hypotheses:</w:t>
      </w:r>
    </w:p>
    <w:p w14:paraId="59DD6140" w14:textId="77777777" w:rsidR="008530FE" w:rsidRPr="00D83023" w:rsidRDefault="008530FE" w:rsidP="00F90D0C">
      <w:pPr>
        <w:pStyle w:val="BodyText2"/>
        <w:numPr>
          <w:ilvl w:val="0"/>
          <w:numId w:val="3"/>
        </w:numPr>
        <w:spacing w:line="360" w:lineRule="auto"/>
        <w:rPr>
          <w:rFonts w:ascii="Arial" w:hAnsi="Arial" w:cs="Arial"/>
          <w:bCs/>
          <w:sz w:val="20"/>
          <w:szCs w:val="20"/>
          <w:lang w:val="en-US"/>
        </w:rPr>
      </w:pPr>
      <w:r w:rsidRPr="00D83023">
        <w:rPr>
          <w:rFonts w:ascii="Arial" w:hAnsi="Arial" w:cs="Arial"/>
          <w:sz w:val="20"/>
          <w:szCs w:val="20"/>
          <w:lang w:val="en-US"/>
        </w:rPr>
        <w:t>Gender does not significantly impact awareness</w:t>
      </w:r>
      <w:r w:rsidRPr="00D83023">
        <w:rPr>
          <w:rFonts w:ascii="Arial" w:hAnsi="Arial" w:cs="Arial"/>
          <w:b/>
          <w:sz w:val="20"/>
          <w:szCs w:val="20"/>
          <w:lang w:val="en-US"/>
        </w:rPr>
        <w:t xml:space="preserve"> </w:t>
      </w:r>
      <w:r w:rsidRPr="00D83023">
        <w:rPr>
          <w:rFonts w:ascii="Arial" w:hAnsi="Arial" w:cs="Arial"/>
          <w:sz w:val="20"/>
          <w:szCs w:val="20"/>
          <w:lang w:val="en-US"/>
        </w:rPr>
        <w:t>of sustainable development. Both male and female senior secondary students have equal awareness levels, although male students marginally outperformed females in terms of mean score.</w:t>
      </w:r>
    </w:p>
    <w:p w14:paraId="1CE8C41F" w14:textId="77777777" w:rsidR="008530FE" w:rsidRPr="00D83023" w:rsidRDefault="008530FE" w:rsidP="00F90D0C">
      <w:pPr>
        <w:pStyle w:val="BodyText2"/>
        <w:numPr>
          <w:ilvl w:val="0"/>
          <w:numId w:val="3"/>
        </w:numPr>
        <w:spacing w:line="360" w:lineRule="auto"/>
        <w:rPr>
          <w:rFonts w:ascii="Arial" w:hAnsi="Arial" w:cs="Arial"/>
          <w:bCs/>
          <w:sz w:val="20"/>
          <w:szCs w:val="20"/>
          <w:lang w:val="en-US"/>
        </w:rPr>
      </w:pPr>
      <w:r w:rsidRPr="00D83023">
        <w:rPr>
          <w:rFonts w:ascii="Arial" w:hAnsi="Arial" w:cs="Arial"/>
          <w:sz w:val="20"/>
          <w:szCs w:val="20"/>
          <w:lang w:val="en-US"/>
        </w:rPr>
        <w:t>There isn’t a noticeable variance in awareness levels across the academic streams</w:t>
      </w:r>
      <w:r w:rsidRPr="00D83023">
        <w:rPr>
          <w:rFonts w:ascii="Arial" w:hAnsi="Arial" w:cs="Arial"/>
          <w:b/>
          <w:sz w:val="20"/>
          <w:szCs w:val="20"/>
          <w:lang w:val="en-US"/>
        </w:rPr>
        <w:t xml:space="preserve"> </w:t>
      </w:r>
      <w:r w:rsidRPr="00D83023">
        <w:rPr>
          <w:rFonts w:ascii="Arial" w:hAnsi="Arial" w:cs="Arial"/>
          <w:sz w:val="20"/>
          <w:szCs w:val="20"/>
          <w:lang w:val="en-US"/>
        </w:rPr>
        <w:t>of Arts, Science, and Commerce. While science and commerce students showed marginally higher awareness mean scores than arts students, none of the differences were statistically significant.</w:t>
      </w:r>
    </w:p>
    <w:p w14:paraId="28B89402" w14:textId="229F7846" w:rsidR="008530FE" w:rsidRPr="00D83023" w:rsidRDefault="008530FE" w:rsidP="00F90D0C">
      <w:pPr>
        <w:pStyle w:val="BodyText2"/>
        <w:numPr>
          <w:ilvl w:val="0"/>
          <w:numId w:val="3"/>
        </w:numPr>
        <w:spacing w:line="360" w:lineRule="auto"/>
        <w:rPr>
          <w:rFonts w:ascii="Arial" w:hAnsi="Arial" w:cs="Arial"/>
          <w:bCs/>
          <w:sz w:val="20"/>
          <w:szCs w:val="20"/>
          <w:lang w:val="en-US"/>
        </w:rPr>
      </w:pPr>
      <w:r w:rsidRPr="00D83023">
        <w:rPr>
          <w:rFonts w:ascii="Arial" w:hAnsi="Arial" w:cs="Arial"/>
          <w:sz w:val="20"/>
          <w:szCs w:val="20"/>
          <w:lang w:val="en-US"/>
        </w:rPr>
        <w:t>Mean scores across all groups (gender and streams</w:t>
      </w:r>
      <w:r w:rsidRPr="00D83023">
        <w:rPr>
          <w:rFonts w:ascii="Arial" w:hAnsi="Arial" w:cs="Arial"/>
          <w:b/>
          <w:bCs/>
          <w:sz w:val="20"/>
          <w:szCs w:val="20"/>
          <w:lang w:val="en-US"/>
        </w:rPr>
        <w:t>)</w:t>
      </w:r>
      <w:r w:rsidRPr="00D83023">
        <w:rPr>
          <w:rFonts w:ascii="Arial" w:hAnsi="Arial" w:cs="Arial"/>
          <w:b/>
          <w:sz w:val="20"/>
          <w:szCs w:val="20"/>
          <w:lang w:val="en-US"/>
        </w:rPr>
        <w:t xml:space="preserve"> </w:t>
      </w:r>
      <w:r w:rsidR="00CB681C" w:rsidRPr="00D83023">
        <w:rPr>
          <w:rFonts w:ascii="Arial" w:hAnsi="Arial" w:cs="Arial"/>
          <w:sz w:val="20"/>
          <w:szCs w:val="20"/>
          <w:lang w:val="en-US"/>
        </w:rPr>
        <w:t>show</w:t>
      </w:r>
      <w:r w:rsidRPr="00D83023">
        <w:rPr>
          <w:rFonts w:ascii="Arial" w:hAnsi="Arial" w:cs="Arial"/>
          <w:sz w:val="20"/>
          <w:szCs w:val="20"/>
          <w:lang w:val="en-US"/>
        </w:rPr>
        <w:t xml:space="preserve"> a moderate to elevated level of consciousness of sustainable development, suggesting that students, regardless of background, possess a fairly consistent understanding of the topic.</w:t>
      </w:r>
    </w:p>
    <w:p w14:paraId="4C12D3C9" w14:textId="7C5DE468" w:rsidR="008530FE" w:rsidRPr="00D83023" w:rsidRDefault="008530FE" w:rsidP="00F90D0C">
      <w:pPr>
        <w:pStyle w:val="BodyText2"/>
        <w:numPr>
          <w:ilvl w:val="0"/>
          <w:numId w:val="3"/>
        </w:numPr>
        <w:spacing w:line="360" w:lineRule="auto"/>
        <w:rPr>
          <w:rFonts w:ascii="Arial" w:hAnsi="Arial" w:cs="Arial"/>
          <w:bCs/>
          <w:sz w:val="20"/>
          <w:szCs w:val="20"/>
          <w:lang w:val="en-US"/>
        </w:rPr>
      </w:pPr>
      <w:r w:rsidRPr="00D83023">
        <w:rPr>
          <w:rFonts w:ascii="Arial" w:hAnsi="Arial" w:cs="Arial"/>
          <w:sz w:val="20"/>
          <w:szCs w:val="20"/>
          <w:lang w:val="en-US"/>
        </w:rPr>
        <w:t xml:space="preserve">The findings suggest that factors like gender and academic stream </w:t>
      </w:r>
      <w:r w:rsidR="00A846ED" w:rsidRPr="00D83023">
        <w:rPr>
          <w:rFonts w:ascii="Arial" w:hAnsi="Arial" w:cs="Arial"/>
          <w:sz w:val="20"/>
          <w:szCs w:val="20"/>
          <w:lang w:val="en-US"/>
        </w:rPr>
        <w:t>do not</w:t>
      </w:r>
      <w:r w:rsidRPr="00D83023">
        <w:rPr>
          <w:rFonts w:ascii="Arial" w:hAnsi="Arial" w:cs="Arial"/>
          <w:sz w:val="20"/>
          <w:szCs w:val="20"/>
          <w:lang w:val="en-US"/>
        </w:rPr>
        <w:t xml:space="preserve"> </w:t>
      </w:r>
      <w:r w:rsidR="00A846ED" w:rsidRPr="00D83023">
        <w:rPr>
          <w:rFonts w:ascii="Arial" w:hAnsi="Arial" w:cs="Arial"/>
          <w:sz w:val="20"/>
          <w:szCs w:val="20"/>
          <w:lang w:val="en-US"/>
        </w:rPr>
        <w:t>play</w:t>
      </w:r>
      <w:r w:rsidRPr="00D83023">
        <w:rPr>
          <w:rFonts w:ascii="Arial" w:hAnsi="Arial" w:cs="Arial"/>
          <w:sz w:val="20"/>
          <w:szCs w:val="20"/>
          <w:lang w:val="en-US"/>
        </w:rPr>
        <w:t xml:space="preserve"> a statistically significant role</w:t>
      </w:r>
      <w:r w:rsidRPr="00D83023">
        <w:rPr>
          <w:rFonts w:ascii="Arial" w:hAnsi="Arial" w:cs="Arial"/>
          <w:b/>
          <w:sz w:val="20"/>
          <w:szCs w:val="20"/>
          <w:lang w:val="en-US"/>
        </w:rPr>
        <w:t xml:space="preserve"> </w:t>
      </w:r>
      <w:r w:rsidRPr="00D83023">
        <w:rPr>
          <w:rFonts w:ascii="Arial" w:hAnsi="Arial" w:cs="Arial"/>
          <w:sz w:val="20"/>
          <w:szCs w:val="20"/>
          <w:lang w:val="en-US"/>
        </w:rPr>
        <w:t>in shaping sustainable development awareness at the senior secondary level. This might reflect the uniformity in educational exposure to sustainability issues or the increasing public discourse around climate change and environmental responsibility that transcends classroom divisions.</w:t>
      </w:r>
    </w:p>
    <w:p w14:paraId="191A981D" w14:textId="77777777" w:rsidR="008131B3" w:rsidRDefault="008131B3" w:rsidP="008B35B5">
      <w:pPr>
        <w:jc w:val="both"/>
        <w:rPr>
          <w:rFonts w:ascii="Times New Roman" w:hAnsi="Times New Roman" w:cs="Times New Roman"/>
          <w:b/>
          <w:bCs/>
          <w:sz w:val="24"/>
          <w:szCs w:val="24"/>
          <w:lang w:val="en-US"/>
        </w:rPr>
      </w:pPr>
    </w:p>
    <w:p w14:paraId="056D9F69" w14:textId="49CD0A30" w:rsidR="00290B21" w:rsidRPr="00D83023" w:rsidRDefault="00D83023" w:rsidP="008B35B5">
      <w:pPr>
        <w:jc w:val="both"/>
        <w:rPr>
          <w:rFonts w:ascii="Arial" w:hAnsi="Arial" w:cs="Arial"/>
          <w:b/>
          <w:bCs/>
          <w:lang w:val="en-US"/>
        </w:rPr>
      </w:pPr>
      <w:r w:rsidRPr="00D83023">
        <w:rPr>
          <w:rFonts w:ascii="Arial" w:hAnsi="Arial" w:cs="Arial"/>
          <w:b/>
          <w:bCs/>
          <w:lang w:val="en-US"/>
        </w:rPr>
        <w:t>CONCLUSION:</w:t>
      </w:r>
    </w:p>
    <w:p w14:paraId="6ED692CF" w14:textId="76AEFB9A" w:rsidR="005A40A7" w:rsidRDefault="001A0DF0" w:rsidP="00F90D0C">
      <w:pPr>
        <w:pStyle w:val="BodyText2"/>
        <w:spacing w:line="360" w:lineRule="auto"/>
        <w:rPr>
          <w:rFonts w:ascii="Arial" w:hAnsi="Arial" w:cs="Arial"/>
          <w:sz w:val="20"/>
          <w:szCs w:val="20"/>
        </w:rPr>
      </w:pPr>
      <w:r w:rsidRPr="00D83023">
        <w:rPr>
          <w:rFonts w:ascii="Arial" w:hAnsi="Arial" w:cs="Arial"/>
          <w:sz w:val="20"/>
          <w:szCs w:val="20"/>
        </w:rPr>
        <w:t>This study assessed sustainable development awareness among higher secondary students in Odisha. Results showed a moderate level of awareness, with basic knowledge of environmental conservation, renewable energy, waste management, and climate change, but limited understanding of specific SDGs like poverty reduction, gender equality, and sustainable growth. Gender and stream-based differences were minimal, reflecting equal access to sustainability-related education through curriculum, activities, and community programs. While students valued sustainable practices, their knowledge lacked depth, highlighting the need for stronger educational initiatives, workshops, and campaigns. Students showed interest in learning more and applying sustainability in daily life. Schools and local authorities can build on this by promoting green technologies, environmental campaigns, and hands-on experiences to deepen understanding and commitment.</w:t>
      </w:r>
    </w:p>
    <w:p w14:paraId="76ED3E95" w14:textId="77777777" w:rsidR="00E95175" w:rsidRDefault="00E95175" w:rsidP="00F90D0C">
      <w:pPr>
        <w:pStyle w:val="BodyText2"/>
        <w:spacing w:line="360" w:lineRule="auto"/>
        <w:rPr>
          <w:rFonts w:ascii="Arial" w:hAnsi="Arial" w:cs="Arial"/>
          <w:sz w:val="20"/>
          <w:szCs w:val="20"/>
        </w:rPr>
      </w:pPr>
    </w:p>
    <w:p w14:paraId="3DA76136" w14:textId="77777777" w:rsidR="00E95175" w:rsidRPr="00E95175" w:rsidRDefault="00E95175" w:rsidP="00E95175">
      <w:pPr>
        <w:pStyle w:val="BodyText2"/>
        <w:spacing w:line="360" w:lineRule="auto"/>
        <w:rPr>
          <w:rFonts w:ascii="Arial" w:hAnsi="Arial" w:cs="Arial"/>
          <w:sz w:val="20"/>
          <w:szCs w:val="20"/>
        </w:rPr>
      </w:pPr>
      <w:r w:rsidRPr="00E95175">
        <w:rPr>
          <w:rFonts w:ascii="Arial" w:hAnsi="Arial" w:cs="Arial"/>
          <w:sz w:val="20"/>
          <w:szCs w:val="20"/>
        </w:rPr>
        <w:t>COMPETING INTERESTS DISCLAIMER:</w:t>
      </w:r>
    </w:p>
    <w:p w14:paraId="7D5ECD0A" w14:textId="59491F18" w:rsidR="00E95175" w:rsidRDefault="00E95175" w:rsidP="00E95175">
      <w:pPr>
        <w:pStyle w:val="BodyText2"/>
        <w:spacing w:line="360" w:lineRule="auto"/>
        <w:rPr>
          <w:rFonts w:ascii="Arial" w:hAnsi="Arial" w:cs="Arial"/>
          <w:sz w:val="20"/>
          <w:szCs w:val="20"/>
        </w:rPr>
      </w:pPr>
      <w:r w:rsidRPr="00E95175">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73193DD5" w14:textId="77777777" w:rsidR="00E95175" w:rsidRPr="00D83023" w:rsidRDefault="00E95175" w:rsidP="00F90D0C">
      <w:pPr>
        <w:pStyle w:val="BodyText2"/>
        <w:spacing w:line="360" w:lineRule="auto"/>
        <w:rPr>
          <w:rFonts w:ascii="Arial" w:hAnsi="Arial" w:cs="Arial"/>
          <w:sz w:val="20"/>
          <w:szCs w:val="20"/>
          <w:lang w:val="en-US"/>
        </w:rPr>
      </w:pPr>
    </w:p>
    <w:p w14:paraId="25AA0018" w14:textId="243E840A" w:rsidR="00290B21" w:rsidRPr="00D83023" w:rsidRDefault="00D83023" w:rsidP="008B35B5">
      <w:pPr>
        <w:jc w:val="both"/>
        <w:rPr>
          <w:rFonts w:ascii="Arial" w:hAnsi="Arial" w:cs="Arial"/>
          <w:b/>
          <w:bCs/>
          <w:sz w:val="20"/>
          <w:szCs w:val="20"/>
          <w:lang w:val="en-US"/>
        </w:rPr>
      </w:pPr>
      <w:r w:rsidRPr="00D83023">
        <w:rPr>
          <w:rFonts w:ascii="Arial" w:hAnsi="Arial" w:cs="Arial"/>
          <w:b/>
          <w:bCs/>
          <w:sz w:val="20"/>
          <w:szCs w:val="20"/>
          <w:lang w:val="en-US"/>
        </w:rPr>
        <w:t>REFERENCES:</w:t>
      </w:r>
    </w:p>
    <w:p w14:paraId="2C90A340" w14:textId="248F1569" w:rsidR="008C03CE" w:rsidRPr="000B3FEF" w:rsidRDefault="008C03CE" w:rsidP="000B3FEF">
      <w:pPr>
        <w:jc w:val="both"/>
        <w:rPr>
          <w:rFonts w:ascii="Times New Roman" w:hAnsi="Times New Roman" w:cs="Times New Roman"/>
          <w:sz w:val="24"/>
          <w:szCs w:val="24"/>
        </w:rPr>
      </w:pPr>
      <w:proofErr w:type="spellStart"/>
      <w:r w:rsidRPr="000B3FEF">
        <w:rPr>
          <w:rFonts w:ascii="Times New Roman" w:hAnsi="Times New Roman" w:cs="Times New Roman"/>
          <w:sz w:val="24"/>
          <w:szCs w:val="24"/>
        </w:rPr>
        <w:t>Adesogan</w:t>
      </w:r>
      <w:proofErr w:type="spellEnd"/>
      <w:r w:rsidRPr="000B3FEF">
        <w:rPr>
          <w:rFonts w:ascii="Times New Roman" w:hAnsi="Times New Roman" w:cs="Times New Roman"/>
          <w:sz w:val="24"/>
          <w:szCs w:val="24"/>
        </w:rPr>
        <w:t xml:space="preserve">, S. O. (2018). Assessment of sustainable development goals 6.1 and 6.2 in rural small communities of Ondo State, Nigeria. *Journal of Global Ecology and Environment*, *8*(2), 104–111. </w:t>
      </w:r>
      <w:hyperlink r:id="rId11" w:history="1">
        <w:r w:rsidRPr="000B3FEF">
          <w:rPr>
            <w:rStyle w:val="Hyperlink"/>
            <w:rFonts w:ascii="Times New Roman" w:hAnsi="Times New Roman" w:cs="Times New Roman"/>
            <w:sz w:val="24"/>
            <w:szCs w:val="24"/>
          </w:rPr>
          <w:t>https://ikprress.org/index.php/JOGEE/article/view/2018-8-2-104-111/100</w:t>
        </w:r>
      </w:hyperlink>
    </w:p>
    <w:p w14:paraId="41B2DEEA" w14:textId="7B745562"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b/>
          <w:bCs/>
          <w:sz w:val="24"/>
          <w:szCs w:val="24"/>
        </w:rPr>
        <w:t xml:space="preserve">Agboola, O. S., &amp; Emmanuel, M. (2016). Awareness of climate change and sustainable development among undergraduates from two selected universities in Oyo State, Nigeria. World Journal of Education, 6(3), 70–81. </w:t>
      </w:r>
      <w:hyperlink r:id="rId12" w:history="1">
        <w:r w:rsidRPr="000B3FEF">
          <w:rPr>
            <w:rStyle w:val="Hyperlink"/>
            <w:rFonts w:ascii="Times New Roman" w:hAnsi="Times New Roman" w:cs="Times New Roman"/>
            <w:b/>
            <w:bCs/>
            <w:sz w:val="24"/>
            <w:szCs w:val="24"/>
          </w:rPr>
          <w:t>https://doi.org/10.5430/wje.v6n3p70</w:t>
        </w:r>
      </w:hyperlink>
    </w:p>
    <w:p w14:paraId="2690DC11" w14:textId="127B2DC7"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Alahmadi, M. A., &amp; </w:t>
      </w:r>
      <w:proofErr w:type="spellStart"/>
      <w:r w:rsidRPr="000B3FEF">
        <w:rPr>
          <w:rFonts w:ascii="Times New Roman" w:hAnsi="Times New Roman" w:cs="Times New Roman"/>
          <w:sz w:val="24"/>
          <w:szCs w:val="24"/>
        </w:rPr>
        <w:t>Alnaim</w:t>
      </w:r>
      <w:proofErr w:type="spellEnd"/>
      <w:r w:rsidRPr="000B3FEF">
        <w:rPr>
          <w:rFonts w:ascii="Times New Roman" w:hAnsi="Times New Roman" w:cs="Times New Roman"/>
          <w:sz w:val="24"/>
          <w:szCs w:val="24"/>
        </w:rPr>
        <w:t xml:space="preserve">, M. F. (2023). The level of awareness of female teachers of students with learning disabilities with the concepts of sustainable development and their application in elementary schools. Information Sciences Letters, 12(5), 1683-1697. </w:t>
      </w:r>
      <w:hyperlink r:id="rId13" w:history="1">
        <w:r w:rsidRPr="000B3FEF">
          <w:rPr>
            <w:rStyle w:val="Hyperlink"/>
            <w:rFonts w:ascii="Times New Roman" w:hAnsi="Times New Roman" w:cs="Times New Roman"/>
            <w:sz w:val="24"/>
            <w:szCs w:val="24"/>
          </w:rPr>
          <w:t>https://doi.org/10.18576/isl/120515</w:t>
        </w:r>
      </w:hyperlink>
    </w:p>
    <w:p w14:paraId="3E0B437C" w14:textId="706CAD1A"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Al-Kuwari, M. M., Al-Fagih, L., &amp; Koç, M. (2021). Asking the right questions for Sustainable Development Goals: Performance Assessment Approaches for the Qatar Education System. Sustainability, 13(7), 3883. </w:t>
      </w:r>
      <w:hyperlink r:id="rId14" w:history="1">
        <w:r w:rsidRPr="000B3FEF">
          <w:rPr>
            <w:rStyle w:val="Hyperlink"/>
            <w:rFonts w:ascii="Times New Roman" w:hAnsi="Times New Roman" w:cs="Times New Roman"/>
            <w:sz w:val="24"/>
            <w:szCs w:val="24"/>
          </w:rPr>
          <w:t>https://doi.org/10.3390/su13073883</w:t>
        </w:r>
      </w:hyperlink>
    </w:p>
    <w:p w14:paraId="6E84A7C0" w14:textId="5F59B2C1"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Amran, A., Perkasa, M., </w:t>
      </w:r>
      <w:proofErr w:type="spellStart"/>
      <w:r w:rsidRPr="000B3FEF">
        <w:rPr>
          <w:rFonts w:ascii="Times New Roman" w:hAnsi="Times New Roman" w:cs="Times New Roman"/>
          <w:sz w:val="24"/>
          <w:szCs w:val="24"/>
        </w:rPr>
        <w:t>Satriawan</w:t>
      </w:r>
      <w:proofErr w:type="spellEnd"/>
      <w:r w:rsidRPr="000B3FEF">
        <w:rPr>
          <w:rFonts w:ascii="Times New Roman" w:hAnsi="Times New Roman" w:cs="Times New Roman"/>
          <w:sz w:val="24"/>
          <w:szCs w:val="24"/>
        </w:rPr>
        <w:t xml:space="preserve">, M., Jasin, I., &amp; </w:t>
      </w:r>
      <w:proofErr w:type="spellStart"/>
      <w:r w:rsidRPr="000B3FEF">
        <w:rPr>
          <w:rFonts w:ascii="Times New Roman" w:hAnsi="Times New Roman" w:cs="Times New Roman"/>
          <w:sz w:val="24"/>
          <w:szCs w:val="24"/>
        </w:rPr>
        <w:t>Irwansyah</w:t>
      </w:r>
      <w:proofErr w:type="spellEnd"/>
      <w:r w:rsidRPr="000B3FEF">
        <w:rPr>
          <w:rFonts w:ascii="Times New Roman" w:hAnsi="Times New Roman" w:cs="Times New Roman"/>
          <w:sz w:val="24"/>
          <w:szCs w:val="24"/>
        </w:rPr>
        <w:t xml:space="preserve">, M. (2019). Assessing students’ 21st century attitude and environmental awareness: Promoting education for sustainable development through science education. Journal of Physics: Conference Series, 1157(2), 022025. </w:t>
      </w:r>
      <w:hyperlink r:id="rId15" w:history="1">
        <w:r w:rsidRPr="000B3FEF">
          <w:rPr>
            <w:rStyle w:val="Hyperlink"/>
            <w:rFonts w:ascii="Times New Roman" w:hAnsi="Times New Roman" w:cs="Times New Roman"/>
            <w:sz w:val="24"/>
            <w:szCs w:val="24"/>
          </w:rPr>
          <w:t>https://doi.org/10.1088/1742-6596/1157/2/022025</w:t>
        </w:r>
      </w:hyperlink>
    </w:p>
    <w:p w14:paraId="6D45D0EA" w14:textId="11A1DB79"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lastRenderedPageBreak/>
        <w:t xml:space="preserve">Barreda, A. B. (2018). Assessing the level of awareness on climate change and sustainable development among students of Partido State University, Camarines Sur, Philippines. Asia Pacific Journal of Multidisciplinary Research, 6, 17–24. </w:t>
      </w:r>
      <w:hyperlink r:id="rId16" w:history="1">
        <w:r w:rsidRPr="000B3FEF">
          <w:rPr>
            <w:rStyle w:val="Hyperlink"/>
            <w:rFonts w:ascii="Times New Roman" w:hAnsi="Times New Roman" w:cs="Times New Roman"/>
            <w:sz w:val="24"/>
            <w:szCs w:val="24"/>
          </w:rPr>
          <w:t>https://zenodo.org/record/7900000</w:t>
        </w:r>
      </w:hyperlink>
    </w:p>
    <w:p w14:paraId="538D4A95" w14:textId="2909C30B"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Biswas, G. (2018). Awareness on Sustainable Development among Secondary School students in </w:t>
      </w:r>
      <w:proofErr w:type="spellStart"/>
      <w:r w:rsidRPr="000B3FEF">
        <w:rPr>
          <w:rFonts w:ascii="Times New Roman" w:hAnsi="Times New Roman" w:cs="Times New Roman"/>
          <w:sz w:val="24"/>
          <w:szCs w:val="24"/>
        </w:rPr>
        <w:t>Papumpare</w:t>
      </w:r>
      <w:proofErr w:type="spellEnd"/>
      <w:r w:rsidRPr="000B3FEF">
        <w:rPr>
          <w:rFonts w:ascii="Times New Roman" w:hAnsi="Times New Roman" w:cs="Times New Roman"/>
          <w:sz w:val="24"/>
          <w:szCs w:val="24"/>
        </w:rPr>
        <w:t xml:space="preserve"> District, Arunachal Pradesh. International Journal of Interdisciplinary Research and Innovations, 6, 412–416. </w:t>
      </w:r>
      <w:hyperlink r:id="rId17" w:history="1">
        <w:r w:rsidRPr="000B3FEF">
          <w:rPr>
            <w:rStyle w:val="Hyperlink"/>
            <w:rFonts w:ascii="Times New Roman" w:hAnsi="Times New Roman" w:cs="Times New Roman"/>
            <w:sz w:val="24"/>
            <w:szCs w:val="24"/>
          </w:rPr>
          <w:t>https://www.researchpublish.com/upload/book/Awareness%20on%20Sustainable%20Development-6821.pdf</w:t>
        </w:r>
      </w:hyperlink>
    </w:p>
    <w:p w14:paraId="4F7801DB" w14:textId="4D2A3F71"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Boote, D. N., &amp; Beile, P. (2005). Scholars before researchers: On the centrality of the dissertation literature review in research preparation. Educational Researcher. </w:t>
      </w:r>
      <w:hyperlink r:id="rId18" w:history="1">
        <w:r w:rsidRPr="000B3FEF">
          <w:rPr>
            <w:rStyle w:val="Hyperlink"/>
            <w:rFonts w:ascii="Times New Roman" w:hAnsi="Times New Roman" w:cs="Times New Roman"/>
            <w:sz w:val="24"/>
            <w:szCs w:val="24"/>
          </w:rPr>
          <w:t>https://doi.org/10.3102/0013189X034006003</w:t>
        </w:r>
      </w:hyperlink>
    </w:p>
    <w:p w14:paraId="45FF9541" w14:textId="70E655D7" w:rsidR="00D83023" w:rsidRPr="000B3FEF" w:rsidRDefault="00D83023"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Borah, S., &amp; Neog, S. (2012). A study on awareness of post-graduate students of Dibrugarh University regarding education for sustainable development. </w:t>
      </w:r>
      <w:r w:rsidRPr="000B3FEF">
        <w:rPr>
          <w:rFonts w:ascii="Times New Roman" w:hAnsi="Times New Roman" w:cs="Times New Roman"/>
          <w:i/>
          <w:iCs/>
          <w:sz w:val="24"/>
          <w:szCs w:val="24"/>
        </w:rPr>
        <w:t>International Journal of Science and Research</w:t>
      </w:r>
      <w:r w:rsidRPr="000B3FEF">
        <w:rPr>
          <w:rFonts w:ascii="Times New Roman" w:hAnsi="Times New Roman" w:cs="Times New Roman"/>
          <w:sz w:val="24"/>
          <w:szCs w:val="24"/>
        </w:rPr>
        <w:t>, 3(7), 1446–1448.</w:t>
      </w:r>
    </w:p>
    <w:p w14:paraId="291BE498" w14:textId="348672CE"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Brito, R. M., Rodríguez, C., &amp; Aparicio, J. L. (2018). Sustainability in Teaching: An Evaluation of University Teachers and Students. Sustainability, 10(2), 439. </w:t>
      </w:r>
      <w:hyperlink r:id="rId19" w:history="1">
        <w:r w:rsidRPr="000B3FEF">
          <w:rPr>
            <w:rStyle w:val="Hyperlink"/>
            <w:rFonts w:ascii="Times New Roman" w:hAnsi="Times New Roman" w:cs="Times New Roman"/>
            <w:sz w:val="24"/>
            <w:szCs w:val="24"/>
          </w:rPr>
          <w:t>https://doi.org/10.3390/su10020439</w:t>
        </w:r>
      </w:hyperlink>
    </w:p>
    <w:p w14:paraId="20F68E75" w14:textId="43838F43" w:rsidR="00D83023" w:rsidRPr="000B3FEF" w:rsidRDefault="00D83023"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Carter, L., Simkins, N., &amp; Simkins, B. (2018). Integrating sustainability into business education: A survey of sustainability teaching practices. </w:t>
      </w:r>
      <w:r w:rsidRPr="000B3FEF">
        <w:rPr>
          <w:rFonts w:ascii="Times New Roman" w:hAnsi="Times New Roman" w:cs="Times New Roman"/>
          <w:i/>
          <w:iCs/>
          <w:sz w:val="24"/>
          <w:szCs w:val="24"/>
        </w:rPr>
        <w:t>Journal of Financial Education</w:t>
      </w:r>
      <w:r w:rsidRPr="000B3FEF">
        <w:rPr>
          <w:rFonts w:ascii="Times New Roman" w:hAnsi="Times New Roman" w:cs="Times New Roman"/>
          <w:sz w:val="24"/>
          <w:szCs w:val="24"/>
        </w:rPr>
        <w:t>, 44(3), 1–26.</w:t>
      </w:r>
    </w:p>
    <w:p w14:paraId="5844E2A3" w14:textId="354FF567"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Cebrián, G., &amp; Junyent, M. (2015). Competencies in education for sustainable development: Exploring the student teachers’ views. Sustainability, 7(3), 2768–2786. </w:t>
      </w:r>
      <w:hyperlink r:id="rId20" w:history="1">
        <w:r w:rsidRPr="000B3FEF">
          <w:rPr>
            <w:rStyle w:val="Hyperlink"/>
            <w:rFonts w:ascii="Times New Roman" w:hAnsi="Times New Roman" w:cs="Times New Roman"/>
            <w:sz w:val="24"/>
            <w:szCs w:val="24"/>
          </w:rPr>
          <w:t>https://doi.org/10.3390/su7032768</w:t>
        </w:r>
      </w:hyperlink>
    </w:p>
    <w:p w14:paraId="72784CA4" w14:textId="18DEE67D"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Costa, M. C., Ferreira, C. A., &amp; Pinho, H. J. (2023). Physics of Sound to Raise Awareness for Sustainable Development Goals in the Context of STEM Hands-On Activities. Sustainability, 15(4), 3676. </w:t>
      </w:r>
      <w:hyperlink r:id="rId21" w:history="1">
        <w:r w:rsidRPr="000B3FEF">
          <w:rPr>
            <w:rStyle w:val="Hyperlink"/>
            <w:rFonts w:ascii="Times New Roman" w:hAnsi="Times New Roman" w:cs="Times New Roman"/>
            <w:sz w:val="24"/>
            <w:szCs w:val="24"/>
          </w:rPr>
          <w:t>https://doi.org/10.3390/su15043676</w:t>
        </w:r>
      </w:hyperlink>
    </w:p>
    <w:p w14:paraId="78DF1A04" w14:textId="36670394" w:rsidR="008C03CE" w:rsidRPr="000B3FEF" w:rsidRDefault="008C03CE" w:rsidP="000B3FEF">
      <w:pPr>
        <w:jc w:val="both"/>
        <w:rPr>
          <w:rFonts w:ascii="Times New Roman" w:hAnsi="Times New Roman" w:cs="Times New Roman"/>
          <w:sz w:val="24"/>
          <w:szCs w:val="24"/>
        </w:rPr>
      </w:pPr>
      <w:proofErr w:type="spellStart"/>
      <w:r w:rsidRPr="000B3FEF">
        <w:rPr>
          <w:rFonts w:ascii="Times New Roman" w:hAnsi="Times New Roman" w:cs="Times New Roman"/>
          <w:sz w:val="24"/>
          <w:szCs w:val="24"/>
        </w:rPr>
        <w:t>Cottafava</w:t>
      </w:r>
      <w:proofErr w:type="spellEnd"/>
      <w:r w:rsidRPr="000B3FEF">
        <w:rPr>
          <w:rFonts w:ascii="Times New Roman" w:hAnsi="Times New Roman" w:cs="Times New Roman"/>
          <w:sz w:val="24"/>
          <w:szCs w:val="24"/>
        </w:rPr>
        <w:t xml:space="preserve">, D., </w:t>
      </w:r>
      <w:proofErr w:type="spellStart"/>
      <w:r w:rsidRPr="000B3FEF">
        <w:rPr>
          <w:rFonts w:ascii="Times New Roman" w:hAnsi="Times New Roman" w:cs="Times New Roman"/>
          <w:sz w:val="24"/>
          <w:szCs w:val="24"/>
        </w:rPr>
        <w:t>Cavaglià</w:t>
      </w:r>
      <w:proofErr w:type="spellEnd"/>
      <w:r w:rsidRPr="000B3FEF">
        <w:rPr>
          <w:rFonts w:ascii="Times New Roman" w:hAnsi="Times New Roman" w:cs="Times New Roman"/>
          <w:sz w:val="24"/>
          <w:szCs w:val="24"/>
        </w:rPr>
        <w:t xml:space="preserve">, G., &amp; Corazza, L. (2019). Education of sustainable development goals through students’ active engagement: A transformative learning experience. Sustainability Accounting, Management and Policy Journal, 10(3), 521–544. </w:t>
      </w:r>
      <w:hyperlink r:id="rId22" w:history="1">
        <w:r w:rsidRPr="000B3FEF">
          <w:rPr>
            <w:rStyle w:val="Hyperlink"/>
            <w:rFonts w:ascii="Times New Roman" w:hAnsi="Times New Roman" w:cs="Times New Roman"/>
            <w:sz w:val="24"/>
            <w:szCs w:val="24"/>
          </w:rPr>
          <w:t>https://doi.org/10.1108/SAMPJ-05-2018-0152</w:t>
        </w:r>
      </w:hyperlink>
    </w:p>
    <w:p w14:paraId="0B568C5D" w14:textId="3FAD5D3F" w:rsidR="00D83023" w:rsidRPr="000B3FEF" w:rsidRDefault="00D83023"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Creswell, J. W., &amp; Creswell, J. D. (2018). </w:t>
      </w:r>
      <w:r w:rsidRPr="000B3FEF">
        <w:rPr>
          <w:rFonts w:ascii="Times New Roman" w:hAnsi="Times New Roman" w:cs="Times New Roman"/>
          <w:i/>
          <w:iCs/>
          <w:sz w:val="24"/>
          <w:szCs w:val="24"/>
        </w:rPr>
        <w:t>Research design: Qualitative, quantitative, and mixed methods approaches</w:t>
      </w:r>
      <w:r w:rsidRPr="000B3FEF">
        <w:rPr>
          <w:rFonts w:ascii="Times New Roman" w:hAnsi="Times New Roman" w:cs="Times New Roman"/>
          <w:sz w:val="24"/>
          <w:szCs w:val="24"/>
        </w:rPr>
        <w:t xml:space="preserve"> (5th ed.). Thousand Oaks, CA: Sage Publications.</w:t>
      </w:r>
    </w:p>
    <w:p w14:paraId="067265E5" w14:textId="23357340"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Das, S. K., Halder, U. K., &amp; </w:t>
      </w:r>
      <w:proofErr w:type="spellStart"/>
      <w:r w:rsidRPr="000B3FEF">
        <w:rPr>
          <w:rFonts w:ascii="Times New Roman" w:hAnsi="Times New Roman" w:cs="Times New Roman"/>
          <w:sz w:val="24"/>
          <w:szCs w:val="24"/>
        </w:rPr>
        <w:t>Bairagya</w:t>
      </w:r>
      <w:proofErr w:type="spellEnd"/>
      <w:r w:rsidRPr="000B3FEF">
        <w:rPr>
          <w:rFonts w:ascii="Times New Roman" w:hAnsi="Times New Roman" w:cs="Times New Roman"/>
          <w:sz w:val="24"/>
          <w:szCs w:val="24"/>
        </w:rPr>
        <w:t xml:space="preserve">, S. (2014). Awareness of school students about sustainable development in education. International Journal of Informative &amp; Futuristic Research, 1(10), 112–116. </w:t>
      </w:r>
      <w:hyperlink r:id="rId23" w:history="1">
        <w:r w:rsidRPr="000B3FEF">
          <w:rPr>
            <w:rStyle w:val="Hyperlink"/>
            <w:rFonts w:ascii="Times New Roman" w:hAnsi="Times New Roman" w:cs="Times New Roman"/>
            <w:sz w:val="24"/>
            <w:szCs w:val="24"/>
          </w:rPr>
          <w:t>http://www.ijifr.com/searchjournal.aspx</w:t>
        </w:r>
      </w:hyperlink>
    </w:p>
    <w:p w14:paraId="028E6E8C" w14:textId="0B0395BD"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Ghosh, K. (2014). Environmental awareness among secondary school students of </w:t>
      </w:r>
      <w:proofErr w:type="spellStart"/>
      <w:r w:rsidRPr="000B3FEF">
        <w:rPr>
          <w:rFonts w:ascii="Times New Roman" w:hAnsi="Times New Roman" w:cs="Times New Roman"/>
          <w:sz w:val="24"/>
          <w:szCs w:val="24"/>
        </w:rPr>
        <w:t>Golaghat</w:t>
      </w:r>
      <w:proofErr w:type="spellEnd"/>
      <w:r w:rsidRPr="000B3FEF">
        <w:rPr>
          <w:rFonts w:ascii="Times New Roman" w:hAnsi="Times New Roman" w:cs="Times New Roman"/>
          <w:sz w:val="24"/>
          <w:szCs w:val="24"/>
        </w:rPr>
        <w:t xml:space="preserve"> district in the state of Assam and their attitude towards environmental education. IOSR Journal of Humanities and Social Science, 19(3), 30–34. </w:t>
      </w:r>
      <w:hyperlink r:id="rId24" w:history="1">
        <w:r w:rsidRPr="000B3FEF">
          <w:rPr>
            <w:rStyle w:val="Hyperlink"/>
            <w:rFonts w:ascii="Times New Roman" w:hAnsi="Times New Roman" w:cs="Times New Roman"/>
            <w:sz w:val="24"/>
            <w:szCs w:val="24"/>
          </w:rPr>
          <w:t>https://doi.org/10.9790/0837-19323034</w:t>
        </w:r>
      </w:hyperlink>
    </w:p>
    <w:p w14:paraId="2FE84D33" w14:textId="3160C974"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Gorain, S., Sonowal, R., &amp; Sonowal, M. (2022). Awareness of undergraduate students on sustainable development in Assam. IJFANS International Journal of Food and Nutritional </w:t>
      </w:r>
      <w:r w:rsidRPr="000B3FEF">
        <w:rPr>
          <w:rFonts w:ascii="Times New Roman" w:hAnsi="Times New Roman" w:cs="Times New Roman"/>
          <w:sz w:val="24"/>
          <w:szCs w:val="24"/>
        </w:rPr>
        <w:lastRenderedPageBreak/>
        <w:t xml:space="preserve">Sciences, 11(Special Issue 1), 868–882. </w:t>
      </w:r>
      <w:hyperlink r:id="rId25" w:history="1">
        <w:r w:rsidRPr="000B3FEF">
          <w:rPr>
            <w:rStyle w:val="Hyperlink"/>
            <w:rFonts w:ascii="Times New Roman" w:hAnsi="Times New Roman" w:cs="Times New Roman"/>
            <w:sz w:val="24"/>
            <w:szCs w:val="24"/>
          </w:rPr>
          <w:t>http://ijfans.org/uploads/special_issue_1/11_1_868-882.pdf</w:t>
        </w:r>
      </w:hyperlink>
    </w:p>
    <w:p w14:paraId="24E0E291" w14:textId="6F4B1EC5" w:rsidR="00D83023" w:rsidRPr="000B3FEF" w:rsidRDefault="00D83023"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Hart, C. (1998). </w:t>
      </w:r>
      <w:r w:rsidRPr="000B3FEF">
        <w:rPr>
          <w:rFonts w:ascii="Times New Roman" w:hAnsi="Times New Roman" w:cs="Times New Roman"/>
          <w:i/>
          <w:iCs/>
          <w:sz w:val="24"/>
          <w:szCs w:val="24"/>
        </w:rPr>
        <w:t>Doing a literature review: Releasing the social science research imagination</w:t>
      </w:r>
      <w:r w:rsidRPr="000B3FEF">
        <w:rPr>
          <w:rFonts w:ascii="Times New Roman" w:hAnsi="Times New Roman" w:cs="Times New Roman"/>
          <w:sz w:val="24"/>
          <w:szCs w:val="24"/>
        </w:rPr>
        <w:t>. London: Sage Publications.</w:t>
      </w:r>
    </w:p>
    <w:p w14:paraId="405932C9" w14:textId="50787AB4"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Jarrar, A. (2021). Education for sustainable development: A qualitative analytical study on the impact of the Jordanian universities' role in supporting innovation among university students. International Journal of Higher Education, 10(4), 268–279 </w:t>
      </w:r>
      <w:hyperlink r:id="rId26" w:history="1">
        <w:r w:rsidRPr="000B3FEF">
          <w:rPr>
            <w:rStyle w:val="Hyperlink"/>
            <w:rFonts w:ascii="Times New Roman" w:hAnsi="Times New Roman" w:cs="Times New Roman"/>
            <w:sz w:val="24"/>
            <w:szCs w:val="24"/>
          </w:rPr>
          <w:t>https://doi.org/10.5430/ijhe.v10n4p268</w:t>
        </w:r>
      </w:hyperlink>
    </w:p>
    <w:p w14:paraId="0B0F3430" w14:textId="2C817748" w:rsidR="008C03CE" w:rsidRPr="000B3FEF" w:rsidRDefault="008C03CE" w:rsidP="000B3FEF">
      <w:pPr>
        <w:jc w:val="both"/>
        <w:rPr>
          <w:rFonts w:ascii="Times New Roman" w:hAnsi="Times New Roman" w:cs="Times New Roman"/>
          <w:sz w:val="24"/>
          <w:szCs w:val="24"/>
        </w:rPr>
      </w:pPr>
      <w:proofErr w:type="spellStart"/>
      <w:r w:rsidRPr="000B3FEF">
        <w:rPr>
          <w:rFonts w:ascii="Times New Roman" w:hAnsi="Times New Roman" w:cs="Times New Roman"/>
          <w:sz w:val="24"/>
          <w:szCs w:val="24"/>
        </w:rPr>
        <w:t>Jetly</w:t>
      </w:r>
      <w:proofErr w:type="spellEnd"/>
      <w:r w:rsidRPr="000B3FEF">
        <w:rPr>
          <w:rFonts w:ascii="Times New Roman" w:hAnsi="Times New Roman" w:cs="Times New Roman"/>
          <w:sz w:val="24"/>
          <w:szCs w:val="24"/>
        </w:rPr>
        <w:t xml:space="preserve">, M., &amp; Singh, N. (2019). An analytical study based on the perspectives of teacher educators in India with respect to education for sustainable development. Journal of Teacher Education for Sustainability, 21(2), 38–55. </w:t>
      </w:r>
      <w:hyperlink r:id="rId27" w:history="1">
        <w:r w:rsidRPr="000B3FEF">
          <w:rPr>
            <w:rStyle w:val="Hyperlink"/>
            <w:rFonts w:ascii="Times New Roman" w:hAnsi="Times New Roman" w:cs="Times New Roman"/>
            <w:sz w:val="24"/>
            <w:szCs w:val="24"/>
          </w:rPr>
          <w:t>https://doi.org/10.2478/jtes-2019-0016</w:t>
        </w:r>
      </w:hyperlink>
    </w:p>
    <w:p w14:paraId="7E7B8204" w14:textId="1896FE95"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Kaur, J., &amp; Kaur, K. (2022). Developing awareness and attitude towards sustainability through an activity-based intervention. Journal on Efficiency and Responsibility in Education and Science, 15(4), 212–220. </w:t>
      </w:r>
      <w:hyperlink r:id="rId28" w:history="1">
        <w:r w:rsidRPr="000B3FEF">
          <w:rPr>
            <w:rStyle w:val="Hyperlink"/>
            <w:rFonts w:ascii="Times New Roman" w:hAnsi="Times New Roman" w:cs="Times New Roman"/>
            <w:sz w:val="24"/>
            <w:szCs w:val="24"/>
          </w:rPr>
          <w:t>https://doi.org/10.7160/eriesj.2022.150402</w:t>
        </w:r>
      </w:hyperlink>
    </w:p>
    <w:p w14:paraId="07EC00D0" w14:textId="6E6256D9"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Korsager, M., &amp; Scheie, E. (2019). Students and education for sustainable development – what matters? A case study on students’ sustainability consciousness derived from participating in an ESD project. Acta </w:t>
      </w:r>
      <w:proofErr w:type="spellStart"/>
      <w:r w:rsidRPr="000B3FEF">
        <w:rPr>
          <w:rFonts w:ascii="Times New Roman" w:hAnsi="Times New Roman" w:cs="Times New Roman"/>
          <w:sz w:val="24"/>
          <w:szCs w:val="24"/>
        </w:rPr>
        <w:t>Didactica</w:t>
      </w:r>
      <w:proofErr w:type="spellEnd"/>
      <w:r w:rsidRPr="000B3FEF">
        <w:rPr>
          <w:rFonts w:ascii="Times New Roman" w:hAnsi="Times New Roman" w:cs="Times New Roman"/>
          <w:sz w:val="24"/>
          <w:szCs w:val="24"/>
        </w:rPr>
        <w:t xml:space="preserve"> Norge, 13(2), 6–26. </w:t>
      </w:r>
      <w:hyperlink r:id="rId29" w:history="1">
        <w:r w:rsidRPr="000B3FEF">
          <w:rPr>
            <w:rStyle w:val="Hyperlink"/>
            <w:rFonts w:ascii="Times New Roman" w:hAnsi="Times New Roman" w:cs="Times New Roman"/>
            <w:sz w:val="24"/>
            <w:szCs w:val="24"/>
          </w:rPr>
          <w:t>https://adno.no/index.php/adno/article/view/600</w:t>
        </w:r>
      </w:hyperlink>
    </w:p>
    <w:p w14:paraId="0F6A0DB6" w14:textId="77777777"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t>Kumari, S., Gangwar, R. K., Singh, J., &amp; Singh, A. P. (2012). Assessment of environmental awareness and attitude among the school teachers in Bareilly city. International Journal of Innovative Research &amp; Development, 1(8), 486–492.</w:t>
      </w:r>
    </w:p>
    <w:p w14:paraId="210A6765" w14:textId="53E148BC"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t>Leiva-Brondo, M., Lajara-Camilleri, N., Vidal-</w:t>
      </w:r>
      <w:proofErr w:type="spellStart"/>
      <w:r w:rsidRPr="000B3FEF">
        <w:rPr>
          <w:rFonts w:ascii="Times New Roman" w:hAnsi="Times New Roman" w:cs="Times New Roman"/>
          <w:sz w:val="24"/>
          <w:szCs w:val="24"/>
        </w:rPr>
        <w:t>Meló</w:t>
      </w:r>
      <w:proofErr w:type="spellEnd"/>
      <w:r w:rsidRPr="000B3FEF">
        <w:rPr>
          <w:rFonts w:ascii="Times New Roman" w:hAnsi="Times New Roman" w:cs="Times New Roman"/>
          <w:sz w:val="24"/>
          <w:szCs w:val="24"/>
        </w:rPr>
        <w:t xml:space="preserve">, A., </w:t>
      </w:r>
      <w:proofErr w:type="spellStart"/>
      <w:r w:rsidRPr="000B3FEF">
        <w:rPr>
          <w:rFonts w:ascii="Times New Roman" w:hAnsi="Times New Roman" w:cs="Times New Roman"/>
          <w:sz w:val="24"/>
          <w:szCs w:val="24"/>
        </w:rPr>
        <w:t>Atarés</w:t>
      </w:r>
      <w:proofErr w:type="spellEnd"/>
      <w:r w:rsidRPr="000B3FEF">
        <w:rPr>
          <w:rFonts w:ascii="Times New Roman" w:hAnsi="Times New Roman" w:cs="Times New Roman"/>
          <w:sz w:val="24"/>
          <w:szCs w:val="24"/>
        </w:rPr>
        <w:t xml:space="preserve">, A., &amp; Lull, C. (2022). Spanish University Students' Awareness and Perception of Sustainable Development Goals and Sustainability Literacy. Sustainability. </w:t>
      </w:r>
      <w:hyperlink r:id="rId30" w:history="1">
        <w:r w:rsidRPr="000B3FEF">
          <w:rPr>
            <w:rStyle w:val="Hyperlink"/>
            <w:rFonts w:ascii="Times New Roman" w:hAnsi="Times New Roman" w:cs="Times New Roman"/>
            <w:sz w:val="24"/>
            <w:szCs w:val="24"/>
          </w:rPr>
          <w:t>https://doi.org/10.3390/su14084552</w:t>
        </w:r>
      </w:hyperlink>
    </w:p>
    <w:p w14:paraId="1D8CF1E1" w14:textId="7A982FCF" w:rsidR="008C03CE" w:rsidRPr="000B3FEF" w:rsidRDefault="008C03CE" w:rsidP="000B3FEF">
      <w:pPr>
        <w:jc w:val="both"/>
        <w:rPr>
          <w:rFonts w:ascii="Times New Roman" w:hAnsi="Times New Roman" w:cs="Times New Roman"/>
          <w:sz w:val="24"/>
          <w:szCs w:val="24"/>
        </w:rPr>
      </w:pPr>
      <w:proofErr w:type="spellStart"/>
      <w:r w:rsidRPr="000B3FEF">
        <w:rPr>
          <w:rFonts w:ascii="Times New Roman" w:hAnsi="Times New Roman" w:cs="Times New Roman"/>
          <w:sz w:val="24"/>
          <w:szCs w:val="24"/>
        </w:rPr>
        <w:t>Mohalik</w:t>
      </w:r>
      <w:proofErr w:type="spellEnd"/>
      <w:r w:rsidRPr="000B3FEF">
        <w:rPr>
          <w:rFonts w:ascii="Times New Roman" w:hAnsi="Times New Roman" w:cs="Times New Roman"/>
          <w:sz w:val="24"/>
          <w:szCs w:val="24"/>
        </w:rPr>
        <w:t xml:space="preserve">, S., &amp; Rath, S. K. (2022). Awareness and attitude of the postgraduate students towards sustainable development. </w:t>
      </w:r>
      <w:proofErr w:type="spellStart"/>
      <w:r w:rsidRPr="000B3FEF">
        <w:rPr>
          <w:rFonts w:ascii="Times New Roman" w:hAnsi="Times New Roman" w:cs="Times New Roman"/>
          <w:sz w:val="24"/>
          <w:szCs w:val="24"/>
        </w:rPr>
        <w:t>Shodha</w:t>
      </w:r>
      <w:proofErr w:type="spellEnd"/>
      <w:r w:rsidRPr="000B3FEF">
        <w:rPr>
          <w:rFonts w:ascii="Times New Roman" w:hAnsi="Times New Roman" w:cs="Times New Roman"/>
          <w:sz w:val="24"/>
          <w:szCs w:val="24"/>
        </w:rPr>
        <w:t xml:space="preserve"> Samiksha, 12(1), 258–266. </w:t>
      </w:r>
      <w:hyperlink r:id="rId31" w:history="1">
        <w:r w:rsidRPr="000B3FEF">
          <w:rPr>
            <w:rStyle w:val="Hyperlink"/>
            <w:rFonts w:ascii="Times New Roman" w:hAnsi="Times New Roman" w:cs="Times New Roman"/>
            <w:sz w:val="24"/>
            <w:szCs w:val="24"/>
          </w:rPr>
          <w:t>https://www.shodhasamiksha.com</w:t>
        </w:r>
      </w:hyperlink>
    </w:p>
    <w:p w14:paraId="6CD1CDCE" w14:textId="7A05F306"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Morton, S., </w:t>
      </w:r>
      <w:proofErr w:type="spellStart"/>
      <w:r w:rsidRPr="000B3FEF">
        <w:rPr>
          <w:rFonts w:ascii="Times New Roman" w:hAnsi="Times New Roman" w:cs="Times New Roman"/>
          <w:sz w:val="24"/>
          <w:szCs w:val="24"/>
        </w:rPr>
        <w:t>Pencheon</w:t>
      </w:r>
      <w:proofErr w:type="spellEnd"/>
      <w:r w:rsidRPr="000B3FEF">
        <w:rPr>
          <w:rFonts w:ascii="Times New Roman" w:hAnsi="Times New Roman" w:cs="Times New Roman"/>
          <w:sz w:val="24"/>
          <w:szCs w:val="24"/>
        </w:rPr>
        <w:t xml:space="preserve">, D., &amp; Squires, N. (2017). Sustainable Development Goals (SDGs), and their implementation: A national global framework for health, development and equity needs a systems approach at every level. British Medical Bulletin, 124(1), 81–90. </w:t>
      </w:r>
      <w:hyperlink r:id="rId32" w:history="1">
        <w:r w:rsidRPr="000B3FEF">
          <w:rPr>
            <w:rStyle w:val="Hyperlink"/>
            <w:rFonts w:ascii="Times New Roman" w:hAnsi="Times New Roman" w:cs="Times New Roman"/>
            <w:sz w:val="24"/>
            <w:szCs w:val="24"/>
          </w:rPr>
          <w:t>https://doi.org/10.1093/bmb/ldx031</w:t>
        </w:r>
      </w:hyperlink>
    </w:p>
    <w:p w14:paraId="7458897C" w14:textId="747CA4F9" w:rsidR="00D83023" w:rsidRPr="000B3FEF" w:rsidRDefault="00D83023"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Nishad, N. (2018). Awareness on </w:t>
      </w:r>
      <w:r w:rsidR="0037263C" w:rsidRPr="000B3FEF">
        <w:rPr>
          <w:rFonts w:ascii="Times New Roman" w:hAnsi="Times New Roman" w:cs="Times New Roman"/>
          <w:sz w:val="24"/>
          <w:szCs w:val="24"/>
        </w:rPr>
        <w:t xml:space="preserve">the </w:t>
      </w:r>
      <w:r w:rsidRPr="000B3FEF">
        <w:rPr>
          <w:rFonts w:ascii="Times New Roman" w:hAnsi="Times New Roman" w:cs="Times New Roman"/>
          <w:sz w:val="24"/>
          <w:szCs w:val="24"/>
        </w:rPr>
        <w:t xml:space="preserve">protection of </w:t>
      </w:r>
      <w:r w:rsidR="0037263C" w:rsidRPr="000B3FEF">
        <w:rPr>
          <w:rFonts w:ascii="Times New Roman" w:hAnsi="Times New Roman" w:cs="Times New Roman"/>
          <w:sz w:val="24"/>
          <w:szCs w:val="24"/>
        </w:rPr>
        <w:t xml:space="preserve">the </w:t>
      </w:r>
      <w:r w:rsidRPr="000B3FEF">
        <w:rPr>
          <w:rFonts w:ascii="Times New Roman" w:hAnsi="Times New Roman" w:cs="Times New Roman"/>
          <w:sz w:val="24"/>
          <w:szCs w:val="24"/>
        </w:rPr>
        <w:t xml:space="preserve">environment for sustainable development among higher secondary school students. </w:t>
      </w:r>
      <w:r w:rsidRPr="000B3FEF">
        <w:rPr>
          <w:rFonts w:ascii="Times New Roman" w:hAnsi="Times New Roman" w:cs="Times New Roman"/>
          <w:i/>
          <w:iCs/>
          <w:sz w:val="24"/>
          <w:szCs w:val="24"/>
        </w:rPr>
        <w:t>International Journal of Humanities and Social Science Invention</w:t>
      </w:r>
      <w:r w:rsidRPr="000B3FEF">
        <w:rPr>
          <w:rFonts w:ascii="Times New Roman" w:hAnsi="Times New Roman" w:cs="Times New Roman"/>
          <w:sz w:val="24"/>
          <w:szCs w:val="24"/>
        </w:rPr>
        <w:t>, 7(2), 45–50.</w:t>
      </w:r>
    </w:p>
    <w:p w14:paraId="42ADE9A9" w14:textId="50E4688A"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United Nations. (2015). Transforming our world: The 2030 Agenda for Sustainable Development. </w:t>
      </w:r>
      <w:hyperlink r:id="rId33" w:history="1">
        <w:r w:rsidRPr="000B3FEF">
          <w:rPr>
            <w:rStyle w:val="Hyperlink"/>
            <w:rFonts w:ascii="Times New Roman" w:hAnsi="Times New Roman" w:cs="Times New Roman"/>
            <w:sz w:val="24"/>
            <w:szCs w:val="24"/>
          </w:rPr>
          <w:t>https://sdgs.un.org/2030agenda</w:t>
        </w:r>
      </w:hyperlink>
    </w:p>
    <w:p w14:paraId="11E06BD0" w14:textId="5AB3E6E6" w:rsidR="00D83023" w:rsidRPr="000B3FEF" w:rsidRDefault="00D83023"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UNESCO. (1987). </w:t>
      </w:r>
      <w:r w:rsidRPr="000B3FEF">
        <w:rPr>
          <w:rFonts w:ascii="Times New Roman" w:hAnsi="Times New Roman" w:cs="Times New Roman"/>
          <w:i/>
          <w:iCs/>
          <w:sz w:val="24"/>
          <w:szCs w:val="24"/>
        </w:rPr>
        <w:t>International education: Contemporary issues and trends</w:t>
      </w:r>
      <w:r w:rsidRPr="000B3FEF">
        <w:rPr>
          <w:rFonts w:ascii="Times New Roman" w:hAnsi="Times New Roman" w:cs="Times New Roman"/>
          <w:sz w:val="24"/>
          <w:szCs w:val="24"/>
        </w:rPr>
        <w:t>. Paris: United Nations Educational, Scientific</w:t>
      </w:r>
      <w:r w:rsidR="0037263C" w:rsidRPr="000B3FEF">
        <w:rPr>
          <w:rFonts w:ascii="Times New Roman" w:hAnsi="Times New Roman" w:cs="Times New Roman"/>
          <w:sz w:val="24"/>
          <w:szCs w:val="24"/>
        </w:rPr>
        <w:t>,</w:t>
      </w:r>
      <w:r w:rsidRPr="000B3FEF">
        <w:rPr>
          <w:rFonts w:ascii="Times New Roman" w:hAnsi="Times New Roman" w:cs="Times New Roman"/>
          <w:sz w:val="24"/>
          <w:szCs w:val="24"/>
        </w:rPr>
        <w:t xml:space="preserve"> and Cultural Organization.</w:t>
      </w:r>
    </w:p>
    <w:p w14:paraId="0D24A15A" w14:textId="49A75B0E"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lastRenderedPageBreak/>
        <w:t xml:space="preserve">UNESCO. (2017). Education for sustainable development goals: Learning objectives. Paris: United Nations Educational, Scientific, and Cultural Organization. </w:t>
      </w:r>
      <w:hyperlink r:id="rId34" w:history="1">
        <w:r w:rsidRPr="000B3FEF">
          <w:rPr>
            <w:rStyle w:val="Hyperlink"/>
            <w:rFonts w:ascii="Times New Roman" w:hAnsi="Times New Roman" w:cs="Times New Roman"/>
            <w:sz w:val="24"/>
            <w:szCs w:val="24"/>
          </w:rPr>
          <w:t>https://unesdoc.unesco.org/ark:/48223/pf0000259556</w:t>
        </w:r>
      </w:hyperlink>
    </w:p>
    <w:p w14:paraId="2D96FA68" w14:textId="7472C943" w:rsidR="008C03CE" w:rsidRPr="000B3FEF" w:rsidRDefault="008C03CE"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UNESCO. (2020). Education for sustainable development: A roadmap. Paris: United Nations Educational, Scientific, and Cultural Organization. </w:t>
      </w:r>
      <w:hyperlink r:id="rId35" w:history="1">
        <w:r w:rsidRPr="000B3FEF">
          <w:rPr>
            <w:rStyle w:val="Hyperlink"/>
            <w:rFonts w:ascii="Times New Roman" w:hAnsi="Times New Roman" w:cs="Times New Roman"/>
            <w:sz w:val="24"/>
            <w:szCs w:val="24"/>
          </w:rPr>
          <w:t>https://doi.org/10.54675/YFRE1448</w:t>
        </w:r>
      </w:hyperlink>
    </w:p>
    <w:p w14:paraId="405BAF2E" w14:textId="2B671B81" w:rsidR="00D83023" w:rsidRPr="000B3FEF" w:rsidRDefault="00D83023" w:rsidP="000B3FEF">
      <w:pPr>
        <w:jc w:val="both"/>
        <w:rPr>
          <w:rFonts w:ascii="Times New Roman" w:hAnsi="Times New Roman" w:cs="Times New Roman"/>
          <w:sz w:val="24"/>
          <w:szCs w:val="24"/>
        </w:rPr>
      </w:pPr>
      <w:r w:rsidRPr="000B3FEF">
        <w:rPr>
          <w:rFonts w:ascii="Times New Roman" w:hAnsi="Times New Roman" w:cs="Times New Roman"/>
          <w:sz w:val="24"/>
          <w:szCs w:val="24"/>
        </w:rPr>
        <w:t xml:space="preserve">World Health Organization. (2022). </w:t>
      </w:r>
      <w:r w:rsidRPr="000B3FEF">
        <w:rPr>
          <w:rFonts w:ascii="Times New Roman" w:hAnsi="Times New Roman" w:cs="Times New Roman"/>
          <w:i/>
          <w:iCs/>
          <w:sz w:val="24"/>
          <w:szCs w:val="24"/>
        </w:rPr>
        <w:t>School health and youth health promotion</w:t>
      </w:r>
      <w:r w:rsidRPr="000B3FEF">
        <w:rPr>
          <w:rFonts w:ascii="Times New Roman" w:hAnsi="Times New Roman" w:cs="Times New Roman"/>
          <w:sz w:val="24"/>
          <w:szCs w:val="24"/>
        </w:rPr>
        <w:t xml:space="preserve">. World Health Organization. </w:t>
      </w:r>
      <w:hyperlink r:id="rId36" w:tgtFrame="_new" w:history="1">
        <w:r w:rsidRPr="000B3FEF">
          <w:rPr>
            <w:rStyle w:val="Hyperlink"/>
            <w:rFonts w:ascii="Times New Roman" w:hAnsi="Times New Roman" w:cs="Times New Roman"/>
            <w:sz w:val="24"/>
            <w:szCs w:val="24"/>
          </w:rPr>
          <w:t>https://www.who.int/health-topics/school-health</w:t>
        </w:r>
      </w:hyperlink>
      <w:r w:rsidRPr="000B3FEF">
        <w:rPr>
          <w:rFonts w:ascii="Times New Roman" w:hAnsi="Times New Roman" w:cs="Times New Roman"/>
          <w:sz w:val="24"/>
          <w:szCs w:val="24"/>
          <w:lang w:val="en-US"/>
        </w:rPr>
        <w:t>.</w:t>
      </w:r>
    </w:p>
    <w:p w14:paraId="3CB3DCE4" w14:textId="0DED1CE3" w:rsidR="005A47A9" w:rsidRPr="007265B6" w:rsidRDefault="00D83023" w:rsidP="007265B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EB56E6B" w14:textId="77777777" w:rsidR="00734940" w:rsidRPr="00482C46" w:rsidRDefault="00734940" w:rsidP="008B35B5">
      <w:pPr>
        <w:jc w:val="both"/>
        <w:rPr>
          <w:rFonts w:ascii="Times New Roman" w:hAnsi="Times New Roman" w:cs="Times New Roman"/>
          <w:b/>
          <w:bCs/>
          <w:sz w:val="24"/>
          <w:szCs w:val="24"/>
          <w:lang w:val="en-US"/>
        </w:rPr>
      </w:pPr>
    </w:p>
    <w:p w14:paraId="4691DFA7" w14:textId="77777777" w:rsidR="00290B21" w:rsidRPr="00290B21" w:rsidRDefault="00290B21" w:rsidP="008B35B5">
      <w:pPr>
        <w:jc w:val="both"/>
        <w:rPr>
          <w:lang w:val="en-US"/>
        </w:rPr>
      </w:pPr>
    </w:p>
    <w:sectPr w:rsidR="00290B21" w:rsidRPr="00290B21" w:rsidSect="004D6702">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9185A" w14:textId="77777777" w:rsidR="00E42333" w:rsidRDefault="00E42333" w:rsidP="003F412F">
      <w:pPr>
        <w:spacing w:after="0" w:line="240" w:lineRule="auto"/>
      </w:pPr>
      <w:r>
        <w:separator/>
      </w:r>
    </w:p>
  </w:endnote>
  <w:endnote w:type="continuationSeparator" w:id="0">
    <w:p w14:paraId="0ABD323C" w14:textId="77777777" w:rsidR="00E42333" w:rsidRDefault="00E42333" w:rsidP="003F4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0B372" w14:textId="77777777" w:rsidR="001F7A15" w:rsidRDefault="001F7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10286" w14:textId="0DED6147" w:rsidR="004D6702" w:rsidRDefault="004D6702" w:rsidP="004D6702">
    <w:pPr>
      <w:pStyle w:val="BlockText"/>
      <w:pBdr>
        <w:bottom w:val="single" w:sz="12" w:space="1" w:color="auto"/>
      </w:pBdr>
      <w:jc w:val="right"/>
      <w:rPr>
        <w:rFonts w:ascii="Times New Roman" w:hAnsi="Times New Roman" w:cs="Times New Roman"/>
        <w:b w:val="0"/>
        <w:bCs/>
      </w:rPr>
    </w:pPr>
    <w:r w:rsidRPr="008131B3">
      <w:rPr>
        <w:rFonts w:ascii="Times New Roman" w:hAnsi="Times New Roman" w:cs="Times New Roman"/>
        <w:b w:val="0"/>
        <w:bCs/>
      </w:rPr>
      <w:t xml:space="preserve">               </w:t>
    </w:r>
  </w:p>
  <w:p w14:paraId="4F276075" w14:textId="77777777" w:rsidR="003F412F" w:rsidRPr="004D6702" w:rsidRDefault="003F412F" w:rsidP="004D6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97C0" w14:textId="77777777" w:rsidR="001F7A15" w:rsidRDefault="001F7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2E4A6" w14:textId="77777777" w:rsidR="00E42333" w:rsidRDefault="00E42333" w:rsidP="003F412F">
      <w:pPr>
        <w:spacing w:after="0" w:line="240" w:lineRule="auto"/>
      </w:pPr>
      <w:r>
        <w:separator/>
      </w:r>
    </w:p>
  </w:footnote>
  <w:footnote w:type="continuationSeparator" w:id="0">
    <w:p w14:paraId="27E96603" w14:textId="77777777" w:rsidR="00E42333" w:rsidRDefault="00E42333" w:rsidP="003F4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8C0A9" w14:textId="627EF645" w:rsidR="001F7A15" w:rsidRDefault="001F7A15">
    <w:pPr>
      <w:pStyle w:val="Header"/>
    </w:pPr>
    <w:r>
      <w:rPr>
        <w:noProof/>
      </w:rPr>
      <w:pict w14:anchorId="68E2D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333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7ED96" w14:textId="20F962D7" w:rsidR="001F7A15" w:rsidRDefault="001F7A15">
    <w:pPr>
      <w:pStyle w:val="Header"/>
    </w:pPr>
    <w:r>
      <w:rPr>
        <w:noProof/>
      </w:rPr>
      <w:pict w14:anchorId="1B6F8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333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B36B" w14:textId="4474B74C" w:rsidR="001F7A15" w:rsidRDefault="001F7A15">
    <w:pPr>
      <w:pStyle w:val="Header"/>
    </w:pPr>
    <w:r>
      <w:rPr>
        <w:noProof/>
      </w:rPr>
      <w:pict w14:anchorId="2C0E8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333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0FBF"/>
    <w:multiLevelType w:val="multilevel"/>
    <w:tmpl w:val="A94C5F96"/>
    <w:lvl w:ilvl="0">
      <w:start w:val="1"/>
      <w:numFmt w:val="decimal"/>
      <w:lvlText w:val="%1."/>
      <w:lvlJc w:val="right"/>
      <w:pPr>
        <w:ind w:left="1570" w:hanging="360"/>
      </w:pPr>
      <w:rPr>
        <w:rFonts w:ascii="Times New Roman" w:eastAsia="Times New Roman" w:hAnsi="Times New Roman" w:cs="Times New Roman"/>
        <w:b w:val="0"/>
      </w:rPr>
    </w:lvl>
    <w:lvl w:ilvl="1">
      <w:start w:val="2"/>
      <w:numFmt w:val="decimal"/>
      <w:isLgl/>
      <w:lvlText w:val="%1.%2."/>
      <w:lvlJc w:val="left"/>
      <w:pPr>
        <w:ind w:left="1570" w:hanging="360"/>
      </w:pPr>
      <w:rPr>
        <w:rFonts w:hint="default"/>
      </w:rPr>
    </w:lvl>
    <w:lvl w:ilvl="2">
      <w:start w:val="1"/>
      <w:numFmt w:val="decimal"/>
      <w:isLgl/>
      <w:lvlText w:val="%1.%2.%3."/>
      <w:lvlJc w:val="left"/>
      <w:pPr>
        <w:ind w:left="1930" w:hanging="720"/>
      </w:pPr>
      <w:rPr>
        <w:rFonts w:hint="default"/>
      </w:rPr>
    </w:lvl>
    <w:lvl w:ilvl="3">
      <w:start w:val="1"/>
      <w:numFmt w:val="decimal"/>
      <w:isLgl/>
      <w:lvlText w:val="%1.%2.%3.%4."/>
      <w:lvlJc w:val="left"/>
      <w:pPr>
        <w:ind w:left="1930" w:hanging="720"/>
      </w:pPr>
      <w:rPr>
        <w:rFonts w:hint="default"/>
      </w:rPr>
    </w:lvl>
    <w:lvl w:ilvl="4">
      <w:start w:val="1"/>
      <w:numFmt w:val="decimal"/>
      <w:isLgl/>
      <w:lvlText w:val="%1.%2.%3.%4.%5."/>
      <w:lvlJc w:val="left"/>
      <w:pPr>
        <w:ind w:left="2290" w:hanging="1080"/>
      </w:pPr>
      <w:rPr>
        <w:rFonts w:hint="default"/>
      </w:rPr>
    </w:lvl>
    <w:lvl w:ilvl="5">
      <w:start w:val="1"/>
      <w:numFmt w:val="decimal"/>
      <w:isLgl/>
      <w:lvlText w:val="%1.%2.%3.%4.%5.%6."/>
      <w:lvlJc w:val="left"/>
      <w:pPr>
        <w:ind w:left="2290" w:hanging="1080"/>
      </w:pPr>
      <w:rPr>
        <w:rFonts w:hint="default"/>
      </w:rPr>
    </w:lvl>
    <w:lvl w:ilvl="6">
      <w:start w:val="1"/>
      <w:numFmt w:val="decimal"/>
      <w:isLgl/>
      <w:lvlText w:val="%1.%2.%3.%4.%5.%6.%7."/>
      <w:lvlJc w:val="left"/>
      <w:pPr>
        <w:ind w:left="2650" w:hanging="1440"/>
      </w:pPr>
      <w:rPr>
        <w:rFonts w:hint="default"/>
      </w:rPr>
    </w:lvl>
    <w:lvl w:ilvl="7">
      <w:start w:val="1"/>
      <w:numFmt w:val="decimal"/>
      <w:isLgl/>
      <w:lvlText w:val="%1.%2.%3.%4.%5.%6.%7.%8."/>
      <w:lvlJc w:val="left"/>
      <w:pPr>
        <w:ind w:left="2650" w:hanging="1440"/>
      </w:pPr>
      <w:rPr>
        <w:rFonts w:hint="default"/>
      </w:rPr>
    </w:lvl>
    <w:lvl w:ilvl="8">
      <w:start w:val="1"/>
      <w:numFmt w:val="decimal"/>
      <w:isLgl/>
      <w:lvlText w:val="%1.%2.%3.%4.%5.%6.%7.%8.%9."/>
      <w:lvlJc w:val="left"/>
      <w:pPr>
        <w:ind w:left="3010" w:hanging="1800"/>
      </w:pPr>
      <w:rPr>
        <w:rFonts w:hint="default"/>
      </w:rPr>
    </w:lvl>
  </w:abstractNum>
  <w:abstractNum w:abstractNumId="1" w15:restartNumberingAfterBreak="0">
    <w:nsid w:val="137D60F4"/>
    <w:multiLevelType w:val="multilevel"/>
    <w:tmpl w:val="90BAD7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63879A0"/>
    <w:multiLevelType w:val="hybridMultilevel"/>
    <w:tmpl w:val="FA60D4C8"/>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3" w15:restartNumberingAfterBreak="0">
    <w:nsid w:val="5D733EC7"/>
    <w:multiLevelType w:val="multilevel"/>
    <w:tmpl w:val="997CA7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2005B71"/>
    <w:multiLevelType w:val="hybridMultilevel"/>
    <w:tmpl w:val="97A40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21"/>
    <w:rsid w:val="00013AE7"/>
    <w:rsid w:val="00040A07"/>
    <w:rsid w:val="0005179F"/>
    <w:rsid w:val="00056964"/>
    <w:rsid w:val="00060732"/>
    <w:rsid w:val="00061242"/>
    <w:rsid w:val="00097C46"/>
    <w:rsid w:val="000A3D85"/>
    <w:rsid w:val="000B3FEF"/>
    <w:rsid w:val="000C3557"/>
    <w:rsid w:val="000C5D6D"/>
    <w:rsid w:val="00103CF9"/>
    <w:rsid w:val="0017476F"/>
    <w:rsid w:val="00182D94"/>
    <w:rsid w:val="001A0DF0"/>
    <w:rsid w:val="001A1620"/>
    <w:rsid w:val="001C3398"/>
    <w:rsid w:val="001C7E9C"/>
    <w:rsid w:val="001D3863"/>
    <w:rsid w:val="001F1BD5"/>
    <w:rsid w:val="001F7A15"/>
    <w:rsid w:val="00220A07"/>
    <w:rsid w:val="0022274B"/>
    <w:rsid w:val="00290B21"/>
    <w:rsid w:val="00295416"/>
    <w:rsid w:val="00296936"/>
    <w:rsid w:val="002D356F"/>
    <w:rsid w:val="00301EF5"/>
    <w:rsid w:val="003419AB"/>
    <w:rsid w:val="00364883"/>
    <w:rsid w:val="0037263C"/>
    <w:rsid w:val="00392533"/>
    <w:rsid w:val="003C0BE8"/>
    <w:rsid w:val="003F412F"/>
    <w:rsid w:val="003F578C"/>
    <w:rsid w:val="0042036E"/>
    <w:rsid w:val="00482C46"/>
    <w:rsid w:val="00497513"/>
    <w:rsid w:val="004B1923"/>
    <w:rsid w:val="004D6702"/>
    <w:rsid w:val="004E4F55"/>
    <w:rsid w:val="004E7331"/>
    <w:rsid w:val="004E7475"/>
    <w:rsid w:val="005525BB"/>
    <w:rsid w:val="005A40A7"/>
    <w:rsid w:val="005A47A9"/>
    <w:rsid w:val="005F12C5"/>
    <w:rsid w:val="006414D7"/>
    <w:rsid w:val="00645D68"/>
    <w:rsid w:val="00655BF1"/>
    <w:rsid w:val="00690C3F"/>
    <w:rsid w:val="00705E5A"/>
    <w:rsid w:val="00710F3D"/>
    <w:rsid w:val="00713D14"/>
    <w:rsid w:val="007265B6"/>
    <w:rsid w:val="00734940"/>
    <w:rsid w:val="007B2999"/>
    <w:rsid w:val="007C2729"/>
    <w:rsid w:val="007E1E78"/>
    <w:rsid w:val="007F6A03"/>
    <w:rsid w:val="00812A5A"/>
    <w:rsid w:val="008131B3"/>
    <w:rsid w:val="00816F9A"/>
    <w:rsid w:val="00822179"/>
    <w:rsid w:val="00843AB0"/>
    <w:rsid w:val="008530FE"/>
    <w:rsid w:val="00865617"/>
    <w:rsid w:val="008A67DA"/>
    <w:rsid w:val="008A708F"/>
    <w:rsid w:val="008B35B5"/>
    <w:rsid w:val="008C03CE"/>
    <w:rsid w:val="008E0EFD"/>
    <w:rsid w:val="008E1F87"/>
    <w:rsid w:val="008F247E"/>
    <w:rsid w:val="008F24A1"/>
    <w:rsid w:val="00921DAA"/>
    <w:rsid w:val="009D053A"/>
    <w:rsid w:val="00A02236"/>
    <w:rsid w:val="00A0298A"/>
    <w:rsid w:val="00A46028"/>
    <w:rsid w:val="00A5730B"/>
    <w:rsid w:val="00A846ED"/>
    <w:rsid w:val="00AB6987"/>
    <w:rsid w:val="00AB75AE"/>
    <w:rsid w:val="00AB7802"/>
    <w:rsid w:val="00AE07C7"/>
    <w:rsid w:val="00AE5FB5"/>
    <w:rsid w:val="00AF76E0"/>
    <w:rsid w:val="00B02235"/>
    <w:rsid w:val="00B54558"/>
    <w:rsid w:val="00B63B40"/>
    <w:rsid w:val="00B70965"/>
    <w:rsid w:val="00B7100D"/>
    <w:rsid w:val="00BB356F"/>
    <w:rsid w:val="00BE4A4F"/>
    <w:rsid w:val="00C30A55"/>
    <w:rsid w:val="00C50D00"/>
    <w:rsid w:val="00C67796"/>
    <w:rsid w:val="00CB681C"/>
    <w:rsid w:val="00CC0479"/>
    <w:rsid w:val="00CC5F1C"/>
    <w:rsid w:val="00CE5B06"/>
    <w:rsid w:val="00CF3FF4"/>
    <w:rsid w:val="00D178ED"/>
    <w:rsid w:val="00D432B8"/>
    <w:rsid w:val="00D57DF3"/>
    <w:rsid w:val="00D83023"/>
    <w:rsid w:val="00D861E5"/>
    <w:rsid w:val="00D94267"/>
    <w:rsid w:val="00DB563F"/>
    <w:rsid w:val="00DC403D"/>
    <w:rsid w:val="00DC588D"/>
    <w:rsid w:val="00DE4A0E"/>
    <w:rsid w:val="00DF2958"/>
    <w:rsid w:val="00E42333"/>
    <w:rsid w:val="00E44EDF"/>
    <w:rsid w:val="00E53D78"/>
    <w:rsid w:val="00E95175"/>
    <w:rsid w:val="00EE3E07"/>
    <w:rsid w:val="00EF6AAA"/>
    <w:rsid w:val="00F0682A"/>
    <w:rsid w:val="00F13AAB"/>
    <w:rsid w:val="00F86D1F"/>
    <w:rsid w:val="00F90D0C"/>
    <w:rsid w:val="00F97031"/>
    <w:rsid w:val="00FD0669"/>
    <w:rsid w:val="00FE5C3F"/>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8D34EC"/>
  <w15:chartTrackingRefBased/>
  <w15:docId w15:val="{3283C8E5-7F97-4009-8E29-2811C9D7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B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0B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0B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0B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0B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0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B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0B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0B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0B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0B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0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B21"/>
    <w:rPr>
      <w:rFonts w:eastAsiaTheme="majorEastAsia" w:cstheme="majorBidi"/>
      <w:color w:val="272727" w:themeColor="text1" w:themeTint="D8"/>
    </w:rPr>
  </w:style>
  <w:style w:type="paragraph" w:styleId="Title">
    <w:name w:val="Title"/>
    <w:basedOn w:val="Normal"/>
    <w:next w:val="Normal"/>
    <w:link w:val="TitleChar"/>
    <w:uiPriority w:val="10"/>
    <w:qFormat/>
    <w:rsid w:val="00290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B21"/>
    <w:pPr>
      <w:spacing w:before="160"/>
      <w:jc w:val="center"/>
    </w:pPr>
    <w:rPr>
      <w:i/>
      <w:iCs/>
      <w:color w:val="404040" w:themeColor="text1" w:themeTint="BF"/>
    </w:rPr>
  </w:style>
  <w:style w:type="character" w:customStyle="1" w:styleId="QuoteChar">
    <w:name w:val="Quote Char"/>
    <w:basedOn w:val="DefaultParagraphFont"/>
    <w:link w:val="Quote"/>
    <w:uiPriority w:val="29"/>
    <w:rsid w:val="00290B21"/>
    <w:rPr>
      <w:i/>
      <w:iCs/>
      <w:color w:val="404040" w:themeColor="text1" w:themeTint="BF"/>
    </w:rPr>
  </w:style>
  <w:style w:type="paragraph" w:styleId="ListParagraph">
    <w:name w:val="List Paragraph"/>
    <w:basedOn w:val="Normal"/>
    <w:uiPriority w:val="34"/>
    <w:qFormat/>
    <w:rsid w:val="00290B21"/>
    <w:pPr>
      <w:ind w:left="720"/>
      <w:contextualSpacing/>
    </w:pPr>
  </w:style>
  <w:style w:type="character" w:styleId="IntenseEmphasis">
    <w:name w:val="Intense Emphasis"/>
    <w:basedOn w:val="DefaultParagraphFont"/>
    <w:uiPriority w:val="21"/>
    <w:qFormat/>
    <w:rsid w:val="00290B21"/>
    <w:rPr>
      <w:i/>
      <w:iCs/>
      <w:color w:val="2F5496" w:themeColor="accent1" w:themeShade="BF"/>
    </w:rPr>
  </w:style>
  <w:style w:type="paragraph" w:styleId="IntenseQuote">
    <w:name w:val="Intense Quote"/>
    <w:basedOn w:val="Normal"/>
    <w:next w:val="Normal"/>
    <w:link w:val="IntenseQuoteChar"/>
    <w:uiPriority w:val="30"/>
    <w:qFormat/>
    <w:rsid w:val="00290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0B21"/>
    <w:rPr>
      <w:i/>
      <w:iCs/>
      <w:color w:val="2F5496" w:themeColor="accent1" w:themeShade="BF"/>
    </w:rPr>
  </w:style>
  <w:style w:type="character" w:styleId="IntenseReference">
    <w:name w:val="Intense Reference"/>
    <w:basedOn w:val="DefaultParagraphFont"/>
    <w:uiPriority w:val="32"/>
    <w:qFormat/>
    <w:rsid w:val="00290B21"/>
    <w:rPr>
      <w:b/>
      <w:bCs/>
      <w:smallCaps/>
      <w:color w:val="2F5496" w:themeColor="accent1" w:themeShade="BF"/>
      <w:spacing w:val="5"/>
    </w:rPr>
  </w:style>
  <w:style w:type="paragraph" w:styleId="BlockText">
    <w:name w:val="Block Text"/>
    <w:basedOn w:val="Normal"/>
    <w:uiPriority w:val="99"/>
    <w:unhideWhenUsed/>
    <w:rsid w:val="00482C46"/>
    <w:pPr>
      <w:spacing w:before="60"/>
      <w:ind w:left="850" w:right="567"/>
      <w:jc w:val="center"/>
    </w:pPr>
    <w:rPr>
      <w:b/>
      <w:sz w:val="24"/>
      <w:szCs w:val="24"/>
    </w:rPr>
  </w:style>
  <w:style w:type="paragraph" w:styleId="BodyText">
    <w:name w:val="Body Text"/>
    <w:basedOn w:val="Normal"/>
    <w:link w:val="BodyTextChar"/>
    <w:uiPriority w:val="1"/>
    <w:qFormat/>
    <w:rsid w:val="00482C4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482C46"/>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uiPriority w:val="99"/>
    <w:unhideWhenUsed/>
    <w:rsid w:val="000C5D6D"/>
    <w:pPr>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0C5D6D"/>
    <w:rPr>
      <w:rFonts w:ascii="Times New Roman" w:hAnsi="Times New Roman" w:cs="Times New Roman"/>
      <w:sz w:val="24"/>
      <w:szCs w:val="24"/>
    </w:rPr>
  </w:style>
  <w:style w:type="character" w:styleId="Hyperlink">
    <w:name w:val="Hyperlink"/>
    <w:basedOn w:val="DefaultParagraphFont"/>
    <w:uiPriority w:val="99"/>
    <w:unhideWhenUsed/>
    <w:rsid w:val="007265B6"/>
    <w:rPr>
      <w:color w:val="0563C1" w:themeColor="hyperlink"/>
      <w:u w:val="single"/>
    </w:rPr>
  </w:style>
  <w:style w:type="character" w:styleId="UnresolvedMention">
    <w:name w:val="Unresolved Mention"/>
    <w:basedOn w:val="DefaultParagraphFont"/>
    <w:uiPriority w:val="99"/>
    <w:semiHidden/>
    <w:unhideWhenUsed/>
    <w:rsid w:val="007265B6"/>
    <w:rPr>
      <w:color w:val="605E5C"/>
      <w:shd w:val="clear" w:color="auto" w:fill="E1DFDD"/>
    </w:rPr>
  </w:style>
  <w:style w:type="paragraph" w:styleId="Bibliography">
    <w:name w:val="Bibliography"/>
    <w:basedOn w:val="Normal"/>
    <w:next w:val="Normal"/>
    <w:uiPriority w:val="37"/>
    <w:unhideWhenUsed/>
    <w:rsid w:val="00822179"/>
    <w:pPr>
      <w:spacing w:after="0" w:line="480" w:lineRule="auto"/>
      <w:ind w:left="720" w:hanging="720"/>
    </w:pPr>
  </w:style>
  <w:style w:type="paragraph" w:styleId="NormalWeb">
    <w:name w:val="Normal (Web)"/>
    <w:basedOn w:val="Normal"/>
    <w:uiPriority w:val="99"/>
    <w:semiHidden/>
    <w:unhideWhenUsed/>
    <w:rsid w:val="00DC588D"/>
    <w:rPr>
      <w:rFonts w:ascii="Times New Roman" w:hAnsi="Times New Roman" w:cs="Times New Roman"/>
      <w:sz w:val="24"/>
      <w:szCs w:val="24"/>
    </w:rPr>
  </w:style>
  <w:style w:type="paragraph" w:styleId="Header">
    <w:name w:val="header"/>
    <w:basedOn w:val="Normal"/>
    <w:link w:val="HeaderChar"/>
    <w:uiPriority w:val="99"/>
    <w:unhideWhenUsed/>
    <w:rsid w:val="003F4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12F"/>
  </w:style>
  <w:style w:type="paragraph" w:styleId="Footer">
    <w:name w:val="footer"/>
    <w:basedOn w:val="Normal"/>
    <w:link w:val="FooterChar"/>
    <w:uiPriority w:val="99"/>
    <w:unhideWhenUsed/>
    <w:rsid w:val="003F4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12F"/>
  </w:style>
  <w:style w:type="paragraph" w:styleId="BodyText3">
    <w:name w:val="Body Text 3"/>
    <w:basedOn w:val="Normal"/>
    <w:link w:val="BodyText3Char"/>
    <w:uiPriority w:val="99"/>
    <w:unhideWhenUsed/>
    <w:rsid w:val="00D57DF3"/>
    <w:pPr>
      <w:jc w:val="both"/>
    </w:pPr>
    <w:rPr>
      <w:rFonts w:ascii="Arial" w:hAnsi="Arial" w:cs="Arial"/>
      <w:sz w:val="20"/>
      <w:szCs w:val="20"/>
    </w:rPr>
  </w:style>
  <w:style w:type="character" w:customStyle="1" w:styleId="BodyText3Char">
    <w:name w:val="Body Text 3 Char"/>
    <w:basedOn w:val="DefaultParagraphFont"/>
    <w:link w:val="BodyText3"/>
    <w:uiPriority w:val="99"/>
    <w:rsid w:val="00D57DF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576/isl/120515" TargetMode="External"/><Relationship Id="rId18" Type="http://schemas.openxmlformats.org/officeDocument/2006/relationships/hyperlink" Target="https://doi.org/10.3102/0013189X034006003" TargetMode="External"/><Relationship Id="rId26" Type="http://schemas.openxmlformats.org/officeDocument/2006/relationships/hyperlink" Target="https://doi.org/10.5430/ijhe.v10n4p268" TargetMode="External"/><Relationship Id="rId39" Type="http://schemas.openxmlformats.org/officeDocument/2006/relationships/footer" Target="footer1.xml"/><Relationship Id="rId21" Type="http://schemas.openxmlformats.org/officeDocument/2006/relationships/hyperlink" Target="https://doi.org/10.3390/su15043676" TargetMode="External"/><Relationship Id="rId34" Type="http://schemas.openxmlformats.org/officeDocument/2006/relationships/hyperlink" Target="https://unesdoc.unesco.org/ark:/48223/pf0000259556" TargetMode="External"/><Relationship Id="rId42" Type="http://schemas.openxmlformats.org/officeDocument/2006/relationships/footer" Target="foot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zenodo.org/record/7900000" TargetMode="External"/><Relationship Id="rId20" Type="http://schemas.openxmlformats.org/officeDocument/2006/relationships/hyperlink" Target="https://doi.org/10.3390/su7032768" TargetMode="External"/><Relationship Id="rId29" Type="http://schemas.openxmlformats.org/officeDocument/2006/relationships/hyperlink" Target="https://adno.no/index.php/adno/article/view/600"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kprress.org/index.php/JOGEE/article/view/2018-8-2-104-111/100" TargetMode="External"/><Relationship Id="rId24" Type="http://schemas.openxmlformats.org/officeDocument/2006/relationships/hyperlink" Target="https://doi.org/10.9790/0837-19323034" TargetMode="External"/><Relationship Id="rId32" Type="http://schemas.openxmlformats.org/officeDocument/2006/relationships/hyperlink" Target="https://doi.org/10.1093/bmb/ldx031"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88/1742-6596/1157/2/022025" TargetMode="External"/><Relationship Id="rId23" Type="http://schemas.openxmlformats.org/officeDocument/2006/relationships/hyperlink" Target="http://www.ijifr.com/searchjournal.aspx" TargetMode="External"/><Relationship Id="rId28" Type="http://schemas.openxmlformats.org/officeDocument/2006/relationships/hyperlink" Target="https://doi.org/10.7160/eriesj.2022.150402" TargetMode="External"/><Relationship Id="rId36" Type="http://schemas.openxmlformats.org/officeDocument/2006/relationships/hyperlink" Target="https://www.who.int/health-topics/school-health" TargetMode="External"/><Relationship Id="rId10" Type="http://schemas.openxmlformats.org/officeDocument/2006/relationships/chart" Target="charts/chart4.xml"/><Relationship Id="rId19" Type="http://schemas.openxmlformats.org/officeDocument/2006/relationships/hyperlink" Target="https://doi.org/10.3390/su10020439" TargetMode="External"/><Relationship Id="rId31" Type="http://schemas.openxmlformats.org/officeDocument/2006/relationships/hyperlink" Target="https://www.shodhasamiksha.co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3390/su13073883" TargetMode="External"/><Relationship Id="rId22" Type="http://schemas.openxmlformats.org/officeDocument/2006/relationships/hyperlink" Target="https://doi.org/10.1108/SAMPJ-05-2018-0152" TargetMode="External"/><Relationship Id="rId27" Type="http://schemas.openxmlformats.org/officeDocument/2006/relationships/hyperlink" Target="https://doi.org/10.2478/jtes-2019-0016" TargetMode="External"/><Relationship Id="rId30" Type="http://schemas.openxmlformats.org/officeDocument/2006/relationships/hyperlink" Target="https://doi.org/10.3390/su14084552" TargetMode="External"/><Relationship Id="rId35" Type="http://schemas.openxmlformats.org/officeDocument/2006/relationships/hyperlink" Target="https://doi.org/10.54675/YFRE1448" TargetMode="External"/><Relationship Id="rId43" Type="http://schemas.openxmlformats.org/officeDocument/2006/relationships/fontTable" Target="fontTable.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doi.org/10.5430/wje.v6n3p70" TargetMode="External"/><Relationship Id="rId17" Type="http://schemas.openxmlformats.org/officeDocument/2006/relationships/hyperlink" Target="https://www.researchpublish.com/upload/book/Awareness%20on%20Sustainable%20Development-6821.pdf" TargetMode="External"/><Relationship Id="rId25" Type="http://schemas.openxmlformats.org/officeDocument/2006/relationships/hyperlink" Target="http://ijfans.org/uploads/special_issue_1/11_1_868-882.pdf" TargetMode="External"/><Relationship Id="rId33" Type="http://schemas.openxmlformats.org/officeDocument/2006/relationships/hyperlink" Target="https://sdgs.un.org/2030agenda"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LEVEL OF AWARNESS TOWARDS SUSTAINABLE DEVELOPMENT BASED ON GENDER</a:t>
            </a:r>
            <a:endParaRPr lang="en-IN" sz="14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stacked"/>
        <c:varyColors val="0"/>
        <c:ser>
          <c:idx val="0"/>
          <c:order val="0"/>
          <c:tx>
            <c:strRef>
              <c:f>Sheet1!$D$4</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Sheet1!$C$5:$C$9</c:f>
              <c:strCache>
                <c:ptCount val="5"/>
                <c:pt idx="0">
                  <c:v>Gender</c:v>
                </c:pt>
                <c:pt idx="2">
                  <c:v>Male</c:v>
                </c:pt>
                <c:pt idx="4">
                  <c:v>Female</c:v>
                </c:pt>
              </c:strCache>
            </c:strRef>
          </c:cat>
          <c:val>
            <c:numRef>
              <c:f>Sheet1!$D$5:$D$9</c:f>
              <c:numCache>
                <c:formatCode>General</c:formatCode>
                <c:ptCount val="5"/>
                <c:pt idx="0">
                  <c:v>0</c:v>
                </c:pt>
                <c:pt idx="2">
                  <c:v>75</c:v>
                </c:pt>
                <c:pt idx="4">
                  <c:v>75</c:v>
                </c:pt>
              </c:numCache>
            </c:numRef>
          </c:val>
          <c:extLst>
            <c:ext xmlns:c16="http://schemas.microsoft.com/office/drawing/2014/chart" uri="{C3380CC4-5D6E-409C-BE32-E72D297353CC}">
              <c16:uniqueId val="{00000000-BA4A-40E0-A51C-C3A625A08C10}"/>
            </c:ext>
          </c:extLst>
        </c:ser>
        <c:ser>
          <c:idx val="1"/>
          <c:order val="1"/>
          <c:tx>
            <c:strRef>
              <c:f>Sheet1!$E$4</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Sheet1!$C$5:$C$9</c:f>
              <c:strCache>
                <c:ptCount val="5"/>
                <c:pt idx="0">
                  <c:v>Gender</c:v>
                </c:pt>
                <c:pt idx="2">
                  <c:v>Male</c:v>
                </c:pt>
                <c:pt idx="4">
                  <c:v>Female</c:v>
                </c:pt>
              </c:strCache>
            </c:strRef>
          </c:cat>
          <c:val>
            <c:numRef>
              <c:f>Sheet1!$E$5:$E$9</c:f>
              <c:numCache>
                <c:formatCode>General</c:formatCode>
                <c:ptCount val="5"/>
                <c:pt idx="0">
                  <c:v>0</c:v>
                </c:pt>
                <c:pt idx="2">
                  <c:v>76.866669999999999</c:v>
                </c:pt>
                <c:pt idx="4">
                  <c:v>75.933329999999998</c:v>
                </c:pt>
              </c:numCache>
            </c:numRef>
          </c:val>
          <c:extLst>
            <c:ext xmlns:c16="http://schemas.microsoft.com/office/drawing/2014/chart" uri="{C3380CC4-5D6E-409C-BE32-E72D297353CC}">
              <c16:uniqueId val="{00000001-BA4A-40E0-A51C-C3A625A08C10}"/>
            </c:ext>
          </c:extLst>
        </c:ser>
        <c:ser>
          <c:idx val="2"/>
          <c:order val="2"/>
          <c:tx>
            <c:strRef>
              <c:f>Sheet1!$F$4</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Sheet1!$C$5:$C$9</c:f>
              <c:strCache>
                <c:ptCount val="5"/>
                <c:pt idx="0">
                  <c:v>Gender</c:v>
                </c:pt>
                <c:pt idx="2">
                  <c:v>Male</c:v>
                </c:pt>
                <c:pt idx="4">
                  <c:v>Female</c:v>
                </c:pt>
              </c:strCache>
            </c:strRef>
          </c:cat>
          <c:val>
            <c:numRef>
              <c:f>Sheet1!$F$5:$F$9</c:f>
              <c:numCache>
                <c:formatCode>General</c:formatCode>
                <c:ptCount val="5"/>
                <c:pt idx="0">
                  <c:v>0</c:v>
                </c:pt>
                <c:pt idx="2">
                  <c:v>10.1892</c:v>
                </c:pt>
                <c:pt idx="4">
                  <c:v>10.41093</c:v>
                </c:pt>
              </c:numCache>
            </c:numRef>
          </c:val>
          <c:extLst>
            <c:ext xmlns:c16="http://schemas.microsoft.com/office/drawing/2014/chart" uri="{C3380CC4-5D6E-409C-BE32-E72D297353CC}">
              <c16:uniqueId val="{00000002-BA4A-40E0-A51C-C3A625A08C10}"/>
            </c:ext>
          </c:extLst>
        </c:ser>
        <c:dLbls>
          <c:dLblPos val="ctr"/>
          <c:showLegendKey val="0"/>
          <c:showVal val="1"/>
          <c:showCatName val="0"/>
          <c:showSerName val="0"/>
          <c:showPercent val="0"/>
          <c:showBubbleSize val="0"/>
        </c:dLbls>
        <c:gapWidth val="150"/>
        <c:overlap val="100"/>
        <c:axId val="414606544"/>
        <c:axId val="414606872"/>
      </c:barChart>
      <c:catAx>
        <c:axId val="414606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aseline="0"/>
                  <a:t>            </a:t>
                </a:r>
                <a:r>
                  <a:rPr lang="en-IN" baseline="0">
                    <a:latin typeface="Times New Roman" panose="02020603050405020304" pitchFamily="18" charset="0"/>
                    <a:cs typeface="Times New Roman" panose="02020603050405020304" pitchFamily="18" charset="0"/>
                  </a:rPr>
                  <a:t>N             Mean         SD        </a:t>
                </a:r>
                <a:endParaRPr lang="en-IN">
                  <a:latin typeface="Times New Roman" panose="02020603050405020304" pitchFamily="18" charset="0"/>
                  <a:cs typeface="Times New Roman" panose="02020603050405020304" pitchFamily="18" charset="0"/>
                </a:endParaRPr>
              </a:p>
            </c:rich>
          </c:tx>
          <c:layout>
            <c:manualLayout>
              <c:xMode val="edge"/>
              <c:yMode val="edge"/>
              <c:x val="0.30078337707786529"/>
              <c:y val="0.8710985533140811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606872"/>
        <c:crosses val="autoZero"/>
        <c:auto val="1"/>
        <c:lblAlgn val="ctr"/>
        <c:lblOffset val="100"/>
        <c:noMultiLvlLbl val="0"/>
      </c:catAx>
      <c:valAx>
        <c:axId val="414606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606544"/>
        <c:crosses val="autoZero"/>
        <c:crossBetween val="between"/>
      </c:valAx>
      <c:spPr>
        <a:noFill/>
        <a:ln>
          <a:noFill/>
        </a:ln>
        <a:effectLst/>
      </c:spPr>
    </c:plotArea>
    <c:legend>
      <c:legendPos val="b"/>
      <c:layout>
        <c:manualLayout>
          <c:xMode val="edge"/>
          <c:yMode val="edge"/>
          <c:x val="0.25112300962379702"/>
          <c:y val="0.84515183623155288"/>
          <c:w val="0.36608748906386701"/>
          <c:h val="9.627850608383714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LEVEL OF AWARNESS TOWARDS SUSTAINABLE DEVELOPMENT BASED ON STREAM (ARTS AND SCIENCE)</a:t>
            </a:r>
            <a:endParaRPr lang="en-IN"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stacked"/>
        <c:varyColors val="0"/>
        <c:ser>
          <c:idx val="0"/>
          <c:order val="0"/>
          <c:tx>
            <c:strRef>
              <c:f>Sheet1!$E$28</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Sheet1!$D$29:$D$32</c:f>
              <c:strCache>
                <c:ptCount val="4"/>
                <c:pt idx="0">
                  <c:v>Stream</c:v>
                </c:pt>
                <c:pt idx="1">
                  <c:v>Arts</c:v>
                </c:pt>
                <c:pt idx="3">
                  <c:v>Science</c:v>
                </c:pt>
              </c:strCache>
            </c:strRef>
          </c:cat>
          <c:val>
            <c:numRef>
              <c:f>Sheet1!$E$29:$E$32</c:f>
              <c:numCache>
                <c:formatCode>General</c:formatCode>
                <c:ptCount val="4"/>
                <c:pt idx="0">
                  <c:v>0</c:v>
                </c:pt>
                <c:pt idx="1">
                  <c:v>50</c:v>
                </c:pt>
                <c:pt idx="3">
                  <c:v>50</c:v>
                </c:pt>
              </c:numCache>
            </c:numRef>
          </c:val>
          <c:extLst>
            <c:ext xmlns:c16="http://schemas.microsoft.com/office/drawing/2014/chart" uri="{C3380CC4-5D6E-409C-BE32-E72D297353CC}">
              <c16:uniqueId val="{00000000-D004-4A7A-9FC0-AA9D11A78C3F}"/>
            </c:ext>
          </c:extLst>
        </c:ser>
        <c:ser>
          <c:idx val="1"/>
          <c:order val="1"/>
          <c:tx>
            <c:strRef>
              <c:f>Sheet1!$F$28</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Sheet1!$D$29:$D$32</c:f>
              <c:strCache>
                <c:ptCount val="4"/>
                <c:pt idx="0">
                  <c:v>Stream</c:v>
                </c:pt>
                <c:pt idx="1">
                  <c:v>Arts</c:v>
                </c:pt>
                <c:pt idx="3">
                  <c:v>Science</c:v>
                </c:pt>
              </c:strCache>
            </c:strRef>
          </c:cat>
          <c:val>
            <c:numRef>
              <c:f>Sheet1!$F$29:$F$32</c:f>
              <c:numCache>
                <c:formatCode>General</c:formatCode>
                <c:ptCount val="4"/>
                <c:pt idx="0">
                  <c:v>0</c:v>
                </c:pt>
                <c:pt idx="1">
                  <c:v>76.22</c:v>
                </c:pt>
                <c:pt idx="3">
                  <c:v>76.66</c:v>
                </c:pt>
              </c:numCache>
            </c:numRef>
          </c:val>
          <c:extLst>
            <c:ext xmlns:c16="http://schemas.microsoft.com/office/drawing/2014/chart" uri="{C3380CC4-5D6E-409C-BE32-E72D297353CC}">
              <c16:uniqueId val="{00000001-D004-4A7A-9FC0-AA9D11A78C3F}"/>
            </c:ext>
          </c:extLst>
        </c:ser>
        <c:ser>
          <c:idx val="2"/>
          <c:order val="2"/>
          <c:tx>
            <c:strRef>
              <c:f>Sheet1!$G$28</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Sheet1!$D$29:$D$32</c:f>
              <c:strCache>
                <c:ptCount val="4"/>
                <c:pt idx="0">
                  <c:v>Stream</c:v>
                </c:pt>
                <c:pt idx="1">
                  <c:v>Arts</c:v>
                </c:pt>
                <c:pt idx="3">
                  <c:v>Science</c:v>
                </c:pt>
              </c:strCache>
            </c:strRef>
          </c:cat>
          <c:val>
            <c:numRef>
              <c:f>Sheet1!$G$29:$G$32</c:f>
              <c:numCache>
                <c:formatCode>General</c:formatCode>
                <c:ptCount val="4"/>
                <c:pt idx="0">
                  <c:v>0</c:v>
                </c:pt>
                <c:pt idx="1">
                  <c:v>8.5387229999999992</c:v>
                </c:pt>
                <c:pt idx="3">
                  <c:v>9.9808179999999993</c:v>
                </c:pt>
              </c:numCache>
            </c:numRef>
          </c:val>
          <c:extLst>
            <c:ext xmlns:c16="http://schemas.microsoft.com/office/drawing/2014/chart" uri="{C3380CC4-5D6E-409C-BE32-E72D297353CC}">
              <c16:uniqueId val="{00000002-D004-4A7A-9FC0-AA9D11A78C3F}"/>
            </c:ext>
          </c:extLst>
        </c:ser>
        <c:dLbls>
          <c:dLblPos val="ctr"/>
          <c:showLegendKey val="0"/>
          <c:showVal val="1"/>
          <c:showCatName val="0"/>
          <c:showSerName val="0"/>
          <c:showPercent val="0"/>
          <c:showBubbleSize val="0"/>
        </c:dLbls>
        <c:gapWidth val="150"/>
        <c:overlap val="100"/>
        <c:axId val="418943952"/>
        <c:axId val="418939032"/>
      </c:barChart>
      <c:catAx>
        <c:axId val="418943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aseline="0">
                    <a:latin typeface="Times New Roman" panose="02020603050405020304" pitchFamily="18" charset="0"/>
                    <a:cs typeface="Times New Roman" panose="02020603050405020304" pitchFamily="18" charset="0"/>
                  </a:rPr>
                  <a:t>N               Mean          SD         </a:t>
                </a:r>
                <a:endParaRPr lang="en-IN" sz="900">
                  <a:latin typeface="Times New Roman" panose="02020603050405020304" pitchFamily="18" charset="0"/>
                  <a:cs typeface="Times New Roman" panose="02020603050405020304" pitchFamily="18" charset="0"/>
                </a:endParaRPr>
              </a:p>
            </c:rich>
          </c:tx>
          <c:layout>
            <c:manualLayout>
              <c:xMode val="edge"/>
              <c:yMode val="edge"/>
              <c:x val="0.28497491201690139"/>
              <c:y val="0.821058594432230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8939032"/>
        <c:crosses val="autoZero"/>
        <c:auto val="1"/>
        <c:lblAlgn val="ctr"/>
        <c:lblOffset val="100"/>
        <c:noMultiLvlLbl val="0"/>
      </c:catAx>
      <c:valAx>
        <c:axId val="418939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8943952"/>
        <c:crosses val="autoZero"/>
        <c:crossBetween val="between"/>
      </c:valAx>
      <c:spPr>
        <a:noFill/>
        <a:ln>
          <a:noFill/>
        </a:ln>
        <a:effectLst/>
      </c:spPr>
    </c:plotArea>
    <c:legend>
      <c:legendPos val="b"/>
      <c:layout>
        <c:manualLayout>
          <c:xMode val="edge"/>
          <c:yMode val="edge"/>
          <c:x val="0.1853552605441228"/>
          <c:y val="0.80944920828146683"/>
          <c:w val="0.35311076453607554"/>
          <c:h val="7.009392561175277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200" b="1" i="0" baseline="0">
                <a:effectLst/>
                <a:latin typeface="Times New Roman" panose="02020603050405020304" pitchFamily="18" charset="0"/>
                <a:cs typeface="Times New Roman" panose="02020603050405020304" pitchFamily="18" charset="0"/>
              </a:rPr>
              <a:t>LEVEL OF AWARNESS TOWARDS SUSTAINABLE DEVELOPMENT BASED ON STREAM (ARTS AND COMMERCE)</a:t>
            </a:r>
            <a:endParaRPr lang="en-IN"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stacked"/>
        <c:varyColors val="0"/>
        <c:ser>
          <c:idx val="0"/>
          <c:order val="0"/>
          <c:tx>
            <c:strRef>
              <c:f>Sheet1!$C$71</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Sheet1!$B$72:$B$76</c:f>
              <c:strCache>
                <c:ptCount val="5"/>
                <c:pt idx="0">
                  <c:v>Stream</c:v>
                </c:pt>
                <c:pt idx="2">
                  <c:v>Arts</c:v>
                </c:pt>
                <c:pt idx="4">
                  <c:v>Commerce</c:v>
                </c:pt>
              </c:strCache>
            </c:strRef>
          </c:cat>
          <c:val>
            <c:numRef>
              <c:f>Sheet1!$C$72:$C$76</c:f>
              <c:numCache>
                <c:formatCode>General</c:formatCode>
                <c:ptCount val="5"/>
                <c:pt idx="0">
                  <c:v>0</c:v>
                </c:pt>
                <c:pt idx="2">
                  <c:v>50</c:v>
                </c:pt>
                <c:pt idx="4">
                  <c:v>50</c:v>
                </c:pt>
              </c:numCache>
            </c:numRef>
          </c:val>
          <c:extLst>
            <c:ext xmlns:c16="http://schemas.microsoft.com/office/drawing/2014/chart" uri="{C3380CC4-5D6E-409C-BE32-E72D297353CC}">
              <c16:uniqueId val="{00000000-9A1A-4D40-BB95-D889B2FA6AE4}"/>
            </c:ext>
          </c:extLst>
        </c:ser>
        <c:ser>
          <c:idx val="1"/>
          <c:order val="1"/>
          <c:tx>
            <c:strRef>
              <c:f>Sheet1!$D$71</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Sheet1!$B$72:$B$76</c:f>
              <c:strCache>
                <c:ptCount val="5"/>
                <c:pt idx="0">
                  <c:v>Stream</c:v>
                </c:pt>
                <c:pt idx="2">
                  <c:v>Arts</c:v>
                </c:pt>
                <c:pt idx="4">
                  <c:v>Commerce</c:v>
                </c:pt>
              </c:strCache>
            </c:strRef>
          </c:cat>
          <c:val>
            <c:numRef>
              <c:f>Sheet1!$D$72:$D$76</c:f>
              <c:numCache>
                <c:formatCode>General</c:formatCode>
                <c:ptCount val="5"/>
                <c:pt idx="0">
                  <c:v>0</c:v>
                </c:pt>
                <c:pt idx="2">
                  <c:v>76.22</c:v>
                </c:pt>
                <c:pt idx="4">
                  <c:v>76.319999999999993</c:v>
                </c:pt>
              </c:numCache>
            </c:numRef>
          </c:val>
          <c:extLst>
            <c:ext xmlns:c16="http://schemas.microsoft.com/office/drawing/2014/chart" uri="{C3380CC4-5D6E-409C-BE32-E72D297353CC}">
              <c16:uniqueId val="{00000001-9A1A-4D40-BB95-D889B2FA6AE4}"/>
            </c:ext>
          </c:extLst>
        </c:ser>
        <c:ser>
          <c:idx val="2"/>
          <c:order val="2"/>
          <c:tx>
            <c:strRef>
              <c:f>Sheet1!$E$71</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Sheet1!$B$72:$B$76</c:f>
              <c:strCache>
                <c:ptCount val="5"/>
                <c:pt idx="0">
                  <c:v>Stream</c:v>
                </c:pt>
                <c:pt idx="2">
                  <c:v>Arts</c:v>
                </c:pt>
                <c:pt idx="4">
                  <c:v>Commerce</c:v>
                </c:pt>
              </c:strCache>
            </c:strRef>
          </c:cat>
          <c:val>
            <c:numRef>
              <c:f>Sheet1!$E$72:$E$76</c:f>
              <c:numCache>
                <c:formatCode>General</c:formatCode>
                <c:ptCount val="5"/>
                <c:pt idx="0">
                  <c:v>0</c:v>
                </c:pt>
                <c:pt idx="2">
                  <c:v>8.5387229999999992</c:v>
                </c:pt>
                <c:pt idx="4">
                  <c:v>12.18638</c:v>
                </c:pt>
              </c:numCache>
            </c:numRef>
          </c:val>
          <c:extLst>
            <c:ext xmlns:c16="http://schemas.microsoft.com/office/drawing/2014/chart" uri="{C3380CC4-5D6E-409C-BE32-E72D297353CC}">
              <c16:uniqueId val="{00000002-9A1A-4D40-BB95-D889B2FA6AE4}"/>
            </c:ext>
          </c:extLst>
        </c:ser>
        <c:dLbls>
          <c:dLblPos val="ctr"/>
          <c:showLegendKey val="0"/>
          <c:showVal val="1"/>
          <c:showCatName val="0"/>
          <c:showSerName val="0"/>
          <c:showPercent val="0"/>
          <c:showBubbleSize val="0"/>
        </c:dLbls>
        <c:gapWidth val="150"/>
        <c:overlap val="100"/>
        <c:axId val="513820264"/>
        <c:axId val="513826824"/>
      </c:barChart>
      <c:catAx>
        <c:axId val="513820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            N    </a:t>
                </a:r>
                <a:r>
                  <a:rPr lang="en-IN" baseline="0"/>
                  <a:t>            Mean           SD     </a:t>
                </a:r>
                <a:endParaRPr lang="en-IN"/>
              </a:p>
            </c:rich>
          </c:tx>
          <c:layout>
            <c:manualLayout>
              <c:xMode val="edge"/>
              <c:yMode val="edge"/>
              <c:x val="0.34508298137859672"/>
              <c:y val="0.8516502901925991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3826824"/>
        <c:crosses val="autoZero"/>
        <c:auto val="1"/>
        <c:lblAlgn val="ctr"/>
        <c:lblOffset val="100"/>
        <c:noMultiLvlLbl val="0"/>
      </c:catAx>
      <c:valAx>
        <c:axId val="513826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3820264"/>
        <c:crosses val="autoZero"/>
        <c:crossBetween val="between"/>
      </c:valAx>
      <c:spPr>
        <a:noFill/>
        <a:ln>
          <a:noFill/>
        </a:ln>
        <a:effectLst/>
      </c:spPr>
    </c:plotArea>
    <c:legend>
      <c:legendPos val="b"/>
      <c:layout>
        <c:manualLayout>
          <c:xMode val="edge"/>
          <c:yMode val="edge"/>
          <c:x val="0.29501187986019517"/>
          <c:y val="0.82255265979076564"/>
          <c:w val="0.39993693681690806"/>
          <c:h val="0.115684300025877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200" b="1" i="0" baseline="0">
                <a:effectLst/>
                <a:latin typeface="Times New Roman" panose="02020603050405020304" pitchFamily="18" charset="0"/>
                <a:cs typeface="Times New Roman" panose="02020603050405020304" pitchFamily="18" charset="0"/>
              </a:rPr>
              <a:t>LEVEL OF AWARNESS TOWARDS SUSTAINABLE DEVELOPMENT BASED ON STREAM (SCIENCE AND COMMERCE)</a:t>
            </a:r>
            <a:endParaRPr lang="en-IN"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stacked"/>
        <c:varyColors val="0"/>
        <c:ser>
          <c:idx val="0"/>
          <c:order val="0"/>
          <c:tx>
            <c:strRef>
              <c:f>Sheet1!$D$94</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Sheet1!$C$95:$C$101</c:f>
              <c:strCache>
                <c:ptCount val="6"/>
                <c:pt idx="0">
                  <c:v>Stream</c:v>
                </c:pt>
                <c:pt idx="2">
                  <c:v>Science</c:v>
                </c:pt>
                <c:pt idx="5">
                  <c:v>Commerce</c:v>
                </c:pt>
              </c:strCache>
            </c:strRef>
          </c:cat>
          <c:val>
            <c:numRef>
              <c:f>Sheet1!$D$95:$D$101</c:f>
              <c:numCache>
                <c:formatCode>General</c:formatCode>
                <c:ptCount val="7"/>
                <c:pt idx="0">
                  <c:v>0</c:v>
                </c:pt>
                <c:pt idx="2">
                  <c:v>50</c:v>
                </c:pt>
                <c:pt idx="5">
                  <c:v>50</c:v>
                </c:pt>
              </c:numCache>
            </c:numRef>
          </c:val>
          <c:extLst>
            <c:ext xmlns:c16="http://schemas.microsoft.com/office/drawing/2014/chart" uri="{C3380CC4-5D6E-409C-BE32-E72D297353CC}">
              <c16:uniqueId val="{00000000-44A0-4C54-AB90-E7285A1A9C95}"/>
            </c:ext>
          </c:extLst>
        </c:ser>
        <c:ser>
          <c:idx val="1"/>
          <c:order val="1"/>
          <c:tx>
            <c:strRef>
              <c:f>Sheet1!$E$94</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Sheet1!$C$95:$C$101</c:f>
              <c:strCache>
                <c:ptCount val="6"/>
                <c:pt idx="0">
                  <c:v>Stream</c:v>
                </c:pt>
                <c:pt idx="2">
                  <c:v>Science</c:v>
                </c:pt>
                <c:pt idx="5">
                  <c:v>Commerce</c:v>
                </c:pt>
              </c:strCache>
            </c:strRef>
          </c:cat>
          <c:val>
            <c:numRef>
              <c:f>Sheet1!$E$95:$E$101</c:f>
              <c:numCache>
                <c:formatCode>General</c:formatCode>
                <c:ptCount val="7"/>
                <c:pt idx="0">
                  <c:v>0</c:v>
                </c:pt>
                <c:pt idx="2">
                  <c:v>76.66</c:v>
                </c:pt>
                <c:pt idx="5">
                  <c:v>76.319999999999993</c:v>
                </c:pt>
              </c:numCache>
            </c:numRef>
          </c:val>
          <c:extLst>
            <c:ext xmlns:c16="http://schemas.microsoft.com/office/drawing/2014/chart" uri="{C3380CC4-5D6E-409C-BE32-E72D297353CC}">
              <c16:uniqueId val="{00000001-44A0-4C54-AB90-E7285A1A9C95}"/>
            </c:ext>
          </c:extLst>
        </c:ser>
        <c:ser>
          <c:idx val="2"/>
          <c:order val="2"/>
          <c:tx>
            <c:strRef>
              <c:f>Sheet1!$F$94</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Sheet1!$C$95:$C$101</c:f>
              <c:strCache>
                <c:ptCount val="6"/>
                <c:pt idx="0">
                  <c:v>Stream</c:v>
                </c:pt>
                <c:pt idx="2">
                  <c:v>Science</c:v>
                </c:pt>
                <c:pt idx="5">
                  <c:v>Commerce</c:v>
                </c:pt>
              </c:strCache>
            </c:strRef>
          </c:cat>
          <c:val>
            <c:numRef>
              <c:f>Sheet1!$F$95:$F$101</c:f>
              <c:numCache>
                <c:formatCode>General</c:formatCode>
                <c:ptCount val="7"/>
                <c:pt idx="0">
                  <c:v>0</c:v>
                </c:pt>
                <c:pt idx="2">
                  <c:v>9.9808179999999993</c:v>
                </c:pt>
                <c:pt idx="5">
                  <c:v>12.18638</c:v>
                </c:pt>
              </c:numCache>
            </c:numRef>
          </c:val>
          <c:extLst>
            <c:ext xmlns:c16="http://schemas.microsoft.com/office/drawing/2014/chart" uri="{C3380CC4-5D6E-409C-BE32-E72D297353CC}">
              <c16:uniqueId val="{00000002-44A0-4C54-AB90-E7285A1A9C95}"/>
            </c:ext>
          </c:extLst>
        </c:ser>
        <c:dLbls>
          <c:dLblPos val="ctr"/>
          <c:showLegendKey val="0"/>
          <c:showVal val="1"/>
          <c:showCatName val="0"/>
          <c:showSerName val="0"/>
          <c:showPercent val="0"/>
          <c:showBubbleSize val="0"/>
        </c:dLbls>
        <c:gapWidth val="150"/>
        <c:overlap val="100"/>
        <c:axId val="501391288"/>
        <c:axId val="501391944"/>
      </c:barChart>
      <c:catAx>
        <c:axId val="501391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            N</a:t>
                </a:r>
                <a:r>
                  <a:rPr lang="en-IN" baseline="0"/>
                  <a:t>                  Mean            SD</a:t>
                </a:r>
                <a:endParaRPr lang="en-IN"/>
              </a:p>
            </c:rich>
          </c:tx>
          <c:layout>
            <c:manualLayout>
              <c:xMode val="edge"/>
              <c:yMode val="edge"/>
              <c:x val="0.32535979877515309"/>
              <c:y val="0.818394171177928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01391944"/>
        <c:crosses val="autoZero"/>
        <c:auto val="1"/>
        <c:lblAlgn val="ctr"/>
        <c:lblOffset val="100"/>
        <c:noMultiLvlLbl val="0"/>
      </c:catAx>
      <c:valAx>
        <c:axId val="501391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01391288"/>
        <c:crosses val="autoZero"/>
        <c:crossBetween val="between"/>
      </c:valAx>
      <c:spPr>
        <a:noFill/>
        <a:ln>
          <a:noFill/>
        </a:ln>
        <a:effectLst/>
      </c:spPr>
    </c:plotArea>
    <c:legend>
      <c:legendPos val="b"/>
      <c:layout>
        <c:manualLayout>
          <c:xMode val="edge"/>
          <c:yMode val="edge"/>
          <c:x val="0.27761413869318968"/>
          <c:y val="0.81161434078670536"/>
          <c:w val="0.40646757148777457"/>
          <c:h val="7.507124532243453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12</Pages>
  <Words>3979</Words>
  <Characters>22685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MOHALIK</dc:creator>
  <cp:keywords/>
  <dc:description/>
  <cp:lastModifiedBy>SDI 1084</cp:lastModifiedBy>
  <cp:revision>106</cp:revision>
  <dcterms:created xsi:type="dcterms:W3CDTF">2025-09-20T06:39:00Z</dcterms:created>
  <dcterms:modified xsi:type="dcterms:W3CDTF">2025-12-22T06:45:00Z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d8031b33-c7f1-492c-bcee-0c0db96e7ba9</vt:lpwstr>
  </property>
  <property fmtid="{D5CDD505-2E9C-101B-9397-08002B2CF9AE}" pid="3" name="ZOTERO_PREF_1">
    <vt:lpwstr>&lt;data data-version="3" zotero-version="6.0.36"&gt;&lt;session id="U3utUHiy"/&gt;&lt;style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