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FDF4" w14:textId="77777777" w:rsidR="00596AE7" w:rsidRPr="00596AE7" w:rsidRDefault="00596AE7" w:rsidP="00596AE7">
      <w:pPr>
        <w:pStyle w:val="Author"/>
        <w:spacing w:line="240" w:lineRule="auto"/>
        <w:rPr>
          <w:rFonts w:ascii="Arial" w:hAnsi="Arial" w:cs="Arial"/>
          <w:bCs/>
          <w:iCs/>
          <w:kern w:val="28"/>
          <w:sz w:val="48"/>
        </w:rPr>
      </w:pPr>
      <w:r w:rsidRPr="00596AE7">
        <w:rPr>
          <w:rFonts w:ascii="Arial" w:hAnsi="Arial" w:cs="Arial"/>
          <w:sz w:val="36"/>
        </w:rPr>
        <w:t>Ecotourism Under Pressure: Analyzing the Socio-Economic Impacts of COVID-19 on Peri-Urban Conservation Sites in the Democratic Republic of the Congo.</w:t>
      </w:r>
    </w:p>
    <w:p w14:paraId="72E3568D" w14:textId="77777777" w:rsidR="00596AE7" w:rsidRPr="00163BC4" w:rsidRDefault="00596AE7" w:rsidP="00441B6F">
      <w:pPr>
        <w:pStyle w:val="Author"/>
        <w:spacing w:line="240" w:lineRule="auto"/>
        <w:rPr>
          <w:rFonts w:ascii="Arial" w:hAnsi="Arial" w:cs="Arial"/>
          <w:bCs/>
          <w:iCs/>
          <w:kern w:val="28"/>
          <w:sz w:val="36"/>
        </w:rPr>
      </w:pPr>
    </w:p>
    <w:p w14:paraId="156ADB23" w14:textId="77777777" w:rsidR="002C57D2" w:rsidRPr="00FB3A86" w:rsidRDefault="002C57D2" w:rsidP="00441B6F">
      <w:pPr>
        <w:pStyle w:val="Affiliation"/>
        <w:spacing w:after="0" w:line="240" w:lineRule="auto"/>
        <w:jc w:val="both"/>
        <w:rPr>
          <w:rFonts w:ascii="Arial" w:hAnsi="Arial" w:cs="Arial"/>
        </w:rPr>
      </w:pPr>
    </w:p>
    <w:p w14:paraId="3F65993E" w14:textId="77777777" w:rsidR="00B01FCD" w:rsidRPr="00FB3A86" w:rsidRDefault="00A63776" w:rsidP="00441B6F">
      <w:pPr>
        <w:pStyle w:val="Copyright"/>
        <w:spacing w:after="0" w:line="240" w:lineRule="auto"/>
        <w:jc w:val="both"/>
        <w:rPr>
          <w:rFonts w:ascii="Arial" w:hAnsi="Arial" w:cs="Arial"/>
        </w:rPr>
        <w:sectPr w:rsidR="00B01FCD" w:rsidRPr="00FB3A86" w:rsidSect="002861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84FB295" wp14:editId="7482A490">
                <wp:extent cx="5303520" cy="0"/>
                <wp:effectExtent l="9525" t="18415" r="11430"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BF906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7B4BCF6" w14:textId="7810E2F8" w:rsidR="00B01FCD" w:rsidRDefault="00B01FCD" w:rsidP="00441B6F">
      <w:pPr>
        <w:pStyle w:val="AbstHead"/>
        <w:spacing w:after="0"/>
        <w:jc w:val="both"/>
        <w:rPr>
          <w:rFonts w:ascii="Arial" w:hAnsi="Arial" w:cs="Arial"/>
        </w:rPr>
      </w:pPr>
      <w:r w:rsidRPr="00FB3A86">
        <w:rPr>
          <w:rFonts w:ascii="Arial" w:hAnsi="Arial" w:cs="Arial"/>
        </w:rPr>
        <w:t>ABSTRACT</w:t>
      </w:r>
    </w:p>
    <w:p w14:paraId="2BC1F0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D9E636" w14:textId="77777777" w:rsidTr="001E44FE">
        <w:tc>
          <w:tcPr>
            <w:tcW w:w="9576" w:type="dxa"/>
            <w:shd w:val="clear" w:color="auto" w:fill="F2F2F2"/>
          </w:tcPr>
          <w:p w14:paraId="4A2A9AA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3330F" w:rsidRPr="003F5A50">
              <w:rPr>
                <w:rFonts w:ascii="Arial" w:hAnsi="Arial" w:cs="Arial"/>
              </w:rPr>
              <w:t>This study aims to analyze the multidimensional impacts of the COVID-19 pandemic on the ecotourism industry in Kinshasa, specifically evaluating how the crisis affected financial stability, operational management, and the resilience of peri-urban conservation sites</w:t>
            </w:r>
            <w:r w:rsidRPr="00BA1B01">
              <w:rPr>
                <w:rFonts w:ascii="Arial" w:eastAsia="Calibri" w:hAnsi="Arial" w:cs="Arial"/>
                <w:szCs w:val="22"/>
              </w:rPr>
              <w:t>.</w:t>
            </w:r>
          </w:p>
          <w:p w14:paraId="5F7B8C2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3330F" w:rsidRPr="003F5A50">
              <w:rPr>
                <w:rFonts w:ascii="Arial" w:hAnsi="Arial" w:cs="Arial"/>
              </w:rPr>
              <w:t>The research employed a descriptive and analytical cross-sectional study design, utilizing a mixed-methods approach that combined quantitative surveys with qualitative strategic analysis</w:t>
            </w:r>
            <w:r w:rsidRPr="00BA1B01">
              <w:rPr>
                <w:rFonts w:ascii="Arial" w:eastAsia="Calibri" w:hAnsi="Arial" w:cs="Arial"/>
                <w:szCs w:val="22"/>
              </w:rPr>
              <w:t>.</w:t>
            </w:r>
          </w:p>
          <w:p w14:paraId="21BC705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3330F" w:rsidRPr="003F5A50">
              <w:rPr>
                <w:rFonts w:ascii="Arial" w:hAnsi="Arial" w:cs="Arial"/>
              </w:rPr>
              <w:t>The study was conducted at two emblematic sites in the Mont-</w:t>
            </w:r>
            <w:proofErr w:type="spellStart"/>
            <w:r w:rsidR="0083330F" w:rsidRPr="003F5A50">
              <w:rPr>
                <w:rFonts w:ascii="Arial" w:hAnsi="Arial" w:cs="Arial"/>
              </w:rPr>
              <w:t>Ngafula</w:t>
            </w:r>
            <w:proofErr w:type="spellEnd"/>
            <w:r w:rsidR="0083330F" w:rsidRPr="003F5A50">
              <w:rPr>
                <w:rFonts w:ascii="Arial" w:hAnsi="Arial" w:cs="Arial"/>
              </w:rPr>
              <w:t xml:space="preserve"> </w:t>
            </w:r>
            <w:r w:rsidR="0083330F" w:rsidRPr="0083330F">
              <w:rPr>
                <w:rFonts w:ascii="Arial" w:hAnsi="Arial" w:cs="Arial"/>
              </w:rPr>
              <w:t xml:space="preserve">commune of Kinshasa, Democratic Republic of the Congo: the </w:t>
            </w:r>
            <w:r w:rsidR="0083330F" w:rsidRPr="0083330F">
              <w:rPr>
                <w:rFonts w:ascii="Arial" w:hAnsi="Arial" w:cs="Arial"/>
                <w:bCs/>
              </w:rPr>
              <w:t xml:space="preserve">Lola </w:t>
            </w:r>
            <w:proofErr w:type="spellStart"/>
            <w:r w:rsidR="0083330F" w:rsidRPr="0083330F">
              <w:rPr>
                <w:rFonts w:ascii="Arial" w:hAnsi="Arial" w:cs="Arial"/>
                <w:bCs/>
              </w:rPr>
              <w:t>ya</w:t>
            </w:r>
            <w:proofErr w:type="spellEnd"/>
            <w:r w:rsidR="0083330F" w:rsidRPr="0083330F">
              <w:rPr>
                <w:rFonts w:ascii="Arial" w:hAnsi="Arial" w:cs="Arial"/>
                <w:bCs/>
              </w:rPr>
              <w:t xml:space="preserve"> Bonobo sanctuary</w:t>
            </w:r>
            <w:r w:rsidR="0083330F" w:rsidRPr="0083330F">
              <w:rPr>
                <w:rFonts w:ascii="Arial" w:hAnsi="Arial" w:cs="Arial"/>
              </w:rPr>
              <w:t xml:space="preserve"> and the </w:t>
            </w:r>
            <w:r w:rsidR="0083330F" w:rsidRPr="0083330F">
              <w:rPr>
                <w:rFonts w:ascii="Arial" w:hAnsi="Arial" w:cs="Arial"/>
                <w:bCs/>
              </w:rPr>
              <w:t>Lac Ma Vallée</w:t>
            </w:r>
            <w:r w:rsidR="0083330F" w:rsidRPr="0083330F">
              <w:rPr>
                <w:rFonts w:ascii="Arial" w:hAnsi="Arial" w:cs="Arial"/>
              </w:rPr>
              <w:t xml:space="preserve"> site, between </w:t>
            </w:r>
            <w:r w:rsidR="0083330F" w:rsidRPr="0083330F">
              <w:rPr>
                <w:rFonts w:ascii="Arial" w:hAnsi="Arial" w:cs="Arial"/>
                <w:bCs/>
              </w:rPr>
              <w:t>December 2023 and December 2024</w:t>
            </w:r>
            <w:r w:rsidRPr="00BA1B01">
              <w:rPr>
                <w:rFonts w:ascii="Arial" w:eastAsia="Calibri" w:hAnsi="Arial" w:cs="Arial"/>
                <w:szCs w:val="22"/>
              </w:rPr>
              <w:t>.</w:t>
            </w:r>
          </w:p>
          <w:p w14:paraId="552E679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3330F" w:rsidRPr="003F5A50">
              <w:rPr>
                <w:rFonts w:ascii="Arial" w:hAnsi="Arial" w:cs="Arial"/>
              </w:rPr>
              <w:t>Data were collecte</w:t>
            </w:r>
            <w:r w:rsidR="0083330F" w:rsidRPr="0083330F">
              <w:rPr>
                <w:rFonts w:ascii="Arial" w:hAnsi="Arial" w:cs="Arial"/>
              </w:rPr>
              <w:t xml:space="preserve">d from a sample of </w:t>
            </w:r>
            <w:r w:rsidR="0083330F" w:rsidRPr="0083330F">
              <w:rPr>
                <w:rFonts w:ascii="Arial" w:hAnsi="Arial" w:cs="Arial"/>
                <w:bCs/>
              </w:rPr>
              <w:t>70 stakeholders</w:t>
            </w:r>
            <w:r w:rsidR="0083330F" w:rsidRPr="0083330F">
              <w:rPr>
                <w:rFonts w:ascii="Arial" w:hAnsi="Arial" w:cs="Arial"/>
              </w:rPr>
              <w:t xml:space="preserve"> (visitors, site managers, and local communities) using structured questionnaires and semi-structured interviews. Spatial analysis was performed using GPS georeferencing and GIS software (</w:t>
            </w:r>
            <w:r w:rsidR="0083330F" w:rsidRPr="0083330F">
              <w:rPr>
                <w:rFonts w:ascii="Arial" w:hAnsi="Arial" w:cs="Arial"/>
                <w:bCs/>
              </w:rPr>
              <w:t>QGIS/ArcGIS</w:t>
            </w:r>
            <w:r w:rsidR="0083330F" w:rsidRPr="0083330F">
              <w:rPr>
                <w:rFonts w:ascii="Arial" w:hAnsi="Arial" w:cs="Arial"/>
              </w:rPr>
              <w:t xml:space="preserve">). Sectoral resilience was evaluated through a </w:t>
            </w:r>
            <w:r w:rsidR="0083330F" w:rsidRPr="0083330F">
              <w:rPr>
                <w:rFonts w:ascii="Arial" w:hAnsi="Arial" w:cs="Arial"/>
                <w:bCs/>
              </w:rPr>
              <w:t>SWOT matrix</w:t>
            </w:r>
            <w:r w:rsidR="0083330F" w:rsidRPr="0083330F">
              <w:rPr>
                <w:rFonts w:ascii="Arial" w:hAnsi="Arial" w:cs="Arial"/>
              </w:rPr>
              <w:t xml:space="preserve"> (Strengths, Weaknesses, Opportunities, Threats), cross-referencing internal management variables with external pandemic-induced shocks</w:t>
            </w:r>
            <w:r w:rsidRPr="00BA1B01">
              <w:rPr>
                <w:rFonts w:ascii="Arial" w:eastAsia="Calibri" w:hAnsi="Arial" w:cs="Arial"/>
                <w:szCs w:val="22"/>
              </w:rPr>
              <w:t>.</w:t>
            </w:r>
          </w:p>
          <w:p w14:paraId="7049B9BD"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3330F" w:rsidRPr="003F5A50">
              <w:rPr>
                <w:rFonts w:ascii="Arial" w:hAnsi="Arial" w:cs="Arial"/>
              </w:rPr>
              <w:t xml:space="preserve">Findings </w:t>
            </w:r>
            <w:r w:rsidR="0083330F" w:rsidRPr="0083330F">
              <w:rPr>
                <w:rFonts w:ascii="Arial" w:hAnsi="Arial" w:cs="Arial"/>
              </w:rPr>
              <w:t xml:space="preserve">reveal a severe economic collapse, with </w:t>
            </w:r>
            <w:r w:rsidR="0083330F" w:rsidRPr="0083330F">
              <w:rPr>
                <w:rFonts w:ascii="Arial" w:hAnsi="Arial" w:cs="Arial"/>
                <w:bCs/>
              </w:rPr>
              <w:t>83%</w:t>
            </w:r>
            <w:r w:rsidR="0083330F" w:rsidRPr="0083330F">
              <w:rPr>
                <w:rFonts w:ascii="Arial" w:hAnsi="Arial" w:cs="Arial"/>
              </w:rPr>
              <w:t xml:space="preserve"> of respondents reporting significant income loss and an </w:t>
            </w:r>
            <w:r w:rsidR="0083330F" w:rsidRPr="0083330F">
              <w:rPr>
                <w:rFonts w:ascii="Arial" w:hAnsi="Arial" w:cs="Arial"/>
                <w:bCs/>
              </w:rPr>
              <w:t>86%</w:t>
            </w:r>
            <w:r w:rsidR="0083330F" w:rsidRPr="0083330F">
              <w:rPr>
                <w:rFonts w:ascii="Arial" w:hAnsi="Arial" w:cs="Arial"/>
              </w:rPr>
              <w:t xml:space="preserve"> cancellation rate for planned visits. Operationally, </w:t>
            </w:r>
            <w:r w:rsidR="0083330F" w:rsidRPr="0083330F">
              <w:rPr>
                <w:rFonts w:ascii="Arial" w:hAnsi="Arial" w:cs="Arial"/>
                <w:bCs/>
              </w:rPr>
              <w:t>63%</w:t>
            </w:r>
            <w:r w:rsidR="0083330F" w:rsidRPr="0083330F">
              <w:rPr>
                <w:rFonts w:ascii="Arial" w:hAnsi="Arial" w:cs="Arial"/>
              </w:rPr>
              <w:t xml:space="preserve"> of sites were forced to reduce staff to survive. The SWOT analysis identified that while the sites possess high ecological value, they face existential threats from unplanned urbanization and lack of public investment. However, the crisis acted as a catalyst for a </w:t>
            </w:r>
            <w:r w:rsidR="0083330F" w:rsidRPr="0083330F">
              <w:rPr>
                <w:rFonts w:ascii="Arial" w:hAnsi="Arial" w:cs="Arial"/>
                <w:bCs/>
              </w:rPr>
              <w:t>digital transition</w:t>
            </w:r>
            <w:r w:rsidR="0083330F" w:rsidRPr="0083330F">
              <w:rPr>
                <w:rFonts w:ascii="Arial" w:hAnsi="Arial" w:cs="Arial"/>
              </w:rPr>
              <w:t xml:space="preserve"> and a strategic pivot toward the domestic market, particularly among the youth (46% of the sample)</w:t>
            </w:r>
            <w:r w:rsidRPr="0083330F">
              <w:rPr>
                <w:rFonts w:ascii="Arial" w:eastAsia="Calibri" w:hAnsi="Arial" w:cs="Arial"/>
                <w:szCs w:val="22"/>
              </w:rPr>
              <w:t>.</w:t>
            </w:r>
          </w:p>
          <w:p w14:paraId="57678158"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3330F" w:rsidRPr="003F5A50">
              <w:rPr>
                <w:rFonts w:ascii="Arial" w:hAnsi="Arial" w:cs="Arial"/>
              </w:rPr>
              <w:t>The pandemic exposed the vulnerability of the "extra-centric" tourism model reliant on international flows. To ensure long-term survival, ecotourism in Kinshasa must transition toward a domestic-led paradigm, integrating conservation into urban public health and resilience planning</w:t>
            </w:r>
            <w:r w:rsidRPr="00BA1B01">
              <w:rPr>
                <w:rFonts w:ascii="Arial" w:eastAsia="Calibri" w:hAnsi="Arial" w:cs="Arial"/>
                <w:szCs w:val="22"/>
              </w:rPr>
              <w:t>.</w:t>
            </w:r>
          </w:p>
        </w:tc>
      </w:tr>
    </w:tbl>
    <w:p w14:paraId="1A6165E9" w14:textId="77777777" w:rsidR="00636EB2" w:rsidRDefault="00636EB2" w:rsidP="00441B6F">
      <w:pPr>
        <w:pStyle w:val="Body"/>
        <w:spacing w:after="0"/>
        <w:rPr>
          <w:rFonts w:ascii="Arial" w:hAnsi="Arial" w:cs="Arial"/>
          <w:i/>
        </w:rPr>
      </w:pPr>
    </w:p>
    <w:p w14:paraId="258F4947" w14:textId="77777777" w:rsidR="00A24E7E" w:rsidRDefault="00A24E7E" w:rsidP="00441B6F">
      <w:pPr>
        <w:pStyle w:val="Body"/>
        <w:spacing w:after="0"/>
        <w:rPr>
          <w:rFonts w:ascii="Arial" w:hAnsi="Arial" w:cs="Arial"/>
          <w:i/>
        </w:rPr>
      </w:pPr>
      <w:r>
        <w:rPr>
          <w:rFonts w:ascii="Arial" w:hAnsi="Arial" w:cs="Arial"/>
          <w:i/>
        </w:rPr>
        <w:t xml:space="preserve">Keywords: </w:t>
      </w:r>
      <w:r w:rsidR="0083330F" w:rsidRPr="0083330F">
        <w:rPr>
          <w:rFonts w:ascii="Arial" w:hAnsi="Arial" w:cs="Arial"/>
          <w:i/>
        </w:rPr>
        <w:t>Ecotourism, COVID-19, Kinshasa, Sustainable Development</w:t>
      </w:r>
    </w:p>
    <w:p w14:paraId="04FAF406" w14:textId="77777777" w:rsidR="00790ADA" w:rsidRDefault="00790ADA" w:rsidP="00441B6F">
      <w:pPr>
        <w:pStyle w:val="Body"/>
        <w:spacing w:after="0"/>
        <w:rPr>
          <w:rFonts w:ascii="Arial" w:hAnsi="Arial" w:cs="Arial"/>
          <w:i/>
        </w:rPr>
      </w:pPr>
    </w:p>
    <w:p w14:paraId="2A704BBE" w14:textId="77777777" w:rsidR="00505F06" w:rsidRPr="00A24E7E" w:rsidRDefault="00505F06" w:rsidP="00441B6F">
      <w:pPr>
        <w:pStyle w:val="Body"/>
        <w:spacing w:after="0"/>
        <w:rPr>
          <w:rFonts w:ascii="Arial" w:hAnsi="Arial" w:cs="Arial"/>
          <w:i/>
        </w:rPr>
      </w:pPr>
    </w:p>
    <w:p w14:paraId="31168F64" w14:textId="19D422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87C139" w14:textId="77777777" w:rsidR="00790ADA" w:rsidRPr="00FB3A86" w:rsidRDefault="00790ADA" w:rsidP="00441B6F">
      <w:pPr>
        <w:pStyle w:val="AbstHead"/>
        <w:spacing w:after="0"/>
        <w:jc w:val="both"/>
        <w:rPr>
          <w:rFonts w:ascii="Arial" w:hAnsi="Arial" w:cs="Arial"/>
        </w:rPr>
      </w:pPr>
    </w:p>
    <w:p w14:paraId="780C9600"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Ecotourism has emerged as an essential paradigm in response to the major environmental and socio-economic crises of the 21st century. As global ecosystems face an unprecedented decline in biodiversity, this model serves not only as a sustainable alternative to mass tourism but also as an inclusive conservation strategy that enhances the well-being of local communities (TIES, 2015). Prior to the global health crisis, the tourism sector was a vital engine of global growth, representing the world's third-largest export sector and generating more than 20% of the Gross Domestic Product (GDP) in several developing economies (UN, 2020).</w:t>
      </w:r>
    </w:p>
    <w:p w14:paraId="15E3663A"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 xml:space="preserve">However, the emergence of the COVID-19 pandemic—declared a Public Health Emergency of International Concern by the World Health Organization (WHO)—abruptly interrupted this momentum. The ecotourism sector, intrinsically reliant on international mobility and interaction with fragile natural environments, was severely impacted. According to the World </w:t>
      </w:r>
      <w:r w:rsidRPr="003F5A50">
        <w:rPr>
          <w:rFonts w:ascii="Arial" w:hAnsi="Arial" w:cs="Arial"/>
          <w:sz w:val="20"/>
          <w:lang w:val="en-US"/>
        </w:rPr>
        <w:lastRenderedPageBreak/>
        <w:t>Tourism Organization (UNWTO, 2020), the financial impact in the first half of 2020 was three times greater than that of the 2009 economic crisis, plunging the industry into an unprecedented multidimensional paralysis.</w:t>
      </w:r>
    </w:p>
    <w:p w14:paraId="4FD58C05"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Africa, whose tourism competitiveness relies heavily on its unique natural heritage, has faced disproportionate consequences. For economies dependent on "nature-based tourism," the indicators are alarming: the Seychelles recorded a 71% drop in international arrivals, threatening a sector that indirectly accounts for over 55% of their economy (World Bank, 2020). Major destinations such as Egypt, Morocco, and South Africa have had to deploy emergency public policies to mitigate the collapse of revenues and the surge in sectoral unemployment (Policy Center for the New South, 2024).</w:t>
      </w:r>
    </w:p>
    <w:p w14:paraId="4E698A8F"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The Democratic Republic of the Congo (DRC), despite an exceptional ecological potential often referred to as the "green lung" of Africa, has not been spared by this systemic chaos. While the Congolese tourism industry experienced a peak phase post-independence, it has suffered for several decades from a structural deficit in development and promotion (IOSR-JHSS, 2022). The pandemic acted as a catalyst for existing vulnerabilities, suffocating an already fragile industry. Given this situation, the need to rethink ecotourism in the DRC from a post-COVID resilience perspective has become imperative, particularly in the province of Kinshasa, the country's main gateway and nerve center.</w:t>
      </w:r>
    </w:p>
    <w:p w14:paraId="41F57B9F" w14:textId="77777777" w:rsidR="00B01FCD" w:rsidRDefault="0083330F" w:rsidP="0083330F">
      <w:pPr>
        <w:pStyle w:val="NormalWeb"/>
        <w:jc w:val="both"/>
        <w:rPr>
          <w:rFonts w:ascii="Arial" w:hAnsi="Arial" w:cs="Arial"/>
          <w:sz w:val="20"/>
          <w:lang w:val="en-US"/>
        </w:rPr>
      </w:pPr>
      <w:r w:rsidRPr="003F5A50">
        <w:rPr>
          <w:rFonts w:ascii="Arial" w:hAnsi="Arial" w:cs="Arial"/>
          <w:sz w:val="20"/>
          <w:lang w:val="en-US"/>
        </w:rPr>
        <w:t xml:space="preserve">This study aims to analyze the specific impact of COVID-19 on the Congolese ecotourism industry through an empirical approach. By focusing the analysis on the </w:t>
      </w:r>
      <w:r w:rsidRPr="003F5A50">
        <w:rPr>
          <w:rFonts w:ascii="Arial" w:hAnsi="Arial" w:cs="Arial"/>
          <w:bCs/>
          <w:sz w:val="20"/>
          <w:lang w:val="en-US"/>
        </w:rPr>
        <w:t xml:space="preserve">Lola </w:t>
      </w:r>
      <w:proofErr w:type="spellStart"/>
      <w:r w:rsidRPr="003F5A50">
        <w:rPr>
          <w:rFonts w:ascii="Arial" w:hAnsi="Arial" w:cs="Arial"/>
          <w:bCs/>
          <w:sz w:val="20"/>
          <w:lang w:val="en-US"/>
        </w:rPr>
        <w:t>ya</w:t>
      </w:r>
      <w:proofErr w:type="spellEnd"/>
      <w:r w:rsidRPr="003F5A50">
        <w:rPr>
          <w:rFonts w:ascii="Arial" w:hAnsi="Arial" w:cs="Arial"/>
          <w:bCs/>
          <w:sz w:val="20"/>
          <w:lang w:val="en-US"/>
        </w:rPr>
        <w:t xml:space="preserve"> Bonobo sanctuary</w:t>
      </w:r>
      <w:r w:rsidRPr="003F5A50">
        <w:rPr>
          <w:rFonts w:ascii="Arial" w:hAnsi="Arial" w:cs="Arial"/>
          <w:sz w:val="20"/>
          <w:lang w:val="en-US"/>
        </w:rPr>
        <w:t xml:space="preserve"> and the </w:t>
      </w:r>
      <w:r w:rsidRPr="003F5A50">
        <w:rPr>
          <w:rFonts w:ascii="Arial" w:hAnsi="Arial" w:cs="Arial"/>
          <w:bCs/>
          <w:sz w:val="20"/>
          <w:lang w:val="en-US"/>
        </w:rPr>
        <w:t>Lac Ma Vallée site</w:t>
      </w:r>
      <w:r w:rsidRPr="003F5A50">
        <w:rPr>
          <w:rFonts w:ascii="Arial" w:hAnsi="Arial" w:cs="Arial"/>
          <w:sz w:val="20"/>
          <w:lang w:val="en-US"/>
        </w:rPr>
        <w:t>, the objective is to establish a framework for understanding sectoral resilience and to formulate strategic recommendations for a sustainable recovery within the Kinshasa megacity.</w:t>
      </w:r>
    </w:p>
    <w:p w14:paraId="01945D47" w14:textId="77777777" w:rsidR="008C7889" w:rsidRPr="0083330F" w:rsidRDefault="008C7889" w:rsidP="0083330F">
      <w:pPr>
        <w:pStyle w:val="NormalWeb"/>
        <w:jc w:val="both"/>
        <w:rPr>
          <w:rFonts w:ascii="Arial" w:hAnsi="Arial" w:cs="Arial"/>
          <w:sz w:val="20"/>
          <w:lang w:val="en-US"/>
        </w:rPr>
      </w:pPr>
    </w:p>
    <w:p w14:paraId="33CB3074" w14:textId="77777777" w:rsidR="00790ADA" w:rsidRPr="00FB3A86" w:rsidRDefault="00790ADA" w:rsidP="00441B6F">
      <w:pPr>
        <w:pStyle w:val="Body"/>
        <w:spacing w:after="0"/>
        <w:rPr>
          <w:rFonts w:ascii="Arial" w:hAnsi="Arial" w:cs="Arial"/>
        </w:rPr>
      </w:pPr>
    </w:p>
    <w:p w14:paraId="150EACCF" w14:textId="6236F28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6F0837EF" w14:textId="77777777" w:rsidR="00790ADA" w:rsidRPr="00FB3A86" w:rsidRDefault="00790ADA" w:rsidP="00441B6F">
      <w:pPr>
        <w:pStyle w:val="AbstHead"/>
        <w:spacing w:after="0"/>
        <w:jc w:val="both"/>
        <w:rPr>
          <w:rFonts w:ascii="Arial" w:hAnsi="Arial" w:cs="Arial"/>
        </w:rPr>
      </w:pPr>
    </w:p>
    <w:p w14:paraId="2956ACE5"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The present study was conducted over a twelve-month period, extending from </w:t>
      </w:r>
      <w:r w:rsidRPr="003F5A50">
        <w:rPr>
          <w:rFonts w:ascii="Arial" w:hAnsi="Arial" w:cs="Arial"/>
          <w:bCs/>
          <w:color w:val="000000" w:themeColor="text1"/>
          <w:sz w:val="20"/>
          <w:lang w:val="en-US"/>
        </w:rPr>
        <w:t>December 2023 to December 2024</w:t>
      </w:r>
      <w:r w:rsidRPr="003F5A50">
        <w:rPr>
          <w:rFonts w:ascii="Arial" w:hAnsi="Arial" w:cs="Arial"/>
          <w:color w:val="000000" w:themeColor="text1"/>
          <w:sz w:val="20"/>
          <w:lang w:val="en-US"/>
        </w:rPr>
        <w:t>.</w:t>
      </w:r>
    </w:p>
    <w:p w14:paraId="7D339FFC" w14:textId="77777777" w:rsidR="0083330F" w:rsidRPr="003F5A50" w:rsidRDefault="0083330F" w:rsidP="0083330F">
      <w:pPr>
        <w:pStyle w:val="Heading3"/>
        <w:jc w:val="both"/>
        <w:rPr>
          <w:rFonts w:ascii="Arial" w:hAnsi="Arial" w:cs="Arial"/>
          <w:b/>
          <w:color w:val="000000" w:themeColor="text1"/>
          <w:sz w:val="22"/>
          <w:lang w:val="en-US"/>
        </w:rPr>
      </w:pPr>
      <w:r w:rsidRPr="003F5A50">
        <w:rPr>
          <w:rFonts w:ascii="Arial" w:hAnsi="Arial" w:cs="Arial"/>
          <w:b/>
          <w:color w:val="000000" w:themeColor="text1"/>
          <w:sz w:val="22"/>
          <w:lang w:val="en-US"/>
        </w:rPr>
        <w:t>2.1. Description of Study Sites</w:t>
      </w:r>
    </w:p>
    <w:p w14:paraId="408D7BBC"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The research was carried out within two major ecotourism hubs of Kinshasa’s green belt, located in the peri-urban commune of Mont-</w:t>
      </w:r>
      <w:proofErr w:type="spellStart"/>
      <w:r w:rsidRPr="003F5A50">
        <w:rPr>
          <w:rFonts w:ascii="Arial" w:hAnsi="Arial" w:cs="Arial"/>
          <w:color w:val="000000" w:themeColor="text1"/>
          <w:sz w:val="20"/>
          <w:lang w:val="en-US"/>
        </w:rPr>
        <w:t>Ngafula</w:t>
      </w:r>
      <w:proofErr w:type="spellEnd"/>
      <w:r w:rsidRPr="003F5A50">
        <w:rPr>
          <w:rFonts w:ascii="Arial" w:hAnsi="Arial" w:cs="Arial"/>
          <w:color w:val="000000" w:themeColor="text1"/>
          <w:sz w:val="20"/>
          <w:lang w:val="en-US"/>
        </w:rPr>
        <w:t>. Although these sites differ in their operational objectives, they share a common ecosystem within the Lukaya Valley, characterized by primary forest remnants and remarkable biodiversity.</w:t>
      </w:r>
    </w:p>
    <w:p w14:paraId="0ED0B870"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On one hand, the </w:t>
      </w:r>
      <w:r w:rsidRPr="003F5A50">
        <w:rPr>
          <w:rFonts w:ascii="Arial" w:hAnsi="Arial" w:cs="Arial"/>
          <w:bCs/>
          <w:color w:val="000000" w:themeColor="text1"/>
          <w:sz w:val="20"/>
          <w:lang w:val="en-US"/>
        </w:rPr>
        <w:t xml:space="preserve">Lola </w:t>
      </w:r>
      <w:proofErr w:type="spellStart"/>
      <w:r w:rsidRPr="003F5A50">
        <w:rPr>
          <w:rFonts w:ascii="Arial" w:hAnsi="Arial" w:cs="Arial"/>
          <w:bCs/>
          <w:color w:val="000000" w:themeColor="text1"/>
          <w:sz w:val="20"/>
          <w:lang w:val="en-US"/>
        </w:rPr>
        <w:t>ya</w:t>
      </w:r>
      <w:proofErr w:type="spellEnd"/>
      <w:r w:rsidRPr="003F5A50">
        <w:rPr>
          <w:rFonts w:ascii="Arial" w:hAnsi="Arial" w:cs="Arial"/>
          <w:bCs/>
          <w:color w:val="000000" w:themeColor="text1"/>
          <w:sz w:val="20"/>
          <w:lang w:val="en-US"/>
        </w:rPr>
        <w:t xml:space="preserve"> Bonobo Sanctuary</w:t>
      </w:r>
      <w:r w:rsidRPr="003F5A50">
        <w:rPr>
          <w:rFonts w:ascii="Arial" w:hAnsi="Arial" w:cs="Arial"/>
          <w:color w:val="000000" w:themeColor="text1"/>
          <w:sz w:val="20"/>
          <w:lang w:val="en-US"/>
        </w:rPr>
        <w:t xml:space="preserve"> (Figure 1) constitutes a 35-hectare reserve exclusively dedicated to the </w:t>
      </w:r>
      <w:r w:rsidRPr="003F5A50">
        <w:rPr>
          <w:rFonts w:ascii="Arial" w:hAnsi="Arial" w:cs="Arial"/>
          <w:i/>
          <w:iCs/>
          <w:color w:val="000000" w:themeColor="text1"/>
          <w:sz w:val="20"/>
          <w:lang w:val="en-US"/>
        </w:rPr>
        <w:t>ex-situ</w:t>
      </w:r>
      <w:r w:rsidRPr="003F5A50">
        <w:rPr>
          <w:rFonts w:ascii="Arial" w:hAnsi="Arial" w:cs="Arial"/>
          <w:color w:val="000000" w:themeColor="text1"/>
          <w:sz w:val="20"/>
          <w:lang w:val="en-US"/>
        </w:rPr>
        <w:t xml:space="preserve"> conservation of the Bonobo (</w:t>
      </w:r>
      <w:r w:rsidRPr="003F5A50">
        <w:rPr>
          <w:rFonts w:ascii="Arial" w:hAnsi="Arial" w:cs="Arial"/>
          <w:i/>
          <w:iCs/>
          <w:color w:val="000000" w:themeColor="text1"/>
          <w:sz w:val="20"/>
          <w:lang w:val="en-US"/>
        </w:rPr>
        <w:t>Pan paniscus</w:t>
      </w:r>
      <w:r w:rsidRPr="003F5A50">
        <w:rPr>
          <w:rFonts w:ascii="Arial" w:hAnsi="Arial" w:cs="Arial"/>
          <w:color w:val="000000" w:themeColor="text1"/>
          <w:sz w:val="20"/>
          <w:lang w:val="en-US"/>
        </w:rPr>
        <w:t>), an endemic species of the DRC. Its management model is based on the strategic triptych "Rescue-Rehabilitate-Release," aiming to save orphans from poaching for subsequent reintroduction into their natural habitat. Beyond its biological mission, the sanctuary incorporates a strong socio-educational dimension, welcoming over 11,000 visitors annually and actively supporting health and education infrastructures for riparian communities.</w:t>
      </w:r>
    </w:p>
    <w:p w14:paraId="78404BB1"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On the other hand, the </w:t>
      </w:r>
      <w:r w:rsidRPr="003F5A50">
        <w:rPr>
          <w:rFonts w:ascii="Arial" w:hAnsi="Arial" w:cs="Arial"/>
          <w:bCs/>
          <w:color w:val="000000" w:themeColor="text1"/>
          <w:sz w:val="20"/>
          <w:lang w:val="en-US"/>
        </w:rPr>
        <w:t>Lac Ma Vallée</w:t>
      </w:r>
      <w:r w:rsidRPr="003F5A50">
        <w:rPr>
          <w:rFonts w:ascii="Arial" w:hAnsi="Arial" w:cs="Arial"/>
          <w:color w:val="000000" w:themeColor="text1"/>
          <w:sz w:val="20"/>
          <w:lang w:val="en-US"/>
        </w:rPr>
        <w:t xml:space="preserve"> site (Figure 1), located approximately 30 km from the city center, serves as a major recreational ecotourism complex. This artificial lake, with a depth of 22 meters, is nestled within a preserved forest massif that acts as a refuge for the capital's peri-urban biodiversity. In contrast to the sanctuary, its vocation is primarily focused on nature-based leisure (6 km hiking trails, kayaking, ziplining), while maintaining an essential role in ecological regulation and scientific research for the Kinshasa basin.</w:t>
      </w:r>
    </w:p>
    <w:p w14:paraId="55A4CF8B" w14:textId="5FA89978" w:rsidR="0083330F"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The interaction between these two sites provides a representative analytical framework for the challenges of ecotourism in the DRC, where the strict protection of wildlife (Lola </w:t>
      </w:r>
      <w:proofErr w:type="spellStart"/>
      <w:r w:rsidRPr="003F5A50">
        <w:rPr>
          <w:rFonts w:ascii="Arial" w:hAnsi="Arial" w:cs="Arial"/>
          <w:color w:val="000000" w:themeColor="text1"/>
          <w:sz w:val="20"/>
          <w:lang w:val="en-US"/>
        </w:rPr>
        <w:t>ya</w:t>
      </w:r>
      <w:proofErr w:type="spellEnd"/>
      <w:r w:rsidRPr="003F5A50">
        <w:rPr>
          <w:rFonts w:ascii="Arial" w:hAnsi="Arial" w:cs="Arial"/>
          <w:color w:val="000000" w:themeColor="text1"/>
          <w:sz w:val="20"/>
          <w:lang w:val="en-US"/>
        </w:rPr>
        <w:t xml:space="preserve"> Bonobo) coexists with the sustainable exploitation of forest landscapes for recreational purposes (Lac Ma </w:t>
      </w:r>
      <w:proofErr w:type="spellStart"/>
      <w:r w:rsidRPr="003F5A50">
        <w:rPr>
          <w:rFonts w:ascii="Arial" w:hAnsi="Arial" w:cs="Arial"/>
          <w:color w:val="000000" w:themeColor="text1"/>
          <w:sz w:val="20"/>
          <w:lang w:val="en-US"/>
        </w:rPr>
        <w:t>Vallée</w:t>
      </w:r>
      <w:proofErr w:type="spellEnd"/>
      <w:r w:rsidRPr="003F5A50">
        <w:rPr>
          <w:rFonts w:ascii="Arial" w:hAnsi="Arial" w:cs="Arial"/>
          <w:color w:val="000000" w:themeColor="text1"/>
          <w:sz w:val="20"/>
          <w:lang w:val="en-US"/>
        </w:rPr>
        <w:t>).</w:t>
      </w:r>
      <w:bookmarkStart w:id="0" w:name="_GoBack"/>
      <w:bookmarkEnd w:id="0"/>
    </w:p>
    <w:p w14:paraId="62147452" w14:textId="45BF64ED" w:rsidR="003912AF" w:rsidRDefault="003912AF" w:rsidP="0083330F">
      <w:pPr>
        <w:pStyle w:val="NormalWeb"/>
        <w:jc w:val="both"/>
        <w:rPr>
          <w:rFonts w:ascii="Arial" w:hAnsi="Arial" w:cs="Arial"/>
          <w:color w:val="000000" w:themeColor="text1"/>
          <w:sz w:val="20"/>
          <w:lang w:val="en-US"/>
        </w:rPr>
      </w:pPr>
    </w:p>
    <w:p w14:paraId="5A8FAA98" w14:textId="54906288" w:rsidR="003912AF" w:rsidRDefault="003912AF" w:rsidP="0083330F">
      <w:pPr>
        <w:pStyle w:val="NormalWeb"/>
        <w:jc w:val="both"/>
        <w:rPr>
          <w:rFonts w:ascii="Arial" w:hAnsi="Arial" w:cs="Arial"/>
          <w:color w:val="000000" w:themeColor="text1"/>
          <w:sz w:val="20"/>
          <w:lang w:val="en-US"/>
        </w:rPr>
      </w:pPr>
    </w:p>
    <w:p w14:paraId="4220E907" w14:textId="77777777" w:rsidR="003912AF" w:rsidRDefault="003912AF" w:rsidP="0083330F">
      <w:pPr>
        <w:pStyle w:val="NormalWeb"/>
        <w:jc w:val="both"/>
        <w:rPr>
          <w:rFonts w:ascii="Arial" w:hAnsi="Arial" w:cs="Arial"/>
          <w:color w:val="000000" w:themeColor="text1"/>
          <w:sz w:val="20"/>
          <w:lang w:val="en-US"/>
        </w:rPr>
      </w:pPr>
    </w:p>
    <w:p w14:paraId="2EBAE648" w14:textId="77777777" w:rsidR="0083330F" w:rsidRDefault="0083330F" w:rsidP="0083330F">
      <w:pPr>
        <w:pStyle w:val="NormalWeb"/>
        <w:jc w:val="both"/>
        <w:rPr>
          <w:rFonts w:ascii="Arial" w:hAnsi="Arial" w:cs="Arial"/>
          <w:color w:val="000000" w:themeColor="text1"/>
          <w:sz w:val="20"/>
          <w:lang w:val="en-US"/>
        </w:rPr>
      </w:pPr>
      <w:r w:rsidRPr="003F5A50">
        <w:rPr>
          <w:rFonts w:ascii="Arial" w:hAnsi="Arial" w:cs="Arial"/>
          <w:noProof/>
          <w:color w:val="000000" w:themeColor="text1"/>
        </w:rPr>
        <w:lastRenderedPageBreak/>
        <w:drawing>
          <wp:anchor distT="0" distB="0" distL="114300" distR="114300" simplePos="0" relativeHeight="251659264" behindDoc="0" locked="0" layoutInCell="1" allowOverlap="1" wp14:anchorId="52F02F7B" wp14:editId="531E8D93">
            <wp:simplePos x="0" y="0"/>
            <wp:positionH relativeFrom="column">
              <wp:posOffset>918376</wp:posOffset>
            </wp:positionH>
            <wp:positionV relativeFrom="paragraph">
              <wp:posOffset>80562</wp:posOffset>
            </wp:positionV>
            <wp:extent cx="2520563" cy="23439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4843" cy="2357200"/>
                    </a:xfrm>
                    <a:prstGeom prst="rect">
                      <a:avLst/>
                    </a:prstGeom>
                  </pic:spPr>
                </pic:pic>
              </a:graphicData>
            </a:graphic>
            <wp14:sizeRelH relativeFrom="page">
              <wp14:pctWidth>0</wp14:pctWidth>
            </wp14:sizeRelH>
            <wp14:sizeRelV relativeFrom="page">
              <wp14:pctHeight>0</wp14:pctHeight>
            </wp14:sizeRelV>
          </wp:anchor>
        </w:drawing>
      </w:r>
    </w:p>
    <w:p w14:paraId="53212961" w14:textId="77777777" w:rsidR="0083330F" w:rsidRDefault="0083330F" w:rsidP="0083330F">
      <w:pPr>
        <w:pStyle w:val="NormalWeb"/>
        <w:jc w:val="both"/>
        <w:rPr>
          <w:rFonts w:ascii="Arial" w:hAnsi="Arial" w:cs="Arial"/>
          <w:color w:val="000000" w:themeColor="text1"/>
          <w:sz w:val="20"/>
          <w:lang w:val="en-US"/>
        </w:rPr>
      </w:pPr>
    </w:p>
    <w:p w14:paraId="3A3D442F" w14:textId="77777777" w:rsidR="0083330F" w:rsidRDefault="0083330F" w:rsidP="0083330F">
      <w:pPr>
        <w:pStyle w:val="NormalWeb"/>
        <w:jc w:val="both"/>
        <w:rPr>
          <w:rFonts w:ascii="Arial" w:hAnsi="Arial" w:cs="Arial"/>
          <w:color w:val="000000" w:themeColor="text1"/>
          <w:sz w:val="20"/>
          <w:lang w:val="en-US"/>
        </w:rPr>
      </w:pPr>
    </w:p>
    <w:p w14:paraId="5B6D7FA9" w14:textId="77777777" w:rsidR="0083330F" w:rsidRDefault="0083330F" w:rsidP="0083330F">
      <w:pPr>
        <w:pStyle w:val="NormalWeb"/>
        <w:jc w:val="both"/>
        <w:rPr>
          <w:rFonts w:ascii="Arial" w:hAnsi="Arial" w:cs="Arial"/>
          <w:color w:val="000000" w:themeColor="text1"/>
          <w:sz w:val="20"/>
          <w:lang w:val="en-US"/>
        </w:rPr>
      </w:pPr>
    </w:p>
    <w:p w14:paraId="12C76644" w14:textId="77777777" w:rsidR="0083330F" w:rsidRDefault="0083330F" w:rsidP="0083330F">
      <w:pPr>
        <w:pStyle w:val="NormalWeb"/>
        <w:jc w:val="both"/>
        <w:rPr>
          <w:rFonts w:ascii="Arial" w:hAnsi="Arial" w:cs="Arial"/>
          <w:color w:val="000000" w:themeColor="text1"/>
          <w:sz w:val="20"/>
          <w:lang w:val="en-US"/>
        </w:rPr>
      </w:pPr>
    </w:p>
    <w:p w14:paraId="06AAF973" w14:textId="77777777" w:rsidR="0083330F" w:rsidRDefault="0083330F" w:rsidP="0083330F">
      <w:pPr>
        <w:pStyle w:val="NormalWeb"/>
        <w:jc w:val="both"/>
        <w:rPr>
          <w:rFonts w:ascii="Arial" w:hAnsi="Arial" w:cs="Arial"/>
          <w:color w:val="000000" w:themeColor="text1"/>
          <w:sz w:val="20"/>
          <w:lang w:val="en-US"/>
        </w:rPr>
      </w:pPr>
    </w:p>
    <w:p w14:paraId="683073D6" w14:textId="77777777" w:rsidR="0083330F" w:rsidRDefault="0083330F" w:rsidP="0083330F">
      <w:pPr>
        <w:pStyle w:val="NormalWeb"/>
        <w:jc w:val="both"/>
        <w:rPr>
          <w:rFonts w:ascii="Arial" w:hAnsi="Arial" w:cs="Arial"/>
          <w:color w:val="000000" w:themeColor="text1"/>
          <w:sz w:val="20"/>
          <w:lang w:val="en-US"/>
        </w:rPr>
      </w:pPr>
    </w:p>
    <w:p w14:paraId="25D8C863" w14:textId="77777777" w:rsidR="0083330F" w:rsidRDefault="0083330F" w:rsidP="0083330F">
      <w:pPr>
        <w:pStyle w:val="NormalWeb"/>
        <w:jc w:val="both"/>
        <w:rPr>
          <w:rFonts w:ascii="Arial" w:hAnsi="Arial" w:cs="Arial"/>
          <w:color w:val="000000" w:themeColor="text1"/>
          <w:sz w:val="20"/>
          <w:lang w:val="en-US"/>
        </w:rPr>
      </w:pPr>
    </w:p>
    <w:p w14:paraId="088C4A2C"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b/>
          <w:bCs/>
          <w:color w:val="000000" w:themeColor="text1"/>
          <w:sz w:val="20"/>
          <w:lang w:val="en-US"/>
        </w:rPr>
        <w:t>Figure 1. Structural and biological overview of the study sites.</w:t>
      </w:r>
      <w:r w:rsidRPr="00383F92">
        <w:rPr>
          <w:rFonts w:ascii="Arial" w:hAnsi="Arial" w:cs="Arial"/>
          <w:color w:val="000000" w:themeColor="text1"/>
          <w:sz w:val="20"/>
          <w:lang w:val="en-US"/>
        </w:rPr>
        <w:t xml:space="preserve"> </w:t>
      </w:r>
      <w:r w:rsidRPr="00383F92">
        <w:rPr>
          <w:rFonts w:ascii="Arial" w:hAnsi="Arial" w:cs="Arial"/>
          <w:b/>
          <w:bCs/>
          <w:color w:val="000000" w:themeColor="text1"/>
          <w:sz w:val="20"/>
          <w:lang w:val="en-US"/>
        </w:rPr>
        <w:t>(A)</w:t>
      </w:r>
      <w:r w:rsidRPr="00383F92">
        <w:rPr>
          <w:rFonts w:ascii="Arial" w:hAnsi="Arial" w:cs="Arial"/>
          <w:color w:val="000000" w:themeColor="text1"/>
          <w:sz w:val="20"/>
          <w:lang w:val="en-US"/>
        </w:rPr>
        <w:t xml:space="preserve"> Visitor reception center and administrative infrastructure at the Lola </w:t>
      </w:r>
      <w:proofErr w:type="spellStart"/>
      <w:r w:rsidRPr="00383F92">
        <w:rPr>
          <w:rFonts w:ascii="Arial" w:hAnsi="Arial" w:cs="Arial"/>
          <w:color w:val="000000" w:themeColor="text1"/>
          <w:sz w:val="20"/>
          <w:lang w:val="en-US"/>
        </w:rPr>
        <w:t>ya</w:t>
      </w:r>
      <w:proofErr w:type="spellEnd"/>
      <w:r w:rsidRPr="00383F92">
        <w:rPr>
          <w:rFonts w:ascii="Arial" w:hAnsi="Arial" w:cs="Arial"/>
          <w:color w:val="000000" w:themeColor="text1"/>
          <w:sz w:val="20"/>
          <w:lang w:val="en-US"/>
        </w:rPr>
        <w:t xml:space="preserve"> Bonobo sanctuary; </w:t>
      </w:r>
      <w:r w:rsidRPr="00383F92">
        <w:rPr>
          <w:rFonts w:ascii="Arial" w:hAnsi="Arial" w:cs="Arial"/>
          <w:b/>
          <w:bCs/>
          <w:color w:val="000000" w:themeColor="text1"/>
          <w:sz w:val="20"/>
          <w:lang w:val="en-US"/>
        </w:rPr>
        <w:t>(B)</w:t>
      </w:r>
      <w:r w:rsidRPr="00383F92">
        <w:rPr>
          <w:rFonts w:ascii="Arial" w:hAnsi="Arial" w:cs="Arial"/>
          <w:color w:val="000000" w:themeColor="text1"/>
          <w:sz w:val="20"/>
          <w:lang w:val="en-US"/>
        </w:rPr>
        <w:t xml:space="preserve"> Bonobo specimen (</w:t>
      </w:r>
      <w:r w:rsidRPr="00383F92">
        <w:rPr>
          <w:rFonts w:ascii="Arial" w:hAnsi="Arial" w:cs="Arial"/>
          <w:i/>
          <w:iCs/>
          <w:color w:val="000000" w:themeColor="text1"/>
          <w:sz w:val="20"/>
          <w:lang w:val="en-US"/>
        </w:rPr>
        <w:t>Pan paniscus</w:t>
      </w:r>
      <w:r w:rsidRPr="00383F92">
        <w:rPr>
          <w:rFonts w:ascii="Arial" w:hAnsi="Arial" w:cs="Arial"/>
          <w:color w:val="000000" w:themeColor="text1"/>
          <w:sz w:val="20"/>
          <w:lang w:val="en-US"/>
        </w:rPr>
        <w:t xml:space="preserve">) foraging within the natural habitat of the sanctuary; </w:t>
      </w:r>
      <w:r w:rsidRPr="00383F92">
        <w:rPr>
          <w:rFonts w:ascii="Arial" w:hAnsi="Arial" w:cs="Arial"/>
          <w:b/>
          <w:bCs/>
          <w:color w:val="000000" w:themeColor="text1"/>
          <w:sz w:val="20"/>
          <w:lang w:val="en-US"/>
        </w:rPr>
        <w:t>(C)</w:t>
      </w:r>
      <w:r w:rsidRPr="00383F92">
        <w:rPr>
          <w:rFonts w:ascii="Arial" w:hAnsi="Arial" w:cs="Arial"/>
          <w:color w:val="000000" w:themeColor="text1"/>
          <w:sz w:val="20"/>
          <w:lang w:val="en-US"/>
        </w:rPr>
        <w:t xml:space="preserve"> Panoramic view of the artificial lake and the surrounding forest canopy at the Lac Ma Vallée site; </w:t>
      </w:r>
      <w:r w:rsidRPr="00383F92">
        <w:rPr>
          <w:rFonts w:ascii="Arial" w:hAnsi="Arial" w:cs="Arial"/>
          <w:b/>
          <w:bCs/>
          <w:color w:val="000000" w:themeColor="text1"/>
          <w:sz w:val="20"/>
          <w:lang w:val="en-US"/>
        </w:rPr>
        <w:t>(D)</w:t>
      </w:r>
      <w:r w:rsidRPr="00383F92">
        <w:rPr>
          <w:rFonts w:ascii="Arial" w:hAnsi="Arial" w:cs="Arial"/>
          <w:color w:val="000000" w:themeColor="text1"/>
          <w:sz w:val="20"/>
          <w:lang w:val="en-US"/>
        </w:rPr>
        <w:t xml:space="preserve"> Entrance hall and main access gate to the Lac Ma Vallée ecotourism complex</w:t>
      </w:r>
    </w:p>
    <w:p w14:paraId="0906230C" w14:textId="77777777" w:rsidR="0083330F" w:rsidRPr="003F5A50" w:rsidRDefault="0083330F" w:rsidP="0083330F">
      <w:pPr>
        <w:pStyle w:val="Heading3"/>
        <w:rPr>
          <w:rFonts w:ascii="Arial" w:hAnsi="Arial" w:cs="Arial"/>
          <w:b/>
          <w:color w:val="000000" w:themeColor="text1"/>
          <w:sz w:val="22"/>
          <w:lang w:val="en-US"/>
        </w:rPr>
      </w:pPr>
      <w:r w:rsidRPr="003F5A50">
        <w:rPr>
          <w:rFonts w:ascii="Arial" w:hAnsi="Arial" w:cs="Arial"/>
          <w:b/>
          <w:color w:val="000000" w:themeColor="text1"/>
          <w:sz w:val="22"/>
          <w:lang w:val="en-US"/>
        </w:rPr>
        <w:t>2.2. Technical Materials</w:t>
      </w:r>
    </w:p>
    <w:p w14:paraId="4B7B4B84" w14:textId="77777777" w:rsidR="0083330F" w:rsidRPr="008C7889" w:rsidRDefault="0083330F" w:rsidP="008C7889">
      <w:pPr>
        <w:pStyle w:val="NormalWeb"/>
        <w:jc w:val="both"/>
        <w:rPr>
          <w:rFonts w:ascii="Arial" w:hAnsi="Arial" w:cs="Arial"/>
          <w:color w:val="000000" w:themeColor="text1"/>
          <w:sz w:val="20"/>
          <w:lang w:val="en-US"/>
        </w:rPr>
      </w:pPr>
      <w:r w:rsidRPr="008C7889">
        <w:rPr>
          <w:rFonts w:ascii="Arial" w:hAnsi="Arial" w:cs="Arial"/>
          <w:color w:val="000000" w:themeColor="text1"/>
          <w:sz w:val="20"/>
          <w:lang w:val="en-US"/>
        </w:rPr>
        <w:t>The collection of biophysical and socio-economic data utilized the following tools:</w:t>
      </w:r>
    </w:p>
    <w:p w14:paraId="540CDDB8"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GPS Receivers:</w:t>
      </w:r>
      <w:r w:rsidRPr="008C7889">
        <w:rPr>
          <w:rFonts w:ascii="Arial" w:hAnsi="Arial" w:cs="Arial"/>
          <w:color w:val="000000" w:themeColor="text1"/>
          <w:sz w:val="20"/>
          <w:lang w:val="en-US"/>
        </w:rPr>
        <w:t xml:space="preserve"> Used for the georeferencing of key infrastructures and site boundaries.</w:t>
      </w:r>
    </w:p>
    <w:p w14:paraId="0CA2C2B9"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Survey Instruments:</w:t>
      </w:r>
      <w:r w:rsidRPr="008C7889">
        <w:rPr>
          <w:rFonts w:ascii="Arial" w:hAnsi="Arial" w:cs="Arial"/>
          <w:color w:val="000000" w:themeColor="text1"/>
          <w:sz w:val="20"/>
          <w:lang w:val="en-US"/>
        </w:rPr>
        <w:t xml:space="preserve"> Structured survey forms and field logs were employed for semi-structured interviews.</w:t>
      </w:r>
    </w:p>
    <w:p w14:paraId="5B14F5BE"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Digital Devices:</w:t>
      </w:r>
      <w:r w:rsidRPr="008C7889">
        <w:rPr>
          <w:rFonts w:ascii="Arial" w:hAnsi="Arial" w:cs="Arial"/>
          <w:color w:val="000000" w:themeColor="text1"/>
          <w:sz w:val="20"/>
          <w:lang w:val="en-US"/>
        </w:rPr>
        <w:t xml:space="preserve"> Mobile terminals were utilized for photographic documentation of the visible impacts caused by the sanitary crisis.</w:t>
      </w:r>
    </w:p>
    <w:p w14:paraId="4E245F40" w14:textId="77777777" w:rsidR="0083330F" w:rsidRPr="003F5A50" w:rsidRDefault="0083330F" w:rsidP="0083330F">
      <w:pPr>
        <w:pStyle w:val="Heading3"/>
        <w:rPr>
          <w:rFonts w:ascii="Arial" w:hAnsi="Arial" w:cs="Arial"/>
          <w:b/>
          <w:color w:val="000000" w:themeColor="text1"/>
          <w:sz w:val="22"/>
          <w:lang w:val="en-US"/>
        </w:rPr>
      </w:pPr>
      <w:r w:rsidRPr="003F5A50">
        <w:rPr>
          <w:rFonts w:ascii="Arial" w:hAnsi="Arial" w:cs="Arial"/>
          <w:b/>
          <w:color w:val="000000" w:themeColor="text1"/>
          <w:sz w:val="22"/>
          <w:lang w:val="en-US"/>
        </w:rPr>
        <w:t>2.3. Methodological Approach</w:t>
      </w:r>
    </w:p>
    <w:p w14:paraId="6467034C"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This research adopts a mixed-methods approach (combining quantitative and qualitative data) structured around three main axes:</w:t>
      </w:r>
    </w:p>
    <w:p w14:paraId="5EF66DC6" w14:textId="77777777" w:rsidR="0083330F" w:rsidRPr="003F5A50" w:rsidRDefault="0083330F" w:rsidP="0083330F">
      <w:pPr>
        <w:pStyle w:val="Heading4"/>
        <w:rPr>
          <w:rFonts w:ascii="Arial" w:hAnsi="Arial" w:cs="Arial"/>
          <w:b/>
          <w:color w:val="000000" w:themeColor="text1"/>
          <w:sz w:val="20"/>
          <w:u w:val="single"/>
          <w:lang w:val="en-US"/>
        </w:rPr>
      </w:pPr>
      <w:r w:rsidRPr="003F5A50">
        <w:rPr>
          <w:rFonts w:ascii="Arial" w:hAnsi="Arial" w:cs="Arial"/>
          <w:b/>
          <w:color w:val="000000" w:themeColor="text1"/>
          <w:sz w:val="20"/>
          <w:u w:val="single"/>
          <w:lang w:val="en-US"/>
        </w:rPr>
        <w:t>2.3.1. Sampling and Data Collection</w:t>
      </w:r>
    </w:p>
    <w:p w14:paraId="2EDE25BD"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A simple random sampling method was utilized, totaling </w:t>
      </w:r>
      <w:r w:rsidRPr="00383F92">
        <w:rPr>
          <w:rFonts w:ascii="Arial" w:hAnsi="Arial" w:cs="Arial"/>
          <w:bCs/>
          <w:color w:val="000000" w:themeColor="text1"/>
          <w:sz w:val="20"/>
          <w:lang w:val="en-US"/>
        </w:rPr>
        <w:t>70 respondents</w:t>
      </w:r>
      <w:r w:rsidRPr="00383F92">
        <w:rPr>
          <w:rFonts w:ascii="Arial" w:hAnsi="Arial" w:cs="Arial"/>
          <w:color w:val="000000" w:themeColor="text1"/>
          <w:sz w:val="20"/>
          <w:lang w:val="en-US"/>
        </w:rPr>
        <w:t>, including visitors, site managers, travel agencies, and local community members. Primary data sources (field surveys) were supplemented by a comprehensive literature review (secondary sources), including reports from the UNWTO (UN Tourism) and internal site statistics.</w:t>
      </w:r>
    </w:p>
    <w:p w14:paraId="1B5A9137" w14:textId="77777777" w:rsidR="0083330F" w:rsidRPr="003F5A50" w:rsidRDefault="0083330F" w:rsidP="0083330F">
      <w:pPr>
        <w:pStyle w:val="Heading4"/>
        <w:rPr>
          <w:rFonts w:ascii="Arial" w:hAnsi="Arial" w:cs="Arial"/>
          <w:b/>
          <w:color w:val="000000" w:themeColor="text1"/>
          <w:sz w:val="20"/>
          <w:u w:val="single"/>
          <w:lang w:val="en-US"/>
        </w:rPr>
      </w:pPr>
      <w:r w:rsidRPr="003F5A50">
        <w:rPr>
          <w:rFonts w:ascii="Arial" w:hAnsi="Arial" w:cs="Arial"/>
          <w:b/>
          <w:color w:val="000000" w:themeColor="text1"/>
          <w:sz w:val="20"/>
          <w:u w:val="single"/>
          <w:lang w:val="en-US"/>
        </w:rPr>
        <w:t>2.3.2. SWOT Analysis</w:t>
      </w:r>
    </w:p>
    <w:p w14:paraId="7C819E61"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A Strengths, Weaknesses, Opportunities, and Threats (SWOT) analysis was conducted to evaluate the sector's resilience in the face of COVID-19. This matrix facilitated the cross-referencing of internal factors (site management) with external factors (the sanitary crisis and public policies).</w:t>
      </w:r>
    </w:p>
    <w:p w14:paraId="13A5E04F" w14:textId="77777777" w:rsidR="0083330F" w:rsidRPr="00383F92" w:rsidRDefault="0083330F" w:rsidP="0083330F">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2.3.3. Data Processing and Analysis</w:t>
      </w:r>
    </w:p>
    <w:p w14:paraId="5D9AEDEB"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Data processing followed a rigorous three-stage protocol:</w:t>
      </w:r>
    </w:p>
    <w:p w14:paraId="1BA64B8E"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Tabulation and Coding:</w:t>
      </w:r>
      <w:r w:rsidRPr="00383F92">
        <w:rPr>
          <w:rFonts w:ascii="Arial" w:hAnsi="Arial" w:cs="Arial"/>
          <w:color w:val="000000" w:themeColor="text1"/>
          <w:sz w:val="20"/>
          <w:lang w:val="en-US"/>
        </w:rPr>
        <w:t xml:space="preserve"> Manual analysis and systematic coding of the survey forms.</w:t>
      </w:r>
    </w:p>
    <w:p w14:paraId="55AD51BD"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Statistical Analysis:</w:t>
      </w:r>
      <w:r w:rsidRPr="00383F92">
        <w:rPr>
          <w:rFonts w:ascii="Arial" w:hAnsi="Arial" w:cs="Arial"/>
          <w:color w:val="000000" w:themeColor="text1"/>
          <w:sz w:val="20"/>
          <w:lang w:val="en-US"/>
        </w:rPr>
        <w:t xml:space="preserve"> Processing of descriptive data using Microsoft Excel and Word for quantitative characterization.</w:t>
      </w:r>
    </w:p>
    <w:p w14:paraId="7525A09D"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Spatial Analysis:</w:t>
      </w:r>
      <w:r w:rsidRPr="00383F92">
        <w:rPr>
          <w:rFonts w:ascii="Arial" w:hAnsi="Arial" w:cs="Arial"/>
          <w:color w:val="000000" w:themeColor="text1"/>
          <w:sz w:val="20"/>
          <w:lang w:val="en-US"/>
        </w:rPr>
        <w:t xml:space="preserve"> Mapping and processing of geographic coordinates were performed using </w:t>
      </w:r>
      <w:r w:rsidRPr="00383F92">
        <w:rPr>
          <w:rFonts w:ascii="Arial" w:hAnsi="Arial" w:cs="Arial"/>
          <w:bCs/>
          <w:color w:val="000000" w:themeColor="text1"/>
          <w:sz w:val="20"/>
          <w:lang w:val="en-US"/>
        </w:rPr>
        <w:t>QGIS 3.x, ArcGIS, and Google Earth</w:t>
      </w:r>
      <w:r w:rsidRPr="00383F92">
        <w:rPr>
          <w:rFonts w:ascii="Arial" w:hAnsi="Arial" w:cs="Arial"/>
          <w:color w:val="000000" w:themeColor="text1"/>
          <w:sz w:val="20"/>
          <w:lang w:val="en-US"/>
        </w:rPr>
        <w:t xml:space="preserve"> software.</w:t>
      </w:r>
    </w:p>
    <w:p w14:paraId="3F8FA8E3" w14:textId="77777777" w:rsidR="00790ADA" w:rsidRPr="0083330F"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lastRenderedPageBreak/>
        <w:t>Strategic Modeling:</w:t>
      </w:r>
      <w:r w:rsidRPr="00383F92">
        <w:rPr>
          <w:rFonts w:ascii="Arial" w:hAnsi="Arial" w:cs="Arial"/>
          <w:color w:val="000000" w:themeColor="text1"/>
          <w:sz w:val="20"/>
          <w:lang w:val="en-US"/>
        </w:rPr>
        <w:t xml:space="preserve"> Formulation of adaptation strategies—categorized as offensive, defensive, and survival—to support the post-pandemic recovery of ecotourism.</w:t>
      </w:r>
    </w:p>
    <w:p w14:paraId="054EDE1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A9DE3C" w14:textId="77777777" w:rsidR="00790ADA" w:rsidRPr="00FB3A86" w:rsidRDefault="00790ADA" w:rsidP="00441B6F">
      <w:pPr>
        <w:pStyle w:val="Head1"/>
        <w:spacing w:after="0"/>
        <w:jc w:val="both"/>
        <w:rPr>
          <w:rFonts w:ascii="Arial" w:hAnsi="Arial" w:cs="Arial"/>
        </w:rPr>
      </w:pPr>
    </w:p>
    <w:p w14:paraId="38BF7625"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3.1. Sociodemographic Profile of the Sample</w:t>
      </w:r>
    </w:p>
    <w:p w14:paraId="242434D2" w14:textId="77777777" w:rsidR="0083330F" w:rsidRPr="008C7889"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study is based on a sample of </w:t>
      </w:r>
      <w:r w:rsidRPr="008C7889">
        <w:rPr>
          <w:rFonts w:ascii="Arial" w:hAnsi="Arial" w:cs="Arial"/>
          <w:color w:val="000000" w:themeColor="text1"/>
          <w:sz w:val="20"/>
          <w:lang w:val="en-US"/>
        </w:rPr>
        <w:t xml:space="preserve">70 respondents. The sociodemographic profile, including gender and age distribution, is summarized in </w:t>
      </w:r>
      <w:r w:rsidRPr="008C7889">
        <w:rPr>
          <w:rFonts w:ascii="Arial" w:hAnsi="Arial" w:cs="Arial"/>
          <w:bCs/>
          <w:color w:val="000000" w:themeColor="text1"/>
          <w:sz w:val="20"/>
          <w:lang w:val="en-US"/>
        </w:rPr>
        <w:t>Table 1</w:t>
      </w:r>
      <w:r w:rsidRPr="008C7889">
        <w:rPr>
          <w:rFonts w:ascii="Arial" w:hAnsi="Arial" w:cs="Arial"/>
          <w:color w:val="000000" w:themeColor="text1"/>
          <w:sz w:val="20"/>
          <w:lang w:val="en-US"/>
        </w:rPr>
        <w:t>.</w:t>
      </w:r>
    </w:p>
    <w:p w14:paraId="1C0B2BCA" w14:textId="77777777" w:rsidR="0083330F" w:rsidRPr="00383F92" w:rsidRDefault="0083330F" w:rsidP="008C7889">
      <w:pPr>
        <w:pStyle w:val="NormalWeb"/>
        <w:jc w:val="both"/>
        <w:rPr>
          <w:rFonts w:ascii="Arial" w:hAnsi="Arial" w:cs="Arial"/>
          <w:color w:val="000000" w:themeColor="text1"/>
          <w:sz w:val="20"/>
          <w:lang w:val="en-US"/>
        </w:rPr>
      </w:pPr>
      <w:r w:rsidRPr="008C7889">
        <w:rPr>
          <w:rFonts w:ascii="Arial" w:hAnsi="Arial" w:cs="Arial"/>
          <w:color w:val="000000" w:themeColor="text1"/>
          <w:sz w:val="20"/>
          <w:lang w:val="en-US"/>
        </w:rPr>
        <w:t>The masculine predominance (59%) within the sample may be attributed to persistent gender disparities in access to leisure activities and formal employment in the Congolese tourism sector. From a generational perspective,</w:t>
      </w:r>
      <w:r w:rsidRPr="00383F92">
        <w:rPr>
          <w:rFonts w:ascii="Arial" w:hAnsi="Arial" w:cs="Arial"/>
          <w:color w:val="000000" w:themeColor="text1"/>
          <w:sz w:val="20"/>
          <w:lang w:val="en-US"/>
        </w:rPr>
        <w:t xml:space="preserve"> the high representation of the 19–30 age group (46%) underscores that peri-urban ecotourism in Kinshasa primarily attracts a young, dynamic population that is potentially more sensitive to environmental issues. This "youthfulness" of the audience represents a strategic lever for biodiversity conservation awareness campaigns, particularly for flagship species such as the bonobo (</w:t>
      </w:r>
      <w:r w:rsidRPr="00383F92">
        <w:rPr>
          <w:rFonts w:ascii="Arial" w:hAnsi="Arial" w:cs="Arial"/>
          <w:i/>
          <w:iCs/>
          <w:color w:val="000000" w:themeColor="text1"/>
          <w:sz w:val="20"/>
          <w:lang w:val="en-US"/>
        </w:rPr>
        <w:t>Pan paniscus</w:t>
      </w:r>
      <w:r w:rsidRPr="00383F92">
        <w:rPr>
          <w:rFonts w:ascii="Arial" w:hAnsi="Arial" w:cs="Arial"/>
          <w:color w:val="000000" w:themeColor="text1"/>
          <w:sz w:val="20"/>
          <w:lang w:val="en-US"/>
        </w:rPr>
        <w:t>).</w:t>
      </w:r>
    </w:p>
    <w:p w14:paraId="739BB381"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1. Sociodemographic characteristics of respondents (N=70)</w:t>
      </w:r>
    </w:p>
    <w:tbl>
      <w:tblPr>
        <w:tblStyle w:val="ListTable6Colorful"/>
        <w:tblW w:w="0" w:type="auto"/>
        <w:jc w:val="center"/>
        <w:tblLook w:val="04A0" w:firstRow="1" w:lastRow="0" w:firstColumn="1" w:lastColumn="0" w:noHBand="0" w:noVBand="1"/>
      </w:tblPr>
      <w:tblGrid>
        <w:gridCol w:w="1361"/>
        <w:gridCol w:w="1428"/>
        <w:gridCol w:w="1539"/>
        <w:gridCol w:w="1661"/>
      </w:tblGrid>
      <w:tr w:rsidR="0083330F" w:rsidRPr="0083330F" w14:paraId="1A27DC5C" w14:textId="77777777" w:rsidTr="008333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254E0"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06BED657"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Categories</w:t>
            </w:r>
            <w:proofErr w:type="spellEnd"/>
          </w:p>
        </w:tc>
        <w:tc>
          <w:tcPr>
            <w:tcW w:w="0" w:type="auto"/>
            <w:hideMark/>
          </w:tcPr>
          <w:p w14:paraId="62318D96"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2211A65C"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009D7916"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3D6D19" w14:textId="77777777" w:rsidR="0083330F" w:rsidRPr="0083330F" w:rsidRDefault="0083330F" w:rsidP="004D0501">
            <w:pPr>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Gender</w:t>
            </w:r>
            <w:proofErr w:type="spellEnd"/>
          </w:p>
        </w:tc>
        <w:tc>
          <w:tcPr>
            <w:tcW w:w="0" w:type="auto"/>
            <w:shd w:val="clear" w:color="auto" w:fill="auto"/>
            <w:hideMark/>
          </w:tcPr>
          <w:p w14:paraId="7D8F09FB"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Male</w:t>
            </w:r>
          </w:p>
        </w:tc>
        <w:tc>
          <w:tcPr>
            <w:tcW w:w="0" w:type="auto"/>
            <w:shd w:val="clear" w:color="auto" w:fill="auto"/>
            <w:hideMark/>
          </w:tcPr>
          <w:p w14:paraId="737EE15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41</w:t>
            </w:r>
          </w:p>
        </w:tc>
        <w:tc>
          <w:tcPr>
            <w:tcW w:w="0" w:type="auto"/>
            <w:shd w:val="clear" w:color="auto" w:fill="auto"/>
            <w:hideMark/>
          </w:tcPr>
          <w:p w14:paraId="6597838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58.6</w:t>
            </w:r>
          </w:p>
        </w:tc>
      </w:tr>
      <w:tr w:rsidR="0083330F" w:rsidRPr="0083330F" w14:paraId="4F8BE8F2"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3AE675"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52A7E97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Female</w:t>
            </w:r>
            <w:proofErr w:type="spellEnd"/>
          </w:p>
        </w:tc>
        <w:tc>
          <w:tcPr>
            <w:tcW w:w="0" w:type="auto"/>
            <w:hideMark/>
          </w:tcPr>
          <w:p w14:paraId="0EB3C90B"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29</w:t>
            </w:r>
          </w:p>
        </w:tc>
        <w:tc>
          <w:tcPr>
            <w:tcW w:w="0" w:type="auto"/>
            <w:hideMark/>
          </w:tcPr>
          <w:p w14:paraId="2234682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41.4</w:t>
            </w:r>
          </w:p>
        </w:tc>
      </w:tr>
      <w:tr w:rsidR="0083330F" w:rsidRPr="0083330F" w14:paraId="160465FD"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746AC6"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Age Groups</w:t>
            </w:r>
          </w:p>
        </w:tc>
        <w:tc>
          <w:tcPr>
            <w:tcW w:w="0" w:type="auto"/>
            <w:shd w:val="clear" w:color="auto" w:fill="auto"/>
            <w:hideMark/>
          </w:tcPr>
          <w:p w14:paraId="1E31061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&lt; 18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shd w:val="clear" w:color="auto" w:fill="auto"/>
            <w:hideMark/>
          </w:tcPr>
          <w:p w14:paraId="59C4A51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18</w:t>
            </w:r>
          </w:p>
        </w:tc>
        <w:tc>
          <w:tcPr>
            <w:tcW w:w="0" w:type="auto"/>
            <w:shd w:val="clear" w:color="auto" w:fill="auto"/>
            <w:hideMark/>
          </w:tcPr>
          <w:p w14:paraId="67FDFDF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25.7</w:t>
            </w:r>
          </w:p>
        </w:tc>
      </w:tr>
      <w:tr w:rsidR="0083330F" w:rsidRPr="0083330F" w14:paraId="3FF01FC4"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C9676A"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6691127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19 – 30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hideMark/>
          </w:tcPr>
          <w:p w14:paraId="667D5715"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32</w:t>
            </w:r>
          </w:p>
        </w:tc>
        <w:tc>
          <w:tcPr>
            <w:tcW w:w="0" w:type="auto"/>
            <w:hideMark/>
          </w:tcPr>
          <w:p w14:paraId="7182BF4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45.7</w:t>
            </w:r>
          </w:p>
        </w:tc>
      </w:tr>
      <w:tr w:rsidR="0083330F" w:rsidRPr="0083330F" w14:paraId="56DB012C"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FF857B"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5AB0B35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31 – 50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shd w:val="clear" w:color="auto" w:fill="auto"/>
            <w:hideMark/>
          </w:tcPr>
          <w:p w14:paraId="47DE2EBC"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16</w:t>
            </w:r>
          </w:p>
        </w:tc>
        <w:tc>
          <w:tcPr>
            <w:tcW w:w="0" w:type="auto"/>
            <w:shd w:val="clear" w:color="auto" w:fill="auto"/>
            <w:hideMark/>
          </w:tcPr>
          <w:p w14:paraId="31B3B95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22.9</w:t>
            </w:r>
          </w:p>
        </w:tc>
      </w:tr>
      <w:tr w:rsidR="0083330F" w:rsidRPr="0083330F" w14:paraId="6771D1C3"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C8CD67"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747CA8C7"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&gt; 50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hideMark/>
          </w:tcPr>
          <w:p w14:paraId="6D63DB9E"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w:t>
            </w:r>
          </w:p>
        </w:tc>
        <w:tc>
          <w:tcPr>
            <w:tcW w:w="0" w:type="auto"/>
            <w:hideMark/>
          </w:tcPr>
          <w:p w14:paraId="2AED2A05"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5.7</w:t>
            </w:r>
          </w:p>
        </w:tc>
      </w:tr>
      <w:tr w:rsidR="0083330F" w:rsidRPr="0083330F" w14:paraId="5E892FE2"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891EC7"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Total</w:t>
            </w:r>
          </w:p>
        </w:tc>
        <w:tc>
          <w:tcPr>
            <w:tcW w:w="0" w:type="auto"/>
            <w:shd w:val="clear" w:color="auto" w:fill="auto"/>
            <w:hideMark/>
          </w:tcPr>
          <w:p w14:paraId="6B6E723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hideMark/>
          </w:tcPr>
          <w:p w14:paraId="07206B1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b/>
                <w:bCs/>
                <w:sz w:val="20"/>
                <w:szCs w:val="20"/>
                <w:bdr w:val="none" w:sz="0" w:space="0" w:color="auto" w:frame="1"/>
                <w:lang w:eastAsia="fr-FR"/>
              </w:rPr>
              <w:t>70</w:t>
            </w:r>
          </w:p>
        </w:tc>
        <w:tc>
          <w:tcPr>
            <w:tcW w:w="0" w:type="auto"/>
            <w:shd w:val="clear" w:color="auto" w:fill="auto"/>
            <w:hideMark/>
          </w:tcPr>
          <w:p w14:paraId="01BA2E2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b/>
                <w:bCs/>
                <w:sz w:val="20"/>
                <w:szCs w:val="20"/>
                <w:bdr w:val="none" w:sz="0" w:space="0" w:color="auto" w:frame="1"/>
                <w:lang w:eastAsia="fr-FR"/>
              </w:rPr>
              <w:t>100.0</w:t>
            </w:r>
          </w:p>
        </w:tc>
      </w:tr>
    </w:tbl>
    <w:p w14:paraId="4FFEE744" w14:textId="77777777" w:rsidR="0083330F" w:rsidRDefault="0083330F" w:rsidP="00441B6F">
      <w:pPr>
        <w:pStyle w:val="Body"/>
        <w:spacing w:after="0"/>
        <w:rPr>
          <w:rFonts w:ascii="Arial" w:hAnsi="Arial" w:cs="Arial"/>
        </w:rPr>
      </w:pPr>
    </w:p>
    <w:p w14:paraId="00FAF758"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3.2. Impact of COVID-19 on Site Management and Operations</w:t>
      </w:r>
    </w:p>
    <w:p w14:paraId="36EFA411" w14:textId="77777777" w:rsidR="0083330F" w:rsidRPr="00A63776" w:rsidRDefault="0083330F" w:rsidP="0083330F">
      <w:pPr>
        <w:pStyle w:val="NormalWeb"/>
        <w:jc w:val="both"/>
        <w:rPr>
          <w:rFonts w:ascii="Arial" w:hAnsi="Arial" w:cs="Arial"/>
          <w:color w:val="000000" w:themeColor="text1"/>
          <w:sz w:val="20"/>
          <w:lang w:val="en-US"/>
        </w:rPr>
      </w:pPr>
      <w:r w:rsidRPr="00A63776">
        <w:rPr>
          <w:rFonts w:ascii="Arial" w:hAnsi="Arial" w:cs="Arial"/>
          <w:color w:val="000000" w:themeColor="text1"/>
          <w:sz w:val="20"/>
          <w:lang w:val="en-US"/>
        </w:rPr>
        <w:t xml:space="preserve">The pandemic profoundly disrupted the internal organization of both the Lola </w:t>
      </w:r>
      <w:proofErr w:type="spellStart"/>
      <w:r w:rsidRPr="00A63776">
        <w:rPr>
          <w:rFonts w:ascii="Arial" w:hAnsi="Arial" w:cs="Arial"/>
          <w:color w:val="000000" w:themeColor="text1"/>
          <w:sz w:val="20"/>
          <w:lang w:val="en-US"/>
        </w:rPr>
        <w:t>ya</w:t>
      </w:r>
      <w:proofErr w:type="spellEnd"/>
      <w:r w:rsidRPr="00A63776">
        <w:rPr>
          <w:rFonts w:ascii="Arial" w:hAnsi="Arial" w:cs="Arial"/>
          <w:color w:val="000000" w:themeColor="text1"/>
          <w:sz w:val="20"/>
          <w:lang w:val="en-US"/>
        </w:rPr>
        <w:t xml:space="preserve"> Bonobo sanctuary and the Lac Ma Vallée site. </w:t>
      </w:r>
      <w:r w:rsidRPr="00A63776">
        <w:rPr>
          <w:rFonts w:ascii="Arial" w:hAnsi="Arial" w:cs="Arial"/>
          <w:bCs/>
          <w:color w:val="000000" w:themeColor="text1"/>
          <w:sz w:val="20"/>
          <w:lang w:val="en-US"/>
        </w:rPr>
        <w:t>Table 2</w:t>
      </w:r>
      <w:r w:rsidRPr="00A63776">
        <w:rPr>
          <w:rFonts w:ascii="Arial" w:hAnsi="Arial" w:cs="Arial"/>
          <w:color w:val="000000" w:themeColor="text1"/>
          <w:sz w:val="20"/>
          <w:lang w:val="en-US"/>
        </w:rPr>
        <w:t xml:space="preserve"> cross-references the perceived intensity of the impact with major operational changes.</w:t>
      </w:r>
    </w:p>
    <w:p w14:paraId="2275E364" w14:textId="77777777" w:rsidR="0083330F" w:rsidRPr="00383F92" w:rsidRDefault="0083330F" w:rsidP="0083330F">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fact that 80% of respondents categorized the impact intensity as "high" demonstrates the extreme vulnerability of ecotourism structures to exogenous shocks. Staff reduction (63%) served as the primary adjustment variable to ensure the economic survival of the sites, albeit at the expense of technical supervision quality. This situation reveals a critical lack of emergency financial support mechanisms for protected areas and private sanctuaries in the DRC. Nevertheless, the rapid integration of sanitary protocols (24.3%) demonstrates a notable organizational adaptive capacity, which is essential for maintaining visitor confidence in a post-crisis context.</w:t>
      </w:r>
    </w:p>
    <w:p w14:paraId="1FA12FA6"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2. Perceived impact and operational changes induced by COVID-19</w:t>
      </w:r>
    </w:p>
    <w:tbl>
      <w:tblPr>
        <w:tblStyle w:val="ListTable6Colorful"/>
        <w:tblW w:w="0" w:type="auto"/>
        <w:tblLook w:val="04A0" w:firstRow="1" w:lastRow="0" w:firstColumn="1" w:lastColumn="0" w:noHBand="0" w:noVBand="1"/>
      </w:tblPr>
      <w:tblGrid>
        <w:gridCol w:w="1739"/>
        <w:gridCol w:w="2707"/>
        <w:gridCol w:w="1539"/>
        <w:gridCol w:w="1661"/>
      </w:tblGrid>
      <w:tr w:rsidR="0083330F" w:rsidRPr="00383F92" w14:paraId="0B38C06C"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ADAF40"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Variables</w:t>
            </w:r>
          </w:p>
        </w:tc>
        <w:tc>
          <w:tcPr>
            <w:tcW w:w="0" w:type="auto"/>
            <w:hideMark/>
          </w:tcPr>
          <w:p w14:paraId="7328E9B6"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Categories</w:t>
            </w:r>
          </w:p>
        </w:tc>
        <w:tc>
          <w:tcPr>
            <w:tcW w:w="0" w:type="auto"/>
            <w:hideMark/>
          </w:tcPr>
          <w:p w14:paraId="039AE58E"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Frequency (n)</w:t>
            </w:r>
          </w:p>
        </w:tc>
        <w:tc>
          <w:tcPr>
            <w:tcW w:w="0" w:type="auto"/>
            <w:hideMark/>
          </w:tcPr>
          <w:p w14:paraId="68652491"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Percentage (%)</w:t>
            </w:r>
          </w:p>
        </w:tc>
      </w:tr>
      <w:tr w:rsidR="0083330F" w:rsidRPr="00383F92" w14:paraId="21B6465E"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3A985F"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Impact Intensity</w:t>
            </w:r>
          </w:p>
        </w:tc>
        <w:tc>
          <w:tcPr>
            <w:tcW w:w="0" w:type="auto"/>
            <w:shd w:val="clear" w:color="auto" w:fill="auto"/>
            <w:hideMark/>
          </w:tcPr>
          <w:p w14:paraId="31F443A3"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High</w:t>
            </w:r>
          </w:p>
        </w:tc>
        <w:tc>
          <w:tcPr>
            <w:tcW w:w="0" w:type="auto"/>
            <w:shd w:val="clear" w:color="auto" w:fill="auto"/>
            <w:hideMark/>
          </w:tcPr>
          <w:p w14:paraId="02D396DD"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56</w:t>
            </w:r>
          </w:p>
        </w:tc>
        <w:tc>
          <w:tcPr>
            <w:tcW w:w="0" w:type="auto"/>
            <w:shd w:val="clear" w:color="auto" w:fill="auto"/>
            <w:hideMark/>
          </w:tcPr>
          <w:p w14:paraId="0A4F5D2D"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80.0</w:t>
            </w:r>
          </w:p>
        </w:tc>
      </w:tr>
      <w:tr w:rsidR="0083330F" w:rsidRPr="00383F92" w14:paraId="1BCC884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8B64566" w14:textId="77777777" w:rsidR="0083330F" w:rsidRPr="00383F92" w:rsidRDefault="0083330F" w:rsidP="004D0501">
            <w:pPr>
              <w:rPr>
                <w:rFonts w:ascii="Arial" w:eastAsia="Times New Roman" w:hAnsi="Arial" w:cs="Arial"/>
                <w:sz w:val="20"/>
                <w:szCs w:val="20"/>
                <w:lang w:eastAsia="fr-FR"/>
              </w:rPr>
            </w:pPr>
          </w:p>
        </w:tc>
        <w:tc>
          <w:tcPr>
            <w:tcW w:w="0" w:type="auto"/>
            <w:hideMark/>
          </w:tcPr>
          <w:p w14:paraId="33915307"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Moderate</w:t>
            </w:r>
          </w:p>
        </w:tc>
        <w:tc>
          <w:tcPr>
            <w:tcW w:w="0" w:type="auto"/>
            <w:hideMark/>
          </w:tcPr>
          <w:p w14:paraId="692B042A"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10</w:t>
            </w:r>
          </w:p>
        </w:tc>
        <w:tc>
          <w:tcPr>
            <w:tcW w:w="0" w:type="auto"/>
            <w:hideMark/>
          </w:tcPr>
          <w:p w14:paraId="324BAA2F"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14.3</w:t>
            </w:r>
          </w:p>
        </w:tc>
      </w:tr>
      <w:tr w:rsidR="0083330F" w:rsidRPr="00383F92" w14:paraId="16116EE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948594" w14:textId="77777777" w:rsidR="0083330F" w:rsidRPr="00383F92" w:rsidRDefault="0083330F" w:rsidP="004D0501">
            <w:pPr>
              <w:rPr>
                <w:rFonts w:ascii="Arial" w:eastAsia="Times New Roman" w:hAnsi="Arial" w:cs="Arial"/>
                <w:sz w:val="20"/>
                <w:szCs w:val="20"/>
                <w:lang w:eastAsia="fr-FR"/>
              </w:rPr>
            </w:pPr>
          </w:p>
        </w:tc>
        <w:tc>
          <w:tcPr>
            <w:tcW w:w="0" w:type="auto"/>
            <w:shd w:val="clear" w:color="auto" w:fill="auto"/>
            <w:hideMark/>
          </w:tcPr>
          <w:p w14:paraId="2CD52F52"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Low</w:t>
            </w:r>
          </w:p>
        </w:tc>
        <w:tc>
          <w:tcPr>
            <w:tcW w:w="0" w:type="auto"/>
            <w:shd w:val="clear" w:color="auto" w:fill="auto"/>
            <w:hideMark/>
          </w:tcPr>
          <w:p w14:paraId="09852B3E"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4</w:t>
            </w:r>
          </w:p>
        </w:tc>
        <w:tc>
          <w:tcPr>
            <w:tcW w:w="0" w:type="auto"/>
            <w:shd w:val="clear" w:color="auto" w:fill="auto"/>
            <w:hideMark/>
          </w:tcPr>
          <w:p w14:paraId="54D8A3D1"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5.7</w:t>
            </w:r>
          </w:p>
        </w:tc>
      </w:tr>
      <w:tr w:rsidR="0083330F" w:rsidRPr="00383F92" w14:paraId="45EAAB4D"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5D875ED"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Main Change</w:t>
            </w:r>
          </w:p>
        </w:tc>
        <w:tc>
          <w:tcPr>
            <w:tcW w:w="0" w:type="auto"/>
            <w:hideMark/>
          </w:tcPr>
          <w:p w14:paraId="4C30CF0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Staff reduction</w:t>
            </w:r>
          </w:p>
        </w:tc>
        <w:tc>
          <w:tcPr>
            <w:tcW w:w="0" w:type="auto"/>
            <w:hideMark/>
          </w:tcPr>
          <w:p w14:paraId="07840A48"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44</w:t>
            </w:r>
          </w:p>
        </w:tc>
        <w:tc>
          <w:tcPr>
            <w:tcW w:w="0" w:type="auto"/>
            <w:hideMark/>
          </w:tcPr>
          <w:p w14:paraId="6F8B167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62.9</w:t>
            </w:r>
          </w:p>
        </w:tc>
      </w:tr>
      <w:tr w:rsidR="0083330F" w:rsidRPr="00383F92" w14:paraId="79632C3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BA8668" w14:textId="77777777" w:rsidR="0083330F" w:rsidRPr="00383F92" w:rsidRDefault="0083330F" w:rsidP="004D0501">
            <w:pPr>
              <w:rPr>
                <w:rFonts w:ascii="Arial" w:eastAsia="Times New Roman" w:hAnsi="Arial" w:cs="Arial"/>
                <w:sz w:val="20"/>
                <w:szCs w:val="20"/>
                <w:lang w:eastAsia="fr-FR"/>
              </w:rPr>
            </w:pPr>
          </w:p>
        </w:tc>
        <w:tc>
          <w:tcPr>
            <w:tcW w:w="0" w:type="auto"/>
            <w:shd w:val="clear" w:color="auto" w:fill="auto"/>
            <w:hideMark/>
          </w:tcPr>
          <w:p w14:paraId="4CC33107"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Sanitary protocol integration</w:t>
            </w:r>
          </w:p>
        </w:tc>
        <w:tc>
          <w:tcPr>
            <w:tcW w:w="0" w:type="auto"/>
            <w:shd w:val="clear" w:color="auto" w:fill="auto"/>
            <w:hideMark/>
          </w:tcPr>
          <w:p w14:paraId="773CACEF"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17</w:t>
            </w:r>
          </w:p>
        </w:tc>
        <w:tc>
          <w:tcPr>
            <w:tcW w:w="0" w:type="auto"/>
            <w:shd w:val="clear" w:color="auto" w:fill="auto"/>
            <w:hideMark/>
          </w:tcPr>
          <w:p w14:paraId="6DC35365"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24.3</w:t>
            </w:r>
          </w:p>
        </w:tc>
      </w:tr>
      <w:tr w:rsidR="0083330F" w:rsidRPr="00383F92" w14:paraId="01387C6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CA45B26" w14:textId="77777777" w:rsidR="0083330F" w:rsidRPr="00383F92" w:rsidRDefault="0083330F" w:rsidP="004D0501">
            <w:pPr>
              <w:rPr>
                <w:rFonts w:ascii="Arial" w:eastAsia="Times New Roman" w:hAnsi="Arial" w:cs="Arial"/>
                <w:sz w:val="20"/>
                <w:szCs w:val="20"/>
                <w:lang w:eastAsia="fr-FR"/>
              </w:rPr>
            </w:pPr>
          </w:p>
        </w:tc>
        <w:tc>
          <w:tcPr>
            <w:tcW w:w="0" w:type="auto"/>
            <w:hideMark/>
          </w:tcPr>
          <w:p w14:paraId="7849B5EA"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Partial closure</w:t>
            </w:r>
          </w:p>
        </w:tc>
        <w:tc>
          <w:tcPr>
            <w:tcW w:w="0" w:type="auto"/>
            <w:hideMark/>
          </w:tcPr>
          <w:p w14:paraId="3ED4CE9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9</w:t>
            </w:r>
          </w:p>
        </w:tc>
        <w:tc>
          <w:tcPr>
            <w:tcW w:w="0" w:type="auto"/>
            <w:hideMark/>
          </w:tcPr>
          <w:p w14:paraId="05073993"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12.8</w:t>
            </w:r>
          </w:p>
        </w:tc>
      </w:tr>
      <w:tr w:rsidR="0083330F" w:rsidRPr="00383F92" w14:paraId="2DC41CD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08E6CF"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Total</w:t>
            </w:r>
          </w:p>
        </w:tc>
        <w:tc>
          <w:tcPr>
            <w:tcW w:w="0" w:type="auto"/>
            <w:shd w:val="clear" w:color="auto" w:fill="auto"/>
            <w:hideMark/>
          </w:tcPr>
          <w:p w14:paraId="438B9547"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hideMark/>
          </w:tcPr>
          <w:p w14:paraId="5CEA9065"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b/>
                <w:bCs/>
                <w:sz w:val="20"/>
                <w:szCs w:val="20"/>
                <w:bdr w:val="none" w:sz="0" w:space="0" w:color="auto" w:frame="1"/>
                <w:lang w:eastAsia="fr-FR"/>
              </w:rPr>
              <w:t>70</w:t>
            </w:r>
          </w:p>
        </w:tc>
        <w:tc>
          <w:tcPr>
            <w:tcW w:w="0" w:type="auto"/>
            <w:shd w:val="clear" w:color="auto" w:fill="auto"/>
            <w:hideMark/>
          </w:tcPr>
          <w:p w14:paraId="2DB25719"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b/>
                <w:bCs/>
                <w:sz w:val="20"/>
                <w:szCs w:val="20"/>
                <w:bdr w:val="none" w:sz="0" w:space="0" w:color="auto" w:frame="1"/>
                <w:lang w:eastAsia="fr-FR"/>
              </w:rPr>
              <w:t>100.0</w:t>
            </w:r>
          </w:p>
        </w:tc>
      </w:tr>
    </w:tbl>
    <w:p w14:paraId="57935E3D" w14:textId="77777777" w:rsidR="0083330F" w:rsidRDefault="0083330F" w:rsidP="00441B6F">
      <w:pPr>
        <w:pStyle w:val="Body"/>
        <w:spacing w:after="0"/>
        <w:rPr>
          <w:rFonts w:ascii="Arial" w:hAnsi="Arial" w:cs="Arial"/>
        </w:rPr>
      </w:pPr>
    </w:p>
    <w:p w14:paraId="4B9326D9"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3.3. Economic and Behavioral Consequences</w:t>
      </w:r>
    </w:p>
    <w:p w14:paraId="674620C1" w14:textId="77777777" w:rsidR="0083330F" w:rsidRPr="008C7889" w:rsidRDefault="0083330F" w:rsidP="0083330F">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sanitary crisis acted as a major deterrent to tourism consumption and compromised the financial stability of both local </w:t>
      </w:r>
      <w:r w:rsidRPr="008C7889">
        <w:rPr>
          <w:rFonts w:ascii="Arial" w:hAnsi="Arial" w:cs="Arial"/>
          <w:color w:val="000000" w:themeColor="text1"/>
          <w:sz w:val="20"/>
          <w:lang w:val="en-US"/>
        </w:rPr>
        <w:t>populations and site managers (</w:t>
      </w:r>
      <w:r w:rsidRPr="008C7889">
        <w:rPr>
          <w:rFonts w:ascii="Arial" w:hAnsi="Arial" w:cs="Arial"/>
          <w:bCs/>
          <w:color w:val="000000" w:themeColor="text1"/>
          <w:sz w:val="20"/>
          <w:lang w:val="en-US"/>
        </w:rPr>
        <w:t>Table 3</w:t>
      </w:r>
      <w:r w:rsidRPr="008C7889">
        <w:rPr>
          <w:rFonts w:ascii="Arial" w:hAnsi="Arial" w:cs="Arial"/>
          <w:color w:val="000000" w:themeColor="text1"/>
          <w:sz w:val="20"/>
          <w:lang w:val="en-US"/>
        </w:rPr>
        <w:t>).</w:t>
      </w:r>
    </w:p>
    <w:p w14:paraId="086388B9" w14:textId="77777777" w:rsidR="0083330F" w:rsidRPr="00383F92" w:rsidRDefault="0083330F" w:rsidP="0083330F">
      <w:pPr>
        <w:pStyle w:val="NormalWeb"/>
        <w:jc w:val="both"/>
        <w:rPr>
          <w:rFonts w:ascii="Arial" w:hAnsi="Arial" w:cs="Arial"/>
          <w:color w:val="000000" w:themeColor="text1"/>
          <w:sz w:val="20"/>
          <w:lang w:val="en-US"/>
        </w:rPr>
      </w:pPr>
      <w:r w:rsidRPr="008C7889">
        <w:rPr>
          <w:rFonts w:ascii="Arial" w:hAnsi="Arial" w:cs="Arial"/>
          <w:color w:val="000000" w:themeColor="text1"/>
          <w:sz w:val="20"/>
          <w:lang w:val="en-US"/>
        </w:rPr>
        <w:lastRenderedPageBreak/>
        <w:t>The correlation between the sharp decline in income (83%) and the massive cancellation of stays (86%) highlights the sector's</w:t>
      </w:r>
      <w:r w:rsidRPr="00383F92">
        <w:rPr>
          <w:rFonts w:ascii="Arial" w:hAnsi="Arial" w:cs="Arial"/>
          <w:color w:val="000000" w:themeColor="text1"/>
          <w:sz w:val="20"/>
          <w:lang w:val="en-US"/>
        </w:rPr>
        <w:t xml:space="preserve"> critical dependence on visitor flows. Unlike other regions of the world where domestic tourism was able to compensate for the loss of the international market, the results here indicate a global collapse. The revenue decrease stems primarily from the </w:t>
      </w:r>
      <w:proofErr w:type="gramStart"/>
      <w:r w:rsidRPr="00383F92">
        <w:rPr>
          <w:rFonts w:ascii="Arial" w:hAnsi="Arial" w:cs="Arial"/>
          <w:color w:val="000000" w:themeColor="text1"/>
          <w:sz w:val="20"/>
          <w:lang w:val="en-US"/>
        </w:rPr>
        <w:t>drop in</w:t>
      </w:r>
      <w:proofErr w:type="gramEnd"/>
      <w:r w:rsidRPr="00383F92">
        <w:rPr>
          <w:rFonts w:ascii="Arial" w:hAnsi="Arial" w:cs="Arial"/>
          <w:color w:val="000000" w:themeColor="text1"/>
          <w:sz w:val="20"/>
          <w:lang w:val="en-US"/>
        </w:rPr>
        <w:t xml:space="preserve"> service and product sales (77%), suggesting that even local visitors reduced their discretionary spending. This economic fragility underscores the imperative to diversify ecotourism funding sources—such as carbon credits, international sponsorships, and state subsidies—to reduce sole reliance on gate receipts.</w:t>
      </w:r>
    </w:p>
    <w:p w14:paraId="6D80D74E"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3. Revenue dynamics and tourism behaviors (N=70)</w:t>
      </w:r>
    </w:p>
    <w:tbl>
      <w:tblPr>
        <w:tblStyle w:val="ListTable6Colorful"/>
        <w:tblW w:w="0" w:type="auto"/>
        <w:tblLook w:val="04A0" w:firstRow="1" w:lastRow="0" w:firstColumn="1" w:lastColumn="0" w:noHBand="0" w:noVBand="1"/>
      </w:tblPr>
      <w:tblGrid>
        <w:gridCol w:w="2118"/>
        <w:gridCol w:w="3129"/>
        <w:gridCol w:w="1539"/>
        <w:gridCol w:w="1661"/>
      </w:tblGrid>
      <w:tr w:rsidR="0083330F" w:rsidRPr="0083330F" w14:paraId="447D4D3E"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0AAB9"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1A323787"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Categories</w:t>
            </w:r>
          </w:p>
        </w:tc>
        <w:tc>
          <w:tcPr>
            <w:tcW w:w="0" w:type="auto"/>
            <w:hideMark/>
          </w:tcPr>
          <w:p w14:paraId="1388F1FE"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07B84D62"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7F8EE3C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09168C"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Income Variation</w:t>
            </w:r>
          </w:p>
        </w:tc>
        <w:tc>
          <w:tcPr>
            <w:tcW w:w="0" w:type="auto"/>
            <w:shd w:val="clear" w:color="auto" w:fill="auto"/>
            <w:hideMark/>
          </w:tcPr>
          <w:p w14:paraId="75B2B639"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Decrease</w:t>
            </w:r>
          </w:p>
        </w:tc>
        <w:tc>
          <w:tcPr>
            <w:tcW w:w="0" w:type="auto"/>
            <w:shd w:val="clear" w:color="auto" w:fill="auto"/>
            <w:hideMark/>
          </w:tcPr>
          <w:p w14:paraId="64059FD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w:t>
            </w:r>
          </w:p>
        </w:tc>
        <w:tc>
          <w:tcPr>
            <w:tcW w:w="0" w:type="auto"/>
            <w:shd w:val="clear" w:color="auto" w:fill="auto"/>
            <w:hideMark/>
          </w:tcPr>
          <w:p w14:paraId="46D1F41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82.9</w:t>
            </w:r>
          </w:p>
        </w:tc>
      </w:tr>
      <w:tr w:rsidR="0083330F" w:rsidRPr="0083330F" w14:paraId="1214046A"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27C57B66"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5E1BC8C0"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Stability</w:t>
            </w:r>
          </w:p>
        </w:tc>
        <w:tc>
          <w:tcPr>
            <w:tcW w:w="0" w:type="auto"/>
            <w:hideMark/>
          </w:tcPr>
          <w:p w14:paraId="6AF15FA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w:t>
            </w:r>
          </w:p>
        </w:tc>
        <w:tc>
          <w:tcPr>
            <w:tcW w:w="0" w:type="auto"/>
            <w:hideMark/>
          </w:tcPr>
          <w:p w14:paraId="48EEF40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14.3</w:t>
            </w:r>
          </w:p>
        </w:tc>
      </w:tr>
      <w:tr w:rsidR="0083330F" w:rsidRPr="0083330F" w14:paraId="7660BD03"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FA0A83"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2771F951"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Increase</w:t>
            </w:r>
          </w:p>
        </w:tc>
        <w:tc>
          <w:tcPr>
            <w:tcW w:w="0" w:type="auto"/>
            <w:shd w:val="clear" w:color="auto" w:fill="auto"/>
            <w:hideMark/>
          </w:tcPr>
          <w:p w14:paraId="5A7654F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w:t>
            </w:r>
          </w:p>
        </w:tc>
        <w:tc>
          <w:tcPr>
            <w:tcW w:w="0" w:type="auto"/>
            <w:shd w:val="clear" w:color="auto" w:fill="auto"/>
            <w:hideMark/>
          </w:tcPr>
          <w:p w14:paraId="08A67EF2"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2.8</w:t>
            </w:r>
          </w:p>
        </w:tc>
      </w:tr>
      <w:tr w:rsidR="0083330F" w:rsidRPr="0083330F" w14:paraId="258C262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784017A5"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Causes of Decrease</w:t>
            </w:r>
          </w:p>
        </w:tc>
        <w:tc>
          <w:tcPr>
            <w:tcW w:w="0" w:type="auto"/>
            <w:hideMark/>
          </w:tcPr>
          <w:p w14:paraId="4DD8030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83330F">
              <w:rPr>
                <w:rFonts w:ascii="Arial" w:eastAsia="Times New Roman" w:hAnsi="Arial" w:cs="Arial"/>
                <w:sz w:val="20"/>
                <w:szCs w:val="20"/>
                <w:bdr w:val="none" w:sz="0" w:space="0" w:color="auto" w:frame="1"/>
                <w:lang w:val="en-US" w:eastAsia="fr-FR"/>
              </w:rPr>
              <w:t>Drop in sales (services/products)</w:t>
            </w:r>
          </w:p>
        </w:tc>
        <w:tc>
          <w:tcPr>
            <w:tcW w:w="0" w:type="auto"/>
            <w:hideMark/>
          </w:tcPr>
          <w:p w14:paraId="72F85D7B"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53</w:t>
            </w:r>
          </w:p>
        </w:tc>
        <w:tc>
          <w:tcPr>
            <w:tcW w:w="0" w:type="auto"/>
            <w:hideMark/>
          </w:tcPr>
          <w:p w14:paraId="3D273E4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76.8</w:t>
            </w:r>
          </w:p>
        </w:tc>
      </w:tr>
      <w:tr w:rsidR="0083330F" w:rsidRPr="0083330F" w14:paraId="4CE2BA8B"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A02DD0"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780A4C4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Reduction in working hours</w:t>
            </w:r>
          </w:p>
        </w:tc>
        <w:tc>
          <w:tcPr>
            <w:tcW w:w="0" w:type="auto"/>
            <w:shd w:val="clear" w:color="auto" w:fill="auto"/>
            <w:hideMark/>
          </w:tcPr>
          <w:p w14:paraId="3E1CC663"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12</w:t>
            </w:r>
          </w:p>
        </w:tc>
        <w:tc>
          <w:tcPr>
            <w:tcW w:w="0" w:type="auto"/>
            <w:shd w:val="clear" w:color="auto" w:fill="auto"/>
            <w:hideMark/>
          </w:tcPr>
          <w:p w14:paraId="70F39D3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17.4</w:t>
            </w:r>
          </w:p>
        </w:tc>
      </w:tr>
      <w:tr w:rsidR="0083330F" w:rsidRPr="0083330F" w14:paraId="7C795ECF"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11B3AA4"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7CA57EBD"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Job loss</w:t>
            </w:r>
          </w:p>
        </w:tc>
        <w:tc>
          <w:tcPr>
            <w:tcW w:w="0" w:type="auto"/>
            <w:hideMark/>
          </w:tcPr>
          <w:p w14:paraId="73FC1EB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w:t>
            </w:r>
          </w:p>
        </w:tc>
        <w:tc>
          <w:tcPr>
            <w:tcW w:w="0" w:type="auto"/>
            <w:hideMark/>
          </w:tcPr>
          <w:p w14:paraId="2A32DDF2"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w:t>
            </w:r>
          </w:p>
        </w:tc>
      </w:tr>
      <w:tr w:rsidR="0083330F" w:rsidRPr="0083330F" w14:paraId="1F11DD6B"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37197E"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Impact on Travel</w:t>
            </w:r>
          </w:p>
        </w:tc>
        <w:tc>
          <w:tcPr>
            <w:tcW w:w="0" w:type="auto"/>
            <w:shd w:val="clear" w:color="auto" w:fill="auto"/>
            <w:hideMark/>
          </w:tcPr>
          <w:p w14:paraId="77D9DEF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Stay cancellation</w:t>
            </w:r>
          </w:p>
        </w:tc>
        <w:tc>
          <w:tcPr>
            <w:tcW w:w="0" w:type="auto"/>
            <w:shd w:val="clear" w:color="auto" w:fill="auto"/>
            <w:hideMark/>
          </w:tcPr>
          <w:p w14:paraId="7C4CCFE0"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60</w:t>
            </w:r>
          </w:p>
        </w:tc>
        <w:tc>
          <w:tcPr>
            <w:tcW w:w="0" w:type="auto"/>
            <w:shd w:val="clear" w:color="auto" w:fill="auto"/>
            <w:hideMark/>
          </w:tcPr>
          <w:p w14:paraId="29CFAC4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85.7</w:t>
            </w:r>
          </w:p>
        </w:tc>
      </w:tr>
      <w:tr w:rsidR="0083330F" w:rsidRPr="0083330F" w14:paraId="23DC8B90"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0B680460"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307C9AB0"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Trip postponement</w:t>
            </w:r>
          </w:p>
        </w:tc>
        <w:tc>
          <w:tcPr>
            <w:tcW w:w="0" w:type="auto"/>
            <w:hideMark/>
          </w:tcPr>
          <w:p w14:paraId="3747142D"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w:t>
            </w:r>
          </w:p>
        </w:tc>
        <w:tc>
          <w:tcPr>
            <w:tcW w:w="0" w:type="auto"/>
            <w:hideMark/>
          </w:tcPr>
          <w:p w14:paraId="3CDDCBB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11.4</w:t>
            </w:r>
          </w:p>
        </w:tc>
      </w:tr>
      <w:tr w:rsidR="0083330F" w:rsidRPr="0083330F" w14:paraId="3F7F66F4"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E2DE9D"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40831BE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No impact</w:t>
            </w:r>
          </w:p>
        </w:tc>
        <w:tc>
          <w:tcPr>
            <w:tcW w:w="0" w:type="auto"/>
            <w:shd w:val="clear" w:color="auto" w:fill="auto"/>
            <w:hideMark/>
          </w:tcPr>
          <w:p w14:paraId="00D34CB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w:t>
            </w:r>
          </w:p>
        </w:tc>
        <w:tc>
          <w:tcPr>
            <w:tcW w:w="0" w:type="auto"/>
            <w:shd w:val="clear" w:color="auto" w:fill="auto"/>
            <w:hideMark/>
          </w:tcPr>
          <w:p w14:paraId="45328E0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2.9</w:t>
            </w:r>
          </w:p>
        </w:tc>
      </w:tr>
    </w:tbl>
    <w:p w14:paraId="159D7DBA" w14:textId="77777777" w:rsidR="00790ADA" w:rsidRDefault="00790ADA" w:rsidP="00441B6F">
      <w:pPr>
        <w:pStyle w:val="Body"/>
        <w:spacing w:after="0"/>
        <w:rPr>
          <w:rFonts w:ascii="Arial" w:hAnsi="Arial" w:cs="Arial"/>
        </w:rPr>
      </w:pPr>
    </w:p>
    <w:p w14:paraId="55ED0F4D" w14:textId="77777777" w:rsidR="0083330F" w:rsidRPr="00383F92" w:rsidRDefault="0083330F" w:rsidP="0083330F">
      <w:pPr>
        <w:pStyle w:val="Heading3"/>
        <w:rPr>
          <w:rFonts w:ascii="Arial" w:hAnsi="Arial" w:cs="Arial"/>
          <w:b/>
          <w:color w:val="000000" w:themeColor="text1"/>
          <w:sz w:val="22"/>
        </w:rPr>
      </w:pPr>
      <w:r w:rsidRPr="00383F92">
        <w:rPr>
          <w:rFonts w:ascii="Arial" w:hAnsi="Arial" w:cs="Arial"/>
          <w:b/>
          <w:color w:val="000000" w:themeColor="text1"/>
          <w:sz w:val="22"/>
        </w:rPr>
        <w:t xml:space="preserve">3.4. </w:t>
      </w:r>
      <w:proofErr w:type="spellStart"/>
      <w:r w:rsidRPr="00383F92">
        <w:rPr>
          <w:rFonts w:ascii="Arial" w:hAnsi="Arial" w:cs="Arial"/>
          <w:b/>
          <w:color w:val="000000" w:themeColor="text1"/>
          <w:sz w:val="22"/>
        </w:rPr>
        <w:t>Sanitary</w:t>
      </w:r>
      <w:proofErr w:type="spellEnd"/>
      <w:r w:rsidRPr="00383F92">
        <w:rPr>
          <w:rFonts w:ascii="Arial" w:hAnsi="Arial" w:cs="Arial"/>
          <w:b/>
          <w:color w:val="000000" w:themeColor="text1"/>
          <w:sz w:val="22"/>
        </w:rPr>
        <w:t xml:space="preserve"> Perception and </w:t>
      </w:r>
      <w:proofErr w:type="spellStart"/>
      <w:r w:rsidRPr="00383F92">
        <w:rPr>
          <w:rFonts w:ascii="Arial" w:hAnsi="Arial" w:cs="Arial"/>
          <w:b/>
          <w:color w:val="000000" w:themeColor="text1"/>
          <w:sz w:val="22"/>
        </w:rPr>
        <w:t>Preventive</w:t>
      </w:r>
      <w:proofErr w:type="spellEnd"/>
      <w:r w:rsidRPr="00383F92">
        <w:rPr>
          <w:rFonts w:ascii="Arial" w:hAnsi="Arial" w:cs="Arial"/>
          <w:b/>
          <w:color w:val="000000" w:themeColor="text1"/>
          <w:sz w:val="22"/>
        </w:rPr>
        <w:t xml:space="preserve"> </w:t>
      </w:r>
      <w:proofErr w:type="spellStart"/>
      <w:r w:rsidRPr="00383F92">
        <w:rPr>
          <w:rFonts w:ascii="Arial" w:hAnsi="Arial" w:cs="Arial"/>
          <w:b/>
          <w:color w:val="000000" w:themeColor="text1"/>
          <w:sz w:val="22"/>
        </w:rPr>
        <w:t>Measures</w:t>
      </w:r>
      <w:proofErr w:type="spellEnd"/>
    </w:p>
    <w:p w14:paraId="0270E8CC"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resilience of the study sites depended on the adoption of strict sanitary protocols</w:t>
      </w:r>
      <w:r>
        <w:rPr>
          <w:rFonts w:ascii="Arial" w:hAnsi="Arial" w:cs="Arial"/>
          <w:color w:val="000000" w:themeColor="text1"/>
          <w:sz w:val="20"/>
          <w:lang w:val="en-US"/>
        </w:rPr>
        <w:t xml:space="preserve"> (Table 4)</w:t>
      </w:r>
      <w:r w:rsidRPr="00383F92">
        <w:rPr>
          <w:rFonts w:ascii="Arial" w:hAnsi="Arial" w:cs="Arial"/>
          <w:color w:val="000000" w:themeColor="text1"/>
          <w:sz w:val="20"/>
          <w:lang w:val="en-US"/>
        </w:rPr>
        <w:t>. Although only 6% of respondents identified a positive case within their immediate family circle, vigilance remained absolute.</w:t>
      </w:r>
    </w:p>
    <w:p w14:paraId="409F9C32" w14:textId="77777777" w:rsidR="0083330F"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"negative to very negative" sentiment expressed by 100% of the respondents reflects deep psychological and social distress, linked not only to the viral risk but also to the induced economic precariousness. Regarding prevention, the ubiquity of mask-wearing (49%) and social distancing (39%) demonstrates that Kinshasa’s ecotourism sites rigorously applied directives from the WHO and national authorities. This strict compliance is an asset for "rebranding" the DRC as a safe destination. Furthermore, universal access to information (100%) confirms the effectiveness of internal communication channels and the media in disseminating barrier measures.</w:t>
      </w:r>
    </w:p>
    <w:p w14:paraId="46380BF3" w14:textId="77777777" w:rsidR="008C7889" w:rsidRDefault="008C7889" w:rsidP="008C7889">
      <w:pPr>
        <w:pStyle w:val="NormalWeb"/>
        <w:jc w:val="both"/>
        <w:rPr>
          <w:rFonts w:ascii="Arial" w:hAnsi="Arial" w:cs="Arial"/>
          <w:color w:val="000000" w:themeColor="text1"/>
          <w:sz w:val="20"/>
          <w:lang w:val="en-US"/>
        </w:rPr>
      </w:pPr>
    </w:p>
    <w:p w14:paraId="6F2F3554" w14:textId="77777777" w:rsidR="008C7889" w:rsidRPr="00383F92" w:rsidRDefault="008C7889" w:rsidP="008C7889">
      <w:pPr>
        <w:pStyle w:val="NormalWeb"/>
        <w:jc w:val="both"/>
        <w:rPr>
          <w:rFonts w:ascii="Arial" w:hAnsi="Arial" w:cs="Arial"/>
          <w:color w:val="000000" w:themeColor="text1"/>
          <w:sz w:val="20"/>
          <w:lang w:val="en-US"/>
        </w:rPr>
      </w:pPr>
    </w:p>
    <w:p w14:paraId="011DBF5F"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4. Risk perception and preventive measures at the sites (N=70)</w:t>
      </w:r>
    </w:p>
    <w:tbl>
      <w:tblPr>
        <w:tblStyle w:val="ListTable6Colorful"/>
        <w:tblW w:w="0" w:type="auto"/>
        <w:tblLook w:val="04A0" w:firstRow="1" w:lastRow="0" w:firstColumn="1" w:lastColumn="0" w:noHBand="0" w:noVBand="1"/>
      </w:tblPr>
      <w:tblGrid>
        <w:gridCol w:w="2606"/>
        <w:gridCol w:w="2518"/>
        <w:gridCol w:w="1539"/>
        <w:gridCol w:w="1661"/>
      </w:tblGrid>
      <w:tr w:rsidR="0083330F" w:rsidRPr="0083330F" w14:paraId="21423BA8"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4349B2"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496F159F"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Categories</w:t>
            </w:r>
          </w:p>
        </w:tc>
        <w:tc>
          <w:tcPr>
            <w:tcW w:w="0" w:type="auto"/>
            <w:hideMark/>
          </w:tcPr>
          <w:p w14:paraId="459D3F9D"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3C9E557C"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6DDA0D6A"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F76C0F"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Risk Perception</w:t>
            </w:r>
          </w:p>
        </w:tc>
        <w:tc>
          <w:tcPr>
            <w:tcW w:w="0" w:type="auto"/>
            <w:shd w:val="clear" w:color="auto" w:fill="auto"/>
            <w:hideMark/>
          </w:tcPr>
          <w:p w14:paraId="22F92EA1"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Very Negative / Negative</w:t>
            </w:r>
          </w:p>
        </w:tc>
        <w:tc>
          <w:tcPr>
            <w:tcW w:w="0" w:type="auto"/>
            <w:shd w:val="clear" w:color="auto" w:fill="auto"/>
            <w:hideMark/>
          </w:tcPr>
          <w:p w14:paraId="4C7E8C49"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70</w:t>
            </w:r>
          </w:p>
        </w:tc>
        <w:tc>
          <w:tcPr>
            <w:tcW w:w="0" w:type="auto"/>
            <w:shd w:val="clear" w:color="auto" w:fill="auto"/>
            <w:hideMark/>
          </w:tcPr>
          <w:p w14:paraId="2DD8B66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100.0</w:t>
            </w:r>
          </w:p>
        </w:tc>
      </w:tr>
      <w:tr w:rsidR="0083330F" w:rsidRPr="0083330F" w14:paraId="5196F87C"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1419BB5"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Main Preventive Measure</w:t>
            </w:r>
          </w:p>
        </w:tc>
        <w:tc>
          <w:tcPr>
            <w:tcW w:w="0" w:type="auto"/>
            <w:hideMark/>
          </w:tcPr>
          <w:p w14:paraId="2CFF66DE"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Mask-wearing</w:t>
            </w:r>
          </w:p>
        </w:tc>
        <w:tc>
          <w:tcPr>
            <w:tcW w:w="0" w:type="auto"/>
            <w:hideMark/>
          </w:tcPr>
          <w:p w14:paraId="5D1A0CA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34</w:t>
            </w:r>
          </w:p>
        </w:tc>
        <w:tc>
          <w:tcPr>
            <w:tcW w:w="0" w:type="auto"/>
            <w:hideMark/>
          </w:tcPr>
          <w:p w14:paraId="4B63E00C"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48.6</w:t>
            </w:r>
          </w:p>
        </w:tc>
      </w:tr>
      <w:tr w:rsidR="0083330F" w:rsidRPr="0083330F" w14:paraId="374A5257"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C79BDE"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2FB35FE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Social distancing</w:t>
            </w:r>
          </w:p>
        </w:tc>
        <w:tc>
          <w:tcPr>
            <w:tcW w:w="0" w:type="auto"/>
            <w:shd w:val="clear" w:color="auto" w:fill="auto"/>
            <w:hideMark/>
          </w:tcPr>
          <w:p w14:paraId="0F73DD7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27</w:t>
            </w:r>
          </w:p>
        </w:tc>
        <w:tc>
          <w:tcPr>
            <w:tcW w:w="0" w:type="auto"/>
            <w:shd w:val="clear" w:color="auto" w:fill="auto"/>
            <w:hideMark/>
          </w:tcPr>
          <w:p w14:paraId="6B04EEC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38.6</w:t>
            </w:r>
          </w:p>
        </w:tc>
      </w:tr>
      <w:tr w:rsidR="0083330F" w:rsidRPr="0083330F" w14:paraId="52AB7600"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945B709"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428BAF88"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Handwashing</w:t>
            </w:r>
            <w:proofErr w:type="spellEnd"/>
            <w:r w:rsidRPr="0083330F">
              <w:rPr>
                <w:rFonts w:ascii="Arial" w:eastAsia="Times New Roman" w:hAnsi="Arial" w:cs="Arial"/>
                <w:sz w:val="20"/>
                <w:szCs w:val="20"/>
                <w:bdr w:val="none" w:sz="0" w:space="0" w:color="auto" w:frame="1"/>
                <w:lang w:eastAsia="fr-FR"/>
              </w:rPr>
              <w:t>/</w:t>
            </w:r>
            <w:proofErr w:type="spellStart"/>
            <w:r w:rsidRPr="0083330F">
              <w:rPr>
                <w:rFonts w:ascii="Arial" w:eastAsia="Times New Roman" w:hAnsi="Arial" w:cs="Arial"/>
                <w:sz w:val="20"/>
                <w:szCs w:val="20"/>
                <w:bdr w:val="none" w:sz="0" w:space="0" w:color="auto" w:frame="1"/>
                <w:lang w:eastAsia="fr-FR"/>
              </w:rPr>
              <w:t>Sanitization</w:t>
            </w:r>
            <w:proofErr w:type="spellEnd"/>
          </w:p>
        </w:tc>
        <w:tc>
          <w:tcPr>
            <w:tcW w:w="0" w:type="auto"/>
            <w:hideMark/>
          </w:tcPr>
          <w:p w14:paraId="03D9D76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9</w:t>
            </w:r>
          </w:p>
        </w:tc>
        <w:tc>
          <w:tcPr>
            <w:tcW w:w="0" w:type="auto"/>
            <w:hideMark/>
          </w:tcPr>
          <w:p w14:paraId="5728C8C8"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12.8</w:t>
            </w:r>
          </w:p>
        </w:tc>
      </w:tr>
      <w:tr w:rsidR="0083330F" w:rsidRPr="0083330F" w14:paraId="5D6BF231"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DAB392"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Information Access</w:t>
            </w:r>
          </w:p>
        </w:tc>
        <w:tc>
          <w:tcPr>
            <w:tcW w:w="0" w:type="auto"/>
            <w:shd w:val="clear" w:color="auto" w:fill="auto"/>
            <w:hideMark/>
          </w:tcPr>
          <w:p w14:paraId="5F27AC2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Yes</w:t>
            </w:r>
          </w:p>
        </w:tc>
        <w:tc>
          <w:tcPr>
            <w:tcW w:w="0" w:type="auto"/>
            <w:shd w:val="clear" w:color="auto" w:fill="auto"/>
            <w:hideMark/>
          </w:tcPr>
          <w:p w14:paraId="10040BEB"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70</w:t>
            </w:r>
          </w:p>
        </w:tc>
        <w:tc>
          <w:tcPr>
            <w:tcW w:w="0" w:type="auto"/>
            <w:shd w:val="clear" w:color="auto" w:fill="auto"/>
            <w:hideMark/>
          </w:tcPr>
          <w:p w14:paraId="0649EF3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100.0</w:t>
            </w:r>
          </w:p>
        </w:tc>
      </w:tr>
    </w:tbl>
    <w:p w14:paraId="11372562" w14:textId="77777777" w:rsidR="00790ADA" w:rsidRPr="00502516" w:rsidRDefault="00790ADA" w:rsidP="00441B6F">
      <w:pPr>
        <w:pStyle w:val="Body"/>
        <w:spacing w:after="0"/>
        <w:rPr>
          <w:rFonts w:ascii="Arial" w:hAnsi="Arial" w:cs="Arial"/>
        </w:rPr>
      </w:pPr>
    </w:p>
    <w:p w14:paraId="0BA1E371" w14:textId="77777777" w:rsidR="00D479B6" w:rsidRPr="00383F92" w:rsidRDefault="00D479B6" w:rsidP="00D479B6">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3.2. SWOT Analysis of Ecotourism in Kinshasa Amidst COVID-19</w:t>
      </w:r>
    </w:p>
    <w:p w14:paraId="5C9F1A6D"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SWOT (Strengths, Weaknesses, Opportunities, and Threats) analysis evaluates the resilience of Kinshasa’s ecotourism sector and the specific study sites (Lola </w:t>
      </w:r>
      <w:proofErr w:type="spellStart"/>
      <w:r w:rsidRPr="00383F92">
        <w:rPr>
          <w:rFonts w:ascii="Arial" w:hAnsi="Arial" w:cs="Arial"/>
          <w:color w:val="000000" w:themeColor="text1"/>
          <w:sz w:val="20"/>
          <w:lang w:val="en-US"/>
        </w:rPr>
        <w:t>ya</w:t>
      </w:r>
      <w:proofErr w:type="spellEnd"/>
      <w:r w:rsidRPr="00383F92">
        <w:rPr>
          <w:rFonts w:ascii="Arial" w:hAnsi="Arial" w:cs="Arial"/>
          <w:color w:val="000000" w:themeColor="text1"/>
          <w:sz w:val="20"/>
          <w:lang w:val="en-US"/>
        </w:rPr>
        <w:t xml:space="preserve"> Bonobo and Lac Ma Vallée) by cross-referencing internal dynamics with external environmental factors.</w:t>
      </w:r>
    </w:p>
    <w:p w14:paraId="5EC5A029"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3.2.1. Strategic Diagnosis of Ecotourism in Kinshasa</w:t>
      </w:r>
    </w:p>
    <w:p w14:paraId="5E9E398E"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macro-systemic analysis presented in </w:t>
      </w:r>
      <w:r w:rsidRPr="00383F92">
        <w:rPr>
          <w:rFonts w:ascii="Arial" w:hAnsi="Arial" w:cs="Arial"/>
          <w:bCs/>
          <w:color w:val="000000" w:themeColor="text1"/>
          <w:sz w:val="20"/>
          <w:lang w:val="en-US"/>
        </w:rPr>
        <w:t>Table 5</w:t>
      </w:r>
      <w:r w:rsidRPr="00383F92">
        <w:rPr>
          <w:rFonts w:ascii="Arial" w:hAnsi="Arial" w:cs="Arial"/>
          <w:color w:val="000000" w:themeColor="text1"/>
          <w:sz w:val="20"/>
          <w:lang w:val="en-US"/>
        </w:rPr>
        <w:t xml:space="preserve"> reveals that Kinshasa’s ecotourism sector relies on robust but vulnerable endogenous natural capital. The diversity of identified sites—listed as </w:t>
      </w:r>
      <w:r w:rsidRPr="00383F92">
        <w:rPr>
          <w:rFonts w:ascii="Arial" w:hAnsi="Arial" w:cs="Arial"/>
          <w:bCs/>
          <w:color w:val="000000" w:themeColor="text1"/>
          <w:sz w:val="20"/>
          <w:lang w:val="en-US"/>
        </w:rPr>
        <w:t>Strengths</w:t>
      </w:r>
      <w:r w:rsidRPr="00383F92">
        <w:rPr>
          <w:rFonts w:ascii="Arial" w:hAnsi="Arial" w:cs="Arial"/>
          <w:color w:val="000000" w:themeColor="text1"/>
          <w:sz w:val="20"/>
          <w:lang w:val="en-US"/>
        </w:rPr>
        <w:t xml:space="preserve"> (e.g., Botanical Garden, N'sele Park)—contrasts with major structural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notably the geographical isolation of conservation zones and a weak culture of environmental protection.</w:t>
      </w:r>
    </w:p>
    <w:p w14:paraId="7712F5AB"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lastRenderedPageBreak/>
        <w:t xml:space="preserve">The interpretation of these data suggests that the COVID-19 pandemic acted as a </w:t>
      </w:r>
      <w:proofErr w:type="spellStart"/>
      <w:r w:rsidRPr="00383F92">
        <w:rPr>
          <w:rFonts w:ascii="Arial" w:hAnsi="Arial" w:cs="Arial"/>
          <w:color w:val="000000" w:themeColor="text1"/>
          <w:sz w:val="20"/>
          <w:lang w:val="en-US"/>
        </w:rPr>
        <w:t>revealator</w:t>
      </w:r>
      <w:proofErr w:type="spellEnd"/>
      <w:r w:rsidRPr="00383F92">
        <w:rPr>
          <w:rFonts w:ascii="Arial" w:hAnsi="Arial" w:cs="Arial"/>
          <w:color w:val="000000" w:themeColor="text1"/>
          <w:sz w:val="20"/>
          <w:lang w:val="en-US"/>
        </w:rPr>
        <w:t xml:space="preserve"> of the sector's excessive dependence on international flows. Faced with the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of unplanned urbanization and pollution, the resilience strategy must leverage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for digitization and the promotion of domestic tourism. By targeting the capital’s young population, managers can transform a sanitary constraint into a lever for internal growth, thereby securing biodiversity financing independently of global crises.</w:t>
      </w:r>
    </w:p>
    <w:p w14:paraId="2D678F58"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3.2.2. Comparative Resilience Analysis of Study Sites</w:t>
      </w:r>
    </w:p>
    <w:p w14:paraId="78F2DDEF"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cross-interpretation of site-specific results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distinguishes two distinct post-crisis development trajectories:</w:t>
      </w:r>
    </w:p>
    <w:p w14:paraId="18391828"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bCs/>
          <w:color w:val="000000" w:themeColor="text1"/>
          <w:sz w:val="20"/>
          <w:lang w:val="en-US"/>
        </w:rPr>
        <w:t xml:space="preserve">A. Lola </w:t>
      </w:r>
      <w:proofErr w:type="spellStart"/>
      <w:r w:rsidRPr="00383F92">
        <w:rPr>
          <w:rFonts w:ascii="Arial" w:hAnsi="Arial" w:cs="Arial"/>
          <w:bCs/>
          <w:color w:val="000000" w:themeColor="text1"/>
          <w:sz w:val="20"/>
          <w:lang w:val="en-US"/>
        </w:rPr>
        <w:t>ya</w:t>
      </w:r>
      <w:proofErr w:type="spellEnd"/>
      <w:r w:rsidRPr="00383F92">
        <w:rPr>
          <w:rFonts w:ascii="Arial" w:hAnsi="Arial" w:cs="Arial"/>
          <w:bCs/>
          <w:color w:val="000000" w:themeColor="text1"/>
          <w:sz w:val="20"/>
          <w:lang w:val="en-US"/>
        </w:rPr>
        <w:t xml:space="preserve"> Bonobo Sanctuary:</w:t>
      </w:r>
      <w:r w:rsidRPr="00383F92">
        <w:rPr>
          <w:rFonts w:ascii="Arial" w:hAnsi="Arial" w:cs="Arial"/>
          <w:color w:val="000000" w:themeColor="text1"/>
          <w:sz w:val="20"/>
          <w:lang w:val="en-US"/>
        </w:rPr>
        <w:t xml:space="preserve"> The sanctuary derives its </w:t>
      </w:r>
      <w:r w:rsidRPr="00383F92">
        <w:rPr>
          <w:rFonts w:ascii="Arial" w:hAnsi="Arial" w:cs="Arial"/>
          <w:bCs/>
          <w:color w:val="000000" w:themeColor="text1"/>
          <w:sz w:val="20"/>
          <w:lang w:val="en-US"/>
        </w:rPr>
        <w:t>Strength</w:t>
      </w:r>
      <w:r w:rsidRPr="00383F92">
        <w:rPr>
          <w:rFonts w:ascii="Arial" w:hAnsi="Arial" w:cs="Arial"/>
          <w:color w:val="000000" w:themeColor="text1"/>
          <w:sz w:val="20"/>
          <w:lang w:val="en-US"/>
        </w:rPr>
        <w:t xml:space="preserve"> from world-renowned expertise in </w:t>
      </w:r>
      <w:r w:rsidRPr="00383F92">
        <w:rPr>
          <w:rFonts w:ascii="Arial" w:hAnsi="Arial" w:cs="Arial"/>
          <w:i/>
          <w:iCs/>
          <w:color w:val="000000" w:themeColor="text1"/>
          <w:sz w:val="20"/>
          <w:lang w:val="en-US"/>
        </w:rPr>
        <w:t>ex-situ</w:t>
      </w:r>
      <w:r w:rsidRPr="00383F92">
        <w:rPr>
          <w:rFonts w:ascii="Arial" w:hAnsi="Arial" w:cs="Arial"/>
          <w:color w:val="000000" w:themeColor="text1"/>
          <w:sz w:val="20"/>
          <w:lang w:val="en-US"/>
        </w:rPr>
        <w:t xml:space="preserve"> conservation. However,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xml:space="preserve"> highlights a critical </w:t>
      </w:r>
      <w:r w:rsidRPr="00383F92">
        <w:rPr>
          <w:rFonts w:ascii="Arial" w:hAnsi="Arial" w:cs="Arial"/>
          <w:bCs/>
          <w:color w:val="000000" w:themeColor="text1"/>
          <w:sz w:val="20"/>
          <w:lang w:val="en-US"/>
        </w:rPr>
        <w:t>Weakness</w:t>
      </w:r>
      <w:r w:rsidRPr="00383F92">
        <w:rPr>
          <w:rFonts w:ascii="Arial" w:hAnsi="Arial" w:cs="Arial"/>
          <w:color w:val="000000" w:themeColor="text1"/>
          <w:sz w:val="20"/>
          <w:lang w:val="en-US"/>
        </w:rPr>
        <w:t xml:space="preserve">: its reliance on a niche audience and external funding. The pandemic exacerbated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related to the erosion of international revenue, making a transition toward diversification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imperative. This includes paid educational programs for local residents and public-private partnerships to ensure the continuity of bonobo care during periods of unstable tourist flows.</w:t>
      </w:r>
    </w:p>
    <w:p w14:paraId="61607399"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bCs/>
          <w:color w:val="000000" w:themeColor="text1"/>
          <w:sz w:val="20"/>
          <w:lang w:val="en-US"/>
        </w:rPr>
        <w:t>B. Lac Ma Vallée:</w:t>
      </w:r>
      <w:r w:rsidRPr="00383F92">
        <w:rPr>
          <w:rFonts w:ascii="Arial" w:hAnsi="Arial" w:cs="Arial"/>
          <w:color w:val="000000" w:themeColor="text1"/>
          <w:sz w:val="20"/>
          <w:lang w:val="en-US"/>
        </w:rPr>
        <w:t xml:space="preserve"> Conversely, Lac Ma Vallée exhibits </w:t>
      </w:r>
      <w:r w:rsidRPr="00383F92">
        <w:rPr>
          <w:rFonts w:ascii="Arial" w:hAnsi="Arial" w:cs="Arial"/>
          <w:bCs/>
          <w:color w:val="000000" w:themeColor="text1"/>
          <w:sz w:val="20"/>
          <w:lang w:val="en-US"/>
        </w:rPr>
        <w:t>Strengths</w:t>
      </w:r>
      <w:r w:rsidRPr="00383F92">
        <w:rPr>
          <w:rFonts w:ascii="Arial" w:hAnsi="Arial" w:cs="Arial"/>
          <w:color w:val="000000" w:themeColor="text1"/>
          <w:sz w:val="20"/>
          <w:lang w:val="en-US"/>
        </w:rPr>
        <w:t xml:space="preserve"> focused on recreational versatility (sports, relaxation, landscape), providing it with better natural resilience within the local market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xml:space="preserve">). Nonetheless, the analysis reveals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xml:space="preserve"> regarding environmental management and visibility. The scientific interpretation of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indicates that the site could become a major hub for urban sports ecotourism. To counter the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of lacustrine ecosystem degradation, infrastructure reinforcement must be accompanied by strict regulation of carrying capacity to preserve the site's integrity.</w:t>
      </w:r>
    </w:p>
    <w:p w14:paraId="4C3F8FD8"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3.2.3. Synthesis of Strategic Interactions</w:t>
      </w:r>
    </w:p>
    <w:p w14:paraId="3D7E3473"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By integrating data from </w:t>
      </w:r>
      <w:r w:rsidRPr="00383F92">
        <w:rPr>
          <w:rFonts w:ascii="Arial" w:hAnsi="Arial" w:cs="Arial"/>
          <w:bCs/>
          <w:color w:val="000000" w:themeColor="text1"/>
          <w:sz w:val="20"/>
          <w:lang w:val="en-US"/>
        </w:rPr>
        <w:t>Tables 5 and 6</w:t>
      </w:r>
      <w:r w:rsidRPr="00383F92">
        <w:rPr>
          <w:rFonts w:ascii="Arial" w:hAnsi="Arial" w:cs="Arial"/>
          <w:color w:val="000000" w:themeColor="text1"/>
          <w:sz w:val="20"/>
          <w:lang w:val="en-US"/>
        </w:rPr>
        <w:t xml:space="preserve">, it is evident that the sustainability of ecotourism in Kinshasa depends on an integrated approach. Reducing internal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xml:space="preserve"> (infrastructure, awareness) is a prerequisite for seizing post-COVID-19 market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The analysis demonstrates that ecotourism should no longer be perceived as a luxury activity for foreign visitors, but as a vital ecosystem service for the resilience of the Kinshasa megacity against future climate and sanitary challenges.</w:t>
      </w:r>
    </w:p>
    <w:p w14:paraId="2DAEF798" w14:textId="77777777" w:rsidR="00D479B6" w:rsidRPr="006F4BF4" w:rsidRDefault="00D479B6" w:rsidP="00D479B6">
      <w:pPr>
        <w:pStyle w:val="NormalWeb"/>
        <w:rPr>
          <w:rFonts w:ascii="Arial" w:hAnsi="Arial" w:cs="Arial"/>
          <w:b/>
          <w:bCs/>
          <w:color w:val="000000" w:themeColor="text1"/>
          <w:sz w:val="20"/>
          <w:lang w:val="en-US"/>
        </w:rPr>
      </w:pPr>
      <w:r w:rsidRPr="006F4BF4">
        <w:rPr>
          <w:rFonts w:ascii="Arial" w:hAnsi="Arial" w:cs="Arial"/>
          <w:b/>
          <w:bCs/>
          <w:color w:val="000000" w:themeColor="text1"/>
          <w:sz w:val="20"/>
          <w:lang w:val="en-US"/>
        </w:rPr>
        <w:t>Table 5. SWOT Matrix of Ecotourism in Kinshasa (Macro Scale)</w:t>
      </w:r>
    </w:p>
    <w:tbl>
      <w:tblPr>
        <w:tblStyle w:val="ListTable6Colorful"/>
        <w:tblW w:w="0" w:type="auto"/>
        <w:tblLook w:val="04A0" w:firstRow="1" w:lastRow="0" w:firstColumn="1" w:lastColumn="0" w:noHBand="0" w:noVBand="1"/>
      </w:tblPr>
      <w:tblGrid>
        <w:gridCol w:w="5385"/>
        <w:gridCol w:w="5415"/>
      </w:tblGrid>
      <w:tr w:rsidR="00D479B6" w:rsidRPr="00D479B6" w14:paraId="39C91636" w14:textId="77777777" w:rsidTr="00D4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D5790"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Strengths (Internal +)</w:t>
            </w:r>
          </w:p>
        </w:tc>
        <w:tc>
          <w:tcPr>
            <w:tcW w:w="0" w:type="auto"/>
            <w:hideMark/>
          </w:tcPr>
          <w:p w14:paraId="13F504E2"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Weaknesses (Internal -)</w:t>
            </w:r>
          </w:p>
        </w:tc>
      </w:tr>
      <w:tr w:rsidR="00D479B6" w:rsidRPr="00D479B6" w14:paraId="3C5F1AD8"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65F3B9"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Rich Natural Heritage</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Diverse ecosystems and sites including the Botanical Garden, N’sele Park, and the Lukaya Valley.</w:t>
            </w:r>
          </w:p>
          <w:p w14:paraId="4C4405CE"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Demographic Potential</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A large, young population representing a significant market for domestic proximity tourism.</w:t>
            </w:r>
          </w:p>
          <w:p w14:paraId="689F8494"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Institutional Engagement</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Ongoing technical support and expertise from international and local environmental NGOs.</w:t>
            </w:r>
          </w:p>
        </w:tc>
        <w:tc>
          <w:tcPr>
            <w:tcW w:w="0" w:type="auto"/>
            <w:shd w:val="clear" w:color="auto" w:fill="auto"/>
            <w:hideMark/>
          </w:tcPr>
          <w:p w14:paraId="4AAE0C50"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Infrastructural Deficit</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Geographic isolation of specific sites and a lack of specialized or reliable tourist transportation.</w:t>
            </w:r>
          </w:p>
          <w:p w14:paraId="121B3E25"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Weak Ecotourism Culture</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Limited awareness and understanding of ecotourism concepts among the local population.</w:t>
            </w:r>
          </w:p>
          <w:p w14:paraId="3A2BC631"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Financial Dependency</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High vulnerability to fluctuations in international tourism flows and foreign funding.</w:t>
            </w:r>
          </w:p>
        </w:tc>
      </w:tr>
      <w:tr w:rsidR="00D479B6" w:rsidRPr="00D479B6" w14:paraId="45D8ECD4"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2795B087" w14:textId="77777777" w:rsidR="00D479B6" w:rsidRPr="00D479B6" w:rsidRDefault="00D479B6" w:rsidP="004D0501">
            <w:pPr>
              <w:rPr>
                <w:rFonts w:ascii="Arial" w:eastAsia="Times New Roman" w:hAnsi="Arial" w:cs="Arial"/>
                <w:b w:val="0"/>
                <w:sz w:val="20"/>
                <w:szCs w:val="20"/>
                <w:lang w:eastAsia="fr-FR"/>
              </w:rPr>
            </w:pPr>
            <w:r w:rsidRPr="00D479B6">
              <w:rPr>
                <w:rFonts w:ascii="Arial" w:eastAsia="Times New Roman" w:hAnsi="Arial" w:cs="Arial"/>
                <w:b w:val="0"/>
                <w:sz w:val="20"/>
                <w:szCs w:val="20"/>
                <w:bdr w:val="none" w:sz="0" w:space="0" w:color="auto" w:frame="1"/>
                <w:lang w:eastAsia="fr-FR"/>
              </w:rPr>
              <w:t>Opportunities (External +)</w:t>
            </w:r>
          </w:p>
        </w:tc>
        <w:tc>
          <w:tcPr>
            <w:tcW w:w="0" w:type="auto"/>
            <w:hideMark/>
          </w:tcPr>
          <w:p w14:paraId="34A1FFA3" w14:textId="77777777" w:rsidR="00D479B6" w:rsidRPr="00D479B6" w:rsidRDefault="00D479B6"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bCs/>
                <w:sz w:val="20"/>
                <w:szCs w:val="20"/>
                <w:bdr w:val="none" w:sz="0" w:space="0" w:color="auto" w:frame="1"/>
                <w:lang w:eastAsia="fr-FR"/>
              </w:rPr>
              <w:t>Threats (External -)</w:t>
            </w:r>
          </w:p>
        </w:tc>
      </w:tr>
      <w:tr w:rsidR="00D479B6" w:rsidRPr="00D479B6" w14:paraId="233C90A8"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E0247F9"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Domestic Tourism Recovery</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Post-pandemic resurgence in local interest for green circuits and nearby nature retreats.</w:t>
            </w:r>
          </w:p>
          <w:p w14:paraId="288FF5D3"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Digital Transformation</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Adoption of ICT for digital marketing, social media promotion, and online reservation systems.</w:t>
            </w:r>
          </w:p>
          <w:p w14:paraId="35D65560"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Environmental Education</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Increasing public awareness regarding the protection of urban biodiversity and ecosystem services.</w:t>
            </w:r>
          </w:p>
        </w:tc>
        <w:tc>
          <w:tcPr>
            <w:tcW w:w="0" w:type="auto"/>
            <w:shd w:val="clear" w:color="auto" w:fill="auto"/>
            <w:hideMark/>
          </w:tcPr>
          <w:p w14:paraId="7A9626C7"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Urban Sprawl</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Intense land pressure and unplanned urbanization encroaching upon protected green spaces.</w:t>
            </w:r>
          </w:p>
          <w:p w14:paraId="6D5A9780"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Anthropogenic Pollution</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Inefficient waste management systems negatively impacting the aesthetic and ecological value of sites.</w:t>
            </w:r>
          </w:p>
          <w:p w14:paraId="47730967"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Systemic Instability</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Recurrent health risks and low political prioritization of the tourism sector within national budgets.</w:t>
            </w:r>
          </w:p>
        </w:tc>
      </w:tr>
    </w:tbl>
    <w:p w14:paraId="65864782" w14:textId="77777777" w:rsidR="00790ADA" w:rsidRDefault="00790ADA" w:rsidP="00441B6F">
      <w:pPr>
        <w:pStyle w:val="Body"/>
        <w:spacing w:after="0"/>
        <w:rPr>
          <w:rFonts w:ascii="Arial" w:hAnsi="Arial" w:cs="Arial"/>
        </w:rPr>
      </w:pPr>
    </w:p>
    <w:p w14:paraId="6B723531" w14:textId="77777777" w:rsidR="008C7889" w:rsidRDefault="008C7889" w:rsidP="00D479B6">
      <w:pPr>
        <w:pStyle w:val="NormalWeb"/>
        <w:rPr>
          <w:rFonts w:ascii="Arial" w:hAnsi="Arial" w:cs="Arial"/>
          <w:b/>
          <w:bCs/>
          <w:color w:val="000000" w:themeColor="text1"/>
          <w:sz w:val="20"/>
        </w:rPr>
      </w:pPr>
    </w:p>
    <w:p w14:paraId="176F9961" w14:textId="77777777" w:rsidR="008C7889" w:rsidRDefault="008C7889" w:rsidP="00D479B6">
      <w:pPr>
        <w:pStyle w:val="NormalWeb"/>
        <w:rPr>
          <w:rFonts w:ascii="Arial" w:hAnsi="Arial" w:cs="Arial"/>
          <w:b/>
          <w:bCs/>
          <w:color w:val="000000" w:themeColor="text1"/>
          <w:sz w:val="20"/>
        </w:rPr>
      </w:pPr>
    </w:p>
    <w:p w14:paraId="2F5BEC64" w14:textId="77777777" w:rsidR="008C7889" w:rsidRDefault="008C7889" w:rsidP="00D479B6">
      <w:pPr>
        <w:pStyle w:val="NormalWeb"/>
        <w:rPr>
          <w:rFonts w:ascii="Arial" w:hAnsi="Arial" w:cs="Arial"/>
          <w:b/>
          <w:bCs/>
          <w:color w:val="000000" w:themeColor="text1"/>
          <w:sz w:val="20"/>
        </w:rPr>
      </w:pPr>
    </w:p>
    <w:p w14:paraId="74887D1C" w14:textId="77777777" w:rsidR="008C7889" w:rsidRDefault="008C7889" w:rsidP="00D479B6">
      <w:pPr>
        <w:pStyle w:val="NormalWeb"/>
        <w:rPr>
          <w:rFonts w:ascii="Arial" w:hAnsi="Arial" w:cs="Arial"/>
          <w:b/>
          <w:bCs/>
          <w:color w:val="000000" w:themeColor="text1"/>
          <w:sz w:val="20"/>
        </w:rPr>
      </w:pPr>
    </w:p>
    <w:p w14:paraId="333491A2" w14:textId="77777777" w:rsidR="008C7889" w:rsidRDefault="008C7889" w:rsidP="00D479B6">
      <w:pPr>
        <w:pStyle w:val="NormalWeb"/>
        <w:rPr>
          <w:rFonts w:ascii="Arial" w:hAnsi="Arial" w:cs="Arial"/>
          <w:b/>
          <w:bCs/>
          <w:color w:val="000000" w:themeColor="text1"/>
          <w:sz w:val="20"/>
        </w:rPr>
      </w:pPr>
    </w:p>
    <w:p w14:paraId="02C3D470" w14:textId="77777777" w:rsidR="00D479B6" w:rsidRPr="006F4BF4" w:rsidRDefault="00D479B6" w:rsidP="00D479B6">
      <w:pPr>
        <w:pStyle w:val="NormalWeb"/>
        <w:rPr>
          <w:rFonts w:ascii="Arial" w:hAnsi="Arial" w:cs="Arial"/>
          <w:color w:val="000000" w:themeColor="text1"/>
          <w:sz w:val="20"/>
        </w:rPr>
      </w:pPr>
      <w:r w:rsidRPr="006F4BF4">
        <w:rPr>
          <w:rFonts w:ascii="Arial" w:hAnsi="Arial" w:cs="Arial"/>
          <w:b/>
          <w:bCs/>
          <w:color w:val="000000" w:themeColor="text1"/>
          <w:sz w:val="20"/>
        </w:rPr>
        <w:t xml:space="preserve">Table 6. Comparative SWOT </w:t>
      </w:r>
      <w:proofErr w:type="spellStart"/>
      <w:proofErr w:type="gramStart"/>
      <w:r w:rsidRPr="006F4BF4">
        <w:rPr>
          <w:rFonts w:ascii="Arial" w:hAnsi="Arial" w:cs="Arial"/>
          <w:b/>
          <w:bCs/>
          <w:color w:val="000000" w:themeColor="text1"/>
          <w:sz w:val="20"/>
        </w:rPr>
        <w:t>Analysis</w:t>
      </w:r>
      <w:proofErr w:type="spellEnd"/>
      <w:r w:rsidRPr="006F4BF4">
        <w:rPr>
          <w:rFonts w:ascii="Arial" w:hAnsi="Arial" w:cs="Arial"/>
          <w:b/>
          <w:bCs/>
          <w:color w:val="000000" w:themeColor="text1"/>
          <w:sz w:val="20"/>
        </w:rPr>
        <w:t>:</w:t>
      </w:r>
      <w:proofErr w:type="gramEnd"/>
      <w:r w:rsidRPr="006F4BF4">
        <w:rPr>
          <w:rFonts w:ascii="Arial" w:hAnsi="Arial" w:cs="Arial"/>
          <w:b/>
          <w:bCs/>
          <w:color w:val="000000" w:themeColor="text1"/>
          <w:sz w:val="20"/>
        </w:rPr>
        <w:t xml:space="preserve"> Lola </w:t>
      </w:r>
      <w:proofErr w:type="spellStart"/>
      <w:r w:rsidRPr="006F4BF4">
        <w:rPr>
          <w:rFonts w:ascii="Arial" w:hAnsi="Arial" w:cs="Arial"/>
          <w:b/>
          <w:bCs/>
          <w:color w:val="000000" w:themeColor="text1"/>
          <w:sz w:val="20"/>
        </w:rPr>
        <w:t>ya</w:t>
      </w:r>
      <w:proofErr w:type="spellEnd"/>
      <w:r w:rsidRPr="006F4BF4">
        <w:rPr>
          <w:rFonts w:ascii="Arial" w:hAnsi="Arial" w:cs="Arial"/>
          <w:b/>
          <w:bCs/>
          <w:color w:val="000000" w:themeColor="text1"/>
          <w:sz w:val="20"/>
        </w:rPr>
        <w:t xml:space="preserve"> Bonobo vs. Lac Ma Vallée</w:t>
      </w:r>
    </w:p>
    <w:tbl>
      <w:tblPr>
        <w:tblStyle w:val="ListTable6Colorful"/>
        <w:tblW w:w="0" w:type="auto"/>
        <w:tblLook w:val="04A0" w:firstRow="1" w:lastRow="0" w:firstColumn="1" w:lastColumn="0" w:noHBand="0" w:noVBand="1"/>
      </w:tblPr>
      <w:tblGrid>
        <w:gridCol w:w="1528"/>
        <w:gridCol w:w="4707"/>
        <w:gridCol w:w="4565"/>
      </w:tblGrid>
      <w:tr w:rsidR="00D479B6" w:rsidRPr="00D479B6" w14:paraId="288FA2B6" w14:textId="77777777" w:rsidTr="00D4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B98556"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Categories</w:t>
            </w:r>
          </w:p>
        </w:tc>
        <w:tc>
          <w:tcPr>
            <w:tcW w:w="0" w:type="auto"/>
            <w:hideMark/>
          </w:tcPr>
          <w:p w14:paraId="413CF402"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 xml:space="preserve">Lola </w:t>
            </w:r>
            <w:proofErr w:type="spellStart"/>
            <w:r w:rsidRPr="00D479B6">
              <w:rPr>
                <w:rFonts w:ascii="Arial" w:eastAsia="Times New Roman" w:hAnsi="Arial" w:cs="Arial"/>
                <w:sz w:val="20"/>
                <w:szCs w:val="20"/>
                <w:bdr w:val="none" w:sz="0" w:space="0" w:color="auto" w:frame="1"/>
                <w:lang w:eastAsia="fr-FR"/>
              </w:rPr>
              <w:t>ya</w:t>
            </w:r>
            <w:proofErr w:type="spellEnd"/>
            <w:r w:rsidRPr="00D479B6">
              <w:rPr>
                <w:rFonts w:ascii="Arial" w:eastAsia="Times New Roman" w:hAnsi="Arial" w:cs="Arial"/>
                <w:sz w:val="20"/>
                <w:szCs w:val="20"/>
                <w:bdr w:val="none" w:sz="0" w:space="0" w:color="auto" w:frame="1"/>
                <w:lang w:eastAsia="fr-FR"/>
              </w:rPr>
              <w:t xml:space="preserve"> Bonobo (</w:t>
            </w:r>
            <w:proofErr w:type="spellStart"/>
            <w:r w:rsidRPr="00D479B6">
              <w:rPr>
                <w:rFonts w:ascii="Arial" w:eastAsia="Times New Roman" w:hAnsi="Arial" w:cs="Arial"/>
                <w:sz w:val="20"/>
                <w:szCs w:val="20"/>
                <w:bdr w:val="none" w:sz="0" w:space="0" w:color="auto" w:frame="1"/>
                <w:lang w:eastAsia="fr-FR"/>
              </w:rPr>
              <w:t>Sanctuary</w:t>
            </w:r>
            <w:proofErr w:type="spellEnd"/>
            <w:r w:rsidRPr="00D479B6">
              <w:rPr>
                <w:rFonts w:ascii="Arial" w:eastAsia="Times New Roman" w:hAnsi="Arial" w:cs="Arial"/>
                <w:sz w:val="20"/>
                <w:szCs w:val="20"/>
                <w:bdr w:val="none" w:sz="0" w:space="0" w:color="auto" w:frame="1"/>
                <w:lang w:eastAsia="fr-FR"/>
              </w:rPr>
              <w:t>)</w:t>
            </w:r>
          </w:p>
        </w:tc>
        <w:tc>
          <w:tcPr>
            <w:tcW w:w="0" w:type="auto"/>
            <w:hideMark/>
          </w:tcPr>
          <w:p w14:paraId="5A69D14F"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 xml:space="preserve">Lac Ma Vallée (Leisure &amp; </w:t>
            </w:r>
            <w:proofErr w:type="spellStart"/>
            <w:r w:rsidRPr="00D479B6">
              <w:rPr>
                <w:rFonts w:ascii="Arial" w:eastAsia="Times New Roman" w:hAnsi="Arial" w:cs="Arial"/>
                <w:sz w:val="20"/>
                <w:szCs w:val="20"/>
                <w:bdr w:val="none" w:sz="0" w:space="0" w:color="auto" w:frame="1"/>
                <w:lang w:eastAsia="fr-FR"/>
              </w:rPr>
              <w:t>Recreation</w:t>
            </w:r>
            <w:proofErr w:type="spellEnd"/>
            <w:r w:rsidRPr="00D479B6">
              <w:rPr>
                <w:rFonts w:ascii="Arial" w:eastAsia="Times New Roman" w:hAnsi="Arial" w:cs="Arial"/>
                <w:sz w:val="20"/>
                <w:szCs w:val="20"/>
                <w:bdr w:val="none" w:sz="0" w:space="0" w:color="auto" w:frame="1"/>
                <w:lang w:eastAsia="fr-FR"/>
              </w:rPr>
              <w:t>)</w:t>
            </w:r>
          </w:p>
        </w:tc>
      </w:tr>
      <w:tr w:rsidR="00D479B6" w:rsidRPr="00D479B6" w14:paraId="4F235561"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61DFE2" w14:textId="77777777" w:rsidR="00D479B6" w:rsidRPr="00D479B6" w:rsidRDefault="00D479B6" w:rsidP="004D0501">
            <w:pPr>
              <w:rPr>
                <w:rFonts w:ascii="Arial" w:eastAsia="Times New Roman" w:hAnsi="Arial" w:cs="Arial"/>
                <w:sz w:val="20"/>
                <w:szCs w:val="20"/>
                <w:lang w:eastAsia="fr-FR"/>
              </w:rPr>
            </w:pPr>
            <w:proofErr w:type="spellStart"/>
            <w:r w:rsidRPr="00D479B6">
              <w:rPr>
                <w:rFonts w:ascii="Arial" w:eastAsia="Times New Roman" w:hAnsi="Arial" w:cs="Arial"/>
                <w:sz w:val="20"/>
                <w:szCs w:val="20"/>
                <w:bdr w:val="none" w:sz="0" w:space="0" w:color="auto" w:frame="1"/>
                <w:lang w:eastAsia="fr-FR"/>
              </w:rPr>
              <w:t>Strengths</w:t>
            </w:r>
            <w:proofErr w:type="spellEnd"/>
          </w:p>
        </w:tc>
        <w:tc>
          <w:tcPr>
            <w:tcW w:w="0" w:type="auto"/>
            <w:shd w:val="clear" w:color="auto" w:fill="auto"/>
            <w:hideMark/>
          </w:tcPr>
          <w:p w14:paraId="2AD6AAAF"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World-renowned expertise in </w:t>
            </w:r>
            <w:r w:rsidRPr="00D479B6">
              <w:rPr>
                <w:rFonts w:ascii="Arial" w:eastAsia="Times New Roman" w:hAnsi="Arial" w:cs="Arial"/>
                <w:i/>
                <w:iCs/>
                <w:sz w:val="20"/>
                <w:szCs w:val="20"/>
                <w:bdr w:val="none" w:sz="0" w:space="0" w:color="auto" w:frame="1"/>
                <w:lang w:val="en-US" w:eastAsia="fr-FR"/>
              </w:rPr>
              <w:t>ex-situ</w:t>
            </w:r>
            <w:r w:rsidRPr="00D479B6">
              <w:rPr>
                <w:rFonts w:ascii="Arial" w:eastAsia="Times New Roman" w:hAnsi="Arial" w:cs="Arial"/>
                <w:sz w:val="20"/>
                <w:szCs w:val="20"/>
                <w:lang w:val="en-US" w:eastAsia="fr-FR"/>
              </w:rPr>
              <w:t xml:space="preserve"> conservation.</w:t>
            </w:r>
          </w:p>
          <w:p w14:paraId="085EBD4A"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Highly structured environmental education programs.</w:t>
            </w:r>
          </w:p>
        </w:tc>
        <w:tc>
          <w:tcPr>
            <w:tcW w:w="0" w:type="auto"/>
            <w:shd w:val="clear" w:color="auto" w:fill="auto"/>
            <w:hideMark/>
          </w:tcPr>
          <w:p w14:paraId="35907ED3"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Scenic natural landscape and panoramic aesthetic value.</w:t>
            </w:r>
          </w:p>
          <w:p w14:paraId="035E2E50"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Diversity of outdoor recreational activities (Kayaking, hiking).</w:t>
            </w:r>
          </w:p>
        </w:tc>
      </w:tr>
      <w:tr w:rsidR="00D479B6" w:rsidRPr="00D479B6" w14:paraId="4DBA485A"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198F4B6C"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Weaknesses</w:t>
            </w:r>
          </w:p>
        </w:tc>
        <w:tc>
          <w:tcPr>
            <w:tcW w:w="0" w:type="auto"/>
            <w:hideMark/>
          </w:tcPr>
          <w:p w14:paraId="294D3844"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Economic model overly dependent on international niche markets.</w:t>
            </w:r>
          </w:p>
          <w:p w14:paraId="12744DDD"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Limited geographic accessibility for local populations.</w:t>
            </w:r>
          </w:p>
        </w:tc>
        <w:tc>
          <w:tcPr>
            <w:tcW w:w="0" w:type="auto"/>
            <w:hideMark/>
          </w:tcPr>
          <w:p w14:paraId="12DBE3DD"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Gaps in systematic environmental management protocols.</w:t>
            </w:r>
          </w:p>
          <w:p w14:paraId="18C16131"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Insufficient marketing visibility and promotional outreach.</w:t>
            </w:r>
          </w:p>
        </w:tc>
      </w:tr>
      <w:tr w:rsidR="00D479B6" w:rsidRPr="00D479B6" w14:paraId="404E27BD"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767D55"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Opportunities</w:t>
            </w:r>
          </w:p>
        </w:tc>
        <w:tc>
          <w:tcPr>
            <w:tcW w:w="0" w:type="auto"/>
            <w:shd w:val="clear" w:color="auto" w:fill="auto"/>
            <w:hideMark/>
          </w:tcPr>
          <w:p w14:paraId="22B32183"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Strengthening of international scientific cooperation.</w:t>
            </w:r>
          </w:p>
          <w:p w14:paraId="4D196D57"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Expansion of responsible and ethical tourism initiatives.</w:t>
            </w:r>
          </w:p>
        </w:tc>
        <w:tc>
          <w:tcPr>
            <w:tcW w:w="0" w:type="auto"/>
            <w:shd w:val="clear" w:color="auto" w:fill="auto"/>
            <w:hideMark/>
          </w:tcPr>
          <w:p w14:paraId="638478C5"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Development of specialized outdoor sports ecotourism.</w:t>
            </w:r>
          </w:p>
          <w:p w14:paraId="6C1A196C"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Infrastructure upgrades to improve visitor comfort and safety.</w:t>
            </w:r>
          </w:p>
        </w:tc>
      </w:tr>
      <w:tr w:rsidR="00D479B6" w:rsidRPr="00D479B6" w14:paraId="35373C1A"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11575FE5"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Threats</w:t>
            </w:r>
          </w:p>
        </w:tc>
        <w:tc>
          <w:tcPr>
            <w:tcW w:w="0" w:type="auto"/>
            <w:hideMark/>
          </w:tcPr>
          <w:p w14:paraId="60068CB0"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Post-COVID erosion of international funding streams.</w:t>
            </w:r>
          </w:p>
          <w:p w14:paraId="76501420"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Increasing anthropogenic pressure on natural bonobo habitats.</w:t>
            </w:r>
          </w:p>
        </w:tc>
        <w:tc>
          <w:tcPr>
            <w:tcW w:w="0" w:type="auto"/>
            <w:hideMark/>
          </w:tcPr>
          <w:p w14:paraId="792107CF"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Unregulated overcrowding (exceeding carrying capacity).</w:t>
            </w:r>
          </w:p>
          <w:p w14:paraId="03357788"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Climate change impacts affecting lake water levels and stability.</w:t>
            </w:r>
          </w:p>
        </w:tc>
      </w:tr>
    </w:tbl>
    <w:p w14:paraId="230984EB" w14:textId="77777777" w:rsidR="00D479B6" w:rsidRDefault="00D479B6" w:rsidP="00441B6F">
      <w:pPr>
        <w:pStyle w:val="Body"/>
        <w:spacing w:after="0"/>
        <w:rPr>
          <w:rFonts w:ascii="Arial" w:hAnsi="Arial" w:cs="Arial"/>
        </w:rPr>
      </w:pPr>
    </w:p>
    <w:p w14:paraId="3F3D0330" w14:textId="77777777" w:rsidR="00D479B6" w:rsidRDefault="00D479B6" w:rsidP="00441B6F">
      <w:pPr>
        <w:pStyle w:val="Body"/>
        <w:spacing w:after="0"/>
        <w:rPr>
          <w:rFonts w:ascii="Arial" w:hAnsi="Arial" w:cs="Arial"/>
        </w:rPr>
      </w:pPr>
    </w:p>
    <w:p w14:paraId="22B01DC8" w14:textId="77777777" w:rsidR="00D479B6" w:rsidRDefault="00000F8F" w:rsidP="00441B6F">
      <w:pPr>
        <w:pStyle w:val="ConcHead"/>
        <w:spacing w:after="0"/>
        <w:jc w:val="both"/>
        <w:rPr>
          <w:rFonts w:ascii="Arial" w:hAnsi="Arial" w:cs="Arial"/>
        </w:rPr>
      </w:pPr>
      <w:r>
        <w:rPr>
          <w:rFonts w:ascii="Arial" w:hAnsi="Arial" w:cs="Arial"/>
        </w:rPr>
        <w:t xml:space="preserve">4. </w:t>
      </w:r>
      <w:r w:rsidR="00D479B6">
        <w:rPr>
          <w:rFonts w:ascii="Arial" w:hAnsi="Arial" w:cs="Arial"/>
        </w:rPr>
        <w:t>DISCUSSION</w:t>
      </w:r>
    </w:p>
    <w:p w14:paraId="59735739"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The results of this study highlight the structural vulnerability of ecotourism in Kinshasa to exogenous shocks, while simultaneously revealing latent resilience mechanisms within the domestic market. A cross-sectional analysis of the empirical data (</w:t>
      </w:r>
      <w:r w:rsidRPr="006F4BF4">
        <w:rPr>
          <w:rFonts w:ascii="Arial" w:hAnsi="Arial" w:cs="Arial"/>
          <w:bCs/>
          <w:color w:val="000000" w:themeColor="text1"/>
          <w:sz w:val="20"/>
          <w:lang w:val="en-US"/>
        </w:rPr>
        <w:t>Tables 1 to 6</w:t>
      </w:r>
      <w:r w:rsidRPr="006F4BF4">
        <w:rPr>
          <w:rFonts w:ascii="Arial" w:hAnsi="Arial" w:cs="Arial"/>
          <w:color w:val="000000" w:themeColor="text1"/>
          <w:sz w:val="20"/>
          <w:lang w:val="en-US"/>
        </w:rPr>
        <w:t>) and the prevailing scientific literature allows for the structuring of this discussion around three fundamental pillars.</w:t>
      </w:r>
    </w:p>
    <w:p w14:paraId="38E6102E"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4.1. Breakdown of the "Extra-Centric" Model and the Conservation Funding Crisis</w:t>
      </w:r>
    </w:p>
    <w:p w14:paraId="6D0792D2"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 xml:space="preserve">The drastic erosion of revenue (83%, </w:t>
      </w:r>
      <w:r w:rsidRPr="006F4BF4">
        <w:rPr>
          <w:rFonts w:ascii="Arial" w:hAnsi="Arial" w:cs="Arial"/>
          <w:bCs/>
          <w:color w:val="000000" w:themeColor="text1"/>
          <w:sz w:val="20"/>
          <w:lang w:val="en-US"/>
        </w:rPr>
        <w:t>Table 3</w:t>
      </w:r>
      <w:r w:rsidRPr="006F4BF4">
        <w:rPr>
          <w:rFonts w:ascii="Arial" w:hAnsi="Arial" w:cs="Arial"/>
          <w:color w:val="000000" w:themeColor="text1"/>
          <w:sz w:val="20"/>
          <w:lang w:val="en-US"/>
        </w:rPr>
        <w:t xml:space="preserve">) following the massive cancellation of stays (86%) confirms the fragility of African ecotourism sites whose business models rely on transboundary mobility. As noted by </w:t>
      </w:r>
      <w:proofErr w:type="spellStart"/>
      <w:r w:rsidRPr="006F4BF4">
        <w:rPr>
          <w:rFonts w:ascii="Arial" w:hAnsi="Arial" w:cs="Arial"/>
          <w:bCs/>
          <w:color w:val="000000" w:themeColor="text1"/>
          <w:sz w:val="20"/>
          <w:lang w:val="en-US"/>
        </w:rPr>
        <w:t>Spenceley</w:t>
      </w:r>
      <w:proofErr w:type="spellEnd"/>
      <w:r w:rsidRPr="006F4BF4">
        <w:rPr>
          <w:rFonts w:ascii="Arial" w:hAnsi="Arial" w:cs="Arial"/>
          <w:bCs/>
          <w:color w:val="000000" w:themeColor="text1"/>
          <w:sz w:val="20"/>
          <w:lang w:val="en-US"/>
        </w:rPr>
        <w:t xml:space="preserve"> et al. (2021)</w:t>
      </w:r>
      <w:r w:rsidRPr="006F4BF4">
        <w:rPr>
          <w:rFonts w:ascii="Arial" w:hAnsi="Arial" w:cs="Arial"/>
          <w:color w:val="000000" w:themeColor="text1"/>
          <w:sz w:val="20"/>
          <w:lang w:val="en-US"/>
        </w:rPr>
        <w:t xml:space="preserve">, the pandemic transformed a global health crisis into an unprecedented conservation crisis for protected areas in the Global South. In Kinshasa, this shock necessitated severe budgetary compression measures, most notably staff reductions (63%, </w:t>
      </w:r>
      <w:r w:rsidRPr="006F4BF4">
        <w:rPr>
          <w:rFonts w:ascii="Arial" w:hAnsi="Arial" w:cs="Arial"/>
          <w:bCs/>
          <w:color w:val="000000" w:themeColor="text1"/>
          <w:sz w:val="20"/>
          <w:lang w:val="en-US"/>
        </w:rPr>
        <w:t>Table 2</w:t>
      </w:r>
      <w:r w:rsidRPr="006F4BF4">
        <w:rPr>
          <w:rFonts w:ascii="Arial" w:hAnsi="Arial" w:cs="Arial"/>
          <w:color w:val="000000" w:themeColor="text1"/>
          <w:sz w:val="20"/>
          <w:lang w:val="en-US"/>
        </w:rPr>
        <w:t xml:space="preserve">). According to </w:t>
      </w:r>
      <w:proofErr w:type="spellStart"/>
      <w:r w:rsidRPr="006F4BF4">
        <w:rPr>
          <w:rFonts w:ascii="Arial" w:hAnsi="Arial" w:cs="Arial"/>
          <w:bCs/>
          <w:color w:val="000000" w:themeColor="text1"/>
          <w:sz w:val="20"/>
          <w:lang w:val="en-US"/>
        </w:rPr>
        <w:t>Mbaiwa</w:t>
      </w:r>
      <w:proofErr w:type="spellEnd"/>
      <w:r w:rsidRPr="006F4BF4">
        <w:rPr>
          <w:rFonts w:ascii="Arial" w:hAnsi="Arial" w:cs="Arial"/>
          <w:bCs/>
          <w:color w:val="000000" w:themeColor="text1"/>
          <w:sz w:val="20"/>
          <w:lang w:val="en-US"/>
        </w:rPr>
        <w:t xml:space="preserve"> (2017)</w:t>
      </w:r>
      <w:r w:rsidRPr="006F4BF4">
        <w:rPr>
          <w:rFonts w:ascii="Arial" w:hAnsi="Arial" w:cs="Arial"/>
          <w:color w:val="000000" w:themeColor="text1"/>
          <w:sz w:val="20"/>
          <w:lang w:val="en-US"/>
        </w:rPr>
        <w:t xml:space="preserve">, such a contraction of the workforce not only diminishes the quality of the visitor experience but also weakens anti-poaching surveillance, thereby increasing risks to wildlife. This situation validates the hypothesis of a "path dependency" on international tourism, which, once disrupted, leaves infrastructures like </w:t>
      </w:r>
      <w:r w:rsidRPr="006F4BF4">
        <w:rPr>
          <w:rFonts w:ascii="Arial" w:hAnsi="Arial" w:cs="Arial"/>
          <w:bCs/>
          <w:color w:val="000000" w:themeColor="text1"/>
          <w:sz w:val="20"/>
          <w:lang w:val="en-US"/>
        </w:rPr>
        <w:t xml:space="preserve">Lola </w:t>
      </w:r>
      <w:proofErr w:type="spellStart"/>
      <w:r w:rsidRPr="006F4BF4">
        <w:rPr>
          <w:rFonts w:ascii="Arial" w:hAnsi="Arial" w:cs="Arial"/>
          <w:bCs/>
          <w:color w:val="000000" w:themeColor="text1"/>
          <w:sz w:val="20"/>
          <w:lang w:val="en-US"/>
        </w:rPr>
        <w:t>ya</w:t>
      </w:r>
      <w:proofErr w:type="spellEnd"/>
      <w:r w:rsidRPr="006F4BF4">
        <w:rPr>
          <w:rFonts w:ascii="Arial" w:hAnsi="Arial" w:cs="Arial"/>
          <w:bCs/>
          <w:color w:val="000000" w:themeColor="text1"/>
          <w:sz w:val="20"/>
          <w:lang w:val="en-US"/>
        </w:rPr>
        <w:t xml:space="preserve"> Bonobo</w:t>
      </w:r>
      <w:r w:rsidRPr="006F4BF4">
        <w:rPr>
          <w:rFonts w:ascii="Arial" w:hAnsi="Arial" w:cs="Arial"/>
          <w:color w:val="000000" w:themeColor="text1"/>
          <w:sz w:val="20"/>
          <w:lang w:val="en-US"/>
        </w:rPr>
        <w:t xml:space="preserve"> in an immediate financial impasse.</w:t>
      </w:r>
    </w:p>
    <w:p w14:paraId="56986186"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lastRenderedPageBreak/>
        <w:t>4.2. Urban Ecotourism vs. Anthropogenic Pressures: The Mont-</w:t>
      </w:r>
      <w:proofErr w:type="spellStart"/>
      <w:r w:rsidRPr="006F4BF4">
        <w:rPr>
          <w:rFonts w:ascii="Arial" w:hAnsi="Arial" w:cs="Arial"/>
          <w:b/>
          <w:color w:val="000000" w:themeColor="text1"/>
          <w:sz w:val="22"/>
          <w:lang w:val="en-US"/>
        </w:rPr>
        <w:t>Ngafula</w:t>
      </w:r>
      <w:proofErr w:type="spellEnd"/>
      <w:r w:rsidRPr="006F4BF4">
        <w:rPr>
          <w:rFonts w:ascii="Arial" w:hAnsi="Arial" w:cs="Arial"/>
          <w:b/>
          <w:color w:val="000000" w:themeColor="text1"/>
          <w:sz w:val="22"/>
          <w:lang w:val="en-US"/>
        </w:rPr>
        <w:t xml:space="preserve"> Dilemma</w:t>
      </w:r>
    </w:p>
    <w:p w14:paraId="2EE2266D"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The SWOT analysis (</w:t>
      </w:r>
      <w:r w:rsidRPr="006F4BF4">
        <w:rPr>
          <w:rFonts w:ascii="Arial" w:hAnsi="Arial" w:cs="Arial"/>
          <w:bCs/>
          <w:color w:val="000000" w:themeColor="text1"/>
          <w:sz w:val="20"/>
          <w:lang w:val="en-US"/>
        </w:rPr>
        <w:t>Tables 5 and 6</w:t>
      </w:r>
      <w:r w:rsidRPr="006F4BF4">
        <w:rPr>
          <w:rFonts w:ascii="Arial" w:hAnsi="Arial" w:cs="Arial"/>
          <w:color w:val="000000" w:themeColor="text1"/>
          <w:sz w:val="20"/>
          <w:lang w:val="en-US"/>
        </w:rPr>
        <w:t>) identifies unplanned urbanization and pollution as existential threats. In the specific context of the Mont-</w:t>
      </w:r>
      <w:proofErr w:type="spellStart"/>
      <w:r w:rsidRPr="006F4BF4">
        <w:rPr>
          <w:rFonts w:ascii="Arial" w:hAnsi="Arial" w:cs="Arial"/>
          <w:color w:val="000000" w:themeColor="text1"/>
          <w:sz w:val="20"/>
          <w:lang w:val="en-US"/>
        </w:rPr>
        <w:t>Ngafula</w:t>
      </w:r>
      <w:proofErr w:type="spellEnd"/>
      <w:r w:rsidRPr="006F4BF4">
        <w:rPr>
          <w:rFonts w:ascii="Arial" w:hAnsi="Arial" w:cs="Arial"/>
          <w:color w:val="000000" w:themeColor="text1"/>
          <w:sz w:val="20"/>
          <w:lang w:val="en-US"/>
        </w:rPr>
        <w:t xml:space="preserve"> commune, urban sprawl exerts significant land pressure on the buffer zones of the sanctuary and Lac Ma Vallée. This finding corroborates the work of </w:t>
      </w:r>
      <w:r w:rsidRPr="006F4BF4">
        <w:rPr>
          <w:rFonts w:ascii="Arial" w:hAnsi="Arial" w:cs="Arial"/>
          <w:bCs/>
          <w:color w:val="000000" w:themeColor="text1"/>
          <w:sz w:val="20"/>
          <w:lang w:val="en-US"/>
        </w:rPr>
        <w:t>Cobo (2014)</w:t>
      </w:r>
      <w:r w:rsidRPr="006F4BF4">
        <w:rPr>
          <w:rFonts w:ascii="Arial" w:hAnsi="Arial" w:cs="Arial"/>
          <w:color w:val="000000" w:themeColor="text1"/>
          <w:sz w:val="20"/>
          <w:lang w:val="en-US"/>
        </w:rPr>
        <w:t xml:space="preserve"> regarding the erosion of Kinshasa’s green belt: the absence of binding land-use regulations favors "concrete-heavy" development at the expense of ecosystem services. Furthermore, the total adherence to sanitary protocols (100%, </w:t>
      </w:r>
      <w:r w:rsidRPr="006F4BF4">
        <w:rPr>
          <w:rFonts w:ascii="Arial" w:hAnsi="Arial" w:cs="Arial"/>
          <w:bCs/>
          <w:color w:val="000000" w:themeColor="text1"/>
          <w:sz w:val="20"/>
          <w:lang w:val="en-US"/>
        </w:rPr>
        <w:t>Table 4</w:t>
      </w:r>
      <w:r w:rsidRPr="006F4BF4">
        <w:rPr>
          <w:rFonts w:ascii="Arial" w:hAnsi="Arial" w:cs="Arial"/>
          <w:color w:val="000000" w:themeColor="text1"/>
          <w:sz w:val="20"/>
          <w:lang w:val="en-US"/>
        </w:rPr>
        <w:t xml:space="preserve">) illustrates a necessary but costly organizational reactivity. As demonstrated by </w:t>
      </w:r>
      <w:r w:rsidRPr="006F4BF4">
        <w:rPr>
          <w:rFonts w:ascii="Arial" w:hAnsi="Arial" w:cs="Arial"/>
          <w:bCs/>
          <w:color w:val="000000" w:themeColor="text1"/>
          <w:sz w:val="20"/>
          <w:lang w:val="en-US"/>
        </w:rPr>
        <w:t>Hockings et al. (2020)</w:t>
      </w:r>
      <w:r w:rsidRPr="006F4BF4">
        <w:rPr>
          <w:rFonts w:ascii="Arial" w:hAnsi="Arial" w:cs="Arial"/>
          <w:color w:val="000000" w:themeColor="text1"/>
          <w:sz w:val="20"/>
          <w:lang w:val="en-US"/>
        </w:rPr>
        <w:t>, the zoonotic risk (human-to-primate transmission) imposed additional biosecurity costs at a time when revenues were non-existent, creating a "double burden" for Congolese site managers.</w:t>
      </w:r>
    </w:p>
    <w:p w14:paraId="34E8E7C9"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4.3. Toward a Resilience Paradigm: Reclaiming the Domestic Market</w:t>
      </w:r>
    </w:p>
    <w:p w14:paraId="6610C8BC"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 xml:space="preserve">One of the most significant findings is the emergence of a potential market within the young population (46%, </w:t>
      </w:r>
      <w:r w:rsidRPr="006F4BF4">
        <w:rPr>
          <w:rFonts w:ascii="Arial" w:hAnsi="Arial" w:cs="Arial"/>
          <w:bCs/>
          <w:color w:val="000000" w:themeColor="text1"/>
          <w:sz w:val="20"/>
          <w:lang w:val="en-US"/>
        </w:rPr>
        <w:t>Table 1</w:t>
      </w:r>
      <w:r w:rsidRPr="006F4BF4">
        <w:rPr>
          <w:rFonts w:ascii="Arial" w:hAnsi="Arial" w:cs="Arial"/>
          <w:color w:val="000000" w:themeColor="text1"/>
          <w:sz w:val="20"/>
          <w:lang w:val="en-US"/>
        </w:rPr>
        <w:t xml:space="preserve">). Previously neglected, domestic tourism appears to be the new paradigm for sustainability. </w:t>
      </w:r>
      <w:r w:rsidRPr="006F4BF4">
        <w:rPr>
          <w:rFonts w:ascii="Arial" w:hAnsi="Arial" w:cs="Arial"/>
          <w:bCs/>
          <w:color w:val="000000" w:themeColor="text1"/>
          <w:sz w:val="20"/>
          <w:lang w:val="en-US"/>
        </w:rPr>
        <w:t>Rogerson and Rogerson (2021)</w:t>
      </w:r>
      <w:r w:rsidRPr="006F4BF4">
        <w:rPr>
          <w:rFonts w:ascii="Arial" w:hAnsi="Arial" w:cs="Arial"/>
          <w:color w:val="000000" w:themeColor="text1"/>
          <w:sz w:val="20"/>
          <w:lang w:val="en-US"/>
        </w:rPr>
        <w:t xml:space="preserve"> argue that the salvation of African tourism lies in reclaiming proximity markets. For Kinshasa’s sites, this implies a diversification of the offerings identified in </w:t>
      </w:r>
      <w:r w:rsidRPr="006F4BF4">
        <w:rPr>
          <w:rFonts w:ascii="Arial" w:hAnsi="Arial" w:cs="Arial"/>
          <w:bCs/>
          <w:color w:val="000000" w:themeColor="text1"/>
          <w:sz w:val="20"/>
          <w:lang w:val="en-US"/>
        </w:rPr>
        <w:t>Table 6</w:t>
      </w:r>
      <w:r w:rsidRPr="006F4BF4">
        <w:rPr>
          <w:rFonts w:ascii="Arial" w:hAnsi="Arial" w:cs="Arial"/>
          <w:color w:val="000000" w:themeColor="text1"/>
          <w:sz w:val="20"/>
          <w:lang w:val="en-US"/>
        </w:rPr>
        <w:t xml:space="preserve">, including sports ecotourism, wellness, and environmental education. Strategic interpretation suggests that the digitization of services is indispensable for removing barriers to access. As noted by </w:t>
      </w:r>
      <w:proofErr w:type="spellStart"/>
      <w:r w:rsidRPr="006F4BF4">
        <w:rPr>
          <w:rFonts w:ascii="Arial" w:hAnsi="Arial" w:cs="Arial"/>
          <w:bCs/>
          <w:color w:val="000000" w:themeColor="text1"/>
          <w:sz w:val="20"/>
          <w:lang w:val="en-US"/>
        </w:rPr>
        <w:t>Wolch</w:t>
      </w:r>
      <w:proofErr w:type="spellEnd"/>
      <w:r w:rsidRPr="006F4BF4">
        <w:rPr>
          <w:rFonts w:ascii="Arial" w:hAnsi="Arial" w:cs="Arial"/>
          <w:bCs/>
          <w:color w:val="000000" w:themeColor="text1"/>
          <w:sz w:val="20"/>
          <w:lang w:val="en-US"/>
        </w:rPr>
        <w:t xml:space="preserve"> et al. (2014)</w:t>
      </w:r>
      <w:r w:rsidRPr="006F4BF4">
        <w:rPr>
          <w:rFonts w:ascii="Arial" w:hAnsi="Arial" w:cs="Arial"/>
          <w:color w:val="000000" w:themeColor="text1"/>
          <w:sz w:val="20"/>
          <w:lang w:val="en-US"/>
        </w:rPr>
        <w:t>, urban green spaces are only sustainable if they are appropriated by residents as infrastructures for public health and climate resilience.</w:t>
      </w:r>
    </w:p>
    <w:p w14:paraId="2CF1AF69"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4.4. Synthesis and Strategic Perspectives</w:t>
      </w:r>
    </w:p>
    <w:p w14:paraId="4EE32430"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In conclusion, the discussion demonstrates that while COVID-19 acted as a deconstructing agent, it also forced a mutation toward a more inclusive model. The long-term viability of ecotourism in the DRC will depend on a strategic "decoupling" from global flows in favor of deep integration into the local urban economy. This transformation would shift these sites from being mere attractions to becoming vital pillars of urban sustainable development.</w:t>
      </w:r>
    </w:p>
    <w:p w14:paraId="7AF0257E" w14:textId="77777777" w:rsidR="00D479B6" w:rsidRDefault="00D479B6" w:rsidP="00441B6F">
      <w:pPr>
        <w:pStyle w:val="ConcHead"/>
        <w:spacing w:after="0"/>
        <w:jc w:val="both"/>
        <w:rPr>
          <w:rFonts w:ascii="Arial" w:hAnsi="Arial" w:cs="Arial"/>
        </w:rPr>
      </w:pPr>
    </w:p>
    <w:p w14:paraId="69DB4DBB" w14:textId="77777777" w:rsidR="00B01FCD" w:rsidRDefault="00D479B6"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1D41DB9F" w14:textId="77777777" w:rsidR="00790ADA" w:rsidRPr="00FB3A86" w:rsidRDefault="00790ADA" w:rsidP="00441B6F">
      <w:pPr>
        <w:pStyle w:val="ConcHead"/>
        <w:spacing w:after="0"/>
        <w:jc w:val="both"/>
        <w:rPr>
          <w:rFonts w:ascii="Arial" w:hAnsi="Arial" w:cs="Arial"/>
        </w:rPr>
      </w:pPr>
    </w:p>
    <w:p w14:paraId="029330B1"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 xml:space="preserve">The present research analyzed the multidimensional impact of the COVID-19 pandemic on Kinshasa's ecotourism industry, focusing on the </w:t>
      </w:r>
      <w:r w:rsidRPr="006F4BF4">
        <w:rPr>
          <w:rFonts w:ascii="Arial" w:hAnsi="Arial" w:cs="Arial"/>
          <w:bCs/>
          <w:color w:val="000000" w:themeColor="text1"/>
          <w:sz w:val="20"/>
          <w:lang w:val="en-US"/>
        </w:rPr>
        <w:t xml:space="preserve">Lola </w:t>
      </w:r>
      <w:proofErr w:type="spellStart"/>
      <w:r w:rsidRPr="006F4BF4">
        <w:rPr>
          <w:rFonts w:ascii="Arial" w:hAnsi="Arial" w:cs="Arial"/>
          <w:bCs/>
          <w:color w:val="000000" w:themeColor="text1"/>
          <w:sz w:val="20"/>
          <w:lang w:val="en-US"/>
        </w:rPr>
        <w:t>ya</w:t>
      </w:r>
      <w:proofErr w:type="spellEnd"/>
      <w:r w:rsidRPr="006F4BF4">
        <w:rPr>
          <w:rFonts w:ascii="Arial" w:hAnsi="Arial" w:cs="Arial"/>
          <w:bCs/>
          <w:color w:val="000000" w:themeColor="text1"/>
          <w:sz w:val="20"/>
          <w:lang w:val="en-US"/>
        </w:rPr>
        <w:t xml:space="preserve"> Bonobo sanctuary</w:t>
      </w:r>
      <w:r w:rsidRPr="006F4BF4">
        <w:rPr>
          <w:rFonts w:ascii="Arial" w:hAnsi="Arial" w:cs="Arial"/>
          <w:color w:val="000000" w:themeColor="text1"/>
          <w:sz w:val="20"/>
          <w:lang w:val="en-US"/>
        </w:rPr>
        <w:t xml:space="preserve"> and the </w:t>
      </w:r>
      <w:r w:rsidRPr="006F4BF4">
        <w:rPr>
          <w:rFonts w:ascii="Arial" w:hAnsi="Arial" w:cs="Arial"/>
          <w:bCs/>
          <w:color w:val="000000" w:themeColor="text1"/>
          <w:sz w:val="20"/>
          <w:lang w:val="en-US"/>
        </w:rPr>
        <w:t>Lac Ma Vallée</w:t>
      </w:r>
      <w:r w:rsidRPr="006F4BF4">
        <w:rPr>
          <w:rFonts w:ascii="Arial" w:hAnsi="Arial" w:cs="Arial"/>
          <w:color w:val="000000" w:themeColor="text1"/>
          <w:sz w:val="20"/>
          <w:lang w:val="en-US"/>
        </w:rPr>
        <w:t xml:space="preserve"> site. The findings demonstrate that the sanitary crisis was not merely a barrier to mobility but a </w:t>
      </w:r>
      <w:proofErr w:type="spellStart"/>
      <w:r w:rsidRPr="006F4BF4">
        <w:rPr>
          <w:rFonts w:ascii="Arial" w:hAnsi="Arial" w:cs="Arial"/>
          <w:color w:val="000000" w:themeColor="text1"/>
          <w:sz w:val="20"/>
          <w:lang w:val="en-US"/>
        </w:rPr>
        <w:t>revealator</w:t>
      </w:r>
      <w:proofErr w:type="spellEnd"/>
      <w:r w:rsidRPr="006F4BF4">
        <w:rPr>
          <w:rFonts w:ascii="Arial" w:hAnsi="Arial" w:cs="Arial"/>
          <w:color w:val="000000" w:themeColor="text1"/>
          <w:sz w:val="20"/>
          <w:lang w:val="en-US"/>
        </w:rPr>
        <w:t xml:space="preserve"> of the structural flaws within the Congolese tourism model. This model is characterized by an excessive dependence on international flows (86% cancellation rate) and the high fragility of local revenues (83% decrease).</w:t>
      </w:r>
    </w:p>
    <w:p w14:paraId="63BFA62E" w14:textId="77777777" w:rsidR="00D479B6" w:rsidRDefault="00D479B6" w:rsidP="00D479B6">
      <w:pPr>
        <w:pStyle w:val="NormalWeb"/>
        <w:jc w:val="both"/>
        <w:rPr>
          <w:rFonts w:ascii="Arial" w:hAnsi="Arial" w:cs="Arial"/>
          <w:color w:val="000000" w:themeColor="text1"/>
          <w:sz w:val="20"/>
          <w:lang w:val="en-US"/>
        </w:rPr>
      </w:pPr>
      <w:r>
        <w:rPr>
          <w:rFonts w:ascii="Arial" w:hAnsi="Arial" w:cs="Arial"/>
          <w:color w:val="000000" w:themeColor="text1"/>
          <w:sz w:val="20"/>
          <w:lang w:val="en-US"/>
        </w:rPr>
        <w:t xml:space="preserve">The SWOT analysis </w:t>
      </w:r>
      <w:r w:rsidRPr="006F4BF4">
        <w:rPr>
          <w:rFonts w:ascii="Arial" w:hAnsi="Arial" w:cs="Arial"/>
          <w:color w:val="000000" w:themeColor="text1"/>
          <w:sz w:val="20"/>
          <w:lang w:val="en-US"/>
        </w:rPr>
        <w:t>highlighted a major paradox: while Kinshasa’s peri-urban biodiversity constitutes an undeniable ecological strength, its long-term viability is threatened by increasing unplanned urbanization and a chronic deficit in public investment. However, the crisis forced an adaptive transition toward domestic tourism and digitalization, paving the way for a more resilient and territorialized development paradigm.</w:t>
      </w:r>
    </w:p>
    <w:p w14:paraId="4A570F2D"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5.</w:t>
      </w:r>
      <w:r>
        <w:rPr>
          <w:rFonts w:ascii="Arial" w:hAnsi="Arial" w:cs="Arial"/>
          <w:b/>
          <w:color w:val="000000" w:themeColor="text1"/>
          <w:sz w:val="22"/>
          <w:lang w:val="en-US"/>
        </w:rPr>
        <w:t>1</w:t>
      </w:r>
      <w:r w:rsidRPr="006F4BF4">
        <w:rPr>
          <w:rFonts w:ascii="Arial" w:hAnsi="Arial" w:cs="Arial"/>
          <w:b/>
          <w:color w:val="000000" w:themeColor="text1"/>
          <w:sz w:val="22"/>
          <w:lang w:val="en-US"/>
        </w:rPr>
        <w:t>. Strategic Recommendations</w:t>
      </w:r>
    </w:p>
    <w:p w14:paraId="08EE0160" w14:textId="77777777" w:rsidR="00D479B6" w:rsidRPr="006F4BF4"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Based on the conclusions of this study, several courses of action are recommended for the post-COVID-19 recovery of ecotourism in the DRC:</w:t>
      </w:r>
    </w:p>
    <w:p w14:paraId="2DB7730D"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Diversification and Promotion of Domestic Tourism:</w:t>
      </w:r>
      <w:r w:rsidRPr="006F4BF4">
        <w:rPr>
          <w:rFonts w:ascii="Arial" w:hAnsi="Arial" w:cs="Arial"/>
          <w:color w:val="000000" w:themeColor="text1"/>
          <w:sz w:val="20"/>
          <w:szCs w:val="20"/>
          <w:lang w:val="en-US"/>
        </w:rPr>
        <w:t xml:space="preserve"> Operators (Lola </w:t>
      </w:r>
      <w:proofErr w:type="spellStart"/>
      <w:r w:rsidRPr="006F4BF4">
        <w:rPr>
          <w:rFonts w:ascii="Arial" w:hAnsi="Arial" w:cs="Arial"/>
          <w:color w:val="000000" w:themeColor="text1"/>
          <w:sz w:val="20"/>
          <w:szCs w:val="20"/>
          <w:lang w:val="en-US"/>
        </w:rPr>
        <w:t>ya</w:t>
      </w:r>
      <w:proofErr w:type="spellEnd"/>
      <w:r w:rsidRPr="006F4BF4">
        <w:rPr>
          <w:rFonts w:ascii="Arial" w:hAnsi="Arial" w:cs="Arial"/>
          <w:color w:val="000000" w:themeColor="text1"/>
          <w:sz w:val="20"/>
          <w:szCs w:val="20"/>
          <w:lang w:val="en-US"/>
        </w:rPr>
        <w:t xml:space="preserve"> Bonobo, Lac Ma Vallée) must restructure their offerings to align with the purchasing power and expectations of the Kinshasa population. This involves tiered pricing strategies and the creation of niche activities (sports, wellness, environmental education) to build loyalty within the local market.</w:t>
      </w:r>
    </w:p>
    <w:p w14:paraId="71C595E2"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Governance and Land Protection:</w:t>
      </w:r>
      <w:r w:rsidRPr="006F4BF4">
        <w:rPr>
          <w:rFonts w:ascii="Arial" w:hAnsi="Arial" w:cs="Arial"/>
          <w:color w:val="000000" w:themeColor="text1"/>
          <w:sz w:val="20"/>
          <w:szCs w:val="20"/>
          <w:lang w:val="en-US"/>
        </w:rPr>
        <w:t xml:space="preserve"> The Provincial Government of Kinshasa and the Ministry of Tourism must urgently designate the buffer zones of Mont-</w:t>
      </w:r>
      <w:proofErr w:type="spellStart"/>
      <w:r w:rsidRPr="006F4BF4">
        <w:rPr>
          <w:rFonts w:ascii="Arial" w:hAnsi="Arial" w:cs="Arial"/>
          <w:color w:val="000000" w:themeColor="text1"/>
          <w:sz w:val="20"/>
          <w:szCs w:val="20"/>
          <w:lang w:val="en-US"/>
        </w:rPr>
        <w:t>Ngafula</w:t>
      </w:r>
      <w:proofErr w:type="spellEnd"/>
      <w:r w:rsidRPr="006F4BF4">
        <w:rPr>
          <w:rFonts w:ascii="Arial" w:hAnsi="Arial" w:cs="Arial"/>
          <w:color w:val="000000" w:themeColor="text1"/>
          <w:sz w:val="20"/>
          <w:szCs w:val="20"/>
          <w:lang w:val="en-US"/>
        </w:rPr>
        <w:t xml:space="preserve"> as "Protected Areas of Tourist Interest" to curb the urban sprawl and anthropogenic deforestation identified as major threats.</w:t>
      </w:r>
    </w:p>
    <w:p w14:paraId="4413E8FA"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Digitalization and "Smart Conservation":</w:t>
      </w:r>
      <w:r w:rsidRPr="006F4BF4">
        <w:rPr>
          <w:rFonts w:ascii="Arial" w:hAnsi="Arial" w:cs="Arial"/>
          <w:color w:val="000000" w:themeColor="text1"/>
          <w:sz w:val="20"/>
          <w:szCs w:val="20"/>
          <w:lang w:val="en-US"/>
        </w:rPr>
        <w:t xml:space="preserve"> There is an urgent need to accelerate the digital transformation of sites (online reservations, virtual tours, remote sponsorship programs) to secure alternative financial flows in the event of future sanitary or security crises.</w:t>
      </w:r>
    </w:p>
    <w:p w14:paraId="4ADD8B9F"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lastRenderedPageBreak/>
        <w:t>Institutional Support and Public-Private Partnerships (PPP):</w:t>
      </w:r>
      <w:r w:rsidRPr="006F4BF4">
        <w:rPr>
          <w:rFonts w:ascii="Arial" w:hAnsi="Arial" w:cs="Arial"/>
          <w:color w:val="000000" w:themeColor="text1"/>
          <w:sz w:val="20"/>
          <w:szCs w:val="20"/>
          <w:lang w:val="en-US"/>
        </w:rPr>
        <w:t xml:space="preserve"> The Congolese state should implement tax incentives or resilience funds for ecotourism structures that fulfill public service missions, such as species conservation and environmental education.</w:t>
      </w:r>
    </w:p>
    <w:p w14:paraId="30423392" w14:textId="77777777" w:rsidR="00D479B6" w:rsidRPr="006F4BF4" w:rsidRDefault="00D479B6" w:rsidP="00D479B6">
      <w:pPr>
        <w:pStyle w:val="Heading3"/>
        <w:jc w:val="both"/>
        <w:rPr>
          <w:rFonts w:ascii="Arial" w:hAnsi="Arial" w:cs="Arial"/>
          <w:b/>
          <w:color w:val="000000" w:themeColor="text1"/>
          <w:sz w:val="22"/>
          <w:szCs w:val="20"/>
          <w:lang w:val="en-US"/>
        </w:rPr>
      </w:pPr>
      <w:r>
        <w:rPr>
          <w:rFonts w:ascii="Arial" w:hAnsi="Arial" w:cs="Arial"/>
          <w:b/>
          <w:color w:val="000000" w:themeColor="text1"/>
          <w:sz w:val="22"/>
          <w:szCs w:val="20"/>
          <w:lang w:val="en-US"/>
        </w:rPr>
        <w:t>5.2</w:t>
      </w:r>
      <w:r w:rsidRPr="006F4BF4">
        <w:rPr>
          <w:rFonts w:ascii="Arial" w:hAnsi="Arial" w:cs="Arial"/>
          <w:b/>
          <w:color w:val="000000" w:themeColor="text1"/>
          <w:sz w:val="22"/>
          <w:szCs w:val="20"/>
          <w:lang w:val="en-US"/>
        </w:rPr>
        <w:t>. Limitations and Research Perspectives</w:t>
      </w:r>
    </w:p>
    <w:p w14:paraId="76C13596" w14:textId="77777777" w:rsidR="00D479B6" w:rsidRPr="006F4BF4"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This study focused exclusively on the province of Kinshasa. Future research could extend this analysis to the national parks in eastern DRC (</w:t>
      </w:r>
      <w:r w:rsidRPr="006F4BF4">
        <w:rPr>
          <w:rFonts w:ascii="Arial" w:hAnsi="Arial" w:cs="Arial"/>
          <w:bCs/>
          <w:color w:val="000000" w:themeColor="text1"/>
          <w:sz w:val="20"/>
          <w:szCs w:val="20"/>
          <w:lang w:val="en-US"/>
        </w:rPr>
        <w:t>Virunga, Kahuzi-Biega</w:t>
      </w:r>
      <w:r w:rsidRPr="006F4BF4">
        <w:rPr>
          <w:rFonts w:ascii="Arial" w:hAnsi="Arial" w:cs="Arial"/>
          <w:color w:val="000000" w:themeColor="text1"/>
          <w:sz w:val="20"/>
          <w:szCs w:val="20"/>
          <w:lang w:val="en-US"/>
        </w:rPr>
        <w:t>) to compare resilience dynamics within different security contexts. Additionally, a more detailed analysis of the psychological impact of the crisis on sector employees would enrich the understanding of the social dimension of ecotourism sustainability.</w:t>
      </w:r>
    </w:p>
    <w:p w14:paraId="6D31BB9E" w14:textId="77777777" w:rsidR="00D479B6" w:rsidRPr="006F4BF4"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 xml:space="preserve">Ultimately, COVID-19 should be viewed as a catalyst for change. The mutation of Kinshasa’s ecotourism from a niche activity for foreigners into a pillar of sustainable urban development is a </w:t>
      </w:r>
      <w:r w:rsidRPr="006F4BF4">
        <w:rPr>
          <w:rFonts w:ascii="Arial" w:hAnsi="Arial" w:cs="Arial"/>
          <w:i/>
          <w:iCs/>
          <w:color w:val="000000" w:themeColor="text1"/>
          <w:sz w:val="20"/>
          <w:szCs w:val="20"/>
          <w:lang w:val="en-US"/>
        </w:rPr>
        <w:t>sine qua non</w:t>
      </w:r>
      <w:r w:rsidRPr="006F4BF4">
        <w:rPr>
          <w:rFonts w:ascii="Arial" w:hAnsi="Arial" w:cs="Arial"/>
          <w:color w:val="000000" w:themeColor="text1"/>
          <w:sz w:val="20"/>
          <w:szCs w:val="20"/>
          <w:lang w:val="en-US"/>
        </w:rPr>
        <w:t xml:space="preserve"> condition for its survival and success in the post-pandemic world.</w:t>
      </w:r>
    </w:p>
    <w:p w14:paraId="27F78D9E" w14:textId="77777777" w:rsidR="00790ADA" w:rsidRPr="00FB3A86" w:rsidRDefault="00790ADA" w:rsidP="00441B6F">
      <w:pPr>
        <w:pStyle w:val="Body"/>
        <w:spacing w:after="0"/>
        <w:rPr>
          <w:rFonts w:ascii="Arial" w:hAnsi="Arial" w:cs="Arial"/>
        </w:rPr>
      </w:pPr>
    </w:p>
    <w:p w14:paraId="4E4D612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994655E" w14:textId="77777777" w:rsidR="002B685A" w:rsidRPr="002B685A" w:rsidRDefault="002B685A" w:rsidP="00441B6F">
      <w:pPr>
        <w:pStyle w:val="ReferHead"/>
        <w:spacing w:after="0"/>
        <w:jc w:val="both"/>
        <w:rPr>
          <w:rFonts w:ascii="Arial" w:hAnsi="Arial" w:cs="Arial"/>
          <w:bCs/>
        </w:rPr>
      </w:pPr>
    </w:p>
    <w:p w14:paraId="1D017EF9" w14:textId="77777777" w:rsidR="004D0501" w:rsidRPr="002B685A" w:rsidRDefault="002B685A" w:rsidP="004D0501">
      <w:pPr>
        <w:pStyle w:val="ReferHead"/>
        <w:spacing w:after="0"/>
        <w:jc w:val="both"/>
        <w:rPr>
          <w:rFonts w:ascii="Arial" w:hAnsi="Arial" w:cs="Arial"/>
          <w:b w:val="0"/>
          <w:caps w:val="0"/>
          <w:sz w:val="20"/>
        </w:rPr>
      </w:pPr>
      <w:r>
        <w:rPr>
          <w:rFonts w:ascii="Arial" w:hAnsi="Arial" w:cs="Arial"/>
          <w:b w:val="0"/>
          <w:caps w:val="0"/>
          <w:sz w:val="20"/>
        </w:rPr>
        <w:t>No</w:t>
      </w:r>
      <w:r w:rsidR="004D0501">
        <w:rPr>
          <w:rFonts w:ascii="Arial" w:hAnsi="Arial" w:cs="Arial"/>
          <w:b w:val="0"/>
          <w:caps w:val="0"/>
          <w:sz w:val="20"/>
        </w:rPr>
        <w:t xml:space="preserve"> applicable</w:t>
      </w:r>
      <w:r>
        <w:rPr>
          <w:rFonts w:ascii="Arial" w:hAnsi="Arial" w:cs="Arial"/>
          <w:b w:val="0"/>
          <w:caps w:val="0"/>
          <w:sz w:val="20"/>
        </w:rPr>
        <w:t xml:space="preserve"> </w:t>
      </w:r>
    </w:p>
    <w:p w14:paraId="5D70D64B" w14:textId="77777777" w:rsidR="001A29D8" w:rsidRDefault="001A29D8" w:rsidP="00441B6F">
      <w:pPr>
        <w:pStyle w:val="ReferHead"/>
        <w:spacing w:after="0"/>
        <w:jc w:val="both"/>
        <w:rPr>
          <w:rFonts w:ascii="Arial" w:hAnsi="Arial" w:cs="Arial"/>
          <w:b w:val="0"/>
          <w:caps w:val="0"/>
          <w:sz w:val="20"/>
        </w:rPr>
      </w:pPr>
    </w:p>
    <w:p w14:paraId="4CD9F22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02BCC7C" w14:textId="77777777" w:rsidR="005C784C" w:rsidRPr="002B685A" w:rsidRDefault="005C784C" w:rsidP="00441B6F">
      <w:pPr>
        <w:pStyle w:val="ReferHead"/>
        <w:spacing w:after="0"/>
        <w:jc w:val="both"/>
        <w:rPr>
          <w:rFonts w:ascii="Arial" w:hAnsi="Arial" w:cs="Arial"/>
          <w:bCs/>
        </w:rPr>
      </w:pPr>
    </w:p>
    <w:p w14:paraId="0B5096BA" w14:textId="77777777" w:rsidR="00A63776" w:rsidRPr="002B685A" w:rsidRDefault="00A63776" w:rsidP="00A63776">
      <w:pPr>
        <w:pStyle w:val="ReferHead"/>
        <w:spacing w:after="0"/>
        <w:jc w:val="both"/>
        <w:rPr>
          <w:rFonts w:ascii="Arial" w:hAnsi="Arial" w:cs="Arial"/>
          <w:b w:val="0"/>
          <w:caps w:val="0"/>
          <w:sz w:val="20"/>
        </w:rPr>
      </w:pPr>
      <w:r>
        <w:rPr>
          <w:rFonts w:ascii="Arial" w:hAnsi="Arial" w:cs="Arial"/>
          <w:b w:val="0"/>
          <w:caps w:val="0"/>
          <w:sz w:val="20"/>
        </w:rPr>
        <w:t xml:space="preserve">No applicable </w:t>
      </w:r>
    </w:p>
    <w:p w14:paraId="2DB323B4" w14:textId="77777777" w:rsidR="00CD6856" w:rsidRDefault="00CD6856" w:rsidP="00441B6F">
      <w:pPr>
        <w:pStyle w:val="ReferHead"/>
        <w:spacing w:after="0"/>
        <w:jc w:val="both"/>
        <w:rPr>
          <w:rFonts w:ascii="Arial" w:hAnsi="Arial" w:cs="Arial"/>
          <w:b w:val="0"/>
          <w:caps w:val="0"/>
          <w:sz w:val="20"/>
        </w:rPr>
      </w:pPr>
    </w:p>
    <w:p w14:paraId="4C6D8AD4" w14:textId="77777777" w:rsidR="00860000" w:rsidRDefault="00860000" w:rsidP="00441B6F">
      <w:pPr>
        <w:pStyle w:val="ReferHead"/>
        <w:spacing w:after="0"/>
        <w:jc w:val="both"/>
        <w:rPr>
          <w:rFonts w:ascii="Arial" w:hAnsi="Arial" w:cs="Arial"/>
        </w:rPr>
      </w:pPr>
    </w:p>
    <w:p w14:paraId="2173CA13" w14:textId="77777777" w:rsidR="00B01FCD" w:rsidRPr="00A63776" w:rsidRDefault="00B01FCD" w:rsidP="00441B6F">
      <w:pPr>
        <w:pStyle w:val="ReferHead"/>
        <w:spacing w:after="0"/>
        <w:jc w:val="both"/>
        <w:rPr>
          <w:rFonts w:ascii="Arial" w:hAnsi="Arial" w:cs="Arial"/>
          <w:lang w:val="fr-FR"/>
        </w:rPr>
      </w:pPr>
      <w:r w:rsidRPr="00A63776">
        <w:rPr>
          <w:rFonts w:ascii="Arial" w:hAnsi="Arial" w:cs="Arial"/>
          <w:lang w:val="fr-FR"/>
        </w:rPr>
        <w:t>References</w:t>
      </w:r>
    </w:p>
    <w:p w14:paraId="721BF352" w14:textId="77777777" w:rsidR="00A63776" w:rsidRPr="006860DD" w:rsidRDefault="00A63776" w:rsidP="00A83F89">
      <w:pPr>
        <w:pStyle w:val="NormalWeb"/>
        <w:jc w:val="both"/>
        <w:rPr>
          <w:rFonts w:ascii="Arial" w:hAnsi="Arial" w:cs="Arial"/>
          <w:color w:val="000000" w:themeColor="text1"/>
          <w:sz w:val="20"/>
        </w:rPr>
      </w:pPr>
      <w:r w:rsidRPr="006860DD">
        <w:rPr>
          <w:rFonts w:ascii="Arial" w:hAnsi="Arial" w:cs="Arial"/>
          <w:color w:val="000000" w:themeColor="text1"/>
          <w:sz w:val="20"/>
        </w:rPr>
        <w:t xml:space="preserve">Banque Mondiale. (2020). </w:t>
      </w:r>
      <w:r w:rsidRPr="006860DD">
        <w:rPr>
          <w:rFonts w:ascii="Arial" w:hAnsi="Arial" w:cs="Arial"/>
          <w:i/>
          <w:iCs/>
          <w:color w:val="000000" w:themeColor="text1"/>
          <w:sz w:val="20"/>
        </w:rPr>
        <w:t>Le tourisme dans l'économie post-COVID : Enjeux et opportunités pour l'Afrique</w:t>
      </w:r>
      <w:r w:rsidRPr="006860DD">
        <w:rPr>
          <w:rFonts w:ascii="Arial" w:hAnsi="Arial" w:cs="Arial"/>
          <w:color w:val="000000" w:themeColor="text1"/>
          <w:sz w:val="20"/>
        </w:rPr>
        <w:t>. Washington, DC : Groupe de la Banque mondiale.</w:t>
      </w:r>
    </w:p>
    <w:p w14:paraId="35528860" w14:textId="77777777" w:rsidR="00A63776" w:rsidRPr="006860DD" w:rsidRDefault="00A63776" w:rsidP="00A83F89">
      <w:pPr>
        <w:pStyle w:val="NormalWeb"/>
        <w:jc w:val="both"/>
        <w:rPr>
          <w:rFonts w:ascii="Arial" w:hAnsi="Arial" w:cs="Arial"/>
          <w:color w:val="000000" w:themeColor="text1"/>
          <w:sz w:val="20"/>
        </w:rPr>
      </w:pPr>
      <w:proofErr w:type="spellStart"/>
      <w:r w:rsidRPr="006860DD">
        <w:rPr>
          <w:rFonts w:ascii="Arial" w:hAnsi="Arial" w:cs="Arial"/>
          <w:color w:val="000000" w:themeColor="text1"/>
          <w:sz w:val="20"/>
        </w:rPr>
        <w:t>Cobo</w:t>
      </w:r>
      <w:proofErr w:type="spellEnd"/>
      <w:r w:rsidRPr="006860DD">
        <w:rPr>
          <w:rFonts w:ascii="Arial" w:hAnsi="Arial" w:cs="Arial"/>
          <w:color w:val="000000" w:themeColor="text1"/>
          <w:sz w:val="20"/>
        </w:rPr>
        <w:t xml:space="preserve">, M. (2014). </w:t>
      </w:r>
      <w:r w:rsidRPr="006860DD">
        <w:rPr>
          <w:rFonts w:ascii="Arial" w:hAnsi="Arial" w:cs="Arial"/>
          <w:i/>
          <w:iCs/>
          <w:color w:val="000000" w:themeColor="text1"/>
          <w:sz w:val="20"/>
        </w:rPr>
        <w:t>L’érosion de la ceinture verte de Kinshasa : Défis de l’aménagement urbain et services écosystémiques</w:t>
      </w:r>
      <w:r w:rsidRPr="006860DD">
        <w:rPr>
          <w:rFonts w:ascii="Arial" w:hAnsi="Arial" w:cs="Arial"/>
          <w:color w:val="000000" w:themeColor="text1"/>
          <w:sz w:val="20"/>
        </w:rPr>
        <w:t>. Revue de Géographie Tropicale, 12(2), 45-58.</w:t>
      </w:r>
    </w:p>
    <w:p w14:paraId="1A959484" w14:textId="103E47E0" w:rsidR="00C56082" w:rsidRDefault="00C56082" w:rsidP="00A83F89">
      <w:pPr>
        <w:pStyle w:val="NormalWeb"/>
        <w:jc w:val="both"/>
        <w:rPr>
          <w:rFonts w:ascii="Arial" w:hAnsi="Arial" w:cs="Arial"/>
          <w:color w:val="000000" w:themeColor="text1"/>
          <w:sz w:val="20"/>
        </w:rPr>
      </w:pPr>
      <w:proofErr w:type="spellStart"/>
      <w:r w:rsidRPr="00C56082">
        <w:rPr>
          <w:rFonts w:ascii="Arial" w:hAnsi="Arial" w:cs="Arial"/>
          <w:color w:val="000000" w:themeColor="text1"/>
          <w:sz w:val="20"/>
        </w:rPr>
        <w:t>Hockings</w:t>
      </w:r>
      <w:proofErr w:type="spellEnd"/>
      <w:r w:rsidRPr="00C56082">
        <w:rPr>
          <w:rFonts w:ascii="Arial" w:hAnsi="Arial" w:cs="Arial"/>
          <w:color w:val="000000" w:themeColor="text1"/>
          <w:sz w:val="20"/>
        </w:rPr>
        <w:t xml:space="preserve">, M., Dudley, N., Elliott, W., </w:t>
      </w:r>
      <w:proofErr w:type="spellStart"/>
      <w:r w:rsidRPr="00C56082">
        <w:rPr>
          <w:rFonts w:ascii="Arial" w:hAnsi="Arial" w:cs="Arial"/>
          <w:color w:val="000000" w:themeColor="text1"/>
          <w:sz w:val="20"/>
        </w:rPr>
        <w:t>Mansourian</w:t>
      </w:r>
      <w:proofErr w:type="spellEnd"/>
      <w:r w:rsidRPr="00C56082">
        <w:rPr>
          <w:rFonts w:ascii="Arial" w:hAnsi="Arial" w:cs="Arial"/>
          <w:color w:val="000000" w:themeColor="text1"/>
          <w:sz w:val="20"/>
        </w:rPr>
        <w:t xml:space="preserve">, S., &amp; </w:t>
      </w:r>
      <w:proofErr w:type="spellStart"/>
      <w:r w:rsidRPr="00C56082">
        <w:rPr>
          <w:rFonts w:ascii="Arial" w:hAnsi="Arial" w:cs="Arial"/>
          <w:color w:val="000000" w:themeColor="text1"/>
          <w:sz w:val="20"/>
        </w:rPr>
        <w:t>Stolton</w:t>
      </w:r>
      <w:proofErr w:type="spellEnd"/>
      <w:r w:rsidRPr="00C56082">
        <w:rPr>
          <w:rFonts w:ascii="Arial" w:hAnsi="Arial" w:cs="Arial"/>
          <w:color w:val="000000" w:themeColor="text1"/>
          <w:sz w:val="20"/>
        </w:rPr>
        <w:t xml:space="preserve">, S. (2020). Editorial </w:t>
      </w:r>
      <w:proofErr w:type="spellStart"/>
      <w:proofErr w:type="gramStart"/>
      <w:r w:rsidRPr="00C56082">
        <w:rPr>
          <w:rFonts w:ascii="Arial" w:hAnsi="Arial" w:cs="Arial"/>
          <w:color w:val="000000" w:themeColor="text1"/>
          <w:sz w:val="20"/>
        </w:rPr>
        <w:t>essay</w:t>
      </w:r>
      <w:proofErr w:type="spellEnd"/>
      <w:r w:rsidRPr="00C56082">
        <w:rPr>
          <w:rFonts w:ascii="Arial" w:hAnsi="Arial" w:cs="Arial"/>
          <w:color w:val="000000" w:themeColor="text1"/>
          <w:sz w:val="20"/>
        </w:rPr>
        <w:t>:</w:t>
      </w:r>
      <w:proofErr w:type="gramEnd"/>
      <w:r w:rsidRPr="00C56082">
        <w:rPr>
          <w:rFonts w:ascii="Arial" w:hAnsi="Arial" w:cs="Arial"/>
          <w:color w:val="000000" w:themeColor="text1"/>
          <w:sz w:val="20"/>
        </w:rPr>
        <w:t xml:space="preserve"> COVID-19 and </w:t>
      </w:r>
      <w:proofErr w:type="spellStart"/>
      <w:r w:rsidRPr="00C56082">
        <w:rPr>
          <w:rFonts w:ascii="Arial" w:hAnsi="Arial" w:cs="Arial"/>
          <w:color w:val="000000" w:themeColor="text1"/>
          <w:sz w:val="20"/>
        </w:rPr>
        <w:t>protected</w:t>
      </w:r>
      <w:proofErr w:type="spellEnd"/>
      <w:r w:rsidRPr="00C56082">
        <w:rPr>
          <w:rFonts w:ascii="Arial" w:hAnsi="Arial" w:cs="Arial"/>
          <w:color w:val="000000" w:themeColor="text1"/>
          <w:sz w:val="20"/>
        </w:rPr>
        <w:t xml:space="preserve"> and </w:t>
      </w:r>
      <w:proofErr w:type="spellStart"/>
      <w:r w:rsidRPr="00C56082">
        <w:rPr>
          <w:rFonts w:ascii="Arial" w:hAnsi="Arial" w:cs="Arial"/>
          <w:color w:val="000000" w:themeColor="text1"/>
          <w:sz w:val="20"/>
        </w:rPr>
        <w:t>conserved</w:t>
      </w:r>
      <w:proofErr w:type="spellEnd"/>
      <w:r w:rsidRPr="00C56082">
        <w:rPr>
          <w:rFonts w:ascii="Arial" w:hAnsi="Arial" w:cs="Arial"/>
          <w:color w:val="000000" w:themeColor="text1"/>
          <w:sz w:val="20"/>
        </w:rPr>
        <w:t xml:space="preserve"> areas. Parks, 26(1), 7-24. </w:t>
      </w:r>
      <w:hyperlink r:id="rId15" w:history="1">
        <w:r w:rsidRPr="006E063C">
          <w:rPr>
            <w:rStyle w:val="Hyperlink"/>
            <w:rFonts w:ascii="Arial" w:hAnsi="Arial" w:cs="Arial"/>
            <w:sz w:val="20"/>
          </w:rPr>
          <w:t>https://doi.org/10.2305/IUCN.CH.2020.PARKS-26-1MH.en</w:t>
        </w:r>
      </w:hyperlink>
    </w:p>
    <w:p w14:paraId="429458E1" w14:textId="3099E291" w:rsidR="00A63776" w:rsidRPr="006860DD" w:rsidRDefault="00A63776" w:rsidP="00A83F89">
      <w:pPr>
        <w:pStyle w:val="NormalWeb"/>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IOSR Journal of Humanities and Social Science (IOSR-JHSS). (2022). </w:t>
      </w:r>
      <w:r w:rsidRPr="006860DD">
        <w:rPr>
          <w:rFonts w:ascii="Arial" w:hAnsi="Arial" w:cs="Arial"/>
          <w:i/>
          <w:iCs/>
          <w:color w:val="000000" w:themeColor="text1"/>
          <w:sz w:val="20"/>
          <w:lang w:val="en-US"/>
        </w:rPr>
        <w:t>The structural deficit of tourism development in the Democratic Republic of Congo: A historical perspective</w:t>
      </w:r>
      <w:r w:rsidRPr="006860DD">
        <w:rPr>
          <w:rFonts w:ascii="Arial" w:hAnsi="Arial" w:cs="Arial"/>
          <w:color w:val="000000" w:themeColor="text1"/>
          <w:sz w:val="20"/>
          <w:lang w:val="en-US"/>
        </w:rPr>
        <w:t>. 27(4), 12-25.</w:t>
      </w:r>
    </w:p>
    <w:p w14:paraId="776AD02A" w14:textId="22292B4A" w:rsidR="00C56082" w:rsidRDefault="00C56082" w:rsidP="00A83F89">
      <w:pPr>
        <w:pStyle w:val="NormalWeb"/>
        <w:jc w:val="both"/>
        <w:rPr>
          <w:rFonts w:ascii="Arial" w:hAnsi="Arial" w:cs="Arial"/>
          <w:color w:val="000000" w:themeColor="text1"/>
          <w:sz w:val="20"/>
          <w:lang w:val="en-US"/>
        </w:rPr>
      </w:pPr>
      <w:proofErr w:type="spellStart"/>
      <w:r w:rsidRPr="00C56082">
        <w:rPr>
          <w:rFonts w:ascii="Arial" w:hAnsi="Arial" w:cs="Arial"/>
          <w:color w:val="000000" w:themeColor="text1"/>
          <w:sz w:val="20"/>
          <w:lang w:val="en-US"/>
        </w:rPr>
        <w:t>Mbaiwa</w:t>
      </w:r>
      <w:proofErr w:type="spellEnd"/>
      <w:r w:rsidRPr="00C56082">
        <w:rPr>
          <w:rFonts w:ascii="Arial" w:hAnsi="Arial" w:cs="Arial"/>
          <w:color w:val="000000" w:themeColor="text1"/>
          <w:sz w:val="20"/>
          <w:lang w:val="en-US"/>
        </w:rPr>
        <w:t xml:space="preserve">, J. E. (2018). Effects of the safari hunting tourism ban on rural livelihoods and wildlife conservation in Northern Botswana. South African Geographical Journal, 100(1), 41-61. </w:t>
      </w:r>
      <w:hyperlink r:id="rId16" w:history="1">
        <w:r w:rsidRPr="006E063C">
          <w:rPr>
            <w:rStyle w:val="Hyperlink"/>
            <w:rFonts w:ascii="Arial" w:hAnsi="Arial" w:cs="Arial"/>
            <w:sz w:val="20"/>
            <w:lang w:val="en-US"/>
          </w:rPr>
          <w:t>https://doi.org/10.1080/03736245.2017.1299639</w:t>
        </w:r>
      </w:hyperlink>
    </w:p>
    <w:p w14:paraId="5BA4CEB8" w14:textId="7D5313EB" w:rsidR="00C56082" w:rsidRDefault="00C56082" w:rsidP="00A83F89">
      <w:pPr>
        <w:pStyle w:val="NormalWeb"/>
        <w:jc w:val="both"/>
        <w:rPr>
          <w:rFonts w:ascii="Arial" w:hAnsi="Arial" w:cs="Arial"/>
          <w:color w:val="000000" w:themeColor="text1"/>
          <w:sz w:val="20"/>
        </w:rPr>
      </w:pPr>
      <w:r w:rsidRPr="00C56082">
        <w:rPr>
          <w:rFonts w:ascii="Arial" w:hAnsi="Arial" w:cs="Arial"/>
          <w:color w:val="000000" w:themeColor="text1"/>
          <w:sz w:val="20"/>
        </w:rPr>
        <w:t xml:space="preserve">Organisation Mondiale de la Santé. (2020). Déclaration sur la deuxième réunion du Comité d'urgence du Règlement sanitaire international (2005) concernant la flambée de nouveau coronavirus 2019 (2019-nCoV). </w:t>
      </w:r>
      <w:hyperlink r:id="rId17" w:history="1">
        <w:r w:rsidRPr="006E063C">
          <w:rPr>
            <w:rStyle w:val="Hyperlink"/>
            <w:rFonts w:ascii="Arial" w:hAnsi="Arial" w:cs="Arial"/>
            <w:sz w:val="20"/>
          </w:rPr>
          <w:t>https://www.who.int/fr/news/item/30-01-2020-statement-on-the-second-meeting-of-the-international-health-regulations-(2005)-emergency-committee-regarding-the-outbreak-of-novel-coronavirus-(2019-ncov)</w:t>
        </w:r>
      </w:hyperlink>
    </w:p>
    <w:p w14:paraId="09511DAE" w14:textId="5057604D" w:rsidR="00C56082" w:rsidRDefault="00C56082" w:rsidP="00A83F89">
      <w:pPr>
        <w:pStyle w:val="NormalWeb"/>
        <w:jc w:val="both"/>
        <w:rPr>
          <w:rFonts w:ascii="Arial" w:hAnsi="Arial" w:cs="Arial"/>
          <w:color w:val="000000" w:themeColor="text1"/>
          <w:sz w:val="20"/>
        </w:rPr>
      </w:pPr>
      <w:r w:rsidRPr="00C56082">
        <w:rPr>
          <w:rFonts w:ascii="Arial" w:hAnsi="Arial" w:cs="Arial"/>
          <w:color w:val="000000" w:themeColor="text1"/>
          <w:sz w:val="20"/>
        </w:rPr>
        <w:t xml:space="preserve">World </w:t>
      </w:r>
      <w:proofErr w:type="spellStart"/>
      <w:r w:rsidRPr="00C56082">
        <w:rPr>
          <w:rFonts w:ascii="Arial" w:hAnsi="Arial" w:cs="Arial"/>
          <w:color w:val="000000" w:themeColor="text1"/>
          <w:sz w:val="20"/>
        </w:rPr>
        <w:t>Tourism</w:t>
      </w:r>
      <w:proofErr w:type="spellEnd"/>
      <w:r w:rsidRPr="00C56082">
        <w:rPr>
          <w:rFonts w:ascii="Arial" w:hAnsi="Arial" w:cs="Arial"/>
          <w:color w:val="000000" w:themeColor="text1"/>
          <w:sz w:val="20"/>
        </w:rPr>
        <w:t xml:space="preserve"> </w:t>
      </w:r>
      <w:proofErr w:type="spellStart"/>
      <w:r w:rsidRPr="00C56082">
        <w:rPr>
          <w:rFonts w:ascii="Arial" w:hAnsi="Arial" w:cs="Arial"/>
          <w:color w:val="000000" w:themeColor="text1"/>
          <w:sz w:val="20"/>
        </w:rPr>
        <w:t>Organization</w:t>
      </w:r>
      <w:proofErr w:type="spellEnd"/>
      <w:r w:rsidRPr="00C56082">
        <w:rPr>
          <w:rFonts w:ascii="Arial" w:hAnsi="Arial" w:cs="Arial"/>
          <w:color w:val="000000" w:themeColor="text1"/>
          <w:sz w:val="20"/>
        </w:rPr>
        <w:t xml:space="preserve"> (UNWTO). (2020). UNWTO World </w:t>
      </w:r>
      <w:proofErr w:type="spellStart"/>
      <w:r w:rsidRPr="00C56082">
        <w:rPr>
          <w:rFonts w:ascii="Arial" w:hAnsi="Arial" w:cs="Arial"/>
          <w:color w:val="000000" w:themeColor="text1"/>
          <w:sz w:val="20"/>
        </w:rPr>
        <w:t>Tourism</w:t>
      </w:r>
      <w:proofErr w:type="spellEnd"/>
      <w:r w:rsidRPr="00C56082">
        <w:rPr>
          <w:rFonts w:ascii="Arial" w:hAnsi="Arial" w:cs="Arial"/>
          <w:color w:val="000000" w:themeColor="text1"/>
          <w:sz w:val="20"/>
        </w:rPr>
        <w:t xml:space="preserve"> </w:t>
      </w:r>
      <w:proofErr w:type="spellStart"/>
      <w:r w:rsidRPr="00C56082">
        <w:rPr>
          <w:rFonts w:ascii="Arial" w:hAnsi="Arial" w:cs="Arial"/>
          <w:color w:val="000000" w:themeColor="text1"/>
          <w:sz w:val="20"/>
        </w:rPr>
        <w:t>Barometer</w:t>
      </w:r>
      <w:proofErr w:type="spellEnd"/>
      <w:r w:rsidRPr="00C56082">
        <w:rPr>
          <w:rFonts w:ascii="Arial" w:hAnsi="Arial" w:cs="Arial"/>
          <w:color w:val="000000" w:themeColor="text1"/>
          <w:sz w:val="20"/>
        </w:rPr>
        <w:t xml:space="preserve">, May 2020 – </w:t>
      </w:r>
      <w:proofErr w:type="spellStart"/>
      <w:r w:rsidRPr="00C56082">
        <w:rPr>
          <w:rFonts w:ascii="Arial" w:hAnsi="Arial" w:cs="Arial"/>
          <w:color w:val="000000" w:themeColor="text1"/>
          <w:sz w:val="20"/>
        </w:rPr>
        <w:t>Special</w:t>
      </w:r>
      <w:proofErr w:type="spellEnd"/>
      <w:r w:rsidRPr="00C56082">
        <w:rPr>
          <w:rFonts w:ascii="Arial" w:hAnsi="Arial" w:cs="Arial"/>
          <w:color w:val="000000" w:themeColor="text1"/>
          <w:sz w:val="20"/>
        </w:rPr>
        <w:t xml:space="preserve"> focus on the Impact of COVID-19 (</w:t>
      </w:r>
      <w:proofErr w:type="spellStart"/>
      <w:r w:rsidRPr="00C56082">
        <w:rPr>
          <w:rFonts w:ascii="Arial" w:hAnsi="Arial" w:cs="Arial"/>
          <w:color w:val="000000" w:themeColor="text1"/>
          <w:sz w:val="20"/>
        </w:rPr>
        <w:t>Summary</w:t>
      </w:r>
      <w:proofErr w:type="spellEnd"/>
      <w:r w:rsidRPr="00C56082">
        <w:rPr>
          <w:rFonts w:ascii="Arial" w:hAnsi="Arial" w:cs="Arial"/>
          <w:color w:val="000000" w:themeColor="text1"/>
          <w:sz w:val="20"/>
        </w:rPr>
        <w:t xml:space="preserve">). </w:t>
      </w:r>
      <w:hyperlink r:id="rId18" w:history="1">
        <w:r w:rsidRPr="006E063C">
          <w:rPr>
            <w:rStyle w:val="Hyperlink"/>
            <w:rFonts w:ascii="Arial" w:hAnsi="Arial" w:cs="Arial"/>
            <w:sz w:val="20"/>
          </w:rPr>
          <w:t>https://doi.org/10.18111/9789284421817</w:t>
        </w:r>
      </w:hyperlink>
    </w:p>
    <w:p w14:paraId="68553F49" w14:textId="7415F47C" w:rsidR="00A63776" w:rsidRPr="006860DD" w:rsidRDefault="00A63776" w:rsidP="00A83F89">
      <w:pPr>
        <w:pStyle w:val="NormalWeb"/>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Policy Center for the New South. (2024). </w:t>
      </w:r>
      <w:r w:rsidRPr="006860DD">
        <w:rPr>
          <w:rFonts w:ascii="Arial" w:hAnsi="Arial" w:cs="Arial"/>
          <w:i/>
          <w:iCs/>
          <w:color w:val="000000" w:themeColor="text1"/>
          <w:sz w:val="20"/>
          <w:lang w:val="en-US"/>
        </w:rPr>
        <w:t>Public policies and tourism recovery in North Africa: Egypt, Morocco, and South Africa cases</w:t>
      </w:r>
      <w:r w:rsidRPr="006860DD">
        <w:rPr>
          <w:rFonts w:ascii="Arial" w:hAnsi="Arial" w:cs="Arial"/>
          <w:color w:val="000000" w:themeColor="text1"/>
          <w:sz w:val="20"/>
          <w:lang w:val="en-US"/>
        </w:rPr>
        <w:t>. Research Paper Series.</w:t>
      </w:r>
    </w:p>
    <w:p w14:paraId="2969C616" w14:textId="77777777" w:rsidR="00A63776" w:rsidRPr="006860DD" w:rsidRDefault="00A63776" w:rsidP="00A83F89">
      <w:pPr>
        <w:pStyle w:val="NormalWeb"/>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Rogerson, C. M., &amp; Rogerson, J. M. (2021). Domestic tourism: Africa’s giant of the future. </w:t>
      </w:r>
      <w:r w:rsidRPr="006860DD">
        <w:rPr>
          <w:rFonts w:ascii="Arial" w:hAnsi="Arial" w:cs="Arial"/>
          <w:i/>
          <w:iCs/>
          <w:color w:val="000000" w:themeColor="text1"/>
          <w:sz w:val="20"/>
          <w:lang w:val="en-US"/>
        </w:rPr>
        <w:t>Bulletin of Geography. Socio-economic Series</w:t>
      </w:r>
      <w:r w:rsidRPr="006860DD">
        <w:rPr>
          <w:rFonts w:ascii="Arial" w:hAnsi="Arial" w:cs="Arial"/>
          <w:color w:val="000000" w:themeColor="text1"/>
          <w:sz w:val="20"/>
          <w:lang w:val="en-US"/>
        </w:rPr>
        <w:t>, 51, 7-22.</w:t>
      </w:r>
    </w:p>
    <w:p w14:paraId="59E1096A" w14:textId="77777777" w:rsidR="00A63776" w:rsidRPr="006860DD" w:rsidRDefault="00A63776" w:rsidP="00A83F89">
      <w:pPr>
        <w:pStyle w:val="NormalWeb"/>
        <w:jc w:val="both"/>
        <w:rPr>
          <w:rFonts w:ascii="Arial" w:hAnsi="Arial" w:cs="Arial"/>
          <w:color w:val="000000" w:themeColor="text1"/>
          <w:sz w:val="20"/>
          <w:lang w:val="en-US"/>
        </w:rPr>
      </w:pPr>
      <w:proofErr w:type="spellStart"/>
      <w:r w:rsidRPr="006860DD">
        <w:rPr>
          <w:rFonts w:ascii="Arial" w:hAnsi="Arial" w:cs="Arial"/>
          <w:color w:val="000000" w:themeColor="text1"/>
          <w:sz w:val="20"/>
          <w:lang w:val="en-US"/>
        </w:rPr>
        <w:lastRenderedPageBreak/>
        <w:t>Spenceley</w:t>
      </w:r>
      <w:proofErr w:type="spellEnd"/>
      <w:r w:rsidRPr="006860DD">
        <w:rPr>
          <w:rFonts w:ascii="Arial" w:hAnsi="Arial" w:cs="Arial"/>
          <w:color w:val="000000" w:themeColor="text1"/>
          <w:sz w:val="20"/>
          <w:lang w:val="en-US"/>
        </w:rPr>
        <w:t xml:space="preserve">, A., </w:t>
      </w:r>
      <w:proofErr w:type="spellStart"/>
      <w:r w:rsidRPr="006860DD">
        <w:rPr>
          <w:rFonts w:ascii="Arial" w:hAnsi="Arial" w:cs="Arial"/>
          <w:color w:val="000000" w:themeColor="text1"/>
          <w:sz w:val="20"/>
          <w:lang w:val="en-US"/>
        </w:rPr>
        <w:t>Fearnhead</w:t>
      </w:r>
      <w:proofErr w:type="spellEnd"/>
      <w:r w:rsidRPr="006860DD">
        <w:rPr>
          <w:rFonts w:ascii="Arial" w:hAnsi="Arial" w:cs="Arial"/>
          <w:color w:val="000000" w:themeColor="text1"/>
          <w:sz w:val="20"/>
          <w:lang w:val="en-US"/>
        </w:rPr>
        <w:t xml:space="preserve">, P., </w:t>
      </w:r>
      <w:proofErr w:type="spellStart"/>
      <w:r w:rsidRPr="006860DD">
        <w:rPr>
          <w:rFonts w:ascii="Arial" w:hAnsi="Arial" w:cs="Arial"/>
          <w:color w:val="000000" w:themeColor="text1"/>
          <w:sz w:val="20"/>
          <w:lang w:val="en-US"/>
        </w:rPr>
        <w:t>Mokoko</w:t>
      </w:r>
      <w:proofErr w:type="spellEnd"/>
      <w:r w:rsidRPr="006860DD">
        <w:rPr>
          <w:rFonts w:ascii="Arial" w:hAnsi="Arial" w:cs="Arial"/>
          <w:color w:val="000000" w:themeColor="text1"/>
          <w:sz w:val="20"/>
          <w:lang w:val="en-US"/>
        </w:rPr>
        <w:t xml:space="preserve"> </w:t>
      </w:r>
      <w:proofErr w:type="spellStart"/>
      <w:r w:rsidRPr="006860DD">
        <w:rPr>
          <w:rFonts w:ascii="Arial" w:hAnsi="Arial" w:cs="Arial"/>
          <w:color w:val="000000" w:themeColor="text1"/>
          <w:sz w:val="20"/>
          <w:lang w:val="en-US"/>
        </w:rPr>
        <w:t>Ikoli</w:t>
      </w:r>
      <w:proofErr w:type="spellEnd"/>
      <w:r w:rsidRPr="006860DD">
        <w:rPr>
          <w:rFonts w:ascii="Arial" w:hAnsi="Arial" w:cs="Arial"/>
          <w:color w:val="000000" w:themeColor="text1"/>
          <w:sz w:val="20"/>
          <w:lang w:val="en-US"/>
        </w:rPr>
        <w:t xml:space="preserve">, N. J., &amp; Rylance, A. (2021). The impact of COVID-19 on nature-based tourism in Africa’s protected areas. </w:t>
      </w:r>
      <w:r w:rsidRPr="006860DD">
        <w:rPr>
          <w:rFonts w:ascii="Arial" w:hAnsi="Arial" w:cs="Arial"/>
          <w:i/>
          <w:iCs/>
          <w:color w:val="000000" w:themeColor="text1"/>
          <w:sz w:val="20"/>
          <w:lang w:val="en-US"/>
        </w:rPr>
        <w:t>Nature Communications</w:t>
      </w:r>
      <w:r w:rsidRPr="006860DD">
        <w:rPr>
          <w:rFonts w:ascii="Arial" w:hAnsi="Arial" w:cs="Arial"/>
          <w:color w:val="000000" w:themeColor="text1"/>
          <w:sz w:val="20"/>
          <w:lang w:val="en-US"/>
        </w:rPr>
        <w:t xml:space="preserve">, 12(1), 1-10. </w:t>
      </w:r>
      <w:hyperlink r:id="rId19" w:tgtFrame="_blank" w:history="1">
        <w:r w:rsidRPr="006860DD">
          <w:rPr>
            <w:rStyle w:val="Hyperlink"/>
            <w:rFonts w:ascii="Arial" w:hAnsi="Arial" w:cs="Arial"/>
            <w:color w:val="000000" w:themeColor="text1"/>
            <w:sz w:val="20"/>
            <w:lang w:val="en-US"/>
          </w:rPr>
          <w:t>https://doi.org/10.1038/s41467-021-25073-y</w:t>
        </w:r>
      </w:hyperlink>
    </w:p>
    <w:p w14:paraId="033DF8F3" w14:textId="2516E1C9" w:rsidR="00C56082" w:rsidRDefault="00C56082" w:rsidP="00A83F89">
      <w:pPr>
        <w:pStyle w:val="NormalWeb"/>
        <w:jc w:val="both"/>
        <w:rPr>
          <w:rFonts w:ascii="Arial" w:hAnsi="Arial" w:cs="Arial"/>
          <w:color w:val="000000" w:themeColor="text1"/>
          <w:sz w:val="20"/>
          <w:lang w:val="en-US"/>
        </w:rPr>
      </w:pPr>
      <w:r w:rsidRPr="00C56082">
        <w:rPr>
          <w:rFonts w:ascii="Arial" w:hAnsi="Arial" w:cs="Arial"/>
          <w:color w:val="000000" w:themeColor="text1"/>
          <w:sz w:val="20"/>
          <w:lang w:val="en-US"/>
        </w:rPr>
        <w:t xml:space="preserve">The International Ecotourism Society. (2015). Principles of Ecotourism: Updated definitions for a sustainable future. The International Ecotourism Society. </w:t>
      </w:r>
      <w:hyperlink r:id="rId20" w:history="1">
        <w:r w:rsidRPr="006E063C">
          <w:rPr>
            <w:rStyle w:val="Hyperlink"/>
            <w:rFonts w:ascii="Arial" w:hAnsi="Arial" w:cs="Arial"/>
            <w:sz w:val="20"/>
            <w:lang w:val="en-US"/>
          </w:rPr>
          <w:t>https://ecotourism.org/what-is-ecotourism/</w:t>
        </w:r>
      </w:hyperlink>
    </w:p>
    <w:p w14:paraId="79307A93" w14:textId="19C85CA6" w:rsidR="00790ADA" w:rsidRDefault="00C56082" w:rsidP="00441B6F">
      <w:pPr>
        <w:pStyle w:val="Body"/>
        <w:spacing w:after="0"/>
        <w:rPr>
          <w:rFonts w:ascii="Arial" w:hAnsi="Arial" w:cs="Arial"/>
          <w:color w:val="000000" w:themeColor="text1"/>
          <w:szCs w:val="24"/>
          <w:lang w:eastAsia="fr-FR"/>
        </w:rPr>
      </w:pPr>
      <w:proofErr w:type="spellStart"/>
      <w:r w:rsidRPr="00C56082">
        <w:rPr>
          <w:rFonts w:ascii="Arial" w:hAnsi="Arial" w:cs="Arial"/>
          <w:color w:val="000000" w:themeColor="text1"/>
          <w:szCs w:val="24"/>
          <w:lang w:eastAsia="fr-FR"/>
        </w:rPr>
        <w:t>Wolch</w:t>
      </w:r>
      <w:proofErr w:type="spellEnd"/>
      <w:r w:rsidRPr="00C56082">
        <w:rPr>
          <w:rFonts w:ascii="Arial" w:hAnsi="Arial" w:cs="Arial"/>
          <w:color w:val="000000" w:themeColor="text1"/>
          <w:szCs w:val="24"/>
          <w:lang w:eastAsia="fr-FR"/>
        </w:rPr>
        <w:t xml:space="preserve">, J. R., Byrne, J., &amp; Newell, J. P. (2014). Urban green space, public health, and environmental justice: The challenge of making cities ‘just green enough’. Landscape and Urban Planning, 125, 234-244. </w:t>
      </w:r>
      <w:hyperlink r:id="rId21" w:history="1">
        <w:r w:rsidRPr="006E063C">
          <w:rPr>
            <w:rStyle w:val="Hyperlink"/>
            <w:rFonts w:ascii="Arial" w:hAnsi="Arial" w:cs="Arial"/>
            <w:szCs w:val="24"/>
            <w:lang w:eastAsia="fr-FR"/>
          </w:rPr>
          <w:t>https://doi.org/10.1016/j.landurbplan.2014.01.017</w:t>
        </w:r>
      </w:hyperlink>
    </w:p>
    <w:p w14:paraId="37B4E8A6" w14:textId="77777777" w:rsidR="00C56082" w:rsidRPr="00FB3A86" w:rsidRDefault="00C56082" w:rsidP="00441B6F">
      <w:pPr>
        <w:pStyle w:val="Body"/>
        <w:spacing w:after="0"/>
        <w:rPr>
          <w:rFonts w:ascii="Arial" w:hAnsi="Arial" w:cs="Arial"/>
        </w:rPr>
      </w:pPr>
    </w:p>
    <w:p w14:paraId="1D8B6934" w14:textId="77777777" w:rsidR="00B01FCD" w:rsidRPr="00FB3A86" w:rsidRDefault="00B01FCD" w:rsidP="00441B6F">
      <w:pPr>
        <w:pStyle w:val="Appendix"/>
        <w:spacing w:after="0"/>
        <w:jc w:val="both"/>
        <w:rPr>
          <w:rFonts w:ascii="Arial" w:hAnsi="Arial" w:cs="Arial"/>
          <w:b w:val="0"/>
        </w:rPr>
      </w:pPr>
    </w:p>
    <w:sectPr w:rsidR="00B01FCD" w:rsidRPr="00FB3A86" w:rsidSect="0028610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115D" w14:textId="77777777" w:rsidR="00134D04" w:rsidRDefault="00134D04" w:rsidP="00C37E61">
      <w:r>
        <w:separator/>
      </w:r>
    </w:p>
  </w:endnote>
  <w:endnote w:type="continuationSeparator" w:id="0">
    <w:p w14:paraId="6059F1D0" w14:textId="77777777" w:rsidR="00134D04" w:rsidRDefault="00134D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3DC3" w14:textId="77777777" w:rsidR="00286107" w:rsidRDefault="00286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74E1" w14:textId="77777777" w:rsidR="00286107" w:rsidRDefault="00286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5DD7" w14:textId="3E1284CB" w:rsidR="004D0501" w:rsidRPr="005165E8" w:rsidRDefault="004D0501" w:rsidP="00516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FE72" w14:textId="77777777" w:rsidR="004D0501" w:rsidRPr="00C37E61" w:rsidRDefault="004D050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CCB14" w14:textId="77777777" w:rsidR="00134D04" w:rsidRDefault="00134D04" w:rsidP="00C37E61">
      <w:r>
        <w:separator/>
      </w:r>
    </w:p>
  </w:footnote>
  <w:footnote w:type="continuationSeparator" w:id="0">
    <w:p w14:paraId="2F8D3F09" w14:textId="77777777" w:rsidR="00134D04" w:rsidRDefault="00134D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274E" w14:textId="2F3E7F7F" w:rsidR="00286107" w:rsidRDefault="00134D04">
    <w:pPr>
      <w:pStyle w:val="Header"/>
    </w:pPr>
    <w:r>
      <w:rPr>
        <w:noProof/>
      </w:rPr>
      <w:pict w14:anchorId="6D033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8806" w14:textId="79EF6A6C" w:rsidR="00286107" w:rsidRDefault="00134D04">
    <w:pPr>
      <w:pStyle w:val="Header"/>
    </w:pPr>
    <w:r>
      <w:rPr>
        <w:noProof/>
      </w:rPr>
      <w:pict w14:anchorId="3341A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BA5A" w14:textId="02ECBC15" w:rsidR="004D0501" w:rsidRPr="00296529" w:rsidRDefault="00134D04" w:rsidP="00296529">
    <w:pPr>
      <w:ind w:left="2160"/>
      <w:jc w:val="center"/>
      <w:rPr>
        <w:rFonts w:ascii="Times New Roman" w:eastAsia="Calibri" w:hAnsi="Times New Roman"/>
        <w:i/>
        <w:sz w:val="18"/>
        <w:szCs w:val="22"/>
      </w:rPr>
    </w:pPr>
    <w:r>
      <w:rPr>
        <w:noProof/>
      </w:rPr>
      <w:pict w14:anchorId="036CE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80FEA3" w14:textId="77777777" w:rsidR="004D0501" w:rsidRPr="00296529" w:rsidRDefault="004D050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B59B4A" w14:textId="77777777" w:rsidR="004D0501" w:rsidRPr="00296529" w:rsidRDefault="004D050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34B30" w14:textId="77777777" w:rsidR="004D0501" w:rsidRPr="00296529" w:rsidRDefault="004D050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383A18" w14:textId="77777777" w:rsidR="004D0501" w:rsidRDefault="004D050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97367" w14:textId="77777777" w:rsidR="004D0501" w:rsidRDefault="004D050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6CF13C" w14:textId="77777777" w:rsidR="004D0501" w:rsidRDefault="004D050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B5B1" w14:textId="30C9A1FA" w:rsidR="00286107" w:rsidRDefault="00134D04">
    <w:pPr>
      <w:pStyle w:val="Header"/>
    </w:pPr>
    <w:r>
      <w:rPr>
        <w:noProof/>
      </w:rPr>
      <w:pict w14:anchorId="2BFD5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F313" w14:textId="2FA4D063" w:rsidR="00286107" w:rsidRDefault="00134D04">
    <w:pPr>
      <w:pStyle w:val="Header"/>
    </w:pPr>
    <w:r>
      <w:rPr>
        <w:noProof/>
      </w:rPr>
      <w:pict w14:anchorId="4A68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238E" w14:textId="1FF8D8B8" w:rsidR="00286107" w:rsidRDefault="00134D04">
    <w:pPr>
      <w:pStyle w:val="Header"/>
    </w:pPr>
    <w:r>
      <w:rPr>
        <w:noProof/>
      </w:rPr>
      <w:pict w14:anchorId="0C86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D6C9F"/>
    <w:multiLevelType w:val="hybridMultilevel"/>
    <w:tmpl w:val="B2A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3323EE"/>
    <w:multiLevelType w:val="multilevel"/>
    <w:tmpl w:val="21CE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C26777"/>
    <w:multiLevelType w:val="multilevel"/>
    <w:tmpl w:val="2B3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772045"/>
    <w:multiLevelType w:val="multilevel"/>
    <w:tmpl w:val="573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13"/>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CE8"/>
    <w:rsid w:val="000A47FA"/>
    <w:rsid w:val="000A65D3"/>
    <w:rsid w:val="000B1E33"/>
    <w:rsid w:val="000C44FA"/>
    <w:rsid w:val="000D689F"/>
    <w:rsid w:val="000E7B7B"/>
    <w:rsid w:val="000E7D62"/>
    <w:rsid w:val="00103357"/>
    <w:rsid w:val="00114D83"/>
    <w:rsid w:val="00123C9F"/>
    <w:rsid w:val="00126190"/>
    <w:rsid w:val="00130F17"/>
    <w:rsid w:val="001320BF"/>
    <w:rsid w:val="00134D04"/>
    <w:rsid w:val="00163BC4"/>
    <w:rsid w:val="0018203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107"/>
    <w:rsid w:val="00287E68"/>
    <w:rsid w:val="00296529"/>
    <w:rsid w:val="002B27FB"/>
    <w:rsid w:val="002B685A"/>
    <w:rsid w:val="002C57D2"/>
    <w:rsid w:val="002E0D56"/>
    <w:rsid w:val="00315186"/>
    <w:rsid w:val="0033343E"/>
    <w:rsid w:val="00351211"/>
    <w:rsid w:val="003512C2"/>
    <w:rsid w:val="00371FB6"/>
    <w:rsid w:val="00373F82"/>
    <w:rsid w:val="003763C1"/>
    <w:rsid w:val="00376BBE"/>
    <w:rsid w:val="003912A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0C5D"/>
    <w:rsid w:val="004D0501"/>
    <w:rsid w:val="004D305E"/>
    <w:rsid w:val="004D4277"/>
    <w:rsid w:val="00502516"/>
    <w:rsid w:val="00505F06"/>
    <w:rsid w:val="00506828"/>
    <w:rsid w:val="005165E8"/>
    <w:rsid w:val="00524D13"/>
    <w:rsid w:val="0053056E"/>
    <w:rsid w:val="00554FDA"/>
    <w:rsid w:val="00596AE7"/>
    <w:rsid w:val="005C784C"/>
    <w:rsid w:val="005D17F6"/>
    <w:rsid w:val="005E5539"/>
    <w:rsid w:val="00602BF5"/>
    <w:rsid w:val="00617FDD"/>
    <w:rsid w:val="00633614"/>
    <w:rsid w:val="00633F68"/>
    <w:rsid w:val="00636EB2"/>
    <w:rsid w:val="006375B8"/>
    <w:rsid w:val="00660587"/>
    <w:rsid w:val="0066510A"/>
    <w:rsid w:val="00673F9F"/>
    <w:rsid w:val="00686953"/>
    <w:rsid w:val="00687DEA"/>
    <w:rsid w:val="00687E67"/>
    <w:rsid w:val="006967F7"/>
    <w:rsid w:val="006A250C"/>
    <w:rsid w:val="006B21D3"/>
    <w:rsid w:val="006B57D0"/>
    <w:rsid w:val="006D30FF"/>
    <w:rsid w:val="006D4B47"/>
    <w:rsid w:val="006D6940"/>
    <w:rsid w:val="006F0E7A"/>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330F"/>
    <w:rsid w:val="00860000"/>
    <w:rsid w:val="00863BD3"/>
    <w:rsid w:val="008641ED"/>
    <w:rsid w:val="00866D66"/>
    <w:rsid w:val="008671C6"/>
    <w:rsid w:val="00875803"/>
    <w:rsid w:val="008B459E"/>
    <w:rsid w:val="008C7889"/>
    <w:rsid w:val="008E13AE"/>
    <w:rsid w:val="008E1506"/>
    <w:rsid w:val="008E710C"/>
    <w:rsid w:val="008F69D6"/>
    <w:rsid w:val="00902823"/>
    <w:rsid w:val="00915CA6"/>
    <w:rsid w:val="00927834"/>
    <w:rsid w:val="009500A6"/>
    <w:rsid w:val="00957C18"/>
    <w:rsid w:val="009659BA"/>
    <w:rsid w:val="00983040"/>
    <w:rsid w:val="0099190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CBF"/>
    <w:rsid w:val="00A63776"/>
    <w:rsid w:val="00A83F89"/>
    <w:rsid w:val="00A94063"/>
    <w:rsid w:val="00AA2994"/>
    <w:rsid w:val="00AA6219"/>
    <w:rsid w:val="00AA74E0"/>
    <w:rsid w:val="00AB1297"/>
    <w:rsid w:val="00AB703F"/>
    <w:rsid w:val="00AC6BB8"/>
    <w:rsid w:val="00AE008F"/>
    <w:rsid w:val="00B01FCD"/>
    <w:rsid w:val="00B072E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082"/>
    <w:rsid w:val="00C70F1B"/>
    <w:rsid w:val="00C71A47"/>
    <w:rsid w:val="00C7464C"/>
    <w:rsid w:val="00C85588"/>
    <w:rsid w:val="00CD6755"/>
    <w:rsid w:val="00CD6856"/>
    <w:rsid w:val="00CE0089"/>
    <w:rsid w:val="00CE793C"/>
    <w:rsid w:val="00CF193C"/>
    <w:rsid w:val="00D173F1"/>
    <w:rsid w:val="00D479B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41E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1143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596AE7"/>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uiPriority w:val="9"/>
    <w:semiHidden/>
    <w:unhideWhenUsed/>
    <w:qFormat/>
    <w:rsid w:val="0083330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596AE7"/>
    <w:rPr>
      <w:rFonts w:asciiTheme="majorHAnsi" w:eastAsiaTheme="majorEastAsia" w:hAnsiTheme="majorHAnsi" w:cstheme="majorBidi"/>
      <w:color w:val="243F60" w:themeColor="accent1" w:themeShade="7F"/>
      <w:sz w:val="24"/>
      <w:szCs w:val="24"/>
      <w:lang w:val="fr-FR"/>
    </w:rPr>
  </w:style>
  <w:style w:type="character" w:styleId="Strong">
    <w:name w:val="Strong"/>
    <w:basedOn w:val="DefaultParagraphFont"/>
    <w:uiPriority w:val="22"/>
    <w:qFormat/>
    <w:rsid w:val="00596AE7"/>
    <w:rPr>
      <w:b/>
      <w:bCs/>
    </w:rPr>
  </w:style>
  <w:style w:type="paragraph" w:styleId="NormalWeb">
    <w:name w:val="Normal (Web)"/>
    <w:basedOn w:val="Normal"/>
    <w:uiPriority w:val="99"/>
    <w:unhideWhenUsed/>
    <w:rsid w:val="0083330F"/>
    <w:pPr>
      <w:spacing w:before="100" w:beforeAutospacing="1" w:after="100" w:afterAutospacing="1"/>
    </w:pPr>
    <w:rPr>
      <w:rFonts w:ascii="Times New Roman" w:hAnsi="Times New Roman"/>
      <w:sz w:val="24"/>
      <w:szCs w:val="24"/>
      <w:lang w:val="fr-FR" w:eastAsia="fr-FR"/>
    </w:rPr>
  </w:style>
  <w:style w:type="character" w:customStyle="1" w:styleId="Heading4Char">
    <w:name w:val="Heading 4 Char"/>
    <w:basedOn w:val="DefaultParagraphFont"/>
    <w:link w:val="Heading4"/>
    <w:uiPriority w:val="9"/>
    <w:semiHidden/>
    <w:rsid w:val="0083330F"/>
    <w:rPr>
      <w:rFonts w:asciiTheme="majorHAnsi" w:eastAsiaTheme="majorEastAsia" w:hAnsiTheme="majorHAnsi" w:cstheme="majorBidi"/>
      <w:i/>
      <w:iCs/>
      <w:color w:val="365F91" w:themeColor="accent1" w:themeShade="BF"/>
      <w:sz w:val="22"/>
      <w:szCs w:val="22"/>
      <w:lang w:val="fr-FR"/>
    </w:rPr>
  </w:style>
  <w:style w:type="table" w:styleId="ListTable6Colorful">
    <w:name w:val="List Table 6 Colorful"/>
    <w:basedOn w:val="TableNormal"/>
    <w:uiPriority w:val="51"/>
    <w:rsid w:val="0083330F"/>
    <w:rPr>
      <w:rFonts w:asciiTheme="minorHAnsi" w:eastAsiaTheme="minorHAnsi" w:hAnsiTheme="minorHAnsi" w:cstheme="minorBidi"/>
      <w:color w:val="000000" w:themeColor="text1"/>
      <w:sz w:val="22"/>
      <w:szCs w:val="22"/>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7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111/97892844218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landurbplan.2014.01.01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fr/news/item/30-01-2020-statement-on-the-second-meeting-of-the-international-health-regulations-(2005)-emergency-committee-regarding-the-outbreak-of-novel-coronavirus-(2019-nc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80/03736245.2017.1299639" TargetMode="External"/><Relationship Id="rId20" Type="http://schemas.openxmlformats.org/officeDocument/2006/relationships/hyperlink" Target="https://ecotourism.org/what-is-ecotour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2305/IUCN.CH.2020.PARKS-26-1MH.en"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google.com/search?q=https://doi.org/10.1038/s41467-021-25073-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6ED4-1FB1-4520-867B-3CC59082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10</Pages>
  <Words>4507</Words>
  <Characters>25693</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2025-12-27T06:23:00Z</dcterms:created>
  <dcterms:modified xsi:type="dcterms:W3CDTF">2025-12-27T08:22:00Z</dcterms:modified>
</cp:coreProperties>
</file>