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58891" w14:textId="77777777" w:rsidR="00754C9A" w:rsidRDefault="00754C9A" w:rsidP="00441B6F">
      <w:pPr>
        <w:pStyle w:val="Title"/>
        <w:spacing w:after="0"/>
        <w:jc w:val="both"/>
        <w:rPr>
          <w:rFonts w:ascii="Arial" w:hAnsi="Arial" w:cs="Arial"/>
        </w:rPr>
      </w:pPr>
    </w:p>
    <w:p w14:paraId="202931D0" w14:textId="20019507" w:rsidR="001E41BA" w:rsidRPr="001E41BA" w:rsidRDefault="001E41BA" w:rsidP="001E41BA">
      <w:pPr>
        <w:pStyle w:val="Author"/>
        <w:spacing w:line="240" w:lineRule="auto"/>
        <w:rPr>
          <w:rFonts w:ascii="Arial" w:hAnsi="Arial" w:cs="Arial"/>
          <w:bCs/>
          <w:i/>
          <w:iCs/>
          <w:kern w:val="28"/>
          <w:sz w:val="40"/>
          <w:u w:val="single"/>
        </w:rPr>
      </w:pPr>
      <w:r w:rsidRPr="001E41BA">
        <w:rPr>
          <w:rFonts w:ascii="Arial" w:hAnsi="Arial" w:cs="Arial"/>
          <w:bCs/>
          <w:i/>
          <w:iCs/>
          <w:kern w:val="28"/>
          <w:sz w:val="40"/>
          <w:u w:val="single"/>
        </w:rPr>
        <w:t>Original Research Article</w:t>
      </w:r>
    </w:p>
    <w:p w14:paraId="77BEF94B" w14:textId="77777777" w:rsidR="001E41BA" w:rsidRDefault="001E41BA" w:rsidP="00E25EFB">
      <w:pPr>
        <w:pStyle w:val="Author"/>
        <w:spacing w:line="240" w:lineRule="auto"/>
        <w:jc w:val="both"/>
        <w:rPr>
          <w:rFonts w:ascii="Arial" w:hAnsi="Arial" w:cs="Arial"/>
          <w:bCs/>
          <w:iCs/>
          <w:kern w:val="28"/>
          <w:sz w:val="36"/>
        </w:rPr>
      </w:pPr>
    </w:p>
    <w:p w14:paraId="40D53157" w14:textId="770544B1" w:rsidR="00E25EFB" w:rsidRPr="00E25EFB" w:rsidRDefault="00E25EFB" w:rsidP="00E25EFB">
      <w:pPr>
        <w:pStyle w:val="Author"/>
        <w:spacing w:line="240" w:lineRule="auto"/>
        <w:jc w:val="both"/>
        <w:rPr>
          <w:rFonts w:ascii="Arial" w:hAnsi="Arial" w:cs="Arial"/>
          <w:bCs/>
          <w:iCs/>
          <w:kern w:val="28"/>
          <w:sz w:val="36"/>
        </w:rPr>
      </w:pPr>
      <w:r w:rsidRPr="00E25EFB">
        <w:rPr>
          <w:rFonts w:ascii="Arial" w:hAnsi="Arial" w:cs="Arial"/>
          <w:bCs/>
          <w:iCs/>
          <w:kern w:val="28"/>
          <w:sz w:val="36"/>
        </w:rPr>
        <w:t>ENVIRONMENTAL IMPACTS OF SECONDARILY TREATED WASTEWATER DISCHARGE ON THE COASTAL WATER QUALITY OF AL-AWDA BEACH, TOBRUK, LIBYA</w:t>
      </w:r>
    </w:p>
    <w:p w14:paraId="4DD2AA73" w14:textId="77777777" w:rsidR="00A258C3" w:rsidRPr="00790ADA" w:rsidRDefault="00A258C3" w:rsidP="00E25EFB">
      <w:pPr>
        <w:pStyle w:val="Author"/>
        <w:spacing w:line="240" w:lineRule="auto"/>
        <w:jc w:val="both"/>
        <w:rPr>
          <w:rFonts w:ascii="Arial" w:hAnsi="Arial" w:cs="Arial"/>
          <w:sz w:val="36"/>
        </w:rPr>
      </w:pPr>
    </w:p>
    <w:p w14:paraId="6FA97825" w14:textId="77777777" w:rsidR="00795133" w:rsidRDefault="00795133" w:rsidP="00441B6F">
      <w:pPr>
        <w:pStyle w:val="Copyright"/>
        <w:spacing w:after="0" w:line="240" w:lineRule="auto"/>
        <w:jc w:val="both"/>
        <w:rPr>
          <w:rFonts w:ascii="Arial" w:hAnsi="Arial" w:cs="Arial"/>
        </w:rPr>
      </w:pPr>
    </w:p>
    <w:p w14:paraId="5E7851C5" w14:textId="4A606903" w:rsidR="00B01FCD" w:rsidRPr="00FB3A86" w:rsidRDefault="00B2744C" w:rsidP="00441B6F">
      <w:pPr>
        <w:pStyle w:val="Copyright"/>
        <w:spacing w:after="0" w:line="240" w:lineRule="auto"/>
        <w:jc w:val="both"/>
        <w:rPr>
          <w:rFonts w:ascii="Arial" w:hAnsi="Arial" w:cs="Arial"/>
        </w:rPr>
        <w:sectPr w:rsidR="00B01FCD" w:rsidRPr="00FB3A86" w:rsidSect="0079513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E800655" wp14:editId="207FD787">
                <wp:extent cx="5303520" cy="635"/>
                <wp:effectExtent l="0" t="0" r="11430" b="18415"/>
                <wp:docPr id="1981477298"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91BE124"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" strokeweight="1.5pt">
                <o:lock v:ext="edit" shapetype="f"/>
                <w10:wrap anchorx="page"/>
                <w10:anchorlock/>
              </v:shape>
            </w:pict>
          </mc:Fallback>
        </mc:AlternateContent>
      </w:r>
      <w:r w:rsidR="00FB3A86">
        <w:rPr>
          <w:rFonts w:ascii="Arial" w:hAnsi="Arial" w:cs="Arial"/>
        </w:rPr>
        <w:t>.</w:t>
      </w:r>
    </w:p>
    <w:p w14:paraId="48E5DB51" w14:textId="77777777" w:rsidR="00B01FCD" w:rsidRDefault="00B01FCD" w:rsidP="00E25EFB">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51B89B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E6B190C" w14:textId="77777777" w:rsidTr="001E44FE">
        <w:tc>
          <w:tcPr>
            <w:tcW w:w="9576" w:type="dxa"/>
            <w:shd w:val="clear" w:color="auto" w:fill="F2F2F2"/>
          </w:tcPr>
          <w:p w14:paraId="7C7F22C5" w14:textId="77777777" w:rsidR="00DD56E9" w:rsidRPr="00DD56E9" w:rsidRDefault="00DD56E9" w:rsidP="00DD56E9">
            <w:pPr>
              <w:pStyle w:val="Body"/>
              <w:spacing w:after="0"/>
              <w:rPr>
                <w:rFonts w:ascii="Arial" w:eastAsia="Calibri" w:hAnsi="Arial" w:cs="Arial"/>
                <w:szCs w:val="22"/>
              </w:rPr>
            </w:pPr>
            <w:r w:rsidRPr="00DD56E9">
              <w:rPr>
                <w:rFonts w:ascii="Arial" w:eastAsia="Calibri" w:hAnsi="Arial" w:cs="Arial"/>
                <w:b/>
                <w:bCs/>
                <w:szCs w:val="22"/>
              </w:rPr>
              <w:t>Aims</w:t>
            </w:r>
            <w:r w:rsidRPr="00DD56E9">
              <w:rPr>
                <w:rFonts w:ascii="Arial" w:eastAsia="Calibri" w:hAnsi="Arial" w:cs="Arial"/>
                <w:szCs w:val="22"/>
              </w:rPr>
              <w:t>: This study aimed to assess the environmental impacts of wastewater discharge from the Tobruk wastewater treatment plant on the coastal water quality of Al-</w:t>
            </w:r>
            <w:proofErr w:type="spellStart"/>
            <w:r w:rsidRPr="00DD56E9">
              <w:rPr>
                <w:rFonts w:ascii="Arial" w:eastAsia="Calibri" w:hAnsi="Arial" w:cs="Arial"/>
                <w:szCs w:val="22"/>
              </w:rPr>
              <w:t>Awda</w:t>
            </w:r>
            <w:proofErr w:type="spellEnd"/>
            <w:r w:rsidRPr="00DD56E9">
              <w:rPr>
                <w:rFonts w:ascii="Arial" w:eastAsia="Calibri" w:hAnsi="Arial" w:cs="Arial"/>
                <w:szCs w:val="22"/>
              </w:rPr>
              <w:t xml:space="preserve"> Beach, northeastern Libya.</w:t>
            </w:r>
          </w:p>
          <w:p w14:paraId="3465D1FC" w14:textId="77777777" w:rsidR="00DD56E9" w:rsidRPr="00DD56E9" w:rsidRDefault="00DD56E9" w:rsidP="00DD56E9">
            <w:pPr>
              <w:pStyle w:val="Body"/>
              <w:spacing w:after="0"/>
              <w:rPr>
                <w:rFonts w:ascii="Arial" w:eastAsia="Calibri" w:hAnsi="Arial" w:cs="Arial"/>
                <w:szCs w:val="22"/>
              </w:rPr>
            </w:pPr>
            <w:r w:rsidRPr="00DD56E9">
              <w:rPr>
                <w:rFonts w:ascii="Arial" w:eastAsia="Calibri" w:hAnsi="Arial" w:cs="Arial"/>
                <w:szCs w:val="22"/>
              </w:rPr>
              <w:t xml:space="preserve">Study design: A </w:t>
            </w:r>
            <w:proofErr w:type="spellStart"/>
            <w:r w:rsidRPr="00DD56E9">
              <w:rPr>
                <w:rFonts w:ascii="Arial" w:eastAsia="Calibri" w:hAnsi="Arial" w:cs="Arial"/>
                <w:szCs w:val="22"/>
              </w:rPr>
              <w:t>spatio</w:t>
            </w:r>
            <w:proofErr w:type="spellEnd"/>
            <w:r w:rsidRPr="00DD56E9">
              <w:rPr>
                <w:rFonts w:ascii="Arial" w:eastAsia="Calibri" w:hAnsi="Arial" w:cs="Arial"/>
                <w:szCs w:val="22"/>
              </w:rPr>
              <w:t>-temporal observational field study.</w:t>
            </w:r>
          </w:p>
          <w:p w14:paraId="4135721C" w14:textId="77777777" w:rsidR="00DD56E9" w:rsidRPr="00DD56E9" w:rsidRDefault="00DD56E9" w:rsidP="00DD56E9">
            <w:pPr>
              <w:pStyle w:val="Body"/>
              <w:spacing w:after="0"/>
              <w:rPr>
                <w:rFonts w:ascii="Arial" w:eastAsia="Calibri" w:hAnsi="Arial" w:cs="Arial"/>
                <w:szCs w:val="22"/>
              </w:rPr>
            </w:pPr>
            <w:r w:rsidRPr="00DD56E9">
              <w:rPr>
                <w:rFonts w:ascii="Arial" w:eastAsia="Calibri" w:hAnsi="Arial" w:cs="Arial"/>
                <w:szCs w:val="22"/>
              </w:rPr>
              <w:t>Place and Duration of Study: Al-</w:t>
            </w:r>
            <w:proofErr w:type="spellStart"/>
            <w:r w:rsidRPr="00DD56E9">
              <w:rPr>
                <w:rFonts w:ascii="Arial" w:eastAsia="Calibri" w:hAnsi="Arial" w:cs="Arial"/>
                <w:szCs w:val="22"/>
              </w:rPr>
              <w:t>Awda</w:t>
            </w:r>
            <w:proofErr w:type="spellEnd"/>
            <w:r w:rsidRPr="00DD56E9">
              <w:rPr>
                <w:rFonts w:ascii="Arial" w:eastAsia="Calibri" w:hAnsi="Arial" w:cs="Arial"/>
                <w:szCs w:val="22"/>
              </w:rPr>
              <w:t xml:space="preserve"> Beach, Tobruk City, Libya, during autumn 2022 and winter 2023.</w:t>
            </w:r>
          </w:p>
          <w:p w14:paraId="3A67738A" w14:textId="77777777" w:rsidR="00DD56E9" w:rsidRPr="00DD56E9" w:rsidRDefault="00DD56E9" w:rsidP="00DD56E9">
            <w:pPr>
              <w:pStyle w:val="Body"/>
              <w:spacing w:after="0"/>
              <w:rPr>
                <w:rFonts w:ascii="Arial" w:eastAsia="Calibri" w:hAnsi="Arial" w:cs="Arial"/>
                <w:szCs w:val="22"/>
              </w:rPr>
            </w:pPr>
            <w:r w:rsidRPr="00DD56E9">
              <w:rPr>
                <w:rFonts w:ascii="Arial" w:eastAsia="Calibri" w:hAnsi="Arial" w:cs="Arial"/>
                <w:b/>
                <w:bCs/>
                <w:szCs w:val="22"/>
              </w:rPr>
              <w:t>Methodology</w:t>
            </w:r>
            <w:r w:rsidRPr="00DD56E9">
              <w:rPr>
                <w:rFonts w:ascii="Arial" w:eastAsia="Calibri" w:hAnsi="Arial" w:cs="Arial"/>
                <w:szCs w:val="22"/>
              </w:rPr>
              <w:t>: Seawater samples were collected in triplicates from six coastal sites representing a spatial gradient relative to the wastewater outfall. The treatment plant applies secondary treatment with low operational efficiency and an average daily discharge rate of approximately 18,000 m³/day. Site (5) was considered a relative reference site due to its distance from the direct discharge point. Physical, chemical, and microbiological parameters were analyzed following standard APHA and EPA methods. Statistical analyses included one-way ANOVA and Pearson correlation coefficients (R) using SPSS (version 25).</w:t>
            </w:r>
          </w:p>
          <w:p w14:paraId="2DC84708" w14:textId="77777777" w:rsidR="00DD56E9" w:rsidRPr="00DD56E9" w:rsidRDefault="00DD56E9" w:rsidP="00DD56E9">
            <w:pPr>
              <w:pStyle w:val="Body"/>
              <w:spacing w:after="0"/>
              <w:rPr>
                <w:rFonts w:ascii="Arial" w:eastAsia="Calibri" w:hAnsi="Arial" w:cs="Arial"/>
                <w:szCs w:val="22"/>
              </w:rPr>
            </w:pPr>
            <w:r w:rsidRPr="00DD56E9">
              <w:rPr>
                <w:rFonts w:ascii="Arial" w:eastAsia="Calibri" w:hAnsi="Arial" w:cs="Arial"/>
                <w:b/>
                <w:bCs/>
                <w:szCs w:val="22"/>
              </w:rPr>
              <w:t>Results</w:t>
            </w:r>
            <w:r w:rsidRPr="00DD56E9">
              <w:rPr>
                <w:rFonts w:ascii="Arial" w:eastAsia="Calibri" w:hAnsi="Arial" w:cs="Arial"/>
                <w:szCs w:val="22"/>
              </w:rPr>
              <w:t>: Most physicochemical and microbiological parameters showed significantly elevated concentrations at sites close to the discharge point compared with the reference site (P ≤ .05). Ammonia, nitrite, phosphate, BOD, COD, and heavy metals (Cd, Cr, Pb, Fe) exceeded international coastal water quality guidelines. Strong positive correlations were observed between nutrients and oxygen-demand parameters, indicating wastewater as the dominant pollution source. Microbial indicators (E. coli and total coliforms) consistently exceeded recreational water standards, reflecting a substantial public health risk.</w:t>
            </w:r>
          </w:p>
          <w:p w14:paraId="7759C5D6" w14:textId="77777777" w:rsidR="00DD56E9" w:rsidRPr="00DD56E9" w:rsidRDefault="00DD56E9" w:rsidP="00DD56E9">
            <w:pPr>
              <w:pStyle w:val="Body"/>
              <w:spacing w:after="0"/>
              <w:rPr>
                <w:rFonts w:ascii="Arial" w:eastAsia="Calibri" w:hAnsi="Arial" w:cs="Arial"/>
                <w:szCs w:val="22"/>
              </w:rPr>
            </w:pPr>
            <w:r w:rsidRPr="00DD56E9">
              <w:rPr>
                <w:rFonts w:ascii="Arial" w:eastAsia="Calibri" w:hAnsi="Arial" w:cs="Arial"/>
                <w:b/>
                <w:bCs/>
                <w:szCs w:val="22"/>
              </w:rPr>
              <w:t>Conclusion</w:t>
            </w:r>
            <w:r w:rsidRPr="00DD56E9">
              <w:rPr>
                <w:rFonts w:ascii="Arial" w:eastAsia="Calibri" w:hAnsi="Arial" w:cs="Arial"/>
                <w:szCs w:val="22"/>
              </w:rPr>
              <w:t>: The discharge of secondarily treated wastewater with low treatment efficiency has caused marked degradation of coastal water quality at Al-</w:t>
            </w:r>
            <w:proofErr w:type="spellStart"/>
            <w:r w:rsidRPr="00DD56E9">
              <w:rPr>
                <w:rFonts w:ascii="Arial" w:eastAsia="Calibri" w:hAnsi="Arial" w:cs="Arial"/>
                <w:szCs w:val="22"/>
              </w:rPr>
              <w:t>Awda</w:t>
            </w:r>
            <w:proofErr w:type="spellEnd"/>
            <w:r w:rsidRPr="00DD56E9">
              <w:rPr>
                <w:rFonts w:ascii="Arial" w:eastAsia="Calibri" w:hAnsi="Arial" w:cs="Arial"/>
                <w:szCs w:val="22"/>
              </w:rPr>
              <w:t xml:space="preserve"> Beach. The findings highlight the urgent need for upgrading the treatment system and implementing sustainable coastal management strategies to mitigate environmental and health risks.</w:t>
            </w:r>
          </w:p>
          <w:p w14:paraId="4A078AF8" w14:textId="77777777" w:rsidR="00505F06" w:rsidRPr="00BA1B01" w:rsidRDefault="00505F06" w:rsidP="00441B6F">
            <w:pPr>
              <w:pStyle w:val="Body"/>
              <w:spacing w:after="0"/>
              <w:rPr>
                <w:rFonts w:ascii="Arial" w:eastAsia="Calibri" w:hAnsi="Arial" w:cs="Arial"/>
                <w:szCs w:val="22"/>
              </w:rPr>
            </w:pPr>
          </w:p>
        </w:tc>
      </w:tr>
    </w:tbl>
    <w:p w14:paraId="0DACA9BE" w14:textId="77777777" w:rsidR="00636EB2" w:rsidRDefault="00636EB2" w:rsidP="00441B6F">
      <w:pPr>
        <w:pStyle w:val="Body"/>
        <w:spacing w:after="0"/>
        <w:rPr>
          <w:rFonts w:ascii="Arial" w:hAnsi="Arial" w:cs="Arial"/>
          <w:i/>
        </w:rPr>
      </w:pPr>
    </w:p>
    <w:p w14:paraId="33F8A355" w14:textId="77777777" w:rsidR="00A24E7E" w:rsidRDefault="00A24E7E" w:rsidP="00DD56E9">
      <w:pPr>
        <w:pStyle w:val="Body"/>
        <w:spacing w:after="0"/>
        <w:rPr>
          <w:rFonts w:ascii="Arial" w:hAnsi="Arial" w:cs="Arial"/>
          <w:i/>
        </w:rPr>
      </w:pPr>
      <w:r>
        <w:rPr>
          <w:rFonts w:ascii="Arial" w:hAnsi="Arial" w:cs="Arial"/>
          <w:i/>
        </w:rPr>
        <w:t>Keywords</w:t>
      </w:r>
      <w:r w:rsidR="00DD56E9" w:rsidRPr="00DD56E9">
        <w:rPr>
          <w:rFonts w:asciiTheme="minorHAnsi" w:eastAsiaTheme="minorHAnsi" w:hAnsiTheme="minorHAnsi" w:cstheme="minorBidi"/>
          <w:sz w:val="24"/>
          <w:szCs w:val="24"/>
        </w:rPr>
        <w:t xml:space="preserve"> </w:t>
      </w:r>
      <w:r w:rsidR="00DD56E9" w:rsidRPr="00DD56E9">
        <w:rPr>
          <w:rFonts w:ascii="Arial" w:hAnsi="Arial" w:cs="Arial"/>
          <w:i/>
        </w:rPr>
        <w:t>Coastal pollution; Wastewater discharge; Heavy metals; Microbial contamination</w:t>
      </w:r>
    </w:p>
    <w:p w14:paraId="649ECE64" w14:textId="77777777" w:rsidR="00790ADA" w:rsidRDefault="00790ADA" w:rsidP="00441B6F">
      <w:pPr>
        <w:pStyle w:val="Body"/>
        <w:spacing w:after="0"/>
        <w:rPr>
          <w:rFonts w:ascii="Arial" w:hAnsi="Arial" w:cs="Arial"/>
          <w:i/>
        </w:rPr>
      </w:pPr>
    </w:p>
    <w:p w14:paraId="3B60BC5A" w14:textId="77777777" w:rsidR="0024282C" w:rsidRDefault="0024282C" w:rsidP="00441B6F">
      <w:pPr>
        <w:pStyle w:val="Body"/>
        <w:spacing w:after="0"/>
        <w:rPr>
          <w:rFonts w:ascii="Arial" w:hAnsi="Arial" w:cs="Arial"/>
          <w:i/>
          <w:sz w:val="18"/>
        </w:rPr>
      </w:pPr>
    </w:p>
    <w:p w14:paraId="0926A35D" w14:textId="77777777" w:rsidR="00505F06" w:rsidRPr="00A24E7E" w:rsidRDefault="00505F06" w:rsidP="00441B6F">
      <w:pPr>
        <w:pStyle w:val="Body"/>
        <w:spacing w:after="0"/>
        <w:rPr>
          <w:rFonts w:ascii="Arial" w:hAnsi="Arial" w:cs="Arial"/>
          <w:i/>
        </w:rPr>
      </w:pPr>
    </w:p>
    <w:p w14:paraId="2A55D205" w14:textId="77777777" w:rsidR="007F7B32" w:rsidRDefault="00902823" w:rsidP="00DD56E9">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3966DC3D" w14:textId="77777777" w:rsidR="00790ADA" w:rsidRPr="00FB3A86" w:rsidRDefault="00790ADA" w:rsidP="00441B6F">
      <w:pPr>
        <w:pStyle w:val="AbstHead"/>
        <w:spacing w:after="0"/>
        <w:jc w:val="both"/>
        <w:rPr>
          <w:rFonts w:ascii="Arial" w:hAnsi="Arial" w:cs="Arial"/>
        </w:rPr>
      </w:pPr>
    </w:p>
    <w:p w14:paraId="3A1BE282" w14:textId="77777777" w:rsidR="001513B9" w:rsidRPr="001513B9" w:rsidRDefault="001513B9" w:rsidP="001513B9">
      <w:pPr>
        <w:pStyle w:val="Body"/>
        <w:spacing w:after="0"/>
        <w:rPr>
          <w:rFonts w:ascii="Arial" w:hAnsi="Arial" w:cs="Arial"/>
        </w:rPr>
      </w:pPr>
      <w:r w:rsidRPr="001513B9">
        <w:rPr>
          <w:rFonts w:ascii="Arial" w:hAnsi="Arial" w:cs="Arial"/>
        </w:rPr>
        <w:t>Wastewater treatment plants represent essential infrastructure for protecting environmental quality and public health by removing pollutants and pathogenic organisms from wastewater prior to its discharge into the environment. Nevertheless, the construction and operation of wastewater treatment plants may also result in adverse environmental impacts, including high energy consumption, emissions of gases and unpleasant odors, as well as the generation of liquid effluents and sludge. Consequently, conducting environmental impact assessments for wastewater treatment plants is of particular importance, especially in environmentally sensitive areas.</w:t>
      </w:r>
    </w:p>
    <w:p w14:paraId="5ACD609A" w14:textId="77777777" w:rsidR="001513B9" w:rsidRDefault="001513B9" w:rsidP="001513B9">
      <w:pPr>
        <w:pStyle w:val="Body"/>
        <w:spacing w:after="0"/>
        <w:rPr>
          <w:rFonts w:ascii="Arial" w:hAnsi="Arial" w:cs="Arial"/>
        </w:rPr>
      </w:pPr>
      <w:r w:rsidRPr="001513B9">
        <w:rPr>
          <w:rFonts w:ascii="Arial" w:hAnsi="Arial" w:cs="Arial"/>
        </w:rPr>
        <w:t>Coastal zones are among the most productive and socioeconomically valuable ecosystems, as they support biodiversity, fisheries, and recreational activities. However, rapid urban expansion in coastal cities, particularly in developing countries, has intensified pressures on these fragile ecosystems. The discharge of inadequately treated wastewater constitutes one of the major sources of coastal pollution</w:t>
      </w:r>
      <w:r w:rsidR="003A3B04">
        <w:rPr>
          <w:rFonts w:ascii="Arial" w:hAnsi="Arial" w:cs="Arial"/>
        </w:rPr>
        <w:t xml:space="preserve"> (</w:t>
      </w:r>
      <w:proofErr w:type="spellStart"/>
      <w:r w:rsidR="003A3B04" w:rsidRPr="003A3B04">
        <w:rPr>
          <w:rFonts w:ascii="Arial" w:hAnsi="Arial" w:cs="Arial"/>
        </w:rPr>
        <w:t>Owili</w:t>
      </w:r>
      <w:proofErr w:type="spellEnd"/>
      <w:r w:rsidR="003A3B04" w:rsidRPr="003A3B04">
        <w:rPr>
          <w:rFonts w:ascii="Arial" w:hAnsi="Arial" w:cs="Arial"/>
        </w:rPr>
        <w:t>,</w:t>
      </w:r>
      <w:r w:rsidR="003A3B04">
        <w:rPr>
          <w:rFonts w:ascii="Arial" w:hAnsi="Arial" w:cs="Arial"/>
        </w:rPr>
        <w:t xml:space="preserve"> 2006)</w:t>
      </w:r>
      <w:r w:rsidRPr="001513B9">
        <w:rPr>
          <w:rFonts w:ascii="Arial" w:hAnsi="Arial" w:cs="Arial"/>
        </w:rPr>
        <w:t>, introducing excessive loads of organic matter, nutrients, heavy metals, and pathogenic microorganisms into marine environments.</w:t>
      </w:r>
    </w:p>
    <w:p w14:paraId="13FFE9CF" w14:textId="77777777" w:rsidR="00D91798" w:rsidRPr="001513B9" w:rsidRDefault="00D91798" w:rsidP="001513B9">
      <w:pPr>
        <w:pStyle w:val="Body"/>
        <w:spacing w:after="0"/>
        <w:rPr>
          <w:rFonts w:ascii="Arial" w:hAnsi="Arial" w:cs="Arial"/>
        </w:rPr>
      </w:pPr>
    </w:p>
    <w:p w14:paraId="5BB97952" w14:textId="77777777" w:rsidR="001513B9" w:rsidRDefault="001513B9" w:rsidP="00E47856">
      <w:pPr>
        <w:pStyle w:val="Body"/>
        <w:spacing w:after="0"/>
        <w:rPr>
          <w:rFonts w:ascii="Arial" w:hAnsi="Arial" w:cs="Arial"/>
        </w:rPr>
      </w:pPr>
      <w:r w:rsidRPr="001513B9">
        <w:rPr>
          <w:rFonts w:ascii="Arial" w:hAnsi="Arial" w:cs="Arial"/>
        </w:rPr>
        <w:t>Wastewater treatment systems face multiple challenges due to the reception of mixed-source wastewater containing diverse types and concentrations of pollutants. Conventional wastewater treatment plants require substantial resources in terms of energy, space, and technical expertise for effective operation. Additional challenges include insufficient maintenance, improper design affecting effluent quality standards, overloading resulting from population growth and increased water consumption, limited efficiency in removing emerging micro-pollutants, and elevated pathogen loads in treated effluents</w:t>
      </w:r>
      <w:r w:rsidR="00E47856">
        <w:rPr>
          <w:rFonts w:ascii="Arial" w:hAnsi="Arial" w:cs="Arial"/>
        </w:rPr>
        <w:t xml:space="preserve"> (</w:t>
      </w:r>
      <w:r w:rsidR="00E47856" w:rsidRPr="00E47856">
        <w:rPr>
          <w:rFonts w:ascii="Arial" w:hAnsi="Arial" w:cs="Arial"/>
        </w:rPr>
        <w:t>Orate, 2017</w:t>
      </w:r>
      <w:r w:rsidR="00E47856">
        <w:rPr>
          <w:rFonts w:ascii="Arial" w:hAnsi="Arial" w:cs="Arial"/>
        </w:rPr>
        <w:t>)</w:t>
      </w:r>
      <w:r w:rsidRPr="001513B9">
        <w:rPr>
          <w:rFonts w:ascii="Arial" w:hAnsi="Arial" w:cs="Arial"/>
        </w:rPr>
        <w:t>.</w:t>
      </w:r>
    </w:p>
    <w:p w14:paraId="757037CC" w14:textId="77777777" w:rsidR="00D91798" w:rsidRPr="001513B9" w:rsidRDefault="00D91798" w:rsidP="001513B9">
      <w:pPr>
        <w:pStyle w:val="Body"/>
        <w:spacing w:after="0"/>
        <w:rPr>
          <w:rFonts w:ascii="Arial" w:hAnsi="Arial" w:cs="Arial"/>
        </w:rPr>
      </w:pPr>
    </w:p>
    <w:p w14:paraId="6D19745C" w14:textId="77777777" w:rsidR="001513B9" w:rsidRPr="001513B9" w:rsidRDefault="001513B9" w:rsidP="00E47856">
      <w:pPr>
        <w:pStyle w:val="Body"/>
        <w:spacing w:after="0"/>
        <w:rPr>
          <w:rFonts w:ascii="Arial" w:hAnsi="Arial" w:cs="Arial"/>
        </w:rPr>
      </w:pPr>
      <w:r w:rsidRPr="001513B9">
        <w:rPr>
          <w:rFonts w:ascii="Arial" w:hAnsi="Arial" w:cs="Arial"/>
        </w:rPr>
        <w:t>The disposal of wastewater is considered one of the most critical environmental problems confronting many developing countries, where wastewater treatment often does not receive the priority it deserves</w:t>
      </w:r>
      <w:r w:rsidR="00E47856">
        <w:rPr>
          <w:rFonts w:ascii="Arial" w:hAnsi="Arial" w:cs="Arial"/>
        </w:rPr>
        <w:t xml:space="preserve"> (</w:t>
      </w:r>
      <w:proofErr w:type="spellStart"/>
      <w:r w:rsidR="00E47856" w:rsidRPr="00E47856">
        <w:rPr>
          <w:rFonts w:ascii="Arial" w:hAnsi="Arial" w:cs="Arial"/>
        </w:rPr>
        <w:t>Danazumi</w:t>
      </w:r>
      <w:proofErr w:type="spellEnd"/>
      <w:r w:rsidR="00E47856">
        <w:rPr>
          <w:rFonts w:ascii="Arial" w:hAnsi="Arial" w:cs="Arial"/>
        </w:rPr>
        <w:t xml:space="preserve"> </w:t>
      </w:r>
      <w:r w:rsidR="00E47856" w:rsidRPr="005460B5">
        <w:rPr>
          <w:rFonts w:ascii="Arial" w:hAnsi="Arial" w:cs="Arial"/>
        </w:rPr>
        <w:t>&amp;</w:t>
      </w:r>
      <w:r w:rsidR="00E47856">
        <w:rPr>
          <w:rFonts w:ascii="Arial" w:hAnsi="Arial" w:cs="Arial"/>
        </w:rPr>
        <w:t xml:space="preserve"> </w:t>
      </w:r>
      <w:proofErr w:type="spellStart"/>
      <w:r w:rsidR="00E47856" w:rsidRPr="00E47856">
        <w:rPr>
          <w:rFonts w:ascii="Arial" w:hAnsi="Arial" w:cs="Arial"/>
        </w:rPr>
        <w:t>Bichi</w:t>
      </w:r>
      <w:proofErr w:type="spellEnd"/>
      <w:r w:rsidR="00E47856">
        <w:rPr>
          <w:rFonts w:ascii="Arial" w:hAnsi="Arial" w:cs="Arial"/>
        </w:rPr>
        <w:t>, 2010)</w:t>
      </w:r>
      <w:r w:rsidRPr="001513B9">
        <w:rPr>
          <w:rFonts w:ascii="Arial" w:hAnsi="Arial" w:cs="Arial"/>
        </w:rPr>
        <w:t>. Treated or partially treated wastewater is commonly discharged into surrounding environments or reused for agricultural purposes, depending on climatic conditions, soil characteristics, and the level of technological development. In humid coastal regions, wastewater is frequently discharged into rivers or directly into marine waters. Despite the prevailing assumption that seawater possesses a high natural assimilative capacity, recent studies have demonstrated that continuous wastewater discharge into shallow coastal areas can overwhelm natural self-purification processes. This issue becomes particularly serious when discharge outfalls are located near bathing areas, leading to environmental degradation and increased risks to public health.</w:t>
      </w:r>
    </w:p>
    <w:p w14:paraId="0491D2CE" w14:textId="77777777" w:rsidR="001513B9" w:rsidRPr="001513B9" w:rsidRDefault="001513B9" w:rsidP="001513B9">
      <w:pPr>
        <w:pStyle w:val="Body"/>
        <w:spacing w:after="0"/>
        <w:rPr>
          <w:rFonts w:ascii="Arial" w:hAnsi="Arial" w:cs="Arial"/>
        </w:rPr>
      </w:pPr>
      <w:r w:rsidRPr="001513B9">
        <w:rPr>
          <w:rFonts w:ascii="Arial" w:hAnsi="Arial" w:cs="Arial"/>
        </w:rPr>
        <w:t>In Tobruk City, secondarily treated wastewater is discharged directly into Al-</w:t>
      </w:r>
      <w:proofErr w:type="spellStart"/>
      <w:r w:rsidRPr="001513B9">
        <w:rPr>
          <w:rFonts w:ascii="Arial" w:hAnsi="Arial" w:cs="Arial"/>
        </w:rPr>
        <w:t>Awda</w:t>
      </w:r>
      <w:proofErr w:type="spellEnd"/>
      <w:r w:rsidRPr="001513B9">
        <w:rPr>
          <w:rFonts w:ascii="Arial" w:hAnsi="Arial" w:cs="Arial"/>
        </w:rPr>
        <w:t xml:space="preserve"> Beach, a coastal area widely used for recreational activities. Therefore, the present study aims to provide a comprehensive environmental assessment of the impacts of wastewater discharge on the coastal water quality of Al-</w:t>
      </w:r>
      <w:proofErr w:type="spellStart"/>
      <w:r w:rsidRPr="001513B9">
        <w:rPr>
          <w:rFonts w:ascii="Arial" w:hAnsi="Arial" w:cs="Arial"/>
        </w:rPr>
        <w:t>Awda</w:t>
      </w:r>
      <w:proofErr w:type="spellEnd"/>
      <w:r w:rsidRPr="001513B9">
        <w:rPr>
          <w:rFonts w:ascii="Arial" w:hAnsi="Arial" w:cs="Arial"/>
        </w:rPr>
        <w:t xml:space="preserve"> Beach</w:t>
      </w:r>
    </w:p>
    <w:p w14:paraId="6950D32B" w14:textId="77777777" w:rsidR="00DD56E9" w:rsidRPr="00FB3A86" w:rsidRDefault="00DD56E9" w:rsidP="00DD56E9">
      <w:pPr>
        <w:pStyle w:val="Body"/>
        <w:spacing w:after="0"/>
        <w:rPr>
          <w:rFonts w:ascii="Arial" w:hAnsi="Arial" w:cs="Arial"/>
          <w:rtl/>
          <w:lang w:bidi="ar-LY"/>
        </w:rPr>
      </w:pPr>
    </w:p>
    <w:p w14:paraId="5CC20A83" w14:textId="77777777" w:rsidR="007F7B32" w:rsidRDefault="00902823" w:rsidP="00B6344C">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B1A2107" w14:textId="77777777" w:rsidR="00790ADA" w:rsidRPr="00FB3A86" w:rsidRDefault="00790ADA" w:rsidP="00441B6F">
      <w:pPr>
        <w:pStyle w:val="AbstHead"/>
        <w:spacing w:after="0"/>
        <w:jc w:val="both"/>
        <w:rPr>
          <w:rFonts w:ascii="Arial" w:hAnsi="Arial" w:cs="Arial"/>
        </w:rPr>
      </w:pPr>
    </w:p>
    <w:p w14:paraId="5471D06D" w14:textId="77777777" w:rsidR="00A82B4B" w:rsidRPr="00A82B4B" w:rsidRDefault="00A82B4B" w:rsidP="00A82B4B">
      <w:pPr>
        <w:pStyle w:val="Body"/>
        <w:spacing w:after="0"/>
        <w:rPr>
          <w:rFonts w:ascii="Arial" w:hAnsi="Arial" w:cs="Arial"/>
          <w:b/>
          <w:bCs/>
          <w:sz w:val="22"/>
          <w:szCs w:val="22"/>
        </w:rPr>
      </w:pPr>
      <w:r w:rsidRPr="00A82B4B">
        <w:rPr>
          <w:rFonts w:ascii="Arial" w:hAnsi="Arial" w:cs="Arial"/>
          <w:b/>
          <w:bCs/>
          <w:sz w:val="22"/>
          <w:szCs w:val="22"/>
        </w:rPr>
        <w:t>2.1 Study Area</w:t>
      </w:r>
    </w:p>
    <w:p w14:paraId="2D55B8FF" w14:textId="77777777" w:rsidR="00A82B4B" w:rsidRPr="00A82B4B" w:rsidRDefault="00A82B4B" w:rsidP="00A82B4B">
      <w:pPr>
        <w:pStyle w:val="Body"/>
        <w:spacing w:after="0"/>
        <w:rPr>
          <w:rFonts w:ascii="Arial" w:hAnsi="Arial" w:cs="Arial"/>
        </w:rPr>
      </w:pPr>
      <w:r w:rsidRPr="00A82B4B">
        <w:rPr>
          <w:rFonts w:ascii="Arial" w:hAnsi="Arial" w:cs="Arial"/>
        </w:rPr>
        <w:t>Tobruk City is located on the northeastern Mediterranean coast of Libya within the Al-</w:t>
      </w:r>
      <w:proofErr w:type="spellStart"/>
      <w:r w:rsidRPr="00A82B4B">
        <w:rPr>
          <w:rFonts w:ascii="Arial" w:hAnsi="Arial" w:cs="Arial"/>
        </w:rPr>
        <w:t>Batnan</w:t>
      </w:r>
      <w:proofErr w:type="spellEnd"/>
      <w:r w:rsidRPr="00A82B4B">
        <w:rPr>
          <w:rFonts w:ascii="Arial" w:hAnsi="Arial" w:cs="Arial"/>
        </w:rPr>
        <w:t xml:space="preserve"> region Figure </w:t>
      </w:r>
      <w:r w:rsidRPr="00A82B4B">
        <w:rPr>
          <w:rFonts w:ascii="Arial" w:hAnsi="Arial" w:cs="Arial"/>
        </w:rPr>
        <w:fldChar w:fldCharType="begin"/>
      </w:r>
      <w:r w:rsidRPr="00A82B4B">
        <w:rPr>
          <w:rFonts w:ascii="Arial" w:hAnsi="Arial" w:cs="Arial"/>
        </w:rPr>
        <w:instrText xml:space="preserve"> SEQ Figure \* ARABIC </w:instrText>
      </w:r>
      <w:r w:rsidRPr="00A82B4B">
        <w:rPr>
          <w:rFonts w:ascii="Arial" w:hAnsi="Arial" w:cs="Arial"/>
        </w:rPr>
        <w:fldChar w:fldCharType="separate"/>
      </w:r>
      <w:r w:rsidRPr="00A82B4B">
        <w:rPr>
          <w:rFonts w:ascii="Arial" w:hAnsi="Arial" w:cs="Arial"/>
        </w:rPr>
        <w:t>1</w:t>
      </w:r>
      <w:r w:rsidRPr="00A82B4B">
        <w:rPr>
          <w:rFonts w:ascii="Arial" w:hAnsi="Arial" w:cs="Arial"/>
        </w:rPr>
        <w:fldChar w:fldCharType="end"/>
      </w:r>
      <w:r w:rsidRPr="00A82B4B">
        <w:rPr>
          <w:rFonts w:ascii="Arial" w:hAnsi="Arial" w:cs="Arial"/>
        </w:rPr>
        <w:t>. The area is characterized by a semi-arid climate, limited freshwater resources, and environmentally sensitive coastal conditions. The Tobruk wastewater treatment plant is situated near the shoreline and discharges secondarily treated effluent directly into Al-</w:t>
      </w:r>
      <w:proofErr w:type="spellStart"/>
      <w:r w:rsidRPr="00A82B4B">
        <w:rPr>
          <w:rFonts w:ascii="Arial" w:hAnsi="Arial" w:cs="Arial"/>
        </w:rPr>
        <w:t>Awda</w:t>
      </w:r>
      <w:proofErr w:type="spellEnd"/>
      <w:r w:rsidRPr="00A82B4B">
        <w:rPr>
          <w:rFonts w:ascii="Arial" w:hAnsi="Arial" w:cs="Arial"/>
        </w:rPr>
        <w:t xml:space="preserve"> Beach at an average rate of approximately 18,000 m³/day.</w:t>
      </w:r>
    </w:p>
    <w:p w14:paraId="4CA6C87B" w14:textId="77777777" w:rsidR="00A82B4B" w:rsidRPr="00A82B4B" w:rsidRDefault="00A82B4B" w:rsidP="00E53424">
      <w:pPr>
        <w:pStyle w:val="Body"/>
        <w:spacing w:after="0"/>
        <w:jc w:val="center"/>
        <w:rPr>
          <w:rFonts w:ascii="Arial" w:hAnsi="Arial" w:cs="Arial"/>
        </w:rPr>
      </w:pPr>
      <w:r w:rsidRPr="00A82B4B">
        <w:rPr>
          <w:rFonts w:ascii="Arial" w:hAnsi="Arial" w:cs="Arial"/>
          <w:noProof/>
        </w:rPr>
        <w:lastRenderedPageBreak/>
        <w:drawing>
          <wp:inline distT="0" distB="0" distL="0" distR="0" wp14:anchorId="637C180E" wp14:editId="2AB3ABE7">
            <wp:extent cx="3530464" cy="272770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06-27 at 10.18.42 PM.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31510" cy="2728508"/>
                    </a:xfrm>
                    <a:prstGeom prst="rect">
                      <a:avLst/>
                    </a:prstGeom>
                  </pic:spPr>
                </pic:pic>
              </a:graphicData>
            </a:graphic>
          </wp:inline>
        </w:drawing>
      </w:r>
    </w:p>
    <w:p w14:paraId="3565F937" w14:textId="77777777" w:rsidR="00A82B4B" w:rsidRDefault="00A82B4B" w:rsidP="00E53424">
      <w:pPr>
        <w:pStyle w:val="Body"/>
        <w:spacing w:after="0"/>
        <w:jc w:val="center"/>
        <w:rPr>
          <w:rFonts w:ascii="Arial" w:hAnsi="Arial" w:cs="Arial"/>
          <w:i/>
        </w:rPr>
      </w:pPr>
      <w:r w:rsidRPr="00A82B4B">
        <w:rPr>
          <w:rFonts w:ascii="Arial" w:hAnsi="Arial" w:cs="Arial"/>
          <w:i/>
        </w:rPr>
        <w:t xml:space="preserve">Figure </w:t>
      </w:r>
      <w:r w:rsidRPr="00A82B4B">
        <w:rPr>
          <w:rFonts w:ascii="Arial" w:hAnsi="Arial" w:cs="Arial"/>
          <w:i/>
        </w:rPr>
        <w:fldChar w:fldCharType="begin"/>
      </w:r>
      <w:r w:rsidRPr="00A82B4B">
        <w:rPr>
          <w:rFonts w:ascii="Arial" w:hAnsi="Arial" w:cs="Arial"/>
          <w:i/>
        </w:rPr>
        <w:instrText xml:space="preserve"> SEQ Figure \* ARABIC </w:instrText>
      </w:r>
      <w:r w:rsidRPr="00A82B4B">
        <w:rPr>
          <w:rFonts w:ascii="Arial" w:hAnsi="Arial" w:cs="Arial"/>
          <w:i/>
        </w:rPr>
        <w:fldChar w:fldCharType="separate"/>
      </w:r>
      <w:r w:rsidRPr="00A82B4B">
        <w:rPr>
          <w:rFonts w:ascii="Arial" w:hAnsi="Arial" w:cs="Arial"/>
          <w:i/>
        </w:rPr>
        <w:t>1</w:t>
      </w:r>
      <w:r w:rsidRPr="00A82B4B">
        <w:rPr>
          <w:rFonts w:ascii="Arial" w:hAnsi="Arial" w:cs="Arial"/>
        </w:rPr>
        <w:fldChar w:fldCharType="end"/>
      </w:r>
      <w:r w:rsidRPr="00A82B4B">
        <w:rPr>
          <w:rFonts w:ascii="Arial" w:hAnsi="Arial" w:cs="Arial"/>
          <w:i/>
        </w:rPr>
        <w:t xml:space="preserve"> the geographical location of the study area</w:t>
      </w:r>
    </w:p>
    <w:p w14:paraId="2416875A" w14:textId="77777777" w:rsidR="00A82B4B" w:rsidRPr="00A82B4B" w:rsidRDefault="00A82B4B" w:rsidP="00A82B4B">
      <w:pPr>
        <w:pStyle w:val="Body"/>
        <w:spacing w:after="0"/>
        <w:rPr>
          <w:rFonts w:ascii="Arial" w:hAnsi="Arial" w:cs="Arial"/>
          <w:i/>
        </w:rPr>
      </w:pPr>
    </w:p>
    <w:p w14:paraId="0F534F68" w14:textId="77777777" w:rsidR="00A82B4B" w:rsidRPr="00A82B4B" w:rsidRDefault="00A82B4B" w:rsidP="00A82B4B">
      <w:pPr>
        <w:pStyle w:val="Body"/>
        <w:spacing w:after="0"/>
        <w:rPr>
          <w:rFonts w:ascii="Arial" w:hAnsi="Arial" w:cs="Arial"/>
          <w:b/>
          <w:bCs/>
        </w:rPr>
      </w:pPr>
      <w:r w:rsidRPr="00A82B4B">
        <w:rPr>
          <w:rFonts w:ascii="Arial" w:hAnsi="Arial" w:cs="Arial"/>
          <w:b/>
          <w:bCs/>
          <w:sz w:val="22"/>
          <w:szCs w:val="22"/>
        </w:rPr>
        <w:t>2.2 Sampling Design and Collection</w:t>
      </w:r>
    </w:p>
    <w:p w14:paraId="0A19F5BE" w14:textId="77777777" w:rsidR="00A82B4B" w:rsidRPr="00A82B4B" w:rsidRDefault="00A82B4B" w:rsidP="00A82B4B">
      <w:pPr>
        <w:pStyle w:val="Body"/>
        <w:spacing w:after="0"/>
        <w:rPr>
          <w:rFonts w:ascii="Arial" w:hAnsi="Arial" w:cs="Arial"/>
        </w:rPr>
      </w:pPr>
      <w:r w:rsidRPr="00A82B4B">
        <w:rPr>
          <w:rFonts w:ascii="Arial" w:hAnsi="Arial" w:cs="Arial"/>
        </w:rPr>
        <w:t xml:space="preserve">A </w:t>
      </w:r>
      <w:proofErr w:type="spellStart"/>
      <w:r w:rsidRPr="00A82B4B">
        <w:rPr>
          <w:rFonts w:ascii="Arial" w:hAnsi="Arial" w:cs="Arial"/>
        </w:rPr>
        <w:t>spatio</w:t>
      </w:r>
      <w:proofErr w:type="spellEnd"/>
      <w:r w:rsidRPr="00A82B4B">
        <w:rPr>
          <w:rFonts w:ascii="Arial" w:hAnsi="Arial" w:cs="Arial"/>
        </w:rPr>
        <w:t xml:space="preserve">-temporal sampling design was adopted. Seawater samples were collected from six sites during autumn 2022 and winter 2023 Figure </w:t>
      </w:r>
      <w:r w:rsidRPr="00A82B4B">
        <w:rPr>
          <w:rFonts w:ascii="Arial" w:hAnsi="Arial" w:cs="Arial"/>
        </w:rPr>
        <w:fldChar w:fldCharType="begin"/>
      </w:r>
      <w:r w:rsidRPr="00A82B4B">
        <w:rPr>
          <w:rFonts w:ascii="Arial" w:hAnsi="Arial" w:cs="Arial"/>
        </w:rPr>
        <w:instrText xml:space="preserve"> SEQ Figure \* ARABIC </w:instrText>
      </w:r>
      <w:r w:rsidRPr="00A82B4B">
        <w:rPr>
          <w:rFonts w:ascii="Arial" w:hAnsi="Arial" w:cs="Arial"/>
        </w:rPr>
        <w:fldChar w:fldCharType="separate"/>
      </w:r>
      <w:r w:rsidRPr="00A82B4B">
        <w:rPr>
          <w:rFonts w:ascii="Arial" w:hAnsi="Arial" w:cs="Arial"/>
        </w:rPr>
        <w:t>2</w:t>
      </w:r>
      <w:r w:rsidRPr="00A82B4B">
        <w:rPr>
          <w:rFonts w:ascii="Arial" w:hAnsi="Arial" w:cs="Arial"/>
        </w:rPr>
        <w:fldChar w:fldCharType="end"/>
      </w:r>
      <w:r w:rsidRPr="00A82B4B">
        <w:rPr>
          <w:rFonts w:ascii="Arial" w:hAnsi="Arial" w:cs="Arial"/>
        </w:rPr>
        <w:t>. Sampling was conducted at a depth of 30 cm below the water surface and at distances of 5 m and 200 m from the shoreline. Each sample was collected in triplicate. Site (5) was designated as a relative reference site due to its location farther from the direct influence of the discharge point.</w:t>
      </w:r>
    </w:p>
    <w:p w14:paraId="20F52CE7" w14:textId="77777777" w:rsidR="00A82B4B" w:rsidRPr="00A82B4B" w:rsidRDefault="00A82B4B" w:rsidP="00E53424">
      <w:pPr>
        <w:pStyle w:val="Body"/>
        <w:spacing w:after="0"/>
        <w:jc w:val="center"/>
        <w:rPr>
          <w:rFonts w:ascii="Arial" w:hAnsi="Arial" w:cs="Arial"/>
        </w:rPr>
      </w:pPr>
      <w:r w:rsidRPr="00A82B4B">
        <w:rPr>
          <w:rFonts w:ascii="Arial" w:hAnsi="Arial" w:cs="Arial" w:hint="cs"/>
          <w:b/>
          <w:bCs/>
          <w:noProof/>
        </w:rPr>
        <w:drawing>
          <wp:inline distT="0" distB="0" distL="0" distR="0" wp14:anchorId="49D67617" wp14:editId="437D1A89">
            <wp:extent cx="3647820" cy="2389603"/>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06-27 at 8.33.07 PM.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50632" cy="2391445"/>
                    </a:xfrm>
                    <a:prstGeom prst="rect">
                      <a:avLst/>
                    </a:prstGeom>
                  </pic:spPr>
                </pic:pic>
              </a:graphicData>
            </a:graphic>
          </wp:inline>
        </w:drawing>
      </w:r>
    </w:p>
    <w:p w14:paraId="78C85A34" w14:textId="77777777" w:rsidR="00A82B4B" w:rsidRPr="00A82B4B" w:rsidRDefault="00A82B4B" w:rsidP="00E53424">
      <w:pPr>
        <w:pStyle w:val="Body"/>
        <w:spacing w:after="0"/>
        <w:jc w:val="center"/>
        <w:rPr>
          <w:rFonts w:ascii="Arial" w:hAnsi="Arial" w:cs="Arial"/>
          <w:i/>
        </w:rPr>
      </w:pPr>
      <w:r w:rsidRPr="00A82B4B">
        <w:rPr>
          <w:rFonts w:ascii="Arial" w:hAnsi="Arial" w:cs="Arial"/>
          <w:i/>
        </w:rPr>
        <w:t xml:space="preserve">Figure </w:t>
      </w:r>
      <w:r w:rsidRPr="00A82B4B">
        <w:rPr>
          <w:rFonts w:ascii="Arial" w:hAnsi="Arial" w:cs="Arial"/>
          <w:i/>
        </w:rPr>
        <w:fldChar w:fldCharType="begin"/>
      </w:r>
      <w:r w:rsidRPr="00A82B4B">
        <w:rPr>
          <w:rFonts w:ascii="Arial" w:hAnsi="Arial" w:cs="Arial"/>
          <w:i/>
        </w:rPr>
        <w:instrText xml:space="preserve"> SEQ Figure \* ARABIC </w:instrText>
      </w:r>
      <w:r w:rsidRPr="00A82B4B">
        <w:rPr>
          <w:rFonts w:ascii="Arial" w:hAnsi="Arial" w:cs="Arial"/>
          <w:i/>
        </w:rPr>
        <w:fldChar w:fldCharType="separate"/>
      </w:r>
      <w:r w:rsidRPr="00A82B4B">
        <w:rPr>
          <w:rFonts w:ascii="Arial" w:hAnsi="Arial" w:cs="Arial"/>
          <w:i/>
        </w:rPr>
        <w:t>2</w:t>
      </w:r>
      <w:r w:rsidRPr="00A82B4B">
        <w:rPr>
          <w:rFonts w:ascii="Arial" w:hAnsi="Arial" w:cs="Arial"/>
        </w:rPr>
        <w:fldChar w:fldCharType="end"/>
      </w:r>
      <w:r w:rsidRPr="00A82B4B">
        <w:rPr>
          <w:rFonts w:ascii="Arial" w:hAnsi="Arial" w:cs="Arial"/>
          <w:i/>
        </w:rPr>
        <w:t xml:space="preserve"> the spatial distribution of the six sampling sites along Al-</w:t>
      </w:r>
      <w:proofErr w:type="spellStart"/>
      <w:r w:rsidRPr="00A82B4B">
        <w:rPr>
          <w:rFonts w:ascii="Arial" w:hAnsi="Arial" w:cs="Arial"/>
          <w:i/>
        </w:rPr>
        <w:t>Awda</w:t>
      </w:r>
      <w:proofErr w:type="spellEnd"/>
      <w:r w:rsidRPr="00A82B4B">
        <w:rPr>
          <w:rFonts w:ascii="Arial" w:hAnsi="Arial" w:cs="Arial"/>
          <w:i/>
        </w:rPr>
        <w:t xml:space="preserve"> Beach.</w:t>
      </w:r>
    </w:p>
    <w:p w14:paraId="39397740" w14:textId="77777777" w:rsidR="00A82B4B" w:rsidRPr="00A82B4B" w:rsidRDefault="00A82B4B" w:rsidP="00A82B4B">
      <w:pPr>
        <w:pStyle w:val="Body"/>
        <w:spacing w:after="0"/>
        <w:rPr>
          <w:rFonts w:ascii="Arial" w:hAnsi="Arial" w:cs="Arial"/>
        </w:rPr>
      </w:pPr>
    </w:p>
    <w:p w14:paraId="6CA09D8D" w14:textId="77777777" w:rsidR="00A82B4B" w:rsidRPr="00A82B4B" w:rsidRDefault="00A82B4B" w:rsidP="00A82B4B">
      <w:pPr>
        <w:pStyle w:val="Body"/>
        <w:spacing w:after="0"/>
        <w:rPr>
          <w:rFonts w:ascii="Arial" w:hAnsi="Arial" w:cs="Arial"/>
          <w:b/>
          <w:bCs/>
          <w:sz w:val="22"/>
          <w:szCs w:val="22"/>
        </w:rPr>
      </w:pPr>
      <w:r w:rsidRPr="00A82B4B">
        <w:rPr>
          <w:rFonts w:ascii="Arial" w:hAnsi="Arial" w:cs="Arial"/>
          <w:b/>
          <w:bCs/>
          <w:sz w:val="22"/>
          <w:szCs w:val="22"/>
        </w:rPr>
        <w:t>2.3 Laboratory Analyses</w:t>
      </w:r>
    </w:p>
    <w:p w14:paraId="68C9191D" w14:textId="77777777" w:rsidR="00A82B4B" w:rsidRDefault="00A82B4B" w:rsidP="00A82B4B">
      <w:pPr>
        <w:pStyle w:val="Body"/>
        <w:spacing w:after="0"/>
        <w:rPr>
          <w:rFonts w:ascii="Arial" w:hAnsi="Arial" w:cs="Arial"/>
        </w:rPr>
      </w:pPr>
      <w:r w:rsidRPr="00A82B4B">
        <w:rPr>
          <w:rFonts w:ascii="Arial" w:hAnsi="Arial" w:cs="Arial"/>
        </w:rPr>
        <w:t>Physical parameters (temperature, pH, electrical conductivity, and total dissolved solids) were measured in situ or immediately upon sample arrival at the laboratory. Nutrients (NH</w:t>
      </w:r>
      <w:r w:rsidRPr="00A82B4B">
        <w:rPr>
          <w:rFonts w:ascii="Cambria Math" w:hAnsi="Cambria Math" w:cs="Cambria Math"/>
        </w:rPr>
        <w:t>₃</w:t>
      </w:r>
      <w:r w:rsidRPr="00A82B4B">
        <w:rPr>
          <w:rFonts w:ascii="Arial" w:hAnsi="Arial" w:cs="Arial"/>
        </w:rPr>
        <w:t>, NO</w:t>
      </w:r>
      <w:r w:rsidRPr="00A82B4B">
        <w:rPr>
          <w:rFonts w:ascii="Cambria Math" w:hAnsi="Cambria Math" w:cs="Cambria Math"/>
        </w:rPr>
        <w:t>₂⁻</w:t>
      </w:r>
      <w:r w:rsidRPr="00A82B4B">
        <w:rPr>
          <w:rFonts w:ascii="Arial" w:hAnsi="Arial" w:cs="Arial"/>
        </w:rPr>
        <w:t>, PO</w:t>
      </w:r>
      <w:r w:rsidRPr="00A82B4B">
        <w:rPr>
          <w:rFonts w:ascii="Cambria Math" w:hAnsi="Cambria Math" w:cs="Cambria Math"/>
        </w:rPr>
        <w:t>₄</w:t>
      </w:r>
      <w:r w:rsidRPr="00A82B4B">
        <w:rPr>
          <w:rFonts w:ascii="Arial" w:hAnsi="Arial" w:cs="Arial"/>
        </w:rPr>
        <w:t>³</w:t>
      </w:r>
      <w:r w:rsidRPr="00A82B4B">
        <w:rPr>
          <w:rFonts w:ascii="Cambria Math" w:hAnsi="Cambria Math" w:cs="Cambria Math"/>
        </w:rPr>
        <w:t>⁻</w:t>
      </w:r>
      <w:r w:rsidRPr="00A82B4B">
        <w:rPr>
          <w:rFonts w:ascii="Arial" w:hAnsi="Arial" w:cs="Arial"/>
        </w:rPr>
        <w:t>), BOD, and COD were analyzed following standard APHA methods</w:t>
      </w:r>
      <w:r w:rsidR="00783B22">
        <w:rPr>
          <w:rFonts w:ascii="Arial" w:hAnsi="Arial" w:cs="Arial"/>
        </w:rPr>
        <w:t xml:space="preserve"> </w:t>
      </w:r>
      <w:r w:rsidR="00783B22" w:rsidRPr="00783B22">
        <w:rPr>
          <w:rFonts w:ascii="Arial" w:hAnsi="Arial" w:cs="Arial"/>
        </w:rPr>
        <w:t>(APHA</w:t>
      </w:r>
      <w:r w:rsidR="00D91798">
        <w:rPr>
          <w:rFonts w:ascii="Arial" w:hAnsi="Arial" w:cs="Arial"/>
        </w:rPr>
        <w:t>.</w:t>
      </w:r>
      <w:r w:rsidR="00783B22" w:rsidRPr="00783B22">
        <w:rPr>
          <w:rFonts w:ascii="Arial" w:hAnsi="Arial" w:cs="Arial"/>
        </w:rPr>
        <w:t>, 2003)</w:t>
      </w:r>
      <w:r w:rsidRPr="00A82B4B">
        <w:rPr>
          <w:rFonts w:ascii="Arial" w:hAnsi="Arial" w:cs="Arial"/>
        </w:rPr>
        <w:t>. Heavy metals (Cd, Cr, Pb, Fe) were quantified using flame atomic absorption spectrophotometry after acid digestion according to EPA Method 3050B</w:t>
      </w:r>
      <w:r w:rsidR="00783B22">
        <w:rPr>
          <w:rFonts w:ascii="Arial" w:hAnsi="Arial" w:cs="Arial"/>
        </w:rPr>
        <w:t xml:space="preserve"> </w:t>
      </w:r>
      <w:r w:rsidR="00783B22" w:rsidRPr="00783B22">
        <w:rPr>
          <w:rFonts w:ascii="Arial" w:hAnsi="Arial" w:cs="Arial"/>
        </w:rPr>
        <w:t>(EPA</w:t>
      </w:r>
      <w:r w:rsidR="00D91798">
        <w:rPr>
          <w:rFonts w:ascii="Arial" w:hAnsi="Arial" w:cs="Arial"/>
        </w:rPr>
        <w:t>.</w:t>
      </w:r>
      <w:r w:rsidR="00783B22" w:rsidRPr="00783B22">
        <w:rPr>
          <w:rFonts w:ascii="Arial" w:hAnsi="Arial" w:cs="Arial"/>
        </w:rPr>
        <w:t>,1996)</w:t>
      </w:r>
      <w:r w:rsidRPr="00A82B4B">
        <w:rPr>
          <w:rFonts w:ascii="Arial" w:hAnsi="Arial" w:cs="Arial"/>
        </w:rPr>
        <w:t>. Microbiological analyses for E. coli and total coliforms were conducted using membrane filtration and most probable number (MPN) techniques.</w:t>
      </w:r>
    </w:p>
    <w:p w14:paraId="05D56726" w14:textId="77777777" w:rsidR="00A82B4B" w:rsidRPr="00A82B4B" w:rsidRDefault="00A82B4B" w:rsidP="00A82B4B">
      <w:pPr>
        <w:pStyle w:val="Body"/>
        <w:spacing w:after="0"/>
        <w:rPr>
          <w:rFonts w:ascii="Arial" w:hAnsi="Arial" w:cs="Arial"/>
        </w:rPr>
      </w:pPr>
    </w:p>
    <w:p w14:paraId="66E2C8B6" w14:textId="77777777" w:rsidR="00A82B4B" w:rsidRPr="00A82B4B" w:rsidRDefault="00A82B4B" w:rsidP="00A82B4B">
      <w:pPr>
        <w:pStyle w:val="Body"/>
        <w:spacing w:after="0"/>
        <w:rPr>
          <w:rFonts w:ascii="Arial" w:hAnsi="Arial" w:cs="Arial"/>
          <w:b/>
          <w:bCs/>
        </w:rPr>
      </w:pPr>
      <w:r w:rsidRPr="00A82B4B">
        <w:rPr>
          <w:rFonts w:ascii="Arial" w:hAnsi="Arial" w:cs="Arial"/>
          <w:b/>
          <w:bCs/>
          <w:sz w:val="22"/>
          <w:szCs w:val="22"/>
        </w:rPr>
        <w:t>2.4 Statistical Analysis</w:t>
      </w:r>
    </w:p>
    <w:p w14:paraId="253AD8E4" w14:textId="77777777" w:rsidR="00A82B4B" w:rsidRPr="00A82B4B" w:rsidRDefault="00A82B4B" w:rsidP="00A82B4B">
      <w:pPr>
        <w:pStyle w:val="Body"/>
        <w:spacing w:after="0"/>
        <w:rPr>
          <w:rFonts w:ascii="Arial" w:hAnsi="Arial" w:cs="Arial"/>
        </w:rPr>
      </w:pPr>
      <w:r w:rsidRPr="00A82B4B">
        <w:rPr>
          <w:rFonts w:ascii="Arial" w:hAnsi="Arial" w:cs="Arial"/>
        </w:rPr>
        <w:t>Data were statistically analyzed using SPSS version 25. One-way analysis of variance (ANOVA) was applied to test spatial and seasonal differences, while Pearson correlation coefficients (R) were used to examine relationships among physicochemical and biological variables. Statistical significance was set at P ≤ .05.</w:t>
      </w:r>
    </w:p>
    <w:p w14:paraId="5D9F7672" w14:textId="77777777" w:rsidR="00A82B4B" w:rsidRPr="00A82B4B" w:rsidRDefault="00A82B4B" w:rsidP="00A82B4B">
      <w:pPr>
        <w:pStyle w:val="Body"/>
        <w:spacing w:after="0"/>
        <w:rPr>
          <w:rFonts w:ascii="Arial" w:hAnsi="Arial" w:cs="Arial"/>
        </w:rPr>
      </w:pPr>
      <w:r w:rsidRPr="00A82B4B">
        <w:rPr>
          <w:rFonts w:ascii="Arial" w:hAnsi="Arial" w:cs="Arial"/>
        </w:rPr>
        <w:t>Figure 1 illustrates the geographical location of the study area, while Figure 2 shows the spatial distribution of the six sampling sites along Al-</w:t>
      </w:r>
      <w:proofErr w:type="spellStart"/>
      <w:r w:rsidRPr="00A82B4B">
        <w:rPr>
          <w:rFonts w:ascii="Arial" w:hAnsi="Arial" w:cs="Arial"/>
        </w:rPr>
        <w:t>Awda</w:t>
      </w:r>
      <w:proofErr w:type="spellEnd"/>
      <w:r w:rsidRPr="00A82B4B">
        <w:rPr>
          <w:rFonts w:ascii="Arial" w:hAnsi="Arial" w:cs="Arial"/>
        </w:rPr>
        <w:t xml:space="preserve"> Beach.</w:t>
      </w:r>
    </w:p>
    <w:p w14:paraId="498FE887" w14:textId="77777777" w:rsidR="00790ADA" w:rsidRDefault="00A82B4B" w:rsidP="00A82B4B">
      <w:pPr>
        <w:pStyle w:val="Body"/>
        <w:spacing w:after="0"/>
        <w:rPr>
          <w:rFonts w:ascii="Arial" w:hAnsi="Arial" w:cs="Arial"/>
        </w:rPr>
      </w:pPr>
      <w:r w:rsidRPr="00A82B4B">
        <w:rPr>
          <w:rFonts w:ascii="Arial" w:hAnsi="Arial" w:cs="Arial"/>
        </w:rPr>
        <w:t>Table 1 summarizes the physicochemical and microbiological characteristics of seawater samples collected during autumn 2022 and winter 2023. Table 2 presents the</w:t>
      </w:r>
    </w:p>
    <w:p w14:paraId="30D85936" w14:textId="77777777" w:rsidR="00A82B4B" w:rsidRPr="00FB3A86" w:rsidRDefault="00A82B4B" w:rsidP="00A82B4B">
      <w:pPr>
        <w:pStyle w:val="Body"/>
        <w:spacing w:after="0"/>
        <w:rPr>
          <w:rFonts w:ascii="Arial" w:hAnsi="Arial" w:cs="Arial"/>
        </w:rPr>
      </w:pPr>
    </w:p>
    <w:p w14:paraId="76E3421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76C0FAE" w14:textId="77777777" w:rsidR="00790ADA" w:rsidRPr="00FB3A86" w:rsidRDefault="00790ADA" w:rsidP="00441B6F">
      <w:pPr>
        <w:pStyle w:val="Head1"/>
        <w:spacing w:after="0"/>
        <w:jc w:val="both"/>
        <w:rPr>
          <w:rFonts w:ascii="Arial" w:hAnsi="Arial" w:cs="Arial"/>
        </w:rPr>
      </w:pPr>
    </w:p>
    <w:p w14:paraId="57A24214" w14:textId="77777777" w:rsidR="00A82B4B" w:rsidRDefault="00A82B4B" w:rsidP="00783B22">
      <w:pPr>
        <w:pStyle w:val="Body"/>
        <w:spacing w:after="0"/>
        <w:rPr>
          <w:rFonts w:ascii="Arial" w:hAnsi="Arial" w:cs="Arial"/>
        </w:rPr>
      </w:pPr>
      <w:r w:rsidRPr="00A82B4B">
        <w:rPr>
          <w:rFonts w:ascii="Arial" w:hAnsi="Arial" w:cs="Arial"/>
        </w:rPr>
        <w:t>The results revealed pronounced spatial and seasonal variations in most investigated parameters (Table 1). Sites located near the wastewater discharge point exhibited significantly higher pollutant levels compared with the relative reference site (Site 5), confirming the direct influence of wastewater effluent on coastal water quality [</w:t>
      </w:r>
      <w:proofErr w:type="spellStart"/>
      <w:r w:rsidR="00783B22" w:rsidRPr="00783B22">
        <w:rPr>
          <w:rFonts w:ascii="Arial" w:hAnsi="Arial" w:cs="Arial"/>
        </w:rPr>
        <w:t>Abugdera</w:t>
      </w:r>
      <w:proofErr w:type="spellEnd"/>
      <w:r w:rsidR="00783B22" w:rsidRPr="00783B22">
        <w:rPr>
          <w:rFonts w:ascii="Arial" w:hAnsi="Arial" w:cs="Arial"/>
        </w:rPr>
        <w:t xml:space="preserve"> et al., 2018; Moore, 1991; </w:t>
      </w:r>
      <w:proofErr w:type="spellStart"/>
      <w:r w:rsidR="00783B22" w:rsidRPr="00783B22">
        <w:rPr>
          <w:rFonts w:ascii="Arial" w:hAnsi="Arial" w:cs="Arial"/>
        </w:rPr>
        <w:t>Reopanichkul</w:t>
      </w:r>
      <w:proofErr w:type="spellEnd"/>
      <w:r w:rsidR="00783B22" w:rsidRPr="00783B22">
        <w:rPr>
          <w:rFonts w:ascii="Arial" w:hAnsi="Arial" w:cs="Arial"/>
        </w:rPr>
        <w:t xml:space="preserve"> et al., 2010</w:t>
      </w:r>
      <w:r w:rsidRPr="00A82B4B">
        <w:rPr>
          <w:rFonts w:ascii="Arial" w:hAnsi="Arial" w:cs="Arial"/>
        </w:rPr>
        <w:t>].</w:t>
      </w:r>
    </w:p>
    <w:p w14:paraId="06CDD821" w14:textId="77777777" w:rsidR="00A82B4B" w:rsidRPr="00A82B4B" w:rsidRDefault="00A82B4B" w:rsidP="00A82B4B">
      <w:pPr>
        <w:pStyle w:val="Body"/>
        <w:spacing w:after="0"/>
        <w:rPr>
          <w:rFonts w:ascii="Arial" w:hAnsi="Arial" w:cs="Arial"/>
        </w:rPr>
      </w:pPr>
    </w:p>
    <w:p w14:paraId="21E91BD1" w14:textId="77777777" w:rsidR="00A82B4B" w:rsidRPr="00A82B4B" w:rsidRDefault="00A82B4B" w:rsidP="00A82B4B">
      <w:pPr>
        <w:pStyle w:val="Body"/>
        <w:spacing w:after="0"/>
        <w:rPr>
          <w:rFonts w:ascii="Arial" w:hAnsi="Arial" w:cs="Arial"/>
          <w:b/>
          <w:bCs/>
        </w:rPr>
      </w:pPr>
      <w:r w:rsidRPr="00A82B4B">
        <w:rPr>
          <w:rFonts w:ascii="Arial" w:hAnsi="Arial" w:cs="Arial"/>
          <w:b/>
          <w:bCs/>
        </w:rPr>
        <w:t>Table 1 the physicochemical and microbiological characteristics of seawater samples collected during autumn 2022 and winter 2023</w:t>
      </w:r>
    </w:p>
    <w:tbl>
      <w:tblPr>
        <w:tblStyle w:val="TableGrid"/>
        <w:bidiVisual/>
        <w:tblW w:w="0" w:type="auto"/>
        <w:jc w:val="center"/>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246"/>
        <w:gridCol w:w="974"/>
        <w:gridCol w:w="997"/>
        <w:gridCol w:w="998"/>
        <w:gridCol w:w="998"/>
        <w:gridCol w:w="998"/>
        <w:gridCol w:w="998"/>
        <w:gridCol w:w="999"/>
      </w:tblGrid>
      <w:tr w:rsidR="00A82B4B" w:rsidRPr="00A82B4B" w14:paraId="5C331715" w14:textId="77777777" w:rsidTr="00A82B4B">
        <w:trPr>
          <w:trHeight w:val="763"/>
          <w:jc w:val="center"/>
        </w:trPr>
        <w:tc>
          <w:tcPr>
            <w:tcW w:w="1256" w:type="dxa"/>
            <w:vAlign w:val="center"/>
          </w:tcPr>
          <w:p w14:paraId="06DCF2C0"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Item</w:t>
            </w:r>
          </w:p>
        </w:tc>
        <w:tc>
          <w:tcPr>
            <w:tcW w:w="985" w:type="dxa"/>
            <w:vAlign w:val="center"/>
          </w:tcPr>
          <w:p w14:paraId="655970B6"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lang w:val="en-AU"/>
              </w:rPr>
              <w:t>season</w:t>
            </w:r>
          </w:p>
        </w:tc>
        <w:tc>
          <w:tcPr>
            <w:tcW w:w="1009" w:type="dxa"/>
            <w:vAlign w:val="center"/>
          </w:tcPr>
          <w:p w14:paraId="3345E277"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lang w:val="en-AU"/>
              </w:rPr>
              <w:t xml:space="preserve">Sample </w:t>
            </w:r>
            <w:r w:rsidRPr="00A82B4B">
              <w:rPr>
                <w:rFonts w:ascii="Arial" w:hAnsi="Arial" w:cs="Arial"/>
                <w:sz w:val="18"/>
                <w:szCs w:val="18"/>
              </w:rPr>
              <w:t>1</w:t>
            </w:r>
            <w:r w:rsidRPr="00A82B4B">
              <w:rPr>
                <w:rFonts w:ascii="Arial" w:hAnsi="Arial" w:cs="Arial"/>
                <w:sz w:val="18"/>
                <w:szCs w:val="18"/>
                <w:rtl/>
              </w:rPr>
              <w:t xml:space="preserve"> </w:t>
            </w:r>
          </w:p>
        </w:tc>
        <w:tc>
          <w:tcPr>
            <w:tcW w:w="1009" w:type="dxa"/>
            <w:vAlign w:val="center"/>
          </w:tcPr>
          <w:p w14:paraId="1B0DBBBC"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lang w:val="en-AU"/>
              </w:rPr>
              <w:t>Sample</w:t>
            </w:r>
            <w:r w:rsidRPr="00A82B4B">
              <w:rPr>
                <w:rFonts w:ascii="Arial" w:hAnsi="Arial" w:cs="Arial"/>
                <w:sz w:val="18"/>
                <w:szCs w:val="18"/>
              </w:rPr>
              <w:t xml:space="preserve"> 2</w:t>
            </w:r>
          </w:p>
        </w:tc>
        <w:tc>
          <w:tcPr>
            <w:tcW w:w="1009" w:type="dxa"/>
            <w:vAlign w:val="center"/>
          </w:tcPr>
          <w:p w14:paraId="78E7E03A"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lang w:val="en-AU"/>
              </w:rPr>
              <w:t>Sample</w:t>
            </w:r>
            <w:r w:rsidRPr="00A82B4B">
              <w:rPr>
                <w:rFonts w:ascii="Arial" w:hAnsi="Arial" w:cs="Arial"/>
                <w:sz w:val="18"/>
                <w:szCs w:val="18"/>
              </w:rPr>
              <w:t xml:space="preserve"> 3</w:t>
            </w:r>
          </w:p>
        </w:tc>
        <w:tc>
          <w:tcPr>
            <w:tcW w:w="1009" w:type="dxa"/>
            <w:vAlign w:val="center"/>
          </w:tcPr>
          <w:p w14:paraId="72921577" w14:textId="77777777" w:rsidR="00A82B4B" w:rsidRPr="00A82B4B" w:rsidRDefault="00A82B4B" w:rsidP="00A82B4B">
            <w:pPr>
              <w:pStyle w:val="Body"/>
              <w:rPr>
                <w:rFonts w:ascii="Arial" w:hAnsi="Arial" w:cs="Arial"/>
                <w:sz w:val="18"/>
                <w:szCs w:val="18"/>
                <w:rtl/>
                <w:lang w:bidi="ar-LY"/>
              </w:rPr>
            </w:pPr>
            <w:r w:rsidRPr="00A82B4B">
              <w:rPr>
                <w:rFonts w:ascii="Arial" w:hAnsi="Arial" w:cs="Arial"/>
                <w:sz w:val="18"/>
                <w:szCs w:val="18"/>
                <w:lang w:val="en-AU"/>
              </w:rPr>
              <w:t>Sample 4</w:t>
            </w:r>
          </w:p>
        </w:tc>
        <w:tc>
          <w:tcPr>
            <w:tcW w:w="1009" w:type="dxa"/>
            <w:vAlign w:val="center"/>
          </w:tcPr>
          <w:p w14:paraId="694E74EF"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lang w:val="en-AU"/>
              </w:rPr>
              <w:t>Sample 5</w:t>
            </w:r>
          </w:p>
        </w:tc>
        <w:tc>
          <w:tcPr>
            <w:tcW w:w="1010" w:type="dxa"/>
            <w:vAlign w:val="center"/>
          </w:tcPr>
          <w:p w14:paraId="01E8D4A9" w14:textId="77777777" w:rsidR="00A82B4B" w:rsidRPr="00A82B4B" w:rsidRDefault="00A82B4B" w:rsidP="00A82B4B">
            <w:pPr>
              <w:pStyle w:val="Body"/>
              <w:rPr>
                <w:rFonts w:ascii="Arial" w:hAnsi="Arial" w:cs="Arial"/>
                <w:sz w:val="18"/>
                <w:szCs w:val="18"/>
                <w:rtl/>
                <w:lang w:bidi="ar-LY"/>
              </w:rPr>
            </w:pPr>
            <w:r w:rsidRPr="00A82B4B">
              <w:rPr>
                <w:rFonts w:ascii="Arial" w:hAnsi="Arial" w:cs="Arial"/>
                <w:sz w:val="18"/>
                <w:szCs w:val="18"/>
                <w:lang w:val="en-AU"/>
              </w:rPr>
              <w:t>Sample 6</w:t>
            </w:r>
          </w:p>
        </w:tc>
      </w:tr>
      <w:tr w:rsidR="00A82B4B" w:rsidRPr="00A82B4B" w14:paraId="2B688D1C" w14:textId="77777777" w:rsidTr="00A82B4B">
        <w:trPr>
          <w:trHeight w:val="397"/>
          <w:jc w:val="center"/>
        </w:trPr>
        <w:tc>
          <w:tcPr>
            <w:tcW w:w="1256" w:type="dxa"/>
            <w:vMerge w:val="restart"/>
            <w:vAlign w:val="center"/>
            <w:hideMark/>
          </w:tcPr>
          <w:p w14:paraId="2F09699B"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T</w:t>
            </w:r>
          </w:p>
          <w:p w14:paraId="17253C26"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c°</w:t>
            </w:r>
          </w:p>
        </w:tc>
        <w:tc>
          <w:tcPr>
            <w:tcW w:w="985" w:type="dxa"/>
            <w:vAlign w:val="center"/>
            <w:hideMark/>
          </w:tcPr>
          <w:p w14:paraId="0A81334F" w14:textId="77777777" w:rsidR="00A82B4B" w:rsidRPr="00A82B4B" w:rsidRDefault="00A82B4B" w:rsidP="00A82B4B">
            <w:pPr>
              <w:pStyle w:val="Body"/>
              <w:rPr>
                <w:rFonts w:ascii="Arial" w:hAnsi="Arial" w:cs="Arial"/>
                <w:sz w:val="18"/>
                <w:szCs w:val="18"/>
                <w:lang w:val="en-AU"/>
              </w:rPr>
            </w:pPr>
            <w:r w:rsidRPr="00A82B4B">
              <w:rPr>
                <w:rFonts w:ascii="Arial" w:hAnsi="Arial" w:cs="Arial"/>
                <w:sz w:val="18"/>
                <w:szCs w:val="18"/>
                <w:lang w:val="en-AU"/>
              </w:rPr>
              <w:t>winter</w:t>
            </w:r>
          </w:p>
        </w:tc>
        <w:tc>
          <w:tcPr>
            <w:tcW w:w="1009" w:type="dxa"/>
            <w:vAlign w:val="center"/>
            <w:hideMark/>
          </w:tcPr>
          <w:p w14:paraId="199A0557"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*21</w:t>
            </w:r>
          </w:p>
        </w:tc>
        <w:tc>
          <w:tcPr>
            <w:tcW w:w="1009" w:type="dxa"/>
            <w:vAlign w:val="center"/>
            <w:hideMark/>
          </w:tcPr>
          <w:p w14:paraId="44CB9174"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20</w:t>
            </w:r>
          </w:p>
        </w:tc>
        <w:tc>
          <w:tcPr>
            <w:tcW w:w="1009" w:type="dxa"/>
            <w:vAlign w:val="center"/>
            <w:hideMark/>
          </w:tcPr>
          <w:p w14:paraId="5097E77B"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*18.7</w:t>
            </w:r>
          </w:p>
        </w:tc>
        <w:tc>
          <w:tcPr>
            <w:tcW w:w="1009" w:type="dxa"/>
            <w:vAlign w:val="center"/>
            <w:hideMark/>
          </w:tcPr>
          <w:p w14:paraId="6E983970"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*20.7</w:t>
            </w:r>
          </w:p>
        </w:tc>
        <w:tc>
          <w:tcPr>
            <w:tcW w:w="1009" w:type="dxa"/>
            <w:vAlign w:val="center"/>
            <w:hideMark/>
          </w:tcPr>
          <w:p w14:paraId="60E08322"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*19</w:t>
            </w:r>
          </w:p>
        </w:tc>
        <w:tc>
          <w:tcPr>
            <w:tcW w:w="1010" w:type="dxa"/>
            <w:vAlign w:val="center"/>
            <w:hideMark/>
          </w:tcPr>
          <w:p w14:paraId="20139C86"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*19</w:t>
            </w:r>
          </w:p>
        </w:tc>
      </w:tr>
      <w:tr w:rsidR="00A82B4B" w:rsidRPr="00A82B4B" w14:paraId="561E096D" w14:textId="77777777" w:rsidTr="00A82B4B">
        <w:trPr>
          <w:trHeight w:val="397"/>
          <w:jc w:val="center"/>
        </w:trPr>
        <w:tc>
          <w:tcPr>
            <w:tcW w:w="0" w:type="auto"/>
            <w:vMerge/>
            <w:vAlign w:val="center"/>
            <w:hideMark/>
          </w:tcPr>
          <w:p w14:paraId="64FA2923" w14:textId="77777777" w:rsidR="00A82B4B" w:rsidRPr="00A82B4B" w:rsidRDefault="00A82B4B" w:rsidP="00A82B4B">
            <w:pPr>
              <w:pStyle w:val="Body"/>
              <w:rPr>
                <w:rFonts w:ascii="Arial" w:hAnsi="Arial" w:cs="Arial"/>
                <w:sz w:val="18"/>
                <w:szCs w:val="18"/>
              </w:rPr>
            </w:pPr>
          </w:p>
        </w:tc>
        <w:tc>
          <w:tcPr>
            <w:tcW w:w="985" w:type="dxa"/>
            <w:vAlign w:val="center"/>
            <w:hideMark/>
          </w:tcPr>
          <w:p w14:paraId="6C0905DE"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lang w:val="en-AU"/>
              </w:rPr>
              <w:t>autumn</w:t>
            </w:r>
          </w:p>
        </w:tc>
        <w:tc>
          <w:tcPr>
            <w:tcW w:w="1009" w:type="dxa"/>
            <w:vAlign w:val="center"/>
            <w:hideMark/>
          </w:tcPr>
          <w:p w14:paraId="313313E7"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*26.3</w:t>
            </w:r>
          </w:p>
        </w:tc>
        <w:tc>
          <w:tcPr>
            <w:tcW w:w="1009" w:type="dxa"/>
            <w:vAlign w:val="center"/>
            <w:hideMark/>
          </w:tcPr>
          <w:p w14:paraId="0F8F614F"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*26.6</w:t>
            </w:r>
          </w:p>
        </w:tc>
        <w:tc>
          <w:tcPr>
            <w:tcW w:w="1009" w:type="dxa"/>
            <w:vAlign w:val="center"/>
            <w:hideMark/>
          </w:tcPr>
          <w:p w14:paraId="0A94C5C1"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*26.4</w:t>
            </w:r>
          </w:p>
        </w:tc>
        <w:tc>
          <w:tcPr>
            <w:tcW w:w="1009" w:type="dxa"/>
            <w:vAlign w:val="center"/>
            <w:hideMark/>
          </w:tcPr>
          <w:p w14:paraId="08733D7B"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*27</w:t>
            </w:r>
          </w:p>
        </w:tc>
        <w:tc>
          <w:tcPr>
            <w:tcW w:w="1009" w:type="dxa"/>
            <w:vAlign w:val="center"/>
            <w:hideMark/>
          </w:tcPr>
          <w:p w14:paraId="480A4C4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*27</w:t>
            </w:r>
          </w:p>
        </w:tc>
        <w:tc>
          <w:tcPr>
            <w:tcW w:w="1010" w:type="dxa"/>
            <w:vAlign w:val="center"/>
            <w:hideMark/>
          </w:tcPr>
          <w:p w14:paraId="4E1D53A0"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*26.5</w:t>
            </w:r>
          </w:p>
        </w:tc>
      </w:tr>
      <w:tr w:rsidR="00A82B4B" w:rsidRPr="00A82B4B" w14:paraId="4628F9EA" w14:textId="77777777" w:rsidTr="00A82B4B">
        <w:trPr>
          <w:trHeight w:val="397"/>
          <w:jc w:val="center"/>
        </w:trPr>
        <w:tc>
          <w:tcPr>
            <w:tcW w:w="1256" w:type="dxa"/>
            <w:vMerge w:val="restart"/>
            <w:vAlign w:val="center"/>
            <w:hideMark/>
          </w:tcPr>
          <w:p w14:paraId="595C6E71"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PH</w:t>
            </w:r>
          </w:p>
        </w:tc>
        <w:tc>
          <w:tcPr>
            <w:tcW w:w="985" w:type="dxa"/>
            <w:hideMark/>
          </w:tcPr>
          <w:p w14:paraId="4A05C8B5"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winter</w:t>
            </w:r>
          </w:p>
        </w:tc>
        <w:tc>
          <w:tcPr>
            <w:tcW w:w="1009" w:type="dxa"/>
            <w:vAlign w:val="center"/>
            <w:hideMark/>
          </w:tcPr>
          <w:p w14:paraId="5AF1918F"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*8.1</w:t>
            </w:r>
          </w:p>
        </w:tc>
        <w:tc>
          <w:tcPr>
            <w:tcW w:w="1009" w:type="dxa"/>
            <w:vAlign w:val="center"/>
            <w:hideMark/>
          </w:tcPr>
          <w:p w14:paraId="0069F192"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*8.1</w:t>
            </w:r>
          </w:p>
        </w:tc>
        <w:tc>
          <w:tcPr>
            <w:tcW w:w="1009" w:type="dxa"/>
            <w:vAlign w:val="center"/>
            <w:hideMark/>
          </w:tcPr>
          <w:p w14:paraId="7B65209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*8.1</w:t>
            </w:r>
          </w:p>
        </w:tc>
        <w:tc>
          <w:tcPr>
            <w:tcW w:w="1009" w:type="dxa"/>
            <w:vAlign w:val="center"/>
            <w:hideMark/>
          </w:tcPr>
          <w:p w14:paraId="71A1182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*8.1</w:t>
            </w:r>
          </w:p>
        </w:tc>
        <w:tc>
          <w:tcPr>
            <w:tcW w:w="1009" w:type="dxa"/>
            <w:vAlign w:val="center"/>
            <w:hideMark/>
          </w:tcPr>
          <w:p w14:paraId="4C296936"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*7.9</w:t>
            </w:r>
          </w:p>
        </w:tc>
        <w:tc>
          <w:tcPr>
            <w:tcW w:w="1010" w:type="dxa"/>
            <w:vAlign w:val="center"/>
            <w:hideMark/>
          </w:tcPr>
          <w:p w14:paraId="6BB627F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*7.9</w:t>
            </w:r>
          </w:p>
        </w:tc>
      </w:tr>
      <w:tr w:rsidR="00A82B4B" w:rsidRPr="00A82B4B" w14:paraId="32573B77" w14:textId="77777777" w:rsidTr="00A82B4B">
        <w:trPr>
          <w:trHeight w:val="397"/>
          <w:jc w:val="center"/>
        </w:trPr>
        <w:tc>
          <w:tcPr>
            <w:tcW w:w="0" w:type="auto"/>
            <w:vMerge/>
            <w:vAlign w:val="center"/>
            <w:hideMark/>
          </w:tcPr>
          <w:p w14:paraId="2D085A27" w14:textId="77777777" w:rsidR="00A82B4B" w:rsidRPr="00A82B4B" w:rsidRDefault="00A82B4B" w:rsidP="00A82B4B">
            <w:pPr>
              <w:pStyle w:val="Body"/>
              <w:rPr>
                <w:rFonts w:ascii="Arial" w:hAnsi="Arial" w:cs="Arial"/>
                <w:sz w:val="18"/>
                <w:szCs w:val="18"/>
              </w:rPr>
            </w:pPr>
          </w:p>
        </w:tc>
        <w:tc>
          <w:tcPr>
            <w:tcW w:w="985" w:type="dxa"/>
            <w:hideMark/>
          </w:tcPr>
          <w:p w14:paraId="34776355"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autumn</w:t>
            </w:r>
          </w:p>
        </w:tc>
        <w:tc>
          <w:tcPr>
            <w:tcW w:w="1009" w:type="dxa"/>
            <w:vAlign w:val="center"/>
            <w:hideMark/>
          </w:tcPr>
          <w:p w14:paraId="632A938F"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*8.5</w:t>
            </w:r>
          </w:p>
        </w:tc>
        <w:tc>
          <w:tcPr>
            <w:tcW w:w="1009" w:type="dxa"/>
            <w:vAlign w:val="center"/>
            <w:hideMark/>
          </w:tcPr>
          <w:p w14:paraId="736BD36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*8.4</w:t>
            </w:r>
          </w:p>
        </w:tc>
        <w:tc>
          <w:tcPr>
            <w:tcW w:w="1009" w:type="dxa"/>
            <w:vAlign w:val="center"/>
            <w:hideMark/>
          </w:tcPr>
          <w:p w14:paraId="0A9AEDD1"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*8.4</w:t>
            </w:r>
          </w:p>
        </w:tc>
        <w:tc>
          <w:tcPr>
            <w:tcW w:w="1009" w:type="dxa"/>
            <w:vAlign w:val="center"/>
            <w:hideMark/>
          </w:tcPr>
          <w:p w14:paraId="74A23015"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*8.6</w:t>
            </w:r>
          </w:p>
        </w:tc>
        <w:tc>
          <w:tcPr>
            <w:tcW w:w="1009" w:type="dxa"/>
            <w:vAlign w:val="center"/>
            <w:hideMark/>
          </w:tcPr>
          <w:p w14:paraId="0D1B8893"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*8.4</w:t>
            </w:r>
          </w:p>
        </w:tc>
        <w:tc>
          <w:tcPr>
            <w:tcW w:w="1010" w:type="dxa"/>
            <w:vAlign w:val="center"/>
            <w:hideMark/>
          </w:tcPr>
          <w:p w14:paraId="745314F0"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*8.5</w:t>
            </w:r>
          </w:p>
        </w:tc>
      </w:tr>
      <w:tr w:rsidR="00A82B4B" w:rsidRPr="00A82B4B" w14:paraId="31758BE2" w14:textId="77777777" w:rsidTr="00A82B4B">
        <w:trPr>
          <w:trHeight w:val="397"/>
          <w:jc w:val="center"/>
        </w:trPr>
        <w:tc>
          <w:tcPr>
            <w:tcW w:w="1256" w:type="dxa"/>
            <w:vMerge w:val="restart"/>
            <w:vAlign w:val="center"/>
            <w:hideMark/>
          </w:tcPr>
          <w:p w14:paraId="57911CDF"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TDS</w:t>
            </w:r>
          </w:p>
          <w:p w14:paraId="750D6C47"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ppm</w:t>
            </w:r>
          </w:p>
        </w:tc>
        <w:tc>
          <w:tcPr>
            <w:tcW w:w="985" w:type="dxa"/>
            <w:hideMark/>
          </w:tcPr>
          <w:p w14:paraId="1EFFD4C2"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winter</w:t>
            </w:r>
          </w:p>
        </w:tc>
        <w:tc>
          <w:tcPr>
            <w:tcW w:w="1009" w:type="dxa"/>
            <w:vAlign w:val="center"/>
            <w:hideMark/>
          </w:tcPr>
          <w:p w14:paraId="5791DEC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39789</w:t>
            </w:r>
          </w:p>
        </w:tc>
        <w:tc>
          <w:tcPr>
            <w:tcW w:w="1009" w:type="dxa"/>
            <w:vAlign w:val="center"/>
            <w:hideMark/>
          </w:tcPr>
          <w:p w14:paraId="121C835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38239</w:t>
            </w:r>
          </w:p>
        </w:tc>
        <w:tc>
          <w:tcPr>
            <w:tcW w:w="1009" w:type="dxa"/>
            <w:vAlign w:val="center"/>
            <w:hideMark/>
          </w:tcPr>
          <w:p w14:paraId="6AE83F0E"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39190</w:t>
            </w:r>
          </w:p>
        </w:tc>
        <w:tc>
          <w:tcPr>
            <w:tcW w:w="1009" w:type="dxa"/>
            <w:vAlign w:val="center"/>
            <w:hideMark/>
          </w:tcPr>
          <w:p w14:paraId="6AC7E5B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38896</w:t>
            </w:r>
          </w:p>
        </w:tc>
        <w:tc>
          <w:tcPr>
            <w:tcW w:w="1009" w:type="dxa"/>
            <w:vAlign w:val="center"/>
            <w:hideMark/>
          </w:tcPr>
          <w:p w14:paraId="11C53B7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39296</w:t>
            </w:r>
          </w:p>
        </w:tc>
        <w:tc>
          <w:tcPr>
            <w:tcW w:w="1010" w:type="dxa"/>
            <w:vAlign w:val="center"/>
            <w:hideMark/>
          </w:tcPr>
          <w:p w14:paraId="5687C3F6"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39883</w:t>
            </w:r>
          </w:p>
        </w:tc>
      </w:tr>
      <w:tr w:rsidR="00A82B4B" w:rsidRPr="00A82B4B" w14:paraId="5A5D79D1" w14:textId="77777777" w:rsidTr="00A82B4B">
        <w:trPr>
          <w:trHeight w:val="397"/>
          <w:jc w:val="center"/>
        </w:trPr>
        <w:tc>
          <w:tcPr>
            <w:tcW w:w="0" w:type="auto"/>
            <w:vMerge/>
            <w:vAlign w:val="center"/>
            <w:hideMark/>
          </w:tcPr>
          <w:p w14:paraId="05843CF0" w14:textId="77777777" w:rsidR="00A82B4B" w:rsidRPr="00A82B4B" w:rsidRDefault="00A82B4B" w:rsidP="00A82B4B">
            <w:pPr>
              <w:pStyle w:val="Body"/>
              <w:rPr>
                <w:rFonts w:ascii="Arial" w:hAnsi="Arial" w:cs="Arial"/>
                <w:sz w:val="18"/>
                <w:szCs w:val="18"/>
              </w:rPr>
            </w:pPr>
          </w:p>
        </w:tc>
        <w:tc>
          <w:tcPr>
            <w:tcW w:w="985" w:type="dxa"/>
            <w:hideMark/>
          </w:tcPr>
          <w:p w14:paraId="3D2282E1"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autumn</w:t>
            </w:r>
          </w:p>
        </w:tc>
        <w:tc>
          <w:tcPr>
            <w:tcW w:w="1009" w:type="dxa"/>
            <w:vAlign w:val="center"/>
            <w:hideMark/>
          </w:tcPr>
          <w:p w14:paraId="7003B45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*41261</w:t>
            </w:r>
          </w:p>
        </w:tc>
        <w:tc>
          <w:tcPr>
            <w:tcW w:w="1009" w:type="dxa"/>
            <w:vAlign w:val="center"/>
            <w:hideMark/>
          </w:tcPr>
          <w:p w14:paraId="592AA687"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*38387</w:t>
            </w:r>
          </w:p>
        </w:tc>
        <w:tc>
          <w:tcPr>
            <w:tcW w:w="1009" w:type="dxa"/>
            <w:vAlign w:val="center"/>
            <w:hideMark/>
          </w:tcPr>
          <w:p w14:paraId="54436DF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40551</w:t>
            </w:r>
          </w:p>
        </w:tc>
        <w:tc>
          <w:tcPr>
            <w:tcW w:w="1009" w:type="dxa"/>
            <w:vAlign w:val="center"/>
            <w:hideMark/>
          </w:tcPr>
          <w:p w14:paraId="39DEB6A2"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40339</w:t>
            </w:r>
          </w:p>
        </w:tc>
        <w:tc>
          <w:tcPr>
            <w:tcW w:w="1009" w:type="dxa"/>
            <w:vAlign w:val="center"/>
            <w:hideMark/>
          </w:tcPr>
          <w:p w14:paraId="30114223"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41877*</w:t>
            </w:r>
          </w:p>
        </w:tc>
        <w:tc>
          <w:tcPr>
            <w:tcW w:w="1010" w:type="dxa"/>
            <w:vAlign w:val="center"/>
            <w:hideMark/>
          </w:tcPr>
          <w:p w14:paraId="21231807"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*41149</w:t>
            </w:r>
          </w:p>
        </w:tc>
      </w:tr>
      <w:tr w:rsidR="00A82B4B" w:rsidRPr="00A82B4B" w14:paraId="28B17BE8" w14:textId="77777777" w:rsidTr="00A82B4B">
        <w:trPr>
          <w:trHeight w:val="397"/>
          <w:jc w:val="center"/>
        </w:trPr>
        <w:tc>
          <w:tcPr>
            <w:tcW w:w="1256" w:type="dxa"/>
            <w:vMerge w:val="restart"/>
            <w:vAlign w:val="center"/>
            <w:hideMark/>
          </w:tcPr>
          <w:p w14:paraId="4F172662"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EC</w:t>
            </w:r>
          </w:p>
          <w:p w14:paraId="4628672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mS/cm</w:t>
            </w:r>
          </w:p>
        </w:tc>
        <w:tc>
          <w:tcPr>
            <w:tcW w:w="985" w:type="dxa"/>
            <w:hideMark/>
          </w:tcPr>
          <w:p w14:paraId="170B0091"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winter</w:t>
            </w:r>
          </w:p>
        </w:tc>
        <w:tc>
          <w:tcPr>
            <w:tcW w:w="1009" w:type="dxa"/>
            <w:vAlign w:val="center"/>
            <w:hideMark/>
          </w:tcPr>
          <w:p w14:paraId="1C217EA3"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59903</w:t>
            </w:r>
          </w:p>
        </w:tc>
        <w:tc>
          <w:tcPr>
            <w:tcW w:w="1009" w:type="dxa"/>
            <w:vAlign w:val="center"/>
            <w:hideMark/>
          </w:tcPr>
          <w:p w14:paraId="4C040363"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59162</w:t>
            </w:r>
          </w:p>
        </w:tc>
        <w:tc>
          <w:tcPr>
            <w:tcW w:w="1009" w:type="dxa"/>
            <w:vAlign w:val="center"/>
            <w:hideMark/>
          </w:tcPr>
          <w:p w14:paraId="5102D471"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58688</w:t>
            </w:r>
          </w:p>
        </w:tc>
        <w:tc>
          <w:tcPr>
            <w:tcW w:w="1009" w:type="dxa"/>
            <w:vAlign w:val="center"/>
            <w:hideMark/>
          </w:tcPr>
          <w:p w14:paraId="749CC6F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58848</w:t>
            </w:r>
          </w:p>
        </w:tc>
        <w:tc>
          <w:tcPr>
            <w:tcW w:w="1009" w:type="dxa"/>
            <w:vAlign w:val="center"/>
            <w:hideMark/>
          </w:tcPr>
          <w:p w14:paraId="3D8A02B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58914</w:t>
            </w:r>
          </w:p>
        </w:tc>
        <w:tc>
          <w:tcPr>
            <w:tcW w:w="1010" w:type="dxa"/>
            <w:vAlign w:val="center"/>
            <w:hideMark/>
          </w:tcPr>
          <w:p w14:paraId="7297129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59495</w:t>
            </w:r>
          </w:p>
        </w:tc>
      </w:tr>
      <w:tr w:rsidR="00A82B4B" w:rsidRPr="00A82B4B" w14:paraId="5D8117F7" w14:textId="77777777" w:rsidTr="00A82B4B">
        <w:trPr>
          <w:trHeight w:val="397"/>
          <w:jc w:val="center"/>
        </w:trPr>
        <w:tc>
          <w:tcPr>
            <w:tcW w:w="0" w:type="auto"/>
            <w:vMerge/>
            <w:vAlign w:val="center"/>
            <w:hideMark/>
          </w:tcPr>
          <w:p w14:paraId="3BEB4494" w14:textId="77777777" w:rsidR="00A82B4B" w:rsidRPr="00A82B4B" w:rsidRDefault="00A82B4B" w:rsidP="00A82B4B">
            <w:pPr>
              <w:pStyle w:val="Body"/>
              <w:rPr>
                <w:rFonts w:ascii="Arial" w:hAnsi="Arial" w:cs="Arial"/>
                <w:sz w:val="18"/>
                <w:szCs w:val="18"/>
              </w:rPr>
            </w:pPr>
          </w:p>
        </w:tc>
        <w:tc>
          <w:tcPr>
            <w:tcW w:w="985" w:type="dxa"/>
            <w:hideMark/>
          </w:tcPr>
          <w:p w14:paraId="4BB2BEAD"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autumn</w:t>
            </w:r>
          </w:p>
        </w:tc>
        <w:tc>
          <w:tcPr>
            <w:tcW w:w="1009" w:type="dxa"/>
            <w:vAlign w:val="center"/>
            <w:hideMark/>
          </w:tcPr>
          <w:p w14:paraId="2349D5AE"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61583</w:t>
            </w:r>
          </w:p>
        </w:tc>
        <w:tc>
          <w:tcPr>
            <w:tcW w:w="1009" w:type="dxa"/>
            <w:vAlign w:val="center"/>
            <w:hideMark/>
          </w:tcPr>
          <w:p w14:paraId="62973E17"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60283</w:t>
            </w:r>
          </w:p>
        </w:tc>
        <w:tc>
          <w:tcPr>
            <w:tcW w:w="1009" w:type="dxa"/>
            <w:vAlign w:val="center"/>
            <w:hideMark/>
          </w:tcPr>
          <w:p w14:paraId="5F35D5F0"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62017</w:t>
            </w:r>
          </w:p>
        </w:tc>
        <w:tc>
          <w:tcPr>
            <w:tcW w:w="1009" w:type="dxa"/>
            <w:vAlign w:val="center"/>
            <w:hideMark/>
          </w:tcPr>
          <w:p w14:paraId="2F5D535F"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61033</w:t>
            </w:r>
          </w:p>
        </w:tc>
        <w:tc>
          <w:tcPr>
            <w:tcW w:w="1009" w:type="dxa"/>
            <w:vAlign w:val="center"/>
            <w:hideMark/>
          </w:tcPr>
          <w:p w14:paraId="2A542EAB"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62503</w:t>
            </w:r>
          </w:p>
        </w:tc>
        <w:tc>
          <w:tcPr>
            <w:tcW w:w="1010" w:type="dxa"/>
            <w:vAlign w:val="center"/>
            <w:hideMark/>
          </w:tcPr>
          <w:p w14:paraId="7A8F10B6"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61417</w:t>
            </w:r>
          </w:p>
        </w:tc>
      </w:tr>
      <w:tr w:rsidR="00A82B4B" w:rsidRPr="00A82B4B" w14:paraId="0E0124F9" w14:textId="77777777" w:rsidTr="00A82B4B">
        <w:trPr>
          <w:trHeight w:val="397"/>
          <w:jc w:val="center"/>
        </w:trPr>
        <w:tc>
          <w:tcPr>
            <w:tcW w:w="1256" w:type="dxa"/>
            <w:vMerge w:val="restart"/>
            <w:vAlign w:val="center"/>
            <w:hideMark/>
          </w:tcPr>
          <w:p w14:paraId="3C8156B1"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NH3</w:t>
            </w:r>
          </w:p>
          <w:p w14:paraId="48E796B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mg/l</w:t>
            </w:r>
          </w:p>
        </w:tc>
        <w:tc>
          <w:tcPr>
            <w:tcW w:w="985" w:type="dxa"/>
            <w:hideMark/>
          </w:tcPr>
          <w:p w14:paraId="778E098D"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winter</w:t>
            </w:r>
          </w:p>
        </w:tc>
        <w:tc>
          <w:tcPr>
            <w:tcW w:w="1009" w:type="dxa"/>
            <w:vAlign w:val="center"/>
            <w:hideMark/>
          </w:tcPr>
          <w:p w14:paraId="1F1157F7"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*8.9</w:t>
            </w:r>
          </w:p>
        </w:tc>
        <w:tc>
          <w:tcPr>
            <w:tcW w:w="1009" w:type="dxa"/>
            <w:vAlign w:val="center"/>
            <w:hideMark/>
          </w:tcPr>
          <w:p w14:paraId="77686E3A"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*7.8</w:t>
            </w:r>
          </w:p>
        </w:tc>
        <w:tc>
          <w:tcPr>
            <w:tcW w:w="1009" w:type="dxa"/>
            <w:vAlign w:val="center"/>
            <w:hideMark/>
          </w:tcPr>
          <w:p w14:paraId="7C599C8E"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*6.6</w:t>
            </w:r>
          </w:p>
        </w:tc>
        <w:tc>
          <w:tcPr>
            <w:tcW w:w="1009" w:type="dxa"/>
            <w:vAlign w:val="center"/>
            <w:hideMark/>
          </w:tcPr>
          <w:p w14:paraId="14D7EC9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*6.6</w:t>
            </w:r>
          </w:p>
        </w:tc>
        <w:tc>
          <w:tcPr>
            <w:tcW w:w="1009" w:type="dxa"/>
            <w:vAlign w:val="center"/>
            <w:hideMark/>
          </w:tcPr>
          <w:p w14:paraId="3A9C6A8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*6</w:t>
            </w:r>
          </w:p>
        </w:tc>
        <w:tc>
          <w:tcPr>
            <w:tcW w:w="1010" w:type="dxa"/>
            <w:vAlign w:val="center"/>
            <w:hideMark/>
          </w:tcPr>
          <w:p w14:paraId="1DB042D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*5.7</w:t>
            </w:r>
          </w:p>
        </w:tc>
      </w:tr>
      <w:tr w:rsidR="00A82B4B" w:rsidRPr="00A82B4B" w14:paraId="4E0477FF" w14:textId="77777777" w:rsidTr="00A82B4B">
        <w:trPr>
          <w:trHeight w:val="397"/>
          <w:jc w:val="center"/>
        </w:trPr>
        <w:tc>
          <w:tcPr>
            <w:tcW w:w="0" w:type="auto"/>
            <w:vMerge/>
            <w:vAlign w:val="center"/>
            <w:hideMark/>
          </w:tcPr>
          <w:p w14:paraId="5CF42964" w14:textId="77777777" w:rsidR="00A82B4B" w:rsidRPr="00A82B4B" w:rsidRDefault="00A82B4B" w:rsidP="00A82B4B">
            <w:pPr>
              <w:pStyle w:val="Body"/>
              <w:rPr>
                <w:rFonts w:ascii="Arial" w:hAnsi="Arial" w:cs="Arial"/>
                <w:sz w:val="18"/>
                <w:szCs w:val="18"/>
              </w:rPr>
            </w:pPr>
          </w:p>
        </w:tc>
        <w:tc>
          <w:tcPr>
            <w:tcW w:w="985" w:type="dxa"/>
            <w:hideMark/>
          </w:tcPr>
          <w:p w14:paraId="1DE4BF5E"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autumn</w:t>
            </w:r>
          </w:p>
        </w:tc>
        <w:tc>
          <w:tcPr>
            <w:tcW w:w="1009" w:type="dxa"/>
            <w:vAlign w:val="center"/>
            <w:hideMark/>
          </w:tcPr>
          <w:p w14:paraId="6B8E2B0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w:t>
            </w:r>
          </w:p>
        </w:tc>
        <w:tc>
          <w:tcPr>
            <w:tcW w:w="1009" w:type="dxa"/>
            <w:vAlign w:val="center"/>
            <w:hideMark/>
          </w:tcPr>
          <w:p w14:paraId="48166A83"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*13.5</w:t>
            </w:r>
          </w:p>
        </w:tc>
        <w:tc>
          <w:tcPr>
            <w:tcW w:w="1009" w:type="dxa"/>
            <w:vAlign w:val="center"/>
            <w:hideMark/>
          </w:tcPr>
          <w:p w14:paraId="1F0106DF"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*10.7</w:t>
            </w:r>
          </w:p>
        </w:tc>
        <w:tc>
          <w:tcPr>
            <w:tcW w:w="1009" w:type="dxa"/>
            <w:vAlign w:val="center"/>
            <w:hideMark/>
          </w:tcPr>
          <w:p w14:paraId="05716657"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*12.2</w:t>
            </w:r>
          </w:p>
        </w:tc>
        <w:tc>
          <w:tcPr>
            <w:tcW w:w="1009" w:type="dxa"/>
            <w:vAlign w:val="center"/>
            <w:hideMark/>
          </w:tcPr>
          <w:p w14:paraId="6A6FDC76"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*4.2</w:t>
            </w:r>
          </w:p>
        </w:tc>
        <w:tc>
          <w:tcPr>
            <w:tcW w:w="1010" w:type="dxa"/>
            <w:vAlign w:val="center"/>
            <w:hideMark/>
          </w:tcPr>
          <w:p w14:paraId="6069984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*9.1</w:t>
            </w:r>
          </w:p>
        </w:tc>
      </w:tr>
      <w:tr w:rsidR="00A82B4B" w:rsidRPr="00A82B4B" w14:paraId="44E4B18E" w14:textId="77777777" w:rsidTr="00A82B4B">
        <w:trPr>
          <w:trHeight w:val="397"/>
          <w:jc w:val="center"/>
        </w:trPr>
        <w:tc>
          <w:tcPr>
            <w:tcW w:w="1256" w:type="dxa"/>
            <w:vMerge w:val="restart"/>
            <w:vAlign w:val="center"/>
            <w:hideMark/>
          </w:tcPr>
          <w:p w14:paraId="1C7C4A0E"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NO2</w:t>
            </w:r>
          </w:p>
          <w:p w14:paraId="6731BB73"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mg/l</w:t>
            </w:r>
          </w:p>
        </w:tc>
        <w:tc>
          <w:tcPr>
            <w:tcW w:w="985" w:type="dxa"/>
            <w:hideMark/>
          </w:tcPr>
          <w:p w14:paraId="79F105BD"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winter</w:t>
            </w:r>
          </w:p>
        </w:tc>
        <w:tc>
          <w:tcPr>
            <w:tcW w:w="1009" w:type="dxa"/>
            <w:vAlign w:val="center"/>
            <w:hideMark/>
          </w:tcPr>
          <w:p w14:paraId="2E761122"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14</w:t>
            </w:r>
          </w:p>
        </w:tc>
        <w:tc>
          <w:tcPr>
            <w:tcW w:w="1009" w:type="dxa"/>
            <w:vAlign w:val="center"/>
            <w:hideMark/>
          </w:tcPr>
          <w:p w14:paraId="027C075E"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14</w:t>
            </w:r>
          </w:p>
        </w:tc>
        <w:tc>
          <w:tcPr>
            <w:tcW w:w="1009" w:type="dxa"/>
            <w:vAlign w:val="center"/>
            <w:hideMark/>
          </w:tcPr>
          <w:p w14:paraId="6B33559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12.6</w:t>
            </w:r>
          </w:p>
        </w:tc>
        <w:tc>
          <w:tcPr>
            <w:tcW w:w="1009" w:type="dxa"/>
            <w:vAlign w:val="center"/>
            <w:hideMark/>
          </w:tcPr>
          <w:p w14:paraId="2B67AE1F"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12.3</w:t>
            </w:r>
          </w:p>
        </w:tc>
        <w:tc>
          <w:tcPr>
            <w:tcW w:w="1009" w:type="dxa"/>
            <w:vAlign w:val="center"/>
            <w:hideMark/>
          </w:tcPr>
          <w:p w14:paraId="438F9615"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12</w:t>
            </w:r>
          </w:p>
        </w:tc>
        <w:tc>
          <w:tcPr>
            <w:tcW w:w="1010" w:type="dxa"/>
            <w:vAlign w:val="center"/>
            <w:hideMark/>
          </w:tcPr>
          <w:p w14:paraId="767D6DA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13</w:t>
            </w:r>
          </w:p>
        </w:tc>
      </w:tr>
      <w:tr w:rsidR="00A82B4B" w:rsidRPr="00A82B4B" w14:paraId="10C0A179" w14:textId="77777777" w:rsidTr="00A82B4B">
        <w:trPr>
          <w:trHeight w:val="397"/>
          <w:jc w:val="center"/>
        </w:trPr>
        <w:tc>
          <w:tcPr>
            <w:tcW w:w="0" w:type="auto"/>
            <w:vMerge/>
            <w:vAlign w:val="center"/>
            <w:hideMark/>
          </w:tcPr>
          <w:p w14:paraId="147C613E" w14:textId="77777777" w:rsidR="00A82B4B" w:rsidRPr="00A82B4B" w:rsidRDefault="00A82B4B" w:rsidP="00A82B4B">
            <w:pPr>
              <w:pStyle w:val="Body"/>
              <w:rPr>
                <w:rFonts w:ascii="Arial" w:hAnsi="Arial" w:cs="Arial"/>
                <w:sz w:val="18"/>
                <w:szCs w:val="18"/>
              </w:rPr>
            </w:pPr>
          </w:p>
        </w:tc>
        <w:tc>
          <w:tcPr>
            <w:tcW w:w="985" w:type="dxa"/>
            <w:hideMark/>
          </w:tcPr>
          <w:p w14:paraId="02AB3409"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autumn</w:t>
            </w:r>
          </w:p>
        </w:tc>
        <w:tc>
          <w:tcPr>
            <w:tcW w:w="1009" w:type="dxa"/>
            <w:vAlign w:val="center"/>
            <w:hideMark/>
          </w:tcPr>
          <w:p w14:paraId="7CF7ECB2"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11.5</w:t>
            </w:r>
          </w:p>
        </w:tc>
        <w:tc>
          <w:tcPr>
            <w:tcW w:w="1009" w:type="dxa"/>
            <w:vAlign w:val="center"/>
            <w:hideMark/>
          </w:tcPr>
          <w:p w14:paraId="4E40680B"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11.4</w:t>
            </w:r>
          </w:p>
        </w:tc>
        <w:tc>
          <w:tcPr>
            <w:tcW w:w="1009" w:type="dxa"/>
            <w:vAlign w:val="center"/>
            <w:hideMark/>
          </w:tcPr>
          <w:p w14:paraId="17E456A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12.3</w:t>
            </w:r>
          </w:p>
        </w:tc>
        <w:tc>
          <w:tcPr>
            <w:tcW w:w="1009" w:type="dxa"/>
            <w:vAlign w:val="center"/>
            <w:hideMark/>
          </w:tcPr>
          <w:p w14:paraId="2DDDD4CF"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10.8</w:t>
            </w:r>
          </w:p>
        </w:tc>
        <w:tc>
          <w:tcPr>
            <w:tcW w:w="1009" w:type="dxa"/>
            <w:vAlign w:val="center"/>
            <w:hideMark/>
          </w:tcPr>
          <w:p w14:paraId="3239D840"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12.1</w:t>
            </w:r>
          </w:p>
        </w:tc>
        <w:tc>
          <w:tcPr>
            <w:tcW w:w="1010" w:type="dxa"/>
            <w:vAlign w:val="center"/>
            <w:hideMark/>
          </w:tcPr>
          <w:p w14:paraId="7029DAE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11.7</w:t>
            </w:r>
          </w:p>
        </w:tc>
      </w:tr>
      <w:tr w:rsidR="00A82B4B" w:rsidRPr="00A82B4B" w14:paraId="038A4C31" w14:textId="77777777" w:rsidTr="00A82B4B">
        <w:trPr>
          <w:trHeight w:val="397"/>
          <w:jc w:val="center"/>
        </w:trPr>
        <w:tc>
          <w:tcPr>
            <w:tcW w:w="1256" w:type="dxa"/>
            <w:vMerge w:val="restart"/>
            <w:vAlign w:val="center"/>
            <w:hideMark/>
          </w:tcPr>
          <w:p w14:paraId="48FF5DAC"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PO4</w:t>
            </w:r>
          </w:p>
          <w:p w14:paraId="07B96A9A"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mg/l</w:t>
            </w:r>
          </w:p>
        </w:tc>
        <w:tc>
          <w:tcPr>
            <w:tcW w:w="985" w:type="dxa"/>
            <w:hideMark/>
          </w:tcPr>
          <w:p w14:paraId="6F3B44A0"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winter</w:t>
            </w:r>
          </w:p>
        </w:tc>
        <w:tc>
          <w:tcPr>
            <w:tcW w:w="1009" w:type="dxa"/>
            <w:vAlign w:val="center"/>
            <w:hideMark/>
          </w:tcPr>
          <w:p w14:paraId="4FC48E2F"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23.3</w:t>
            </w:r>
          </w:p>
        </w:tc>
        <w:tc>
          <w:tcPr>
            <w:tcW w:w="1009" w:type="dxa"/>
            <w:vAlign w:val="center"/>
            <w:hideMark/>
          </w:tcPr>
          <w:p w14:paraId="428F75AB"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25.3</w:t>
            </w:r>
          </w:p>
        </w:tc>
        <w:tc>
          <w:tcPr>
            <w:tcW w:w="1009" w:type="dxa"/>
            <w:vAlign w:val="center"/>
            <w:hideMark/>
          </w:tcPr>
          <w:p w14:paraId="14A1FDB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23</w:t>
            </w:r>
          </w:p>
        </w:tc>
        <w:tc>
          <w:tcPr>
            <w:tcW w:w="1009" w:type="dxa"/>
            <w:vAlign w:val="center"/>
            <w:hideMark/>
          </w:tcPr>
          <w:p w14:paraId="258FDC42"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*24.7</w:t>
            </w:r>
          </w:p>
        </w:tc>
        <w:tc>
          <w:tcPr>
            <w:tcW w:w="1009" w:type="dxa"/>
            <w:vAlign w:val="center"/>
            <w:hideMark/>
          </w:tcPr>
          <w:p w14:paraId="1B0183FB"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*21.4</w:t>
            </w:r>
          </w:p>
        </w:tc>
        <w:tc>
          <w:tcPr>
            <w:tcW w:w="1010" w:type="dxa"/>
            <w:vAlign w:val="center"/>
            <w:hideMark/>
          </w:tcPr>
          <w:p w14:paraId="2430E9E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23</w:t>
            </w:r>
          </w:p>
        </w:tc>
      </w:tr>
      <w:tr w:rsidR="00A82B4B" w:rsidRPr="00A82B4B" w14:paraId="5C5A6B3E" w14:textId="77777777" w:rsidTr="00A82B4B">
        <w:trPr>
          <w:trHeight w:val="397"/>
          <w:jc w:val="center"/>
        </w:trPr>
        <w:tc>
          <w:tcPr>
            <w:tcW w:w="0" w:type="auto"/>
            <w:vMerge/>
            <w:vAlign w:val="center"/>
            <w:hideMark/>
          </w:tcPr>
          <w:p w14:paraId="6B999E48" w14:textId="77777777" w:rsidR="00A82B4B" w:rsidRPr="00A82B4B" w:rsidRDefault="00A82B4B" w:rsidP="00A82B4B">
            <w:pPr>
              <w:pStyle w:val="Body"/>
              <w:rPr>
                <w:rFonts w:ascii="Arial" w:hAnsi="Arial" w:cs="Arial"/>
                <w:sz w:val="18"/>
                <w:szCs w:val="18"/>
              </w:rPr>
            </w:pPr>
          </w:p>
        </w:tc>
        <w:tc>
          <w:tcPr>
            <w:tcW w:w="985" w:type="dxa"/>
            <w:hideMark/>
          </w:tcPr>
          <w:p w14:paraId="7F5A2FFB"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autumn</w:t>
            </w:r>
          </w:p>
        </w:tc>
        <w:tc>
          <w:tcPr>
            <w:tcW w:w="1009" w:type="dxa"/>
            <w:vAlign w:val="center"/>
            <w:hideMark/>
          </w:tcPr>
          <w:p w14:paraId="41EFABBE"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26.9</w:t>
            </w:r>
          </w:p>
        </w:tc>
        <w:tc>
          <w:tcPr>
            <w:tcW w:w="1009" w:type="dxa"/>
            <w:vAlign w:val="center"/>
            <w:hideMark/>
          </w:tcPr>
          <w:p w14:paraId="229C5FBB"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*29.7</w:t>
            </w:r>
          </w:p>
        </w:tc>
        <w:tc>
          <w:tcPr>
            <w:tcW w:w="1009" w:type="dxa"/>
            <w:vAlign w:val="center"/>
            <w:hideMark/>
          </w:tcPr>
          <w:p w14:paraId="64115C41"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28.1</w:t>
            </w:r>
          </w:p>
        </w:tc>
        <w:tc>
          <w:tcPr>
            <w:tcW w:w="1009" w:type="dxa"/>
            <w:vAlign w:val="center"/>
            <w:hideMark/>
          </w:tcPr>
          <w:p w14:paraId="090D02DB"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28.6</w:t>
            </w:r>
          </w:p>
        </w:tc>
        <w:tc>
          <w:tcPr>
            <w:tcW w:w="1009" w:type="dxa"/>
            <w:vAlign w:val="center"/>
            <w:hideMark/>
          </w:tcPr>
          <w:p w14:paraId="53334BD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*26.3</w:t>
            </w:r>
          </w:p>
        </w:tc>
        <w:tc>
          <w:tcPr>
            <w:tcW w:w="1010" w:type="dxa"/>
            <w:vAlign w:val="center"/>
            <w:hideMark/>
          </w:tcPr>
          <w:p w14:paraId="71F197D3"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27.5</w:t>
            </w:r>
          </w:p>
        </w:tc>
      </w:tr>
      <w:tr w:rsidR="00A82B4B" w:rsidRPr="00A82B4B" w14:paraId="2A555A77" w14:textId="77777777" w:rsidTr="00A82B4B">
        <w:trPr>
          <w:trHeight w:val="397"/>
          <w:jc w:val="center"/>
        </w:trPr>
        <w:tc>
          <w:tcPr>
            <w:tcW w:w="1256" w:type="dxa"/>
            <w:vMerge w:val="restart"/>
            <w:vAlign w:val="center"/>
            <w:hideMark/>
          </w:tcPr>
          <w:p w14:paraId="13D11174"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lastRenderedPageBreak/>
              <w:t>BOD</w:t>
            </w:r>
          </w:p>
          <w:p w14:paraId="56974025"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mg/l</w:t>
            </w:r>
          </w:p>
        </w:tc>
        <w:tc>
          <w:tcPr>
            <w:tcW w:w="985" w:type="dxa"/>
            <w:hideMark/>
          </w:tcPr>
          <w:p w14:paraId="03849D58"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winter</w:t>
            </w:r>
          </w:p>
        </w:tc>
        <w:tc>
          <w:tcPr>
            <w:tcW w:w="1009" w:type="dxa"/>
            <w:vAlign w:val="center"/>
            <w:hideMark/>
          </w:tcPr>
          <w:p w14:paraId="1194DA8A"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*205</w:t>
            </w:r>
          </w:p>
        </w:tc>
        <w:tc>
          <w:tcPr>
            <w:tcW w:w="1009" w:type="dxa"/>
            <w:vAlign w:val="center"/>
            <w:hideMark/>
          </w:tcPr>
          <w:p w14:paraId="1690A1FF"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*275</w:t>
            </w:r>
          </w:p>
        </w:tc>
        <w:tc>
          <w:tcPr>
            <w:tcW w:w="1009" w:type="dxa"/>
            <w:vAlign w:val="center"/>
            <w:hideMark/>
          </w:tcPr>
          <w:p w14:paraId="45A38083"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204*</w:t>
            </w:r>
          </w:p>
        </w:tc>
        <w:tc>
          <w:tcPr>
            <w:tcW w:w="1009" w:type="dxa"/>
            <w:vAlign w:val="center"/>
            <w:hideMark/>
          </w:tcPr>
          <w:p w14:paraId="2C86095E"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*254</w:t>
            </w:r>
          </w:p>
        </w:tc>
        <w:tc>
          <w:tcPr>
            <w:tcW w:w="1009" w:type="dxa"/>
            <w:vAlign w:val="center"/>
            <w:hideMark/>
          </w:tcPr>
          <w:p w14:paraId="2D222494"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*156</w:t>
            </w:r>
          </w:p>
        </w:tc>
        <w:tc>
          <w:tcPr>
            <w:tcW w:w="1010" w:type="dxa"/>
            <w:vAlign w:val="center"/>
            <w:hideMark/>
          </w:tcPr>
          <w:p w14:paraId="11E21BE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*147</w:t>
            </w:r>
          </w:p>
        </w:tc>
      </w:tr>
      <w:tr w:rsidR="00A82B4B" w:rsidRPr="00A82B4B" w14:paraId="206A2270" w14:textId="77777777" w:rsidTr="00A82B4B">
        <w:trPr>
          <w:trHeight w:val="397"/>
          <w:jc w:val="center"/>
        </w:trPr>
        <w:tc>
          <w:tcPr>
            <w:tcW w:w="0" w:type="auto"/>
            <w:vMerge/>
            <w:vAlign w:val="center"/>
            <w:hideMark/>
          </w:tcPr>
          <w:p w14:paraId="277C5023" w14:textId="77777777" w:rsidR="00A82B4B" w:rsidRPr="00A82B4B" w:rsidRDefault="00A82B4B" w:rsidP="00A82B4B">
            <w:pPr>
              <w:pStyle w:val="Body"/>
              <w:rPr>
                <w:rFonts w:ascii="Arial" w:hAnsi="Arial" w:cs="Arial"/>
                <w:sz w:val="18"/>
                <w:szCs w:val="18"/>
              </w:rPr>
            </w:pPr>
          </w:p>
        </w:tc>
        <w:tc>
          <w:tcPr>
            <w:tcW w:w="985" w:type="dxa"/>
            <w:hideMark/>
          </w:tcPr>
          <w:p w14:paraId="671B1E70"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autumn</w:t>
            </w:r>
          </w:p>
        </w:tc>
        <w:tc>
          <w:tcPr>
            <w:tcW w:w="1009" w:type="dxa"/>
            <w:vAlign w:val="center"/>
            <w:hideMark/>
          </w:tcPr>
          <w:p w14:paraId="166B92B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*194</w:t>
            </w:r>
          </w:p>
        </w:tc>
        <w:tc>
          <w:tcPr>
            <w:tcW w:w="1009" w:type="dxa"/>
            <w:vAlign w:val="center"/>
            <w:hideMark/>
          </w:tcPr>
          <w:p w14:paraId="37E86321"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*321</w:t>
            </w:r>
          </w:p>
        </w:tc>
        <w:tc>
          <w:tcPr>
            <w:tcW w:w="1009" w:type="dxa"/>
            <w:vAlign w:val="center"/>
            <w:hideMark/>
          </w:tcPr>
          <w:p w14:paraId="692FAAFF"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*234</w:t>
            </w:r>
          </w:p>
        </w:tc>
        <w:tc>
          <w:tcPr>
            <w:tcW w:w="1009" w:type="dxa"/>
            <w:vAlign w:val="center"/>
            <w:hideMark/>
          </w:tcPr>
          <w:p w14:paraId="64BFF9D0"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*384</w:t>
            </w:r>
          </w:p>
        </w:tc>
        <w:tc>
          <w:tcPr>
            <w:tcW w:w="1009" w:type="dxa"/>
            <w:vAlign w:val="center"/>
            <w:hideMark/>
          </w:tcPr>
          <w:p w14:paraId="33DF801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*190</w:t>
            </w:r>
          </w:p>
        </w:tc>
        <w:tc>
          <w:tcPr>
            <w:tcW w:w="1010" w:type="dxa"/>
            <w:vAlign w:val="center"/>
            <w:hideMark/>
          </w:tcPr>
          <w:p w14:paraId="20420943"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*211</w:t>
            </w:r>
          </w:p>
        </w:tc>
      </w:tr>
      <w:tr w:rsidR="00A82B4B" w:rsidRPr="00A82B4B" w14:paraId="7A878E26" w14:textId="77777777" w:rsidTr="00A82B4B">
        <w:trPr>
          <w:trHeight w:val="397"/>
          <w:jc w:val="center"/>
        </w:trPr>
        <w:tc>
          <w:tcPr>
            <w:tcW w:w="1256" w:type="dxa"/>
            <w:vMerge w:val="restart"/>
            <w:vAlign w:val="center"/>
            <w:hideMark/>
          </w:tcPr>
          <w:p w14:paraId="22B7E706"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COD</w:t>
            </w:r>
          </w:p>
          <w:p w14:paraId="04269DD6"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mg/l</w:t>
            </w:r>
          </w:p>
        </w:tc>
        <w:tc>
          <w:tcPr>
            <w:tcW w:w="985" w:type="dxa"/>
            <w:hideMark/>
          </w:tcPr>
          <w:p w14:paraId="5881C740"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winter</w:t>
            </w:r>
          </w:p>
        </w:tc>
        <w:tc>
          <w:tcPr>
            <w:tcW w:w="1009" w:type="dxa"/>
            <w:vAlign w:val="center"/>
            <w:hideMark/>
          </w:tcPr>
          <w:p w14:paraId="05C5B80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*369</w:t>
            </w:r>
          </w:p>
        </w:tc>
        <w:tc>
          <w:tcPr>
            <w:tcW w:w="1009" w:type="dxa"/>
            <w:vAlign w:val="center"/>
            <w:hideMark/>
          </w:tcPr>
          <w:p w14:paraId="0D325704"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*402</w:t>
            </w:r>
          </w:p>
        </w:tc>
        <w:tc>
          <w:tcPr>
            <w:tcW w:w="1009" w:type="dxa"/>
            <w:vAlign w:val="center"/>
            <w:hideMark/>
          </w:tcPr>
          <w:p w14:paraId="5F40DFD6"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*306</w:t>
            </w:r>
          </w:p>
        </w:tc>
        <w:tc>
          <w:tcPr>
            <w:tcW w:w="1009" w:type="dxa"/>
            <w:vAlign w:val="center"/>
            <w:hideMark/>
          </w:tcPr>
          <w:p w14:paraId="56D7F51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324</w:t>
            </w:r>
          </w:p>
        </w:tc>
        <w:tc>
          <w:tcPr>
            <w:tcW w:w="1009" w:type="dxa"/>
            <w:vAlign w:val="center"/>
            <w:hideMark/>
          </w:tcPr>
          <w:p w14:paraId="35E2B08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*262</w:t>
            </w:r>
          </w:p>
        </w:tc>
        <w:tc>
          <w:tcPr>
            <w:tcW w:w="1010" w:type="dxa"/>
            <w:vAlign w:val="center"/>
            <w:hideMark/>
          </w:tcPr>
          <w:p w14:paraId="549BDD5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*248</w:t>
            </w:r>
          </w:p>
        </w:tc>
      </w:tr>
      <w:tr w:rsidR="00A82B4B" w:rsidRPr="00A82B4B" w14:paraId="0E3A107E" w14:textId="77777777" w:rsidTr="00A82B4B">
        <w:trPr>
          <w:trHeight w:val="397"/>
          <w:jc w:val="center"/>
        </w:trPr>
        <w:tc>
          <w:tcPr>
            <w:tcW w:w="0" w:type="auto"/>
            <w:vMerge/>
            <w:vAlign w:val="center"/>
            <w:hideMark/>
          </w:tcPr>
          <w:p w14:paraId="3D653A72" w14:textId="77777777" w:rsidR="00A82B4B" w:rsidRPr="00A82B4B" w:rsidRDefault="00A82B4B" w:rsidP="00A82B4B">
            <w:pPr>
              <w:pStyle w:val="Body"/>
              <w:rPr>
                <w:rFonts w:ascii="Arial" w:hAnsi="Arial" w:cs="Arial"/>
                <w:sz w:val="18"/>
                <w:szCs w:val="18"/>
              </w:rPr>
            </w:pPr>
          </w:p>
        </w:tc>
        <w:tc>
          <w:tcPr>
            <w:tcW w:w="985" w:type="dxa"/>
            <w:hideMark/>
          </w:tcPr>
          <w:p w14:paraId="6F7FFDCE"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autumn</w:t>
            </w:r>
          </w:p>
        </w:tc>
        <w:tc>
          <w:tcPr>
            <w:tcW w:w="1009" w:type="dxa"/>
            <w:vAlign w:val="center"/>
            <w:hideMark/>
          </w:tcPr>
          <w:p w14:paraId="1C38B23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*240</w:t>
            </w:r>
          </w:p>
        </w:tc>
        <w:tc>
          <w:tcPr>
            <w:tcW w:w="1009" w:type="dxa"/>
            <w:vAlign w:val="center"/>
            <w:hideMark/>
          </w:tcPr>
          <w:p w14:paraId="461A7EF0"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*515</w:t>
            </w:r>
          </w:p>
        </w:tc>
        <w:tc>
          <w:tcPr>
            <w:tcW w:w="1009" w:type="dxa"/>
            <w:vAlign w:val="center"/>
            <w:hideMark/>
          </w:tcPr>
          <w:p w14:paraId="0184A08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*354</w:t>
            </w:r>
          </w:p>
        </w:tc>
        <w:tc>
          <w:tcPr>
            <w:tcW w:w="1009" w:type="dxa"/>
            <w:vAlign w:val="center"/>
            <w:hideMark/>
          </w:tcPr>
          <w:p w14:paraId="580FC8CA"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*447</w:t>
            </w:r>
          </w:p>
        </w:tc>
        <w:tc>
          <w:tcPr>
            <w:tcW w:w="1009" w:type="dxa"/>
            <w:vAlign w:val="center"/>
            <w:hideMark/>
          </w:tcPr>
          <w:p w14:paraId="7096D47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*252</w:t>
            </w:r>
          </w:p>
        </w:tc>
        <w:tc>
          <w:tcPr>
            <w:tcW w:w="1010" w:type="dxa"/>
            <w:vAlign w:val="center"/>
            <w:hideMark/>
          </w:tcPr>
          <w:p w14:paraId="65627BF3"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*317</w:t>
            </w:r>
          </w:p>
        </w:tc>
      </w:tr>
      <w:tr w:rsidR="00A82B4B" w:rsidRPr="00A82B4B" w14:paraId="069DC68D" w14:textId="77777777" w:rsidTr="00A82B4B">
        <w:trPr>
          <w:trHeight w:val="397"/>
          <w:jc w:val="center"/>
        </w:trPr>
        <w:tc>
          <w:tcPr>
            <w:tcW w:w="1256" w:type="dxa"/>
            <w:vMerge w:val="restart"/>
            <w:vAlign w:val="center"/>
            <w:hideMark/>
          </w:tcPr>
          <w:p w14:paraId="649764DF"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Cd</w:t>
            </w:r>
          </w:p>
          <w:p w14:paraId="1F05BA92"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mg/l</w:t>
            </w:r>
          </w:p>
        </w:tc>
        <w:tc>
          <w:tcPr>
            <w:tcW w:w="985" w:type="dxa"/>
            <w:hideMark/>
          </w:tcPr>
          <w:p w14:paraId="39D33AAC"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winter</w:t>
            </w:r>
          </w:p>
        </w:tc>
        <w:tc>
          <w:tcPr>
            <w:tcW w:w="1009" w:type="dxa"/>
            <w:vAlign w:val="center"/>
            <w:hideMark/>
          </w:tcPr>
          <w:p w14:paraId="777EA4D5"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*5.8</w:t>
            </w:r>
          </w:p>
        </w:tc>
        <w:tc>
          <w:tcPr>
            <w:tcW w:w="1009" w:type="dxa"/>
            <w:vAlign w:val="center"/>
            <w:hideMark/>
          </w:tcPr>
          <w:p w14:paraId="5086831A"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*6.9</w:t>
            </w:r>
          </w:p>
        </w:tc>
        <w:tc>
          <w:tcPr>
            <w:tcW w:w="1009" w:type="dxa"/>
            <w:vAlign w:val="center"/>
            <w:hideMark/>
          </w:tcPr>
          <w:p w14:paraId="536062B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*4.5</w:t>
            </w:r>
          </w:p>
        </w:tc>
        <w:tc>
          <w:tcPr>
            <w:tcW w:w="1009" w:type="dxa"/>
            <w:vAlign w:val="center"/>
            <w:hideMark/>
          </w:tcPr>
          <w:p w14:paraId="33B82AB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*5</w:t>
            </w:r>
          </w:p>
        </w:tc>
        <w:tc>
          <w:tcPr>
            <w:tcW w:w="1009" w:type="dxa"/>
            <w:vAlign w:val="center"/>
            <w:hideMark/>
          </w:tcPr>
          <w:p w14:paraId="3B4BDB0A"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*4.9</w:t>
            </w:r>
          </w:p>
        </w:tc>
        <w:tc>
          <w:tcPr>
            <w:tcW w:w="1010" w:type="dxa"/>
            <w:vAlign w:val="center"/>
            <w:hideMark/>
          </w:tcPr>
          <w:p w14:paraId="681EF4AF"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*4.8</w:t>
            </w:r>
          </w:p>
        </w:tc>
      </w:tr>
      <w:tr w:rsidR="00A82B4B" w:rsidRPr="00A82B4B" w14:paraId="5F99EB9F" w14:textId="77777777" w:rsidTr="00A82B4B">
        <w:trPr>
          <w:trHeight w:val="397"/>
          <w:jc w:val="center"/>
        </w:trPr>
        <w:tc>
          <w:tcPr>
            <w:tcW w:w="0" w:type="auto"/>
            <w:vMerge/>
            <w:vAlign w:val="center"/>
            <w:hideMark/>
          </w:tcPr>
          <w:p w14:paraId="6DD6D50E" w14:textId="77777777" w:rsidR="00A82B4B" w:rsidRPr="00A82B4B" w:rsidRDefault="00A82B4B" w:rsidP="00A82B4B">
            <w:pPr>
              <w:pStyle w:val="Body"/>
              <w:rPr>
                <w:rFonts w:ascii="Arial" w:hAnsi="Arial" w:cs="Arial"/>
                <w:sz w:val="18"/>
                <w:szCs w:val="18"/>
              </w:rPr>
            </w:pPr>
          </w:p>
        </w:tc>
        <w:tc>
          <w:tcPr>
            <w:tcW w:w="985" w:type="dxa"/>
            <w:hideMark/>
          </w:tcPr>
          <w:p w14:paraId="65B85F03"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autumn</w:t>
            </w:r>
          </w:p>
        </w:tc>
        <w:tc>
          <w:tcPr>
            <w:tcW w:w="1009" w:type="dxa"/>
            <w:vAlign w:val="center"/>
            <w:hideMark/>
          </w:tcPr>
          <w:p w14:paraId="6D21E9B4"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2.5</w:t>
            </w:r>
          </w:p>
        </w:tc>
        <w:tc>
          <w:tcPr>
            <w:tcW w:w="1009" w:type="dxa"/>
            <w:vAlign w:val="center"/>
            <w:hideMark/>
          </w:tcPr>
          <w:p w14:paraId="490F82A5"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2.5</w:t>
            </w:r>
          </w:p>
        </w:tc>
        <w:tc>
          <w:tcPr>
            <w:tcW w:w="1009" w:type="dxa"/>
            <w:vAlign w:val="center"/>
            <w:hideMark/>
          </w:tcPr>
          <w:p w14:paraId="7313CF20"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2.3</w:t>
            </w:r>
          </w:p>
        </w:tc>
        <w:tc>
          <w:tcPr>
            <w:tcW w:w="1009" w:type="dxa"/>
            <w:vAlign w:val="center"/>
            <w:hideMark/>
          </w:tcPr>
          <w:p w14:paraId="59FE0100"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2.5</w:t>
            </w:r>
          </w:p>
        </w:tc>
        <w:tc>
          <w:tcPr>
            <w:tcW w:w="1009" w:type="dxa"/>
            <w:vAlign w:val="center"/>
            <w:hideMark/>
          </w:tcPr>
          <w:p w14:paraId="007938F1"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2.4</w:t>
            </w:r>
          </w:p>
        </w:tc>
        <w:tc>
          <w:tcPr>
            <w:tcW w:w="1010" w:type="dxa"/>
            <w:vAlign w:val="center"/>
            <w:hideMark/>
          </w:tcPr>
          <w:p w14:paraId="458A242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2.6</w:t>
            </w:r>
          </w:p>
        </w:tc>
      </w:tr>
      <w:tr w:rsidR="00A82B4B" w:rsidRPr="00A82B4B" w14:paraId="3D3D548C" w14:textId="77777777" w:rsidTr="00A82B4B">
        <w:trPr>
          <w:trHeight w:val="397"/>
          <w:jc w:val="center"/>
        </w:trPr>
        <w:tc>
          <w:tcPr>
            <w:tcW w:w="1256" w:type="dxa"/>
            <w:vMerge w:val="restart"/>
            <w:vAlign w:val="center"/>
            <w:hideMark/>
          </w:tcPr>
          <w:p w14:paraId="2EF116F1"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Cr</w:t>
            </w:r>
          </w:p>
          <w:p w14:paraId="7209EFC4"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mg/l</w:t>
            </w:r>
          </w:p>
        </w:tc>
        <w:tc>
          <w:tcPr>
            <w:tcW w:w="985" w:type="dxa"/>
            <w:hideMark/>
          </w:tcPr>
          <w:p w14:paraId="024038B4"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winter</w:t>
            </w:r>
          </w:p>
        </w:tc>
        <w:tc>
          <w:tcPr>
            <w:tcW w:w="1009" w:type="dxa"/>
            <w:vAlign w:val="center"/>
            <w:hideMark/>
          </w:tcPr>
          <w:p w14:paraId="74CC06A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w:t>
            </w:r>
          </w:p>
        </w:tc>
        <w:tc>
          <w:tcPr>
            <w:tcW w:w="1009" w:type="dxa"/>
            <w:vAlign w:val="center"/>
            <w:hideMark/>
          </w:tcPr>
          <w:p w14:paraId="5228873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*4.1</w:t>
            </w:r>
          </w:p>
        </w:tc>
        <w:tc>
          <w:tcPr>
            <w:tcW w:w="1009" w:type="dxa"/>
            <w:vAlign w:val="center"/>
            <w:hideMark/>
          </w:tcPr>
          <w:p w14:paraId="77D8497B"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*2.4</w:t>
            </w:r>
          </w:p>
        </w:tc>
        <w:tc>
          <w:tcPr>
            <w:tcW w:w="1009" w:type="dxa"/>
            <w:vAlign w:val="center"/>
            <w:hideMark/>
          </w:tcPr>
          <w:p w14:paraId="3F87E13B"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w:t>
            </w:r>
          </w:p>
        </w:tc>
        <w:tc>
          <w:tcPr>
            <w:tcW w:w="1009" w:type="dxa"/>
            <w:vAlign w:val="center"/>
            <w:hideMark/>
          </w:tcPr>
          <w:p w14:paraId="5AD85D56"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*3.4</w:t>
            </w:r>
          </w:p>
        </w:tc>
        <w:tc>
          <w:tcPr>
            <w:tcW w:w="1010" w:type="dxa"/>
            <w:vAlign w:val="center"/>
            <w:hideMark/>
          </w:tcPr>
          <w:p w14:paraId="3981A254"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*2.7</w:t>
            </w:r>
          </w:p>
        </w:tc>
      </w:tr>
      <w:tr w:rsidR="00A82B4B" w:rsidRPr="00A82B4B" w14:paraId="3054CED7" w14:textId="77777777" w:rsidTr="00A82B4B">
        <w:trPr>
          <w:trHeight w:val="397"/>
          <w:jc w:val="center"/>
        </w:trPr>
        <w:tc>
          <w:tcPr>
            <w:tcW w:w="0" w:type="auto"/>
            <w:vMerge/>
            <w:vAlign w:val="center"/>
            <w:hideMark/>
          </w:tcPr>
          <w:p w14:paraId="74E14524" w14:textId="77777777" w:rsidR="00A82B4B" w:rsidRPr="00A82B4B" w:rsidRDefault="00A82B4B" w:rsidP="00A82B4B">
            <w:pPr>
              <w:pStyle w:val="Body"/>
              <w:rPr>
                <w:rFonts w:ascii="Arial" w:hAnsi="Arial" w:cs="Arial"/>
                <w:sz w:val="18"/>
                <w:szCs w:val="18"/>
              </w:rPr>
            </w:pPr>
          </w:p>
        </w:tc>
        <w:tc>
          <w:tcPr>
            <w:tcW w:w="985" w:type="dxa"/>
            <w:hideMark/>
          </w:tcPr>
          <w:p w14:paraId="01265E75"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autumn</w:t>
            </w:r>
          </w:p>
        </w:tc>
        <w:tc>
          <w:tcPr>
            <w:tcW w:w="1009" w:type="dxa"/>
            <w:vAlign w:val="center"/>
            <w:hideMark/>
          </w:tcPr>
          <w:p w14:paraId="3802630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4.1</w:t>
            </w:r>
          </w:p>
        </w:tc>
        <w:tc>
          <w:tcPr>
            <w:tcW w:w="1009" w:type="dxa"/>
            <w:vAlign w:val="center"/>
            <w:hideMark/>
          </w:tcPr>
          <w:p w14:paraId="4E9DEA0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3.9</w:t>
            </w:r>
          </w:p>
        </w:tc>
        <w:tc>
          <w:tcPr>
            <w:tcW w:w="1009" w:type="dxa"/>
            <w:vAlign w:val="center"/>
            <w:hideMark/>
          </w:tcPr>
          <w:p w14:paraId="1B289FE2"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w:t>
            </w:r>
          </w:p>
        </w:tc>
        <w:tc>
          <w:tcPr>
            <w:tcW w:w="1009" w:type="dxa"/>
            <w:vAlign w:val="center"/>
            <w:hideMark/>
          </w:tcPr>
          <w:p w14:paraId="008A6C8F"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2.7</w:t>
            </w:r>
          </w:p>
        </w:tc>
        <w:tc>
          <w:tcPr>
            <w:tcW w:w="1009" w:type="dxa"/>
            <w:vAlign w:val="center"/>
            <w:hideMark/>
          </w:tcPr>
          <w:p w14:paraId="59735A0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w:t>
            </w:r>
          </w:p>
        </w:tc>
        <w:tc>
          <w:tcPr>
            <w:tcW w:w="1010" w:type="dxa"/>
            <w:vAlign w:val="center"/>
            <w:hideMark/>
          </w:tcPr>
          <w:p w14:paraId="39529617"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4.3</w:t>
            </w:r>
          </w:p>
        </w:tc>
      </w:tr>
      <w:tr w:rsidR="00A82B4B" w:rsidRPr="00A82B4B" w14:paraId="75773DB9" w14:textId="77777777" w:rsidTr="00A82B4B">
        <w:trPr>
          <w:trHeight w:val="397"/>
          <w:jc w:val="center"/>
        </w:trPr>
        <w:tc>
          <w:tcPr>
            <w:tcW w:w="1256" w:type="dxa"/>
            <w:vMerge w:val="restart"/>
            <w:vAlign w:val="center"/>
            <w:hideMark/>
          </w:tcPr>
          <w:p w14:paraId="408FE9D1"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Pb</w:t>
            </w:r>
          </w:p>
          <w:p w14:paraId="6C09DD5A"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mg/l</w:t>
            </w:r>
          </w:p>
        </w:tc>
        <w:tc>
          <w:tcPr>
            <w:tcW w:w="985" w:type="dxa"/>
            <w:hideMark/>
          </w:tcPr>
          <w:p w14:paraId="517DAB26"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winter</w:t>
            </w:r>
          </w:p>
        </w:tc>
        <w:tc>
          <w:tcPr>
            <w:tcW w:w="1009" w:type="dxa"/>
            <w:vAlign w:val="center"/>
            <w:hideMark/>
          </w:tcPr>
          <w:p w14:paraId="5D1BA865"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1.8</w:t>
            </w:r>
          </w:p>
        </w:tc>
        <w:tc>
          <w:tcPr>
            <w:tcW w:w="1009" w:type="dxa"/>
            <w:vAlign w:val="center"/>
            <w:hideMark/>
          </w:tcPr>
          <w:p w14:paraId="0918117F"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1.5</w:t>
            </w:r>
          </w:p>
        </w:tc>
        <w:tc>
          <w:tcPr>
            <w:tcW w:w="1009" w:type="dxa"/>
            <w:vAlign w:val="center"/>
            <w:hideMark/>
          </w:tcPr>
          <w:p w14:paraId="7B63F0B4"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1.3</w:t>
            </w:r>
          </w:p>
        </w:tc>
        <w:tc>
          <w:tcPr>
            <w:tcW w:w="1009" w:type="dxa"/>
            <w:vAlign w:val="center"/>
            <w:hideMark/>
          </w:tcPr>
          <w:p w14:paraId="441612B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1.5</w:t>
            </w:r>
          </w:p>
        </w:tc>
        <w:tc>
          <w:tcPr>
            <w:tcW w:w="1009" w:type="dxa"/>
            <w:vAlign w:val="center"/>
            <w:hideMark/>
          </w:tcPr>
          <w:p w14:paraId="1DD9C556"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1.5</w:t>
            </w:r>
          </w:p>
        </w:tc>
        <w:tc>
          <w:tcPr>
            <w:tcW w:w="1010" w:type="dxa"/>
            <w:vAlign w:val="center"/>
            <w:hideMark/>
          </w:tcPr>
          <w:p w14:paraId="46744491"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1.7</w:t>
            </w:r>
          </w:p>
        </w:tc>
      </w:tr>
      <w:tr w:rsidR="00A82B4B" w:rsidRPr="00A82B4B" w14:paraId="13D5291B" w14:textId="77777777" w:rsidTr="00A82B4B">
        <w:trPr>
          <w:trHeight w:val="397"/>
          <w:jc w:val="center"/>
        </w:trPr>
        <w:tc>
          <w:tcPr>
            <w:tcW w:w="0" w:type="auto"/>
            <w:vMerge/>
            <w:vAlign w:val="center"/>
            <w:hideMark/>
          </w:tcPr>
          <w:p w14:paraId="7A87D43F" w14:textId="77777777" w:rsidR="00A82B4B" w:rsidRPr="00A82B4B" w:rsidRDefault="00A82B4B" w:rsidP="00A82B4B">
            <w:pPr>
              <w:pStyle w:val="Body"/>
              <w:rPr>
                <w:rFonts w:ascii="Arial" w:hAnsi="Arial" w:cs="Arial"/>
                <w:sz w:val="18"/>
                <w:szCs w:val="18"/>
              </w:rPr>
            </w:pPr>
          </w:p>
        </w:tc>
        <w:tc>
          <w:tcPr>
            <w:tcW w:w="985" w:type="dxa"/>
            <w:hideMark/>
          </w:tcPr>
          <w:p w14:paraId="47E66042"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autumn</w:t>
            </w:r>
          </w:p>
        </w:tc>
        <w:tc>
          <w:tcPr>
            <w:tcW w:w="1009" w:type="dxa"/>
            <w:vAlign w:val="center"/>
            <w:hideMark/>
          </w:tcPr>
          <w:p w14:paraId="6C07A90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w:t>
            </w:r>
          </w:p>
        </w:tc>
        <w:tc>
          <w:tcPr>
            <w:tcW w:w="1009" w:type="dxa"/>
            <w:vAlign w:val="center"/>
            <w:hideMark/>
          </w:tcPr>
          <w:p w14:paraId="7CED5932"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w:t>
            </w:r>
          </w:p>
        </w:tc>
        <w:tc>
          <w:tcPr>
            <w:tcW w:w="1009" w:type="dxa"/>
            <w:vAlign w:val="center"/>
            <w:hideMark/>
          </w:tcPr>
          <w:p w14:paraId="3883CE92"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0.8</w:t>
            </w:r>
          </w:p>
        </w:tc>
        <w:tc>
          <w:tcPr>
            <w:tcW w:w="1009" w:type="dxa"/>
            <w:vAlign w:val="center"/>
            <w:hideMark/>
          </w:tcPr>
          <w:p w14:paraId="3398972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0.9</w:t>
            </w:r>
          </w:p>
        </w:tc>
        <w:tc>
          <w:tcPr>
            <w:tcW w:w="1009" w:type="dxa"/>
            <w:vAlign w:val="center"/>
            <w:hideMark/>
          </w:tcPr>
          <w:p w14:paraId="7FEC4E8B"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w:t>
            </w:r>
          </w:p>
        </w:tc>
        <w:tc>
          <w:tcPr>
            <w:tcW w:w="1010" w:type="dxa"/>
            <w:vAlign w:val="center"/>
            <w:hideMark/>
          </w:tcPr>
          <w:p w14:paraId="278E295A"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0.9</w:t>
            </w:r>
          </w:p>
        </w:tc>
      </w:tr>
      <w:tr w:rsidR="00A82B4B" w:rsidRPr="00A82B4B" w14:paraId="4D0CF6CC" w14:textId="77777777" w:rsidTr="00A82B4B">
        <w:trPr>
          <w:trHeight w:val="397"/>
          <w:jc w:val="center"/>
        </w:trPr>
        <w:tc>
          <w:tcPr>
            <w:tcW w:w="1256" w:type="dxa"/>
            <w:vMerge w:val="restart"/>
            <w:vAlign w:val="center"/>
            <w:hideMark/>
          </w:tcPr>
          <w:p w14:paraId="7396A841"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Fe</w:t>
            </w:r>
          </w:p>
          <w:p w14:paraId="75C1AF56"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mg/l</w:t>
            </w:r>
          </w:p>
        </w:tc>
        <w:tc>
          <w:tcPr>
            <w:tcW w:w="985" w:type="dxa"/>
            <w:hideMark/>
          </w:tcPr>
          <w:p w14:paraId="22705B79"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winter</w:t>
            </w:r>
          </w:p>
        </w:tc>
        <w:tc>
          <w:tcPr>
            <w:tcW w:w="1009" w:type="dxa"/>
            <w:vAlign w:val="center"/>
            <w:hideMark/>
          </w:tcPr>
          <w:p w14:paraId="4B71F3B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*8.1</w:t>
            </w:r>
          </w:p>
        </w:tc>
        <w:tc>
          <w:tcPr>
            <w:tcW w:w="1009" w:type="dxa"/>
            <w:vAlign w:val="center"/>
            <w:hideMark/>
          </w:tcPr>
          <w:p w14:paraId="6D9FAD9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*8</w:t>
            </w:r>
          </w:p>
        </w:tc>
        <w:tc>
          <w:tcPr>
            <w:tcW w:w="1009" w:type="dxa"/>
            <w:vAlign w:val="center"/>
            <w:hideMark/>
          </w:tcPr>
          <w:p w14:paraId="21D43CB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*6.5</w:t>
            </w:r>
          </w:p>
        </w:tc>
        <w:tc>
          <w:tcPr>
            <w:tcW w:w="1009" w:type="dxa"/>
            <w:vAlign w:val="center"/>
            <w:hideMark/>
          </w:tcPr>
          <w:p w14:paraId="662A5335"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*9.2</w:t>
            </w:r>
          </w:p>
        </w:tc>
        <w:tc>
          <w:tcPr>
            <w:tcW w:w="1009" w:type="dxa"/>
            <w:vAlign w:val="center"/>
            <w:hideMark/>
          </w:tcPr>
          <w:p w14:paraId="00C6F57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*6.2</w:t>
            </w:r>
          </w:p>
        </w:tc>
        <w:tc>
          <w:tcPr>
            <w:tcW w:w="1010" w:type="dxa"/>
            <w:vAlign w:val="center"/>
            <w:hideMark/>
          </w:tcPr>
          <w:p w14:paraId="6BC3AE92"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*8.3</w:t>
            </w:r>
          </w:p>
        </w:tc>
      </w:tr>
      <w:tr w:rsidR="00A82B4B" w:rsidRPr="00A82B4B" w14:paraId="5096E0F6" w14:textId="77777777" w:rsidTr="00A82B4B">
        <w:trPr>
          <w:trHeight w:val="397"/>
          <w:jc w:val="center"/>
        </w:trPr>
        <w:tc>
          <w:tcPr>
            <w:tcW w:w="0" w:type="auto"/>
            <w:vMerge/>
            <w:vAlign w:val="center"/>
            <w:hideMark/>
          </w:tcPr>
          <w:p w14:paraId="0564DABC" w14:textId="77777777" w:rsidR="00A82B4B" w:rsidRPr="00A82B4B" w:rsidRDefault="00A82B4B" w:rsidP="00A82B4B">
            <w:pPr>
              <w:pStyle w:val="Body"/>
              <w:rPr>
                <w:rFonts w:ascii="Arial" w:hAnsi="Arial" w:cs="Arial"/>
                <w:sz w:val="18"/>
                <w:szCs w:val="18"/>
              </w:rPr>
            </w:pPr>
          </w:p>
        </w:tc>
        <w:tc>
          <w:tcPr>
            <w:tcW w:w="985" w:type="dxa"/>
            <w:hideMark/>
          </w:tcPr>
          <w:p w14:paraId="092823FC"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autumn</w:t>
            </w:r>
          </w:p>
        </w:tc>
        <w:tc>
          <w:tcPr>
            <w:tcW w:w="1009" w:type="dxa"/>
            <w:vAlign w:val="center"/>
            <w:hideMark/>
          </w:tcPr>
          <w:p w14:paraId="63F92B2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*7</w:t>
            </w:r>
          </w:p>
        </w:tc>
        <w:tc>
          <w:tcPr>
            <w:tcW w:w="1009" w:type="dxa"/>
            <w:vAlign w:val="center"/>
            <w:hideMark/>
          </w:tcPr>
          <w:p w14:paraId="68FA32C4"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*5.6</w:t>
            </w:r>
          </w:p>
        </w:tc>
        <w:tc>
          <w:tcPr>
            <w:tcW w:w="1009" w:type="dxa"/>
            <w:vAlign w:val="center"/>
            <w:hideMark/>
          </w:tcPr>
          <w:p w14:paraId="617A65B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*6.2</w:t>
            </w:r>
          </w:p>
        </w:tc>
        <w:tc>
          <w:tcPr>
            <w:tcW w:w="1009" w:type="dxa"/>
            <w:vAlign w:val="center"/>
            <w:hideMark/>
          </w:tcPr>
          <w:p w14:paraId="2F9DEA03"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*6.3</w:t>
            </w:r>
          </w:p>
        </w:tc>
        <w:tc>
          <w:tcPr>
            <w:tcW w:w="1009" w:type="dxa"/>
            <w:vAlign w:val="center"/>
            <w:hideMark/>
          </w:tcPr>
          <w:p w14:paraId="58275393"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*3.2</w:t>
            </w:r>
          </w:p>
        </w:tc>
        <w:tc>
          <w:tcPr>
            <w:tcW w:w="1010" w:type="dxa"/>
            <w:vAlign w:val="center"/>
            <w:hideMark/>
          </w:tcPr>
          <w:p w14:paraId="77BE0A1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*7.1</w:t>
            </w:r>
          </w:p>
        </w:tc>
      </w:tr>
      <w:tr w:rsidR="00A82B4B" w:rsidRPr="00A82B4B" w14:paraId="1AEC259D" w14:textId="77777777" w:rsidTr="00A82B4B">
        <w:trPr>
          <w:trHeight w:val="397"/>
          <w:jc w:val="center"/>
        </w:trPr>
        <w:tc>
          <w:tcPr>
            <w:tcW w:w="1256" w:type="dxa"/>
            <w:vMerge w:val="restart"/>
            <w:vAlign w:val="center"/>
            <w:hideMark/>
          </w:tcPr>
          <w:p w14:paraId="474122E5" w14:textId="77777777" w:rsidR="00A82B4B" w:rsidRPr="00A82B4B" w:rsidRDefault="00A82B4B" w:rsidP="00A82B4B">
            <w:pPr>
              <w:pStyle w:val="Body"/>
              <w:rPr>
                <w:rFonts w:ascii="Arial" w:hAnsi="Arial" w:cs="Arial"/>
                <w:sz w:val="18"/>
                <w:szCs w:val="18"/>
                <w:rtl/>
              </w:rPr>
            </w:pPr>
            <w:proofErr w:type="spellStart"/>
            <w:proofErr w:type="gramStart"/>
            <w:r w:rsidRPr="00A82B4B">
              <w:rPr>
                <w:rFonts w:ascii="Arial" w:hAnsi="Arial" w:cs="Arial"/>
                <w:sz w:val="18"/>
                <w:szCs w:val="18"/>
              </w:rPr>
              <w:t>E.Coli</w:t>
            </w:r>
            <w:proofErr w:type="spellEnd"/>
            <w:proofErr w:type="gramEnd"/>
          </w:p>
          <w:p w14:paraId="28E489C1" w14:textId="77777777" w:rsidR="00A82B4B" w:rsidRPr="00A82B4B" w:rsidRDefault="00A82B4B" w:rsidP="00A82B4B">
            <w:pPr>
              <w:pStyle w:val="Body"/>
              <w:rPr>
                <w:rFonts w:ascii="Arial" w:hAnsi="Arial" w:cs="Arial"/>
                <w:sz w:val="18"/>
                <w:szCs w:val="18"/>
              </w:rPr>
            </w:pPr>
            <w:proofErr w:type="spellStart"/>
            <w:r w:rsidRPr="00A82B4B">
              <w:rPr>
                <w:rFonts w:ascii="Arial" w:hAnsi="Arial" w:cs="Arial"/>
                <w:sz w:val="18"/>
                <w:szCs w:val="18"/>
              </w:rPr>
              <w:t>Mpn</w:t>
            </w:r>
            <w:proofErr w:type="spellEnd"/>
            <w:r w:rsidRPr="00A82B4B">
              <w:rPr>
                <w:rFonts w:ascii="Arial" w:hAnsi="Arial" w:cs="Arial"/>
                <w:sz w:val="18"/>
                <w:szCs w:val="18"/>
              </w:rPr>
              <w:t>/100ml</w:t>
            </w:r>
          </w:p>
        </w:tc>
        <w:tc>
          <w:tcPr>
            <w:tcW w:w="985" w:type="dxa"/>
            <w:hideMark/>
          </w:tcPr>
          <w:p w14:paraId="62856D6E"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winter</w:t>
            </w:r>
          </w:p>
        </w:tc>
        <w:tc>
          <w:tcPr>
            <w:tcW w:w="1009" w:type="dxa"/>
            <w:vAlign w:val="center"/>
            <w:hideMark/>
          </w:tcPr>
          <w:p w14:paraId="33C3F745"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10-100</w:t>
            </w:r>
          </w:p>
        </w:tc>
        <w:tc>
          <w:tcPr>
            <w:tcW w:w="1009" w:type="dxa"/>
            <w:vAlign w:val="center"/>
            <w:hideMark/>
          </w:tcPr>
          <w:p w14:paraId="7FF1D187"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150-250</w:t>
            </w:r>
          </w:p>
        </w:tc>
        <w:tc>
          <w:tcPr>
            <w:tcW w:w="1009" w:type="dxa"/>
            <w:vAlign w:val="center"/>
            <w:hideMark/>
          </w:tcPr>
          <w:p w14:paraId="7B00227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120-220</w:t>
            </w:r>
          </w:p>
        </w:tc>
        <w:tc>
          <w:tcPr>
            <w:tcW w:w="1009" w:type="dxa"/>
            <w:vAlign w:val="center"/>
            <w:hideMark/>
          </w:tcPr>
          <w:p w14:paraId="4F377484"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150-250</w:t>
            </w:r>
          </w:p>
        </w:tc>
        <w:tc>
          <w:tcPr>
            <w:tcW w:w="1009" w:type="dxa"/>
            <w:vAlign w:val="center"/>
            <w:hideMark/>
          </w:tcPr>
          <w:p w14:paraId="1D7DCFD6"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10-100</w:t>
            </w:r>
          </w:p>
        </w:tc>
        <w:tc>
          <w:tcPr>
            <w:tcW w:w="1010" w:type="dxa"/>
            <w:vAlign w:val="center"/>
            <w:hideMark/>
          </w:tcPr>
          <w:p w14:paraId="7E9AFD16"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100-200</w:t>
            </w:r>
          </w:p>
        </w:tc>
      </w:tr>
      <w:tr w:rsidR="00A82B4B" w:rsidRPr="00A82B4B" w14:paraId="21DD03E9" w14:textId="77777777" w:rsidTr="00A82B4B">
        <w:trPr>
          <w:trHeight w:val="397"/>
          <w:jc w:val="center"/>
        </w:trPr>
        <w:tc>
          <w:tcPr>
            <w:tcW w:w="0" w:type="auto"/>
            <w:vMerge/>
            <w:vAlign w:val="center"/>
            <w:hideMark/>
          </w:tcPr>
          <w:p w14:paraId="706BABCF" w14:textId="77777777" w:rsidR="00A82B4B" w:rsidRPr="00A82B4B" w:rsidRDefault="00A82B4B" w:rsidP="00A82B4B">
            <w:pPr>
              <w:pStyle w:val="Body"/>
              <w:rPr>
                <w:rFonts w:ascii="Arial" w:hAnsi="Arial" w:cs="Arial"/>
                <w:sz w:val="18"/>
                <w:szCs w:val="18"/>
              </w:rPr>
            </w:pPr>
          </w:p>
        </w:tc>
        <w:tc>
          <w:tcPr>
            <w:tcW w:w="985" w:type="dxa"/>
            <w:hideMark/>
          </w:tcPr>
          <w:p w14:paraId="6DAB11BE"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autumn</w:t>
            </w:r>
          </w:p>
        </w:tc>
        <w:tc>
          <w:tcPr>
            <w:tcW w:w="1009" w:type="dxa"/>
            <w:vAlign w:val="center"/>
            <w:hideMark/>
          </w:tcPr>
          <w:p w14:paraId="56D4954A"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0-10</w:t>
            </w:r>
          </w:p>
        </w:tc>
        <w:tc>
          <w:tcPr>
            <w:tcW w:w="1009" w:type="dxa"/>
            <w:vAlign w:val="center"/>
            <w:hideMark/>
          </w:tcPr>
          <w:p w14:paraId="34702E0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250-450</w:t>
            </w:r>
          </w:p>
        </w:tc>
        <w:tc>
          <w:tcPr>
            <w:tcW w:w="1009" w:type="dxa"/>
            <w:vAlign w:val="center"/>
            <w:hideMark/>
          </w:tcPr>
          <w:p w14:paraId="4EA346FE"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200-400</w:t>
            </w:r>
          </w:p>
        </w:tc>
        <w:tc>
          <w:tcPr>
            <w:tcW w:w="1009" w:type="dxa"/>
            <w:vAlign w:val="center"/>
            <w:hideMark/>
          </w:tcPr>
          <w:p w14:paraId="68E766C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10-100</w:t>
            </w:r>
          </w:p>
        </w:tc>
        <w:tc>
          <w:tcPr>
            <w:tcW w:w="1009" w:type="dxa"/>
            <w:vAlign w:val="center"/>
            <w:hideMark/>
          </w:tcPr>
          <w:p w14:paraId="105F88D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0-10</w:t>
            </w:r>
          </w:p>
        </w:tc>
        <w:tc>
          <w:tcPr>
            <w:tcW w:w="1010" w:type="dxa"/>
            <w:vAlign w:val="center"/>
            <w:hideMark/>
          </w:tcPr>
          <w:p w14:paraId="3C123737"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10-100</w:t>
            </w:r>
          </w:p>
        </w:tc>
      </w:tr>
      <w:tr w:rsidR="00A82B4B" w:rsidRPr="00A82B4B" w14:paraId="260A73FE" w14:textId="77777777" w:rsidTr="00A82B4B">
        <w:trPr>
          <w:trHeight w:val="397"/>
          <w:jc w:val="center"/>
        </w:trPr>
        <w:tc>
          <w:tcPr>
            <w:tcW w:w="1256" w:type="dxa"/>
            <w:vMerge w:val="restart"/>
            <w:vAlign w:val="center"/>
            <w:hideMark/>
          </w:tcPr>
          <w:p w14:paraId="36EBCDB3" w14:textId="77777777" w:rsidR="00A82B4B" w:rsidRPr="00A82B4B" w:rsidRDefault="00A82B4B" w:rsidP="00A82B4B">
            <w:pPr>
              <w:pStyle w:val="Body"/>
              <w:rPr>
                <w:rFonts w:ascii="Arial" w:hAnsi="Arial" w:cs="Arial"/>
                <w:sz w:val="18"/>
                <w:szCs w:val="18"/>
                <w:rtl/>
              </w:rPr>
            </w:pPr>
            <w:proofErr w:type="spellStart"/>
            <w:r w:rsidRPr="00A82B4B">
              <w:rPr>
                <w:rFonts w:ascii="Arial" w:hAnsi="Arial" w:cs="Arial"/>
                <w:sz w:val="18"/>
                <w:szCs w:val="18"/>
              </w:rPr>
              <w:t>Coliforn</w:t>
            </w:r>
            <w:proofErr w:type="spellEnd"/>
          </w:p>
          <w:p w14:paraId="0F3F0D85" w14:textId="77777777" w:rsidR="00A82B4B" w:rsidRPr="00A82B4B" w:rsidRDefault="00A82B4B" w:rsidP="00A82B4B">
            <w:pPr>
              <w:pStyle w:val="Body"/>
              <w:rPr>
                <w:rFonts w:ascii="Arial" w:hAnsi="Arial" w:cs="Arial"/>
                <w:sz w:val="18"/>
                <w:szCs w:val="18"/>
              </w:rPr>
            </w:pPr>
            <w:proofErr w:type="spellStart"/>
            <w:r w:rsidRPr="00A82B4B">
              <w:rPr>
                <w:rFonts w:ascii="Arial" w:hAnsi="Arial" w:cs="Arial"/>
                <w:sz w:val="18"/>
                <w:szCs w:val="18"/>
              </w:rPr>
              <w:t>Mpn</w:t>
            </w:r>
            <w:proofErr w:type="spellEnd"/>
            <w:r w:rsidRPr="00A82B4B">
              <w:rPr>
                <w:rFonts w:ascii="Arial" w:hAnsi="Arial" w:cs="Arial"/>
                <w:sz w:val="18"/>
                <w:szCs w:val="18"/>
              </w:rPr>
              <w:t>/100ml</w:t>
            </w:r>
          </w:p>
        </w:tc>
        <w:tc>
          <w:tcPr>
            <w:tcW w:w="985" w:type="dxa"/>
            <w:hideMark/>
          </w:tcPr>
          <w:p w14:paraId="00F6515B"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winter</w:t>
            </w:r>
          </w:p>
        </w:tc>
        <w:tc>
          <w:tcPr>
            <w:tcW w:w="1009" w:type="dxa"/>
            <w:vAlign w:val="center"/>
            <w:hideMark/>
          </w:tcPr>
          <w:p w14:paraId="049BBFB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100-200</w:t>
            </w:r>
          </w:p>
        </w:tc>
        <w:tc>
          <w:tcPr>
            <w:tcW w:w="1009" w:type="dxa"/>
            <w:vAlign w:val="center"/>
            <w:hideMark/>
          </w:tcPr>
          <w:p w14:paraId="6616970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400-600</w:t>
            </w:r>
          </w:p>
        </w:tc>
        <w:tc>
          <w:tcPr>
            <w:tcW w:w="1009" w:type="dxa"/>
            <w:vAlign w:val="center"/>
            <w:hideMark/>
          </w:tcPr>
          <w:p w14:paraId="0BAD2B85"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200-400</w:t>
            </w:r>
          </w:p>
        </w:tc>
        <w:tc>
          <w:tcPr>
            <w:tcW w:w="1009" w:type="dxa"/>
            <w:vAlign w:val="center"/>
            <w:hideMark/>
          </w:tcPr>
          <w:p w14:paraId="0D6B5720"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100-200</w:t>
            </w:r>
          </w:p>
        </w:tc>
        <w:tc>
          <w:tcPr>
            <w:tcW w:w="1009" w:type="dxa"/>
            <w:vAlign w:val="center"/>
            <w:hideMark/>
          </w:tcPr>
          <w:p w14:paraId="69FA16E0"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220-420</w:t>
            </w:r>
          </w:p>
        </w:tc>
        <w:tc>
          <w:tcPr>
            <w:tcW w:w="1010" w:type="dxa"/>
            <w:vAlign w:val="center"/>
            <w:hideMark/>
          </w:tcPr>
          <w:p w14:paraId="3A4C8EAE"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0-10</w:t>
            </w:r>
          </w:p>
        </w:tc>
      </w:tr>
      <w:tr w:rsidR="00A82B4B" w:rsidRPr="00A82B4B" w14:paraId="27CB7E78" w14:textId="77777777" w:rsidTr="00A82B4B">
        <w:trPr>
          <w:trHeight w:val="397"/>
          <w:jc w:val="center"/>
        </w:trPr>
        <w:tc>
          <w:tcPr>
            <w:tcW w:w="0" w:type="auto"/>
            <w:vMerge/>
            <w:vAlign w:val="center"/>
            <w:hideMark/>
          </w:tcPr>
          <w:p w14:paraId="7A109563" w14:textId="77777777" w:rsidR="00A82B4B" w:rsidRPr="00A82B4B" w:rsidRDefault="00A82B4B" w:rsidP="00A82B4B">
            <w:pPr>
              <w:pStyle w:val="Body"/>
              <w:rPr>
                <w:rFonts w:ascii="Arial" w:hAnsi="Arial" w:cs="Arial"/>
                <w:sz w:val="18"/>
                <w:szCs w:val="18"/>
              </w:rPr>
            </w:pPr>
          </w:p>
        </w:tc>
        <w:tc>
          <w:tcPr>
            <w:tcW w:w="985" w:type="dxa"/>
            <w:hideMark/>
          </w:tcPr>
          <w:p w14:paraId="693FE70E"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autumn</w:t>
            </w:r>
          </w:p>
        </w:tc>
        <w:tc>
          <w:tcPr>
            <w:tcW w:w="1009" w:type="dxa"/>
            <w:vAlign w:val="center"/>
            <w:hideMark/>
          </w:tcPr>
          <w:p w14:paraId="538FFA1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10-100</w:t>
            </w:r>
          </w:p>
        </w:tc>
        <w:tc>
          <w:tcPr>
            <w:tcW w:w="1009" w:type="dxa"/>
            <w:vAlign w:val="center"/>
            <w:hideMark/>
          </w:tcPr>
          <w:p w14:paraId="557A6E24"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450-650</w:t>
            </w:r>
          </w:p>
        </w:tc>
        <w:tc>
          <w:tcPr>
            <w:tcW w:w="1009" w:type="dxa"/>
            <w:vAlign w:val="center"/>
            <w:hideMark/>
          </w:tcPr>
          <w:p w14:paraId="54E04BD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400-600</w:t>
            </w:r>
          </w:p>
        </w:tc>
        <w:tc>
          <w:tcPr>
            <w:tcW w:w="1009" w:type="dxa"/>
            <w:vAlign w:val="center"/>
            <w:hideMark/>
          </w:tcPr>
          <w:p w14:paraId="3BCA857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100-200</w:t>
            </w:r>
          </w:p>
        </w:tc>
        <w:tc>
          <w:tcPr>
            <w:tcW w:w="1009" w:type="dxa"/>
            <w:vAlign w:val="center"/>
            <w:hideMark/>
          </w:tcPr>
          <w:p w14:paraId="636F2AE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0-10</w:t>
            </w:r>
          </w:p>
        </w:tc>
        <w:tc>
          <w:tcPr>
            <w:tcW w:w="1010" w:type="dxa"/>
            <w:vAlign w:val="center"/>
            <w:hideMark/>
          </w:tcPr>
          <w:p w14:paraId="3ACEBA3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100-200</w:t>
            </w:r>
          </w:p>
        </w:tc>
      </w:tr>
    </w:tbl>
    <w:p w14:paraId="44BF7FEF" w14:textId="77777777" w:rsidR="00A82B4B" w:rsidRPr="00A82B4B" w:rsidRDefault="00A82B4B" w:rsidP="00A82B4B">
      <w:pPr>
        <w:pStyle w:val="Body"/>
        <w:spacing w:after="0"/>
        <w:rPr>
          <w:rFonts w:ascii="Arial" w:hAnsi="Arial" w:cs="Arial"/>
          <w:sz w:val="16"/>
          <w:szCs w:val="16"/>
          <w:lang w:bidi="ar-LY"/>
        </w:rPr>
      </w:pPr>
      <w:r w:rsidRPr="00A82B4B">
        <w:rPr>
          <w:rFonts w:ascii="Arial" w:hAnsi="Arial" w:cs="Arial"/>
          <w:sz w:val="16"/>
          <w:szCs w:val="16"/>
        </w:rPr>
        <w:t>Significant at 0.05% level of significance*</w:t>
      </w:r>
    </w:p>
    <w:p w14:paraId="019BD276" w14:textId="77777777" w:rsidR="00A82B4B" w:rsidRPr="00A82B4B" w:rsidRDefault="00A82B4B" w:rsidP="00A82B4B">
      <w:pPr>
        <w:pStyle w:val="Body"/>
        <w:spacing w:after="0"/>
        <w:rPr>
          <w:rFonts w:ascii="Arial" w:hAnsi="Arial" w:cs="Arial"/>
          <w:sz w:val="16"/>
          <w:szCs w:val="16"/>
          <w:rtl/>
          <w:lang w:bidi="ar-LY"/>
        </w:rPr>
      </w:pPr>
    </w:p>
    <w:p w14:paraId="51E5BC27" w14:textId="77777777" w:rsidR="00A82B4B" w:rsidRPr="00A82B4B" w:rsidRDefault="00A82B4B" w:rsidP="00A82B4B">
      <w:pPr>
        <w:pStyle w:val="Body"/>
        <w:spacing w:after="0"/>
        <w:rPr>
          <w:rFonts w:ascii="Arial" w:hAnsi="Arial" w:cs="Arial"/>
          <w:b/>
          <w:bCs/>
          <w:sz w:val="22"/>
          <w:szCs w:val="22"/>
        </w:rPr>
      </w:pPr>
      <w:r w:rsidRPr="00A82B4B">
        <w:rPr>
          <w:rFonts w:ascii="Arial" w:hAnsi="Arial" w:cs="Arial"/>
          <w:b/>
          <w:bCs/>
          <w:sz w:val="22"/>
          <w:szCs w:val="22"/>
        </w:rPr>
        <w:t>3.1 Physical Parameters</w:t>
      </w:r>
    </w:p>
    <w:p w14:paraId="7570025A" w14:textId="77777777" w:rsidR="00C1436B" w:rsidRDefault="00A82B4B" w:rsidP="00D126B2">
      <w:pPr>
        <w:pStyle w:val="Body"/>
        <w:spacing w:after="0"/>
        <w:rPr>
          <w:rFonts w:ascii="Arial" w:hAnsi="Arial" w:cs="Arial"/>
        </w:rPr>
      </w:pPr>
      <w:r w:rsidRPr="00A82B4B">
        <w:rPr>
          <w:rFonts w:ascii="Arial" w:hAnsi="Arial" w:cs="Arial"/>
        </w:rPr>
        <w:t xml:space="preserve">Water temperature and pH showed seasonal variations consistent with climatic conditions rather than wastewater discharge effects (Table 1). Similar observations have been reported for Mediterranean coastal waters subjected to wastewater inputs </w:t>
      </w:r>
      <w:r w:rsidR="00D126B2">
        <w:rPr>
          <w:rFonts w:ascii="Arial" w:hAnsi="Arial" w:cs="Arial"/>
        </w:rPr>
        <w:t>(</w:t>
      </w:r>
      <w:proofErr w:type="spellStart"/>
      <w:r w:rsidR="00D126B2" w:rsidRPr="00D126B2">
        <w:rPr>
          <w:lang w:val="en-GB"/>
        </w:rPr>
        <w:t>Jalgaif</w:t>
      </w:r>
      <w:proofErr w:type="spellEnd"/>
      <w:r w:rsidR="00D126B2">
        <w:rPr>
          <w:rFonts w:ascii="Arial" w:hAnsi="Arial" w:cs="Arial"/>
        </w:rPr>
        <w:t xml:space="preserve"> et al., 2018</w:t>
      </w:r>
      <w:r w:rsidR="00D126B2" w:rsidRPr="00783B22">
        <w:rPr>
          <w:rFonts w:ascii="Arial" w:hAnsi="Arial" w:cs="Arial"/>
        </w:rPr>
        <w:t xml:space="preserve">; </w:t>
      </w:r>
      <w:proofErr w:type="spellStart"/>
      <w:r w:rsidR="00D126B2" w:rsidRPr="00783B22">
        <w:rPr>
          <w:rFonts w:ascii="Arial" w:hAnsi="Arial" w:cs="Arial"/>
        </w:rPr>
        <w:t>Reopanichkul</w:t>
      </w:r>
      <w:proofErr w:type="spellEnd"/>
      <w:r w:rsidR="00D126B2" w:rsidRPr="00783B22">
        <w:rPr>
          <w:rFonts w:ascii="Arial" w:hAnsi="Arial" w:cs="Arial"/>
        </w:rPr>
        <w:t xml:space="preserve"> et al., 2010</w:t>
      </w:r>
      <w:r w:rsidR="00D126B2">
        <w:rPr>
          <w:rFonts w:ascii="Arial" w:hAnsi="Arial" w:cs="Arial"/>
        </w:rPr>
        <w:t>)</w:t>
      </w:r>
      <w:r w:rsidRPr="00A82B4B">
        <w:rPr>
          <w:rFonts w:ascii="Arial" w:hAnsi="Arial" w:cs="Arial"/>
        </w:rPr>
        <w:t>.</w:t>
      </w:r>
    </w:p>
    <w:p w14:paraId="6517285C" w14:textId="77777777" w:rsidR="00D91798" w:rsidRDefault="00D91798" w:rsidP="00D126B2">
      <w:pPr>
        <w:pStyle w:val="Body"/>
        <w:spacing w:after="0"/>
        <w:rPr>
          <w:rFonts w:ascii="Arial" w:hAnsi="Arial" w:cs="Arial"/>
        </w:rPr>
      </w:pPr>
    </w:p>
    <w:p w14:paraId="44744064" w14:textId="77777777" w:rsidR="00D91798" w:rsidRDefault="00D91798" w:rsidP="00D91798">
      <w:pPr>
        <w:pStyle w:val="Body"/>
        <w:spacing w:after="0"/>
        <w:rPr>
          <w:rFonts w:ascii="Arial" w:hAnsi="Arial" w:cs="Arial"/>
        </w:rPr>
      </w:pPr>
      <w:r w:rsidRPr="00D91798">
        <w:rPr>
          <w:rFonts w:ascii="Arial" w:hAnsi="Arial" w:cs="Arial"/>
        </w:rPr>
        <w:t>Measurements of Total Dissolved Solids (TDS) and Electrical Conductivity (EC) showed a slight decrease at the site adjacent to the sewage outfall, although they remained within the normal range for seawater. This decline is primarily attributed to a physical dilution effect, whereby secondary-treated wastewater—which is typically less saline than seawater—contributes to reducing the total concentration of dissolved ions near the mixing point (Mousa, 2021; Peng et al., 2019).</w:t>
      </w:r>
    </w:p>
    <w:p w14:paraId="3AD7168B" w14:textId="77777777" w:rsidR="00D91798" w:rsidRDefault="00D91798" w:rsidP="00D91798">
      <w:pPr>
        <w:pStyle w:val="Body"/>
        <w:spacing w:after="0"/>
        <w:rPr>
          <w:rFonts w:ascii="Arial" w:hAnsi="Arial" w:cs="Arial"/>
        </w:rPr>
      </w:pPr>
      <w:r w:rsidRPr="00D91798">
        <w:rPr>
          <w:rFonts w:ascii="Arial" w:hAnsi="Arial" w:cs="Arial"/>
        </w:rPr>
        <w:t xml:space="preserve"> </w:t>
      </w:r>
    </w:p>
    <w:p w14:paraId="6888A0A5" w14:textId="77777777" w:rsidR="00D91798" w:rsidRDefault="00D91798" w:rsidP="00D91798">
      <w:pPr>
        <w:pStyle w:val="Body"/>
        <w:spacing w:after="0"/>
        <w:rPr>
          <w:rFonts w:ascii="Arial" w:hAnsi="Arial" w:cs="Arial"/>
        </w:rPr>
      </w:pPr>
      <w:r w:rsidRPr="00D91798">
        <w:rPr>
          <w:rFonts w:ascii="Arial" w:hAnsi="Arial" w:cs="Arial"/>
        </w:rPr>
        <w:t xml:space="preserve">The results also reveal a statistically inverse relationship between TDS and EC values and the concentrations of organic pollutants and nutrients (such as COD, BOD, ammonia, and phosphate) originating from the same source, confirming that the shared pollution source is responsible for simultaneously elevating nutrient levels and reducing salinity through dilution, rather than being a result of purely biological activity. In winter, rainfall and increased surface runoff contribute to additional dilution of seawater ions, leading to lower TDS and EC values. In contrast, high temperatures and increased evaporation rates during hot seasons </w:t>
      </w:r>
      <w:r w:rsidRPr="00D91798">
        <w:rPr>
          <w:rFonts w:ascii="Arial" w:hAnsi="Arial" w:cs="Arial"/>
        </w:rPr>
        <w:lastRenderedPageBreak/>
        <w:t>concentrate the dissolved ions, thereby raising both TDS and EC levels. Consequently, variations in these two parameters near the discharge point are ascribed to hydro-physical processes, namely dilution by wastewater and seasonal fluctuations.</w:t>
      </w:r>
    </w:p>
    <w:p w14:paraId="5C87C516" w14:textId="77777777" w:rsidR="00D91798" w:rsidRDefault="00D91798" w:rsidP="00D126B2">
      <w:pPr>
        <w:pStyle w:val="Body"/>
        <w:spacing w:after="0"/>
        <w:rPr>
          <w:rFonts w:ascii="Arial" w:hAnsi="Arial" w:cs="Arial"/>
        </w:rPr>
      </w:pPr>
    </w:p>
    <w:p w14:paraId="5FA0D374" w14:textId="77777777" w:rsidR="00A82B4B" w:rsidRPr="00A82B4B" w:rsidRDefault="00A82B4B" w:rsidP="00A82B4B">
      <w:pPr>
        <w:pStyle w:val="Body"/>
        <w:spacing w:after="0"/>
        <w:rPr>
          <w:rFonts w:ascii="Arial" w:hAnsi="Arial" w:cs="Arial"/>
        </w:rPr>
      </w:pPr>
    </w:p>
    <w:p w14:paraId="37DCE9A6" w14:textId="77777777" w:rsidR="00A82B4B" w:rsidRPr="00A82B4B" w:rsidRDefault="00A82B4B" w:rsidP="00A82B4B">
      <w:pPr>
        <w:pStyle w:val="Body"/>
        <w:spacing w:after="0"/>
        <w:rPr>
          <w:rFonts w:ascii="Arial" w:hAnsi="Arial" w:cs="Arial"/>
          <w:b/>
          <w:bCs/>
          <w:sz w:val="22"/>
          <w:szCs w:val="22"/>
        </w:rPr>
      </w:pPr>
      <w:r w:rsidRPr="00A82B4B">
        <w:rPr>
          <w:rFonts w:ascii="Arial" w:hAnsi="Arial" w:cs="Arial"/>
          <w:b/>
          <w:bCs/>
          <w:sz w:val="22"/>
          <w:szCs w:val="22"/>
        </w:rPr>
        <w:t>3.2 Nutrients and Oxygen-Demand Parameters</w:t>
      </w:r>
    </w:p>
    <w:p w14:paraId="30FC5D59" w14:textId="77777777" w:rsidR="005460B5" w:rsidRPr="005460B5" w:rsidRDefault="005460B5" w:rsidP="005460B5">
      <w:pPr>
        <w:pStyle w:val="Body"/>
        <w:rPr>
          <w:rFonts w:ascii="Arial" w:hAnsi="Arial" w:cs="Arial"/>
        </w:rPr>
      </w:pPr>
      <w:r w:rsidRPr="005460B5">
        <w:rPr>
          <w:rFonts w:ascii="Arial" w:hAnsi="Arial" w:cs="Arial"/>
        </w:rPr>
        <w:t>Ammonia, nitrite, and phosphate concentrations exhibited a significant increase at sites immediately adjacent to the sewage outfall (Table 1), with the recorded mean values substantially exceeding the recommended guideline limits for coastal water quality (Table 2). This rise reflects the direct impact of secondary-treated wastewater discharge on the chemical properties of coastal waters, particularly in areas near the outfall characterized by low dilution and water renewal rates.</w:t>
      </w:r>
    </w:p>
    <w:p w14:paraId="5C95E337" w14:textId="77777777" w:rsidR="005460B5" w:rsidRPr="005460B5" w:rsidRDefault="005460B5" w:rsidP="005460B5">
      <w:pPr>
        <w:pStyle w:val="Body"/>
        <w:rPr>
          <w:rFonts w:ascii="Arial" w:hAnsi="Arial" w:cs="Arial"/>
        </w:rPr>
      </w:pPr>
      <w:r w:rsidRPr="005460B5">
        <w:rPr>
          <w:rFonts w:ascii="Arial" w:hAnsi="Arial" w:cs="Arial"/>
        </w:rPr>
        <w:t xml:space="preserve"> Statistical analysis results revealed strong positive correlations between nutrient concentrations on one hand and Biochemical Oxygen Demand (BOD) and Chemical Oxygen Demand (COD) values on the other, with correlation coefficients (R) exceeding 0.70. These strong relationships indicate that wastewater rich in organic matter is the primary source of pollution in the studied area, as non-biodegradable materials, such as certain types of alcohols, organic acids, metal ions, and cellulose present in high quantities in domestic and industrial wastewater, contribute significantly to elevated COD levels (Al-</w:t>
      </w:r>
      <w:proofErr w:type="spellStart"/>
      <w:r w:rsidRPr="005460B5">
        <w:rPr>
          <w:rFonts w:ascii="Arial" w:hAnsi="Arial" w:cs="Arial"/>
        </w:rPr>
        <w:t>Qasir</w:t>
      </w:r>
      <w:proofErr w:type="spellEnd"/>
      <w:r w:rsidRPr="005460B5">
        <w:rPr>
          <w:rFonts w:ascii="Arial" w:hAnsi="Arial" w:cs="Arial"/>
        </w:rPr>
        <w:t xml:space="preserve">, 2012). These findings align with the study by </w:t>
      </w:r>
      <w:proofErr w:type="spellStart"/>
      <w:r w:rsidRPr="005460B5">
        <w:rPr>
          <w:rFonts w:ascii="Arial" w:hAnsi="Arial" w:cs="Arial"/>
        </w:rPr>
        <w:t>Nergis</w:t>
      </w:r>
      <w:proofErr w:type="spellEnd"/>
      <w:r w:rsidRPr="005460B5">
        <w:rPr>
          <w:rFonts w:ascii="Arial" w:hAnsi="Arial" w:cs="Arial"/>
        </w:rPr>
        <w:t xml:space="preserve"> et al. (2012), which showed COD concentrations in the Shatt al-Arab river reaching 788 mg/L during autumn and 529 mg/L in winter due to sewage pollution. Similarly, the study by </w:t>
      </w:r>
      <w:proofErr w:type="spellStart"/>
      <w:r w:rsidRPr="005460B5">
        <w:rPr>
          <w:rFonts w:ascii="Arial" w:hAnsi="Arial" w:cs="Arial"/>
        </w:rPr>
        <w:t>Haebig</w:t>
      </w:r>
      <w:proofErr w:type="spellEnd"/>
      <w:r w:rsidRPr="005460B5">
        <w:rPr>
          <w:rFonts w:ascii="Arial" w:hAnsi="Arial" w:cs="Arial"/>
        </w:rPr>
        <w:t xml:space="preserve"> et al. (2021) documented the spread of COD concentrations exceeding safe limits over an area of 4.72 km² from the discharge point.</w:t>
      </w:r>
    </w:p>
    <w:p w14:paraId="7D3AA48C" w14:textId="77777777" w:rsidR="005460B5" w:rsidRPr="005460B5" w:rsidRDefault="005460B5" w:rsidP="005460B5">
      <w:pPr>
        <w:pStyle w:val="Body"/>
        <w:rPr>
          <w:rFonts w:ascii="Arial" w:hAnsi="Arial" w:cs="Arial"/>
        </w:rPr>
      </w:pPr>
      <w:r w:rsidRPr="005460B5">
        <w:rPr>
          <w:rFonts w:ascii="Arial" w:hAnsi="Arial" w:cs="Arial"/>
        </w:rPr>
        <w:t xml:space="preserve"> The elevated nitrite concentrations are attributed to the high levels present in the treated wastewater discharged into the sea, as nitrite, along with phosphate, is a key nutrient for algal and bacterial growth (Riley &amp; Chester, 1971). The increase in these nutrients leads to excessive microbial growth, accompanied by substantial consumption of dissolved oxygen, creating conditions unsuitable for the survival of other marine organisms (Michael &amp; </w:t>
      </w:r>
      <w:proofErr w:type="spellStart"/>
      <w:r w:rsidRPr="005460B5">
        <w:rPr>
          <w:rFonts w:ascii="Arial" w:hAnsi="Arial" w:cs="Arial"/>
        </w:rPr>
        <w:t>Kennish</w:t>
      </w:r>
      <w:proofErr w:type="spellEnd"/>
      <w:r w:rsidRPr="005460B5">
        <w:rPr>
          <w:rFonts w:ascii="Arial" w:hAnsi="Arial" w:cs="Arial"/>
        </w:rPr>
        <w:t>, 1998). These results are consistent with the findings of Alibi et al. (2020), which recorded high nitrite concentrations of 26.4 mg/L in the waters of Rajish Bay, Tunisia, resulting from inadequate sewage treatment efficiency.</w:t>
      </w:r>
    </w:p>
    <w:p w14:paraId="4DC77A75" w14:textId="77777777" w:rsidR="005460B5" w:rsidRPr="005460B5" w:rsidRDefault="005460B5" w:rsidP="005460B5">
      <w:pPr>
        <w:pStyle w:val="Body"/>
        <w:rPr>
          <w:rFonts w:ascii="Arial" w:hAnsi="Arial" w:cs="Arial"/>
          <w:rtl/>
          <w:lang w:bidi="ar-LY"/>
        </w:rPr>
      </w:pPr>
      <w:r w:rsidRPr="005460B5">
        <w:rPr>
          <w:rFonts w:ascii="Arial" w:hAnsi="Arial" w:cs="Arial"/>
        </w:rPr>
        <w:t xml:space="preserve"> The study also showed that the highest ammonia concentrations were recorded in samples near the sewage outfall during autumn and winter, attributable to the decomposition of organic matter in the wastewater. Concentrations then gradually decreased with distance from the outfall due to dilution and seawater self-purification processes and the availability of oxygen required for ammonia oxidation. The safe limit for ammonia concentration in seawater is a subject of debate, with some studies indicating that toxic concentrations begin at 0.08 mg/L (Boardman et al., 2004), meaning all values recorded in this study exceed toxic thresholds. These findings agree with the study by </w:t>
      </w:r>
      <w:proofErr w:type="spellStart"/>
      <w:r w:rsidRPr="005460B5">
        <w:rPr>
          <w:rFonts w:ascii="Arial" w:hAnsi="Arial" w:cs="Arial"/>
        </w:rPr>
        <w:t>Jalgaif</w:t>
      </w:r>
      <w:proofErr w:type="spellEnd"/>
      <w:r w:rsidRPr="005460B5">
        <w:rPr>
          <w:rFonts w:ascii="Arial" w:hAnsi="Arial" w:cs="Arial"/>
        </w:rPr>
        <w:t xml:space="preserve"> (2018), which documented ammonia pollution in Tobruk Bay due to sewage discharge.</w:t>
      </w:r>
    </w:p>
    <w:p w14:paraId="78B1AE0C" w14:textId="77777777" w:rsidR="00A82B4B" w:rsidRPr="00A82B4B" w:rsidRDefault="00A82B4B" w:rsidP="00A82B4B">
      <w:pPr>
        <w:pStyle w:val="Body"/>
        <w:spacing w:after="0"/>
        <w:rPr>
          <w:rFonts w:ascii="Arial" w:hAnsi="Arial" w:cs="Arial"/>
          <w:lang w:bidi="ar-LY"/>
        </w:rPr>
      </w:pPr>
    </w:p>
    <w:p w14:paraId="536EF081" w14:textId="77777777" w:rsidR="00A82B4B" w:rsidRPr="00A82B4B" w:rsidRDefault="00A82B4B" w:rsidP="00A82B4B">
      <w:pPr>
        <w:pStyle w:val="Body"/>
        <w:rPr>
          <w:rFonts w:ascii="Arial" w:hAnsi="Arial" w:cs="Arial"/>
          <w:b/>
          <w:bCs/>
        </w:rPr>
      </w:pPr>
      <w:r w:rsidRPr="00A82B4B">
        <w:rPr>
          <w:rFonts w:ascii="Arial" w:hAnsi="Arial" w:cs="Arial"/>
          <w:b/>
          <w:bCs/>
        </w:rPr>
        <w:t>Table 2 the international guideline limits for coastal water quality used for comparison in this study</w:t>
      </w:r>
    </w:p>
    <w:tbl>
      <w:tblPr>
        <w:tblStyle w:val="TableGrid"/>
        <w:bidiVisual/>
        <w:tblW w:w="0" w:type="auto"/>
        <w:jc w:val="center"/>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192"/>
        <w:gridCol w:w="3192"/>
      </w:tblGrid>
      <w:tr w:rsidR="00A82B4B" w:rsidRPr="00A82B4B" w14:paraId="7331478B" w14:textId="77777777" w:rsidTr="00A82B4B">
        <w:trPr>
          <w:jc w:val="center"/>
        </w:trPr>
        <w:tc>
          <w:tcPr>
            <w:tcW w:w="3192" w:type="dxa"/>
          </w:tcPr>
          <w:p w14:paraId="620D5F26"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Maximum allowed</w:t>
            </w:r>
          </w:p>
        </w:tc>
        <w:tc>
          <w:tcPr>
            <w:tcW w:w="3192" w:type="dxa"/>
          </w:tcPr>
          <w:p w14:paraId="3608304A"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Item</w:t>
            </w:r>
          </w:p>
        </w:tc>
      </w:tr>
      <w:tr w:rsidR="00A82B4B" w:rsidRPr="00A82B4B" w14:paraId="3A066316" w14:textId="77777777" w:rsidTr="00A82B4B">
        <w:trPr>
          <w:jc w:val="center"/>
        </w:trPr>
        <w:tc>
          <w:tcPr>
            <w:tcW w:w="3192" w:type="dxa"/>
          </w:tcPr>
          <w:p w14:paraId="44929655"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30</w:t>
            </w:r>
          </w:p>
        </w:tc>
        <w:tc>
          <w:tcPr>
            <w:tcW w:w="3192" w:type="dxa"/>
          </w:tcPr>
          <w:p w14:paraId="469E17DD"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C</w:t>
            </w:r>
          </w:p>
        </w:tc>
      </w:tr>
      <w:tr w:rsidR="00A82B4B" w:rsidRPr="00A82B4B" w14:paraId="2B1C966A" w14:textId="77777777" w:rsidTr="00A82B4B">
        <w:trPr>
          <w:jc w:val="center"/>
        </w:trPr>
        <w:tc>
          <w:tcPr>
            <w:tcW w:w="3192" w:type="dxa"/>
          </w:tcPr>
          <w:p w14:paraId="221408C1"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lastRenderedPageBreak/>
              <w:t>30 mg/l</w:t>
            </w:r>
          </w:p>
        </w:tc>
        <w:tc>
          <w:tcPr>
            <w:tcW w:w="3192" w:type="dxa"/>
          </w:tcPr>
          <w:p w14:paraId="75A08BB5"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BOD</w:t>
            </w:r>
          </w:p>
        </w:tc>
      </w:tr>
      <w:tr w:rsidR="00A82B4B" w:rsidRPr="00A82B4B" w14:paraId="0025712B" w14:textId="77777777" w:rsidTr="00A82B4B">
        <w:trPr>
          <w:jc w:val="center"/>
        </w:trPr>
        <w:tc>
          <w:tcPr>
            <w:tcW w:w="3192" w:type="dxa"/>
          </w:tcPr>
          <w:p w14:paraId="02C33D7F"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250 mg/l</w:t>
            </w:r>
          </w:p>
        </w:tc>
        <w:tc>
          <w:tcPr>
            <w:tcW w:w="3192" w:type="dxa"/>
          </w:tcPr>
          <w:p w14:paraId="171AF493"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COD</w:t>
            </w:r>
          </w:p>
        </w:tc>
      </w:tr>
      <w:tr w:rsidR="00A82B4B" w:rsidRPr="00A82B4B" w14:paraId="2BA85A4B" w14:textId="77777777" w:rsidTr="00A82B4B">
        <w:trPr>
          <w:jc w:val="center"/>
        </w:trPr>
        <w:tc>
          <w:tcPr>
            <w:tcW w:w="3192" w:type="dxa"/>
          </w:tcPr>
          <w:p w14:paraId="377326D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200 MPN/100ml</w:t>
            </w:r>
          </w:p>
        </w:tc>
        <w:tc>
          <w:tcPr>
            <w:tcW w:w="3192" w:type="dxa"/>
          </w:tcPr>
          <w:p w14:paraId="57A68E27"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Coliform</w:t>
            </w:r>
          </w:p>
        </w:tc>
      </w:tr>
      <w:tr w:rsidR="00A82B4B" w:rsidRPr="00A82B4B" w14:paraId="3F1AA531" w14:textId="77777777" w:rsidTr="00A82B4B">
        <w:trPr>
          <w:jc w:val="center"/>
        </w:trPr>
        <w:tc>
          <w:tcPr>
            <w:tcW w:w="3192" w:type="dxa"/>
          </w:tcPr>
          <w:p w14:paraId="749CA6D7"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10 mg/l</w:t>
            </w:r>
          </w:p>
        </w:tc>
        <w:tc>
          <w:tcPr>
            <w:tcW w:w="3192" w:type="dxa"/>
          </w:tcPr>
          <w:p w14:paraId="38B97DC4"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NO2</w:t>
            </w:r>
          </w:p>
        </w:tc>
      </w:tr>
      <w:tr w:rsidR="00A82B4B" w:rsidRPr="00A82B4B" w14:paraId="7DE12667" w14:textId="77777777" w:rsidTr="00A82B4B">
        <w:trPr>
          <w:jc w:val="center"/>
        </w:trPr>
        <w:tc>
          <w:tcPr>
            <w:tcW w:w="3192" w:type="dxa"/>
          </w:tcPr>
          <w:p w14:paraId="7C400C3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0.1 mg/l</w:t>
            </w:r>
          </w:p>
        </w:tc>
        <w:tc>
          <w:tcPr>
            <w:tcW w:w="3192" w:type="dxa"/>
          </w:tcPr>
          <w:p w14:paraId="402245EB"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PO4</w:t>
            </w:r>
          </w:p>
        </w:tc>
      </w:tr>
      <w:tr w:rsidR="00A82B4B" w:rsidRPr="00A82B4B" w14:paraId="2180A203" w14:textId="77777777" w:rsidTr="00A82B4B">
        <w:trPr>
          <w:jc w:val="center"/>
        </w:trPr>
        <w:tc>
          <w:tcPr>
            <w:tcW w:w="3192" w:type="dxa"/>
          </w:tcPr>
          <w:p w14:paraId="418B3C0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0.01 mg/l</w:t>
            </w:r>
          </w:p>
        </w:tc>
        <w:tc>
          <w:tcPr>
            <w:tcW w:w="3192" w:type="dxa"/>
          </w:tcPr>
          <w:p w14:paraId="158B7127"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Cd</w:t>
            </w:r>
          </w:p>
        </w:tc>
      </w:tr>
      <w:tr w:rsidR="00A82B4B" w:rsidRPr="00A82B4B" w14:paraId="1D33482C" w14:textId="77777777" w:rsidTr="00A82B4B">
        <w:trPr>
          <w:jc w:val="center"/>
        </w:trPr>
        <w:tc>
          <w:tcPr>
            <w:tcW w:w="3192" w:type="dxa"/>
          </w:tcPr>
          <w:p w14:paraId="5ED41372"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0.1 mg/l</w:t>
            </w:r>
          </w:p>
        </w:tc>
        <w:tc>
          <w:tcPr>
            <w:tcW w:w="3192" w:type="dxa"/>
          </w:tcPr>
          <w:p w14:paraId="08FAEBC3"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Cr</w:t>
            </w:r>
          </w:p>
        </w:tc>
      </w:tr>
      <w:tr w:rsidR="00A82B4B" w:rsidRPr="00A82B4B" w14:paraId="5042D3AA" w14:textId="77777777" w:rsidTr="00A82B4B">
        <w:trPr>
          <w:jc w:val="center"/>
        </w:trPr>
        <w:tc>
          <w:tcPr>
            <w:tcW w:w="3192" w:type="dxa"/>
          </w:tcPr>
          <w:p w14:paraId="53647987"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0.1 mg/l</w:t>
            </w:r>
          </w:p>
        </w:tc>
        <w:tc>
          <w:tcPr>
            <w:tcW w:w="3192" w:type="dxa"/>
          </w:tcPr>
          <w:p w14:paraId="50971D10"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Pb</w:t>
            </w:r>
          </w:p>
        </w:tc>
      </w:tr>
      <w:tr w:rsidR="00A82B4B" w:rsidRPr="00A82B4B" w14:paraId="2EB4ACAB" w14:textId="77777777" w:rsidTr="00A82B4B">
        <w:trPr>
          <w:trHeight w:val="447"/>
          <w:jc w:val="center"/>
        </w:trPr>
        <w:tc>
          <w:tcPr>
            <w:tcW w:w="3192" w:type="dxa"/>
          </w:tcPr>
          <w:p w14:paraId="2EBF0D55"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0.1 mg/l</w:t>
            </w:r>
          </w:p>
        </w:tc>
        <w:tc>
          <w:tcPr>
            <w:tcW w:w="3192" w:type="dxa"/>
          </w:tcPr>
          <w:p w14:paraId="726F30EB"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Fe</w:t>
            </w:r>
          </w:p>
        </w:tc>
      </w:tr>
    </w:tbl>
    <w:p w14:paraId="6450FB5A" w14:textId="77777777" w:rsidR="00E67D6B" w:rsidRPr="00E67D6B" w:rsidRDefault="00E67D6B" w:rsidP="00E67D6B">
      <w:pPr>
        <w:pStyle w:val="Body"/>
        <w:spacing w:after="0"/>
        <w:jc w:val="center"/>
        <w:rPr>
          <w:rFonts w:ascii="Arial" w:hAnsi="Arial" w:cs="Arial"/>
          <w:sz w:val="18"/>
          <w:szCs w:val="18"/>
        </w:rPr>
      </w:pPr>
      <w:r w:rsidRPr="00E67D6B">
        <w:rPr>
          <w:rFonts w:ascii="Arial" w:hAnsi="Arial" w:cs="Arial"/>
          <w:sz w:val="18"/>
          <w:szCs w:val="18"/>
        </w:rPr>
        <w:t>Source</w:t>
      </w:r>
      <w:r w:rsidRPr="00E67D6B">
        <w:rPr>
          <w:rFonts w:ascii="Arial" w:hAnsi="Arial" w:cs="Arial" w:hint="cs"/>
          <w:sz w:val="18"/>
          <w:szCs w:val="18"/>
          <w:rtl/>
        </w:rPr>
        <w:t>:</w:t>
      </w:r>
      <w:r w:rsidRPr="00E67D6B">
        <w:rPr>
          <w:rFonts w:ascii="Arial" w:hAnsi="Arial" w:cs="Arial"/>
          <w:sz w:val="18"/>
          <w:szCs w:val="18"/>
        </w:rPr>
        <w:t xml:space="preserve"> (Moore, 1991)</w:t>
      </w:r>
    </w:p>
    <w:p w14:paraId="11C7A6BB" w14:textId="77777777" w:rsidR="00E67D6B" w:rsidRPr="00E67D6B" w:rsidRDefault="00E67D6B" w:rsidP="00A82B4B">
      <w:pPr>
        <w:pStyle w:val="Body"/>
        <w:spacing w:after="0"/>
        <w:rPr>
          <w:rFonts w:ascii="Arial" w:hAnsi="Arial" w:cs="Arial"/>
        </w:rPr>
      </w:pPr>
    </w:p>
    <w:p w14:paraId="33541127" w14:textId="77777777" w:rsidR="00A82B4B" w:rsidRPr="00A82B4B" w:rsidRDefault="00A82B4B" w:rsidP="00A82B4B">
      <w:pPr>
        <w:pStyle w:val="Body"/>
        <w:spacing w:after="0"/>
        <w:rPr>
          <w:rFonts w:ascii="Arial" w:hAnsi="Arial" w:cs="Arial"/>
          <w:b/>
          <w:bCs/>
          <w:sz w:val="22"/>
          <w:szCs w:val="22"/>
        </w:rPr>
      </w:pPr>
      <w:r w:rsidRPr="00A82B4B">
        <w:rPr>
          <w:rFonts w:ascii="Arial" w:hAnsi="Arial" w:cs="Arial"/>
          <w:b/>
          <w:bCs/>
          <w:sz w:val="22"/>
          <w:szCs w:val="22"/>
        </w:rPr>
        <w:t>3.3 Heavy Metals</w:t>
      </w:r>
    </w:p>
    <w:p w14:paraId="3B22C801" w14:textId="77777777" w:rsidR="00A82B4B" w:rsidRDefault="00A82B4B" w:rsidP="00B60BE9">
      <w:pPr>
        <w:pStyle w:val="Body"/>
        <w:spacing w:after="0"/>
        <w:rPr>
          <w:rFonts w:ascii="Arial" w:hAnsi="Arial" w:cs="Arial"/>
        </w:rPr>
      </w:pPr>
      <w:r w:rsidRPr="00A82B4B">
        <w:rPr>
          <w:rFonts w:ascii="Arial" w:hAnsi="Arial" w:cs="Arial"/>
        </w:rPr>
        <w:t>The concentrations of Cd, Cr, Pb, and Fe exceeded permissible coastal water limits at most sampling sites (Tables 1 and 2), particularly during winter. This pattern reflects the limited efficiency of secondary treatment processes in removing heavy metals, as well as the contribution of urban runoff during rainfall events</w:t>
      </w:r>
      <w:r w:rsidR="0043578C">
        <w:rPr>
          <w:rFonts w:ascii="Arial" w:hAnsi="Arial" w:cs="Arial"/>
        </w:rPr>
        <w:t xml:space="preserve"> (</w:t>
      </w:r>
      <w:proofErr w:type="spellStart"/>
      <w:r w:rsidR="0043578C">
        <w:rPr>
          <w:lang w:val="en-GB"/>
        </w:rPr>
        <w:t>Alam</w:t>
      </w:r>
      <w:proofErr w:type="spellEnd"/>
      <w:r w:rsidR="0043578C">
        <w:rPr>
          <w:lang w:val="en-GB"/>
        </w:rPr>
        <w:t xml:space="preserve"> et al., 2002</w:t>
      </w:r>
      <w:r w:rsidR="00B60BE9">
        <w:rPr>
          <w:rFonts w:ascii="Arial" w:hAnsi="Arial" w:cs="Arial"/>
        </w:rPr>
        <w:t xml:space="preserve">; </w:t>
      </w:r>
      <w:proofErr w:type="spellStart"/>
      <w:r w:rsidR="00B60BE9" w:rsidRPr="00277EAC">
        <w:rPr>
          <w:lang w:val="en-GB"/>
        </w:rPr>
        <w:t>Muramoto</w:t>
      </w:r>
      <w:proofErr w:type="spellEnd"/>
      <w:r w:rsidR="00B60BE9">
        <w:rPr>
          <w:lang w:val="en-GB"/>
        </w:rPr>
        <w:t>, 1981</w:t>
      </w:r>
      <w:r w:rsidR="0043578C">
        <w:rPr>
          <w:rFonts w:ascii="Arial" w:hAnsi="Arial" w:cs="Arial"/>
        </w:rPr>
        <w:t>)</w:t>
      </w:r>
      <w:r w:rsidRPr="00A82B4B">
        <w:rPr>
          <w:rFonts w:ascii="Arial" w:hAnsi="Arial" w:cs="Arial"/>
        </w:rPr>
        <w:t>. Elevated heavy metal levels in coastal waters have been linked to bioaccumulation and toxic effects on marine organisms</w:t>
      </w:r>
      <w:r w:rsidR="0043578C">
        <w:rPr>
          <w:rFonts w:ascii="Arial" w:hAnsi="Arial" w:cs="Arial"/>
        </w:rPr>
        <w:t xml:space="preserve"> (</w:t>
      </w:r>
      <w:r w:rsidR="0043578C" w:rsidRPr="00C37AF0">
        <w:rPr>
          <w:lang w:val="en-GB"/>
        </w:rPr>
        <w:t>Moore,</w:t>
      </w:r>
      <w:r w:rsidR="0043578C">
        <w:rPr>
          <w:rFonts w:ascii="Arial" w:hAnsi="Arial" w:cs="Arial"/>
        </w:rPr>
        <w:t xml:space="preserve"> 1991)</w:t>
      </w:r>
      <w:r w:rsidRPr="00A82B4B">
        <w:rPr>
          <w:rFonts w:ascii="Arial" w:hAnsi="Arial" w:cs="Arial"/>
        </w:rPr>
        <w:t>. clearly demonstrates the spatial gradient of heavy metal contamination, with the highest values recorded near the discharge point.</w:t>
      </w:r>
    </w:p>
    <w:p w14:paraId="405FA91A" w14:textId="77777777" w:rsidR="00E67D6B" w:rsidRPr="00A82B4B" w:rsidRDefault="00E67D6B" w:rsidP="00A82B4B">
      <w:pPr>
        <w:pStyle w:val="Body"/>
        <w:spacing w:after="0"/>
        <w:rPr>
          <w:rFonts w:ascii="Arial" w:hAnsi="Arial" w:cs="Arial"/>
        </w:rPr>
      </w:pPr>
    </w:p>
    <w:p w14:paraId="30E72303" w14:textId="77777777" w:rsidR="00A82B4B" w:rsidRPr="00E67D6B" w:rsidRDefault="00A82B4B" w:rsidP="00A82B4B">
      <w:pPr>
        <w:pStyle w:val="Body"/>
        <w:spacing w:after="0"/>
        <w:rPr>
          <w:rFonts w:ascii="Arial" w:hAnsi="Arial" w:cs="Arial"/>
          <w:b/>
          <w:bCs/>
          <w:sz w:val="22"/>
          <w:szCs w:val="22"/>
        </w:rPr>
      </w:pPr>
      <w:r w:rsidRPr="00E67D6B">
        <w:rPr>
          <w:rFonts w:ascii="Arial" w:hAnsi="Arial" w:cs="Arial"/>
          <w:b/>
          <w:bCs/>
          <w:sz w:val="22"/>
          <w:szCs w:val="22"/>
        </w:rPr>
        <w:t>3.4 Microbiological Contamination and Public Health Implications</w:t>
      </w:r>
    </w:p>
    <w:p w14:paraId="2E36F864" w14:textId="77777777" w:rsidR="00A82B4B" w:rsidRPr="00A82B4B" w:rsidRDefault="00A82B4B" w:rsidP="00B60BE9">
      <w:pPr>
        <w:pStyle w:val="Body"/>
        <w:spacing w:after="0"/>
        <w:rPr>
          <w:rFonts w:ascii="Arial" w:hAnsi="Arial" w:cs="Arial"/>
        </w:rPr>
      </w:pPr>
      <w:r w:rsidRPr="00A82B4B">
        <w:rPr>
          <w:rFonts w:ascii="Arial" w:hAnsi="Arial" w:cs="Arial"/>
        </w:rPr>
        <w:t>E. coli and total coliform counts exceeded recreational water standards at most sites, including the reference site (Table 1), indicating widespread microbial contamination. Similar trends have been reported in coastal areas receiving inadequately treated wastewater</w:t>
      </w:r>
      <w:r w:rsidR="00B60BE9">
        <w:rPr>
          <w:rFonts w:ascii="Arial" w:hAnsi="Arial" w:cs="Arial"/>
        </w:rPr>
        <w:t xml:space="preserve"> (</w:t>
      </w:r>
      <w:r w:rsidR="00B60BE9" w:rsidRPr="00277EAC">
        <w:rPr>
          <w:lang w:val="en-GB"/>
        </w:rPr>
        <w:t>Delille</w:t>
      </w:r>
      <w:r w:rsidR="00B60BE9">
        <w:rPr>
          <w:lang w:val="en-GB"/>
        </w:rPr>
        <w:t xml:space="preserve"> </w:t>
      </w:r>
      <w:r w:rsidR="00B60BE9" w:rsidRPr="00277EAC">
        <w:rPr>
          <w:lang w:val="en-GB"/>
        </w:rPr>
        <w:t xml:space="preserve">&amp; </w:t>
      </w:r>
      <w:proofErr w:type="spellStart"/>
      <w:r w:rsidR="00B60BE9" w:rsidRPr="00277EAC">
        <w:rPr>
          <w:lang w:val="en-GB"/>
        </w:rPr>
        <w:t>Gleizon</w:t>
      </w:r>
      <w:proofErr w:type="spellEnd"/>
      <w:r w:rsidR="00B60BE9">
        <w:rPr>
          <w:rFonts w:ascii="Arial" w:hAnsi="Arial" w:cs="Arial"/>
          <w:lang w:val="en-GB"/>
        </w:rPr>
        <w:t xml:space="preserve">, 20003; </w:t>
      </w:r>
      <w:r w:rsidR="00B60BE9">
        <w:rPr>
          <w:lang w:val="en-GB"/>
        </w:rPr>
        <w:t>Manini et al., 2022</w:t>
      </w:r>
      <w:r w:rsidR="00B60BE9">
        <w:rPr>
          <w:rFonts w:ascii="Arial" w:hAnsi="Arial" w:cs="Arial"/>
        </w:rPr>
        <w:t>)</w:t>
      </w:r>
      <w:r w:rsidRPr="00A82B4B">
        <w:rPr>
          <w:rFonts w:ascii="Arial" w:hAnsi="Arial" w:cs="Arial"/>
        </w:rPr>
        <w:t>. The persistence of microbial indicators highlights the low efficiency of the treatment plant and poses significant public health risks through direct exposure and seafood consumption</w:t>
      </w:r>
      <w:r w:rsidR="00B60BE9">
        <w:rPr>
          <w:rFonts w:ascii="Arial" w:hAnsi="Arial" w:cs="Arial"/>
        </w:rPr>
        <w:t xml:space="preserve"> (</w:t>
      </w:r>
      <w:r w:rsidR="00B60BE9" w:rsidRPr="00277EAC">
        <w:rPr>
          <w:lang w:val="en-GB"/>
        </w:rPr>
        <w:t>ECC</w:t>
      </w:r>
      <w:r w:rsidR="00B60BE9">
        <w:rPr>
          <w:rFonts w:ascii="Arial" w:hAnsi="Arial" w:cs="Arial"/>
        </w:rPr>
        <w:t xml:space="preserve">, 2002; </w:t>
      </w:r>
      <w:proofErr w:type="spellStart"/>
      <w:r w:rsidR="00B60BE9" w:rsidRPr="0043578C">
        <w:rPr>
          <w:lang w:val="en-GB"/>
        </w:rPr>
        <w:t>Okuku</w:t>
      </w:r>
      <w:proofErr w:type="spellEnd"/>
      <w:r w:rsidR="00B60BE9">
        <w:rPr>
          <w:lang w:val="en-GB"/>
        </w:rPr>
        <w:t xml:space="preserve"> et al., 2011</w:t>
      </w:r>
      <w:r w:rsidR="00B60BE9">
        <w:rPr>
          <w:rFonts w:ascii="Arial" w:hAnsi="Arial" w:cs="Arial"/>
        </w:rPr>
        <w:t>)</w:t>
      </w:r>
      <w:r w:rsidRPr="00A82B4B">
        <w:rPr>
          <w:rFonts w:ascii="Arial" w:hAnsi="Arial" w:cs="Arial"/>
        </w:rPr>
        <w:t>.</w:t>
      </w:r>
    </w:p>
    <w:p w14:paraId="0DE3E70D" w14:textId="77777777" w:rsidR="00E053D0" w:rsidRDefault="00E053D0" w:rsidP="00441B6F">
      <w:pPr>
        <w:pStyle w:val="Body"/>
        <w:spacing w:after="0"/>
        <w:rPr>
          <w:rFonts w:ascii="Arial" w:hAnsi="Arial" w:cs="Arial"/>
        </w:rPr>
      </w:pPr>
    </w:p>
    <w:p w14:paraId="7B23A593" w14:textId="77777777" w:rsidR="00790ADA" w:rsidRPr="00FB3A86" w:rsidRDefault="00790ADA" w:rsidP="00441B6F">
      <w:pPr>
        <w:pStyle w:val="Body"/>
        <w:spacing w:after="0"/>
        <w:rPr>
          <w:rFonts w:ascii="Arial" w:hAnsi="Arial" w:cs="Arial"/>
        </w:rPr>
      </w:pPr>
    </w:p>
    <w:p w14:paraId="2194000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5D1B72D" w14:textId="77777777" w:rsidR="00790ADA" w:rsidRPr="00FB3A86" w:rsidRDefault="00790ADA" w:rsidP="00441B6F">
      <w:pPr>
        <w:pStyle w:val="ConcHead"/>
        <w:spacing w:after="0"/>
        <w:jc w:val="both"/>
        <w:rPr>
          <w:rFonts w:ascii="Arial" w:hAnsi="Arial" w:cs="Arial"/>
        </w:rPr>
      </w:pPr>
    </w:p>
    <w:p w14:paraId="196D20C0" w14:textId="77777777" w:rsidR="00790ADA" w:rsidRDefault="00E67D6B" w:rsidP="00E67D6B">
      <w:pPr>
        <w:pStyle w:val="Body"/>
        <w:spacing w:after="0"/>
        <w:rPr>
          <w:rFonts w:ascii="Arial" w:hAnsi="Arial" w:cs="Arial"/>
        </w:rPr>
      </w:pPr>
      <w:r w:rsidRPr="00E67D6B">
        <w:rPr>
          <w:rFonts w:ascii="Arial" w:hAnsi="Arial" w:cs="Arial"/>
        </w:rPr>
        <w:t>The findings demonstrate that the continuous discharge of low-efficiency, secondarily treated wastewater has severely degraded the coastal water quality of Al-</w:t>
      </w:r>
      <w:proofErr w:type="spellStart"/>
      <w:r w:rsidRPr="00E67D6B">
        <w:rPr>
          <w:rFonts w:ascii="Arial" w:hAnsi="Arial" w:cs="Arial"/>
        </w:rPr>
        <w:t>Awda</w:t>
      </w:r>
      <w:proofErr w:type="spellEnd"/>
      <w:r w:rsidRPr="00E67D6B">
        <w:rPr>
          <w:rFonts w:ascii="Arial" w:hAnsi="Arial" w:cs="Arial"/>
        </w:rPr>
        <w:t xml:space="preserve"> Beach. Elevated nutrient loads, oxygen-demand parameters, heavy metals, and microbial indicators collectively indicate substantial environmental and health risks. Upgrading the treatment plant to tertiary treatment and relocating the outfall offshore are essential measures to protect the coastal ecosystem and public safety</w:t>
      </w:r>
    </w:p>
    <w:p w14:paraId="0A8E32B4" w14:textId="77777777" w:rsidR="00E67D6B" w:rsidRPr="00FB3A86" w:rsidRDefault="00E67D6B" w:rsidP="00E67D6B">
      <w:pPr>
        <w:pStyle w:val="Body"/>
        <w:spacing w:after="0"/>
        <w:rPr>
          <w:rFonts w:ascii="Arial" w:hAnsi="Arial" w:cs="Arial"/>
        </w:rPr>
      </w:pPr>
    </w:p>
    <w:p w14:paraId="6C5B4681" w14:textId="77777777" w:rsidR="00315186" w:rsidRPr="00315186" w:rsidRDefault="00315186" w:rsidP="00441B6F">
      <w:bookmarkStart w:id="0" w:name="_GoBack"/>
      <w:bookmarkEnd w:id="0"/>
    </w:p>
    <w:p w14:paraId="4D9F4808" w14:textId="77777777" w:rsidR="001A29D8" w:rsidRDefault="001A29D8" w:rsidP="00441B6F">
      <w:pPr>
        <w:pStyle w:val="ReferHead"/>
        <w:spacing w:after="0"/>
        <w:jc w:val="both"/>
        <w:rPr>
          <w:rFonts w:ascii="Arial" w:hAnsi="Arial" w:cs="Arial"/>
          <w:b w:val="0"/>
          <w:caps w:val="0"/>
          <w:sz w:val="20"/>
        </w:rPr>
      </w:pPr>
    </w:p>
    <w:p w14:paraId="729B3CAF" w14:textId="77777777" w:rsidR="00277EAC" w:rsidRDefault="00277EAC" w:rsidP="00441B6F">
      <w:pPr>
        <w:pStyle w:val="ReferHead"/>
        <w:spacing w:after="0"/>
        <w:jc w:val="both"/>
        <w:rPr>
          <w:rFonts w:ascii="Arial" w:hAnsi="Arial" w:cs="Arial"/>
        </w:rPr>
      </w:pPr>
    </w:p>
    <w:p w14:paraId="4874075A" w14:textId="77777777" w:rsidR="00E47856" w:rsidRPr="00E47856" w:rsidRDefault="00B01FCD" w:rsidP="00E47856">
      <w:pPr>
        <w:pStyle w:val="ReferHead"/>
        <w:spacing w:after="0"/>
        <w:jc w:val="both"/>
        <w:rPr>
          <w:rFonts w:ascii="Arial" w:hAnsi="Arial" w:cs="Arial"/>
        </w:rPr>
      </w:pPr>
      <w:r w:rsidRPr="00FB3A86">
        <w:rPr>
          <w:rFonts w:ascii="Arial" w:hAnsi="Arial" w:cs="Arial"/>
        </w:rPr>
        <w:t>References</w:t>
      </w:r>
    </w:p>
    <w:p w14:paraId="264AD240" w14:textId="77777777" w:rsidR="00E47856" w:rsidRPr="00E47856" w:rsidRDefault="00E47856" w:rsidP="00E47856">
      <w:pPr>
        <w:spacing w:before="120" w:after="120"/>
        <w:ind w:left="862" w:hanging="851"/>
        <w:jc w:val="both"/>
        <w:rPr>
          <w:rFonts w:cs="Helvetica"/>
          <w:color w:val="0F1115"/>
          <w:shd w:val="clear" w:color="auto" w:fill="FFFFFF"/>
        </w:rPr>
        <w:sectPr w:rsidR="00E47856" w:rsidRPr="00E47856" w:rsidSect="00795133">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1F70B0D3" w14:textId="77777777" w:rsidR="00E47856" w:rsidRPr="00E47856" w:rsidRDefault="00E47856" w:rsidP="00E47856">
      <w:pPr>
        <w:spacing w:before="120" w:after="120"/>
        <w:ind w:left="862" w:hanging="851"/>
        <w:jc w:val="both"/>
        <w:rPr>
          <w:rFonts w:cs="Helvetica"/>
          <w:color w:val="0F1115"/>
          <w:shd w:val="clear" w:color="auto" w:fill="FFFFFF"/>
        </w:rPr>
      </w:pPr>
    </w:p>
    <w:p w14:paraId="413C64BF" w14:textId="77777777" w:rsidR="00E47856" w:rsidRPr="00E47856" w:rsidRDefault="00E47856" w:rsidP="00E47856">
      <w:pPr>
        <w:spacing w:before="120" w:after="120"/>
        <w:ind w:left="862" w:hanging="851"/>
        <w:jc w:val="both"/>
        <w:rPr>
          <w:rFonts w:cs="Helvetica"/>
          <w:color w:val="0F1115"/>
          <w:shd w:val="clear" w:color="auto" w:fill="FFFFFF"/>
        </w:rPr>
      </w:pPr>
    </w:p>
    <w:p w14:paraId="0176798C" w14:textId="77777777" w:rsidR="00DF428A" w:rsidRPr="00DB06DD" w:rsidRDefault="00DF428A" w:rsidP="00DB06DD">
      <w:pPr>
        <w:spacing w:before="120" w:after="120"/>
        <w:ind w:left="1276"/>
        <w:jc w:val="both"/>
        <w:rPr>
          <w:rFonts w:cs="Helvetica"/>
          <w:color w:val="0F1115"/>
          <w:shd w:val="clear" w:color="auto" w:fill="FFFFFF"/>
        </w:rPr>
      </w:pPr>
      <w:proofErr w:type="spellStart"/>
      <w:r w:rsidRPr="00DB06DD">
        <w:rPr>
          <w:rFonts w:cs="Helvetica"/>
          <w:color w:val="0F1115"/>
          <w:shd w:val="clear" w:color="auto" w:fill="FFFFFF"/>
        </w:rPr>
        <w:t>Abugdera</w:t>
      </w:r>
      <w:proofErr w:type="spellEnd"/>
      <w:r w:rsidRPr="00DB06DD">
        <w:rPr>
          <w:rFonts w:cs="Helvetica"/>
          <w:color w:val="0F1115"/>
          <w:shd w:val="clear" w:color="auto" w:fill="FFFFFF"/>
        </w:rPr>
        <w:t xml:space="preserve">, A. F., Faris, B. M., &amp; </w:t>
      </w:r>
      <w:proofErr w:type="spellStart"/>
      <w:r w:rsidRPr="00DB06DD">
        <w:rPr>
          <w:rFonts w:cs="Helvetica"/>
          <w:color w:val="0F1115"/>
          <w:shd w:val="clear" w:color="auto" w:fill="FFFFFF"/>
        </w:rPr>
        <w:t>Abugderha</w:t>
      </w:r>
      <w:proofErr w:type="spellEnd"/>
      <w:r w:rsidRPr="00DB06DD">
        <w:rPr>
          <w:rFonts w:cs="Helvetica"/>
          <w:color w:val="0F1115"/>
          <w:shd w:val="clear" w:color="auto" w:fill="FFFFFF"/>
        </w:rPr>
        <w:t xml:space="preserve">, M. M. (2018). Analytical study of environmental impact assessment for a wastewater treatment plant in Sabratha, Libya. International Journal of Scientific &amp; Engineering Research, 9(5), 199–205. </w:t>
      </w:r>
      <w:hyperlink r:id="rId20" w:history="1">
        <w:r w:rsidRPr="00DB06DD">
          <w:rPr>
            <w:rStyle w:val="Hyperlink"/>
            <w:rFonts w:cs="Helvetica"/>
            <w:shd w:val="clear" w:color="auto" w:fill="FFFFFF"/>
          </w:rPr>
          <w:t>https://www.researchgate.net/publication/325600000_Analytical_Study_of_Environmental_Impact_Assessment_for_a_Wastewater_Treatment_Plant_in_Sabratha_Libya</w:t>
        </w:r>
      </w:hyperlink>
      <w:r w:rsidRPr="00DB06DD">
        <w:rPr>
          <w:rFonts w:cs="Helvetica"/>
          <w:color w:val="0F1115"/>
          <w:shd w:val="clear" w:color="auto" w:fill="FFFFFF"/>
        </w:rPr>
        <w:t xml:space="preserve"> </w:t>
      </w:r>
    </w:p>
    <w:p w14:paraId="16FE7440" w14:textId="77777777" w:rsidR="00DF428A" w:rsidRPr="00DB06DD" w:rsidRDefault="00DF428A" w:rsidP="00DB06DD">
      <w:pPr>
        <w:spacing w:before="120" w:after="120"/>
        <w:ind w:left="1276"/>
        <w:jc w:val="both"/>
        <w:rPr>
          <w:rFonts w:cs="Helvetica"/>
          <w:color w:val="0F1115"/>
          <w:shd w:val="clear" w:color="auto" w:fill="FFFFFF"/>
        </w:rPr>
      </w:pPr>
      <w:proofErr w:type="spellStart"/>
      <w:r w:rsidRPr="00DB06DD">
        <w:rPr>
          <w:rFonts w:cs="Helvetica"/>
          <w:color w:val="0F1115"/>
          <w:shd w:val="clear" w:color="auto" w:fill="FFFFFF"/>
        </w:rPr>
        <w:t>Alam</w:t>
      </w:r>
      <w:proofErr w:type="spellEnd"/>
      <w:r w:rsidRPr="00DB06DD">
        <w:rPr>
          <w:rFonts w:cs="Helvetica"/>
          <w:color w:val="0F1115"/>
          <w:shd w:val="clear" w:color="auto" w:fill="FFFFFF"/>
        </w:rPr>
        <w:t xml:space="preserve">, M. G. M., Snow, E. T., &amp; Tanaka, A. (2003). Arsenic and heavy metal contamination of vegetables grown in </w:t>
      </w:r>
      <w:proofErr w:type="spellStart"/>
      <w:r w:rsidRPr="00DB06DD">
        <w:rPr>
          <w:rFonts w:cs="Helvetica"/>
          <w:color w:val="0F1115"/>
          <w:shd w:val="clear" w:color="auto" w:fill="FFFFFF"/>
        </w:rPr>
        <w:t>Samta</w:t>
      </w:r>
      <w:proofErr w:type="spellEnd"/>
      <w:r w:rsidRPr="00DB06DD">
        <w:rPr>
          <w:rFonts w:cs="Helvetica"/>
          <w:color w:val="0F1115"/>
          <w:shd w:val="clear" w:color="auto" w:fill="FFFFFF"/>
        </w:rPr>
        <w:t xml:space="preserve"> village, Bangladesh. Science of the Total Environment, 308(1–3), 83–96. </w:t>
      </w:r>
      <w:hyperlink r:id="rId21" w:history="1">
        <w:r w:rsidRPr="00DB06DD">
          <w:rPr>
            <w:rStyle w:val="Hyperlink"/>
            <w:rFonts w:cs="Helvetica"/>
            <w:shd w:val="clear" w:color="auto" w:fill="FFFFFF"/>
          </w:rPr>
          <w:t>https://doi.org/10.1016/S0048-9697(02)00651-4</w:t>
        </w:r>
      </w:hyperlink>
      <w:r w:rsidRPr="00DB06DD">
        <w:rPr>
          <w:rFonts w:cs="Helvetica"/>
          <w:color w:val="0F1115"/>
          <w:shd w:val="clear" w:color="auto" w:fill="FFFFFF"/>
        </w:rPr>
        <w:t xml:space="preserve"> </w:t>
      </w:r>
    </w:p>
    <w:p w14:paraId="30F00BED" w14:textId="0CEDB9D2" w:rsidR="00E47856" w:rsidRPr="00DB06DD" w:rsidRDefault="00E47856" w:rsidP="00DB06DD">
      <w:pPr>
        <w:spacing w:before="120" w:after="120"/>
        <w:ind w:left="1276"/>
        <w:jc w:val="both"/>
        <w:rPr>
          <w:rFonts w:cs="Helvetica"/>
          <w:color w:val="0F1115"/>
          <w:shd w:val="clear" w:color="auto" w:fill="FFFFFF"/>
        </w:rPr>
      </w:pPr>
      <w:r w:rsidRPr="00DB06DD">
        <w:rPr>
          <w:rFonts w:cs="Helvetica"/>
          <w:color w:val="0F1115"/>
          <w:shd w:val="clear" w:color="auto" w:fill="FFFFFF"/>
        </w:rPr>
        <w:t>Al-</w:t>
      </w:r>
      <w:proofErr w:type="spellStart"/>
      <w:r w:rsidRPr="00DB06DD">
        <w:rPr>
          <w:rFonts w:cs="Helvetica"/>
          <w:color w:val="0F1115"/>
          <w:shd w:val="clear" w:color="auto" w:fill="FFFFFF"/>
        </w:rPr>
        <w:t>Qasir</w:t>
      </w:r>
      <w:proofErr w:type="spellEnd"/>
      <w:r w:rsidRPr="00DB06DD">
        <w:rPr>
          <w:rFonts w:cs="Helvetica"/>
          <w:color w:val="0F1115"/>
          <w:shd w:val="clear" w:color="auto" w:fill="FFFFFF"/>
        </w:rPr>
        <w:t>, M. K. K. (2012). Environmental impact assessment of wastewater treatment project discharge on the water quality of the Diwaniyah River, Iraq (Master’s thesis). College of Science, University of Diwaniyah, Iraq.</w:t>
      </w:r>
    </w:p>
    <w:p w14:paraId="3CB02339" w14:textId="77777777" w:rsidR="00DF428A" w:rsidRPr="00DB06DD" w:rsidRDefault="00DF428A" w:rsidP="00DB06DD">
      <w:pPr>
        <w:spacing w:before="120" w:after="120"/>
        <w:ind w:left="1276"/>
        <w:jc w:val="both"/>
        <w:rPr>
          <w:rFonts w:cs="Helvetica"/>
          <w:color w:val="0F1115"/>
          <w:shd w:val="clear" w:color="auto" w:fill="FFFFFF"/>
        </w:rPr>
      </w:pPr>
      <w:r w:rsidRPr="00DB06DD">
        <w:rPr>
          <w:rFonts w:cs="Helvetica"/>
          <w:color w:val="0F1115"/>
          <w:shd w:val="clear" w:color="auto" w:fill="FFFFFF"/>
        </w:rPr>
        <w:t xml:space="preserve">APHA. (1998). Standard methods for the examination of water and wastewater (20th ed.). American Public Health Association. </w:t>
      </w:r>
    </w:p>
    <w:p w14:paraId="6C107930" w14:textId="77777777" w:rsidR="00DF428A" w:rsidRPr="00DB06DD" w:rsidRDefault="00DF428A" w:rsidP="00DB06DD">
      <w:pPr>
        <w:spacing w:before="120" w:after="120"/>
        <w:ind w:left="1276"/>
        <w:jc w:val="both"/>
        <w:rPr>
          <w:rFonts w:cs="Helvetica"/>
          <w:color w:val="0F1115"/>
          <w:shd w:val="clear" w:color="auto" w:fill="FFFFFF"/>
        </w:rPr>
      </w:pPr>
      <w:r w:rsidRPr="00DB06DD">
        <w:rPr>
          <w:rFonts w:cs="Helvetica"/>
          <w:color w:val="0F1115"/>
          <w:shd w:val="clear" w:color="auto" w:fill="FFFFFF"/>
        </w:rPr>
        <w:t xml:space="preserve">Boardman, G. D., Starbuck, S. M., Hudgins, D. B., Li, X., &amp; Kuhn, D. D. (2004). Toxicity of ammonia to three marine fish and three marine invertebrates. Environmental Toxicology, 19(2), 134–142. </w:t>
      </w:r>
      <w:hyperlink r:id="rId22" w:history="1">
        <w:r w:rsidRPr="00DB06DD">
          <w:rPr>
            <w:rStyle w:val="Hyperlink"/>
            <w:rFonts w:cs="Helvetica"/>
            <w:shd w:val="clear" w:color="auto" w:fill="FFFFFF"/>
          </w:rPr>
          <w:t>https://doi.org/10.1002/tox.20008</w:t>
        </w:r>
      </w:hyperlink>
      <w:r w:rsidRPr="00DB06DD">
        <w:rPr>
          <w:rFonts w:cs="Helvetica"/>
          <w:color w:val="0F1115"/>
          <w:shd w:val="clear" w:color="auto" w:fill="FFFFFF"/>
        </w:rPr>
        <w:t xml:space="preserve"> </w:t>
      </w:r>
    </w:p>
    <w:p w14:paraId="612077B4" w14:textId="560EA5FB" w:rsidR="00DF428A" w:rsidRPr="00DB06DD" w:rsidRDefault="00DF428A" w:rsidP="00DB06DD">
      <w:pPr>
        <w:spacing w:before="120" w:after="120"/>
        <w:ind w:left="1276"/>
        <w:jc w:val="both"/>
        <w:rPr>
          <w:rFonts w:cs="Helvetica"/>
          <w:color w:val="0F1115"/>
          <w:shd w:val="clear" w:color="auto" w:fill="FFFFFF"/>
        </w:rPr>
      </w:pPr>
      <w:r w:rsidRPr="00DB06DD">
        <w:rPr>
          <w:rFonts w:cs="Helvetica"/>
          <w:color w:val="0F1115"/>
          <w:shd w:val="clear" w:color="auto" w:fill="FFFFFF"/>
        </w:rPr>
        <w:t xml:space="preserve">Delille, D., &amp; </w:t>
      </w:r>
      <w:proofErr w:type="spellStart"/>
      <w:r w:rsidRPr="00DB06DD">
        <w:rPr>
          <w:rFonts w:cs="Helvetica"/>
          <w:color w:val="0F1115"/>
          <w:shd w:val="clear" w:color="auto" w:fill="FFFFFF"/>
        </w:rPr>
        <w:t>Gleizon</w:t>
      </w:r>
      <w:proofErr w:type="spellEnd"/>
      <w:r w:rsidRPr="00DB06DD">
        <w:rPr>
          <w:rFonts w:cs="Helvetica"/>
          <w:color w:val="0F1115"/>
          <w:shd w:val="clear" w:color="auto" w:fill="FFFFFF"/>
        </w:rPr>
        <w:t>, F. (2003). Distribution of enteric bacteria in Antarctic seawater surrounding the Port-aux-</w:t>
      </w:r>
      <w:proofErr w:type="spellStart"/>
      <w:r w:rsidRPr="00DB06DD">
        <w:rPr>
          <w:rFonts w:cs="Helvetica"/>
          <w:color w:val="0F1115"/>
          <w:shd w:val="clear" w:color="auto" w:fill="FFFFFF"/>
        </w:rPr>
        <w:t>Français</w:t>
      </w:r>
      <w:proofErr w:type="spellEnd"/>
      <w:r w:rsidRPr="00DB06DD">
        <w:rPr>
          <w:rFonts w:cs="Helvetica"/>
          <w:color w:val="0F1115"/>
          <w:shd w:val="clear" w:color="auto" w:fill="FFFFFF"/>
        </w:rPr>
        <w:t xml:space="preserve"> permanent station (Kerguelen Island). Marine Pollution Bulletin, 46(9), 1179–1183. </w:t>
      </w:r>
      <w:hyperlink r:id="rId23" w:history="1">
        <w:r w:rsidRPr="00DB06DD">
          <w:rPr>
            <w:rStyle w:val="Hyperlink"/>
            <w:rFonts w:cs="Helvetica"/>
            <w:shd w:val="clear" w:color="auto" w:fill="FFFFFF"/>
          </w:rPr>
          <w:t>https://doi.org/10.1016/S0025-326X(03)00164-</w:t>
        </w:r>
        <w:r w:rsidRPr="00B14D1F">
          <w:rPr>
            <w:rStyle w:val="Hyperlink"/>
          </w:rPr>
          <w:t>4</w:t>
        </w:r>
      </w:hyperlink>
      <w:r>
        <w:t>.</w:t>
      </w:r>
    </w:p>
    <w:p w14:paraId="3E86A796" w14:textId="09848913" w:rsidR="00DF428A" w:rsidRPr="00DB06DD" w:rsidRDefault="00DF428A" w:rsidP="00DB06DD">
      <w:pPr>
        <w:spacing w:before="120" w:after="120"/>
        <w:ind w:left="1276"/>
        <w:jc w:val="both"/>
        <w:rPr>
          <w:rFonts w:cs="Helvetica"/>
          <w:color w:val="0F1115"/>
          <w:shd w:val="clear" w:color="auto" w:fill="FFFFFF"/>
        </w:rPr>
      </w:pPr>
      <w:r w:rsidRPr="00DF428A">
        <w:t xml:space="preserve">Council of the European Communities. (1975). Council Directive of 8 December 1975 concerning the quality of bathing water (76/160/EEC). Official Journal of the European Communities, L 31, 1-7. </w:t>
      </w:r>
      <w:hyperlink r:id="rId24" w:history="1">
        <w:r w:rsidRPr="00B14D1F">
          <w:rPr>
            <w:rStyle w:val="Hyperlink"/>
          </w:rPr>
          <w:t>https://eur-lex.europa.eu/legal-content/EN/TXT/?uri=CELEX:31976L0160</w:t>
        </w:r>
      </w:hyperlink>
      <w:r>
        <w:t>.</w:t>
      </w:r>
    </w:p>
    <w:p w14:paraId="2906C779" w14:textId="7FD36031" w:rsidR="00DF428A" w:rsidRPr="00DB06DD" w:rsidRDefault="00DF428A" w:rsidP="00DB06DD">
      <w:pPr>
        <w:spacing w:before="120" w:after="120"/>
        <w:ind w:left="1276"/>
        <w:jc w:val="both"/>
        <w:rPr>
          <w:rFonts w:cs="Helvetica"/>
          <w:color w:val="0F1115"/>
          <w:shd w:val="clear" w:color="auto" w:fill="FFFFFF"/>
        </w:rPr>
      </w:pPr>
      <w:r w:rsidRPr="00DF428A">
        <w:t xml:space="preserve">U.S. Environmental Protection Agency. (1996). Method 3050B: Acid digestion of sediments, sludges, and soils. United States Environmental Protection Agency. </w:t>
      </w:r>
      <w:hyperlink r:id="rId25" w:history="1">
        <w:r w:rsidRPr="00B14D1F">
          <w:rPr>
            <w:rStyle w:val="Hyperlink"/>
          </w:rPr>
          <w:t>https://www.epa.gov/sam/method-3050b-acid-digestion-sediments-sludges-and-soils</w:t>
        </w:r>
      </w:hyperlink>
      <w:r>
        <w:t>.</w:t>
      </w:r>
    </w:p>
    <w:p w14:paraId="2149E8ED" w14:textId="77777777" w:rsidR="00DF428A" w:rsidRPr="00DB06DD" w:rsidRDefault="00DF428A" w:rsidP="00DB06DD">
      <w:pPr>
        <w:spacing w:before="120" w:after="120"/>
        <w:ind w:left="1276"/>
        <w:jc w:val="both"/>
        <w:rPr>
          <w:rFonts w:cs="Helvetica"/>
          <w:color w:val="0F1115"/>
          <w:shd w:val="clear" w:color="auto" w:fill="FFFFFF"/>
        </w:rPr>
      </w:pPr>
      <w:r w:rsidRPr="00DF428A">
        <w:t xml:space="preserve">Wang, C., Wang, B., &amp; Jiang, S. (2021). Discussion on the Selection and planning of Sewage Outfall Into the sea—a case of </w:t>
      </w:r>
      <w:proofErr w:type="spellStart"/>
      <w:r w:rsidRPr="00DF428A">
        <w:t>Gaoqi</w:t>
      </w:r>
      <w:proofErr w:type="spellEnd"/>
      <w:r w:rsidRPr="00DF428A">
        <w:t xml:space="preserve"> Sewage Treatment Plant. IOP Conference Series: Earth and Environmental Science, 831(1), 012059. </w:t>
      </w:r>
      <w:hyperlink r:id="rId26" w:history="1">
        <w:r w:rsidRPr="00B14D1F">
          <w:rPr>
            <w:rStyle w:val="Hyperlink"/>
          </w:rPr>
          <w:t>https://doi.org/10.1088/1755-1315/831/1/012059</w:t>
        </w:r>
      </w:hyperlink>
      <w:r>
        <w:t xml:space="preserve"> </w:t>
      </w:r>
    </w:p>
    <w:p w14:paraId="40AC4651" w14:textId="2068D459" w:rsidR="00DF428A" w:rsidRPr="00DB06DD" w:rsidRDefault="00DF428A" w:rsidP="00DB06DD">
      <w:pPr>
        <w:spacing w:before="120" w:after="120"/>
        <w:ind w:left="1276"/>
        <w:jc w:val="both"/>
        <w:rPr>
          <w:rFonts w:cs="Helvetica"/>
          <w:color w:val="0F1115"/>
          <w:shd w:val="clear" w:color="auto" w:fill="FFFFFF"/>
        </w:rPr>
      </w:pPr>
      <w:proofErr w:type="spellStart"/>
      <w:r w:rsidRPr="00DF428A">
        <w:t>Jalgaif</w:t>
      </w:r>
      <w:proofErr w:type="spellEnd"/>
      <w:r w:rsidRPr="00DF428A">
        <w:t xml:space="preserve">, G. G. A., Idris, S. A. M., </w:t>
      </w:r>
      <w:proofErr w:type="spellStart"/>
      <w:r w:rsidRPr="00DF428A">
        <w:t>Maarouf</w:t>
      </w:r>
      <w:proofErr w:type="spellEnd"/>
      <w:r w:rsidRPr="00DF428A">
        <w:t xml:space="preserve">, R. A. M., Attia, A. M., &amp; El-Naggar, M. M. (2018). Determination of the sea waters quality of Tobruk-Libya Gulf. *International Journal of Environmental Chemistry, 2*(1), 1–9. </w:t>
      </w:r>
      <w:hyperlink r:id="rId27" w:history="1">
        <w:r w:rsidRPr="00B14D1F">
          <w:rPr>
            <w:rStyle w:val="Hyperlink"/>
          </w:rPr>
          <w:t>https://doi.org/10.11648/j.ijec.20180201.12</w:t>
        </w:r>
      </w:hyperlink>
    </w:p>
    <w:p w14:paraId="488184A2" w14:textId="77777777" w:rsidR="00DF428A" w:rsidRPr="00DB06DD" w:rsidRDefault="00DF428A" w:rsidP="00DB06DD">
      <w:pPr>
        <w:spacing w:before="120" w:after="120"/>
        <w:ind w:left="1276"/>
        <w:jc w:val="both"/>
        <w:rPr>
          <w:rFonts w:cs="Helvetica"/>
          <w:color w:val="0F1115"/>
          <w:shd w:val="clear" w:color="auto" w:fill="FFFFFF"/>
        </w:rPr>
      </w:pPr>
      <w:r w:rsidRPr="00DF428A">
        <w:t xml:space="preserve">Manini, E., </w:t>
      </w:r>
      <w:proofErr w:type="spellStart"/>
      <w:r w:rsidRPr="00DF428A">
        <w:t>Baldrighi</w:t>
      </w:r>
      <w:proofErr w:type="spellEnd"/>
      <w:r w:rsidRPr="00DF428A">
        <w:t xml:space="preserve">, E., Ricci, F., </w:t>
      </w:r>
      <w:proofErr w:type="spellStart"/>
      <w:r w:rsidRPr="00DF428A">
        <w:t>Grilli</w:t>
      </w:r>
      <w:proofErr w:type="spellEnd"/>
      <w:r w:rsidRPr="00DF428A">
        <w:t xml:space="preserve">, F., </w:t>
      </w:r>
      <w:proofErr w:type="spellStart"/>
      <w:r w:rsidRPr="00DF428A">
        <w:t>Giovannelli</w:t>
      </w:r>
      <w:proofErr w:type="spellEnd"/>
      <w:r w:rsidRPr="00DF428A">
        <w:t xml:space="preserve">, D., </w:t>
      </w:r>
      <w:proofErr w:type="spellStart"/>
      <w:r w:rsidRPr="00DF428A">
        <w:t>Intoccia</w:t>
      </w:r>
      <w:proofErr w:type="spellEnd"/>
      <w:r w:rsidRPr="00DF428A">
        <w:t xml:space="preserve">, M., Casabianca, S., </w:t>
      </w:r>
      <w:proofErr w:type="spellStart"/>
      <w:r w:rsidRPr="00DF428A">
        <w:t>Capellacci</w:t>
      </w:r>
      <w:proofErr w:type="spellEnd"/>
      <w:r w:rsidRPr="00DF428A">
        <w:t xml:space="preserve">, S., </w:t>
      </w:r>
      <w:proofErr w:type="spellStart"/>
      <w:r w:rsidRPr="00DF428A">
        <w:t>Marinchel</w:t>
      </w:r>
      <w:proofErr w:type="spellEnd"/>
      <w:r w:rsidRPr="00DF428A">
        <w:t xml:space="preserve">, N., Penna, P., Moro, F., </w:t>
      </w:r>
      <w:proofErr w:type="spellStart"/>
      <w:r w:rsidRPr="00DF428A">
        <w:t>Campanelli</w:t>
      </w:r>
      <w:proofErr w:type="spellEnd"/>
      <w:r w:rsidRPr="00DF428A">
        <w:t xml:space="preserve">, A., </w:t>
      </w:r>
      <w:proofErr w:type="spellStart"/>
      <w:r w:rsidRPr="00DF428A">
        <w:t>Cordone</w:t>
      </w:r>
      <w:proofErr w:type="spellEnd"/>
      <w:r w:rsidRPr="00DF428A">
        <w:t xml:space="preserve">, A., </w:t>
      </w:r>
      <w:proofErr w:type="spellStart"/>
      <w:r w:rsidRPr="00DF428A">
        <w:t>Correggia</w:t>
      </w:r>
      <w:proofErr w:type="spellEnd"/>
      <w:r w:rsidRPr="00DF428A">
        <w:t xml:space="preserve">, M., </w:t>
      </w:r>
      <w:proofErr w:type="spellStart"/>
      <w:r w:rsidRPr="00DF428A">
        <w:t>Bastoni</w:t>
      </w:r>
      <w:proofErr w:type="spellEnd"/>
      <w:r w:rsidRPr="00DF428A">
        <w:t xml:space="preserve">, D., </w:t>
      </w:r>
      <w:proofErr w:type="spellStart"/>
      <w:r w:rsidRPr="00DF428A">
        <w:t>Bolognini</w:t>
      </w:r>
      <w:proofErr w:type="spellEnd"/>
      <w:r w:rsidRPr="00DF428A">
        <w:t xml:space="preserve">, L., Marini, M., &amp; Penna, A. (2022). Assessment of </w:t>
      </w:r>
      <w:proofErr w:type="spellStart"/>
      <w:r w:rsidRPr="00DF428A">
        <w:t>spatio</w:t>
      </w:r>
      <w:proofErr w:type="spellEnd"/>
      <w:r w:rsidRPr="00DF428A">
        <w:t xml:space="preserve">-temporal variability of </w:t>
      </w:r>
      <w:proofErr w:type="spellStart"/>
      <w:r w:rsidRPr="00DF428A">
        <w:t>faecal</w:t>
      </w:r>
      <w:proofErr w:type="spellEnd"/>
      <w:r w:rsidRPr="00DF428A">
        <w:t xml:space="preserve"> pollution along coastal waters during and after rainfall events. Water, 14(3), 502. </w:t>
      </w:r>
      <w:hyperlink r:id="rId28" w:history="1">
        <w:r w:rsidRPr="00B14D1F">
          <w:rPr>
            <w:rStyle w:val="Hyperlink"/>
          </w:rPr>
          <w:t>https://doi.org/10.3390/w14030502</w:t>
        </w:r>
      </w:hyperlink>
      <w:r>
        <w:t xml:space="preserve"> </w:t>
      </w:r>
    </w:p>
    <w:p w14:paraId="02847E48" w14:textId="77777777" w:rsidR="00DF428A" w:rsidRPr="00DB06DD" w:rsidRDefault="00DF428A" w:rsidP="00DB06DD">
      <w:pPr>
        <w:spacing w:before="120" w:after="120"/>
        <w:ind w:left="1276"/>
        <w:jc w:val="both"/>
        <w:rPr>
          <w:rFonts w:cs="Helvetica"/>
          <w:color w:val="0F1115"/>
          <w:shd w:val="clear" w:color="auto" w:fill="FFFFFF"/>
        </w:rPr>
      </w:pPr>
      <w:r w:rsidRPr="00DB06DD">
        <w:rPr>
          <w:rFonts w:cs="Helvetica"/>
          <w:color w:val="0F1115"/>
          <w:shd w:val="clear" w:color="auto" w:fill="FFFFFF"/>
        </w:rPr>
        <w:t xml:space="preserve">Moore, J. W. (1991). Inorganic contaminants of surface water: Research and monitoring priorities. Springer. </w:t>
      </w:r>
      <w:hyperlink r:id="rId29" w:history="1">
        <w:r w:rsidRPr="00DB06DD">
          <w:rPr>
            <w:rStyle w:val="Hyperlink"/>
            <w:rFonts w:cs="Helvetica"/>
            <w:shd w:val="clear" w:color="auto" w:fill="FFFFFF"/>
          </w:rPr>
          <w:t>https://doi.org/10.1007/978-1-4612-3004-5</w:t>
        </w:r>
      </w:hyperlink>
      <w:r w:rsidRPr="00DB06DD">
        <w:rPr>
          <w:rFonts w:cs="Helvetica"/>
          <w:color w:val="0F1115"/>
          <w:shd w:val="clear" w:color="auto" w:fill="FFFFFF"/>
        </w:rPr>
        <w:t xml:space="preserve"> </w:t>
      </w:r>
    </w:p>
    <w:p w14:paraId="4C7E76AC" w14:textId="77777777" w:rsidR="00DF428A" w:rsidRPr="00DB06DD" w:rsidRDefault="00DF428A" w:rsidP="00DB06DD">
      <w:pPr>
        <w:spacing w:before="120" w:after="120"/>
        <w:ind w:left="1276"/>
        <w:jc w:val="both"/>
        <w:rPr>
          <w:rFonts w:cs="Helvetica"/>
          <w:color w:val="0F1115"/>
          <w:shd w:val="clear" w:color="auto" w:fill="FFFFFF"/>
        </w:rPr>
      </w:pPr>
      <w:proofErr w:type="spellStart"/>
      <w:r w:rsidRPr="00DB06DD">
        <w:rPr>
          <w:rFonts w:cs="Helvetica"/>
          <w:color w:val="0F1115"/>
          <w:shd w:val="clear" w:color="auto" w:fill="FFFFFF"/>
        </w:rPr>
        <w:t>Muramoto</w:t>
      </w:r>
      <w:proofErr w:type="spellEnd"/>
      <w:r w:rsidRPr="00DB06DD">
        <w:rPr>
          <w:rFonts w:cs="Helvetica"/>
          <w:color w:val="0F1115"/>
          <w:shd w:val="clear" w:color="auto" w:fill="FFFFFF"/>
        </w:rPr>
        <w:t xml:space="preserve">, S. (1981). Vertebral column damage and decrease of calcium concentration in fish exposed experimentally to cadmium. Environmental Pollution, Series A, 24(2), 125–133. </w:t>
      </w:r>
      <w:hyperlink r:id="rId30" w:history="1">
        <w:r w:rsidRPr="00DB06DD">
          <w:rPr>
            <w:rStyle w:val="Hyperlink"/>
            <w:rFonts w:cs="Helvetica"/>
            <w:shd w:val="clear" w:color="auto" w:fill="FFFFFF"/>
          </w:rPr>
          <w:t>https://doi.org/10.1016/0143-1471(81)90074-X</w:t>
        </w:r>
      </w:hyperlink>
      <w:r w:rsidRPr="00DB06DD">
        <w:rPr>
          <w:rFonts w:cs="Helvetica"/>
          <w:color w:val="0F1115"/>
          <w:shd w:val="clear" w:color="auto" w:fill="FFFFFF"/>
        </w:rPr>
        <w:t xml:space="preserve"> </w:t>
      </w:r>
    </w:p>
    <w:p w14:paraId="7D699A7C" w14:textId="77777777" w:rsidR="00DF428A" w:rsidRPr="00DB06DD" w:rsidRDefault="00DF428A" w:rsidP="00DB06DD">
      <w:pPr>
        <w:spacing w:before="120" w:after="120"/>
        <w:ind w:left="1276"/>
        <w:jc w:val="both"/>
        <w:rPr>
          <w:rFonts w:cs="Helvetica"/>
          <w:color w:val="0F1115"/>
          <w:shd w:val="clear" w:color="auto" w:fill="FFFFFF"/>
        </w:rPr>
      </w:pPr>
      <w:proofErr w:type="spellStart"/>
      <w:r w:rsidRPr="00DB06DD">
        <w:rPr>
          <w:rFonts w:cs="Helvetica"/>
          <w:color w:val="0F1115"/>
          <w:shd w:val="clear" w:color="auto" w:fill="FFFFFF"/>
        </w:rPr>
        <w:t>Nergis</w:t>
      </w:r>
      <w:proofErr w:type="spellEnd"/>
      <w:r w:rsidRPr="00DB06DD">
        <w:rPr>
          <w:rFonts w:cs="Helvetica"/>
          <w:color w:val="0F1115"/>
          <w:shd w:val="clear" w:color="auto" w:fill="FFFFFF"/>
        </w:rPr>
        <w:t xml:space="preserve">, Y., Sharif, M., Choudhry, A. F., Hussain, A., &amp; Butt, A. (2012). Impact of industrial and sewage effluents on Karachi coastal water and sediment quality. Middle-East Journal of Scientific Research, 11(10), 1443–1454. </w:t>
      </w:r>
      <w:hyperlink r:id="rId31" w:history="1">
        <w:r w:rsidRPr="00DB06DD">
          <w:rPr>
            <w:rStyle w:val="Hyperlink"/>
            <w:rFonts w:cs="Helvetica"/>
            <w:shd w:val="clear" w:color="auto" w:fill="FFFFFF"/>
          </w:rPr>
          <w:t>https://doi.org/10.5829/idosi.mejsr.2012.11.10.63209</w:t>
        </w:r>
      </w:hyperlink>
      <w:r w:rsidRPr="00DB06DD">
        <w:rPr>
          <w:rFonts w:cs="Helvetica"/>
          <w:color w:val="0F1115"/>
          <w:shd w:val="clear" w:color="auto" w:fill="FFFFFF"/>
        </w:rPr>
        <w:t xml:space="preserve"> </w:t>
      </w:r>
    </w:p>
    <w:p w14:paraId="0F682F5F" w14:textId="436C641A" w:rsidR="00DF428A" w:rsidRPr="00DB06DD" w:rsidRDefault="00DF428A" w:rsidP="00DB06DD">
      <w:pPr>
        <w:spacing w:before="120" w:after="120"/>
        <w:ind w:left="1276"/>
        <w:jc w:val="both"/>
        <w:rPr>
          <w:rFonts w:cs="Helvetica"/>
          <w:color w:val="0F1115"/>
          <w:shd w:val="clear" w:color="auto" w:fill="FFFFFF"/>
        </w:rPr>
      </w:pPr>
      <w:proofErr w:type="spellStart"/>
      <w:r w:rsidRPr="00DB06DD">
        <w:rPr>
          <w:rFonts w:cs="Helvetica"/>
          <w:color w:val="0F1115"/>
          <w:shd w:val="clear" w:color="auto" w:fill="FFFFFF"/>
        </w:rPr>
        <w:t>Okuku</w:t>
      </w:r>
      <w:proofErr w:type="spellEnd"/>
      <w:r w:rsidRPr="00DB06DD">
        <w:rPr>
          <w:rFonts w:cs="Helvetica"/>
          <w:color w:val="0F1115"/>
          <w:shd w:val="clear" w:color="auto" w:fill="FFFFFF"/>
        </w:rPr>
        <w:t xml:space="preserve">, E. O., </w:t>
      </w:r>
      <w:proofErr w:type="spellStart"/>
      <w:r w:rsidRPr="00DB06DD">
        <w:rPr>
          <w:rFonts w:cs="Helvetica"/>
          <w:color w:val="0F1115"/>
          <w:shd w:val="clear" w:color="auto" w:fill="FFFFFF"/>
        </w:rPr>
        <w:t>Ohowa</w:t>
      </w:r>
      <w:proofErr w:type="spellEnd"/>
      <w:r w:rsidRPr="00DB06DD">
        <w:rPr>
          <w:rFonts w:cs="Helvetica"/>
          <w:color w:val="0F1115"/>
          <w:shd w:val="clear" w:color="auto" w:fill="FFFFFF"/>
        </w:rPr>
        <w:t xml:space="preserve">, B. O., Mwangi, S. N., </w:t>
      </w:r>
      <w:proofErr w:type="spellStart"/>
      <w:r w:rsidRPr="00DB06DD">
        <w:rPr>
          <w:rFonts w:cs="Helvetica"/>
          <w:color w:val="0F1115"/>
          <w:shd w:val="clear" w:color="auto" w:fill="FFFFFF"/>
        </w:rPr>
        <w:t>Munga</w:t>
      </w:r>
      <w:proofErr w:type="spellEnd"/>
      <w:r w:rsidRPr="00DB06DD">
        <w:rPr>
          <w:rFonts w:cs="Helvetica"/>
          <w:color w:val="0F1115"/>
          <w:shd w:val="clear" w:color="auto" w:fill="FFFFFF"/>
        </w:rPr>
        <w:t xml:space="preserve">, D., </w:t>
      </w:r>
      <w:proofErr w:type="spellStart"/>
      <w:r w:rsidRPr="00DB06DD">
        <w:rPr>
          <w:rFonts w:cs="Helvetica"/>
          <w:color w:val="0F1115"/>
          <w:shd w:val="clear" w:color="auto" w:fill="FFFFFF"/>
        </w:rPr>
        <w:t>Kiteresi</w:t>
      </w:r>
      <w:proofErr w:type="spellEnd"/>
      <w:r w:rsidRPr="00DB06DD">
        <w:rPr>
          <w:rFonts w:cs="Helvetica"/>
          <w:color w:val="0F1115"/>
          <w:shd w:val="clear" w:color="auto" w:fill="FFFFFF"/>
        </w:rPr>
        <w:t xml:space="preserve">, L. I., </w:t>
      </w:r>
      <w:proofErr w:type="spellStart"/>
      <w:r w:rsidRPr="00DB06DD">
        <w:rPr>
          <w:rFonts w:cs="Helvetica"/>
          <w:color w:val="0F1115"/>
          <w:shd w:val="clear" w:color="auto" w:fill="FFFFFF"/>
        </w:rPr>
        <w:t>Wanjeri</w:t>
      </w:r>
      <w:proofErr w:type="spellEnd"/>
      <w:r w:rsidRPr="00DB06DD">
        <w:rPr>
          <w:rFonts w:cs="Helvetica"/>
          <w:color w:val="0F1115"/>
          <w:shd w:val="clear" w:color="auto" w:fill="FFFFFF"/>
        </w:rPr>
        <w:t xml:space="preserve">, V. O., </w:t>
      </w:r>
      <w:proofErr w:type="spellStart"/>
      <w:r w:rsidRPr="00DB06DD">
        <w:rPr>
          <w:rFonts w:cs="Helvetica"/>
          <w:color w:val="0F1115"/>
          <w:shd w:val="clear" w:color="auto" w:fill="FFFFFF"/>
        </w:rPr>
        <w:t>Okumu</w:t>
      </w:r>
      <w:proofErr w:type="spellEnd"/>
      <w:r w:rsidRPr="00DB06DD">
        <w:rPr>
          <w:rFonts w:cs="Helvetica"/>
          <w:color w:val="0F1115"/>
          <w:shd w:val="clear" w:color="auto" w:fill="FFFFFF"/>
        </w:rPr>
        <w:t xml:space="preserve">, S., &amp; </w:t>
      </w:r>
      <w:proofErr w:type="spellStart"/>
      <w:r w:rsidRPr="00DB06DD">
        <w:rPr>
          <w:rFonts w:cs="Helvetica"/>
          <w:color w:val="0F1115"/>
          <w:shd w:val="clear" w:color="auto" w:fill="FFFFFF"/>
        </w:rPr>
        <w:t>Kilonzo</w:t>
      </w:r>
      <w:proofErr w:type="spellEnd"/>
      <w:r w:rsidRPr="00DB06DD">
        <w:rPr>
          <w:rFonts w:cs="Helvetica"/>
          <w:color w:val="0F1115"/>
          <w:shd w:val="clear" w:color="auto" w:fill="FFFFFF"/>
        </w:rPr>
        <w:t xml:space="preserve">, J. (2011). Sewage pollution in the Coastal waters of Mombasa City, Kenya: A norm Rather than an Exception. International Journal of Environmental Research, 5(4), 865–874. </w:t>
      </w:r>
      <w:hyperlink r:id="rId32" w:history="1">
        <w:r w:rsidRPr="00DB06DD">
          <w:rPr>
            <w:rStyle w:val="Hyperlink"/>
            <w:rFonts w:cs="Helvetica"/>
            <w:shd w:val="clear" w:color="auto" w:fill="FFFFFF"/>
          </w:rPr>
          <w:t>https://doi.org/10.22059/ijer.2011.</w:t>
        </w:r>
        <w:r w:rsidRPr="00B14D1F">
          <w:rPr>
            <w:rStyle w:val="Hyperlink"/>
          </w:rPr>
          <w:t>444</w:t>
        </w:r>
      </w:hyperlink>
    </w:p>
    <w:p w14:paraId="6C3AEDCB" w14:textId="78EFDC44" w:rsidR="00DF428A" w:rsidRPr="00DB06DD" w:rsidRDefault="00DF428A" w:rsidP="00DB06DD">
      <w:pPr>
        <w:spacing w:before="120" w:after="120"/>
        <w:ind w:left="1276"/>
        <w:jc w:val="both"/>
        <w:rPr>
          <w:rFonts w:cs="Helvetica"/>
          <w:color w:val="0F1115"/>
          <w:shd w:val="clear" w:color="auto" w:fill="FFFFFF"/>
        </w:rPr>
      </w:pPr>
      <w:proofErr w:type="spellStart"/>
      <w:r w:rsidRPr="00DF428A">
        <w:t>Owili</w:t>
      </w:r>
      <w:proofErr w:type="spellEnd"/>
      <w:r w:rsidRPr="00DF428A">
        <w:t xml:space="preserve">, M. A. (2003). Assessment of impact of sewage effluents on coastal water quality in </w:t>
      </w:r>
      <w:proofErr w:type="spellStart"/>
      <w:r w:rsidRPr="00DF428A">
        <w:t>Hafnarfjörður</w:t>
      </w:r>
      <w:proofErr w:type="spellEnd"/>
      <w:r w:rsidRPr="00DF428A">
        <w:t xml:space="preserve">, Iceland. UNU-Fisheries Training </w:t>
      </w:r>
      <w:proofErr w:type="spellStart"/>
      <w:r w:rsidRPr="00DF428A">
        <w:t>Programme</w:t>
      </w:r>
      <w:proofErr w:type="spellEnd"/>
      <w:r w:rsidRPr="00DF428A">
        <w:t xml:space="preserve">. </w:t>
      </w:r>
      <w:hyperlink r:id="rId33" w:history="1">
        <w:r w:rsidRPr="00B14D1F">
          <w:rPr>
            <w:rStyle w:val="Hyperlink"/>
          </w:rPr>
          <w:t>https://www.grocentre.is/ftp/static/fellows/document/Owili2003.pdf</w:t>
        </w:r>
      </w:hyperlink>
    </w:p>
    <w:p w14:paraId="3706D107" w14:textId="5FB1AAB6" w:rsidR="00DF428A" w:rsidRPr="00DB06DD" w:rsidRDefault="00DF428A" w:rsidP="00DB06DD">
      <w:pPr>
        <w:spacing w:before="120" w:after="120"/>
        <w:ind w:left="1276"/>
        <w:jc w:val="both"/>
        <w:rPr>
          <w:rFonts w:cs="Helvetica"/>
          <w:color w:val="0F1115"/>
          <w:shd w:val="clear" w:color="auto" w:fill="FFFFFF"/>
        </w:rPr>
      </w:pPr>
      <w:r w:rsidRPr="00DF428A">
        <w:lastRenderedPageBreak/>
        <w:t xml:space="preserve">Peng, J., Kumar, K., Gross, M., </w:t>
      </w:r>
      <w:proofErr w:type="spellStart"/>
      <w:r w:rsidRPr="00DF428A">
        <w:t>Kunetz</w:t>
      </w:r>
      <w:proofErr w:type="spellEnd"/>
      <w:r w:rsidRPr="00DF428A">
        <w:t xml:space="preserve">, T., &amp; Wen, Z. (2019). Removal of total dissolved solids from wastewater using a revolving algal biofilm reactor. Water Environment Research, 92(5), 766–778. </w:t>
      </w:r>
      <w:hyperlink r:id="rId34" w:history="1">
        <w:r w:rsidRPr="00B14D1F">
          <w:rPr>
            <w:rStyle w:val="Hyperlink"/>
          </w:rPr>
          <w:t>https://doi.org/10.1002/wer.1273</w:t>
        </w:r>
      </w:hyperlink>
    </w:p>
    <w:p w14:paraId="47A89FEC" w14:textId="77777777" w:rsidR="00DF428A" w:rsidRPr="00DB06DD" w:rsidRDefault="00DF428A" w:rsidP="00DB06DD">
      <w:pPr>
        <w:spacing w:before="120" w:after="120"/>
        <w:ind w:left="1276"/>
        <w:jc w:val="both"/>
        <w:rPr>
          <w:rFonts w:cs="Helvetica"/>
          <w:color w:val="0F1115"/>
          <w:shd w:val="clear" w:color="auto" w:fill="FFFFFF"/>
        </w:rPr>
      </w:pPr>
      <w:proofErr w:type="spellStart"/>
      <w:r w:rsidRPr="00DF428A">
        <w:t>Reopanichkul</w:t>
      </w:r>
      <w:proofErr w:type="spellEnd"/>
      <w:r w:rsidRPr="00DF428A">
        <w:t xml:space="preserve">, P., Carter, R. W., </w:t>
      </w:r>
      <w:proofErr w:type="spellStart"/>
      <w:r w:rsidRPr="00DF428A">
        <w:t>Worachananant</w:t>
      </w:r>
      <w:proofErr w:type="spellEnd"/>
      <w:r w:rsidRPr="00DF428A">
        <w:t xml:space="preserve">, S., &amp; Crossland, C. J. (2010). Wastewater discharge degrades coastal waters and reef communities in southern Thailand. Marine Environmental Research, 69(5), 287–296. </w:t>
      </w:r>
      <w:hyperlink r:id="rId35" w:history="1">
        <w:r w:rsidRPr="00B14D1F">
          <w:rPr>
            <w:rStyle w:val="Hyperlink"/>
          </w:rPr>
          <w:t>https://doi.org/10.1016/j.marenvres.2009.11.011</w:t>
        </w:r>
      </w:hyperlink>
      <w:r>
        <w:t xml:space="preserve"> </w:t>
      </w:r>
    </w:p>
    <w:p w14:paraId="7F9504BC" w14:textId="5E60EE73" w:rsidR="00E47856" w:rsidRPr="00DB06DD" w:rsidRDefault="00E47856" w:rsidP="00DB06DD">
      <w:pPr>
        <w:spacing w:before="120" w:after="120"/>
        <w:ind w:left="1276"/>
        <w:jc w:val="both"/>
        <w:rPr>
          <w:rFonts w:cs="Helvetica"/>
          <w:color w:val="0F1115"/>
          <w:shd w:val="clear" w:color="auto" w:fill="FFFFFF"/>
        </w:rPr>
      </w:pPr>
      <w:r w:rsidRPr="00DB06DD">
        <w:rPr>
          <w:rFonts w:cs="Helvetica"/>
          <w:color w:val="0F1115"/>
          <w:shd w:val="clear" w:color="auto" w:fill="FFFFFF"/>
        </w:rPr>
        <w:t>Riley, J. P., &amp; Chester, R. (1971). Introduction to marine chemistry. Academic Press, London.</w:t>
      </w:r>
    </w:p>
    <w:p w14:paraId="11EB3F68" w14:textId="77777777" w:rsidR="00DF428A" w:rsidRPr="00DB06DD" w:rsidRDefault="00DF428A" w:rsidP="00DB06DD">
      <w:pPr>
        <w:spacing w:before="120" w:after="120"/>
        <w:ind w:left="1276"/>
        <w:jc w:val="both"/>
        <w:rPr>
          <w:rFonts w:cs="Helvetica"/>
          <w:color w:val="0F1115"/>
          <w:shd w:val="clear" w:color="auto" w:fill="FFFFFF"/>
        </w:rPr>
      </w:pPr>
      <w:r w:rsidRPr="00DB06DD">
        <w:rPr>
          <w:rFonts w:cs="Helvetica"/>
          <w:color w:val="0F1115"/>
          <w:shd w:val="clear" w:color="auto" w:fill="FFFFFF"/>
        </w:rPr>
        <w:t xml:space="preserve">Alibi, S., </w:t>
      </w:r>
      <w:proofErr w:type="spellStart"/>
      <w:r w:rsidRPr="00DB06DD">
        <w:rPr>
          <w:rFonts w:cs="Helvetica"/>
          <w:color w:val="0F1115"/>
          <w:shd w:val="clear" w:color="auto" w:fill="FFFFFF"/>
        </w:rPr>
        <w:t>Mehehi</w:t>
      </w:r>
      <w:proofErr w:type="spellEnd"/>
      <w:r w:rsidRPr="00DB06DD">
        <w:rPr>
          <w:rFonts w:cs="Helvetica"/>
          <w:color w:val="0F1115"/>
          <w:shd w:val="clear" w:color="auto" w:fill="FFFFFF"/>
        </w:rPr>
        <w:t xml:space="preserve">, S., Hassen, W., &amp; Ben Mansour, H. (2020). Study of the physicochemical and bacteriological properties of the seawater of Rajish Beach in the city of </w:t>
      </w:r>
      <w:proofErr w:type="spellStart"/>
      <w:r w:rsidRPr="00DB06DD">
        <w:rPr>
          <w:rFonts w:cs="Helvetica"/>
          <w:color w:val="0F1115"/>
          <w:shd w:val="clear" w:color="auto" w:fill="FFFFFF"/>
        </w:rPr>
        <w:t>Mahdia</w:t>
      </w:r>
      <w:proofErr w:type="spellEnd"/>
      <w:r w:rsidRPr="00DB06DD">
        <w:rPr>
          <w:rFonts w:cs="Helvetica"/>
          <w:color w:val="0F1115"/>
          <w:shd w:val="clear" w:color="auto" w:fill="FFFFFF"/>
        </w:rPr>
        <w:t xml:space="preserve">, Tunisia. Arabian Journal of Scientific Research, 1(2). </w:t>
      </w:r>
      <w:hyperlink r:id="rId36" w:history="1">
        <w:r w:rsidRPr="00DB06DD">
          <w:rPr>
            <w:rStyle w:val="Hyperlink"/>
            <w:rFonts w:cs="Helvetica"/>
            <w:shd w:val="clear" w:color="auto" w:fill="FFFFFF"/>
          </w:rPr>
          <w:t>https://doi.org/10.5339/ajsr.2020.9</w:t>
        </w:r>
      </w:hyperlink>
      <w:r w:rsidRPr="00DB06DD">
        <w:rPr>
          <w:rFonts w:cs="Helvetica"/>
          <w:color w:val="0F1115"/>
          <w:shd w:val="clear" w:color="auto" w:fill="FFFFFF"/>
        </w:rPr>
        <w:t xml:space="preserve"> </w:t>
      </w:r>
    </w:p>
    <w:p w14:paraId="6819E230" w14:textId="2B4A59BA" w:rsidR="00DF428A" w:rsidRPr="00DB06DD" w:rsidRDefault="00DF428A" w:rsidP="00DB06DD">
      <w:pPr>
        <w:spacing w:before="120" w:after="120"/>
        <w:ind w:left="1276"/>
        <w:jc w:val="both"/>
        <w:rPr>
          <w:color w:val="0F1115"/>
          <w:shd w:val="clear" w:color="auto" w:fill="FFFFFF"/>
        </w:rPr>
      </w:pPr>
      <w:r w:rsidRPr="00DB06DD">
        <w:rPr>
          <w:rFonts w:cs="Helvetica"/>
          <w:color w:val="0F1115"/>
          <w:shd w:val="clear" w:color="auto" w:fill="FFFFFF"/>
        </w:rPr>
        <w:t xml:space="preserve">Mousa, R. A. (2021). Study of the effect of untreated sewage discharge on the characteristics of seawater and sediments on the coast of </w:t>
      </w:r>
      <w:proofErr w:type="spellStart"/>
      <w:r w:rsidRPr="00DB06DD">
        <w:rPr>
          <w:rFonts w:cs="Helvetica"/>
          <w:color w:val="0F1115"/>
          <w:shd w:val="clear" w:color="auto" w:fill="FFFFFF"/>
        </w:rPr>
        <w:t>Zliten</w:t>
      </w:r>
      <w:proofErr w:type="spellEnd"/>
      <w:r w:rsidRPr="00DB06DD">
        <w:rPr>
          <w:rFonts w:cs="Helvetica"/>
          <w:color w:val="0F1115"/>
          <w:shd w:val="clear" w:color="auto" w:fill="FFFFFF"/>
        </w:rPr>
        <w:t xml:space="preserve">, western Libya. Journal of Marine Sciences and Environmental Technologies, 7(2), E21-E37. </w:t>
      </w:r>
      <w:hyperlink r:id="rId37" w:history="1">
        <w:r w:rsidRPr="00DB06DD">
          <w:rPr>
            <w:rStyle w:val="Hyperlink"/>
            <w:rFonts w:cs="Helvetica"/>
            <w:shd w:val="clear" w:color="auto" w:fill="FFFFFF"/>
          </w:rPr>
          <w:t>https://doi.org/10.59743/jmset.v7i2.</w:t>
        </w:r>
        <w:r w:rsidRPr="00B14D1F">
          <w:rPr>
            <w:rStyle w:val="Hyperlink"/>
          </w:rPr>
          <w:t>16</w:t>
        </w:r>
      </w:hyperlink>
    </w:p>
    <w:p w14:paraId="5E58E7FC" w14:textId="0B5F750B" w:rsidR="00E47856" w:rsidRPr="00DB06DD" w:rsidRDefault="00E47856" w:rsidP="00DB06DD">
      <w:pPr>
        <w:spacing w:before="120" w:after="120"/>
        <w:ind w:left="1276"/>
        <w:jc w:val="both"/>
        <w:rPr>
          <w:color w:val="0F1115"/>
          <w:shd w:val="clear" w:color="auto" w:fill="FFFFFF"/>
          <w:rtl/>
        </w:rPr>
      </w:pPr>
      <w:proofErr w:type="spellStart"/>
      <w:r w:rsidRPr="00DF428A">
        <w:t>Danazumi</w:t>
      </w:r>
      <w:proofErr w:type="spellEnd"/>
      <w:r w:rsidRPr="00DB06DD">
        <w:rPr>
          <w:color w:val="0F1115"/>
          <w:shd w:val="clear" w:color="auto" w:fill="FFFFFF"/>
          <w:rtl/>
        </w:rPr>
        <w:t>،</w:t>
      </w:r>
      <w:r w:rsidRPr="00DB06DD">
        <w:rPr>
          <w:rFonts w:cs="Helvetica"/>
          <w:color w:val="0F1115"/>
          <w:shd w:val="clear" w:color="auto" w:fill="FFFFFF"/>
        </w:rPr>
        <w:t xml:space="preserve"> </w:t>
      </w:r>
      <w:proofErr w:type="gramStart"/>
      <w:r w:rsidRPr="00DB06DD">
        <w:rPr>
          <w:rFonts w:cs="Helvetica"/>
          <w:color w:val="0F1115"/>
          <w:shd w:val="clear" w:color="auto" w:fill="FFFFFF"/>
        </w:rPr>
        <w:t>S. ;</w:t>
      </w:r>
      <w:proofErr w:type="gramEnd"/>
      <w:r w:rsidRPr="00DB06DD">
        <w:rPr>
          <w:rFonts w:cs="Helvetica"/>
          <w:color w:val="0F1115"/>
          <w:shd w:val="clear" w:color="auto" w:fill="FFFFFF"/>
        </w:rPr>
        <w:t xml:space="preserve"> </w:t>
      </w:r>
      <w:proofErr w:type="spellStart"/>
      <w:r w:rsidRPr="00DB06DD">
        <w:rPr>
          <w:rFonts w:cs="Helvetica"/>
          <w:color w:val="0F1115"/>
          <w:shd w:val="clear" w:color="auto" w:fill="FFFFFF"/>
        </w:rPr>
        <w:t>Bichi</w:t>
      </w:r>
      <w:proofErr w:type="spellEnd"/>
      <w:r w:rsidRPr="00DB06DD">
        <w:rPr>
          <w:color w:val="0F1115"/>
          <w:shd w:val="clear" w:color="auto" w:fill="FFFFFF"/>
          <w:rtl/>
        </w:rPr>
        <w:t>،</w:t>
      </w:r>
      <w:r w:rsidRPr="00DB06DD">
        <w:rPr>
          <w:rFonts w:cs="Helvetica"/>
          <w:color w:val="0F1115"/>
          <w:shd w:val="clear" w:color="auto" w:fill="FFFFFF"/>
        </w:rPr>
        <w:t xml:space="preserve"> M. (2010). </w:t>
      </w:r>
      <w:proofErr w:type="spellStart"/>
      <w:r w:rsidRPr="00DB06DD">
        <w:rPr>
          <w:rFonts w:cs="Helvetica"/>
          <w:color w:val="0F1115"/>
          <w:shd w:val="clear" w:color="auto" w:fill="FFFFFF"/>
        </w:rPr>
        <w:t>Industerial</w:t>
      </w:r>
      <w:proofErr w:type="spellEnd"/>
      <w:r w:rsidRPr="00DB06DD">
        <w:rPr>
          <w:rFonts w:cs="Helvetica"/>
          <w:color w:val="0F1115"/>
          <w:shd w:val="clear" w:color="auto" w:fill="FFFFFF"/>
        </w:rPr>
        <w:t xml:space="preserve"> Pollution and heavy metals Profile of </w:t>
      </w:r>
      <w:proofErr w:type="spellStart"/>
      <w:r w:rsidRPr="00DB06DD">
        <w:rPr>
          <w:rFonts w:cs="Helvetica"/>
          <w:color w:val="0F1115"/>
          <w:shd w:val="clear" w:color="auto" w:fill="FFFFFF"/>
        </w:rPr>
        <w:t>Challawa</w:t>
      </w:r>
      <w:proofErr w:type="spellEnd"/>
      <w:r w:rsidRPr="00DB06DD">
        <w:rPr>
          <w:rFonts w:cs="Helvetica"/>
          <w:color w:val="0F1115"/>
          <w:shd w:val="clear" w:color="auto" w:fill="FFFFFF"/>
        </w:rPr>
        <w:t xml:space="preserve"> river in Kano </w:t>
      </w:r>
      <w:r w:rsidRPr="00DB06DD">
        <w:rPr>
          <w:color w:val="0F1115"/>
          <w:shd w:val="clear" w:color="auto" w:fill="FFFFFF"/>
          <w:rtl/>
        </w:rPr>
        <w:t>،</w:t>
      </w:r>
      <w:r w:rsidRPr="00DB06DD">
        <w:rPr>
          <w:rFonts w:cs="Helvetica"/>
          <w:color w:val="0F1115"/>
          <w:shd w:val="clear" w:color="auto" w:fill="FFFFFF"/>
        </w:rPr>
        <w:t xml:space="preserve"> Nigeria. J. of applied Science in environmental sanitation</w:t>
      </w:r>
      <w:r w:rsidRPr="00DB06DD">
        <w:rPr>
          <w:color w:val="0F1115"/>
          <w:shd w:val="clear" w:color="auto" w:fill="FFFFFF"/>
          <w:rtl/>
        </w:rPr>
        <w:t>،</w:t>
      </w:r>
      <w:r w:rsidRPr="00DB06DD">
        <w:rPr>
          <w:rFonts w:cs="Helvetica"/>
          <w:color w:val="0F1115"/>
          <w:shd w:val="clear" w:color="auto" w:fill="FFFFFF"/>
        </w:rPr>
        <w:t>5(1) :23-29.</w:t>
      </w:r>
    </w:p>
    <w:p w14:paraId="13C89DD2" w14:textId="77777777" w:rsidR="00E47856" w:rsidRPr="00B46E22" w:rsidRDefault="00E47856" w:rsidP="00DB06DD">
      <w:pPr>
        <w:pStyle w:val="NormalWeb"/>
        <w:spacing w:before="0" w:beforeAutospacing="0" w:after="0" w:afterAutospacing="0" w:line="360" w:lineRule="auto"/>
        <w:ind w:left="1276"/>
        <w:jc w:val="lowKashida"/>
        <w:rPr>
          <w:rFonts w:ascii="Helvetica" w:hAnsi="Helvetica"/>
          <w:color w:val="0F1115"/>
          <w:sz w:val="20"/>
          <w:szCs w:val="20"/>
          <w:shd w:val="clear" w:color="auto" w:fill="FFFFFF"/>
          <w:rtl/>
        </w:rPr>
      </w:pPr>
      <w:r w:rsidRPr="00B46E22">
        <w:rPr>
          <w:rFonts w:ascii="Helvetica" w:hAnsi="Helvetica" w:cs="Helvetica"/>
          <w:color w:val="0F1115"/>
          <w:sz w:val="20"/>
          <w:szCs w:val="20"/>
          <w:shd w:val="clear" w:color="auto" w:fill="FFFFFF"/>
        </w:rPr>
        <w:t>Orate</w:t>
      </w:r>
      <w:r w:rsidRPr="00B46E22">
        <w:rPr>
          <w:rFonts w:ascii="Helvetica" w:hAnsi="Helvetica"/>
          <w:color w:val="0F1115"/>
          <w:sz w:val="20"/>
          <w:szCs w:val="20"/>
          <w:shd w:val="clear" w:color="auto" w:fill="FFFFFF"/>
          <w:rtl/>
        </w:rPr>
        <w:t>،</w:t>
      </w:r>
      <w:r w:rsidRPr="00B46E22">
        <w:rPr>
          <w:rFonts w:ascii="Helvetica" w:hAnsi="Helvetica" w:cs="Helvetica"/>
          <w:color w:val="0F1115"/>
          <w:sz w:val="20"/>
          <w:szCs w:val="20"/>
          <w:shd w:val="clear" w:color="auto" w:fill="FFFFFF"/>
        </w:rPr>
        <w:t xml:space="preserve"> </w:t>
      </w:r>
      <w:proofErr w:type="gramStart"/>
      <w:r w:rsidRPr="00B46E22">
        <w:rPr>
          <w:rFonts w:ascii="Helvetica" w:hAnsi="Helvetica" w:cs="Helvetica"/>
          <w:color w:val="0F1115"/>
          <w:sz w:val="20"/>
          <w:szCs w:val="20"/>
          <w:shd w:val="clear" w:color="auto" w:fill="FFFFFF"/>
        </w:rPr>
        <w:t>F.(</w:t>
      </w:r>
      <w:proofErr w:type="gramEnd"/>
      <w:r w:rsidRPr="00B46E22">
        <w:rPr>
          <w:rFonts w:ascii="Helvetica" w:hAnsi="Helvetica" w:cs="Helvetica"/>
          <w:color w:val="0F1115"/>
          <w:sz w:val="20"/>
          <w:szCs w:val="20"/>
          <w:shd w:val="clear" w:color="auto" w:fill="FFFFFF"/>
        </w:rPr>
        <w:t xml:space="preserve">2017). Sewage and wastewater treatment plant </w:t>
      </w:r>
      <w:r w:rsidR="00B46E22">
        <w:rPr>
          <w:rFonts w:ascii="Helvetica" w:hAnsi="Helvetica" w:cs="Helvetica"/>
          <w:color w:val="0F1115"/>
          <w:sz w:val="20"/>
          <w:szCs w:val="20"/>
          <w:shd w:val="clear" w:color="auto" w:fill="FFFFFF"/>
        </w:rPr>
        <w:t xml:space="preserve">performance: Challenges and the </w:t>
      </w:r>
      <w:r w:rsidRPr="00B46E22">
        <w:rPr>
          <w:rFonts w:ascii="Helvetica" w:hAnsi="Helvetica" w:cs="Helvetica"/>
          <w:color w:val="0F1115"/>
          <w:sz w:val="20"/>
          <w:szCs w:val="20"/>
          <w:shd w:val="clear" w:color="auto" w:fill="FFFFFF"/>
        </w:rPr>
        <w:t>environmental impact</w:t>
      </w:r>
    </w:p>
    <w:p w14:paraId="125B2AA7" w14:textId="77777777" w:rsidR="00E47856" w:rsidRPr="00FB3A86" w:rsidRDefault="00E47856" w:rsidP="00441B6F">
      <w:pPr>
        <w:pStyle w:val="Appendix"/>
        <w:spacing w:after="0"/>
        <w:jc w:val="both"/>
        <w:rPr>
          <w:rFonts w:ascii="Arial" w:hAnsi="Arial" w:cs="Arial"/>
          <w:b w:val="0"/>
        </w:rPr>
      </w:pPr>
    </w:p>
    <w:sectPr w:rsidR="00E47856" w:rsidRPr="00FB3A86" w:rsidSect="00795133">
      <w:headerReference w:type="even" r:id="rId38"/>
      <w:headerReference w:type="default" r:id="rId39"/>
      <w:footerReference w:type="default" r:id="rId40"/>
      <w:headerReference w:type="first" r:id="rId4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E3241" w14:textId="77777777" w:rsidR="001B4F60" w:rsidRDefault="001B4F60" w:rsidP="00C37E61">
      <w:r>
        <w:separator/>
      </w:r>
    </w:p>
  </w:endnote>
  <w:endnote w:type="continuationSeparator" w:id="0">
    <w:p w14:paraId="736753EA" w14:textId="77777777" w:rsidR="001B4F60" w:rsidRDefault="001B4F6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3C901" w14:textId="77777777" w:rsidR="00795133" w:rsidRDefault="00795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0EDF1" w14:textId="77777777" w:rsidR="00795133" w:rsidRDefault="007951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FC2B6" w14:textId="77777777" w:rsidR="00B60BE9" w:rsidRDefault="00B60BE9">
    <w:pPr>
      <w:pStyle w:val="Footer"/>
      <w:rPr>
        <w:rFonts w:ascii="Arial" w:hAnsi="Arial" w:cs="Arial"/>
        <w:sz w:val="16"/>
      </w:rPr>
    </w:pPr>
  </w:p>
  <w:p w14:paraId="0BED741F" w14:textId="77777777" w:rsidR="00B60BE9" w:rsidRDefault="00B60BE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F8C7EFD" w14:textId="77777777" w:rsidR="00B60BE9" w:rsidRDefault="00B60BE9">
    <w:pPr>
      <w:pStyle w:val="Footer"/>
      <w:rPr>
        <w:rFonts w:ascii="Arial" w:hAnsi="Arial" w:cs="Arial"/>
        <w:sz w:val="16"/>
      </w:rPr>
    </w:pPr>
  </w:p>
  <w:p w14:paraId="3BF06C74" w14:textId="77777777" w:rsidR="00B60BE9" w:rsidRPr="009E048A" w:rsidRDefault="00B60BE9">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7B961" w14:textId="77777777" w:rsidR="00E47856" w:rsidRPr="00C37E61" w:rsidRDefault="00E47856"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8132B" w14:textId="77777777" w:rsidR="00B60BE9" w:rsidRPr="00C37E61" w:rsidRDefault="00B60BE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00735" w14:textId="77777777" w:rsidR="001B4F60" w:rsidRDefault="001B4F60" w:rsidP="00C37E61">
      <w:r>
        <w:separator/>
      </w:r>
    </w:p>
  </w:footnote>
  <w:footnote w:type="continuationSeparator" w:id="0">
    <w:p w14:paraId="045FFA5B" w14:textId="77777777" w:rsidR="001B4F60" w:rsidRDefault="001B4F6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20BBF" w14:textId="22182D98" w:rsidR="00795133" w:rsidRDefault="00795133">
    <w:pPr>
      <w:pStyle w:val="Header"/>
    </w:pPr>
    <w:r>
      <w:rPr>
        <w:noProof/>
      </w:rPr>
      <w:pict w14:anchorId="18918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092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D5187" w14:textId="23F8537C" w:rsidR="00795133" w:rsidRDefault="00795133">
    <w:pPr>
      <w:pStyle w:val="Header"/>
    </w:pPr>
    <w:r>
      <w:rPr>
        <w:noProof/>
      </w:rPr>
      <w:pict w14:anchorId="5DD3D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092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919D1" w14:textId="4A0739F5" w:rsidR="00B60BE9" w:rsidRPr="00296529" w:rsidRDefault="00795133" w:rsidP="00296529">
    <w:pPr>
      <w:ind w:left="2160"/>
      <w:jc w:val="center"/>
      <w:rPr>
        <w:rFonts w:ascii="Times New Roman" w:eastAsia="Calibri" w:hAnsi="Times New Roman"/>
        <w:i/>
        <w:sz w:val="18"/>
        <w:szCs w:val="22"/>
      </w:rPr>
    </w:pPr>
    <w:r>
      <w:rPr>
        <w:noProof/>
      </w:rPr>
      <w:pict w14:anchorId="60F24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092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5D02B1D" w14:textId="77777777" w:rsidR="00B60BE9" w:rsidRPr="00296529" w:rsidRDefault="00B60BE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E12B641" w14:textId="77777777" w:rsidR="00B60BE9" w:rsidRPr="00296529" w:rsidRDefault="00B60BE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EE6905D" w14:textId="77777777" w:rsidR="00B60BE9" w:rsidRPr="00296529" w:rsidRDefault="00B60BE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3D14D3" w14:textId="77777777" w:rsidR="00B60BE9" w:rsidRDefault="00B60BE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54E914" w14:textId="77777777" w:rsidR="00B60BE9" w:rsidRDefault="00B60BE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C7E527F" w14:textId="77777777" w:rsidR="00B60BE9" w:rsidRDefault="00B60BE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98D33" w14:textId="4695D2E6" w:rsidR="00795133" w:rsidRDefault="00795133">
    <w:pPr>
      <w:pStyle w:val="Header"/>
    </w:pPr>
    <w:r>
      <w:rPr>
        <w:noProof/>
      </w:rPr>
      <w:pict w14:anchorId="0057E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0930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9952B" w14:textId="622F220E" w:rsidR="00795133" w:rsidRDefault="00795133">
    <w:pPr>
      <w:pStyle w:val="Header"/>
    </w:pPr>
    <w:r>
      <w:rPr>
        <w:noProof/>
      </w:rPr>
      <w:pict w14:anchorId="3B7A69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0930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6C86A" w14:textId="39393E4B" w:rsidR="00795133" w:rsidRDefault="00795133">
    <w:pPr>
      <w:pStyle w:val="Header"/>
    </w:pPr>
    <w:r>
      <w:rPr>
        <w:noProof/>
      </w:rPr>
      <w:pict w14:anchorId="23316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0929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919BA" w14:textId="79C4BEB8" w:rsidR="00795133" w:rsidRDefault="00795133">
    <w:pPr>
      <w:pStyle w:val="Header"/>
    </w:pPr>
    <w:r>
      <w:rPr>
        <w:noProof/>
      </w:rPr>
      <w:pict w14:anchorId="4C3073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09303" o:sp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A3E5C" w14:textId="3005577A" w:rsidR="00795133" w:rsidRDefault="00795133">
    <w:pPr>
      <w:pStyle w:val="Header"/>
    </w:pPr>
    <w:r>
      <w:rPr>
        <w:noProof/>
      </w:rPr>
      <w:pict w14:anchorId="66BE5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09304" o:spid="_x0000_s2057"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B5016" w14:textId="305AFE95" w:rsidR="00795133" w:rsidRDefault="00795133">
    <w:pPr>
      <w:pStyle w:val="Header"/>
    </w:pPr>
    <w:r>
      <w:rPr>
        <w:noProof/>
      </w:rPr>
      <w:pict w14:anchorId="56B9C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09302" o:sp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99411"/>
    <w:multiLevelType w:val="multilevel"/>
    <w:tmpl w:val="3496EB6C"/>
    <w:lvl w:ilvl="0">
      <w:start w:val="1"/>
      <w:numFmt w:val="decimal"/>
      <w:lvlText w:val="%1."/>
      <w:lvlJc w:val="left"/>
      <w:pPr>
        <w:ind w:left="360" w:hanging="360"/>
      </w:pPr>
    </w:lvl>
    <w:lvl w:ilvl="1">
      <w:start w:val="1"/>
      <w:numFmt w:val="decimal"/>
      <w:lvlText w:val="%2."/>
      <w:lvlJc w:val="left"/>
      <w:pPr>
        <w:ind w:left="873" w:hanging="360"/>
      </w:pPr>
    </w:lvl>
    <w:lvl w:ilvl="2">
      <w:start w:val="1"/>
      <w:numFmt w:val="decimal"/>
      <w:lvlText w:val="%3."/>
      <w:lvlJc w:val="left"/>
      <w:pPr>
        <w:ind w:left="1593" w:hanging="360"/>
      </w:pPr>
    </w:lvl>
    <w:lvl w:ilvl="3">
      <w:start w:val="1"/>
      <w:numFmt w:val="decimal"/>
      <w:lvlText w:val="%4."/>
      <w:lvlJc w:val="left"/>
      <w:pPr>
        <w:ind w:left="2313" w:hanging="360"/>
      </w:pPr>
    </w:lvl>
    <w:lvl w:ilvl="4">
      <w:start w:val="1"/>
      <w:numFmt w:val="decimal"/>
      <w:lvlText w:val="%5."/>
      <w:lvlJc w:val="left"/>
      <w:pPr>
        <w:ind w:left="3033" w:hanging="360"/>
      </w:pPr>
    </w:lvl>
    <w:lvl w:ilvl="5">
      <w:start w:val="1"/>
      <w:numFmt w:val="decimal"/>
      <w:lvlText w:val="%6."/>
      <w:lvlJc w:val="left"/>
      <w:pPr>
        <w:ind w:left="3753" w:hanging="360"/>
      </w:pPr>
    </w:lvl>
    <w:lvl w:ilvl="6">
      <w:start w:val="1"/>
      <w:numFmt w:val="decimal"/>
      <w:lvlText w:val="%7."/>
      <w:lvlJc w:val="left"/>
      <w:pPr>
        <w:ind w:left="4473" w:hanging="360"/>
      </w:pPr>
    </w:lvl>
    <w:lvl w:ilvl="7">
      <w:start w:val="1"/>
      <w:numFmt w:val="decimal"/>
      <w:lvlText w:val="%8."/>
      <w:lvlJc w:val="left"/>
      <w:pPr>
        <w:ind w:left="5193" w:hanging="360"/>
      </w:pPr>
    </w:lvl>
    <w:lvl w:ilvl="8">
      <w:start w:val="1"/>
      <w:numFmt w:val="decimal"/>
      <w:lvlText w:val="%9."/>
      <w:lvlJc w:val="left"/>
      <w:pPr>
        <w:ind w:left="5913"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5B44DE8"/>
    <w:multiLevelType w:val="hybridMultilevel"/>
    <w:tmpl w:val="F79CBF94"/>
    <w:lvl w:ilvl="0" w:tplc="0409000F">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13ECD"/>
    <w:rsid w:val="00123C9F"/>
    <w:rsid w:val="00126190"/>
    <w:rsid w:val="00130F17"/>
    <w:rsid w:val="001320BF"/>
    <w:rsid w:val="001513B9"/>
    <w:rsid w:val="00163BC4"/>
    <w:rsid w:val="00191062"/>
    <w:rsid w:val="00191251"/>
    <w:rsid w:val="00192B72"/>
    <w:rsid w:val="001A29D8"/>
    <w:rsid w:val="001A5CAA"/>
    <w:rsid w:val="001B0427"/>
    <w:rsid w:val="001B4F60"/>
    <w:rsid w:val="001D3A51"/>
    <w:rsid w:val="001E10D2"/>
    <w:rsid w:val="001E25B4"/>
    <w:rsid w:val="001E41BA"/>
    <w:rsid w:val="001E44FE"/>
    <w:rsid w:val="00200595"/>
    <w:rsid w:val="00204835"/>
    <w:rsid w:val="00206E9F"/>
    <w:rsid w:val="00231920"/>
    <w:rsid w:val="0023195C"/>
    <w:rsid w:val="0024282C"/>
    <w:rsid w:val="002460DC"/>
    <w:rsid w:val="00250985"/>
    <w:rsid w:val="002556F6"/>
    <w:rsid w:val="00277EAC"/>
    <w:rsid w:val="00283105"/>
    <w:rsid w:val="00284C4C"/>
    <w:rsid w:val="00285B90"/>
    <w:rsid w:val="00287E68"/>
    <w:rsid w:val="00296529"/>
    <w:rsid w:val="002B27FB"/>
    <w:rsid w:val="002B685A"/>
    <w:rsid w:val="002C57D2"/>
    <w:rsid w:val="002D0787"/>
    <w:rsid w:val="002E0D56"/>
    <w:rsid w:val="00315186"/>
    <w:rsid w:val="0033343E"/>
    <w:rsid w:val="003512C2"/>
    <w:rsid w:val="00371FB6"/>
    <w:rsid w:val="003763C1"/>
    <w:rsid w:val="00376BBE"/>
    <w:rsid w:val="0039224F"/>
    <w:rsid w:val="003A3B04"/>
    <w:rsid w:val="003A43A4"/>
    <w:rsid w:val="003A7E18"/>
    <w:rsid w:val="003C4C86"/>
    <w:rsid w:val="003C6258"/>
    <w:rsid w:val="003E2904"/>
    <w:rsid w:val="003E4310"/>
    <w:rsid w:val="00401927"/>
    <w:rsid w:val="0041027F"/>
    <w:rsid w:val="00412475"/>
    <w:rsid w:val="00423789"/>
    <w:rsid w:val="0043578C"/>
    <w:rsid w:val="0043651B"/>
    <w:rsid w:val="00440F43"/>
    <w:rsid w:val="00441B6F"/>
    <w:rsid w:val="00446221"/>
    <w:rsid w:val="00450E62"/>
    <w:rsid w:val="004539DB"/>
    <w:rsid w:val="00471A80"/>
    <w:rsid w:val="004D305E"/>
    <w:rsid w:val="004D4277"/>
    <w:rsid w:val="00502516"/>
    <w:rsid w:val="00505F06"/>
    <w:rsid w:val="00506828"/>
    <w:rsid w:val="0053056E"/>
    <w:rsid w:val="005460B5"/>
    <w:rsid w:val="00554FDA"/>
    <w:rsid w:val="005C784C"/>
    <w:rsid w:val="005D17F6"/>
    <w:rsid w:val="005E5539"/>
    <w:rsid w:val="00602BF5"/>
    <w:rsid w:val="00606A49"/>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257B"/>
    <w:rsid w:val="0070082C"/>
    <w:rsid w:val="007369E6"/>
    <w:rsid w:val="00746E59"/>
    <w:rsid w:val="00754C9A"/>
    <w:rsid w:val="0075599A"/>
    <w:rsid w:val="00761D52"/>
    <w:rsid w:val="0077749E"/>
    <w:rsid w:val="00783B22"/>
    <w:rsid w:val="00790ADA"/>
    <w:rsid w:val="00795133"/>
    <w:rsid w:val="007D2288"/>
    <w:rsid w:val="007E088F"/>
    <w:rsid w:val="007F7B32"/>
    <w:rsid w:val="00804BC2"/>
    <w:rsid w:val="0081431A"/>
    <w:rsid w:val="0082087A"/>
    <w:rsid w:val="0083216F"/>
    <w:rsid w:val="00860000"/>
    <w:rsid w:val="00863BD3"/>
    <w:rsid w:val="008641ED"/>
    <w:rsid w:val="00866D66"/>
    <w:rsid w:val="008671C6"/>
    <w:rsid w:val="00875803"/>
    <w:rsid w:val="00876108"/>
    <w:rsid w:val="008A666D"/>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6B5C"/>
    <w:rsid w:val="00A03B96"/>
    <w:rsid w:val="00A05B19"/>
    <w:rsid w:val="00A1134E"/>
    <w:rsid w:val="00A24E7E"/>
    <w:rsid w:val="00A258C3"/>
    <w:rsid w:val="00A347C0"/>
    <w:rsid w:val="00A51431"/>
    <w:rsid w:val="00A539AD"/>
    <w:rsid w:val="00A82B4B"/>
    <w:rsid w:val="00A94063"/>
    <w:rsid w:val="00AA19E5"/>
    <w:rsid w:val="00AA6219"/>
    <w:rsid w:val="00AA74E0"/>
    <w:rsid w:val="00AB703F"/>
    <w:rsid w:val="00AC6BB8"/>
    <w:rsid w:val="00AE008F"/>
    <w:rsid w:val="00B01FCD"/>
    <w:rsid w:val="00B1776C"/>
    <w:rsid w:val="00B2744C"/>
    <w:rsid w:val="00B46E22"/>
    <w:rsid w:val="00B52583"/>
    <w:rsid w:val="00B52896"/>
    <w:rsid w:val="00B60BE9"/>
    <w:rsid w:val="00B6344C"/>
    <w:rsid w:val="00B95236"/>
    <w:rsid w:val="00B96BD9"/>
    <w:rsid w:val="00BA1B01"/>
    <w:rsid w:val="00BA2641"/>
    <w:rsid w:val="00BB37AA"/>
    <w:rsid w:val="00BB7E98"/>
    <w:rsid w:val="00BC53A0"/>
    <w:rsid w:val="00BE62AD"/>
    <w:rsid w:val="00BE7837"/>
    <w:rsid w:val="00BF121F"/>
    <w:rsid w:val="00BF1F80"/>
    <w:rsid w:val="00C1436B"/>
    <w:rsid w:val="00C166EF"/>
    <w:rsid w:val="00C17EB0"/>
    <w:rsid w:val="00C27F5F"/>
    <w:rsid w:val="00C30A0F"/>
    <w:rsid w:val="00C37AF0"/>
    <w:rsid w:val="00C37E61"/>
    <w:rsid w:val="00C54DAE"/>
    <w:rsid w:val="00C70F1B"/>
    <w:rsid w:val="00C71A47"/>
    <w:rsid w:val="00C7464C"/>
    <w:rsid w:val="00C85588"/>
    <w:rsid w:val="00CD6755"/>
    <w:rsid w:val="00CD6856"/>
    <w:rsid w:val="00CE0089"/>
    <w:rsid w:val="00CE793C"/>
    <w:rsid w:val="00CF193C"/>
    <w:rsid w:val="00D126B2"/>
    <w:rsid w:val="00D160FB"/>
    <w:rsid w:val="00D173F1"/>
    <w:rsid w:val="00D74CB0"/>
    <w:rsid w:val="00D8295D"/>
    <w:rsid w:val="00D91798"/>
    <w:rsid w:val="00DB06DD"/>
    <w:rsid w:val="00DC2A65"/>
    <w:rsid w:val="00DD56E9"/>
    <w:rsid w:val="00DE15F0"/>
    <w:rsid w:val="00DE5663"/>
    <w:rsid w:val="00DE78AA"/>
    <w:rsid w:val="00DF428A"/>
    <w:rsid w:val="00E053D0"/>
    <w:rsid w:val="00E15994"/>
    <w:rsid w:val="00E25EFB"/>
    <w:rsid w:val="00E3114E"/>
    <w:rsid w:val="00E31A70"/>
    <w:rsid w:val="00E35B02"/>
    <w:rsid w:val="00E47856"/>
    <w:rsid w:val="00E53424"/>
    <w:rsid w:val="00E66496"/>
    <w:rsid w:val="00E66B35"/>
    <w:rsid w:val="00E66E10"/>
    <w:rsid w:val="00E67D6B"/>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6FA0192F"/>
  <w15:docId w15:val="{48E4AC41-0C5D-484F-AAA7-A77F7946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1">
    <w:name w:val="إشارة لم يتم حلها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E25EFB"/>
    <w:pPr>
      <w:spacing w:after="120"/>
    </w:pPr>
  </w:style>
  <w:style w:type="character" w:customStyle="1" w:styleId="BodyTextChar">
    <w:name w:val="Body Text Char"/>
    <w:basedOn w:val="DefaultParagraphFont"/>
    <w:link w:val="BodyText"/>
    <w:semiHidden/>
    <w:rsid w:val="00E25EFB"/>
    <w:rPr>
      <w:rFonts w:ascii="Helvetica" w:hAnsi="Helvetica"/>
    </w:rPr>
  </w:style>
  <w:style w:type="paragraph" w:styleId="ListParagraph">
    <w:name w:val="List Paragraph"/>
    <w:basedOn w:val="Normal"/>
    <w:uiPriority w:val="34"/>
    <w:qFormat/>
    <w:rsid w:val="0082087A"/>
    <w:pPr>
      <w:ind w:left="720"/>
      <w:contextualSpacing/>
    </w:pPr>
  </w:style>
  <w:style w:type="paragraph" w:styleId="NormalWeb">
    <w:name w:val="Normal (Web)"/>
    <w:basedOn w:val="Normal"/>
    <w:uiPriority w:val="99"/>
    <w:unhideWhenUsed/>
    <w:rsid w:val="00E47856"/>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3E4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7593976">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yperlink" Target="https://doi.org/10.1088/1755-1315/831/1/012059" TargetMode="External"/><Relationship Id="rId39" Type="http://schemas.openxmlformats.org/officeDocument/2006/relationships/header" Target="header8.xml"/><Relationship Id="rId21" Type="http://schemas.openxmlformats.org/officeDocument/2006/relationships/hyperlink" Target="https://doi.org/10.1016/S0048-9697(02)00651-4" TargetMode="External"/><Relationship Id="rId34" Type="http://schemas.openxmlformats.org/officeDocument/2006/relationships/hyperlink" Target="https://doi.org/10.1002/wer.1273"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researchgate.net/publication/325600000_Analytical_Study_of_Environmental_Impact_Assessment_for_a_Wastewater_Treatment_Plant_in_Sabratha_Libya" TargetMode="External"/><Relationship Id="rId29" Type="http://schemas.openxmlformats.org/officeDocument/2006/relationships/hyperlink" Target="https://doi.org/10.1007/978-1-4612-3004-5" TargetMode="Externa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ur-lex.europa.eu/legal-content/EN/TXT/?uri=CELEX:31976L0160" TargetMode="External"/><Relationship Id="rId32" Type="http://schemas.openxmlformats.org/officeDocument/2006/relationships/hyperlink" Target="https://doi.org/10.22059/ijer.2011.444" TargetMode="External"/><Relationship Id="rId37" Type="http://schemas.openxmlformats.org/officeDocument/2006/relationships/hyperlink" Target="https://doi.org/10.59743/jmset.v7i2.16" TargetMode="Externa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16/S0025-326X(03)00164-4" TargetMode="External"/><Relationship Id="rId28" Type="http://schemas.openxmlformats.org/officeDocument/2006/relationships/hyperlink" Target="https://doi.org/10.3390/w14030502" TargetMode="External"/><Relationship Id="rId36" Type="http://schemas.openxmlformats.org/officeDocument/2006/relationships/hyperlink" Target="https://doi.org/10.5339/ajsr.2020.9" TargetMode="Externa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yperlink" Target="https://doi.org/10.5829/idosi.mejsr.2012.11.10.6320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02/tox.20008" TargetMode="External"/><Relationship Id="rId27" Type="http://schemas.openxmlformats.org/officeDocument/2006/relationships/hyperlink" Target="https://doi.org/10.11648/j.ijec.20180201.12" TargetMode="External"/><Relationship Id="rId30" Type="http://schemas.openxmlformats.org/officeDocument/2006/relationships/hyperlink" Target="https://doi.org/10.1016/0143-1471(81)90074-X" TargetMode="External"/><Relationship Id="rId35" Type="http://schemas.openxmlformats.org/officeDocument/2006/relationships/hyperlink" Target="https://doi.org/10.1016/j.marenvres.2009.11.011"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s://www.epa.gov/sam/method-3050b-acid-digestion-sediments-sludges-and-soils" TargetMode="External"/><Relationship Id="rId33" Type="http://schemas.openxmlformats.org/officeDocument/2006/relationships/hyperlink" Target="https://www.grocentre.is/ftp/static/fellows/document/Owili2003.pdf" TargetMode="External"/><Relationship Id="rId38"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11F31-156B-4E5B-B070-275047F80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9</Pages>
  <Words>3469</Words>
  <Characters>19775</Characters>
  <Application>Microsoft Office Word</Application>
  <DocSecurity>0</DocSecurity>
  <Lines>164</Lines>
  <Paragraphs>46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23198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2025-12-20T21:29:00Z</dcterms:created>
  <dcterms:modified xsi:type="dcterms:W3CDTF">2025-12-22T13:26:00Z</dcterms:modified>
</cp:coreProperties>
</file>