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582AA3" w14:textId="77777777" w:rsidR="004E370B" w:rsidRDefault="004E370B">
      <w:pPr>
        <w:jc w:val="center"/>
        <w:divId w:val="1006202890"/>
        <w:rPr>
          <w:rFonts w:ascii="Arial" w:eastAsia="Times New Roman" w:hAnsi="Arial" w:cs="Arial"/>
          <w:b/>
          <w:bCs/>
          <w:caps/>
          <w:sz w:val="28"/>
          <w:szCs w:val="28"/>
          <w:lang w:val="en"/>
        </w:rPr>
      </w:pPr>
      <w:r w:rsidRPr="004E370B">
        <w:rPr>
          <w:rFonts w:ascii="Arial" w:eastAsia="Times New Roman" w:hAnsi="Arial" w:cs="Arial"/>
          <w:b/>
          <w:bCs/>
          <w:caps/>
          <w:sz w:val="28"/>
          <w:szCs w:val="28"/>
          <w:lang w:val="en"/>
        </w:rPr>
        <w:t>Short Research Article</w:t>
      </w:r>
    </w:p>
    <w:p w14:paraId="07926D6F" w14:textId="77777777" w:rsidR="004E370B" w:rsidRDefault="004E370B">
      <w:pPr>
        <w:jc w:val="center"/>
        <w:divId w:val="1006202890"/>
        <w:rPr>
          <w:rFonts w:ascii="Arial" w:eastAsia="Times New Roman" w:hAnsi="Arial" w:cs="Arial"/>
          <w:b/>
          <w:bCs/>
          <w:caps/>
          <w:sz w:val="28"/>
          <w:szCs w:val="28"/>
          <w:lang w:val="en"/>
        </w:rPr>
      </w:pPr>
    </w:p>
    <w:p w14:paraId="2897ECB7" w14:textId="2A688A67" w:rsidR="005953CA" w:rsidRDefault="006E6F84">
      <w:pPr>
        <w:jc w:val="center"/>
        <w:divId w:val="1006202890"/>
        <w:rPr>
          <w:rFonts w:ascii="Arial" w:eastAsia="Times New Roman" w:hAnsi="Arial" w:cs="Arial"/>
          <w:b/>
          <w:bCs/>
          <w:caps/>
          <w:sz w:val="28"/>
          <w:szCs w:val="28"/>
          <w:lang w:val="en"/>
        </w:rPr>
      </w:pPr>
      <w:r>
        <w:rPr>
          <w:rFonts w:ascii="Arial" w:eastAsia="Times New Roman" w:hAnsi="Arial" w:cs="Arial"/>
          <w:b/>
          <w:bCs/>
          <w:caps/>
          <w:sz w:val="28"/>
          <w:szCs w:val="28"/>
          <w:lang w:val="en"/>
        </w:rPr>
        <w:t xml:space="preserve">Structural Instability in Canada's Money Demand Function: Evidence from Inflation Targeting and the COVID-19 Pandemic </w:t>
      </w:r>
    </w:p>
    <w:p w14:paraId="0B5E9D9C" w14:textId="40E75AD7" w:rsidR="005953CA" w:rsidRDefault="005953CA">
      <w:pPr>
        <w:jc w:val="center"/>
        <w:divId w:val="1794859140"/>
        <w:rPr>
          <w:rFonts w:ascii="Arial" w:eastAsia="Times New Roman" w:hAnsi="Arial" w:cs="Arial"/>
          <w:sz w:val="18"/>
          <w:szCs w:val="18"/>
          <w:lang w:val="en"/>
        </w:rPr>
      </w:pPr>
    </w:p>
    <w:p w14:paraId="47D1331A" w14:textId="77777777" w:rsidR="005953CA" w:rsidRDefault="006E6F84">
      <w:pPr>
        <w:shd w:val="clear" w:color="auto" w:fill="F9F9F9"/>
        <w:divId w:val="1479225612"/>
        <w:rPr>
          <w:rFonts w:ascii="Arial" w:eastAsia="Times New Roman" w:hAnsi="Arial" w:cs="Arial"/>
          <w:b/>
          <w:bCs/>
          <w:caps/>
          <w:sz w:val="22"/>
          <w:szCs w:val="22"/>
          <w:lang w:val="en"/>
        </w:rPr>
      </w:pPr>
      <w:r>
        <w:rPr>
          <w:rFonts w:ascii="Arial" w:eastAsia="Times New Roman" w:hAnsi="Arial" w:cs="Arial"/>
          <w:b/>
          <w:bCs/>
          <w:caps/>
          <w:sz w:val="22"/>
          <w:szCs w:val="22"/>
          <w:lang w:val="en"/>
        </w:rPr>
        <w:t>ABSTRACT</w:t>
      </w:r>
    </w:p>
    <w:p w14:paraId="3FA24696" w14:textId="77777777" w:rsidR="005953CA" w:rsidRDefault="006E6F84">
      <w:pPr>
        <w:shd w:val="clear" w:color="auto" w:fill="F9F9F9"/>
        <w:jc w:val="both"/>
        <w:divId w:val="830217286"/>
        <w:rPr>
          <w:rFonts w:ascii="Arial" w:eastAsia="Times New Roman" w:hAnsi="Arial" w:cs="Arial"/>
          <w:sz w:val="20"/>
          <w:szCs w:val="20"/>
          <w:lang w:val="en"/>
        </w:rPr>
      </w:pPr>
      <w:r>
        <w:rPr>
          <w:rStyle w:val="abstract-label1"/>
          <w:rFonts w:ascii="Arial" w:eastAsia="Times New Roman" w:hAnsi="Arial" w:cs="Arial"/>
          <w:sz w:val="20"/>
          <w:szCs w:val="20"/>
          <w:lang w:val="en"/>
        </w:rPr>
        <w:t>Aims:</w:t>
      </w:r>
      <w:r>
        <w:rPr>
          <w:rFonts w:ascii="Arial" w:eastAsia="Times New Roman" w:hAnsi="Arial" w:cs="Arial"/>
          <w:sz w:val="20"/>
          <w:szCs w:val="20"/>
          <w:lang w:val="en"/>
        </w:rPr>
        <w:t xml:space="preserve"> This study empirically examines the validity and stability of the money demand function in Canada over the period 1961-2023, a timeframe characterized by major institutional reforms and significant economic disruptions. </w:t>
      </w:r>
    </w:p>
    <w:p w14:paraId="4F7AAFAC" w14:textId="77777777" w:rsidR="005953CA" w:rsidRDefault="006E6F84">
      <w:pPr>
        <w:shd w:val="clear" w:color="auto" w:fill="F9F9F9"/>
        <w:jc w:val="both"/>
        <w:divId w:val="814756151"/>
        <w:rPr>
          <w:rFonts w:ascii="Arial" w:eastAsia="Times New Roman" w:hAnsi="Arial" w:cs="Arial"/>
          <w:sz w:val="20"/>
          <w:szCs w:val="20"/>
          <w:lang w:val="en"/>
        </w:rPr>
      </w:pPr>
      <w:r>
        <w:rPr>
          <w:rStyle w:val="abstract-label1"/>
          <w:rFonts w:ascii="Arial" w:eastAsia="Times New Roman" w:hAnsi="Arial" w:cs="Arial"/>
          <w:sz w:val="20"/>
          <w:szCs w:val="20"/>
          <w:lang w:val="en"/>
        </w:rPr>
        <w:t>Study Design:</w:t>
      </w:r>
      <w:r>
        <w:rPr>
          <w:rFonts w:ascii="Arial" w:eastAsia="Times New Roman" w:hAnsi="Arial" w:cs="Arial"/>
          <w:sz w:val="20"/>
          <w:szCs w:val="20"/>
          <w:lang w:val="en"/>
        </w:rPr>
        <w:t xml:space="preserve"> Time series econometric analysis with structural break testing. </w:t>
      </w:r>
    </w:p>
    <w:p w14:paraId="30B248C1" w14:textId="77777777" w:rsidR="005953CA" w:rsidRDefault="006E6F84">
      <w:pPr>
        <w:shd w:val="clear" w:color="auto" w:fill="F9F9F9"/>
        <w:jc w:val="both"/>
        <w:divId w:val="580023936"/>
        <w:rPr>
          <w:rFonts w:ascii="Arial" w:eastAsia="Times New Roman" w:hAnsi="Arial" w:cs="Arial"/>
          <w:sz w:val="20"/>
          <w:szCs w:val="20"/>
          <w:lang w:val="en"/>
        </w:rPr>
      </w:pPr>
      <w:r>
        <w:rPr>
          <w:rStyle w:val="abstract-label1"/>
          <w:rFonts w:ascii="Arial" w:eastAsia="Times New Roman" w:hAnsi="Arial" w:cs="Arial"/>
          <w:sz w:val="20"/>
          <w:szCs w:val="20"/>
          <w:lang w:val="en"/>
        </w:rPr>
        <w:t>Place and Duration of Study:</w:t>
      </w:r>
      <w:r>
        <w:rPr>
          <w:rFonts w:ascii="Arial" w:eastAsia="Times New Roman" w:hAnsi="Arial" w:cs="Arial"/>
          <w:sz w:val="20"/>
          <w:szCs w:val="20"/>
          <w:lang w:val="en"/>
        </w:rPr>
        <w:t xml:space="preserve"> Canadian economy, from the first quarter of 1961 to the third quarter of 2023 (251 quarterly observations). </w:t>
      </w:r>
    </w:p>
    <w:p w14:paraId="429DE3D6" w14:textId="77777777" w:rsidR="005953CA" w:rsidRDefault="006E6F84">
      <w:pPr>
        <w:shd w:val="clear" w:color="auto" w:fill="F9F9F9"/>
        <w:jc w:val="both"/>
        <w:divId w:val="912277968"/>
        <w:rPr>
          <w:rFonts w:ascii="Arial" w:eastAsia="Times New Roman" w:hAnsi="Arial" w:cs="Arial"/>
          <w:sz w:val="20"/>
          <w:szCs w:val="20"/>
          <w:lang w:val="en"/>
        </w:rPr>
      </w:pPr>
      <w:r>
        <w:rPr>
          <w:rStyle w:val="abstract-label1"/>
          <w:rFonts w:ascii="Arial" w:eastAsia="Times New Roman" w:hAnsi="Arial" w:cs="Arial"/>
          <w:sz w:val="20"/>
          <w:szCs w:val="20"/>
          <w:lang w:val="en"/>
        </w:rPr>
        <w:t>Methodology:</w:t>
      </w:r>
      <w:r>
        <w:rPr>
          <w:rFonts w:ascii="Arial" w:eastAsia="Times New Roman" w:hAnsi="Arial" w:cs="Arial"/>
          <w:sz w:val="20"/>
          <w:szCs w:val="20"/>
          <w:lang w:val="en"/>
        </w:rPr>
        <w:t xml:space="preserve"> The analysis employs quarterly data from the Federal Reserve Economic Data (FRED) database. Real money balances are measured using M1 deflated by the Consumer Price Index. Independent variables include real GDP and nominal interest rates (central bank rates). The methodology applies Ordinary Least Squares (OLS) and Generalized Least Squares (GLS) regression techniques to model the relationship. A key contribution is the incorporation of structural break analysis to account for the effects of the early implementation phase of inflation targeting (1991-1995) and the COVID-19 pandemic (2020-2023), which were confirmed to be statistically significant using the Chow test. </w:t>
      </w:r>
    </w:p>
    <w:p w14:paraId="3E3A6CC6" w14:textId="77777777" w:rsidR="005953CA" w:rsidRDefault="006E6F84">
      <w:pPr>
        <w:shd w:val="clear" w:color="auto" w:fill="F9F9F9"/>
        <w:jc w:val="both"/>
        <w:divId w:val="1997030610"/>
        <w:rPr>
          <w:rFonts w:ascii="Arial" w:eastAsia="Times New Roman" w:hAnsi="Arial" w:cs="Arial"/>
          <w:sz w:val="20"/>
          <w:szCs w:val="20"/>
          <w:lang w:val="en"/>
        </w:rPr>
      </w:pPr>
      <w:r>
        <w:rPr>
          <w:rStyle w:val="abstract-label1"/>
          <w:rFonts w:ascii="Arial" w:eastAsia="Times New Roman" w:hAnsi="Arial" w:cs="Arial"/>
          <w:sz w:val="20"/>
          <w:szCs w:val="20"/>
          <w:lang w:val="en"/>
        </w:rPr>
        <w:t>Results:</w:t>
      </w:r>
      <w:r>
        <w:rPr>
          <w:rFonts w:ascii="Arial" w:eastAsia="Times New Roman" w:hAnsi="Arial" w:cs="Arial"/>
          <w:sz w:val="20"/>
          <w:szCs w:val="20"/>
          <w:lang w:val="en"/>
        </w:rPr>
        <w:t xml:space="preserve"> The GLS estimation, which corrects for serial correlation present in the OLS model, provides clear evidence supporting traditional money demand theory for Canada. The results indicate a statistically significant positive relationship between real income and money demand (β</w:t>
      </w:r>
      <w:r>
        <w:rPr>
          <w:rFonts w:ascii="Arial" w:eastAsia="Times New Roman" w:hAnsi="Arial" w:cs="Arial"/>
          <w:sz w:val="16"/>
          <w:szCs w:val="16"/>
          <w:vertAlign w:val="subscript"/>
          <w:lang w:val="en"/>
        </w:rPr>
        <w:t>2</w:t>
      </w:r>
      <w:r>
        <w:rPr>
          <w:rFonts w:ascii="Arial" w:eastAsia="Times New Roman" w:hAnsi="Arial" w:cs="Arial"/>
          <w:sz w:val="20"/>
          <w:szCs w:val="20"/>
          <w:lang w:val="en"/>
        </w:rPr>
        <w:t xml:space="preserve"> = 0.85, </w:t>
      </w:r>
      <w:r>
        <w:rPr>
          <w:rFonts w:ascii="Arial" w:eastAsia="Times New Roman" w:hAnsi="Arial" w:cs="Arial"/>
          <w:i/>
          <w:iCs/>
          <w:sz w:val="20"/>
          <w:szCs w:val="20"/>
          <w:lang w:val="en"/>
        </w:rPr>
        <w:t>p</w:t>
      </w:r>
      <w:r>
        <w:rPr>
          <w:rFonts w:ascii="Arial" w:eastAsia="Times New Roman" w:hAnsi="Arial" w:cs="Arial"/>
          <w:sz w:val="20"/>
          <w:szCs w:val="20"/>
          <w:lang w:val="en"/>
        </w:rPr>
        <w:t>-value = .00), and a negative relationship between interest rates and money demand (β</w:t>
      </w:r>
      <w:r>
        <w:rPr>
          <w:rFonts w:ascii="Arial" w:eastAsia="Times New Roman" w:hAnsi="Arial" w:cs="Arial"/>
          <w:sz w:val="16"/>
          <w:szCs w:val="16"/>
          <w:vertAlign w:val="subscript"/>
          <w:lang w:val="en"/>
        </w:rPr>
        <w:t>3</w:t>
      </w:r>
      <w:r>
        <w:rPr>
          <w:rFonts w:ascii="Arial" w:eastAsia="Times New Roman" w:hAnsi="Arial" w:cs="Arial"/>
          <w:sz w:val="20"/>
          <w:szCs w:val="20"/>
          <w:lang w:val="en"/>
        </w:rPr>
        <w:t xml:space="preserve"> = -0.003, </w:t>
      </w:r>
      <w:r>
        <w:rPr>
          <w:rFonts w:ascii="Arial" w:eastAsia="Times New Roman" w:hAnsi="Arial" w:cs="Arial"/>
          <w:i/>
          <w:iCs/>
          <w:sz w:val="20"/>
          <w:szCs w:val="20"/>
          <w:lang w:val="en"/>
        </w:rPr>
        <w:t>p</w:t>
      </w:r>
      <w:r>
        <w:rPr>
          <w:rFonts w:ascii="Arial" w:eastAsia="Times New Roman" w:hAnsi="Arial" w:cs="Arial"/>
          <w:sz w:val="20"/>
          <w:szCs w:val="20"/>
          <w:lang w:val="en"/>
        </w:rPr>
        <w:t>-value = .00), both consistent with theoretical predictions. The structural break analysis confirms parameter instability across the COVID-19 period, with the income elasticity dropping significantly (δ</w:t>
      </w:r>
      <w:r>
        <w:rPr>
          <w:rFonts w:ascii="Arial" w:eastAsia="Times New Roman" w:hAnsi="Arial" w:cs="Arial"/>
          <w:sz w:val="16"/>
          <w:szCs w:val="16"/>
          <w:vertAlign w:val="subscript"/>
          <w:lang w:val="en"/>
        </w:rPr>
        <w:t>5</w:t>
      </w:r>
      <w:r>
        <w:rPr>
          <w:rFonts w:ascii="Arial" w:eastAsia="Times New Roman" w:hAnsi="Arial" w:cs="Arial"/>
          <w:sz w:val="20"/>
          <w:szCs w:val="20"/>
          <w:lang w:val="en"/>
        </w:rPr>
        <w:t xml:space="preserve"> = -0.85, </w:t>
      </w:r>
      <w:r>
        <w:rPr>
          <w:rFonts w:ascii="Arial" w:eastAsia="Times New Roman" w:hAnsi="Arial" w:cs="Arial"/>
          <w:i/>
          <w:iCs/>
          <w:sz w:val="20"/>
          <w:szCs w:val="20"/>
          <w:lang w:val="en"/>
        </w:rPr>
        <w:t>p</w:t>
      </w:r>
      <w:r>
        <w:rPr>
          <w:rFonts w:ascii="Arial" w:eastAsia="Times New Roman" w:hAnsi="Arial" w:cs="Arial"/>
          <w:sz w:val="20"/>
          <w:szCs w:val="20"/>
          <w:lang w:val="en"/>
        </w:rPr>
        <w:t>-value = .00) and interest rate sensitivity becoming more negative (δ</w:t>
      </w:r>
      <w:r>
        <w:rPr>
          <w:rFonts w:ascii="Arial" w:eastAsia="Times New Roman" w:hAnsi="Arial" w:cs="Arial"/>
          <w:sz w:val="16"/>
          <w:szCs w:val="16"/>
          <w:vertAlign w:val="subscript"/>
          <w:lang w:val="en"/>
        </w:rPr>
        <w:t>6</w:t>
      </w:r>
      <w:r>
        <w:rPr>
          <w:rFonts w:ascii="Arial" w:eastAsia="Times New Roman" w:hAnsi="Arial" w:cs="Arial"/>
          <w:sz w:val="20"/>
          <w:szCs w:val="20"/>
          <w:lang w:val="en"/>
        </w:rPr>
        <w:t xml:space="preserve"> = -0.02, </w:t>
      </w:r>
      <w:r>
        <w:rPr>
          <w:rFonts w:ascii="Arial" w:eastAsia="Times New Roman" w:hAnsi="Arial" w:cs="Arial"/>
          <w:i/>
          <w:iCs/>
          <w:sz w:val="20"/>
          <w:szCs w:val="20"/>
          <w:lang w:val="en"/>
        </w:rPr>
        <w:t>p</w:t>
      </w:r>
      <w:r>
        <w:rPr>
          <w:rFonts w:ascii="Arial" w:eastAsia="Times New Roman" w:hAnsi="Arial" w:cs="Arial"/>
          <w:sz w:val="20"/>
          <w:szCs w:val="20"/>
          <w:lang w:val="en"/>
        </w:rPr>
        <w:t xml:space="preserve">-value = .00) during the pandemic. The Chow test validates the presence of a significant structural break (F-statistic = 68.756, </w:t>
      </w:r>
      <w:r>
        <w:rPr>
          <w:rFonts w:ascii="Arial" w:eastAsia="Times New Roman" w:hAnsi="Arial" w:cs="Arial"/>
          <w:i/>
          <w:iCs/>
          <w:sz w:val="20"/>
          <w:szCs w:val="20"/>
          <w:lang w:val="en"/>
        </w:rPr>
        <w:t>p</w:t>
      </w:r>
      <w:r>
        <w:rPr>
          <w:rFonts w:ascii="Arial" w:eastAsia="Times New Roman" w:hAnsi="Arial" w:cs="Arial"/>
          <w:sz w:val="20"/>
          <w:szCs w:val="20"/>
          <w:lang w:val="en"/>
        </w:rPr>
        <w:t xml:space="preserve">-value &lt; .001), highlighting the impact of the COVID-19 pandemic on money demand dynamics. The final GLS model explains a substantial portion of money demand variation, with all key coefficients statistically significant at conventional levels. </w:t>
      </w:r>
    </w:p>
    <w:p w14:paraId="626BAE36" w14:textId="77777777" w:rsidR="005953CA" w:rsidRDefault="006E6F84">
      <w:pPr>
        <w:shd w:val="clear" w:color="auto" w:fill="F9F9F9"/>
        <w:jc w:val="both"/>
        <w:divId w:val="1114401014"/>
        <w:rPr>
          <w:rFonts w:ascii="Arial" w:eastAsia="Times New Roman" w:hAnsi="Arial" w:cs="Arial"/>
          <w:sz w:val="20"/>
          <w:szCs w:val="20"/>
          <w:lang w:val="en"/>
        </w:rPr>
      </w:pPr>
      <w:r>
        <w:rPr>
          <w:rStyle w:val="abstract-label1"/>
          <w:rFonts w:ascii="Arial" w:eastAsia="Times New Roman" w:hAnsi="Arial" w:cs="Arial"/>
          <w:sz w:val="20"/>
          <w:szCs w:val="20"/>
          <w:lang w:val="en"/>
        </w:rPr>
        <w:t>Conclusion:</w:t>
      </w:r>
      <w:r>
        <w:rPr>
          <w:rFonts w:ascii="Arial" w:eastAsia="Times New Roman" w:hAnsi="Arial" w:cs="Arial"/>
          <w:sz w:val="20"/>
          <w:szCs w:val="20"/>
          <w:lang w:val="en"/>
        </w:rPr>
        <w:t xml:space="preserve"> The results indicate that while real income and interest rates significantly influence money demand, a structural break occurred during the COVID-19 pandemic that materially altered the money demand dynamics. This finding reinforces the critical role of precautionary behavior, transaction patterns, and economic uncertainty in shaping money demand in advanced economies. The confirmed structural break highlights the importance of accounting for major economic shocks when formulating monetary policy frameworks and using money-based indicators for policy analysis. </w:t>
      </w:r>
    </w:p>
    <w:p w14:paraId="580735FE" w14:textId="77777777" w:rsidR="005953CA" w:rsidRDefault="006E6F84">
      <w:pPr>
        <w:shd w:val="clear" w:color="auto" w:fill="F9F9F9"/>
        <w:jc w:val="both"/>
        <w:divId w:val="1396590314"/>
        <w:rPr>
          <w:rFonts w:ascii="Arial" w:eastAsia="Times New Roman" w:hAnsi="Arial" w:cs="Arial"/>
          <w:i/>
          <w:iCs/>
          <w:sz w:val="20"/>
          <w:szCs w:val="20"/>
          <w:lang w:val="en"/>
        </w:rPr>
      </w:pPr>
      <w:r>
        <w:rPr>
          <w:rStyle w:val="Strong"/>
          <w:rFonts w:ascii="Arial" w:eastAsia="Times New Roman" w:hAnsi="Arial" w:cs="Arial"/>
          <w:i/>
          <w:iCs/>
          <w:sz w:val="20"/>
          <w:szCs w:val="20"/>
          <w:lang w:val="en"/>
        </w:rPr>
        <w:t>Keywords:</w:t>
      </w:r>
      <w:r>
        <w:rPr>
          <w:rFonts w:ascii="Arial" w:eastAsia="Times New Roman" w:hAnsi="Arial" w:cs="Arial"/>
          <w:i/>
          <w:iCs/>
          <w:sz w:val="20"/>
          <w:szCs w:val="20"/>
          <w:lang w:val="en"/>
        </w:rPr>
        <w:t xml:space="preserve"> Chow Test, COVID-19 Pandemic, Generalized Least Squares, Inflation Targeting, Interest Rates, Monetary Policy, Money Demand Function, Ordinary Least Squares, Structural Break, Real Income </w:t>
      </w:r>
    </w:p>
    <w:p w14:paraId="12FE84AF" w14:textId="77777777" w:rsidR="00CC271B" w:rsidRDefault="00CC271B">
      <w:pPr>
        <w:jc w:val="both"/>
        <w:divId w:val="1479610383"/>
        <w:rPr>
          <w:rFonts w:ascii="Arial" w:eastAsia="Times New Roman" w:hAnsi="Arial" w:cs="Arial"/>
          <w:b/>
          <w:bCs/>
          <w:caps/>
          <w:sz w:val="22"/>
          <w:szCs w:val="22"/>
          <w:lang w:val="en"/>
        </w:rPr>
      </w:pPr>
    </w:p>
    <w:p w14:paraId="0DC9F477" w14:textId="77777777" w:rsidR="00CC271B" w:rsidRDefault="00CC271B">
      <w:pPr>
        <w:jc w:val="both"/>
        <w:divId w:val="1479610383"/>
        <w:rPr>
          <w:rFonts w:ascii="Arial" w:eastAsia="Times New Roman" w:hAnsi="Arial" w:cs="Arial"/>
          <w:b/>
          <w:bCs/>
          <w:caps/>
          <w:sz w:val="22"/>
          <w:szCs w:val="22"/>
          <w:lang w:val="en"/>
        </w:rPr>
      </w:pPr>
    </w:p>
    <w:p w14:paraId="27AF2C17" w14:textId="4934E88B" w:rsidR="005953CA" w:rsidRDefault="006E6F84">
      <w:pPr>
        <w:jc w:val="both"/>
        <w:divId w:val="1479610383"/>
        <w:rPr>
          <w:rFonts w:ascii="Arial" w:eastAsia="Times New Roman" w:hAnsi="Arial" w:cs="Arial"/>
          <w:b/>
          <w:bCs/>
          <w:caps/>
          <w:sz w:val="22"/>
          <w:szCs w:val="22"/>
          <w:lang w:val="en"/>
        </w:rPr>
      </w:pPr>
      <w:r>
        <w:rPr>
          <w:rFonts w:ascii="Arial" w:eastAsia="Times New Roman" w:hAnsi="Arial" w:cs="Arial"/>
          <w:b/>
          <w:bCs/>
          <w:caps/>
          <w:sz w:val="22"/>
          <w:szCs w:val="22"/>
          <w:lang w:val="en"/>
        </w:rPr>
        <w:t>1. INTRODUCTION</w:t>
      </w:r>
    </w:p>
    <w:p w14:paraId="063B2788" w14:textId="77777777" w:rsidR="005953CA" w:rsidRDefault="006E6F84">
      <w:pPr>
        <w:pStyle w:val="NormalWeb"/>
        <w:rPr>
          <w:rFonts w:ascii="Arial" w:hAnsi="Arial" w:cs="Arial"/>
          <w:sz w:val="20"/>
          <w:szCs w:val="20"/>
          <w:lang w:val="en"/>
        </w:rPr>
      </w:pPr>
      <w:r>
        <w:rPr>
          <w:rFonts w:ascii="Arial" w:hAnsi="Arial" w:cs="Arial"/>
          <w:sz w:val="20"/>
          <w:szCs w:val="20"/>
          <w:lang w:val="en"/>
        </w:rPr>
        <w:lastRenderedPageBreak/>
        <w:t xml:space="preserve">The theory of money demand has long served as a cornerstone of monetary economics, evolving from the classical quantity theory which established a stable proportional relationship between real money balances and real income (Friedman, 1969) to more sophisticated models that incorporate additional determinants such as interest rates, price levels, and external variables. In Canada, where the financial system has experienced considerable transformation through technological innovations, financial liberalization, and shifts in monetary policy frameworks, traditional models of money demand have come under renewed scrutiny. Early empirical investigations assumed a stable and predictable relationship between income and money balances. However, subsequent research has shown that factors such as interest rate regimes, institutional reforms, and the influence of global financial markets can alter this relationship (Gregory, 1985; </w:t>
      </w:r>
      <w:proofErr w:type="spellStart"/>
      <w:r>
        <w:rPr>
          <w:rFonts w:ascii="Arial" w:hAnsi="Arial" w:cs="Arial"/>
          <w:sz w:val="20"/>
          <w:szCs w:val="20"/>
          <w:lang w:val="en"/>
        </w:rPr>
        <w:t>Lubello</w:t>
      </w:r>
      <w:proofErr w:type="spellEnd"/>
      <w:r>
        <w:rPr>
          <w:rFonts w:ascii="Arial" w:hAnsi="Arial" w:cs="Arial"/>
          <w:sz w:val="20"/>
          <w:szCs w:val="20"/>
          <w:lang w:val="en"/>
        </w:rPr>
        <w:t>, 2011). Recent analysis highlights that digital payment innovations and fintech developments are also changing how money is held and used (Bech et al., 2018).</w:t>
      </w:r>
    </w:p>
    <w:p w14:paraId="26683039" w14:textId="77777777" w:rsidR="005953CA" w:rsidRDefault="006E6F84">
      <w:pPr>
        <w:pStyle w:val="NormalWeb"/>
        <w:rPr>
          <w:rFonts w:ascii="Arial" w:hAnsi="Arial" w:cs="Arial"/>
          <w:sz w:val="20"/>
          <w:szCs w:val="20"/>
          <w:lang w:val="en"/>
        </w:rPr>
      </w:pPr>
      <w:r>
        <w:rPr>
          <w:rFonts w:ascii="Arial" w:hAnsi="Arial" w:cs="Arial"/>
          <w:sz w:val="20"/>
          <w:szCs w:val="20"/>
          <w:lang w:val="en"/>
        </w:rPr>
        <w:t xml:space="preserve">Empirical studies have increasingly applied advanced econometric techniques, including cointegration and error correction models, to capture both long-run equilibrium relationships and short-run dynamics in money demand. For instance, </w:t>
      </w:r>
      <w:proofErr w:type="spellStart"/>
      <w:r>
        <w:rPr>
          <w:rFonts w:ascii="Arial" w:hAnsi="Arial" w:cs="Arial"/>
          <w:sz w:val="20"/>
          <w:szCs w:val="20"/>
          <w:lang w:val="en"/>
        </w:rPr>
        <w:t>Lubello</w:t>
      </w:r>
      <w:proofErr w:type="spellEnd"/>
      <w:r>
        <w:rPr>
          <w:rFonts w:ascii="Arial" w:hAnsi="Arial" w:cs="Arial"/>
          <w:sz w:val="20"/>
          <w:szCs w:val="20"/>
          <w:lang w:val="en"/>
        </w:rPr>
        <w:t xml:space="preserve"> (2011) demonstrates that real money balances, real income, and price levels exhibit cointegrated behavior over time, even though income elasticities sometimes deviate from traditional benchmarks. Similarly, </w:t>
      </w:r>
      <w:proofErr w:type="spellStart"/>
      <w:r>
        <w:rPr>
          <w:rFonts w:ascii="Arial" w:hAnsi="Arial" w:cs="Arial"/>
          <w:sz w:val="20"/>
          <w:szCs w:val="20"/>
          <w:lang w:val="en"/>
        </w:rPr>
        <w:t>Hueng</w:t>
      </w:r>
      <w:proofErr w:type="spellEnd"/>
      <w:r>
        <w:rPr>
          <w:rFonts w:ascii="Arial" w:hAnsi="Arial" w:cs="Arial"/>
          <w:sz w:val="20"/>
          <w:szCs w:val="20"/>
          <w:lang w:val="en"/>
        </w:rPr>
        <w:t xml:space="preserve"> (1997) highlights that both domestic and foreign interest rates, as well as exchange rate fluctuations, have become crucial determinants of Canadian money demand in an open economy framework. Such findings highlight the need to re-examine the conventional specification of the money demand function in Canada. Recent high-frequency data analyses show that consumer payment behaviors changed markedly during the COVID-19 crisis (Dahlhaus &amp; Welte, 2024), suggesting that traditional money demand relationships may not hold during extraordinary periods.</w:t>
      </w:r>
    </w:p>
    <w:p w14:paraId="060ECDCE" w14:textId="77777777" w:rsidR="005953CA" w:rsidRDefault="006E6F84">
      <w:pPr>
        <w:pStyle w:val="NormalWeb"/>
        <w:rPr>
          <w:rFonts w:ascii="Arial" w:hAnsi="Arial" w:cs="Arial"/>
          <w:sz w:val="20"/>
          <w:szCs w:val="20"/>
          <w:lang w:val="en"/>
        </w:rPr>
      </w:pPr>
      <w:r>
        <w:rPr>
          <w:rFonts w:ascii="Arial" w:hAnsi="Arial" w:cs="Arial"/>
          <w:sz w:val="20"/>
          <w:szCs w:val="20"/>
          <w:lang w:val="en"/>
        </w:rPr>
        <w:t>Despite these advancements, debates continue regarding the stability and correct functional form of money demand in Canada. Issues such as measurement errors, evolving financial practices, and the potential endogeneity of explanatory variables complicate empirical estimation (</w:t>
      </w:r>
      <w:proofErr w:type="spellStart"/>
      <w:r>
        <w:rPr>
          <w:rFonts w:ascii="Arial" w:hAnsi="Arial" w:cs="Arial"/>
          <w:sz w:val="20"/>
          <w:szCs w:val="20"/>
          <w:lang w:val="en"/>
        </w:rPr>
        <w:t>Hueng</w:t>
      </w:r>
      <w:proofErr w:type="spellEnd"/>
      <w:r>
        <w:rPr>
          <w:rFonts w:ascii="Arial" w:hAnsi="Arial" w:cs="Arial"/>
          <w:sz w:val="20"/>
          <w:szCs w:val="20"/>
          <w:lang w:val="en"/>
        </w:rPr>
        <w:t>, 1997). Moreover, studies have found that policy and economic uncertainty can induce nonlinearities and instability in money demand (Bahmani-Oskooee &amp; Nayeri, 2018). Furthermore, significant economic events such as the initial phase of Canada's inflation-targeting regime and the COVID-19 pandemic may have introduced structural breaks that challenge the long-run stability of the money demand relationship. For instance, recent analyses document that cash demand rose sharply during the COVID-19 lockdowns as households and firms hoarded liquid assets (Chen et al., 2020; Engert &amp; Huynh, 2022).</w:t>
      </w:r>
    </w:p>
    <w:p w14:paraId="00FA1C2D" w14:textId="77777777" w:rsidR="005953CA" w:rsidRDefault="006E6F84">
      <w:pPr>
        <w:pStyle w:val="NormalWeb"/>
        <w:rPr>
          <w:rFonts w:ascii="Arial" w:hAnsi="Arial" w:cs="Arial"/>
          <w:sz w:val="20"/>
          <w:szCs w:val="20"/>
          <w:lang w:val="en"/>
        </w:rPr>
      </w:pPr>
      <w:r>
        <w:rPr>
          <w:rFonts w:ascii="Arial" w:hAnsi="Arial" w:cs="Arial"/>
          <w:sz w:val="20"/>
          <w:szCs w:val="20"/>
          <w:lang w:val="en"/>
        </w:rPr>
        <w:t>This study aims to contribute to the existing literature by conducting a two-fold econometric analysis of the Canadian money demand function. First, the research will estimate the money demand equation using Ordinary Least Squares (OLS) regression while testing for the presence of structural breaks that may coincide with major economic disruptions. Second, should the OLS model reveal issues such as autocorrelation, the study will employ Generalized Least Squares (GLS) estimation to achieve more efficient estimation and consistent standard errors. By addressing both the potential instability and estimation challenges inherent in modeling money demand in Canada, the findings could provide valuable insights for policymakers and enhance our understanding of monetary dynamics in an increasingly interconnected global economy.</w:t>
      </w:r>
    </w:p>
    <w:p w14:paraId="161790A4" w14:textId="77777777" w:rsidR="005953CA" w:rsidRDefault="006E6F84">
      <w:pPr>
        <w:jc w:val="both"/>
        <w:divId w:val="737362861"/>
        <w:rPr>
          <w:rFonts w:ascii="Arial" w:eastAsia="Times New Roman" w:hAnsi="Arial" w:cs="Arial"/>
          <w:b/>
          <w:bCs/>
          <w:caps/>
          <w:sz w:val="22"/>
          <w:szCs w:val="22"/>
          <w:lang w:val="en"/>
        </w:rPr>
      </w:pPr>
      <w:r>
        <w:rPr>
          <w:rFonts w:ascii="Arial" w:eastAsia="Times New Roman" w:hAnsi="Arial" w:cs="Arial"/>
          <w:b/>
          <w:bCs/>
          <w:caps/>
          <w:sz w:val="22"/>
          <w:szCs w:val="22"/>
          <w:lang w:val="en"/>
        </w:rPr>
        <w:t>2. METHODOLOGY</w:t>
      </w:r>
    </w:p>
    <w:p w14:paraId="21149017" w14:textId="77777777" w:rsidR="005953CA" w:rsidRDefault="006E6F84">
      <w:pPr>
        <w:jc w:val="both"/>
        <w:divId w:val="1822649063"/>
        <w:rPr>
          <w:rFonts w:ascii="Arial" w:eastAsia="Times New Roman" w:hAnsi="Arial" w:cs="Arial"/>
          <w:b/>
          <w:bCs/>
          <w:sz w:val="20"/>
          <w:szCs w:val="20"/>
          <w:lang w:val="en"/>
        </w:rPr>
      </w:pPr>
      <w:r>
        <w:rPr>
          <w:rFonts w:ascii="Arial" w:eastAsia="Times New Roman" w:hAnsi="Arial" w:cs="Arial"/>
          <w:b/>
          <w:bCs/>
          <w:sz w:val="20"/>
          <w:szCs w:val="20"/>
          <w:lang w:val="en"/>
        </w:rPr>
        <w:t>2.1 Theoretical Framework</w:t>
      </w:r>
    </w:p>
    <w:p w14:paraId="2CE87D4A" w14:textId="77777777" w:rsidR="005953CA" w:rsidRDefault="006E6F84">
      <w:pPr>
        <w:pStyle w:val="NormalWeb"/>
        <w:rPr>
          <w:rFonts w:ascii="Arial" w:hAnsi="Arial" w:cs="Arial"/>
          <w:sz w:val="20"/>
          <w:szCs w:val="20"/>
          <w:lang w:val="en"/>
        </w:rPr>
      </w:pPr>
      <w:r>
        <w:rPr>
          <w:rFonts w:ascii="Arial" w:hAnsi="Arial" w:cs="Arial"/>
          <w:sz w:val="20"/>
          <w:szCs w:val="20"/>
          <w:lang w:val="en"/>
        </w:rPr>
        <w:t>The money demand function provides a theoretical framework for analyzing the relationship between real money balances, real income, and interest rates. The model builds upon traditional monetary theory, which states that the demand for real money balances is positively related to income and negatively related to interest rates (Friedman, 1956). The money demand equation to be studied takes the following form:</w:t>
      </w:r>
    </w:p>
    <w:p w14:paraId="6E1B412E" w14:textId="77777777" w:rsidR="005953CA" w:rsidRDefault="006E6F84">
      <w:pPr>
        <w:jc w:val="center"/>
        <w:divId w:val="1503471756"/>
        <w:rPr>
          <w:rFonts w:ascii="Arial" w:eastAsia="Times New Roman" w:hAnsi="Arial" w:cs="Arial"/>
          <w:i/>
          <w:iCs/>
          <w:sz w:val="20"/>
          <w:szCs w:val="20"/>
          <w:lang w:val="en"/>
        </w:rPr>
      </w:pPr>
      <w:proofErr w:type="gramStart"/>
      <w:r>
        <w:rPr>
          <w:rFonts w:ascii="Arial" w:eastAsia="Times New Roman" w:hAnsi="Arial" w:cs="Arial"/>
          <w:i/>
          <w:iCs/>
          <w:sz w:val="20"/>
          <w:szCs w:val="20"/>
          <w:lang w:val="en"/>
        </w:rPr>
        <w:t>Log(</w:t>
      </w:r>
      <w:proofErr w:type="gramEnd"/>
      <w:r>
        <w:rPr>
          <w:rFonts w:ascii="Arial" w:eastAsia="Times New Roman" w:hAnsi="Arial" w:cs="Arial"/>
          <w:i/>
          <w:iCs/>
          <w:sz w:val="20"/>
          <w:szCs w:val="20"/>
          <w:lang w:val="en"/>
        </w:rPr>
        <w:t>M</w:t>
      </w:r>
      <w:r>
        <w:rPr>
          <w:rFonts w:ascii="Arial" w:eastAsia="Times New Roman" w:hAnsi="Arial" w:cs="Arial"/>
          <w:i/>
          <w:iCs/>
          <w:sz w:val="16"/>
          <w:szCs w:val="16"/>
          <w:vertAlign w:val="subscript"/>
          <w:lang w:val="en"/>
        </w:rPr>
        <w:t>t</w:t>
      </w:r>
      <w:r>
        <w:rPr>
          <w:rFonts w:ascii="Arial" w:eastAsia="Times New Roman" w:hAnsi="Arial" w:cs="Arial"/>
          <w:i/>
          <w:iCs/>
          <w:sz w:val="20"/>
          <w:szCs w:val="20"/>
          <w:lang w:val="en"/>
        </w:rPr>
        <w:t>) = β</w:t>
      </w:r>
      <w:r>
        <w:rPr>
          <w:rFonts w:ascii="Arial" w:eastAsia="Times New Roman" w:hAnsi="Arial" w:cs="Arial"/>
          <w:i/>
          <w:iCs/>
          <w:sz w:val="16"/>
          <w:szCs w:val="16"/>
          <w:vertAlign w:val="subscript"/>
          <w:lang w:val="en"/>
        </w:rPr>
        <w:t>1</w:t>
      </w:r>
      <w:r>
        <w:rPr>
          <w:rFonts w:ascii="Arial" w:eastAsia="Times New Roman" w:hAnsi="Arial" w:cs="Arial"/>
          <w:i/>
          <w:iCs/>
          <w:sz w:val="20"/>
          <w:szCs w:val="20"/>
          <w:lang w:val="en"/>
        </w:rPr>
        <w:t xml:space="preserve"> + β</w:t>
      </w:r>
      <w:r>
        <w:rPr>
          <w:rFonts w:ascii="Arial" w:eastAsia="Times New Roman" w:hAnsi="Arial" w:cs="Arial"/>
          <w:i/>
          <w:iCs/>
          <w:sz w:val="16"/>
          <w:szCs w:val="16"/>
          <w:vertAlign w:val="subscript"/>
          <w:lang w:val="en"/>
        </w:rPr>
        <w:t>2</w:t>
      </w:r>
      <w:r>
        <w:rPr>
          <w:rFonts w:ascii="Arial" w:eastAsia="Times New Roman" w:hAnsi="Arial" w:cs="Arial"/>
          <w:i/>
          <w:iCs/>
          <w:sz w:val="20"/>
          <w:szCs w:val="20"/>
          <w:lang w:val="en"/>
        </w:rPr>
        <w:t>log(Y</w:t>
      </w:r>
      <w:r>
        <w:rPr>
          <w:rFonts w:ascii="Arial" w:eastAsia="Times New Roman" w:hAnsi="Arial" w:cs="Arial"/>
          <w:i/>
          <w:iCs/>
          <w:sz w:val="16"/>
          <w:szCs w:val="16"/>
          <w:vertAlign w:val="subscript"/>
          <w:lang w:val="en"/>
        </w:rPr>
        <w:t>t</w:t>
      </w:r>
      <w:r>
        <w:rPr>
          <w:rFonts w:ascii="Arial" w:eastAsia="Times New Roman" w:hAnsi="Arial" w:cs="Arial"/>
          <w:i/>
          <w:iCs/>
          <w:sz w:val="20"/>
          <w:szCs w:val="20"/>
          <w:lang w:val="en"/>
        </w:rPr>
        <w:t>) + β</w:t>
      </w:r>
      <w:r>
        <w:rPr>
          <w:rFonts w:ascii="Arial" w:eastAsia="Times New Roman" w:hAnsi="Arial" w:cs="Arial"/>
          <w:i/>
          <w:iCs/>
          <w:sz w:val="16"/>
          <w:szCs w:val="16"/>
          <w:vertAlign w:val="subscript"/>
          <w:lang w:val="en"/>
        </w:rPr>
        <w:t>3</w:t>
      </w:r>
      <w:r>
        <w:rPr>
          <w:rFonts w:ascii="Arial" w:eastAsia="Times New Roman" w:hAnsi="Arial" w:cs="Arial"/>
          <w:i/>
          <w:iCs/>
          <w:sz w:val="20"/>
          <w:szCs w:val="20"/>
          <w:lang w:val="en"/>
        </w:rPr>
        <w:t>i</w:t>
      </w:r>
      <w:r>
        <w:rPr>
          <w:rFonts w:ascii="Arial" w:eastAsia="Times New Roman" w:hAnsi="Arial" w:cs="Arial"/>
          <w:i/>
          <w:iCs/>
          <w:sz w:val="16"/>
          <w:szCs w:val="16"/>
          <w:vertAlign w:val="subscript"/>
          <w:lang w:val="en"/>
        </w:rPr>
        <w:t>t</w:t>
      </w:r>
      <w:r>
        <w:rPr>
          <w:rFonts w:ascii="Arial" w:eastAsia="Times New Roman" w:hAnsi="Arial" w:cs="Arial"/>
          <w:i/>
          <w:iCs/>
          <w:sz w:val="20"/>
          <w:szCs w:val="20"/>
          <w:lang w:val="en"/>
        </w:rPr>
        <w:t xml:space="preserve"> + </w:t>
      </w:r>
      <w:proofErr w:type="spellStart"/>
      <w:r>
        <w:rPr>
          <w:rFonts w:ascii="Arial" w:eastAsia="Times New Roman" w:hAnsi="Arial" w:cs="Arial"/>
          <w:i/>
          <w:iCs/>
          <w:sz w:val="20"/>
          <w:szCs w:val="20"/>
          <w:lang w:val="en"/>
        </w:rPr>
        <w:t>ε</w:t>
      </w:r>
      <w:r>
        <w:rPr>
          <w:rFonts w:ascii="Arial" w:eastAsia="Times New Roman" w:hAnsi="Arial" w:cs="Arial"/>
          <w:i/>
          <w:iCs/>
          <w:sz w:val="16"/>
          <w:szCs w:val="16"/>
          <w:vertAlign w:val="subscript"/>
          <w:lang w:val="en"/>
        </w:rPr>
        <w:t>t</w:t>
      </w:r>
      <w:proofErr w:type="spellEnd"/>
      <w:r>
        <w:rPr>
          <w:rFonts w:ascii="Arial" w:eastAsia="Times New Roman" w:hAnsi="Arial" w:cs="Arial"/>
          <w:i/>
          <w:iCs/>
          <w:sz w:val="20"/>
          <w:szCs w:val="20"/>
          <w:lang w:val="en"/>
        </w:rPr>
        <w:t xml:space="preserve"> </w:t>
      </w:r>
    </w:p>
    <w:p w14:paraId="26A07A3C" w14:textId="77777777" w:rsidR="005953CA" w:rsidRDefault="006E6F84">
      <w:pPr>
        <w:pStyle w:val="NormalWeb"/>
        <w:rPr>
          <w:rFonts w:ascii="Arial" w:hAnsi="Arial" w:cs="Arial"/>
          <w:sz w:val="20"/>
          <w:szCs w:val="20"/>
          <w:lang w:val="en"/>
        </w:rPr>
      </w:pPr>
      <w:r>
        <w:rPr>
          <w:rFonts w:ascii="Arial" w:hAnsi="Arial" w:cs="Arial"/>
          <w:sz w:val="20"/>
          <w:szCs w:val="20"/>
          <w:lang w:val="en"/>
        </w:rPr>
        <w:lastRenderedPageBreak/>
        <w:t xml:space="preserve">where </w:t>
      </w:r>
      <w:proofErr w:type="gramStart"/>
      <w:r>
        <w:rPr>
          <w:rFonts w:ascii="Arial" w:hAnsi="Arial" w:cs="Arial"/>
          <w:sz w:val="20"/>
          <w:szCs w:val="20"/>
          <w:lang w:val="en"/>
        </w:rPr>
        <w:t>Log(</w:t>
      </w:r>
      <w:proofErr w:type="gramEnd"/>
      <w:r>
        <w:rPr>
          <w:rFonts w:ascii="Arial" w:hAnsi="Arial" w:cs="Arial"/>
          <w:sz w:val="20"/>
          <w:szCs w:val="20"/>
          <w:lang w:val="en"/>
        </w:rPr>
        <w:t>M</w:t>
      </w:r>
      <w:r>
        <w:rPr>
          <w:rFonts w:ascii="Arial" w:hAnsi="Arial" w:cs="Arial"/>
          <w:sz w:val="16"/>
          <w:szCs w:val="16"/>
          <w:vertAlign w:val="subscript"/>
          <w:lang w:val="en"/>
        </w:rPr>
        <w:t>t</w:t>
      </w:r>
      <w:r>
        <w:rPr>
          <w:rFonts w:ascii="Arial" w:hAnsi="Arial" w:cs="Arial"/>
          <w:sz w:val="20"/>
          <w:szCs w:val="20"/>
          <w:lang w:val="en"/>
        </w:rPr>
        <w:t>) is the logarithm of real money balances, log(Y</w:t>
      </w:r>
      <w:r>
        <w:rPr>
          <w:rFonts w:ascii="Arial" w:hAnsi="Arial" w:cs="Arial"/>
          <w:sz w:val="16"/>
          <w:szCs w:val="16"/>
          <w:vertAlign w:val="subscript"/>
          <w:lang w:val="en"/>
        </w:rPr>
        <w:t>t</w:t>
      </w:r>
      <w:r>
        <w:rPr>
          <w:rFonts w:ascii="Arial" w:hAnsi="Arial" w:cs="Arial"/>
          <w:sz w:val="20"/>
          <w:szCs w:val="20"/>
          <w:lang w:val="en"/>
        </w:rPr>
        <w:t>) is the logarithm of real GDP, i</w:t>
      </w:r>
      <w:r>
        <w:rPr>
          <w:rFonts w:ascii="Arial" w:hAnsi="Arial" w:cs="Arial"/>
          <w:sz w:val="16"/>
          <w:szCs w:val="16"/>
          <w:vertAlign w:val="subscript"/>
          <w:lang w:val="en"/>
        </w:rPr>
        <w:t>t</w:t>
      </w:r>
      <w:r>
        <w:rPr>
          <w:rFonts w:ascii="Arial" w:hAnsi="Arial" w:cs="Arial"/>
          <w:sz w:val="20"/>
          <w:szCs w:val="20"/>
          <w:lang w:val="en"/>
        </w:rPr>
        <w:t xml:space="preserve"> is the nominal interest rate, β</w:t>
      </w:r>
      <w:r>
        <w:rPr>
          <w:rFonts w:ascii="Arial" w:hAnsi="Arial" w:cs="Arial"/>
          <w:sz w:val="16"/>
          <w:szCs w:val="16"/>
          <w:vertAlign w:val="subscript"/>
          <w:lang w:val="en"/>
        </w:rPr>
        <w:t>1</w:t>
      </w:r>
      <w:r>
        <w:rPr>
          <w:rFonts w:ascii="Arial" w:hAnsi="Arial" w:cs="Arial"/>
          <w:sz w:val="20"/>
          <w:szCs w:val="20"/>
          <w:lang w:val="en"/>
        </w:rPr>
        <w:t xml:space="preserve"> is the intercept, β</w:t>
      </w:r>
      <w:r>
        <w:rPr>
          <w:rFonts w:ascii="Arial" w:hAnsi="Arial" w:cs="Arial"/>
          <w:sz w:val="16"/>
          <w:szCs w:val="16"/>
          <w:vertAlign w:val="subscript"/>
          <w:lang w:val="en"/>
        </w:rPr>
        <w:t>2</w:t>
      </w:r>
      <w:r>
        <w:rPr>
          <w:rFonts w:ascii="Arial" w:hAnsi="Arial" w:cs="Arial"/>
          <w:sz w:val="20"/>
          <w:szCs w:val="20"/>
          <w:lang w:val="en"/>
        </w:rPr>
        <w:t xml:space="preserve"> and β</w:t>
      </w:r>
      <w:r>
        <w:rPr>
          <w:rFonts w:ascii="Arial" w:hAnsi="Arial" w:cs="Arial"/>
          <w:sz w:val="16"/>
          <w:szCs w:val="16"/>
          <w:vertAlign w:val="subscript"/>
          <w:lang w:val="en"/>
        </w:rPr>
        <w:t>3</w:t>
      </w:r>
      <w:r>
        <w:rPr>
          <w:rFonts w:ascii="Arial" w:hAnsi="Arial" w:cs="Arial"/>
          <w:sz w:val="20"/>
          <w:szCs w:val="20"/>
          <w:lang w:val="en"/>
        </w:rPr>
        <w:t xml:space="preserve"> are the coefficients of real income and interest rate respectively, and </w:t>
      </w:r>
      <w:proofErr w:type="spellStart"/>
      <w:r>
        <w:rPr>
          <w:rFonts w:ascii="Arial" w:hAnsi="Arial" w:cs="Arial"/>
          <w:sz w:val="20"/>
          <w:szCs w:val="20"/>
          <w:lang w:val="en"/>
        </w:rPr>
        <w:t>ε</w:t>
      </w:r>
      <w:r>
        <w:rPr>
          <w:rFonts w:ascii="Arial" w:hAnsi="Arial" w:cs="Arial"/>
          <w:sz w:val="16"/>
          <w:szCs w:val="16"/>
          <w:vertAlign w:val="subscript"/>
          <w:lang w:val="en"/>
        </w:rPr>
        <w:t>t</w:t>
      </w:r>
      <w:proofErr w:type="spellEnd"/>
      <w:r>
        <w:rPr>
          <w:rFonts w:ascii="Arial" w:hAnsi="Arial" w:cs="Arial"/>
          <w:sz w:val="20"/>
          <w:szCs w:val="20"/>
          <w:lang w:val="en"/>
        </w:rPr>
        <w:t xml:space="preserve"> is the error term.</w:t>
      </w:r>
    </w:p>
    <w:p w14:paraId="757E1D0C" w14:textId="77777777" w:rsidR="005953CA" w:rsidRDefault="006E6F84">
      <w:pPr>
        <w:jc w:val="both"/>
        <w:divId w:val="472600874"/>
        <w:rPr>
          <w:rFonts w:ascii="Arial" w:eastAsia="Times New Roman" w:hAnsi="Arial" w:cs="Arial"/>
          <w:b/>
          <w:bCs/>
          <w:sz w:val="20"/>
          <w:szCs w:val="20"/>
          <w:lang w:val="en"/>
        </w:rPr>
      </w:pPr>
      <w:r>
        <w:rPr>
          <w:rFonts w:ascii="Arial" w:eastAsia="Times New Roman" w:hAnsi="Arial" w:cs="Arial"/>
          <w:b/>
          <w:bCs/>
          <w:sz w:val="20"/>
          <w:szCs w:val="20"/>
          <w:lang w:val="en"/>
        </w:rPr>
        <w:t>2.2 Structural Break Model</w:t>
      </w:r>
    </w:p>
    <w:p w14:paraId="022D399E" w14:textId="77777777" w:rsidR="005953CA" w:rsidRDefault="006E6F84">
      <w:pPr>
        <w:pStyle w:val="NormalWeb"/>
        <w:rPr>
          <w:rFonts w:ascii="Arial" w:hAnsi="Arial" w:cs="Arial"/>
          <w:sz w:val="20"/>
          <w:szCs w:val="20"/>
          <w:lang w:val="en"/>
        </w:rPr>
      </w:pPr>
      <w:r>
        <w:rPr>
          <w:rFonts w:ascii="Arial" w:hAnsi="Arial" w:cs="Arial"/>
          <w:sz w:val="20"/>
          <w:szCs w:val="20"/>
          <w:lang w:val="en"/>
        </w:rPr>
        <w:t>We conduct tests for structural breaks in the model using the Chow test. The analysis examines the possibility of structural breaks during two significant economic events: the adoption of inflation targeting in 1991 and the COVID-19 pandemic beginning in 2020. These periods were selected based on established economic literature and empirical observations.</w:t>
      </w:r>
    </w:p>
    <w:p w14:paraId="1C081760" w14:textId="77777777" w:rsidR="005953CA" w:rsidRDefault="006E6F84">
      <w:pPr>
        <w:pStyle w:val="NormalWeb"/>
        <w:rPr>
          <w:rFonts w:ascii="Arial" w:hAnsi="Arial" w:cs="Arial"/>
          <w:sz w:val="20"/>
          <w:szCs w:val="20"/>
          <w:lang w:val="en"/>
        </w:rPr>
      </w:pPr>
      <w:r>
        <w:rPr>
          <w:rFonts w:ascii="Arial" w:hAnsi="Arial" w:cs="Arial"/>
          <w:sz w:val="20"/>
          <w:szCs w:val="20"/>
          <w:lang w:val="en"/>
        </w:rPr>
        <w:t>The structural break representing the inflation targeting regime shift in Canada is defined to span from the first quarter of 1991 to the fourth quarter of 1995. The commencement in 1991 directly aligns with the initial announcement and beginning of the implementation of explicit inflation targets by Canadian authorities. The endpoint of 1995 is chosen, as this period concluded with the 2 percent inflation rate (the midpoint of the established 1 to 3 percent target range) becoming the more firmly anchored goal for monetary policy, a development that significantly influenced inflation expectations (Macklem, 2001).</w:t>
      </w:r>
    </w:p>
    <w:p w14:paraId="7D758176" w14:textId="77777777" w:rsidR="005953CA" w:rsidRDefault="006E6F84">
      <w:pPr>
        <w:pStyle w:val="NormalWeb"/>
        <w:rPr>
          <w:rFonts w:ascii="Arial" w:hAnsi="Arial" w:cs="Arial"/>
          <w:sz w:val="20"/>
          <w:szCs w:val="20"/>
          <w:lang w:val="en"/>
        </w:rPr>
      </w:pPr>
      <w:r>
        <w:rPr>
          <w:rFonts w:ascii="Arial" w:hAnsi="Arial" w:cs="Arial"/>
          <w:sz w:val="20"/>
          <w:szCs w:val="20"/>
          <w:lang w:val="en"/>
        </w:rPr>
        <w:t>The structural break representing the economic impact of the COVID-19 pandemic in Canada spans from Q1 2020 to Q3 2023. The Q1 2020 start aligns with the pandemic's onset and subsequent economic disruptions, including lockdowns and market shifts (World Health Organization, 2020). The Q3 2023 endpoint aims to capture the period of significant economic downturn and initial recovery phases, influenced by ongoing pandemic waves and policy responses.</w:t>
      </w:r>
    </w:p>
    <w:p w14:paraId="1FF47691" w14:textId="77777777" w:rsidR="005953CA" w:rsidRDefault="006E6F84">
      <w:pPr>
        <w:pStyle w:val="NormalWeb"/>
        <w:rPr>
          <w:rFonts w:ascii="Arial" w:hAnsi="Arial" w:cs="Arial"/>
          <w:sz w:val="20"/>
          <w:szCs w:val="20"/>
          <w:lang w:val="en"/>
        </w:rPr>
      </w:pPr>
      <w:r>
        <w:rPr>
          <w:rFonts w:ascii="Arial" w:hAnsi="Arial" w:cs="Arial"/>
          <w:sz w:val="20"/>
          <w:szCs w:val="20"/>
          <w:lang w:val="en"/>
        </w:rPr>
        <w:t>The extended model with these theoretically grounded structural breaks takes the form:</w:t>
      </w:r>
    </w:p>
    <w:p w14:paraId="00756555" w14:textId="77777777" w:rsidR="005953CA" w:rsidRDefault="006E6F84">
      <w:pPr>
        <w:jc w:val="center"/>
        <w:divId w:val="1674258730"/>
        <w:rPr>
          <w:rFonts w:ascii="Arial" w:eastAsia="Times New Roman" w:hAnsi="Arial" w:cs="Arial"/>
          <w:i/>
          <w:iCs/>
          <w:sz w:val="20"/>
          <w:szCs w:val="20"/>
          <w:lang w:val="en"/>
        </w:rPr>
      </w:pPr>
      <w:proofErr w:type="gramStart"/>
      <w:r>
        <w:rPr>
          <w:rFonts w:ascii="Arial" w:eastAsia="Times New Roman" w:hAnsi="Arial" w:cs="Arial"/>
          <w:i/>
          <w:iCs/>
          <w:sz w:val="20"/>
          <w:szCs w:val="20"/>
          <w:lang w:val="en"/>
        </w:rPr>
        <w:t>Log(</w:t>
      </w:r>
      <w:proofErr w:type="gramEnd"/>
      <w:r>
        <w:rPr>
          <w:rFonts w:ascii="Arial" w:eastAsia="Times New Roman" w:hAnsi="Arial" w:cs="Arial"/>
          <w:i/>
          <w:iCs/>
          <w:sz w:val="20"/>
          <w:szCs w:val="20"/>
          <w:lang w:val="en"/>
        </w:rPr>
        <w:t>M</w:t>
      </w:r>
      <w:r>
        <w:rPr>
          <w:rFonts w:ascii="Arial" w:eastAsia="Times New Roman" w:hAnsi="Arial" w:cs="Arial"/>
          <w:i/>
          <w:iCs/>
          <w:sz w:val="16"/>
          <w:szCs w:val="16"/>
          <w:vertAlign w:val="subscript"/>
          <w:lang w:val="en"/>
        </w:rPr>
        <w:t>t</w:t>
      </w:r>
      <w:r>
        <w:rPr>
          <w:rFonts w:ascii="Arial" w:eastAsia="Times New Roman" w:hAnsi="Arial" w:cs="Arial"/>
          <w:i/>
          <w:iCs/>
          <w:sz w:val="20"/>
          <w:szCs w:val="20"/>
          <w:lang w:val="en"/>
        </w:rPr>
        <w:t>) = β</w:t>
      </w:r>
      <w:r>
        <w:rPr>
          <w:rFonts w:ascii="Arial" w:eastAsia="Times New Roman" w:hAnsi="Arial" w:cs="Arial"/>
          <w:i/>
          <w:iCs/>
          <w:sz w:val="16"/>
          <w:szCs w:val="16"/>
          <w:vertAlign w:val="subscript"/>
          <w:lang w:val="en"/>
        </w:rPr>
        <w:t>1</w:t>
      </w:r>
      <w:r>
        <w:rPr>
          <w:rFonts w:ascii="Arial" w:eastAsia="Times New Roman" w:hAnsi="Arial" w:cs="Arial"/>
          <w:i/>
          <w:iCs/>
          <w:sz w:val="20"/>
          <w:szCs w:val="20"/>
          <w:lang w:val="en"/>
        </w:rPr>
        <w:t xml:space="preserve"> + β</w:t>
      </w:r>
      <w:r>
        <w:rPr>
          <w:rFonts w:ascii="Arial" w:eastAsia="Times New Roman" w:hAnsi="Arial" w:cs="Arial"/>
          <w:i/>
          <w:iCs/>
          <w:sz w:val="16"/>
          <w:szCs w:val="16"/>
          <w:vertAlign w:val="subscript"/>
          <w:lang w:val="en"/>
        </w:rPr>
        <w:t>2</w:t>
      </w:r>
      <w:r>
        <w:rPr>
          <w:rFonts w:ascii="Arial" w:eastAsia="Times New Roman" w:hAnsi="Arial" w:cs="Arial"/>
          <w:i/>
          <w:iCs/>
          <w:sz w:val="20"/>
          <w:szCs w:val="20"/>
          <w:lang w:val="en"/>
        </w:rPr>
        <w:t>log(Y</w:t>
      </w:r>
      <w:r>
        <w:rPr>
          <w:rFonts w:ascii="Arial" w:eastAsia="Times New Roman" w:hAnsi="Arial" w:cs="Arial"/>
          <w:i/>
          <w:iCs/>
          <w:sz w:val="16"/>
          <w:szCs w:val="16"/>
          <w:vertAlign w:val="subscript"/>
          <w:lang w:val="en"/>
        </w:rPr>
        <w:t>t</w:t>
      </w:r>
      <w:r>
        <w:rPr>
          <w:rFonts w:ascii="Arial" w:eastAsia="Times New Roman" w:hAnsi="Arial" w:cs="Arial"/>
          <w:i/>
          <w:iCs/>
          <w:sz w:val="20"/>
          <w:szCs w:val="20"/>
          <w:lang w:val="en"/>
        </w:rPr>
        <w:t>) + β</w:t>
      </w:r>
      <w:r>
        <w:rPr>
          <w:rFonts w:ascii="Arial" w:eastAsia="Times New Roman" w:hAnsi="Arial" w:cs="Arial"/>
          <w:i/>
          <w:iCs/>
          <w:sz w:val="16"/>
          <w:szCs w:val="16"/>
          <w:vertAlign w:val="subscript"/>
          <w:lang w:val="en"/>
        </w:rPr>
        <w:t>3</w:t>
      </w:r>
      <w:r>
        <w:rPr>
          <w:rFonts w:ascii="Arial" w:eastAsia="Times New Roman" w:hAnsi="Arial" w:cs="Arial"/>
          <w:i/>
          <w:iCs/>
          <w:sz w:val="20"/>
          <w:szCs w:val="20"/>
          <w:lang w:val="en"/>
        </w:rPr>
        <w:t>i</w:t>
      </w:r>
      <w:r>
        <w:rPr>
          <w:rFonts w:ascii="Arial" w:eastAsia="Times New Roman" w:hAnsi="Arial" w:cs="Arial"/>
          <w:i/>
          <w:iCs/>
          <w:sz w:val="16"/>
          <w:szCs w:val="16"/>
          <w:vertAlign w:val="subscript"/>
          <w:lang w:val="en"/>
        </w:rPr>
        <w:t>t</w:t>
      </w:r>
      <w:r>
        <w:rPr>
          <w:rFonts w:ascii="Arial" w:eastAsia="Times New Roman" w:hAnsi="Arial" w:cs="Arial"/>
          <w:i/>
          <w:iCs/>
          <w:sz w:val="20"/>
          <w:szCs w:val="20"/>
          <w:lang w:val="en"/>
        </w:rPr>
        <w:t xml:space="preserve"> + δ</w:t>
      </w:r>
      <w:r>
        <w:rPr>
          <w:rFonts w:ascii="Arial" w:eastAsia="Times New Roman" w:hAnsi="Arial" w:cs="Arial"/>
          <w:i/>
          <w:iCs/>
          <w:sz w:val="16"/>
          <w:szCs w:val="16"/>
          <w:vertAlign w:val="subscript"/>
          <w:lang w:val="en"/>
        </w:rPr>
        <w:t>1</w:t>
      </w:r>
      <w:r>
        <w:rPr>
          <w:rFonts w:ascii="Arial" w:eastAsia="Times New Roman" w:hAnsi="Arial" w:cs="Arial"/>
          <w:i/>
          <w:iCs/>
          <w:sz w:val="20"/>
          <w:szCs w:val="20"/>
          <w:lang w:val="en"/>
        </w:rPr>
        <w:t>d08</w:t>
      </w:r>
      <w:r>
        <w:rPr>
          <w:rFonts w:ascii="Arial" w:eastAsia="Times New Roman" w:hAnsi="Arial" w:cs="Arial"/>
          <w:i/>
          <w:iCs/>
          <w:sz w:val="16"/>
          <w:szCs w:val="16"/>
          <w:vertAlign w:val="subscript"/>
          <w:lang w:val="en"/>
        </w:rPr>
        <w:t>t</w:t>
      </w:r>
      <w:r>
        <w:rPr>
          <w:rFonts w:ascii="Arial" w:eastAsia="Times New Roman" w:hAnsi="Arial" w:cs="Arial"/>
          <w:i/>
          <w:iCs/>
          <w:sz w:val="20"/>
          <w:szCs w:val="20"/>
          <w:lang w:val="en"/>
        </w:rPr>
        <w:t xml:space="preserve"> + δ</w:t>
      </w:r>
      <w:r>
        <w:rPr>
          <w:rFonts w:ascii="Arial" w:eastAsia="Times New Roman" w:hAnsi="Arial" w:cs="Arial"/>
          <w:i/>
          <w:iCs/>
          <w:sz w:val="16"/>
          <w:szCs w:val="16"/>
          <w:vertAlign w:val="subscript"/>
          <w:lang w:val="en"/>
        </w:rPr>
        <w:t>2</w:t>
      </w:r>
      <w:r>
        <w:rPr>
          <w:rFonts w:ascii="Arial" w:eastAsia="Times New Roman" w:hAnsi="Arial" w:cs="Arial"/>
          <w:i/>
          <w:iCs/>
          <w:sz w:val="20"/>
          <w:szCs w:val="20"/>
          <w:lang w:val="en"/>
        </w:rPr>
        <w:t>[log(Y</w:t>
      </w:r>
      <w:r>
        <w:rPr>
          <w:rFonts w:ascii="Arial" w:eastAsia="Times New Roman" w:hAnsi="Arial" w:cs="Arial"/>
          <w:i/>
          <w:iCs/>
          <w:sz w:val="16"/>
          <w:szCs w:val="16"/>
          <w:vertAlign w:val="subscript"/>
          <w:lang w:val="en"/>
        </w:rPr>
        <w:t>t</w:t>
      </w:r>
      <w:r>
        <w:rPr>
          <w:rFonts w:ascii="Arial" w:eastAsia="Times New Roman" w:hAnsi="Arial" w:cs="Arial"/>
          <w:i/>
          <w:iCs/>
          <w:sz w:val="20"/>
          <w:szCs w:val="20"/>
          <w:lang w:val="en"/>
        </w:rPr>
        <w:t>) × d08</w:t>
      </w:r>
      <w:r>
        <w:rPr>
          <w:rFonts w:ascii="Arial" w:eastAsia="Times New Roman" w:hAnsi="Arial" w:cs="Arial"/>
          <w:i/>
          <w:iCs/>
          <w:sz w:val="16"/>
          <w:szCs w:val="16"/>
          <w:vertAlign w:val="subscript"/>
          <w:lang w:val="en"/>
        </w:rPr>
        <w:t>t</w:t>
      </w:r>
      <w:r>
        <w:rPr>
          <w:rFonts w:ascii="Arial" w:eastAsia="Times New Roman" w:hAnsi="Arial" w:cs="Arial"/>
          <w:i/>
          <w:iCs/>
          <w:sz w:val="20"/>
          <w:szCs w:val="20"/>
          <w:lang w:val="en"/>
        </w:rPr>
        <w:t>] + δ</w:t>
      </w:r>
      <w:r>
        <w:rPr>
          <w:rFonts w:ascii="Arial" w:eastAsia="Times New Roman" w:hAnsi="Arial" w:cs="Arial"/>
          <w:i/>
          <w:iCs/>
          <w:sz w:val="16"/>
          <w:szCs w:val="16"/>
          <w:vertAlign w:val="subscript"/>
          <w:lang w:val="en"/>
        </w:rPr>
        <w:t>3</w:t>
      </w:r>
      <w:r>
        <w:rPr>
          <w:rFonts w:ascii="Arial" w:eastAsia="Times New Roman" w:hAnsi="Arial" w:cs="Arial"/>
          <w:i/>
          <w:iCs/>
          <w:sz w:val="20"/>
          <w:szCs w:val="20"/>
          <w:lang w:val="en"/>
        </w:rPr>
        <w:t>[i</w:t>
      </w:r>
      <w:r>
        <w:rPr>
          <w:rFonts w:ascii="Arial" w:eastAsia="Times New Roman" w:hAnsi="Arial" w:cs="Arial"/>
          <w:i/>
          <w:iCs/>
          <w:sz w:val="16"/>
          <w:szCs w:val="16"/>
          <w:vertAlign w:val="subscript"/>
          <w:lang w:val="en"/>
        </w:rPr>
        <w:t>t</w:t>
      </w:r>
      <w:r>
        <w:rPr>
          <w:rFonts w:ascii="Arial" w:eastAsia="Times New Roman" w:hAnsi="Arial" w:cs="Arial"/>
          <w:i/>
          <w:iCs/>
          <w:sz w:val="20"/>
          <w:szCs w:val="20"/>
          <w:lang w:val="en"/>
        </w:rPr>
        <w:t xml:space="preserve"> × d08</w:t>
      </w:r>
      <w:r>
        <w:rPr>
          <w:rFonts w:ascii="Arial" w:eastAsia="Times New Roman" w:hAnsi="Arial" w:cs="Arial"/>
          <w:i/>
          <w:iCs/>
          <w:sz w:val="16"/>
          <w:szCs w:val="16"/>
          <w:vertAlign w:val="subscript"/>
          <w:lang w:val="en"/>
        </w:rPr>
        <w:t>t</w:t>
      </w:r>
      <w:r>
        <w:rPr>
          <w:rFonts w:ascii="Arial" w:eastAsia="Times New Roman" w:hAnsi="Arial" w:cs="Arial"/>
          <w:i/>
          <w:iCs/>
          <w:sz w:val="20"/>
          <w:szCs w:val="20"/>
          <w:lang w:val="en"/>
        </w:rPr>
        <w:t>] + δ</w:t>
      </w:r>
      <w:r>
        <w:rPr>
          <w:rFonts w:ascii="Arial" w:eastAsia="Times New Roman" w:hAnsi="Arial" w:cs="Arial"/>
          <w:i/>
          <w:iCs/>
          <w:sz w:val="16"/>
          <w:szCs w:val="16"/>
          <w:vertAlign w:val="subscript"/>
          <w:lang w:val="en"/>
        </w:rPr>
        <w:t>4</w:t>
      </w:r>
      <w:r>
        <w:rPr>
          <w:rFonts w:ascii="Arial" w:eastAsia="Times New Roman" w:hAnsi="Arial" w:cs="Arial"/>
          <w:i/>
          <w:iCs/>
          <w:sz w:val="20"/>
          <w:szCs w:val="20"/>
          <w:lang w:val="en"/>
        </w:rPr>
        <w:t>d09</w:t>
      </w:r>
      <w:r>
        <w:rPr>
          <w:rFonts w:ascii="Arial" w:eastAsia="Times New Roman" w:hAnsi="Arial" w:cs="Arial"/>
          <w:i/>
          <w:iCs/>
          <w:sz w:val="16"/>
          <w:szCs w:val="16"/>
          <w:vertAlign w:val="subscript"/>
          <w:lang w:val="en"/>
        </w:rPr>
        <w:t>t</w:t>
      </w:r>
      <w:r>
        <w:rPr>
          <w:rFonts w:ascii="Arial" w:eastAsia="Times New Roman" w:hAnsi="Arial" w:cs="Arial"/>
          <w:i/>
          <w:iCs/>
          <w:sz w:val="20"/>
          <w:szCs w:val="20"/>
          <w:lang w:val="en"/>
        </w:rPr>
        <w:t xml:space="preserve"> + δ</w:t>
      </w:r>
      <w:r>
        <w:rPr>
          <w:rFonts w:ascii="Arial" w:eastAsia="Times New Roman" w:hAnsi="Arial" w:cs="Arial"/>
          <w:i/>
          <w:iCs/>
          <w:sz w:val="16"/>
          <w:szCs w:val="16"/>
          <w:vertAlign w:val="subscript"/>
          <w:lang w:val="en"/>
        </w:rPr>
        <w:t>5</w:t>
      </w:r>
      <w:r>
        <w:rPr>
          <w:rFonts w:ascii="Arial" w:eastAsia="Times New Roman" w:hAnsi="Arial" w:cs="Arial"/>
          <w:i/>
          <w:iCs/>
          <w:sz w:val="20"/>
          <w:szCs w:val="20"/>
          <w:lang w:val="en"/>
        </w:rPr>
        <w:t>[log(Y</w:t>
      </w:r>
      <w:r>
        <w:rPr>
          <w:rFonts w:ascii="Arial" w:eastAsia="Times New Roman" w:hAnsi="Arial" w:cs="Arial"/>
          <w:i/>
          <w:iCs/>
          <w:sz w:val="16"/>
          <w:szCs w:val="16"/>
          <w:vertAlign w:val="subscript"/>
          <w:lang w:val="en"/>
        </w:rPr>
        <w:t>t</w:t>
      </w:r>
      <w:r>
        <w:rPr>
          <w:rFonts w:ascii="Arial" w:eastAsia="Times New Roman" w:hAnsi="Arial" w:cs="Arial"/>
          <w:i/>
          <w:iCs/>
          <w:sz w:val="20"/>
          <w:szCs w:val="20"/>
          <w:lang w:val="en"/>
        </w:rPr>
        <w:t>) × d09</w:t>
      </w:r>
      <w:r>
        <w:rPr>
          <w:rFonts w:ascii="Arial" w:eastAsia="Times New Roman" w:hAnsi="Arial" w:cs="Arial"/>
          <w:i/>
          <w:iCs/>
          <w:sz w:val="16"/>
          <w:szCs w:val="16"/>
          <w:vertAlign w:val="subscript"/>
          <w:lang w:val="en"/>
        </w:rPr>
        <w:t>t</w:t>
      </w:r>
      <w:r>
        <w:rPr>
          <w:rFonts w:ascii="Arial" w:eastAsia="Times New Roman" w:hAnsi="Arial" w:cs="Arial"/>
          <w:i/>
          <w:iCs/>
          <w:sz w:val="20"/>
          <w:szCs w:val="20"/>
          <w:lang w:val="en"/>
        </w:rPr>
        <w:t>] + δ</w:t>
      </w:r>
      <w:r>
        <w:rPr>
          <w:rFonts w:ascii="Arial" w:eastAsia="Times New Roman" w:hAnsi="Arial" w:cs="Arial"/>
          <w:i/>
          <w:iCs/>
          <w:sz w:val="16"/>
          <w:szCs w:val="16"/>
          <w:vertAlign w:val="subscript"/>
          <w:lang w:val="en"/>
        </w:rPr>
        <w:t>6</w:t>
      </w:r>
      <w:r>
        <w:rPr>
          <w:rFonts w:ascii="Arial" w:eastAsia="Times New Roman" w:hAnsi="Arial" w:cs="Arial"/>
          <w:i/>
          <w:iCs/>
          <w:sz w:val="20"/>
          <w:szCs w:val="20"/>
          <w:lang w:val="en"/>
        </w:rPr>
        <w:t>[i</w:t>
      </w:r>
      <w:r>
        <w:rPr>
          <w:rFonts w:ascii="Arial" w:eastAsia="Times New Roman" w:hAnsi="Arial" w:cs="Arial"/>
          <w:i/>
          <w:iCs/>
          <w:sz w:val="16"/>
          <w:szCs w:val="16"/>
          <w:vertAlign w:val="subscript"/>
          <w:lang w:val="en"/>
        </w:rPr>
        <w:t>t</w:t>
      </w:r>
      <w:r>
        <w:rPr>
          <w:rFonts w:ascii="Arial" w:eastAsia="Times New Roman" w:hAnsi="Arial" w:cs="Arial"/>
          <w:i/>
          <w:iCs/>
          <w:sz w:val="20"/>
          <w:szCs w:val="20"/>
          <w:lang w:val="en"/>
        </w:rPr>
        <w:t xml:space="preserve"> × d09</w:t>
      </w:r>
      <w:r>
        <w:rPr>
          <w:rFonts w:ascii="Arial" w:eastAsia="Times New Roman" w:hAnsi="Arial" w:cs="Arial"/>
          <w:i/>
          <w:iCs/>
          <w:sz w:val="16"/>
          <w:szCs w:val="16"/>
          <w:vertAlign w:val="subscript"/>
          <w:lang w:val="en"/>
        </w:rPr>
        <w:t>t</w:t>
      </w:r>
      <w:r>
        <w:rPr>
          <w:rFonts w:ascii="Arial" w:eastAsia="Times New Roman" w:hAnsi="Arial" w:cs="Arial"/>
          <w:i/>
          <w:iCs/>
          <w:sz w:val="20"/>
          <w:szCs w:val="20"/>
          <w:lang w:val="en"/>
        </w:rPr>
        <w:t xml:space="preserve">] + </w:t>
      </w:r>
      <w:proofErr w:type="spellStart"/>
      <w:r>
        <w:rPr>
          <w:rFonts w:ascii="Arial" w:eastAsia="Times New Roman" w:hAnsi="Arial" w:cs="Arial"/>
          <w:i/>
          <w:iCs/>
          <w:sz w:val="20"/>
          <w:szCs w:val="20"/>
          <w:lang w:val="en"/>
        </w:rPr>
        <w:t>ε</w:t>
      </w:r>
      <w:r>
        <w:rPr>
          <w:rFonts w:ascii="Arial" w:eastAsia="Times New Roman" w:hAnsi="Arial" w:cs="Arial"/>
          <w:i/>
          <w:iCs/>
          <w:sz w:val="16"/>
          <w:szCs w:val="16"/>
          <w:vertAlign w:val="subscript"/>
          <w:lang w:val="en"/>
        </w:rPr>
        <w:t>t</w:t>
      </w:r>
      <w:proofErr w:type="spellEnd"/>
      <w:r>
        <w:rPr>
          <w:rFonts w:ascii="Arial" w:eastAsia="Times New Roman" w:hAnsi="Arial" w:cs="Arial"/>
          <w:i/>
          <w:iCs/>
          <w:sz w:val="20"/>
          <w:szCs w:val="20"/>
          <w:lang w:val="en"/>
        </w:rPr>
        <w:t xml:space="preserve"> </w:t>
      </w:r>
    </w:p>
    <w:p w14:paraId="32BD1A63" w14:textId="77777777" w:rsidR="005953CA" w:rsidRDefault="006E6F84">
      <w:pPr>
        <w:pStyle w:val="NormalWeb"/>
        <w:rPr>
          <w:rFonts w:ascii="Arial" w:hAnsi="Arial" w:cs="Arial"/>
          <w:sz w:val="20"/>
          <w:szCs w:val="20"/>
          <w:lang w:val="en"/>
        </w:rPr>
      </w:pPr>
      <w:r>
        <w:rPr>
          <w:rFonts w:ascii="Arial" w:hAnsi="Arial" w:cs="Arial"/>
          <w:sz w:val="20"/>
          <w:szCs w:val="20"/>
          <w:lang w:val="en"/>
        </w:rPr>
        <w:t>The variable, d08</w:t>
      </w:r>
      <w:r>
        <w:rPr>
          <w:rFonts w:ascii="Arial" w:hAnsi="Arial" w:cs="Arial"/>
          <w:sz w:val="16"/>
          <w:szCs w:val="16"/>
          <w:vertAlign w:val="subscript"/>
          <w:lang w:val="en"/>
        </w:rPr>
        <w:t>t</w:t>
      </w:r>
      <w:r>
        <w:rPr>
          <w:rFonts w:ascii="Arial" w:hAnsi="Arial" w:cs="Arial"/>
          <w:sz w:val="20"/>
          <w:szCs w:val="20"/>
          <w:lang w:val="en"/>
        </w:rPr>
        <w:t xml:space="preserve"> is the dummy variable representing the early implementation phase of the Inflation Targeting Regime Shift in Canada with d08</w:t>
      </w:r>
      <w:r>
        <w:rPr>
          <w:rFonts w:ascii="Arial" w:hAnsi="Arial" w:cs="Arial"/>
          <w:sz w:val="16"/>
          <w:szCs w:val="16"/>
          <w:vertAlign w:val="subscript"/>
          <w:lang w:val="en"/>
        </w:rPr>
        <w:t>t</w:t>
      </w:r>
      <w:r>
        <w:rPr>
          <w:rFonts w:ascii="Arial" w:hAnsi="Arial" w:cs="Arial"/>
          <w:sz w:val="20"/>
          <w:szCs w:val="20"/>
          <w:lang w:val="en"/>
        </w:rPr>
        <w:t xml:space="preserve"> = 1 specifically from the first quarter of 1991 to the fourth quarter of 1995. For all other periods in the sample before 1991 Q1 and after 1995 Q4, d08</w:t>
      </w:r>
      <w:r>
        <w:rPr>
          <w:rFonts w:ascii="Arial" w:hAnsi="Arial" w:cs="Arial"/>
          <w:sz w:val="16"/>
          <w:szCs w:val="16"/>
          <w:vertAlign w:val="subscript"/>
          <w:lang w:val="en"/>
        </w:rPr>
        <w:t>t</w:t>
      </w:r>
      <w:r>
        <w:rPr>
          <w:rFonts w:ascii="Arial" w:hAnsi="Arial" w:cs="Arial"/>
          <w:sz w:val="20"/>
          <w:szCs w:val="20"/>
          <w:lang w:val="en"/>
        </w:rPr>
        <w:t xml:space="preserve"> = 0.</w:t>
      </w:r>
    </w:p>
    <w:p w14:paraId="1BAA1DC3" w14:textId="77777777" w:rsidR="005953CA" w:rsidRDefault="006E6F84">
      <w:pPr>
        <w:pStyle w:val="NormalWeb"/>
        <w:rPr>
          <w:rFonts w:ascii="Arial" w:hAnsi="Arial" w:cs="Arial"/>
          <w:sz w:val="20"/>
          <w:szCs w:val="20"/>
          <w:lang w:val="en"/>
        </w:rPr>
      </w:pPr>
      <w:r>
        <w:rPr>
          <w:rFonts w:ascii="Arial" w:hAnsi="Arial" w:cs="Arial"/>
          <w:sz w:val="20"/>
          <w:szCs w:val="20"/>
          <w:lang w:val="en"/>
        </w:rPr>
        <w:t>The variable, d09</w:t>
      </w:r>
      <w:r>
        <w:rPr>
          <w:rFonts w:ascii="Arial" w:hAnsi="Arial" w:cs="Arial"/>
          <w:sz w:val="16"/>
          <w:szCs w:val="16"/>
          <w:vertAlign w:val="subscript"/>
          <w:lang w:val="en"/>
        </w:rPr>
        <w:t>t</w:t>
      </w:r>
      <w:r>
        <w:rPr>
          <w:rFonts w:ascii="Arial" w:hAnsi="Arial" w:cs="Arial"/>
          <w:sz w:val="20"/>
          <w:szCs w:val="20"/>
          <w:lang w:val="en"/>
        </w:rPr>
        <w:t xml:space="preserve"> is the dummy variable representing the COVID-19 pandemic with d09</w:t>
      </w:r>
      <w:r>
        <w:rPr>
          <w:rFonts w:ascii="Arial" w:hAnsi="Arial" w:cs="Arial"/>
          <w:sz w:val="16"/>
          <w:szCs w:val="16"/>
          <w:vertAlign w:val="subscript"/>
          <w:lang w:val="en"/>
        </w:rPr>
        <w:t>t</w:t>
      </w:r>
      <w:r>
        <w:rPr>
          <w:rFonts w:ascii="Arial" w:hAnsi="Arial" w:cs="Arial"/>
          <w:sz w:val="20"/>
          <w:szCs w:val="20"/>
          <w:lang w:val="en"/>
        </w:rPr>
        <w:t xml:space="preserve"> = 0 for the pre-pandemic period (before 2020) and d09</w:t>
      </w:r>
      <w:r>
        <w:rPr>
          <w:rFonts w:ascii="Arial" w:hAnsi="Arial" w:cs="Arial"/>
          <w:sz w:val="16"/>
          <w:szCs w:val="16"/>
          <w:vertAlign w:val="subscript"/>
          <w:lang w:val="en"/>
        </w:rPr>
        <w:t>t</w:t>
      </w:r>
      <w:r>
        <w:rPr>
          <w:rFonts w:ascii="Arial" w:hAnsi="Arial" w:cs="Arial"/>
          <w:sz w:val="20"/>
          <w:szCs w:val="20"/>
          <w:lang w:val="en"/>
        </w:rPr>
        <w:t xml:space="preserve"> = 1 for the pandemic period (2020 Q1 to 2023 Q4).</w:t>
      </w:r>
    </w:p>
    <w:p w14:paraId="68447FFE" w14:textId="77777777" w:rsidR="005953CA" w:rsidRDefault="006E6F84">
      <w:pPr>
        <w:pStyle w:val="NormalWeb"/>
        <w:rPr>
          <w:rFonts w:ascii="Arial" w:hAnsi="Arial" w:cs="Arial"/>
          <w:sz w:val="20"/>
          <w:szCs w:val="20"/>
          <w:lang w:val="en"/>
        </w:rPr>
      </w:pPr>
      <w:r>
        <w:rPr>
          <w:rFonts w:ascii="Arial" w:hAnsi="Arial" w:cs="Arial"/>
          <w:sz w:val="20"/>
          <w:szCs w:val="20"/>
          <w:lang w:val="en"/>
        </w:rPr>
        <w:t>The interaction terms allow for the possibility that the coefficients on real income and interest rates may have changed after each structural break, reflecting potential changes in economic behavior and policy effectiveness.</w:t>
      </w:r>
    </w:p>
    <w:p w14:paraId="26EF13AC" w14:textId="77777777" w:rsidR="005953CA" w:rsidRDefault="006E6F84">
      <w:pPr>
        <w:jc w:val="both"/>
        <w:divId w:val="1158227880"/>
        <w:rPr>
          <w:rFonts w:ascii="Arial" w:eastAsia="Times New Roman" w:hAnsi="Arial" w:cs="Arial"/>
          <w:b/>
          <w:bCs/>
          <w:sz w:val="20"/>
          <w:szCs w:val="20"/>
          <w:lang w:val="en"/>
        </w:rPr>
      </w:pPr>
      <w:r>
        <w:rPr>
          <w:rFonts w:ascii="Arial" w:eastAsia="Times New Roman" w:hAnsi="Arial" w:cs="Arial"/>
          <w:b/>
          <w:bCs/>
          <w:sz w:val="20"/>
          <w:szCs w:val="20"/>
          <w:lang w:val="en"/>
        </w:rPr>
        <w:t>2.3 Hypothesis Testing</w:t>
      </w:r>
    </w:p>
    <w:p w14:paraId="3CD267EE" w14:textId="77777777" w:rsidR="005953CA" w:rsidRDefault="006E6F84">
      <w:pPr>
        <w:pStyle w:val="NormalWeb"/>
        <w:rPr>
          <w:rFonts w:ascii="Arial" w:hAnsi="Arial" w:cs="Arial"/>
          <w:sz w:val="20"/>
          <w:szCs w:val="20"/>
          <w:lang w:val="en"/>
        </w:rPr>
      </w:pPr>
      <w:r>
        <w:rPr>
          <w:rFonts w:ascii="Arial" w:hAnsi="Arial" w:cs="Arial"/>
          <w:sz w:val="20"/>
          <w:szCs w:val="20"/>
          <w:lang w:val="en"/>
        </w:rPr>
        <w:t>The Chow test (Chow, 1960) will be performed on this extended model to confirm the significance of the dummy variables and the interaction terms:</w:t>
      </w:r>
    </w:p>
    <w:p w14:paraId="6EE9E302" w14:textId="77777777" w:rsidR="005953CA" w:rsidRDefault="006E6F84">
      <w:pPr>
        <w:pStyle w:val="NormalWeb"/>
        <w:rPr>
          <w:rFonts w:ascii="Arial" w:hAnsi="Arial" w:cs="Arial"/>
          <w:sz w:val="20"/>
          <w:szCs w:val="20"/>
          <w:lang w:val="en"/>
        </w:rPr>
      </w:pPr>
      <w:r>
        <w:rPr>
          <w:rStyle w:val="Strong"/>
          <w:rFonts w:ascii="Arial" w:hAnsi="Arial" w:cs="Arial"/>
          <w:sz w:val="20"/>
          <w:szCs w:val="20"/>
          <w:lang w:val="en"/>
        </w:rPr>
        <w:t>H</w:t>
      </w:r>
      <w:r>
        <w:rPr>
          <w:rStyle w:val="Strong"/>
          <w:rFonts w:ascii="Arial" w:hAnsi="Arial" w:cs="Arial"/>
          <w:sz w:val="16"/>
          <w:szCs w:val="16"/>
          <w:vertAlign w:val="subscript"/>
          <w:lang w:val="en"/>
        </w:rPr>
        <w:t>0</w:t>
      </w:r>
      <w:r>
        <w:rPr>
          <w:rStyle w:val="Strong"/>
          <w:rFonts w:ascii="Arial" w:hAnsi="Arial" w:cs="Arial"/>
          <w:sz w:val="20"/>
          <w:szCs w:val="20"/>
          <w:lang w:val="en"/>
        </w:rPr>
        <w:t>:</w:t>
      </w:r>
      <w:r>
        <w:rPr>
          <w:rFonts w:ascii="Arial" w:hAnsi="Arial" w:cs="Arial"/>
          <w:sz w:val="20"/>
          <w:szCs w:val="20"/>
          <w:lang w:val="en"/>
        </w:rPr>
        <w:t xml:space="preserve"> δ</w:t>
      </w:r>
      <w:r>
        <w:rPr>
          <w:rFonts w:ascii="Arial" w:hAnsi="Arial" w:cs="Arial"/>
          <w:sz w:val="16"/>
          <w:szCs w:val="16"/>
          <w:vertAlign w:val="subscript"/>
          <w:lang w:val="en"/>
        </w:rPr>
        <w:t>1</w:t>
      </w:r>
      <w:r>
        <w:rPr>
          <w:rFonts w:ascii="Arial" w:hAnsi="Arial" w:cs="Arial"/>
          <w:sz w:val="20"/>
          <w:szCs w:val="20"/>
          <w:lang w:val="en"/>
        </w:rPr>
        <w:t xml:space="preserve"> = δ</w:t>
      </w:r>
      <w:r>
        <w:rPr>
          <w:rFonts w:ascii="Arial" w:hAnsi="Arial" w:cs="Arial"/>
          <w:sz w:val="16"/>
          <w:szCs w:val="16"/>
          <w:vertAlign w:val="subscript"/>
          <w:lang w:val="en"/>
        </w:rPr>
        <w:t>2</w:t>
      </w:r>
      <w:r>
        <w:rPr>
          <w:rFonts w:ascii="Arial" w:hAnsi="Arial" w:cs="Arial"/>
          <w:sz w:val="20"/>
          <w:szCs w:val="20"/>
          <w:lang w:val="en"/>
        </w:rPr>
        <w:t xml:space="preserve"> = δ</w:t>
      </w:r>
      <w:r>
        <w:rPr>
          <w:rFonts w:ascii="Arial" w:hAnsi="Arial" w:cs="Arial"/>
          <w:sz w:val="16"/>
          <w:szCs w:val="16"/>
          <w:vertAlign w:val="subscript"/>
          <w:lang w:val="en"/>
        </w:rPr>
        <w:t>3</w:t>
      </w:r>
      <w:r>
        <w:rPr>
          <w:rFonts w:ascii="Arial" w:hAnsi="Arial" w:cs="Arial"/>
          <w:sz w:val="20"/>
          <w:szCs w:val="20"/>
          <w:lang w:val="en"/>
        </w:rPr>
        <w:t xml:space="preserve"> = δ</w:t>
      </w:r>
      <w:r>
        <w:rPr>
          <w:rFonts w:ascii="Arial" w:hAnsi="Arial" w:cs="Arial"/>
          <w:sz w:val="16"/>
          <w:szCs w:val="16"/>
          <w:vertAlign w:val="subscript"/>
          <w:lang w:val="en"/>
        </w:rPr>
        <w:t>4</w:t>
      </w:r>
      <w:r>
        <w:rPr>
          <w:rFonts w:ascii="Arial" w:hAnsi="Arial" w:cs="Arial"/>
          <w:sz w:val="20"/>
          <w:szCs w:val="20"/>
          <w:lang w:val="en"/>
        </w:rPr>
        <w:t xml:space="preserve"> = δ</w:t>
      </w:r>
      <w:r>
        <w:rPr>
          <w:rFonts w:ascii="Arial" w:hAnsi="Arial" w:cs="Arial"/>
          <w:sz w:val="16"/>
          <w:szCs w:val="16"/>
          <w:vertAlign w:val="subscript"/>
          <w:lang w:val="en"/>
        </w:rPr>
        <w:t>5</w:t>
      </w:r>
      <w:r>
        <w:rPr>
          <w:rFonts w:ascii="Arial" w:hAnsi="Arial" w:cs="Arial"/>
          <w:sz w:val="20"/>
          <w:szCs w:val="20"/>
          <w:lang w:val="en"/>
        </w:rPr>
        <w:t xml:space="preserve"> = δ</w:t>
      </w:r>
      <w:r>
        <w:rPr>
          <w:rFonts w:ascii="Arial" w:hAnsi="Arial" w:cs="Arial"/>
          <w:sz w:val="16"/>
          <w:szCs w:val="16"/>
          <w:vertAlign w:val="subscript"/>
          <w:lang w:val="en"/>
        </w:rPr>
        <w:t>6</w:t>
      </w:r>
      <w:r>
        <w:rPr>
          <w:rFonts w:ascii="Arial" w:hAnsi="Arial" w:cs="Arial"/>
          <w:sz w:val="20"/>
          <w:szCs w:val="20"/>
          <w:lang w:val="en"/>
        </w:rPr>
        <w:t xml:space="preserve"> = 0. There is no change in the Money Demand Function coefficients before and after the structural breaks in the inflation targeting regime shift and COVID-19 pandemic.</w:t>
      </w:r>
    </w:p>
    <w:p w14:paraId="1DB6C3DB" w14:textId="77777777" w:rsidR="005953CA" w:rsidRDefault="006E6F84">
      <w:pPr>
        <w:pStyle w:val="NormalWeb"/>
        <w:rPr>
          <w:rFonts w:ascii="Arial" w:hAnsi="Arial" w:cs="Arial"/>
          <w:sz w:val="20"/>
          <w:szCs w:val="20"/>
          <w:lang w:val="en"/>
        </w:rPr>
      </w:pPr>
      <w:r>
        <w:rPr>
          <w:rStyle w:val="Strong"/>
          <w:rFonts w:ascii="Arial" w:hAnsi="Arial" w:cs="Arial"/>
          <w:sz w:val="20"/>
          <w:szCs w:val="20"/>
          <w:lang w:val="en"/>
        </w:rPr>
        <w:t>H</w:t>
      </w:r>
      <w:r>
        <w:rPr>
          <w:rStyle w:val="Strong"/>
          <w:rFonts w:ascii="Arial" w:hAnsi="Arial" w:cs="Arial"/>
          <w:sz w:val="16"/>
          <w:szCs w:val="16"/>
          <w:vertAlign w:val="subscript"/>
          <w:lang w:val="en"/>
        </w:rPr>
        <w:t>1</w:t>
      </w:r>
      <w:r>
        <w:rPr>
          <w:rStyle w:val="Strong"/>
          <w:rFonts w:ascii="Arial" w:hAnsi="Arial" w:cs="Arial"/>
          <w:sz w:val="20"/>
          <w:szCs w:val="20"/>
          <w:lang w:val="en"/>
        </w:rPr>
        <w:t>:</w:t>
      </w:r>
      <w:r>
        <w:rPr>
          <w:rFonts w:ascii="Arial" w:hAnsi="Arial" w:cs="Arial"/>
          <w:sz w:val="20"/>
          <w:szCs w:val="20"/>
          <w:lang w:val="en"/>
        </w:rPr>
        <w:t xml:space="preserve"> At least one </w:t>
      </w:r>
      <w:proofErr w:type="spellStart"/>
      <w:r>
        <w:rPr>
          <w:rFonts w:ascii="Arial" w:hAnsi="Arial" w:cs="Arial"/>
          <w:sz w:val="20"/>
          <w:szCs w:val="20"/>
          <w:lang w:val="en"/>
        </w:rPr>
        <w:t>δ</w:t>
      </w:r>
      <w:r>
        <w:rPr>
          <w:rFonts w:ascii="Arial" w:hAnsi="Arial" w:cs="Arial"/>
          <w:sz w:val="16"/>
          <w:szCs w:val="16"/>
          <w:vertAlign w:val="subscript"/>
          <w:lang w:val="en"/>
        </w:rPr>
        <w:t>i</w:t>
      </w:r>
      <w:proofErr w:type="spellEnd"/>
      <w:r>
        <w:rPr>
          <w:rFonts w:ascii="Arial" w:hAnsi="Arial" w:cs="Arial"/>
          <w:sz w:val="20"/>
          <w:szCs w:val="20"/>
          <w:lang w:val="en"/>
        </w:rPr>
        <w:t xml:space="preserve"> ≠ 0 for </w:t>
      </w:r>
      <w:proofErr w:type="spellStart"/>
      <w:r>
        <w:rPr>
          <w:rFonts w:ascii="Arial" w:hAnsi="Arial" w:cs="Arial"/>
          <w:sz w:val="20"/>
          <w:szCs w:val="20"/>
          <w:lang w:val="en"/>
        </w:rPr>
        <w:t>i</w:t>
      </w:r>
      <w:proofErr w:type="spellEnd"/>
      <w:r>
        <w:rPr>
          <w:rFonts w:ascii="Arial" w:hAnsi="Arial" w:cs="Arial"/>
          <w:sz w:val="20"/>
          <w:szCs w:val="20"/>
          <w:lang w:val="en"/>
        </w:rPr>
        <w:t xml:space="preserve"> = 1, 2, 3, 4, 5, 6. There is a change in the Money Demand Function coefficients before and after the structural breaks in 1991 and 2020, which states that the inflation targeting regime shift and the COVID-19 pandemic had significant impact on the relationship between real money balances, real income, and interest rates.</w:t>
      </w:r>
    </w:p>
    <w:p w14:paraId="0784736A" w14:textId="77777777" w:rsidR="005953CA" w:rsidRDefault="006E6F84">
      <w:pPr>
        <w:pStyle w:val="NormalWeb"/>
        <w:rPr>
          <w:rFonts w:ascii="Arial" w:hAnsi="Arial" w:cs="Arial"/>
          <w:sz w:val="20"/>
          <w:szCs w:val="20"/>
          <w:lang w:val="en"/>
        </w:rPr>
      </w:pPr>
      <w:r>
        <w:rPr>
          <w:rFonts w:ascii="Arial" w:hAnsi="Arial" w:cs="Arial"/>
          <w:sz w:val="20"/>
          <w:szCs w:val="20"/>
          <w:lang w:val="en"/>
        </w:rPr>
        <w:lastRenderedPageBreak/>
        <w:t>Recognizing the potential for autocorrelation, we will conduct the Durbin-Watson test to ensure the validity of the inference. If autocorrelation is confirmed, we will employ Generalized Least Squares (GLS) estimation to improve the efficiency of the estimation and consistently estimate standard errors. With appropriate econometric techniques and by specifically addressing key challenges such as autocorrelation and structural instability, this research seeks to deliver credible findings regarding the empirical validity of the money demand function throughout the examined period.</w:t>
      </w:r>
    </w:p>
    <w:p w14:paraId="7F4C6E97" w14:textId="77777777" w:rsidR="005953CA" w:rsidRDefault="006E6F84">
      <w:pPr>
        <w:jc w:val="both"/>
        <w:divId w:val="1700010866"/>
        <w:rPr>
          <w:rFonts w:ascii="Arial" w:eastAsia="Times New Roman" w:hAnsi="Arial" w:cs="Arial"/>
          <w:b/>
          <w:bCs/>
          <w:sz w:val="20"/>
          <w:szCs w:val="20"/>
          <w:lang w:val="en"/>
        </w:rPr>
      </w:pPr>
      <w:r>
        <w:rPr>
          <w:rFonts w:ascii="Arial" w:eastAsia="Times New Roman" w:hAnsi="Arial" w:cs="Arial"/>
          <w:b/>
          <w:bCs/>
          <w:sz w:val="20"/>
          <w:szCs w:val="20"/>
          <w:lang w:val="en"/>
        </w:rPr>
        <w:t>2.4 Data Sources and Variables</w:t>
      </w:r>
    </w:p>
    <w:p w14:paraId="323B82D4" w14:textId="77777777" w:rsidR="005953CA" w:rsidRDefault="006E6F84">
      <w:pPr>
        <w:pStyle w:val="NormalWeb"/>
        <w:rPr>
          <w:rFonts w:ascii="Arial" w:hAnsi="Arial" w:cs="Arial"/>
          <w:sz w:val="20"/>
          <w:szCs w:val="20"/>
          <w:lang w:val="en"/>
        </w:rPr>
      </w:pPr>
      <w:r>
        <w:rPr>
          <w:rFonts w:ascii="Arial" w:hAnsi="Arial" w:cs="Arial"/>
          <w:sz w:val="20"/>
          <w:szCs w:val="20"/>
          <w:lang w:val="en"/>
        </w:rPr>
        <w:t>This study utilizes quarterly data from the Federal Reserve Economic Data (FRED) database to calculate the money demand for Canada. The dataset spans the timeframe beginning with the first quarter of 1961 and ending with the third quarter of 2023, yielding a total of 251 quarterly data points for analysis.</w:t>
      </w:r>
    </w:p>
    <w:p w14:paraId="3016CF1E" w14:textId="77777777" w:rsidR="005953CA" w:rsidRDefault="006E6F84">
      <w:pPr>
        <w:jc w:val="both"/>
        <w:divId w:val="1918591248"/>
        <w:rPr>
          <w:rFonts w:ascii="Arial" w:eastAsia="Times New Roman" w:hAnsi="Arial" w:cs="Arial"/>
          <w:b/>
          <w:bCs/>
          <w:sz w:val="20"/>
          <w:szCs w:val="20"/>
          <w:u w:val="single"/>
          <w:lang w:val="en"/>
        </w:rPr>
      </w:pPr>
      <w:r>
        <w:rPr>
          <w:rFonts w:ascii="Arial" w:eastAsia="Times New Roman" w:hAnsi="Arial" w:cs="Arial"/>
          <w:b/>
          <w:bCs/>
          <w:sz w:val="20"/>
          <w:szCs w:val="20"/>
          <w:u w:val="single"/>
          <w:lang w:val="en"/>
        </w:rPr>
        <w:t>2.4.1 Dependent Variable</w:t>
      </w:r>
    </w:p>
    <w:p w14:paraId="76146C0A" w14:textId="77777777" w:rsidR="005953CA" w:rsidRDefault="006E6F84">
      <w:pPr>
        <w:pStyle w:val="NormalWeb"/>
        <w:rPr>
          <w:rFonts w:ascii="Arial" w:hAnsi="Arial" w:cs="Arial"/>
          <w:sz w:val="20"/>
          <w:szCs w:val="20"/>
          <w:lang w:val="en"/>
        </w:rPr>
      </w:pPr>
      <w:r>
        <w:rPr>
          <w:rFonts w:ascii="Arial" w:hAnsi="Arial" w:cs="Arial"/>
          <w:sz w:val="20"/>
          <w:szCs w:val="20"/>
          <w:lang w:val="en"/>
        </w:rPr>
        <w:t>The dependent variable in the analysis is the log of real money balances. We use the nominal money supply (M1) data (MANMM101CAM189S) and convert it into real money balances by deflating it using Canada's Consumer Price Index (CPALCY01CAM661N). This adjustment ensures that the measure accurately reflects real purchasing power and true liquidity conditions, removing the effects of inflation. The measurement is in monetary units (Canadian dollars), and because it is in real terms, it accurately tracks changes in liquidity over time. In the regression, real money balance serves as the dependent variable whose fluctuations we aim to explain with economic activity and the cost of holding money.</w:t>
      </w:r>
    </w:p>
    <w:p w14:paraId="0881BA0A" w14:textId="77777777" w:rsidR="005953CA" w:rsidRDefault="006E6F84">
      <w:pPr>
        <w:jc w:val="both"/>
        <w:divId w:val="1434126591"/>
        <w:rPr>
          <w:rFonts w:ascii="Arial" w:eastAsia="Times New Roman" w:hAnsi="Arial" w:cs="Arial"/>
          <w:b/>
          <w:bCs/>
          <w:sz w:val="20"/>
          <w:szCs w:val="20"/>
          <w:u w:val="single"/>
          <w:lang w:val="en"/>
        </w:rPr>
      </w:pPr>
      <w:r>
        <w:rPr>
          <w:rFonts w:ascii="Arial" w:eastAsia="Times New Roman" w:hAnsi="Arial" w:cs="Arial"/>
          <w:b/>
          <w:bCs/>
          <w:sz w:val="20"/>
          <w:szCs w:val="20"/>
          <w:u w:val="single"/>
          <w:lang w:val="en"/>
        </w:rPr>
        <w:t>2.4.2 Independent Variables</w:t>
      </w:r>
    </w:p>
    <w:p w14:paraId="73CAD597" w14:textId="77777777" w:rsidR="005953CA" w:rsidRDefault="006E6F84">
      <w:pPr>
        <w:pStyle w:val="NormalWeb"/>
        <w:rPr>
          <w:rFonts w:ascii="Arial" w:hAnsi="Arial" w:cs="Arial"/>
          <w:sz w:val="20"/>
          <w:szCs w:val="20"/>
          <w:lang w:val="en"/>
        </w:rPr>
      </w:pPr>
      <w:r>
        <w:rPr>
          <w:rStyle w:val="Strong"/>
          <w:rFonts w:ascii="Arial" w:hAnsi="Arial" w:cs="Arial"/>
          <w:sz w:val="20"/>
          <w:szCs w:val="20"/>
          <w:lang w:val="en"/>
        </w:rPr>
        <w:t>Real Income:</w:t>
      </w:r>
      <w:r>
        <w:rPr>
          <w:rFonts w:ascii="Arial" w:hAnsi="Arial" w:cs="Arial"/>
          <w:sz w:val="20"/>
          <w:szCs w:val="20"/>
          <w:lang w:val="en"/>
        </w:rPr>
        <w:t xml:space="preserve"> The variable for real income is captured using NGDPRSAXDCCAQ, the FRED series for real Gross Domestic Product in Canada. Real Income is measured in constant dollars, ensuring that the impact of inflation is removed so that the series reflects genuine economic growth. This variable is typically expressed in millions of Canadian dollars, providing a comprehensive measure of economic activity. In the money demand framework, we expect the coefficient on real income to be positive because higher real income is associated with increased transactions and, consequently, a higher demand for money.</w:t>
      </w:r>
    </w:p>
    <w:p w14:paraId="4770F864" w14:textId="77777777" w:rsidR="005953CA" w:rsidRDefault="006E6F84">
      <w:pPr>
        <w:pStyle w:val="NormalWeb"/>
        <w:rPr>
          <w:rFonts w:ascii="Arial" w:hAnsi="Arial" w:cs="Arial"/>
          <w:sz w:val="20"/>
          <w:szCs w:val="20"/>
          <w:lang w:val="en"/>
        </w:rPr>
      </w:pPr>
      <w:r>
        <w:rPr>
          <w:rStyle w:val="Strong"/>
          <w:rFonts w:ascii="Arial" w:hAnsi="Arial" w:cs="Arial"/>
          <w:sz w:val="20"/>
          <w:szCs w:val="20"/>
          <w:lang w:val="en"/>
        </w:rPr>
        <w:t>Interest Rate:</w:t>
      </w:r>
      <w:r>
        <w:rPr>
          <w:rFonts w:ascii="Arial" w:hAnsi="Arial" w:cs="Arial"/>
          <w:sz w:val="20"/>
          <w:szCs w:val="20"/>
          <w:lang w:val="en"/>
        </w:rPr>
        <w:t xml:space="preserve"> For the interest rate, we rely on IRSTCB01CAM156N, which is the Interest Rates (Immediate Rates &lt; 24 Hours: Central Bank Rates: Total for Canada) published by FRED. Although this rate is nominal and expressed as a percentage, it represents the observable opportunity cost of holding money. A higher nominal interest rate suggests that holding money becomes more expensive relative to earning interest, leading to a reduction in money demand. Therefore, in our model, the coefficient on nominal interest rates is expected to be negative. This negative relationship is consistent with liquidity preference theory, where an increase in the opportunity cost (the interest rate) discourages holding money.</w:t>
      </w:r>
    </w:p>
    <w:p w14:paraId="53F5FBF4" w14:textId="77777777" w:rsidR="005953CA" w:rsidRDefault="006E6F84">
      <w:pPr>
        <w:jc w:val="both"/>
        <w:divId w:val="732050455"/>
        <w:rPr>
          <w:rFonts w:ascii="Arial" w:eastAsia="Times New Roman" w:hAnsi="Arial" w:cs="Arial"/>
          <w:b/>
          <w:bCs/>
          <w:caps/>
          <w:sz w:val="22"/>
          <w:szCs w:val="22"/>
          <w:lang w:val="en"/>
        </w:rPr>
      </w:pPr>
      <w:r>
        <w:rPr>
          <w:rFonts w:ascii="Arial" w:eastAsia="Times New Roman" w:hAnsi="Arial" w:cs="Arial"/>
          <w:b/>
          <w:bCs/>
          <w:caps/>
          <w:sz w:val="22"/>
          <w:szCs w:val="22"/>
          <w:lang w:val="en"/>
        </w:rPr>
        <w:t>3. RESULTS AND DISCUSSION</w:t>
      </w:r>
    </w:p>
    <w:p w14:paraId="51027BBC" w14:textId="77777777" w:rsidR="00B556DE" w:rsidRDefault="006E6F84" w:rsidP="00B556DE">
      <w:pPr>
        <w:spacing w:before="180" w:after="90"/>
        <w:jc w:val="both"/>
        <w:divId w:val="1864632505"/>
        <w:rPr>
          <w:rFonts w:ascii="Arial" w:eastAsia="Times New Roman" w:hAnsi="Arial" w:cs="Arial"/>
          <w:b/>
          <w:bCs/>
          <w:sz w:val="20"/>
          <w:szCs w:val="20"/>
          <w:lang w:val="en"/>
        </w:rPr>
      </w:pPr>
      <w:r>
        <w:rPr>
          <w:rFonts w:ascii="Arial" w:eastAsia="Times New Roman" w:hAnsi="Arial" w:cs="Arial"/>
          <w:b/>
          <w:bCs/>
          <w:sz w:val="20"/>
          <w:szCs w:val="20"/>
          <w:lang w:val="en"/>
        </w:rPr>
        <w:t>3.1 OLS Estimation Results</w:t>
      </w:r>
    </w:p>
    <w:p w14:paraId="66C2B01D" w14:textId="753A19F3" w:rsidR="00B556DE" w:rsidRPr="00B556DE" w:rsidRDefault="006E6F84" w:rsidP="00B556DE">
      <w:pPr>
        <w:spacing w:before="180" w:after="90"/>
        <w:jc w:val="both"/>
        <w:divId w:val="1864632505"/>
        <w:rPr>
          <w:rFonts w:ascii="Arial" w:eastAsia="Times New Roman" w:hAnsi="Arial" w:cs="Arial"/>
          <w:b/>
          <w:bCs/>
          <w:sz w:val="20"/>
          <w:szCs w:val="20"/>
          <w:lang w:val="en"/>
        </w:rPr>
      </w:pPr>
      <w:r>
        <w:rPr>
          <w:rFonts w:ascii="Arial" w:hAnsi="Arial" w:cs="Arial"/>
          <w:sz w:val="20"/>
          <w:szCs w:val="20"/>
          <w:lang w:val="en"/>
        </w:rPr>
        <w:t>We begin the empirical analysis by estimating the money demand equation with the structural break using OLS regression. The OLS results are presented in Table 1.</w:t>
      </w:r>
    </w:p>
    <w:p w14:paraId="31FCEC70" w14:textId="4CAE251E" w:rsidR="00CC271B" w:rsidRPr="00B556DE" w:rsidRDefault="006E6F84" w:rsidP="00B556DE">
      <w:pPr>
        <w:spacing w:before="180" w:after="75"/>
        <w:divId w:val="707798844"/>
        <w:rPr>
          <w:rFonts w:ascii="Arial" w:eastAsia="Times New Roman" w:hAnsi="Arial" w:cs="Arial"/>
          <w:b/>
          <w:bCs/>
          <w:sz w:val="20"/>
          <w:szCs w:val="20"/>
          <w:lang w:val="en"/>
        </w:rPr>
      </w:pPr>
      <w:r>
        <w:rPr>
          <w:rFonts w:ascii="Arial" w:eastAsia="Times New Roman" w:hAnsi="Arial" w:cs="Arial"/>
          <w:b/>
          <w:bCs/>
          <w:sz w:val="20"/>
          <w:szCs w:val="20"/>
          <w:lang w:val="en"/>
        </w:rPr>
        <w:t xml:space="preserve">Table 1. Ordinary Least Squares (OLS) </w:t>
      </w:r>
      <w:r w:rsidR="00B556DE">
        <w:rPr>
          <w:rFonts w:ascii="Arial" w:eastAsia="Times New Roman" w:hAnsi="Arial" w:cs="Arial"/>
          <w:b/>
          <w:bCs/>
          <w:sz w:val="20"/>
          <w:szCs w:val="20"/>
          <w:lang w:val="en"/>
        </w:rPr>
        <w:t>Regression</w:t>
      </w:r>
    </w:p>
    <w:tbl>
      <w:tblPr>
        <w:tblW w:w="10402" w:type="dxa"/>
        <w:tblBorders>
          <w:top w:val="single" w:sz="4" w:space="0" w:color="auto"/>
          <w:bottom w:val="single" w:sz="4" w:space="0" w:color="auto"/>
          <w:insideH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015"/>
        <w:gridCol w:w="680"/>
        <w:gridCol w:w="867"/>
        <w:gridCol w:w="837"/>
        <w:gridCol w:w="689"/>
        <w:gridCol w:w="1261"/>
        <w:gridCol w:w="809"/>
        <w:gridCol w:w="788"/>
        <w:gridCol w:w="1261"/>
        <w:gridCol w:w="809"/>
        <w:gridCol w:w="769"/>
        <w:gridCol w:w="572"/>
        <w:gridCol w:w="45"/>
      </w:tblGrid>
      <w:tr w:rsidR="00B556DE" w:rsidRPr="00CC271B" w14:paraId="274D00AB" w14:textId="37041B50" w:rsidTr="00CC271B">
        <w:trPr>
          <w:divId w:val="1575237601"/>
          <w:tblHeader/>
        </w:trPr>
        <w:tc>
          <w:tcPr>
            <w:tcW w:w="0" w:type="auto"/>
            <w:shd w:val="clear" w:color="auto" w:fill="F0F0F0"/>
            <w:tcMar>
              <w:top w:w="90" w:type="dxa"/>
              <w:left w:w="90" w:type="dxa"/>
              <w:bottom w:w="90" w:type="dxa"/>
              <w:right w:w="90" w:type="dxa"/>
            </w:tcMar>
            <w:vAlign w:val="center"/>
            <w:hideMark/>
          </w:tcPr>
          <w:p w14:paraId="751C8F83" w14:textId="77777777" w:rsidR="00CC271B" w:rsidRPr="00CC271B" w:rsidRDefault="00CC271B" w:rsidP="00CC271B">
            <w:pPr>
              <w:rPr>
                <w:rFonts w:ascii="Arial" w:eastAsia="Times New Roman" w:hAnsi="Arial" w:cs="Arial"/>
                <w:b/>
                <w:bCs/>
                <w:i/>
                <w:iCs/>
                <w:sz w:val="14"/>
                <w:szCs w:val="14"/>
              </w:rPr>
            </w:pPr>
            <w:r w:rsidRPr="00CC271B">
              <w:rPr>
                <w:rFonts w:ascii="Arial" w:eastAsia="Times New Roman" w:hAnsi="Arial" w:cs="Arial"/>
                <w:b/>
                <w:bCs/>
                <w:i/>
                <w:iCs/>
                <w:sz w:val="14"/>
                <w:szCs w:val="14"/>
              </w:rPr>
              <w:t>Variables</w:t>
            </w:r>
          </w:p>
        </w:tc>
        <w:tc>
          <w:tcPr>
            <w:tcW w:w="679" w:type="dxa"/>
            <w:shd w:val="clear" w:color="auto" w:fill="F0F0F0"/>
            <w:tcMar>
              <w:top w:w="90" w:type="dxa"/>
              <w:left w:w="90" w:type="dxa"/>
              <w:bottom w:w="90" w:type="dxa"/>
              <w:right w:w="90" w:type="dxa"/>
            </w:tcMar>
            <w:vAlign w:val="center"/>
            <w:hideMark/>
          </w:tcPr>
          <w:p w14:paraId="63BA7DA3" w14:textId="77777777" w:rsidR="00CC271B" w:rsidRPr="00CC271B" w:rsidRDefault="00CC271B" w:rsidP="00CC271B">
            <w:pPr>
              <w:rPr>
                <w:rFonts w:ascii="Arial" w:eastAsia="Times New Roman" w:hAnsi="Arial" w:cs="Arial"/>
                <w:b/>
                <w:bCs/>
                <w:i/>
                <w:iCs/>
                <w:sz w:val="14"/>
                <w:szCs w:val="14"/>
              </w:rPr>
            </w:pPr>
            <w:r w:rsidRPr="00CC271B">
              <w:rPr>
                <w:rFonts w:ascii="Arial" w:eastAsia="Times New Roman" w:hAnsi="Arial" w:cs="Arial"/>
                <w:b/>
                <w:bCs/>
                <w:i/>
                <w:iCs/>
                <w:sz w:val="14"/>
                <w:szCs w:val="14"/>
              </w:rPr>
              <w:t>β</w:t>
            </w:r>
            <w:r w:rsidRPr="00CC271B">
              <w:rPr>
                <w:rFonts w:ascii="Arial" w:eastAsia="Times New Roman" w:hAnsi="Arial" w:cs="Arial"/>
                <w:b/>
                <w:bCs/>
                <w:i/>
                <w:iCs/>
                <w:sz w:val="14"/>
                <w:szCs w:val="14"/>
                <w:vertAlign w:val="subscript"/>
              </w:rPr>
              <w:t>1</w:t>
            </w:r>
          </w:p>
        </w:tc>
        <w:tc>
          <w:tcPr>
            <w:tcW w:w="866" w:type="dxa"/>
            <w:shd w:val="clear" w:color="auto" w:fill="F0F0F0"/>
            <w:tcMar>
              <w:top w:w="90" w:type="dxa"/>
              <w:left w:w="90" w:type="dxa"/>
              <w:bottom w:w="90" w:type="dxa"/>
              <w:right w:w="90" w:type="dxa"/>
            </w:tcMar>
            <w:vAlign w:val="center"/>
            <w:hideMark/>
          </w:tcPr>
          <w:p w14:paraId="20C1EBA1" w14:textId="65616087" w:rsidR="00B556DE" w:rsidRDefault="00B556DE" w:rsidP="00CC271B">
            <w:pPr>
              <w:rPr>
                <w:rFonts w:ascii="Arial" w:eastAsia="Times New Roman" w:hAnsi="Arial" w:cs="Arial"/>
                <w:b/>
                <w:bCs/>
                <w:i/>
                <w:iCs/>
                <w:sz w:val="14"/>
                <w:szCs w:val="14"/>
                <w:vertAlign w:val="subscript"/>
              </w:rPr>
            </w:pPr>
            <w:r>
              <w:rPr>
                <w:rFonts w:ascii="Arial" w:eastAsia="Times New Roman" w:hAnsi="Arial" w:cs="Arial"/>
                <w:b/>
                <w:bCs/>
                <w:i/>
                <w:iCs/>
                <w:sz w:val="14"/>
                <w:szCs w:val="14"/>
              </w:rPr>
              <w:t xml:space="preserve">     </w:t>
            </w:r>
            <w:r w:rsidR="00CC271B" w:rsidRPr="00CC271B">
              <w:rPr>
                <w:rFonts w:ascii="Arial" w:eastAsia="Times New Roman" w:hAnsi="Arial" w:cs="Arial"/>
                <w:b/>
                <w:bCs/>
                <w:i/>
                <w:iCs/>
                <w:sz w:val="14"/>
                <w:szCs w:val="14"/>
              </w:rPr>
              <w:t>β</w:t>
            </w:r>
            <w:r w:rsidR="00CC271B" w:rsidRPr="00CC271B">
              <w:rPr>
                <w:rFonts w:ascii="Arial" w:eastAsia="Times New Roman" w:hAnsi="Arial" w:cs="Arial"/>
                <w:b/>
                <w:bCs/>
                <w:i/>
                <w:iCs/>
                <w:sz w:val="14"/>
                <w:szCs w:val="14"/>
                <w:vertAlign w:val="subscript"/>
              </w:rPr>
              <w:t>2</w:t>
            </w:r>
          </w:p>
          <w:p w14:paraId="0472C989" w14:textId="44342D7D" w:rsidR="00CC271B" w:rsidRPr="00CC271B" w:rsidRDefault="00CC271B" w:rsidP="00CC271B">
            <w:pPr>
              <w:rPr>
                <w:rFonts w:ascii="Arial" w:eastAsia="Times New Roman" w:hAnsi="Arial" w:cs="Arial"/>
                <w:b/>
                <w:bCs/>
                <w:i/>
                <w:iCs/>
                <w:sz w:val="14"/>
                <w:szCs w:val="14"/>
              </w:rPr>
            </w:pPr>
            <w:r w:rsidRPr="00CC271B">
              <w:rPr>
                <w:rFonts w:ascii="Arial" w:eastAsia="Times New Roman" w:hAnsi="Arial" w:cs="Arial"/>
                <w:b/>
                <w:bCs/>
                <w:i/>
                <w:iCs/>
                <w:sz w:val="14"/>
                <w:szCs w:val="14"/>
              </w:rPr>
              <w:t> log(Y</w:t>
            </w:r>
            <w:r w:rsidRPr="00CC271B">
              <w:rPr>
                <w:rFonts w:ascii="Arial" w:eastAsia="Times New Roman" w:hAnsi="Arial" w:cs="Arial"/>
                <w:b/>
                <w:bCs/>
                <w:i/>
                <w:iCs/>
                <w:sz w:val="14"/>
                <w:szCs w:val="14"/>
                <w:vertAlign w:val="subscript"/>
              </w:rPr>
              <w:t>t</w:t>
            </w:r>
            <w:r w:rsidRPr="00CC271B">
              <w:rPr>
                <w:rFonts w:ascii="Arial" w:eastAsia="Times New Roman" w:hAnsi="Arial" w:cs="Arial"/>
                <w:b/>
                <w:bCs/>
                <w:i/>
                <w:iCs/>
                <w:sz w:val="14"/>
                <w:szCs w:val="14"/>
              </w:rPr>
              <w:t>)</w:t>
            </w:r>
          </w:p>
        </w:tc>
        <w:tc>
          <w:tcPr>
            <w:tcW w:w="0" w:type="auto"/>
            <w:shd w:val="clear" w:color="auto" w:fill="F0F0F0"/>
            <w:tcMar>
              <w:top w:w="90" w:type="dxa"/>
              <w:left w:w="90" w:type="dxa"/>
              <w:bottom w:w="90" w:type="dxa"/>
              <w:right w:w="90" w:type="dxa"/>
            </w:tcMar>
            <w:vAlign w:val="center"/>
            <w:hideMark/>
          </w:tcPr>
          <w:p w14:paraId="3B4F97DF" w14:textId="56BEF7D9" w:rsidR="00B556DE" w:rsidRDefault="00B556DE" w:rsidP="00CC271B">
            <w:pPr>
              <w:rPr>
                <w:rFonts w:ascii="Arial" w:eastAsia="Times New Roman" w:hAnsi="Arial" w:cs="Arial"/>
                <w:b/>
                <w:bCs/>
                <w:i/>
                <w:iCs/>
                <w:sz w:val="14"/>
                <w:szCs w:val="14"/>
                <w:vertAlign w:val="subscript"/>
              </w:rPr>
            </w:pPr>
            <w:r>
              <w:rPr>
                <w:rFonts w:ascii="Arial" w:eastAsia="Times New Roman" w:hAnsi="Arial" w:cs="Arial"/>
                <w:b/>
                <w:bCs/>
                <w:i/>
                <w:iCs/>
                <w:sz w:val="14"/>
                <w:szCs w:val="14"/>
              </w:rPr>
              <w:t xml:space="preserve"> </w:t>
            </w:r>
            <w:r w:rsidR="00CC271B" w:rsidRPr="00CC271B">
              <w:rPr>
                <w:rFonts w:ascii="Arial" w:eastAsia="Times New Roman" w:hAnsi="Arial" w:cs="Arial"/>
                <w:b/>
                <w:bCs/>
                <w:i/>
                <w:iCs/>
                <w:sz w:val="14"/>
                <w:szCs w:val="14"/>
              </w:rPr>
              <w:t>β</w:t>
            </w:r>
            <w:r w:rsidR="00CC271B" w:rsidRPr="00CC271B">
              <w:rPr>
                <w:rFonts w:ascii="Arial" w:eastAsia="Times New Roman" w:hAnsi="Arial" w:cs="Arial"/>
                <w:b/>
                <w:bCs/>
                <w:i/>
                <w:iCs/>
                <w:sz w:val="14"/>
                <w:szCs w:val="14"/>
                <w:vertAlign w:val="subscript"/>
              </w:rPr>
              <w:t>3</w:t>
            </w:r>
          </w:p>
          <w:p w14:paraId="42AA2ECA" w14:textId="7782247E" w:rsidR="00CC271B" w:rsidRPr="00CC271B" w:rsidRDefault="00B556DE" w:rsidP="00CC271B">
            <w:pPr>
              <w:rPr>
                <w:rFonts w:ascii="Arial" w:eastAsia="Times New Roman" w:hAnsi="Arial" w:cs="Arial"/>
                <w:b/>
                <w:bCs/>
                <w:i/>
                <w:iCs/>
                <w:sz w:val="14"/>
                <w:szCs w:val="14"/>
                <w:vertAlign w:val="subscript"/>
              </w:rPr>
            </w:pPr>
            <w:r>
              <w:rPr>
                <w:rFonts w:ascii="Arial" w:eastAsia="Times New Roman" w:hAnsi="Arial" w:cs="Arial"/>
                <w:b/>
                <w:bCs/>
                <w:i/>
                <w:iCs/>
                <w:sz w:val="14"/>
                <w:szCs w:val="14"/>
              </w:rPr>
              <w:t xml:space="preserve"> </w:t>
            </w:r>
            <w:r w:rsidR="00CC271B" w:rsidRPr="00CC271B">
              <w:rPr>
                <w:rFonts w:ascii="Arial" w:eastAsia="Times New Roman" w:hAnsi="Arial" w:cs="Arial"/>
                <w:b/>
                <w:bCs/>
                <w:i/>
                <w:iCs/>
                <w:sz w:val="14"/>
                <w:szCs w:val="14"/>
              </w:rPr>
              <w:t> i</w:t>
            </w:r>
            <w:r w:rsidR="00CC271B" w:rsidRPr="00CC271B">
              <w:rPr>
                <w:rFonts w:ascii="Arial" w:eastAsia="Times New Roman" w:hAnsi="Arial" w:cs="Arial"/>
                <w:b/>
                <w:bCs/>
                <w:i/>
                <w:iCs/>
                <w:sz w:val="14"/>
                <w:szCs w:val="14"/>
                <w:vertAlign w:val="subscript"/>
              </w:rPr>
              <w:t>t</w:t>
            </w:r>
          </w:p>
        </w:tc>
        <w:tc>
          <w:tcPr>
            <w:tcW w:w="0" w:type="auto"/>
            <w:shd w:val="clear" w:color="auto" w:fill="F0F0F0"/>
            <w:tcMar>
              <w:top w:w="90" w:type="dxa"/>
              <w:left w:w="90" w:type="dxa"/>
              <w:bottom w:w="90" w:type="dxa"/>
              <w:right w:w="90" w:type="dxa"/>
            </w:tcMar>
            <w:vAlign w:val="center"/>
            <w:hideMark/>
          </w:tcPr>
          <w:p w14:paraId="013EA20C" w14:textId="77777777" w:rsidR="00B556DE" w:rsidRDefault="00CC271B" w:rsidP="00CC271B">
            <w:pPr>
              <w:rPr>
                <w:rFonts w:ascii="Arial" w:eastAsia="Times New Roman" w:hAnsi="Arial" w:cs="Arial"/>
                <w:b/>
                <w:bCs/>
                <w:i/>
                <w:iCs/>
                <w:sz w:val="14"/>
                <w:szCs w:val="14"/>
              </w:rPr>
            </w:pPr>
            <w:r w:rsidRPr="00CC271B">
              <w:rPr>
                <w:rFonts w:ascii="Arial" w:eastAsia="Times New Roman" w:hAnsi="Arial" w:cs="Arial"/>
                <w:b/>
                <w:bCs/>
                <w:i/>
                <w:iCs/>
                <w:sz w:val="14"/>
                <w:szCs w:val="14"/>
              </w:rPr>
              <w:t>δ</w:t>
            </w:r>
            <w:r w:rsidRPr="00CC271B">
              <w:rPr>
                <w:rFonts w:ascii="Arial" w:eastAsia="Times New Roman" w:hAnsi="Arial" w:cs="Arial"/>
                <w:b/>
                <w:bCs/>
                <w:i/>
                <w:iCs/>
                <w:sz w:val="14"/>
                <w:szCs w:val="14"/>
                <w:vertAlign w:val="subscript"/>
              </w:rPr>
              <w:t>1</w:t>
            </w:r>
            <w:r w:rsidRPr="00CC271B">
              <w:rPr>
                <w:rFonts w:ascii="Arial" w:eastAsia="Times New Roman" w:hAnsi="Arial" w:cs="Arial"/>
                <w:b/>
                <w:bCs/>
                <w:i/>
                <w:iCs/>
                <w:sz w:val="14"/>
                <w:szCs w:val="14"/>
              </w:rPr>
              <w:t> </w:t>
            </w:r>
          </w:p>
          <w:p w14:paraId="15D1C0B2" w14:textId="192D7DC5" w:rsidR="00CC271B" w:rsidRPr="00CC271B" w:rsidRDefault="00CC271B" w:rsidP="00CC271B">
            <w:pPr>
              <w:rPr>
                <w:rFonts w:ascii="Arial" w:eastAsia="Times New Roman" w:hAnsi="Arial" w:cs="Arial"/>
                <w:b/>
                <w:bCs/>
                <w:i/>
                <w:iCs/>
                <w:sz w:val="14"/>
                <w:szCs w:val="14"/>
              </w:rPr>
            </w:pPr>
            <w:r w:rsidRPr="00CC271B">
              <w:rPr>
                <w:rFonts w:ascii="Arial" w:eastAsia="Times New Roman" w:hAnsi="Arial" w:cs="Arial"/>
                <w:b/>
                <w:bCs/>
                <w:i/>
                <w:iCs/>
                <w:sz w:val="14"/>
                <w:szCs w:val="14"/>
              </w:rPr>
              <w:t>d08</w:t>
            </w:r>
            <w:r w:rsidRPr="00CC271B">
              <w:rPr>
                <w:rFonts w:ascii="Arial" w:eastAsia="Times New Roman" w:hAnsi="Arial" w:cs="Arial"/>
                <w:b/>
                <w:bCs/>
                <w:i/>
                <w:iCs/>
                <w:sz w:val="14"/>
                <w:szCs w:val="14"/>
                <w:vertAlign w:val="subscript"/>
              </w:rPr>
              <w:t>t</w:t>
            </w:r>
          </w:p>
        </w:tc>
        <w:tc>
          <w:tcPr>
            <w:tcW w:w="0" w:type="auto"/>
            <w:shd w:val="clear" w:color="auto" w:fill="F0F0F0"/>
            <w:tcMar>
              <w:top w:w="90" w:type="dxa"/>
              <w:left w:w="90" w:type="dxa"/>
              <w:bottom w:w="90" w:type="dxa"/>
              <w:right w:w="90" w:type="dxa"/>
            </w:tcMar>
            <w:vAlign w:val="center"/>
            <w:hideMark/>
          </w:tcPr>
          <w:p w14:paraId="2AD8E683" w14:textId="08A69B0A" w:rsidR="00B556DE" w:rsidRDefault="00B556DE" w:rsidP="00CC271B">
            <w:pPr>
              <w:rPr>
                <w:rFonts w:ascii="Arial" w:eastAsia="Times New Roman" w:hAnsi="Arial" w:cs="Arial"/>
                <w:b/>
                <w:bCs/>
                <w:i/>
                <w:iCs/>
                <w:sz w:val="14"/>
                <w:szCs w:val="14"/>
                <w:vertAlign w:val="subscript"/>
              </w:rPr>
            </w:pPr>
            <w:r>
              <w:rPr>
                <w:rFonts w:ascii="Arial" w:eastAsia="Times New Roman" w:hAnsi="Arial" w:cs="Arial"/>
                <w:b/>
                <w:bCs/>
                <w:i/>
                <w:iCs/>
                <w:sz w:val="14"/>
                <w:szCs w:val="14"/>
              </w:rPr>
              <w:t xml:space="preserve">         </w:t>
            </w:r>
            <w:r w:rsidR="00CC271B" w:rsidRPr="00CC271B">
              <w:rPr>
                <w:rFonts w:ascii="Arial" w:eastAsia="Times New Roman" w:hAnsi="Arial" w:cs="Arial"/>
                <w:b/>
                <w:bCs/>
                <w:i/>
                <w:iCs/>
                <w:sz w:val="14"/>
                <w:szCs w:val="14"/>
              </w:rPr>
              <w:t>δ</w:t>
            </w:r>
            <w:r w:rsidR="00CC271B" w:rsidRPr="00CC271B">
              <w:rPr>
                <w:rFonts w:ascii="Arial" w:eastAsia="Times New Roman" w:hAnsi="Arial" w:cs="Arial"/>
                <w:b/>
                <w:bCs/>
                <w:i/>
                <w:iCs/>
                <w:sz w:val="14"/>
                <w:szCs w:val="14"/>
                <w:vertAlign w:val="subscript"/>
              </w:rPr>
              <w:t>2</w:t>
            </w:r>
          </w:p>
          <w:p w14:paraId="2ADA20D1" w14:textId="2840D2E5" w:rsidR="00CC271B" w:rsidRPr="00CC271B" w:rsidRDefault="00CC271B" w:rsidP="00CC271B">
            <w:pPr>
              <w:rPr>
                <w:rFonts w:ascii="Arial" w:eastAsia="Times New Roman" w:hAnsi="Arial" w:cs="Arial"/>
                <w:b/>
                <w:bCs/>
                <w:i/>
                <w:iCs/>
                <w:sz w:val="14"/>
                <w:szCs w:val="14"/>
              </w:rPr>
            </w:pPr>
            <w:r w:rsidRPr="00CC271B">
              <w:rPr>
                <w:rFonts w:ascii="Arial" w:eastAsia="Times New Roman" w:hAnsi="Arial" w:cs="Arial"/>
                <w:b/>
                <w:bCs/>
                <w:i/>
                <w:iCs/>
                <w:sz w:val="14"/>
                <w:szCs w:val="14"/>
              </w:rPr>
              <w:t> </w:t>
            </w:r>
            <w:proofErr w:type="gramStart"/>
            <w:r w:rsidRPr="00CC271B">
              <w:rPr>
                <w:rFonts w:ascii="Arial" w:eastAsia="Times New Roman" w:hAnsi="Arial" w:cs="Arial"/>
                <w:b/>
                <w:bCs/>
                <w:i/>
                <w:iCs/>
                <w:sz w:val="14"/>
                <w:szCs w:val="14"/>
              </w:rPr>
              <w:t>log(</w:t>
            </w:r>
            <w:proofErr w:type="gramEnd"/>
            <w:r w:rsidRPr="00CC271B">
              <w:rPr>
                <w:rFonts w:ascii="Arial" w:eastAsia="Times New Roman" w:hAnsi="Arial" w:cs="Arial"/>
                <w:b/>
                <w:bCs/>
                <w:i/>
                <w:iCs/>
                <w:sz w:val="14"/>
                <w:szCs w:val="14"/>
              </w:rPr>
              <w:t>Y</w:t>
            </w:r>
            <w:r w:rsidRPr="00CC271B">
              <w:rPr>
                <w:rFonts w:ascii="Arial" w:eastAsia="Times New Roman" w:hAnsi="Arial" w:cs="Arial"/>
                <w:b/>
                <w:bCs/>
                <w:i/>
                <w:iCs/>
                <w:sz w:val="14"/>
                <w:szCs w:val="14"/>
                <w:vertAlign w:val="subscript"/>
              </w:rPr>
              <w:t>t</w:t>
            </w:r>
            <w:r w:rsidRPr="00CC271B">
              <w:rPr>
                <w:rFonts w:ascii="Arial" w:eastAsia="Times New Roman" w:hAnsi="Arial" w:cs="Arial"/>
                <w:b/>
                <w:bCs/>
                <w:i/>
                <w:iCs/>
                <w:sz w:val="14"/>
                <w:szCs w:val="14"/>
              </w:rPr>
              <w:t>)×d08</w:t>
            </w:r>
            <w:r w:rsidRPr="00CC271B">
              <w:rPr>
                <w:rFonts w:ascii="Arial" w:eastAsia="Times New Roman" w:hAnsi="Arial" w:cs="Arial"/>
                <w:b/>
                <w:bCs/>
                <w:i/>
                <w:iCs/>
                <w:sz w:val="14"/>
                <w:szCs w:val="14"/>
                <w:vertAlign w:val="subscript"/>
              </w:rPr>
              <w:t>t</w:t>
            </w:r>
          </w:p>
        </w:tc>
        <w:tc>
          <w:tcPr>
            <w:tcW w:w="0" w:type="auto"/>
            <w:shd w:val="clear" w:color="auto" w:fill="F0F0F0"/>
            <w:tcMar>
              <w:top w:w="90" w:type="dxa"/>
              <w:left w:w="90" w:type="dxa"/>
              <w:bottom w:w="90" w:type="dxa"/>
              <w:right w:w="90" w:type="dxa"/>
            </w:tcMar>
            <w:vAlign w:val="center"/>
            <w:hideMark/>
          </w:tcPr>
          <w:p w14:paraId="7A9A22E2" w14:textId="574581AB" w:rsidR="00B556DE" w:rsidRDefault="00B556DE" w:rsidP="00CC271B">
            <w:pPr>
              <w:rPr>
                <w:rFonts w:ascii="Arial" w:eastAsia="Times New Roman" w:hAnsi="Arial" w:cs="Arial"/>
                <w:b/>
                <w:bCs/>
                <w:i/>
                <w:iCs/>
                <w:sz w:val="14"/>
                <w:szCs w:val="14"/>
                <w:vertAlign w:val="subscript"/>
              </w:rPr>
            </w:pPr>
            <w:r>
              <w:rPr>
                <w:rFonts w:ascii="Arial" w:eastAsia="Times New Roman" w:hAnsi="Arial" w:cs="Arial"/>
                <w:b/>
                <w:bCs/>
                <w:i/>
                <w:iCs/>
                <w:sz w:val="14"/>
                <w:szCs w:val="14"/>
              </w:rPr>
              <w:t xml:space="preserve">    </w:t>
            </w:r>
            <w:r w:rsidR="00CC271B" w:rsidRPr="00CC271B">
              <w:rPr>
                <w:rFonts w:ascii="Arial" w:eastAsia="Times New Roman" w:hAnsi="Arial" w:cs="Arial"/>
                <w:b/>
                <w:bCs/>
                <w:i/>
                <w:iCs/>
                <w:sz w:val="14"/>
                <w:szCs w:val="14"/>
              </w:rPr>
              <w:t>δ</w:t>
            </w:r>
            <w:r w:rsidR="00CC271B" w:rsidRPr="00CC271B">
              <w:rPr>
                <w:rFonts w:ascii="Arial" w:eastAsia="Times New Roman" w:hAnsi="Arial" w:cs="Arial"/>
                <w:b/>
                <w:bCs/>
                <w:i/>
                <w:iCs/>
                <w:sz w:val="14"/>
                <w:szCs w:val="14"/>
                <w:vertAlign w:val="subscript"/>
              </w:rPr>
              <w:t>3</w:t>
            </w:r>
          </w:p>
          <w:p w14:paraId="0D29B597" w14:textId="7A967F2F" w:rsidR="00CC271B" w:rsidRPr="00CC271B" w:rsidRDefault="00CC271B" w:rsidP="00CC271B">
            <w:pPr>
              <w:rPr>
                <w:rFonts w:ascii="Arial" w:eastAsia="Times New Roman" w:hAnsi="Arial" w:cs="Arial"/>
                <w:b/>
                <w:bCs/>
                <w:i/>
                <w:iCs/>
                <w:sz w:val="14"/>
                <w:szCs w:val="14"/>
              </w:rPr>
            </w:pPr>
            <w:r w:rsidRPr="00CC271B">
              <w:rPr>
                <w:rFonts w:ascii="Arial" w:eastAsia="Times New Roman" w:hAnsi="Arial" w:cs="Arial"/>
                <w:b/>
                <w:bCs/>
                <w:i/>
                <w:iCs/>
                <w:sz w:val="14"/>
                <w:szCs w:val="14"/>
              </w:rPr>
              <w:t> i</w:t>
            </w:r>
            <w:r w:rsidRPr="00CC271B">
              <w:rPr>
                <w:rFonts w:ascii="Arial" w:eastAsia="Times New Roman" w:hAnsi="Arial" w:cs="Arial"/>
                <w:b/>
                <w:bCs/>
                <w:i/>
                <w:iCs/>
                <w:sz w:val="14"/>
                <w:szCs w:val="14"/>
                <w:vertAlign w:val="subscript"/>
              </w:rPr>
              <w:t>t</w:t>
            </w:r>
            <w:r w:rsidRPr="00CC271B">
              <w:rPr>
                <w:rFonts w:ascii="Arial" w:eastAsia="Times New Roman" w:hAnsi="Arial" w:cs="Arial"/>
                <w:b/>
                <w:bCs/>
                <w:i/>
                <w:iCs/>
                <w:sz w:val="14"/>
                <w:szCs w:val="14"/>
              </w:rPr>
              <w:t>×d08</w:t>
            </w:r>
            <w:r w:rsidRPr="00CC271B">
              <w:rPr>
                <w:rFonts w:ascii="Arial" w:eastAsia="Times New Roman" w:hAnsi="Arial" w:cs="Arial"/>
                <w:b/>
                <w:bCs/>
                <w:i/>
                <w:iCs/>
                <w:sz w:val="14"/>
                <w:szCs w:val="14"/>
                <w:vertAlign w:val="subscript"/>
              </w:rPr>
              <w:t>t</w:t>
            </w:r>
          </w:p>
        </w:tc>
        <w:tc>
          <w:tcPr>
            <w:tcW w:w="0" w:type="auto"/>
            <w:shd w:val="clear" w:color="auto" w:fill="F0F0F0"/>
            <w:tcMar>
              <w:top w:w="90" w:type="dxa"/>
              <w:left w:w="90" w:type="dxa"/>
              <w:bottom w:w="90" w:type="dxa"/>
              <w:right w:w="90" w:type="dxa"/>
            </w:tcMar>
            <w:vAlign w:val="center"/>
            <w:hideMark/>
          </w:tcPr>
          <w:p w14:paraId="44133FFA" w14:textId="318A38FB" w:rsidR="00B556DE" w:rsidRDefault="00B556DE" w:rsidP="00CC271B">
            <w:pPr>
              <w:rPr>
                <w:rFonts w:ascii="Arial" w:eastAsia="Times New Roman" w:hAnsi="Arial" w:cs="Arial"/>
                <w:b/>
                <w:bCs/>
                <w:i/>
                <w:iCs/>
                <w:sz w:val="14"/>
                <w:szCs w:val="14"/>
              </w:rPr>
            </w:pPr>
            <w:r>
              <w:rPr>
                <w:rFonts w:ascii="Arial" w:eastAsia="Times New Roman" w:hAnsi="Arial" w:cs="Arial"/>
                <w:b/>
                <w:bCs/>
                <w:i/>
                <w:iCs/>
                <w:sz w:val="14"/>
                <w:szCs w:val="14"/>
              </w:rPr>
              <w:t xml:space="preserve"> </w:t>
            </w:r>
            <w:r w:rsidR="00CC271B" w:rsidRPr="00CC271B">
              <w:rPr>
                <w:rFonts w:ascii="Arial" w:eastAsia="Times New Roman" w:hAnsi="Arial" w:cs="Arial"/>
                <w:b/>
                <w:bCs/>
                <w:i/>
                <w:iCs/>
                <w:sz w:val="14"/>
                <w:szCs w:val="14"/>
              </w:rPr>
              <w:t>δ</w:t>
            </w:r>
            <w:r w:rsidR="00CC271B" w:rsidRPr="00CC271B">
              <w:rPr>
                <w:rFonts w:ascii="Arial" w:eastAsia="Times New Roman" w:hAnsi="Arial" w:cs="Arial"/>
                <w:b/>
                <w:bCs/>
                <w:i/>
                <w:iCs/>
                <w:sz w:val="14"/>
                <w:szCs w:val="14"/>
                <w:vertAlign w:val="subscript"/>
              </w:rPr>
              <w:t>4</w:t>
            </w:r>
            <w:r w:rsidR="00CC271B" w:rsidRPr="00CC271B">
              <w:rPr>
                <w:rFonts w:ascii="Arial" w:eastAsia="Times New Roman" w:hAnsi="Arial" w:cs="Arial"/>
                <w:b/>
                <w:bCs/>
                <w:i/>
                <w:iCs/>
                <w:sz w:val="14"/>
                <w:szCs w:val="14"/>
              </w:rPr>
              <w:t> </w:t>
            </w:r>
          </w:p>
          <w:p w14:paraId="14281629" w14:textId="208C5E88" w:rsidR="00CC271B" w:rsidRPr="00CC271B" w:rsidRDefault="00CC271B" w:rsidP="00CC271B">
            <w:pPr>
              <w:rPr>
                <w:rFonts w:ascii="Arial" w:eastAsia="Times New Roman" w:hAnsi="Arial" w:cs="Arial"/>
                <w:b/>
                <w:bCs/>
                <w:i/>
                <w:iCs/>
                <w:sz w:val="14"/>
                <w:szCs w:val="14"/>
              </w:rPr>
            </w:pPr>
            <w:r w:rsidRPr="00CC271B">
              <w:rPr>
                <w:rFonts w:ascii="Arial" w:eastAsia="Times New Roman" w:hAnsi="Arial" w:cs="Arial"/>
                <w:b/>
                <w:bCs/>
                <w:i/>
                <w:iCs/>
                <w:sz w:val="14"/>
                <w:szCs w:val="14"/>
              </w:rPr>
              <w:t>d09</w:t>
            </w:r>
            <w:r w:rsidRPr="00CC271B">
              <w:rPr>
                <w:rFonts w:ascii="Arial" w:eastAsia="Times New Roman" w:hAnsi="Arial" w:cs="Arial"/>
                <w:b/>
                <w:bCs/>
                <w:i/>
                <w:iCs/>
                <w:sz w:val="14"/>
                <w:szCs w:val="14"/>
                <w:vertAlign w:val="subscript"/>
              </w:rPr>
              <w:t>t</w:t>
            </w:r>
          </w:p>
        </w:tc>
        <w:tc>
          <w:tcPr>
            <w:tcW w:w="0" w:type="auto"/>
            <w:shd w:val="clear" w:color="auto" w:fill="F0F0F0"/>
            <w:tcMar>
              <w:top w:w="90" w:type="dxa"/>
              <w:left w:w="90" w:type="dxa"/>
              <w:bottom w:w="90" w:type="dxa"/>
              <w:right w:w="90" w:type="dxa"/>
            </w:tcMar>
            <w:vAlign w:val="center"/>
            <w:hideMark/>
          </w:tcPr>
          <w:p w14:paraId="77417BD1" w14:textId="534E5422" w:rsidR="00B556DE" w:rsidRDefault="00B556DE" w:rsidP="00CC271B">
            <w:pPr>
              <w:rPr>
                <w:rFonts w:ascii="Arial" w:eastAsia="Times New Roman" w:hAnsi="Arial" w:cs="Arial"/>
                <w:b/>
                <w:bCs/>
                <w:i/>
                <w:iCs/>
                <w:sz w:val="14"/>
                <w:szCs w:val="14"/>
                <w:vertAlign w:val="subscript"/>
              </w:rPr>
            </w:pPr>
            <w:r>
              <w:rPr>
                <w:rFonts w:ascii="Arial" w:eastAsia="Times New Roman" w:hAnsi="Arial" w:cs="Arial"/>
                <w:b/>
                <w:bCs/>
                <w:i/>
                <w:iCs/>
                <w:sz w:val="14"/>
                <w:szCs w:val="14"/>
              </w:rPr>
              <w:t xml:space="preserve">      </w:t>
            </w:r>
            <w:r w:rsidR="00CC271B" w:rsidRPr="00CC271B">
              <w:rPr>
                <w:rFonts w:ascii="Arial" w:eastAsia="Times New Roman" w:hAnsi="Arial" w:cs="Arial"/>
                <w:b/>
                <w:bCs/>
                <w:i/>
                <w:iCs/>
                <w:sz w:val="14"/>
                <w:szCs w:val="14"/>
              </w:rPr>
              <w:t>δ</w:t>
            </w:r>
            <w:r w:rsidR="00CC271B" w:rsidRPr="00CC271B">
              <w:rPr>
                <w:rFonts w:ascii="Arial" w:eastAsia="Times New Roman" w:hAnsi="Arial" w:cs="Arial"/>
                <w:b/>
                <w:bCs/>
                <w:i/>
                <w:iCs/>
                <w:sz w:val="14"/>
                <w:szCs w:val="14"/>
                <w:vertAlign w:val="subscript"/>
              </w:rPr>
              <w:t>5</w:t>
            </w:r>
          </w:p>
          <w:p w14:paraId="60E6CE20" w14:textId="6010956E" w:rsidR="00CC271B" w:rsidRPr="00CC271B" w:rsidRDefault="00CC271B" w:rsidP="00CC271B">
            <w:pPr>
              <w:rPr>
                <w:rFonts w:ascii="Arial" w:eastAsia="Times New Roman" w:hAnsi="Arial" w:cs="Arial"/>
                <w:b/>
                <w:bCs/>
                <w:i/>
                <w:iCs/>
                <w:sz w:val="14"/>
                <w:szCs w:val="14"/>
                <w:vertAlign w:val="subscript"/>
              </w:rPr>
            </w:pPr>
            <w:r w:rsidRPr="00CC271B">
              <w:rPr>
                <w:rFonts w:ascii="Arial" w:eastAsia="Times New Roman" w:hAnsi="Arial" w:cs="Arial"/>
                <w:b/>
                <w:bCs/>
                <w:i/>
                <w:iCs/>
                <w:sz w:val="14"/>
                <w:szCs w:val="14"/>
              </w:rPr>
              <w:t> </w:t>
            </w:r>
            <w:proofErr w:type="gramStart"/>
            <w:r w:rsidRPr="00CC271B">
              <w:rPr>
                <w:rFonts w:ascii="Arial" w:eastAsia="Times New Roman" w:hAnsi="Arial" w:cs="Arial"/>
                <w:b/>
                <w:bCs/>
                <w:i/>
                <w:iCs/>
                <w:sz w:val="14"/>
                <w:szCs w:val="14"/>
              </w:rPr>
              <w:t>log(</w:t>
            </w:r>
            <w:proofErr w:type="gramEnd"/>
            <w:r w:rsidRPr="00CC271B">
              <w:rPr>
                <w:rFonts w:ascii="Arial" w:eastAsia="Times New Roman" w:hAnsi="Arial" w:cs="Arial"/>
                <w:b/>
                <w:bCs/>
                <w:i/>
                <w:iCs/>
                <w:sz w:val="14"/>
                <w:szCs w:val="14"/>
              </w:rPr>
              <w:t>Y</w:t>
            </w:r>
            <w:r w:rsidRPr="00CC271B">
              <w:rPr>
                <w:rFonts w:ascii="Arial" w:eastAsia="Times New Roman" w:hAnsi="Arial" w:cs="Arial"/>
                <w:b/>
                <w:bCs/>
                <w:i/>
                <w:iCs/>
                <w:sz w:val="14"/>
                <w:szCs w:val="14"/>
                <w:vertAlign w:val="subscript"/>
              </w:rPr>
              <w:t>t</w:t>
            </w:r>
            <w:r w:rsidRPr="00CC271B">
              <w:rPr>
                <w:rFonts w:ascii="Arial" w:eastAsia="Times New Roman" w:hAnsi="Arial" w:cs="Arial"/>
                <w:b/>
                <w:bCs/>
                <w:i/>
                <w:iCs/>
                <w:sz w:val="14"/>
                <w:szCs w:val="14"/>
              </w:rPr>
              <w:t>)×d09</w:t>
            </w:r>
            <w:r w:rsidRPr="00CC271B">
              <w:rPr>
                <w:rFonts w:ascii="Arial" w:eastAsia="Times New Roman" w:hAnsi="Arial" w:cs="Arial"/>
                <w:b/>
                <w:bCs/>
                <w:i/>
                <w:iCs/>
                <w:sz w:val="14"/>
                <w:szCs w:val="14"/>
                <w:vertAlign w:val="subscript"/>
              </w:rPr>
              <w:t>t</w:t>
            </w:r>
          </w:p>
        </w:tc>
        <w:tc>
          <w:tcPr>
            <w:tcW w:w="0" w:type="auto"/>
            <w:shd w:val="clear" w:color="auto" w:fill="F0F0F0"/>
            <w:tcMar>
              <w:top w:w="90" w:type="dxa"/>
              <w:left w:w="90" w:type="dxa"/>
              <w:bottom w:w="90" w:type="dxa"/>
              <w:right w:w="90" w:type="dxa"/>
            </w:tcMar>
            <w:vAlign w:val="center"/>
            <w:hideMark/>
          </w:tcPr>
          <w:p w14:paraId="02AA2BBF" w14:textId="39CB416B" w:rsidR="00B556DE" w:rsidRDefault="00B556DE" w:rsidP="00CC271B">
            <w:pPr>
              <w:rPr>
                <w:rFonts w:ascii="Arial" w:eastAsia="Times New Roman" w:hAnsi="Arial" w:cs="Arial"/>
                <w:b/>
                <w:bCs/>
                <w:i/>
                <w:iCs/>
                <w:sz w:val="14"/>
                <w:szCs w:val="14"/>
                <w:vertAlign w:val="subscript"/>
              </w:rPr>
            </w:pPr>
            <w:r>
              <w:rPr>
                <w:rFonts w:ascii="Arial" w:eastAsia="Times New Roman" w:hAnsi="Arial" w:cs="Arial"/>
                <w:b/>
                <w:bCs/>
                <w:i/>
                <w:iCs/>
                <w:sz w:val="14"/>
                <w:szCs w:val="14"/>
              </w:rPr>
              <w:t xml:space="preserve">   </w:t>
            </w:r>
            <w:r w:rsidR="00CC271B" w:rsidRPr="00CC271B">
              <w:rPr>
                <w:rFonts w:ascii="Arial" w:eastAsia="Times New Roman" w:hAnsi="Arial" w:cs="Arial"/>
                <w:b/>
                <w:bCs/>
                <w:i/>
                <w:iCs/>
                <w:sz w:val="14"/>
                <w:szCs w:val="14"/>
              </w:rPr>
              <w:t>δ</w:t>
            </w:r>
            <w:r w:rsidR="00CC271B" w:rsidRPr="00CC271B">
              <w:rPr>
                <w:rFonts w:ascii="Arial" w:eastAsia="Times New Roman" w:hAnsi="Arial" w:cs="Arial"/>
                <w:b/>
                <w:bCs/>
                <w:i/>
                <w:iCs/>
                <w:sz w:val="14"/>
                <w:szCs w:val="14"/>
                <w:vertAlign w:val="subscript"/>
              </w:rPr>
              <w:t>6</w:t>
            </w:r>
          </w:p>
          <w:p w14:paraId="117E9A6A" w14:textId="7EFE73B7" w:rsidR="00CC271B" w:rsidRPr="00CC271B" w:rsidRDefault="00CC271B" w:rsidP="00CC271B">
            <w:pPr>
              <w:rPr>
                <w:rFonts w:ascii="Arial" w:eastAsia="Times New Roman" w:hAnsi="Arial" w:cs="Arial"/>
                <w:b/>
                <w:bCs/>
                <w:i/>
                <w:iCs/>
                <w:sz w:val="14"/>
                <w:szCs w:val="14"/>
              </w:rPr>
            </w:pPr>
            <w:r w:rsidRPr="00CC271B">
              <w:rPr>
                <w:rFonts w:ascii="Arial" w:eastAsia="Times New Roman" w:hAnsi="Arial" w:cs="Arial"/>
                <w:b/>
                <w:bCs/>
                <w:i/>
                <w:iCs/>
                <w:sz w:val="14"/>
                <w:szCs w:val="14"/>
              </w:rPr>
              <w:t> i</w:t>
            </w:r>
            <w:r w:rsidRPr="00CC271B">
              <w:rPr>
                <w:rFonts w:ascii="Arial" w:eastAsia="Times New Roman" w:hAnsi="Arial" w:cs="Arial"/>
                <w:b/>
                <w:bCs/>
                <w:i/>
                <w:iCs/>
                <w:sz w:val="14"/>
                <w:szCs w:val="14"/>
                <w:vertAlign w:val="subscript"/>
              </w:rPr>
              <w:t>t</w:t>
            </w:r>
            <w:r w:rsidRPr="00CC271B">
              <w:rPr>
                <w:rFonts w:ascii="Arial" w:eastAsia="Times New Roman" w:hAnsi="Arial" w:cs="Arial"/>
                <w:b/>
                <w:bCs/>
                <w:i/>
                <w:iCs/>
                <w:sz w:val="14"/>
                <w:szCs w:val="14"/>
              </w:rPr>
              <w:t>×d09</w:t>
            </w:r>
            <w:r w:rsidRPr="00CC271B">
              <w:rPr>
                <w:rFonts w:ascii="Arial" w:eastAsia="Times New Roman" w:hAnsi="Arial" w:cs="Arial"/>
                <w:b/>
                <w:bCs/>
                <w:i/>
                <w:iCs/>
                <w:sz w:val="14"/>
                <w:szCs w:val="14"/>
                <w:vertAlign w:val="subscript"/>
              </w:rPr>
              <w:t>t</w:t>
            </w:r>
          </w:p>
        </w:tc>
        <w:tc>
          <w:tcPr>
            <w:tcW w:w="0" w:type="auto"/>
            <w:shd w:val="clear" w:color="auto" w:fill="F0F0F0"/>
            <w:tcMar>
              <w:top w:w="90" w:type="dxa"/>
              <w:left w:w="90" w:type="dxa"/>
              <w:bottom w:w="90" w:type="dxa"/>
              <w:right w:w="90" w:type="dxa"/>
            </w:tcMar>
            <w:vAlign w:val="center"/>
            <w:hideMark/>
          </w:tcPr>
          <w:p w14:paraId="40F6807E" w14:textId="77777777" w:rsidR="00CC271B" w:rsidRPr="00CC271B" w:rsidRDefault="00CC271B" w:rsidP="00CC271B">
            <w:pPr>
              <w:rPr>
                <w:rFonts w:ascii="Arial" w:eastAsia="Times New Roman" w:hAnsi="Arial" w:cs="Arial"/>
                <w:b/>
                <w:bCs/>
                <w:i/>
                <w:iCs/>
                <w:sz w:val="14"/>
                <w:szCs w:val="14"/>
              </w:rPr>
            </w:pPr>
            <w:r w:rsidRPr="00CC271B">
              <w:rPr>
                <w:rFonts w:ascii="Arial" w:eastAsia="Times New Roman" w:hAnsi="Arial" w:cs="Arial"/>
                <w:b/>
                <w:bCs/>
                <w:i/>
                <w:iCs/>
                <w:sz w:val="14"/>
                <w:szCs w:val="14"/>
              </w:rPr>
              <w:t>R̄</w:t>
            </w:r>
            <w:r w:rsidRPr="00CC271B">
              <w:rPr>
                <w:rFonts w:ascii="Arial" w:eastAsia="Times New Roman" w:hAnsi="Arial" w:cs="Arial"/>
                <w:b/>
                <w:bCs/>
                <w:i/>
                <w:iCs/>
                <w:sz w:val="14"/>
                <w:szCs w:val="14"/>
                <w:vertAlign w:val="superscript"/>
              </w:rPr>
              <w:t>2</w:t>
            </w:r>
          </w:p>
        </w:tc>
        <w:tc>
          <w:tcPr>
            <w:tcW w:w="0" w:type="auto"/>
            <w:shd w:val="clear" w:color="auto" w:fill="F0F0F0"/>
            <w:tcMar>
              <w:top w:w="90" w:type="dxa"/>
              <w:left w:w="90" w:type="dxa"/>
              <w:bottom w:w="90" w:type="dxa"/>
              <w:right w:w="90" w:type="dxa"/>
            </w:tcMar>
            <w:vAlign w:val="center"/>
            <w:hideMark/>
          </w:tcPr>
          <w:p w14:paraId="4BAC2D27" w14:textId="77777777" w:rsidR="00CC271B" w:rsidRPr="00CC271B" w:rsidRDefault="00CC271B" w:rsidP="00CC271B">
            <w:pPr>
              <w:rPr>
                <w:rFonts w:ascii="Arial" w:eastAsia="Times New Roman" w:hAnsi="Arial" w:cs="Arial"/>
                <w:b/>
                <w:bCs/>
                <w:i/>
                <w:iCs/>
                <w:sz w:val="14"/>
                <w:szCs w:val="14"/>
              </w:rPr>
            </w:pPr>
            <w:r w:rsidRPr="00CC271B">
              <w:rPr>
                <w:rFonts w:ascii="Arial" w:eastAsia="Times New Roman" w:hAnsi="Arial" w:cs="Arial"/>
                <w:b/>
                <w:bCs/>
                <w:i/>
                <w:iCs/>
                <w:sz w:val="14"/>
                <w:szCs w:val="14"/>
              </w:rPr>
              <w:t>DW</w:t>
            </w:r>
          </w:p>
        </w:tc>
        <w:tc>
          <w:tcPr>
            <w:tcW w:w="0" w:type="auto"/>
          </w:tcPr>
          <w:p w14:paraId="3398A527" w14:textId="77777777" w:rsidR="00CC271B" w:rsidRPr="00CC271B" w:rsidRDefault="00CC271B" w:rsidP="00CC271B">
            <w:pPr>
              <w:rPr>
                <w:rFonts w:ascii="Arial" w:eastAsia="Times New Roman" w:hAnsi="Arial" w:cs="Arial"/>
                <w:b/>
                <w:bCs/>
                <w:i/>
                <w:iCs/>
                <w:sz w:val="16"/>
                <w:szCs w:val="16"/>
              </w:rPr>
            </w:pPr>
          </w:p>
        </w:tc>
      </w:tr>
      <w:tr w:rsidR="00B556DE" w:rsidRPr="00CC271B" w14:paraId="5938989C" w14:textId="0204A1E3" w:rsidTr="00CC271B">
        <w:trPr>
          <w:divId w:val="1575237601"/>
        </w:trPr>
        <w:tc>
          <w:tcPr>
            <w:tcW w:w="0" w:type="auto"/>
            <w:shd w:val="clear" w:color="auto" w:fill="FFFFFF"/>
            <w:tcMar>
              <w:top w:w="90" w:type="dxa"/>
              <w:left w:w="90" w:type="dxa"/>
              <w:bottom w:w="90" w:type="dxa"/>
              <w:right w:w="90" w:type="dxa"/>
            </w:tcMar>
            <w:vAlign w:val="center"/>
            <w:hideMark/>
          </w:tcPr>
          <w:p w14:paraId="501F6F3F" w14:textId="77777777" w:rsidR="00CC271B" w:rsidRPr="00CC271B" w:rsidRDefault="00CC271B" w:rsidP="00CC271B">
            <w:pPr>
              <w:rPr>
                <w:rFonts w:ascii="Arial" w:eastAsia="Times New Roman" w:hAnsi="Arial" w:cs="Arial"/>
                <w:b/>
                <w:bCs/>
                <w:i/>
                <w:iCs/>
                <w:sz w:val="14"/>
                <w:szCs w:val="14"/>
              </w:rPr>
            </w:pPr>
            <w:proofErr w:type="gramStart"/>
            <w:r w:rsidRPr="00CC271B">
              <w:rPr>
                <w:rFonts w:ascii="Arial" w:eastAsia="Times New Roman" w:hAnsi="Arial" w:cs="Arial"/>
                <w:b/>
                <w:bCs/>
                <w:i/>
                <w:iCs/>
                <w:sz w:val="14"/>
                <w:szCs w:val="14"/>
              </w:rPr>
              <w:t>Log(</w:t>
            </w:r>
            <w:proofErr w:type="gramEnd"/>
            <w:r w:rsidRPr="00CC271B">
              <w:rPr>
                <w:rFonts w:ascii="Arial" w:eastAsia="Times New Roman" w:hAnsi="Arial" w:cs="Arial"/>
                <w:b/>
                <w:bCs/>
                <w:i/>
                <w:iCs/>
                <w:sz w:val="14"/>
                <w:szCs w:val="14"/>
              </w:rPr>
              <w:t>M</w:t>
            </w:r>
            <w:r w:rsidRPr="00CC271B">
              <w:rPr>
                <w:rFonts w:ascii="Arial" w:eastAsia="Times New Roman" w:hAnsi="Arial" w:cs="Arial"/>
                <w:b/>
                <w:bCs/>
                <w:i/>
                <w:iCs/>
                <w:sz w:val="14"/>
                <w:szCs w:val="14"/>
                <w:vertAlign w:val="subscript"/>
              </w:rPr>
              <w:t>t</w:t>
            </w:r>
            <w:r w:rsidRPr="00CC271B">
              <w:rPr>
                <w:rFonts w:ascii="Arial" w:eastAsia="Times New Roman" w:hAnsi="Arial" w:cs="Arial"/>
                <w:b/>
                <w:bCs/>
                <w:i/>
                <w:iCs/>
                <w:sz w:val="14"/>
                <w:szCs w:val="14"/>
              </w:rPr>
              <w:t>)</w:t>
            </w:r>
          </w:p>
        </w:tc>
        <w:tc>
          <w:tcPr>
            <w:tcW w:w="679" w:type="dxa"/>
            <w:shd w:val="clear" w:color="auto" w:fill="FFFFFF"/>
            <w:tcMar>
              <w:top w:w="90" w:type="dxa"/>
              <w:left w:w="90" w:type="dxa"/>
              <w:bottom w:w="90" w:type="dxa"/>
              <w:right w:w="90" w:type="dxa"/>
            </w:tcMar>
            <w:vAlign w:val="center"/>
            <w:hideMark/>
          </w:tcPr>
          <w:p w14:paraId="60FB9688" w14:textId="4B8CDE45" w:rsidR="00CC271B" w:rsidRPr="00CC271B" w:rsidRDefault="00CC271B" w:rsidP="00CC271B">
            <w:pPr>
              <w:rPr>
                <w:rFonts w:ascii="Arial" w:eastAsia="Times New Roman" w:hAnsi="Arial" w:cs="Arial"/>
                <w:i/>
                <w:iCs/>
                <w:sz w:val="14"/>
                <w:szCs w:val="14"/>
              </w:rPr>
            </w:pPr>
            <w:r w:rsidRPr="00CC271B">
              <w:rPr>
                <w:rFonts w:ascii="Arial" w:eastAsia="Times New Roman" w:hAnsi="Arial" w:cs="Arial"/>
                <w:i/>
                <w:iCs/>
                <w:sz w:val="14"/>
                <w:szCs w:val="14"/>
              </w:rPr>
              <w:t>-4.81***</w:t>
            </w:r>
            <w:r w:rsidRPr="00CC271B">
              <w:rPr>
                <w:rFonts w:ascii="Arial" w:eastAsia="Times New Roman" w:hAnsi="Arial" w:cs="Arial"/>
                <w:i/>
                <w:iCs/>
                <w:sz w:val="14"/>
                <w:szCs w:val="14"/>
              </w:rPr>
              <w:br/>
              <w:t>(0.24)</w:t>
            </w:r>
          </w:p>
        </w:tc>
        <w:tc>
          <w:tcPr>
            <w:tcW w:w="866" w:type="dxa"/>
            <w:shd w:val="clear" w:color="auto" w:fill="FFFFFF"/>
            <w:tcMar>
              <w:top w:w="90" w:type="dxa"/>
              <w:left w:w="90" w:type="dxa"/>
              <w:bottom w:w="90" w:type="dxa"/>
              <w:right w:w="90" w:type="dxa"/>
            </w:tcMar>
            <w:vAlign w:val="center"/>
            <w:hideMark/>
          </w:tcPr>
          <w:p w14:paraId="2ECAC6A9" w14:textId="77777777" w:rsidR="00CC271B" w:rsidRPr="00CC271B" w:rsidRDefault="00CC271B" w:rsidP="00CC271B">
            <w:pPr>
              <w:rPr>
                <w:rFonts w:ascii="Arial" w:eastAsia="Times New Roman" w:hAnsi="Arial" w:cs="Arial"/>
                <w:i/>
                <w:iCs/>
                <w:sz w:val="14"/>
                <w:szCs w:val="14"/>
              </w:rPr>
            </w:pPr>
            <w:r w:rsidRPr="00CC271B">
              <w:rPr>
                <w:rFonts w:ascii="Arial" w:eastAsia="Times New Roman" w:hAnsi="Arial" w:cs="Arial"/>
                <w:i/>
                <w:iCs/>
                <w:sz w:val="14"/>
                <w:szCs w:val="14"/>
              </w:rPr>
              <w:t>1.25***</w:t>
            </w:r>
            <w:r w:rsidRPr="00CC271B">
              <w:rPr>
                <w:rFonts w:ascii="Arial" w:eastAsia="Times New Roman" w:hAnsi="Arial" w:cs="Arial"/>
                <w:i/>
                <w:iCs/>
                <w:sz w:val="14"/>
                <w:szCs w:val="14"/>
              </w:rPr>
              <w:br/>
              <w:t>(0.02)</w:t>
            </w:r>
          </w:p>
        </w:tc>
        <w:tc>
          <w:tcPr>
            <w:tcW w:w="0" w:type="auto"/>
            <w:shd w:val="clear" w:color="auto" w:fill="FFFFFF"/>
            <w:tcMar>
              <w:top w:w="90" w:type="dxa"/>
              <w:left w:w="90" w:type="dxa"/>
              <w:bottom w:w="90" w:type="dxa"/>
              <w:right w:w="90" w:type="dxa"/>
            </w:tcMar>
            <w:vAlign w:val="center"/>
            <w:hideMark/>
          </w:tcPr>
          <w:p w14:paraId="34340069" w14:textId="77777777" w:rsidR="00CC271B" w:rsidRPr="00CC271B" w:rsidRDefault="00CC271B" w:rsidP="00CC271B">
            <w:pPr>
              <w:rPr>
                <w:rFonts w:ascii="Arial" w:eastAsia="Times New Roman" w:hAnsi="Arial" w:cs="Arial"/>
                <w:i/>
                <w:iCs/>
                <w:sz w:val="14"/>
                <w:szCs w:val="14"/>
              </w:rPr>
            </w:pPr>
            <w:r w:rsidRPr="00CC271B">
              <w:rPr>
                <w:rFonts w:ascii="Arial" w:eastAsia="Times New Roman" w:hAnsi="Arial" w:cs="Arial"/>
                <w:i/>
                <w:iCs/>
                <w:sz w:val="14"/>
                <w:szCs w:val="14"/>
              </w:rPr>
              <w:t>-0.02***</w:t>
            </w:r>
            <w:r w:rsidRPr="00CC271B">
              <w:rPr>
                <w:rFonts w:ascii="Arial" w:eastAsia="Times New Roman" w:hAnsi="Arial" w:cs="Arial"/>
                <w:i/>
                <w:iCs/>
                <w:sz w:val="14"/>
                <w:szCs w:val="14"/>
              </w:rPr>
              <w:br/>
              <w:t>(0.001)</w:t>
            </w:r>
          </w:p>
        </w:tc>
        <w:tc>
          <w:tcPr>
            <w:tcW w:w="0" w:type="auto"/>
            <w:shd w:val="clear" w:color="auto" w:fill="FFFFFF"/>
            <w:tcMar>
              <w:top w:w="90" w:type="dxa"/>
              <w:left w:w="90" w:type="dxa"/>
              <w:bottom w:w="90" w:type="dxa"/>
              <w:right w:w="90" w:type="dxa"/>
            </w:tcMar>
            <w:vAlign w:val="center"/>
            <w:hideMark/>
          </w:tcPr>
          <w:p w14:paraId="4A008CC4" w14:textId="77777777" w:rsidR="00CC271B" w:rsidRPr="00CC271B" w:rsidRDefault="00CC271B" w:rsidP="00CC271B">
            <w:pPr>
              <w:rPr>
                <w:rFonts w:ascii="Arial" w:eastAsia="Times New Roman" w:hAnsi="Arial" w:cs="Arial"/>
                <w:i/>
                <w:iCs/>
                <w:sz w:val="14"/>
                <w:szCs w:val="14"/>
              </w:rPr>
            </w:pPr>
            <w:r w:rsidRPr="00CC271B">
              <w:rPr>
                <w:rFonts w:ascii="Arial" w:eastAsia="Times New Roman" w:hAnsi="Arial" w:cs="Arial"/>
                <w:i/>
                <w:iCs/>
                <w:sz w:val="14"/>
                <w:szCs w:val="14"/>
              </w:rPr>
              <w:t>-2.12</w:t>
            </w:r>
            <w:r w:rsidRPr="00CC271B">
              <w:rPr>
                <w:rFonts w:ascii="Arial" w:eastAsia="Times New Roman" w:hAnsi="Arial" w:cs="Arial"/>
                <w:i/>
                <w:iCs/>
                <w:sz w:val="14"/>
                <w:szCs w:val="14"/>
              </w:rPr>
              <w:br/>
              <w:t>(9.24)</w:t>
            </w:r>
          </w:p>
        </w:tc>
        <w:tc>
          <w:tcPr>
            <w:tcW w:w="0" w:type="auto"/>
            <w:shd w:val="clear" w:color="auto" w:fill="FFFFFF"/>
            <w:tcMar>
              <w:top w:w="90" w:type="dxa"/>
              <w:left w:w="90" w:type="dxa"/>
              <w:bottom w:w="90" w:type="dxa"/>
              <w:right w:w="90" w:type="dxa"/>
            </w:tcMar>
            <w:vAlign w:val="center"/>
            <w:hideMark/>
          </w:tcPr>
          <w:p w14:paraId="12252621" w14:textId="188D437E" w:rsidR="00CC271B" w:rsidRPr="00CC271B" w:rsidRDefault="00CC271B" w:rsidP="00CC271B">
            <w:pPr>
              <w:rPr>
                <w:rFonts w:ascii="Arial" w:eastAsia="Times New Roman" w:hAnsi="Arial" w:cs="Arial"/>
                <w:i/>
                <w:iCs/>
                <w:sz w:val="14"/>
                <w:szCs w:val="14"/>
              </w:rPr>
            </w:pPr>
            <w:r>
              <w:rPr>
                <w:rFonts w:ascii="Arial" w:eastAsia="Times New Roman" w:hAnsi="Arial" w:cs="Arial"/>
                <w:i/>
                <w:iCs/>
                <w:sz w:val="14"/>
                <w:szCs w:val="14"/>
              </w:rPr>
              <w:t xml:space="preserve">     </w:t>
            </w:r>
            <w:r w:rsidRPr="00CC271B">
              <w:rPr>
                <w:rFonts w:ascii="Arial" w:eastAsia="Times New Roman" w:hAnsi="Arial" w:cs="Arial"/>
                <w:i/>
                <w:iCs/>
                <w:sz w:val="14"/>
                <w:szCs w:val="14"/>
              </w:rPr>
              <w:t>0.17</w:t>
            </w:r>
            <w:r w:rsidRPr="00CC271B">
              <w:rPr>
                <w:rFonts w:ascii="Arial" w:eastAsia="Times New Roman" w:hAnsi="Arial" w:cs="Arial"/>
                <w:i/>
                <w:iCs/>
                <w:sz w:val="14"/>
                <w:szCs w:val="14"/>
              </w:rPr>
              <w:br/>
            </w:r>
            <w:r>
              <w:rPr>
                <w:rFonts w:ascii="Arial" w:eastAsia="Times New Roman" w:hAnsi="Arial" w:cs="Arial"/>
                <w:i/>
                <w:iCs/>
                <w:sz w:val="14"/>
                <w:szCs w:val="14"/>
              </w:rPr>
              <w:t xml:space="preserve"> </w:t>
            </w:r>
            <w:proofErr w:type="gramStart"/>
            <w:r>
              <w:rPr>
                <w:rFonts w:ascii="Arial" w:eastAsia="Times New Roman" w:hAnsi="Arial" w:cs="Arial"/>
                <w:i/>
                <w:iCs/>
                <w:sz w:val="14"/>
                <w:szCs w:val="14"/>
              </w:rPr>
              <w:t xml:space="preserve">   </w:t>
            </w:r>
            <w:r w:rsidRPr="00CC271B">
              <w:rPr>
                <w:rFonts w:ascii="Arial" w:eastAsia="Times New Roman" w:hAnsi="Arial" w:cs="Arial"/>
                <w:i/>
                <w:iCs/>
                <w:sz w:val="14"/>
                <w:szCs w:val="14"/>
              </w:rPr>
              <w:t>(</w:t>
            </w:r>
            <w:proofErr w:type="gramEnd"/>
            <w:r w:rsidRPr="00CC271B">
              <w:rPr>
                <w:rFonts w:ascii="Arial" w:eastAsia="Times New Roman" w:hAnsi="Arial" w:cs="Arial"/>
                <w:i/>
                <w:iCs/>
                <w:sz w:val="14"/>
                <w:szCs w:val="14"/>
              </w:rPr>
              <w:t>0.80)</w:t>
            </w:r>
          </w:p>
        </w:tc>
        <w:tc>
          <w:tcPr>
            <w:tcW w:w="0" w:type="auto"/>
            <w:shd w:val="clear" w:color="auto" w:fill="FFFFFF"/>
            <w:tcMar>
              <w:top w:w="90" w:type="dxa"/>
              <w:left w:w="90" w:type="dxa"/>
              <w:bottom w:w="90" w:type="dxa"/>
              <w:right w:w="90" w:type="dxa"/>
            </w:tcMar>
            <w:vAlign w:val="center"/>
            <w:hideMark/>
          </w:tcPr>
          <w:p w14:paraId="36347B2F" w14:textId="77777777" w:rsidR="00CC271B" w:rsidRPr="00CC271B" w:rsidRDefault="00CC271B" w:rsidP="00CC271B">
            <w:pPr>
              <w:rPr>
                <w:rFonts w:ascii="Arial" w:eastAsia="Times New Roman" w:hAnsi="Arial" w:cs="Arial"/>
                <w:i/>
                <w:iCs/>
                <w:sz w:val="14"/>
                <w:szCs w:val="14"/>
              </w:rPr>
            </w:pPr>
            <w:r w:rsidRPr="00CC271B">
              <w:rPr>
                <w:rFonts w:ascii="Arial" w:eastAsia="Times New Roman" w:hAnsi="Arial" w:cs="Arial"/>
                <w:i/>
                <w:iCs/>
                <w:sz w:val="14"/>
                <w:szCs w:val="14"/>
              </w:rPr>
              <w:t>0.02*</w:t>
            </w:r>
            <w:r w:rsidRPr="00CC271B">
              <w:rPr>
                <w:rFonts w:ascii="Arial" w:eastAsia="Times New Roman" w:hAnsi="Arial" w:cs="Arial"/>
                <w:i/>
                <w:iCs/>
                <w:sz w:val="14"/>
                <w:szCs w:val="14"/>
              </w:rPr>
              <w:br/>
              <w:t>(0.01)</w:t>
            </w:r>
          </w:p>
        </w:tc>
        <w:tc>
          <w:tcPr>
            <w:tcW w:w="0" w:type="auto"/>
            <w:shd w:val="clear" w:color="auto" w:fill="FFFFFF"/>
            <w:tcMar>
              <w:top w:w="90" w:type="dxa"/>
              <w:left w:w="90" w:type="dxa"/>
              <w:bottom w:w="90" w:type="dxa"/>
              <w:right w:w="90" w:type="dxa"/>
            </w:tcMar>
            <w:vAlign w:val="center"/>
            <w:hideMark/>
          </w:tcPr>
          <w:p w14:paraId="16668096" w14:textId="77777777" w:rsidR="00CC271B" w:rsidRPr="00CC271B" w:rsidRDefault="00CC271B" w:rsidP="00CC271B">
            <w:pPr>
              <w:rPr>
                <w:rFonts w:ascii="Arial" w:eastAsia="Times New Roman" w:hAnsi="Arial" w:cs="Arial"/>
                <w:i/>
                <w:iCs/>
                <w:sz w:val="14"/>
                <w:szCs w:val="14"/>
              </w:rPr>
            </w:pPr>
            <w:r w:rsidRPr="00CC271B">
              <w:rPr>
                <w:rFonts w:ascii="Arial" w:eastAsia="Times New Roman" w:hAnsi="Arial" w:cs="Arial"/>
                <w:i/>
                <w:iCs/>
                <w:sz w:val="14"/>
                <w:szCs w:val="14"/>
              </w:rPr>
              <w:t>-2.36</w:t>
            </w:r>
            <w:r w:rsidRPr="00CC271B">
              <w:rPr>
                <w:rFonts w:ascii="Arial" w:eastAsia="Times New Roman" w:hAnsi="Arial" w:cs="Arial"/>
                <w:i/>
                <w:iCs/>
                <w:sz w:val="14"/>
                <w:szCs w:val="14"/>
              </w:rPr>
              <w:br/>
              <w:t>(11.21)</w:t>
            </w:r>
          </w:p>
        </w:tc>
        <w:tc>
          <w:tcPr>
            <w:tcW w:w="0" w:type="auto"/>
            <w:shd w:val="clear" w:color="auto" w:fill="FFFFFF"/>
            <w:tcMar>
              <w:top w:w="90" w:type="dxa"/>
              <w:left w:w="90" w:type="dxa"/>
              <w:bottom w:w="90" w:type="dxa"/>
              <w:right w:w="90" w:type="dxa"/>
            </w:tcMar>
            <w:vAlign w:val="center"/>
            <w:hideMark/>
          </w:tcPr>
          <w:p w14:paraId="755FAB0B" w14:textId="3775BCE1" w:rsidR="00CC271B" w:rsidRPr="00CC271B" w:rsidRDefault="00CC271B" w:rsidP="00CC271B">
            <w:pPr>
              <w:rPr>
                <w:rFonts w:ascii="Arial" w:eastAsia="Times New Roman" w:hAnsi="Arial" w:cs="Arial"/>
                <w:i/>
                <w:iCs/>
                <w:sz w:val="14"/>
                <w:szCs w:val="14"/>
              </w:rPr>
            </w:pPr>
            <w:r>
              <w:rPr>
                <w:rFonts w:ascii="Arial" w:eastAsia="Times New Roman" w:hAnsi="Arial" w:cs="Arial"/>
                <w:i/>
                <w:iCs/>
                <w:sz w:val="14"/>
                <w:szCs w:val="14"/>
              </w:rPr>
              <w:t xml:space="preserve">    </w:t>
            </w:r>
            <w:r w:rsidRPr="00CC271B">
              <w:rPr>
                <w:rFonts w:ascii="Arial" w:eastAsia="Times New Roman" w:hAnsi="Arial" w:cs="Arial"/>
                <w:i/>
                <w:iCs/>
                <w:sz w:val="14"/>
                <w:szCs w:val="14"/>
              </w:rPr>
              <w:t>0.22</w:t>
            </w:r>
            <w:r w:rsidRPr="00CC271B">
              <w:rPr>
                <w:rFonts w:ascii="Arial" w:eastAsia="Times New Roman" w:hAnsi="Arial" w:cs="Arial"/>
                <w:i/>
                <w:iCs/>
                <w:sz w:val="14"/>
                <w:szCs w:val="14"/>
              </w:rPr>
              <w:br/>
            </w:r>
            <w:proofErr w:type="gramStart"/>
            <w:r>
              <w:rPr>
                <w:rFonts w:ascii="Arial" w:eastAsia="Times New Roman" w:hAnsi="Arial" w:cs="Arial"/>
                <w:i/>
                <w:iCs/>
                <w:sz w:val="14"/>
                <w:szCs w:val="14"/>
              </w:rPr>
              <w:t xml:space="preserve">   </w:t>
            </w:r>
            <w:r w:rsidRPr="00CC271B">
              <w:rPr>
                <w:rFonts w:ascii="Arial" w:eastAsia="Times New Roman" w:hAnsi="Arial" w:cs="Arial"/>
                <w:i/>
                <w:iCs/>
                <w:sz w:val="14"/>
                <w:szCs w:val="14"/>
              </w:rPr>
              <w:t>(</w:t>
            </w:r>
            <w:proofErr w:type="gramEnd"/>
            <w:r w:rsidRPr="00CC271B">
              <w:rPr>
                <w:rFonts w:ascii="Arial" w:eastAsia="Times New Roman" w:hAnsi="Arial" w:cs="Arial"/>
                <w:i/>
                <w:iCs/>
                <w:sz w:val="14"/>
                <w:szCs w:val="14"/>
              </w:rPr>
              <w:t>0.95)</w:t>
            </w:r>
          </w:p>
        </w:tc>
        <w:tc>
          <w:tcPr>
            <w:tcW w:w="0" w:type="auto"/>
            <w:shd w:val="clear" w:color="auto" w:fill="FFFFFF"/>
            <w:tcMar>
              <w:top w:w="90" w:type="dxa"/>
              <w:left w:w="90" w:type="dxa"/>
              <w:bottom w:w="90" w:type="dxa"/>
              <w:right w:w="90" w:type="dxa"/>
            </w:tcMar>
            <w:vAlign w:val="center"/>
            <w:hideMark/>
          </w:tcPr>
          <w:p w14:paraId="7231B9CE" w14:textId="77777777" w:rsidR="00CC271B" w:rsidRPr="00CC271B" w:rsidRDefault="00CC271B" w:rsidP="00CC271B">
            <w:pPr>
              <w:rPr>
                <w:rFonts w:ascii="Arial" w:eastAsia="Times New Roman" w:hAnsi="Arial" w:cs="Arial"/>
                <w:i/>
                <w:iCs/>
                <w:sz w:val="14"/>
                <w:szCs w:val="14"/>
              </w:rPr>
            </w:pPr>
            <w:r w:rsidRPr="00CC271B">
              <w:rPr>
                <w:rFonts w:ascii="Arial" w:eastAsia="Times New Roman" w:hAnsi="Arial" w:cs="Arial"/>
                <w:i/>
                <w:iCs/>
                <w:sz w:val="14"/>
                <w:szCs w:val="14"/>
              </w:rPr>
              <w:t>0.003</w:t>
            </w:r>
            <w:r w:rsidRPr="00CC271B">
              <w:rPr>
                <w:rFonts w:ascii="Arial" w:eastAsia="Times New Roman" w:hAnsi="Arial" w:cs="Arial"/>
                <w:i/>
                <w:iCs/>
                <w:sz w:val="14"/>
                <w:szCs w:val="14"/>
              </w:rPr>
              <w:br/>
              <w:t>(0.01)</w:t>
            </w:r>
          </w:p>
        </w:tc>
        <w:tc>
          <w:tcPr>
            <w:tcW w:w="0" w:type="auto"/>
            <w:shd w:val="clear" w:color="auto" w:fill="FFFFFF"/>
            <w:tcMar>
              <w:top w:w="90" w:type="dxa"/>
              <w:left w:w="90" w:type="dxa"/>
              <w:bottom w:w="90" w:type="dxa"/>
              <w:right w:w="90" w:type="dxa"/>
            </w:tcMar>
            <w:vAlign w:val="center"/>
            <w:hideMark/>
          </w:tcPr>
          <w:p w14:paraId="78B21AEE" w14:textId="77777777" w:rsidR="00CC271B" w:rsidRPr="00CC271B" w:rsidRDefault="00CC271B" w:rsidP="00CC271B">
            <w:pPr>
              <w:rPr>
                <w:rFonts w:ascii="Arial" w:eastAsia="Times New Roman" w:hAnsi="Arial" w:cs="Arial"/>
                <w:i/>
                <w:iCs/>
                <w:sz w:val="14"/>
                <w:szCs w:val="14"/>
              </w:rPr>
            </w:pPr>
            <w:r w:rsidRPr="00CC271B">
              <w:rPr>
                <w:rFonts w:ascii="Arial" w:eastAsia="Times New Roman" w:hAnsi="Arial" w:cs="Arial"/>
                <w:i/>
                <w:iCs/>
                <w:sz w:val="14"/>
                <w:szCs w:val="14"/>
              </w:rPr>
              <w:t>0.9701</w:t>
            </w:r>
          </w:p>
        </w:tc>
        <w:tc>
          <w:tcPr>
            <w:tcW w:w="0" w:type="auto"/>
            <w:shd w:val="clear" w:color="auto" w:fill="FFFFFF"/>
            <w:tcMar>
              <w:top w:w="90" w:type="dxa"/>
              <w:left w:w="90" w:type="dxa"/>
              <w:bottom w:w="90" w:type="dxa"/>
              <w:right w:w="90" w:type="dxa"/>
            </w:tcMar>
            <w:vAlign w:val="center"/>
            <w:hideMark/>
          </w:tcPr>
          <w:p w14:paraId="63C0097B" w14:textId="77777777" w:rsidR="00CC271B" w:rsidRPr="00CC271B" w:rsidRDefault="00CC271B" w:rsidP="00CC271B">
            <w:pPr>
              <w:rPr>
                <w:rFonts w:ascii="Arial" w:eastAsia="Times New Roman" w:hAnsi="Arial" w:cs="Arial"/>
                <w:i/>
                <w:iCs/>
                <w:sz w:val="14"/>
                <w:szCs w:val="14"/>
              </w:rPr>
            </w:pPr>
            <w:r w:rsidRPr="00CC271B">
              <w:rPr>
                <w:rFonts w:ascii="Arial" w:eastAsia="Times New Roman" w:hAnsi="Arial" w:cs="Arial"/>
                <w:i/>
                <w:iCs/>
                <w:sz w:val="14"/>
                <w:szCs w:val="14"/>
              </w:rPr>
              <w:t>0.16</w:t>
            </w:r>
          </w:p>
        </w:tc>
        <w:tc>
          <w:tcPr>
            <w:tcW w:w="0" w:type="auto"/>
          </w:tcPr>
          <w:p w14:paraId="06C33758" w14:textId="77777777" w:rsidR="00CC271B" w:rsidRPr="00CC271B" w:rsidRDefault="00CC271B" w:rsidP="00CC271B">
            <w:pPr>
              <w:rPr>
                <w:rFonts w:ascii="Arial" w:eastAsia="Times New Roman" w:hAnsi="Arial" w:cs="Arial"/>
                <w:i/>
                <w:iCs/>
                <w:sz w:val="16"/>
                <w:szCs w:val="16"/>
              </w:rPr>
            </w:pPr>
          </w:p>
        </w:tc>
      </w:tr>
    </w:tbl>
    <w:p w14:paraId="5A9CDFF8" w14:textId="77777777" w:rsidR="00CC271B" w:rsidRPr="00CC271B" w:rsidRDefault="00CC271B" w:rsidP="00CC271B">
      <w:pPr>
        <w:divId w:val="1575237601"/>
        <w:rPr>
          <w:rFonts w:ascii="Arial" w:eastAsia="Times New Roman" w:hAnsi="Arial" w:cs="Arial"/>
          <w:sz w:val="16"/>
          <w:szCs w:val="16"/>
          <w:lang w:val="en"/>
        </w:rPr>
      </w:pPr>
    </w:p>
    <w:p w14:paraId="59DE394D" w14:textId="4B03A1A3" w:rsidR="00CC271B" w:rsidRDefault="00CC271B" w:rsidP="00CC271B">
      <w:pPr>
        <w:divId w:val="1575237601"/>
        <w:rPr>
          <w:rFonts w:ascii="Arial" w:eastAsia="Times New Roman" w:hAnsi="Arial" w:cs="Arial"/>
          <w:i/>
          <w:iCs/>
          <w:sz w:val="16"/>
          <w:szCs w:val="16"/>
          <w:lang w:val="en"/>
        </w:rPr>
      </w:pPr>
      <w:r>
        <w:rPr>
          <w:rFonts w:ascii="Arial" w:eastAsia="Times New Roman" w:hAnsi="Arial" w:cs="Arial"/>
          <w:i/>
          <w:iCs/>
          <w:sz w:val="16"/>
          <w:szCs w:val="16"/>
          <w:lang w:val="en"/>
        </w:rPr>
        <w:t>Source: Author's estimation, 2024. ***, **, * denotes statistical significance at 1%, 5% and 10%, respectively. Standard errors are in parentheses.</w:t>
      </w:r>
    </w:p>
    <w:p w14:paraId="64C2E0C1" w14:textId="77777777" w:rsidR="00CC271B" w:rsidRPr="00CC271B" w:rsidRDefault="00CC271B">
      <w:pPr>
        <w:divId w:val="1575237601"/>
        <w:rPr>
          <w:rFonts w:ascii="Arial" w:eastAsia="Times New Roman" w:hAnsi="Arial" w:cs="Arial"/>
          <w:sz w:val="16"/>
          <w:szCs w:val="16"/>
          <w:lang w:val="en"/>
        </w:rPr>
      </w:pPr>
    </w:p>
    <w:p w14:paraId="3285CD92" w14:textId="77777777" w:rsidR="005953CA" w:rsidRDefault="006E6F84">
      <w:pPr>
        <w:pStyle w:val="NormalWeb"/>
        <w:rPr>
          <w:rFonts w:ascii="Arial" w:hAnsi="Arial" w:cs="Arial"/>
          <w:sz w:val="20"/>
          <w:szCs w:val="20"/>
          <w:lang w:val="en"/>
        </w:rPr>
      </w:pPr>
      <w:r>
        <w:rPr>
          <w:rFonts w:ascii="Arial" w:hAnsi="Arial" w:cs="Arial"/>
          <w:sz w:val="20"/>
          <w:szCs w:val="20"/>
          <w:lang w:val="en"/>
        </w:rPr>
        <w:lastRenderedPageBreak/>
        <w:t xml:space="preserve">The coefficient for </w:t>
      </w:r>
      <w:proofErr w:type="gramStart"/>
      <w:r>
        <w:rPr>
          <w:rFonts w:ascii="Arial" w:hAnsi="Arial" w:cs="Arial"/>
          <w:sz w:val="20"/>
          <w:szCs w:val="20"/>
          <w:lang w:val="en"/>
        </w:rPr>
        <w:t>log(</w:t>
      </w:r>
      <w:proofErr w:type="gramEnd"/>
      <w:r>
        <w:rPr>
          <w:rFonts w:ascii="Arial" w:hAnsi="Arial" w:cs="Arial"/>
          <w:sz w:val="20"/>
          <w:szCs w:val="20"/>
          <w:lang w:val="en"/>
        </w:rPr>
        <w:t>Y</w:t>
      </w:r>
      <w:r>
        <w:rPr>
          <w:rFonts w:ascii="Arial" w:hAnsi="Arial" w:cs="Arial"/>
          <w:sz w:val="16"/>
          <w:szCs w:val="16"/>
          <w:vertAlign w:val="subscript"/>
          <w:lang w:val="en"/>
        </w:rPr>
        <w:t>t</w:t>
      </w:r>
      <w:r>
        <w:rPr>
          <w:rFonts w:ascii="Arial" w:hAnsi="Arial" w:cs="Arial"/>
          <w:sz w:val="20"/>
          <w:szCs w:val="20"/>
          <w:lang w:val="en"/>
        </w:rPr>
        <w:t>), β</w:t>
      </w:r>
      <w:r>
        <w:rPr>
          <w:rFonts w:ascii="Arial" w:hAnsi="Arial" w:cs="Arial"/>
          <w:sz w:val="16"/>
          <w:szCs w:val="16"/>
          <w:vertAlign w:val="subscript"/>
          <w:lang w:val="en"/>
        </w:rPr>
        <w:t>2</w:t>
      </w:r>
      <w:r>
        <w:rPr>
          <w:rFonts w:ascii="Arial" w:hAnsi="Arial" w:cs="Arial"/>
          <w:sz w:val="20"/>
          <w:szCs w:val="20"/>
          <w:lang w:val="en"/>
        </w:rPr>
        <w:t>, is positive (1.25) and statistically significant at the 1% level (</w:t>
      </w:r>
      <w:r>
        <w:rPr>
          <w:rFonts w:ascii="Arial" w:hAnsi="Arial" w:cs="Arial"/>
          <w:i/>
          <w:iCs/>
          <w:sz w:val="20"/>
          <w:szCs w:val="20"/>
          <w:lang w:val="en"/>
        </w:rPr>
        <w:t>p</w:t>
      </w:r>
      <w:r>
        <w:rPr>
          <w:rFonts w:ascii="Arial" w:hAnsi="Arial" w:cs="Arial"/>
          <w:sz w:val="20"/>
          <w:szCs w:val="20"/>
          <w:lang w:val="en"/>
        </w:rPr>
        <w:t>-value &lt; .001). Holding other variables constant, we expect real money balance to increase by 1.25 percent when real income increases by one percent. This finding is consistent with the classical view of money demand theory, as found in Haug and Lucas's (1996) study of Canadian money demand, which suggests that increased economic activity drives transaction demand for money.</w:t>
      </w:r>
    </w:p>
    <w:p w14:paraId="522C35FA" w14:textId="77777777" w:rsidR="005953CA" w:rsidRDefault="006E6F84">
      <w:pPr>
        <w:pStyle w:val="NormalWeb"/>
        <w:rPr>
          <w:rFonts w:ascii="Arial" w:hAnsi="Arial" w:cs="Arial"/>
          <w:sz w:val="20"/>
          <w:szCs w:val="20"/>
          <w:lang w:val="en"/>
        </w:rPr>
      </w:pPr>
      <w:r>
        <w:rPr>
          <w:rFonts w:ascii="Arial" w:hAnsi="Arial" w:cs="Arial"/>
          <w:sz w:val="20"/>
          <w:szCs w:val="20"/>
          <w:lang w:val="en"/>
        </w:rPr>
        <w:t>The coefficient for i</w:t>
      </w:r>
      <w:r>
        <w:rPr>
          <w:rFonts w:ascii="Arial" w:hAnsi="Arial" w:cs="Arial"/>
          <w:sz w:val="16"/>
          <w:szCs w:val="16"/>
          <w:vertAlign w:val="subscript"/>
          <w:lang w:val="en"/>
        </w:rPr>
        <w:t>t</w:t>
      </w:r>
      <w:r>
        <w:rPr>
          <w:rFonts w:ascii="Arial" w:hAnsi="Arial" w:cs="Arial"/>
          <w:sz w:val="20"/>
          <w:szCs w:val="20"/>
          <w:lang w:val="en"/>
        </w:rPr>
        <w:t>, β</w:t>
      </w:r>
      <w:r>
        <w:rPr>
          <w:rFonts w:ascii="Arial" w:hAnsi="Arial" w:cs="Arial"/>
          <w:sz w:val="16"/>
          <w:szCs w:val="16"/>
          <w:vertAlign w:val="subscript"/>
          <w:lang w:val="en"/>
        </w:rPr>
        <w:t>3</w:t>
      </w:r>
      <w:r>
        <w:rPr>
          <w:rFonts w:ascii="Arial" w:hAnsi="Arial" w:cs="Arial"/>
          <w:sz w:val="20"/>
          <w:szCs w:val="20"/>
          <w:lang w:val="en"/>
        </w:rPr>
        <w:t>, is negative (-0.02) and statistically significant at the 1% level (</w:t>
      </w:r>
      <w:r>
        <w:rPr>
          <w:rFonts w:ascii="Arial" w:hAnsi="Arial" w:cs="Arial"/>
          <w:i/>
          <w:iCs/>
          <w:sz w:val="20"/>
          <w:szCs w:val="20"/>
          <w:lang w:val="en"/>
        </w:rPr>
        <w:t>p</w:t>
      </w:r>
      <w:r>
        <w:rPr>
          <w:rFonts w:ascii="Arial" w:hAnsi="Arial" w:cs="Arial"/>
          <w:sz w:val="20"/>
          <w:szCs w:val="20"/>
          <w:lang w:val="en"/>
        </w:rPr>
        <w:t>-value &lt; .001). The coefficient indicates that a one percent increase in the interest rate leads to a 0.02 percent decrease in real money balance, holding other regressors constant. This inverse relationship aligns with the theoretical expectation that higher interest rates raise the opportunity cost of holding money, thus reducing money demand. This finding is consistent with the broader literature on money demand in Canada. For instance, Atta-Mensah (2004) in a Bank of Canada working paper examining money demand and economic uncertainty for various Canadian monetary aggregates also found a significant negative relationship between interest rates and real money demand.</w:t>
      </w:r>
    </w:p>
    <w:p w14:paraId="051F8CCB" w14:textId="77777777" w:rsidR="005953CA" w:rsidRDefault="006E6F84">
      <w:pPr>
        <w:pStyle w:val="NormalWeb"/>
        <w:rPr>
          <w:rFonts w:ascii="Arial" w:hAnsi="Arial" w:cs="Arial"/>
          <w:sz w:val="20"/>
          <w:szCs w:val="20"/>
          <w:lang w:val="en"/>
        </w:rPr>
      </w:pPr>
      <w:r>
        <w:rPr>
          <w:rFonts w:ascii="Arial" w:hAnsi="Arial" w:cs="Arial"/>
          <w:sz w:val="20"/>
          <w:szCs w:val="20"/>
          <w:lang w:val="en"/>
        </w:rPr>
        <w:t>The dummy variable d08</w:t>
      </w:r>
      <w:r>
        <w:rPr>
          <w:rFonts w:ascii="Arial" w:hAnsi="Arial" w:cs="Arial"/>
          <w:sz w:val="16"/>
          <w:szCs w:val="16"/>
          <w:vertAlign w:val="subscript"/>
          <w:lang w:val="en"/>
        </w:rPr>
        <w:t>t</w:t>
      </w:r>
      <w:r>
        <w:rPr>
          <w:rFonts w:ascii="Arial" w:hAnsi="Arial" w:cs="Arial"/>
          <w:sz w:val="20"/>
          <w:szCs w:val="20"/>
          <w:lang w:val="en"/>
        </w:rPr>
        <w:t xml:space="preserve"> has a coefficient of -2.12 with a high </w:t>
      </w:r>
      <w:r>
        <w:rPr>
          <w:rFonts w:ascii="Arial" w:hAnsi="Arial" w:cs="Arial"/>
          <w:i/>
          <w:iCs/>
          <w:sz w:val="20"/>
          <w:szCs w:val="20"/>
          <w:lang w:val="en"/>
        </w:rPr>
        <w:t>p</w:t>
      </w:r>
      <w:r>
        <w:rPr>
          <w:rFonts w:ascii="Arial" w:hAnsi="Arial" w:cs="Arial"/>
          <w:sz w:val="20"/>
          <w:szCs w:val="20"/>
          <w:lang w:val="en"/>
        </w:rPr>
        <w:t>-value of .82, indicating that it is not statistically significant. The coefficient of interaction term [</w:t>
      </w:r>
      <w:proofErr w:type="gramStart"/>
      <w:r>
        <w:rPr>
          <w:rFonts w:ascii="Arial" w:hAnsi="Arial" w:cs="Arial"/>
          <w:sz w:val="20"/>
          <w:szCs w:val="20"/>
          <w:lang w:val="en"/>
        </w:rPr>
        <w:t>log(</w:t>
      </w:r>
      <w:proofErr w:type="gramEnd"/>
      <w:r>
        <w:rPr>
          <w:rFonts w:ascii="Arial" w:hAnsi="Arial" w:cs="Arial"/>
          <w:sz w:val="20"/>
          <w:szCs w:val="20"/>
          <w:lang w:val="en"/>
        </w:rPr>
        <w:t>Y</w:t>
      </w:r>
      <w:r>
        <w:rPr>
          <w:rFonts w:ascii="Arial" w:hAnsi="Arial" w:cs="Arial"/>
          <w:sz w:val="16"/>
          <w:szCs w:val="16"/>
          <w:vertAlign w:val="subscript"/>
          <w:lang w:val="en"/>
        </w:rPr>
        <w:t>t</w:t>
      </w:r>
      <w:r>
        <w:rPr>
          <w:rFonts w:ascii="Arial" w:hAnsi="Arial" w:cs="Arial"/>
          <w:sz w:val="20"/>
          <w:szCs w:val="20"/>
          <w:lang w:val="en"/>
        </w:rPr>
        <w:t>) × d08</w:t>
      </w:r>
      <w:r>
        <w:rPr>
          <w:rFonts w:ascii="Arial" w:hAnsi="Arial" w:cs="Arial"/>
          <w:sz w:val="16"/>
          <w:szCs w:val="16"/>
          <w:vertAlign w:val="subscript"/>
          <w:lang w:val="en"/>
        </w:rPr>
        <w:t>t</w:t>
      </w:r>
      <w:r>
        <w:rPr>
          <w:rFonts w:ascii="Arial" w:hAnsi="Arial" w:cs="Arial"/>
          <w:sz w:val="20"/>
          <w:szCs w:val="20"/>
          <w:lang w:val="en"/>
        </w:rPr>
        <w:t>], δ</w:t>
      </w:r>
      <w:r>
        <w:rPr>
          <w:rFonts w:ascii="Arial" w:hAnsi="Arial" w:cs="Arial"/>
          <w:sz w:val="16"/>
          <w:szCs w:val="16"/>
          <w:vertAlign w:val="subscript"/>
          <w:lang w:val="en"/>
        </w:rPr>
        <w:t>2</w:t>
      </w:r>
      <w:r>
        <w:rPr>
          <w:rFonts w:ascii="Arial" w:hAnsi="Arial" w:cs="Arial"/>
          <w:sz w:val="20"/>
          <w:szCs w:val="20"/>
          <w:lang w:val="en"/>
        </w:rPr>
        <w:t xml:space="preserve">, has a positive coefficient with a very high </w:t>
      </w:r>
      <w:r>
        <w:rPr>
          <w:rFonts w:ascii="Arial" w:hAnsi="Arial" w:cs="Arial"/>
          <w:i/>
          <w:iCs/>
          <w:sz w:val="20"/>
          <w:szCs w:val="20"/>
          <w:lang w:val="en"/>
        </w:rPr>
        <w:t>p</w:t>
      </w:r>
      <w:r>
        <w:rPr>
          <w:rFonts w:ascii="Arial" w:hAnsi="Arial" w:cs="Arial"/>
          <w:sz w:val="20"/>
          <w:szCs w:val="20"/>
          <w:lang w:val="en"/>
        </w:rPr>
        <w:t>-value of .84, indicating a lack of statistical significance. Conversely, the coefficient of the interaction term [i</w:t>
      </w:r>
      <w:r>
        <w:rPr>
          <w:rFonts w:ascii="Arial" w:hAnsi="Arial" w:cs="Arial"/>
          <w:sz w:val="16"/>
          <w:szCs w:val="16"/>
          <w:vertAlign w:val="subscript"/>
          <w:lang w:val="en"/>
        </w:rPr>
        <w:t>t</w:t>
      </w:r>
      <w:r>
        <w:rPr>
          <w:rFonts w:ascii="Arial" w:hAnsi="Arial" w:cs="Arial"/>
          <w:sz w:val="20"/>
          <w:szCs w:val="20"/>
          <w:lang w:val="en"/>
        </w:rPr>
        <w:t xml:space="preserve"> × d08</w:t>
      </w:r>
      <w:r>
        <w:rPr>
          <w:rFonts w:ascii="Arial" w:hAnsi="Arial" w:cs="Arial"/>
          <w:sz w:val="16"/>
          <w:szCs w:val="16"/>
          <w:vertAlign w:val="subscript"/>
          <w:lang w:val="en"/>
        </w:rPr>
        <w:t>t</w:t>
      </w:r>
      <w:r>
        <w:rPr>
          <w:rFonts w:ascii="Arial" w:hAnsi="Arial" w:cs="Arial"/>
          <w:sz w:val="20"/>
          <w:szCs w:val="20"/>
          <w:lang w:val="en"/>
        </w:rPr>
        <w:t>], δ</w:t>
      </w:r>
      <w:r>
        <w:rPr>
          <w:rFonts w:ascii="Arial" w:hAnsi="Arial" w:cs="Arial"/>
          <w:sz w:val="16"/>
          <w:szCs w:val="16"/>
          <w:vertAlign w:val="subscript"/>
          <w:lang w:val="en"/>
        </w:rPr>
        <w:t>3</w:t>
      </w:r>
      <w:r>
        <w:rPr>
          <w:rFonts w:ascii="Arial" w:hAnsi="Arial" w:cs="Arial"/>
          <w:sz w:val="20"/>
          <w:szCs w:val="20"/>
          <w:lang w:val="en"/>
        </w:rPr>
        <w:t xml:space="preserve">, has a positive coefficient of 0.02 and it is significant at 5% level with a </w:t>
      </w:r>
      <w:r>
        <w:rPr>
          <w:rFonts w:ascii="Arial" w:hAnsi="Arial" w:cs="Arial"/>
          <w:i/>
          <w:iCs/>
          <w:sz w:val="20"/>
          <w:szCs w:val="20"/>
          <w:lang w:val="en"/>
        </w:rPr>
        <w:t>p</w:t>
      </w:r>
      <w:r>
        <w:rPr>
          <w:rFonts w:ascii="Arial" w:hAnsi="Arial" w:cs="Arial"/>
          <w:sz w:val="20"/>
          <w:szCs w:val="20"/>
          <w:lang w:val="en"/>
        </w:rPr>
        <w:t>-value of .03. This indicates that the relationship between the interest rates and the money demand changed after the structural break.</w:t>
      </w:r>
    </w:p>
    <w:p w14:paraId="2668FA79" w14:textId="77777777" w:rsidR="005953CA" w:rsidRDefault="006E6F84">
      <w:pPr>
        <w:pStyle w:val="NormalWeb"/>
        <w:rPr>
          <w:rFonts w:ascii="Arial" w:hAnsi="Arial" w:cs="Arial"/>
          <w:sz w:val="20"/>
          <w:szCs w:val="20"/>
          <w:lang w:val="en"/>
        </w:rPr>
      </w:pPr>
      <w:r>
        <w:rPr>
          <w:rFonts w:ascii="Arial" w:hAnsi="Arial" w:cs="Arial"/>
          <w:sz w:val="20"/>
          <w:szCs w:val="20"/>
          <w:lang w:val="en"/>
        </w:rPr>
        <w:t>The COVID period dummy (d09</w:t>
      </w:r>
      <w:r>
        <w:rPr>
          <w:rFonts w:ascii="Arial" w:hAnsi="Arial" w:cs="Arial"/>
          <w:sz w:val="16"/>
          <w:szCs w:val="16"/>
          <w:vertAlign w:val="subscript"/>
          <w:lang w:val="en"/>
        </w:rPr>
        <w:t>t</w:t>
      </w:r>
      <w:r>
        <w:rPr>
          <w:rFonts w:ascii="Arial" w:hAnsi="Arial" w:cs="Arial"/>
          <w:sz w:val="20"/>
          <w:szCs w:val="20"/>
          <w:lang w:val="en"/>
        </w:rPr>
        <w:t>) and its associated interaction terms ([</w:t>
      </w:r>
      <w:proofErr w:type="gramStart"/>
      <w:r>
        <w:rPr>
          <w:rFonts w:ascii="Arial" w:hAnsi="Arial" w:cs="Arial"/>
          <w:sz w:val="20"/>
          <w:szCs w:val="20"/>
          <w:lang w:val="en"/>
        </w:rPr>
        <w:t>log(</w:t>
      </w:r>
      <w:proofErr w:type="gramEnd"/>
      <w:r>
        <w:rPr>
          <w:rFonts w:ascii="Arial" w:hAnsi="Arial" w:cs="Arial"/>
          <w:sz w:val="20"/>
          <w:szCs w:val="20"/>
          <w:lang w:val="en"/>
        </w:rPr>
        <w:t>Y</w:t>
      </w:r>
      <w:r>
        <w:rPr>
          <w:rFonts w:ascii="Arial" w:hAnsi="Arial" w:cs="Arial"/>
          <w:sz w:val="16"/>
          <w:szCs w:val="16"/>
          <w:vertAlign w:val="subscript"/>
          <w:lang w:val="en"/>
        </w:rPr>
        <w:t>t</w:t>
      </w:r>
      <w:r>
        <w:rPr>
          <w:rFonts w:ascii="Arial" w:hAnsi="Arial" w:cs="Arial"/>
          <w:sz w:val="20"/>
          <w:szCs w:val="20"/>
          <w:lang w:val="en"/>
        </w:rPr>
        <w:t>) × d09</w:t>
      </w:r>
      <w:r>
        <w:rPr>
          <w:rFonts w:ascii="Arial" w:hAnsi="Arial" w:cs="Arial"/>
          <w:sz w:val="16"/>
          <w:szCs w:val="16"/>
          <w:vertAlign w:val="subscript"/>
          <w:lang w:val="en"/>
        </w:rPr>
        <w:t>t</w:t>
      </w:r>
      <w:r>
        <w:rPr>
          <w:rFonts w:ascii="Arial" w:hAnsi="Arial" w:cs="Arial"/>
          <w:sz w:val="20"/>
          <w:szCs w:val="20"/>
          <w:lang w:val="en"/>
        </w:rPr>
        <w:t>] and [i</w:t>
      </w:r>
      <w:r>
        <w:rPr>
          <w:rFonts w:ascii="Arial" w:hAnsi="Arial" w:cs="Arial"/>
          <w:sz w:val="16"/>
          <w:szCs w:val="16"/>
          <w:vertAlign w:val="subscript"/>
          <w:lang w:val="en"/>
        </w:rPr>
        <w:t>t</w:t>
      </w:r>
      <w:r>
        <w:rPr>
          <w:rFonts w:ascii="Arial" w:hAnsi="Arial" w:cs="Arial"/>
          <w:sz w:val="20"/>
          <w:szCs w:val="20"/>
          <w:lang w:val="en"/>
        </w:rPr>
        <w:t xml:space="preserve"> × d09</w:t>
      </w:r>
      <w:r>
        <w:rPr>
          <w:rFonts w:ascii="Arial" w:hAnsi="Arial" w:cs="Arial"/>
          <w:sz w:val="16"/>
          <w:szCs w:val="16"/>
          <w:vertAlign w:val="subscript"/>
          <w:lang w:val="en"/>
        </w:rPr>
        <w:t>t</w:t>
      </w:r>
      <w:r>
        <w:rPr>
          <w:rFonts w:ascii="Arial" w:hAnsi="Arial" w:cs="Arial"/>
          <w:sz w:val="20"/>
          <w:szCs w:val="20"/>
          <w:lang w:val="en"/>
        </w:rPr>
        <w:t>]) also fail to show statistically significant effects in the OLS model.</w:t>
      </w:r>
    </w:p>
    <w:p w14:paraId="245DCCAD" w14:textId="77777777" w:rsidR="005953CA" w:rsidRDefault="006E6F84">
      <w:pPr>
        <w:pStyle w:val="NormalWeb"/>
        <w:rPr>
          <w:rFonts w:ascii="Arial" w:hAnsi="Arial" w:cs="Arial"/>
          <w:sz w:val="20"/>
          <w:szCs w:val="20"/>
          <w:lang w:val="en"/>
        </w:rPr>
      </w:pPr>
      <w:r>
        <w:rPr>
          <w:rFonts w:ascii="Arial" w:hAnsi="Arial" w:cs="Arial"/>
          <w:sz w:val="20"/>
          <w:szCs w:val="20"/>
          <w:lang w:val="en"/>
        </w:rPr>
        <w:t xml:space="preserve">The adjusted R-squared (0.9701) shows that 97.01% of the variation in the money demand is explained by the regressors. However, diagnostic tests on the estimated model reveal a significant presence of positive autocorrelation. The Durbin-Watson test statistic (DW = 0.16) yields a </w:t>
      </w:r>
      <w:r>
        <w:rPr>
          <w:rFonts w:ascii="Arial" w:hAnsi="Arial" w:cs="Arial"/>
          <w:i/>
          <w:iCs/>
          <w:sz w:val="20"/>
          <w:szCs w:val="20"/>
          <w:lang w:val="en"/>
        </w:rPr>
        <w:t>p</w:t>
      </w:r>
      <w:r>
        <w:rPr>
          <w:rFonts w:ascii="Arial" w:hAnsi="Arial" w:cs="Arial"/>
          <w:sz w:val="20"/>
          <w:szCs w:val="20"/>
          <w:lang w:val="en"/>
        </w:rPr>
        <w:t>-value less than .001, strongly rejecting the null hypothesis of no autocorrelation. This indicates substantial positive autocorrelation in the errors, suggesting that the OLS estimators are inefficient.</w:t>
      </w:r>
    </w:p>
    <w:p w14:paraId="3D81BEB9" w14:textId="77777777" w:rsidR="005953CA" w:rsidRDefault="006E6F84">
      <w:pPr>
        <w:jc w:val="both"/>
        <w:divId w:val="224143311"/>
        <w:rPr>
          <w:rFonts w:ascii="Arial" w:eastAsia="Times New Roman" w:hAnsi="Arial" w:cs="Arial"/>
          <w:b/>
          <w:bCs/>
          <w:sz w:val="20"/>
          <w:szCs w:val="20"/>
          <w:lang w:val="en"/>
        </w:rPr>
      </w:pPr>
      <w:r>
        <w:rPr>
          <w:rFonts w:ascii="Arial" w:eastAsia="Times New Roman" w:hAnsi="Arial" w:cs="Arial"/>
          <w:b/>
          <w:bCs/>
          <w:sz w:val="20"/>
          <w:szCs w:val="20"/>
          <w:lang w:val="en"/>
        </w:rPr>
        <w:t>3.2 GLS Estimation Results</w:t>
      </w:r>
    </w:p>
    <w:p w14:paraId="357E89B0" w14:textId="77777777" w:rsidR="005953CA" w:rsidRDefault="006E6F84">
      <w:pPr>
        <w:pStyle w:val="NormalWeb"/>
        <w:rPr>
          <w:rFonts w:ascii="Arial" w:hAnsi="Arial" w:cs="Arial"/>
          <w:sz w:val="20"/>
          <w:szCs w:val="20"/>
          <w:lang w:val="en"/>
        </w:rPr>
      </w:pPr>
      <w:r>
        <w:rPr>
          <w:rFonts w:ascii="Arial" w:hAnsi="Arial" w:cs="Arial"/>
          <w:sz w:val="20"/>
          <w:szCs w:val="20"/>
          <w:lang w:val="en"/>
        </w:rPr>
        <w:t xml:space="preserve">To account for this serial correlation and obtain more reliable estimates, we estimate the money demand function with the </w:t>
      </w:r>
      <w:proofErr w:type="gramStart"/>
      <w:r>
        <w:rPr>
          <w:rFonts w:ascii="Arial" w:hAnsi="Arial" w:cs="Arial"/>
          <w:sz w:val="20"/>
          <w:szCs w:val="20"/>
          <w:lang w:val="en"/>
        </w:rPr>
        <w:t>AR(</w:t>
      </w:r>
      <w:proofErr w:type="gramEnd"/>
      <w:r>
        <w:rPr>
          <w:rFonts w:ascii="Arial" w:hAnsi="Arial" w:cs="Arial"/>
          <w:sz w:val="20"/>
          <w:szCs w:val="20"/>
          <w:lang w:val="en"/>
        </w:rPr>
        <w:t>1) process using GLS. The results of GLS model are presented below in Table 2.</w:t>
      </w:r>
    </w:p>
    <w:p w14:paraId="5274ED8B" w14:textId="77777777" w:rsidR="005953CA" w:rsidRDefault="006E6F84">
      <w:pPr>
        <w:divId w:val="1107458938"/>
        <w:rPr>
          <w:rFonts w:ascii="Arial" w:eastAsia="Times New Roman" w:hAnsi="Arial" w:cs="Arial"/>
          <w:b/>
          <w:bCs/>
          <w:sz w:val="20"/>
          <w:szCs w:val="20"/>
          <w:lang w:val="en"/>
        </w:rPr>
      </w:pPr>
      <w:r>
        <w:rPr>
          <w:rFonts w:ascii="Arial" w:eastAsia="Times New Roman" w:hAnsi="Arial" w:cs="Arial"/>
          <w:b/>
          <w:bCs/>
          <w:sz w:val="20"/>
          <w:szCs w:val="20"/>
          <w:lang w:val="en"/>
        </w:rPr>
        <w:t>Table 2. Generalized Least Squares (GLS) regression</w:t>
      </w:r>
    </w:p>
    <w:tbl>
      <w:tblPr>
        <w:tblW w:w="5000" w:type="pct"/>
        <w:tblBorders>
          <w:top w:val="single" w:sz="4" w:space="0" w:color="auto"/>
          <w:bottom w:val="single" w:sz="4" w:space="0" w:color="auto"/>
          <w:insideH w:val="single" w:sz="4" w:space="0" w:color="auto"/>
        </w:tblBorders>
        <w:tblCellMar>
          <w:top w:w="15" w:type="dxa"/>
          <w:left w:w="15" w:type="dxa"/>
          <w:bottom w:w="15" w:type="dxa"/>
          <w:right w:w="15" w:type="dxa"/>
        </w:tblCellMar>
        <w:tblLook w:val="04A0" w:firstRow="1" w:lastRow="0" w:firstColumn="1" w:lastColumn="0" w:noHBand="0" w:noVBand="1"/>
      </w:tblPr>
      <w:tblGrid>
        <w:gridCol w:w="890"/>
        <w:gridCol w:w="605"/>
        <w:gridCol w:w="716"/>
        <w:gridCol w:w="821"/>
        <w:gridCol w:w="605"/>
        <w:gridCol w:w="1108"/>
        <w:gridCol w:w="711"/>
        <w:gridCol w:w="769"/>
        <w:gridCol w:w="1108"/>
        <w:gridCol w:w="735"/>
        <w:gridCol w:w="1292"/>
      </w:tblGrid>
      <w:tr w:rsidR="0037114F" w:rsidRPr="00B556DE" w14:paraId="7597DBC6" w14:textId="77777777" w:rsidTr="00B556DE">
        <w:trPr>
          <w:divId w:val="1811285607"/>
        </w:trPr>
        <w:tc>
          <w:tcPr>
            <w:tcW w:w="0" w:type="auto"/>
            <w:shd w:val="clear" w:color="auto" w:fill="F0F0F0"/>
            <w:tcMar>
              <w:top w:w="90" w:type="dxa"/>
              <w:left w:w="90" w:type="dxa"/>
              <w:bottom w:w="90" w:type="dxa"/>
              <w:right w:w="90" w:type="dxa"/>
            </w:tcMar>
            <w:vAlign w:val="center"/>
            <w:hideMark/>
          </w:tcPr>
          <w:p w14:paraId="6AC9C7B5" w14:textId="77777777" w:rsidR="0037114F" w:rsidRPr="00B556DE" w:rsidRDefault="0037114F" w:rsidP="0037114F">
            <w:pPr>
              <w:rPr>
                <w:rFonts w:ascii="Arial" w:eastAsia="Times New Roman" w:hAnsi="Arial" w:cs="Arial"/>
                <w:b/>
                <w:bCs/>
                <w:i/>
                <w:iCs/>
                <w:sz w:val="14"/>
                <w:szCs w:val="14"/>
              </w:rPr>
            </w:pPr>
            <w:r w:rsidRPr="00B556DE">
              <w:rPr>
                <w:rFonts w:ascii="Arial" w:eastAsia="Times New Roman" w:hAnsi="Arial" w:cs="Arial"/>
                <w:b/>
                <w:bCs/>
                <w:i/>
                <w:iCs/>
                <w:sz w:val="14"/>
                <w:szCs w:val="14"/>
              </w:rPr>
              <w:t>Variables</w:t>
            </w:r>
          </w:p>
        </w:tc>
        <w:tc>
          <w:tcPr>
            <w:tcW w:w="0" w:type="auto"/>
            <w:shd w:val="clear" w:color="auto" w:fill="F0F0F0"/>
            <w:tcMar>
              <w:top w:w="90" w:type="dxa"/>
              <w:left w:w="90" w:type="dxa"/>
              <w:bottom w:w="90" w:type="dxa"/>
              <w:right w:w="90" w:type="dxa"/>
            </w:tcMar>
            <w:vAlign w:val="center"/>
            <w:hideMark/>
          </w:tcPr>
          <w:p w14:paraId="59FF5F44" w14:textId="44DB8F43" w:rsidR="0037114F" w:rsidRPr="00B556DE" w:rsidRDefault="0037114F" w:rsidP="0037114F">
            <w:pPr>
              <w:rPr>
                <w:rFonts w:ascii="Arial" w:eastAsia="Times New Roman" w:hAnsi="Arial" w:cs="Arial"/>
                <w:b/>
                <w:bCs/>
                <w:i/>
                <w:iCs/>
                <w:sz w:val="14"/>
                <w:szCs w:val="14"/>
              </w:rPr>
            </w:pPr>
            <w:r w:rsidRPr="00CC271B">
              <w:rPr>
                <w:rFonts w:ascii="Arial" w:eastAsia="Times New Roman" w:hAnsi="Arial" w:cs="Arial"/>
                <w:b/>
                <w:bCs/>
                <w:i/>
                <w:iCs/>
                <w:sz w:val="14"/>
                <w:szCs w:val="14"/>
              </w:rPr>
              <w:t>β</w:t>
            </w:r>
            <w:r w:rsidRPr="00CC271B">
              <w:rPr>
                <w:rFonts w:ascii="Arial" w:eastAsia="Times New Roman" w:hAnsi="Arial" w:cs="Arial"/>
                <w:b/>
                <w:bCs/>
                <w:i/>
                <w:iCs/>
                <w:sz w:val="14"/>
                <w:szCs w:val="14"/>
                <w:vertAlign w:val="subscript"/>
              </w:rPr>
              <w:t>1</w:t>
            </w:r>
          </w:p>
        </w:tc>
        <w:tc>
          <w:tcPr>
            <w:tcW w:w="0" w:type="auto"/>
            <w:shd w:val="clear" w:color="auto" w:fill="F0F0F0"/>
            <w:tcMar>
              <w:top w:w="90" w:type="dxa"/>
              <w:left w:w="90" w:type="dxa"/>
              <w:bottom w:w="90" w:type="dxa"/>
              <w:right w:w="90" w:type="dxa"/>
            </w:tcMar>
            <w:vAlign w:val="center"/>
            <w:hideMark/>
          </w:tcPr>
          <w:p w14:paraId="31F6741A" w14:textId="77777777" w:rsidR="0037114F" w:rsidRDefault="0037114F" w:rsidP="0037114F">
            <w:pPr>
              <w:rPr>
                <w:rFonts w:ascii="Arial" w:eastAsia="Times New Roman" w:hAnsi="Arial" w:cs="Arial"/>
                <w:b/>
                <w:bCs/>
                <w:i/>
                <w:iCs/>
                <w:sz w:val="14"/>
                <w:szCs w:val="14"/>
                <w:vertAlign w:val="subscript"/>
              </w:rPr>
            </w:pPr>
            <w:r>
              <w:rPr>
                <w:rFonts w:ascii="Arial" w:eastAsia="Times New Roman" w:hAnsi="Arial" w:cs="Arial"/>
                <w:b/>
                <w:bCs/>
                <w:i/>
                <w:iCs/>
                <w:sz w:val="14"/>
                <w:szCs w:val="14"/>
              </w:rPr>
              <w:t xml:space="preserve">     </w:t>
            </w:r>
            <w:r w:rsidRPr="00CC271B">
              <w:rPr>
                <w:rFonts w:ascii="Arial" w:eastAsia="Times New Roman" w:hAnsi="Arial" w:cs="Arial"/>
                <w:b/>
                <w:bCs/>
                <w:i/>
                <w:iCs/>
                <w:sz w:val="14"/>
                <w:szCs w:val="14"/>
              </w:rPr>
              <w:t>β</w:t>
            </w:r>
            <w:r w:rsidRPr="00CC271B">
              <w:rPr>
                <w:rFonts w:ascii="Arial" w:eastAsia="Times New Roman" w:hAnsi="Arial" w:cs="Arial"/>
                <w:b/>
                <w:bCs/>
                <w:i/>
                <w:iCs/>
                <w:sz w:val="14"/>
                <w:szCs w:val="14"/>
                <w:vertAlign w:val="subscript"/>
              </w:rPr>
              <w:t>2</w:t>
            </w:r>
          </w:p>
          <w:p w14:paraId="34F69EED" w14:textId="56D0C649" w:rsidR="0037114F" w:rsidRPr="00B556DE" w:rsidRDefault="0037114F" w:rsidP="0037114F">
            <w:pPr>
              <w:rPr>
                <w:rFonts w:ascii="Arial" w:eastAsia="Times New Roman" w:hAnsi="Arial" w:cs="Arial"/>
                <w:b/>
                <w:bCs/>
                <w:i/>
                <w:iCs/>
                <w:sz w:val="14"/>
                <w:szCs w:val="14"/>
              </w:rPr>
            </w:pPr>
            <w:r w:rsidRPr="00CC271B">
              <w:rPr>
                <w:rFonts w:ascii="Arial" w:eastAsia="Times New Roman" w:hAnsi="Arial" w:cs="Arial"/>
                <w:b/>
                <w:bCs/>
                <w:i/>
                <w:iCs/>
                <w:sz w:val="14"/>
                <w:szCs w:val="14"/>
              </w:rPr>
              <w:t> </w:t>
            </w:r>
            <w:proofErr w:type="gramStart"/>
            <w:r w:rsidRPr="00CC271B">
              <w:rPr>
                <w:rFonts w:ascii="Arial" w:eastAsia="Times New Roman" w:hAnsi="Arial" w:cs="Arial"/>
                <w:b/>
                <w:bCs/>
                <w:i/>
                <w:iCs/>
                <w:sz w:val="14"/>
                <w:szCs w:val="14"/>
              </w:rPr>
              <w:t>log(</w:t>
            </w:r>
            <w:proofErr w:type="gramEnd"/>
            <w:r w:rsidRPr="00CC271B">
              <w:rPr>
                <w:rFonts w:ascii="Arial" w:eastAsia="Times New Roman" w:hAnsi="Arial" w:cs="Arial"/>
                <w:b/>
                <w:bCs/>
                <w:i/>
                <w:iCs/>
                <w:sz w:val="14"/>
                <w:szCs w:val="14"/>
              </w:rPr>
              <w:t>Y</w:t>
            </w:r>
            <w:r w:rsidRPr="00CC271B">
              <w:rPr>
                <w:rFonts w:ascii="Arial" w:eastAsia="Times New Roman" w:hAnsi="Arial" w:cs="Arial"/>
                <w:b/>
                <w:bCs/>
                <w:i/>
                <w:iCs/>
                <w:sz w:val="14"/>
                <w:szCs w:val="14"/>
                <w:vertAlign w:val="subscript"/>
              </w:rPr>
              <w:t>t</w:t>
            </w:r>
            <w:r w:rsidRPr="00CC271B">
              <w:rPr>
                <w:rFonts w:ascii="Arial" w:eastAsia="Times New Roman" w:hAnsi="Arial" w:cs="Arial"/>
                <w:b/>
                <w:bCs/>
                <w:i/>
                <w:iCs/>
                <w:sz w:val="14"/>
                <w:szCs w:val="14"/>
              </w:rPr>
              <w:t>)</w:t>
            </w:r>
          </w:p>
        </w:tc>
        <w:tc>
          <w:tcPr>
            <w:tcW w:w="0" w:type="auto"/>
            <w:shd w:val="clear" w:color="auto" w:fill="F0F0F0"/>
            <w:tcMar>
              <w:top w:w="90" w:type="dxa"/>
              <w:left w:w="90" w:type="dxa"/>
              <w:bottom w:w="90" w:type="dxa"/>
              <w:right w:w="90" w:type="dxa"/>
            </w:tcMar>
            <w:vAlign w:val="center"/>
            <w:hideMark/>
          </w:tcPr>
          <w:p w14:paraId="03A8D282" w14:textId="77777777" w:rsidR="0037114F" w:rsidRDefault="0037114F" w:rsidP="0037114F">
            <w:pPr>
              <w:rPr>
                <w:rFonts w:ascii="Arial" w:eastAsia="Times New Roman" w:hAnsi="Arial" w:cs="Arial"/>
                <w:b/>
                <w:bCs/>
                <w:i/>
                <w:iCs/>
                <w:sz w:val="14"/>
                <w:szCs w:val="14"/>
                <w:vertAlign w:val="subscript"/>
              </w:rPr>
            </w:pPr>
            <w:r>
              <w:rPr>
                <w:rFonts w:ascii="Arial" w:eastAsia="Times New Roman" w:hAnsi="Arial" w:cs="Arial"/>
                <w:b/>
                <w:bCs/>
                <w:i/>
                <w:iCs/>
                <w:sz w:val="14"/>
                <w:szCs w:val="14"/>
              </w:rPr>
              <w:t xml:space="preserve"> </w:t>
            </w:r>
            <w:r w:rsidRPr="00CC271B">
              <w:rPr>
                <w:rFonts w:ascii="Arial" w:eastAsia="Times New Roman" w:hAnsi="Arial" w:cs="Arial"/>
                <w:b/>
                <w:bCs/>
                <w:i/>
                <w:iCs/>
                <w:sz w:val="14"/>
                <w:szCs w:val="14"/>
              </w:rPr>
              <w:t>β</w:t>
            </w:r>
            <w:r w:rsidRPr="00CC271B">
              <w:rPr>
                <w:rFonts w:ascii="Arial" w:eastAsia="Times New Roman" w:hAnsi="Arial" w:cs="Arial"/>
                <w:b/>
                <w:bCs/>
                <w:i/>
                <w:iCs/>
                <w:sz w:val="14"/>
                <w:szCs w:val="14"/>
                <w:vertAlign w:val="subscript"/>
              </w:rPr>
              <w:t>3</w:t>
            </w:r>
          </w:p>
          <w:p w14:paraId="743BC129" w14:textId="7EA0758D" w:rsidR="0037114F" w:rsidRPr="00B556DE" w:rsidRDefault="0037114F" w:rsidP="0037114F">
            <w:pPr>
              <w:rPr>
                <w:rFonts w:ascii="Arial" w:eastAsia="Times New Roman" w:hAnsi="Arial" w:cs="Arial"/>
                <w:b/>
                <w:bCs/>
                <w:i/>
                <w:iCs/>
                <w:sz w:val="14"/>
                <w:szCs w:val="14"/>
              </w:rPr>
            </w:pPr>
            <w:r>
              <w:rPr>
                <w:rFonts w:ascii="Arial" w:eastAsia="Times New Roman" w:hAnsi="Arial" w:cs="Arial"/>
                <w:b/>
                <w:bCs/>
                <w:i/>
                <w:iCs/>
                <w:sz w:val="14"/>
                <w:szCs w:val="14"/>
              </w:rPr>
              <w:t xml:space="preserve"> </w:t>
            </w:r>
            <w:r w:rsidRPr="00CC271B">
              <w:rPr>
                <w:rFonts w:ascii="Arial" w:eastAsia="Times New Roman" w:hAnsi="Arial" w:cs="Arial"/>
                <w:b/>
                <w:bCs/>
                <w:i/>
                <w:iCs/>
                <w:sz w:val="14"/>
                <w:szCs w:val="14"/>
              </w:rPr>
              <w:t> i</w:t>
            </w:r>
            <w:r w:rsidRPr="00CC271B">
              <w:rPr>
                <w:rFonts w:ascii="Arial" w:eastAsia="Times New Roman" w:hAnsi="Arial" w:cs="Arial"/>
                <w:b/>
                <w:bCs/>
                <w:i/>
                <w:iCs/>
                <w:sz w:val="14"/>
                <w:szCs w:val="14"/>
                <w:vertAlign w:val="subscript"/>
              </w:rPr>
              <w:t>t</w:t>
            </w:r>
          </w:p>
        </w:tc>
        <w:tc>
          <w:tcPr>
            <w:tcW w:w="0" w:type="auto"/>
            <w:shd w:val="clear" w:color="auto" w:fill="F0F0F0"/>
            <w:tcMar>
              <w:top w:w="90" w:type="dxa"/>
              <w:left w:w="90" w:type="dxa"/>
              <w:bottom w:w="90" w:type="dxa"/>
              <w:right w:w="90" w:type="dxa"/>
            </w:tcMar>
            <w:vAlign w:val="center"/>
            <w:hideMark/>
          </w:tcPr>
          <w:p w14:paraId="35AED6CC" w14:textId="77777777" w:rsidR="0037114F" w:rsidRDefault="0037114F" w:rsidP="0037114F">
            <w:pPr>
              <w:rPr>
                <w:rFonts w:ascii="Arial" w:eastAsia="Times New Roman" w:hAnsi="Arial" w:cs="Arial"/>
                <w:b/>
                <w:bCs/>
                <w:i/>
                <w:iCs/>
                <w:sz w:val="14"/>
                <w:szCs w:val="14"/>
              </w:rPr>
            </w:pPr>
            <w:r w:rsidRPr="00CC271B">
              <w:rPr>
                <w:rFonts w:ascii="Arial" w:eastAsia="Times New Roman" w:hAnsi="Arial" w:cs="Arial"/>
                <w:b/>
                <w:bCs/>
                <w:i/>
                <w:iCs/>
                <w:sz w:val="14"/>
                <w:szCs w:val="14"/>
              </w:rPr>
              <w:t>δ</w:t>
            </w:r>
            <w:r w:rsidRPr="00CC271B">
              <w:rPr>
                <w:rFonts w:ascii="Arial" w:eastAsia="Times New Roman" w:hAnsi="Arial" w:cs="Arial"/>
                <w:b/>
                <w:bCs/>
                <w:i/>
                <w:iCs/>
                <w:sz w:val="14"/>
                <w:szCs w:val="14"/>
                <w:vertAlign w:val="subscript"/>
              </w:rPr>
              <w:t>1</w:t>
            </w:r>
            <w:r w:rsidRPr="00CC271B">
              <w:rPr>
                <w:rFonts w:ascii="Arial" w:eastAsia="Times New Roman" w:hAnsi="Arial" w:cs="Arial"/>
                <w:b/>
                <w:bCs/>
                <w:i/>
                <w:iCs/>
                <w:sz w:val="14"/>
                <w:szCs w:val="14"/>
              </w:rPr>
              <w:t> </w:t>
            </w:r>
          </w:p>
          <w:p w14:paraId="336E44A5" w14:textId="0F730EAE" w:rsidR="0037114F" w:rsidRPr="00B556DE" w:rsidRDefault="0037114F" w:rsidP="0037114F">
            <w:pPr>
              <w:rPr>
                <w:rFonts w:ascii="Arial" w:eastAsia="Times New Roman" w:hAnsi="Arial" w:cs="Arial"/>
                <w:b/>
                <w:bCs/>
                <w:i/>
                <w:iCs/>
                <w:sz w:val="14"/>
                <w:szCs w:val="14"/>
              </w:rPr>
            </w:pPr>
            <w:r w:rsidRPr="00CC271B">
              <w:rPr>
                <w:rFonts w:ascii="Arial" w:eastAsia="Times New Roman" w:hAnsi="Arial" w:cs="Arial"/>
                <w:b/>
                <w:bCs/>
                <w:i/>
                <w:iCs/>
                <w:sz w:val="14"/>
                <w:szCs w:val="14"/>
              </w:rPr>
              <w:t>d08</w:t>
            </w:r>
            <w:r w:rsidRPr="00CC271B">
              <w:rPr>
                <w:rFonts w:ascii="Arial" w:eastAsia="Times New Roman" w:hAnsi="Arial" w:cs="Arial"/>
                <w:b/>
                <w:bCs/>
                <w:i/>
                <w:iCs/>
                <w:sz w:val="14"/>
                <w:szCs w:val="14"/>
                <w:vertAlign w:val="subscript"/>
              </w:rPr>
              <w:t>t</w:t>
            </w:r>
          </w:p>
        </w:tc>
        <w:tc>
          <w:tcPr>
            <w:tcW w:w="0" w:type="auto"/>
            <w:shd w:val="clear" w:color="auto" w:fill="F0F0F0"/>
            <w:tcMar>
              <w:top w:w="90" w:type="dxa"/>
              <w:left w:w="90" w:type="dxa"/>
              <w:bottom w:w="90" w:type="dxa"/>
              <w:right w:w="90" w:type="dxa"/>
            </w:tcMar>
            <w:vAlign w:val="center"/>
            <w:hideMark/>
          </w:tcPr>
          <w:p w14:paraId="3C675377" w14:textId="77777777" w:rsidR="0037114F" w:rsidRDefault="0037114F" w:rsidP="0037114F">
            <w:pPr>
              <w:rPr>
                <w:rFonts w:ascii="Arial" w:eastAsia="Times New Roman" w:hAnsi="Arial" w:cs="Arial"/>
                <w:b/>
                <w:bCs/>
                <w:i/>
                <w:iCs/>
                <w:sz w:val="14"/>
                <w:szCs w:val="14"/>
                <w:vertAlign w:val="subscript"/>
              </w:rPr>
            </w:pPr>
            <w:r>
              <w:rPr>
                <w:rFonts w:ascii="Arial" w:eastAsia="Times New Roman" w:hAnsi="Arial" w:cs="Arial"/>
                <w:b/>
                <w:bCs/>
                <w:i/>
                <w:iCs/>
                <w:sz w:val="14"/>
                <w:szCs w:val="14"/>
              </w:rPr>
              <w:t xml:space="preserve">         </w:t>
            </w:r>
            <w:r w:rsidRPr="00CC271B">
              <w:rPr>
                <w:rFonts w:ascii="Arial" w:eastAsia="Times New Roman" w:hAnsi="Arial" w:cs="Arial"/>
                <w:b/>
                <w:bCs/>
                <w:i/>
                <w:iCs/>
                <w:sz w:val="14"/>
                <w:szCs w:val="14"/>
              </w:rPr>
              <w:t>δ</w:t>
            </w:r>
            <w:r w:rsidRPr="00CC271B">
              <w:rPr>
                <w:rFonts w:ascii="Arial" w:eastAsia="Times New Roman" w:hAnsi="Arial" w:cs="Arial"/>
                <w:b/>
                <w:bCs/>
                <w:i/>
                <w:iCs/>
                <w:sz w:val="14"/>
                <w:szCs w:val="14"/>
                <w:vertAlign w:val="subscript"/>
              </w:rPr>
              <w:t>2</w:t>
            </w:r>
          </w:p>
          <w:p w14:paraId="284C466F" w14:textId="62F9DB8A" w:rsidR="0037114F" w:rsidRPr="00B556DE" w:rsidRDefault="0037114F" w:rsidP="0037114F">
            <w:pPr>
              <w:rPr>
                <w:rFonts w:ascii="Arial" w:eastAsia="Times New Roman" w:hAnsi="Arial" w:cs="Arial"/>
                <w:b/>
                <w:bCs/>
                <w:i/>
                <w:iCs/>
                <w:sz w:val="14"/>
                <w:szCs w:val="14"/>
              </w:rPr>
            </w:pPr>
            <w:r w:rsidRPr="00CC271B">
              <w:rPr>
                <w:rFonts w:ascii="Arial" w:eastAsia="Times New Roman" w:hAnsi="Arial" w:cs="Arial"/>
                <w:b/>
                <w:bCs/>
                <w:i/>
                <w:iCs/>
                <w:sz w:val="14"/>
                <w:szCs w:val="14"/>
              </w:rPr>
              <w:t> </w:t>
            </w:r>
            <w:proofErr w:type="gramStart"/>
            <w:r w:rsidRPr="00CC271B">
              <w:rPr>
                <w:rFonts w:ascii="Arial" w:eastAsia="Times New Roman" w:hAnsi="Arial" w:cs="Arial"/>
                <w:b/>
                <w:bCs/>
                <w:i/>
                <w:iCs/>
                <w:sz w:val="14"/>
                <w:szCs w:val="14"/>
              </w:rPr>
              <w:t>log(</w:t>
            </w:r>
            <w:proofErr w:type="gramEnd"/>
            <w:r w:rsidRPr="00CC271B">
              <w:rPr>
                <w:rFonts w:ascii="Arial" w:eastAsia="Times New Roman" w:hAnsi="Arial" w:cs="Arial"/>
                <w:b/>
                <w:bCs/>
                <w:i/>
                <w:iCs/>
                <w:sz w:val="14"/>
                <w:szCs w:val="14"/>
              </w:rPr>
              <w:t>Y</w:t>
            </w:r>
            <w:r w:rsidRPr="00CC271B">
              <w:rPr>
                <w:rFonts w:ascii="Arial" w:eastAsia="Times New Roman" w:hAnsi="Arial" w:cs="Arial"/>
                <w:b/>
                <w:bCs/>
                <w:i/>
                <w:iCs/>
                <w:sz w:val="14"/>
                <w:szCs w:val="14"/>
                <w:vertAlign w:val="subscript"/>
              </w:rPr>
              <w:t>t</w:t>
            </w:r>
            <w:r w:rsidRPr="00CC271B">
              <w:rPr>
                <w:rFonts w:ascii="Arial" w:eastAsia="Times New Roman" w:hAnsi="Arial" w:cs="Arial"/>
                <w:b/>
                <w:bCs/>
                <w:i/>
                <w:iCs/>
                <w:sz w:val="14"/>
                <w:szCs w:val="14"/>
              </w:rPr>
              <w:t>)×d08</w:t>
            </w:r>
            <w:r w:rsidRPr="00CC271B">
              <w:rPr>
                <w:rFonts w:ascii="Arial" w:eastAsia="Times New Roman" w:hAnsi="Arial" w:cs="Arial"/>
                <w:b/>
                <w:bCs/>
                <w:i/>
                <w:iCs/>
                <w:sz w:val="14"/>
                <w:szCs w:val="14"/>
                <w:vertAlign w:val="subscript"/>
              </w:rPr>
              <w:t>t</w:t>
            </w:r>
          </w:p>
        </w:tc>
        <w:tc>
          <w:tcPr>
            <w:tcW w:w="0" w:type="auto"/>
            <w:shd w:val="clear" w:color="auto" w:fill="F0F0F0"/>
            <w:tcMar>
              <w:top w:w="90" w:type="dxa"/>
              <w:left w:w="90" w:type="dxa"/>
              <w:bottom w:w="90" w:type="dxa"/>
              <w:right w:w="90" w:type="dxa"/>
            </w:tcMar>
            <w:vAlign w:val="center"/>
            <w:hideMark/>
          </w:tcPr>
          <w:p w14:paraId="028B1D07" w14:textId="77777777" w:rsidR="0037114F" w:rsidRDefault="0037114F" w:rsidP="0037114F">
            <w:pPr>
              <w:rPr>
                <w:rFonts w:ascii="Arial" w:eastAsia="Times New Roman" w:hAnsi="Arial" w:cs="Arial"/>
                <w:b/>
                <w:bCs/>
                <w:i/>
                <w:iCs/>
                <w:sz w:val="14"/>
                <w:szCs w:val="14"/>
                <w:vertAlign w:val="subscript"/>
              </w:rPr>
            </w:pPr>
            <w:r>
              <w:rPr>
                <w:rFonts w:ascii="Arial" w:eastAsia="Times New Roman" w:hAnsi="Arial" w:cs="Arial"/>
                <w:b/>
                <w:bCs/>
                <w:i/>
                <w:iCs/>
                <w:sz w:val="14"/>
                <w:szCs w:val="14"/>
              </w:rPr>
              <w:t xml:space="preserve">    </w:t>
            </w:r>
            <w:r w:rsidRPr="00CC271B">
              <w:rPr>
                <w:rFonts w:ascii="Arial" w:eastAsia="Times New Roman" w:hAnsi="Arial" w:cs="Arial"/>
                <w:b/>
                <w:bCs/>
                <w:i/>
                <w:iCs/>
                <w:sz w:val="14"/>
                <w:szCs w:val="14"/>
              </w:rPr>
              <w:t>δ</w:t>
            </w:r>
            <w:r w:rsidRPr="00CC271B">
              <w:rPr>
                <w:rFonts w:ascii="Arial" w:eastAsia="Times New Roman" w:hAnsi="Arial" w:cs="Arial"/>
                <w:b/>
                <w:bCs/>
                <w:i/>
                <w:iCs/>
                <w:sz w:val="14"/>
                <w:szCs w:val="14"/>
                <w:vertAlign w:val="subscript"/>
              </w:rPr>
              <w:t>3</w:t>
            </w:r>
          </w:p>
          <w:p w14:paraId="1136D7A9" w14:textId="2DE558C1" w:rsidR="0037114F" w:rsidRPr="00B556DE" w:rsidRDefault="0037114F" w:rsidP="0037114F">
            <w:pPr>
              <w:rPr>
                <w:rFonts w:ascii="Arial" w:eastAsia="Times New Roman" w:hAnsi="Arial" w:cs="Arial"/>
                <w:b/>
                <w:bCs/>
                <w:i/>
                <w:iCs/>
                <w:sz w:val="14"/>
                <w:szCs w:val="14"/>
              </w:rPr>
            </w:pPr>
            <w:r w:rsidRPr="00CC271B">
              <w:rPr>
                <w:rFonts w:ascii="Arial" w:eastAsia="Times New Roman" w:hAnsi="Arial" w:cs="Arial"/>
                <w:b/>
                <w:bCs/>
                <w:i/>
                <w:iCs/>
                <w:sz w:val="14"/>
                <w:szCs w:val="14"/>
              </w:rPr>
              <w:t> i</w:t>
            </w:r>
            <w:r w:rsidRPr="00CC271B">
              <w:rPr>
                <w:rFonts w:ascii="Arial" w:eastAsia="Times New Roman" w:hAnsi="Arial" w:cs="Arial"/>
                <w:b/>
                <w:bCs/>
                <w:i/>
                <w:iCs/>
                <w:sz w:val="14"/>
                <w:szCs w:val="14"/>
                <w:vertAlign w:val="subscript"/>
              </w:rPr>
              <w:t>t</w:t>
            </w:r>
            <w:r w:rsidRPr="00CC271B">
              <w:rPr>
                <w:rFonts w:ascii="Arial" w:eastAsia="Times New Roman" w:hAnsi="Arial" w:cs="Arial"/>
                <w:b/>
                <w:bCs/>
                <w:i/>
                <w:iCs/>
                <w:sz w:val="14"/>
                <w:szCs w:val="14"/>
              </w:rPr>
              <w:t>×d08</w:t>
            </w:r>
            <w:r w:rsidRPr="00CC271B">
              <w:rPr>
                <w:rFonts w:ascii="Arial" w:eastAsia="Times New Roman" w:hAnsi="Arial" w:cs="Arial"/>
                <w:b/>
                <w:bCs/>
                <w:i/>
                <w:iCs/>
                <w:sz w:val="14"/>
                <w:szCs w:val="14"/>
                <w:vertAlign w:val="subscript"/>
              </w:rPr>
              <w:t>t</w:t>
            </w:r>
          </w:p>
        </w:tc>
        <w:tc>
          <w:tcPr>
            <w:tcW w:w="0" w:type="auto"/>
            <w:shd w:val="clear" w:color="auto" w:fill="F0F0F0"/>
            <w:tcMar>
              <w:top w:w="90" w:type="dxa"/>
              <w:left w:w="90" w:type="dxa"/>
              <w:bottom w:w="90" w:type="dxa"/>
              <w:right w:w="90" w:type="dxa"/>
            </w:tcMar>
            <w:vAlign w:val="center"/>
            <w:hideMark/>
          </w:tcPr>
          <w:p w14:paraId="2F4186D8" w14:textId="77777777" w:rsidR="0037114F" w:rsidRDefault="0037114F" w:rsidP="0037114F">
            <w:pPr>
              <w:rPr>
                <w:rFonts w:ascii="Arial" w:eastAsia="Times New Roman" w:hAnsi="Arial" w:cs="Arial"/>
                <w:b/>
                <w:bCs/>
                <w:i/>
                <w:iCs/>
                <w:sz w:val="14"/>
                <w:szCs w:val="14"/>
              </w:rPr>
            </w:pPr>
            <w:r>
              <w:rPr>
                <w:rFonts w:ascii="Arial" w:eastAsia="Times New Roman" w:hAnsi="Arial" w:cs="Arial"/>
                <w:b/>
                <w:bCs/>
                <w:i/>
                <w:iCs/>
                <w:sz w:val="14"/>
                <w:szCs w:val="14"/>
              </w:rPr>
              <w:t xml:space="preserve"> </w:t>
            </w:r>
            <w:r w:rsidRPr="00CC271B">
              <w:rPr>
                <w:rFonts w:ascii="Arial" w:eastAsia="Times New Roman" w:hAnsi="Arial" w:cs="Arial"/>
                <w:b/>
                <w:bCs/>
                <w:i/>
                <w:iCs/>
                <w:sz w:val="14"/>
                <w:szCs w:val="14"/>
              </w:rPr>
              <w:t>δ</w:t>
            </w:r>
            <w:r w:rsidRPr="00CC271B">
              <w:rPr>
                <w:rFonts w:ascii="Arial" w:eastAsia="Times New Roman" w:hAnsi="Arial" w:cs="Arial"/>
                <w:b/>
                <w:bCs/>
                <w:i/>
                <w:iCs/>
                <w:sz w:val="14"/>
                <w:szCs w:val="14"/>
                <w:vertAlign w:val="subscript"/>
              </w:rPr>
              <w:t>4</w:t>
            </w:r>
            <w:r w:rsidRPr="00CC271B">
              <w:rPr>
                <w:rFonts w:ascii="Arial" w:eastAsia="Times New Roman" w:hAnsi="Arial" w:cs="Arial"/>
                <w:b/>
                <w:bCs/>
                <w:i/>
                <w:iCs/>
                <w:sz w:val="14"/>
                <w:szCs w:val="14"/>
              </w:rPr>
              <w:t> </w:t>
            </w:r>
          </w:p>
          <w:p w14:paraId="7FFC1EDF" w14:textId="7FDED392" w:rsidR="0037114F" w:rsidRPr="00B556DE" w:rsidRDefault="0037114F" w:rsidP="0037114F">
            <w:pPr>
              <w:rPr>
                <w:rFonts w:ascii="Arial" w:eastAsia="Times New Roman" w:hAnsi="Arial" w:cs="Arial"/>
                <w:b/>
                <w:bCs/>
                <w:i/>
                <w:iCs/>
                <w:sz w:val="14"/>
                <w:szCs w:val="14"/>
              </w:rPr>
            </w:pPr>
            <w:r w:rsidRPr="00CC271B">
              <w:rPr>
                <w:rFonts w:ascii="Arial" w:eastAsia="Times New Roman" w:hAnsi="Arial" w:cs="Arial"/>
                <w:b/>
                <w:bCs/>
                <w:i/>
                <w:iCs/>
                <w:sz w:val="14"/>
                <w:szCs w:val="14"/>
              </w:rPr>
              <w:t>d09</w:t>
            </w:r>
            <w:r w:rsidRPr="00CC271B">
              <w:rPr>
                <w:rFonts w:ascii="Arial" w:eastAsia="Times New Roman" w:hAnsi="Arial" w:cs="Arial"/>
                <w:b/>
                <w:bCs/>
                <w:i/>
                <w:iCs/>
                <w:sz w:val="14"/>
                <w:szCs w:val="14"/>
                <w:vertAlign w:val="subscript"/>
              </w:rPr>
              <w:t>t</w:t>
            </w:r>
          </w:p>
        </w:tc>
        <w:tc>
          <w:tcPr>
            <w:tcW w:w="0" w:type="auto"/>
            <w:shd w:val="clear" w:color="auto" w:fill="F0F0F0"/>
            <w:tcMar>
              <w:top w:w="90" w:type="dxa"/>
              <w:left w:w="90" w:type="dxa"/>
              <w:bottom w:w="90" w:type="dxa"/>
              <w:right w:w="90" w:type="dxa"/>
            </w:tcMar>
            <w:vAlign w:val="center"/>
            <w:hideMark/>
          </w:tcPr>
          <w:p w14:paraId="7B0D4B3B" w14:textId="77777777" w:rsidR="0037114F" w:rsidRDefault="0037114F" w:rsidP="0037114F">
            <w:pPr>
              <w:rPr>
                <w:rFonts w:ascii="Arial" w:eastAsia="Times New Roman" w:hAnsi="Arial" w:cs="Arial"/>
                <w:b/>
                <w:bCs/>
                <w:i/>
                <w:iCs/>
                <w:sz w:val="14"/>
                <w:szCs w:val="14"/>
                <w:vertAlign w:val="subscript"/>
              </w:rPr>
            </w:pPr>
            <w:r>
              <w:rPr>
                <w:rFonts w:ascii="Arial" w:eastAsia="Times New Roman" w:hAnsi="Arial" w:cs="Arial"/>
                <w:b/>
                <w:bCs/>
                <w:i/>
                <w:iCs/>
                <w:sz w:val="14"/>
                <w:szCs w:val="14"/>
              </w:rPr>
              <w:t xml:space="preserve">      </w:t>
            </w:r>
            <w:r w:rsidRPr="00CC271B">
              <w:rPr>
                <w:rFonts w:ascii="Arial" w:eastAsia="Times New Roman" w:hAnsi="Arial" w:cs="Arial"/>
                <w:b/>
                <w:bCs/>
                <w:i/>
                <w:iCs/>
                <w:sz w:val="14"/>
                <w:szCs w:val="14"/>
              </w:rPr>
              <w:t>δ</w:t>
            </w:r>
            <w:r w:rsidRPr="00CC271B">
              <w:rPr>
                <w:rFonts w:ascii="Arial" w:eastAsia="Times New Roman" w:hAnsi="Arial" w:cs="Arial"/>
                <w:b/>
                <w:bCs/>
                <w:i/>
                <w:iCs/>
                <w:sz w:val="14"/>
                <w:szCs w:val="14"/>
                <w:vertAlign w:val="subscript"/>
              </w:rPr>
              <w:t>5</w:t>
            </w:r>
          </w:p>
          <w:p w14:paraId="06393EDC" w14:textId="480C2074" w:rsidR="0037114F" w:rsidRPr="00B556DE" w:rsidRDefault="0037114F" w:rsidP="0037114F">
            <w:pPr>
              <w:rPr>
                <w:rFonts w:ascii="Arial" w:eastAsia="Times New Roman" w:hAnsi="Arial" w:cs="Arial"/>
                <w:b/>
                <w:bCs/>
                <w:i/>
                <w:iCs/>
                <w:sz w:val="14"/>
                <w:szCs w:val="14"/>
              </w:rPr>
            </w:pPr>
            <w:r w:rsidRPr="00CC271B">
              <w:rPr>
                <w:rFonts w:ascii="Arial" w:eastAsia="Times New Roman" w:hAnsi="Arial" w:cs="Arial"/>
                <w:b/>
                <w:bCs/>
                <w:i/>
                <w:iCs/>
                <w:sz w:val="14"/>
                <w:szCs w:val="14"/>
              </w:rPr>
              <w:t> </w:t>
            </w:r>
            <w:proofErr w:type="gramStart"/>
            <w:r w:rsidRPr="00CC271B">
              <w:rPr>
                <w:rFonts w:ascii="Arial" w:eastAsia="Times New Roman" w:hAnsi="Arial" w:cs="Arial"/>
                <w:b/>
                <w:bCs/>
                <w:i/>
                <w:iCs/>
                <w:sz w:val="14"/>
                <w:szCs w:val="14"/>
              </w:rPr>
              <w:t>log(</w:t>
            </w:r>
            <w:proofErr w:type="gramEnd"/>
            <w:r w:rsidRPr="00CC271B">
              <w:rPr>
                <w:rFonts w:ascii="Arial" w:eastAsia="Times New Roman" w:hAnsi="Arial" w:cs="Arial"/>
                <w:b/>
                <w:bCs/>
                <w:i/>
                <w:iCs/>
                <w:sz w:val="14"/>
                <w:szCs w:val="14"/>
              </w:rPr>
              <w:t>Y</w:t>
            </w:r>
            <w:r w:rsidRPr="00CC271B">
              <w:rPr>
                <w:rFonts w:ascii="Arial" w:eastAsia="Times New Roman" w:hAnsi="Arial" w:cs="Arial"/>
                <w:b/>
                <w:bCs/>
                <w:i/>
                <w:iCs/>
                <w:sz w:val="14"/>
                <w:szCs w:val="14"/>
                <w:vertAlign w:val="subscript"/>
              </w:rPr>
              <w:t>t</w:t>
            </w:r>
            <w:r w:rsidRPr="00CC271B">
              <w:rPr>
                <w:rFonts w:ascii="Arial" w:eastAsia="Times New Roman" w:hAnsi="Arial" w:cs="Arial"/>
                <w:b/>
                <w:bCs/>
                <w:i/>
                <w:iCs/>
                <w:sz w:val="14"/>
                <w:szCs w:val="14"/>
              </w:rPr>
              <w:t>)×d09</w:t>
            </w:r>
            <w:r w:rsidRPr="00CC271B">
              <w:rPr>
                <w:rFonts w:ascii="Arial" w:eastAsia="Times New Roman" w:hAnsi="Arial" w:cs="Arial"/>
                <w:b/>
                <w:bCs/>
                <w:i/>
                <w:iCs/>
                <w:sz w:val="14"/>
                <w:szCs w:val="14"/>
                <w:vertAlign w:val="subscript"/>
              </w:rPr>
              <w:t>t</w:t>
            </w:r>
          </w:p>
        </w:tc>
        <w:tc>
          <w:tcPr>
            <w:tcW w:w="0" w:type="auto"/>
            <w:shd w:val="clear" w:color="auto" w:fill="F0F0F0"/>
            <w:tcMar>
              <w:top w:w="90" w:type="dxa"/>
              <w:left w:w="90" w:type="dxa"/>
              <w:bottom w:w="90" w:type="dxa"/>
              <w:right w:w="90" w:type="dxa"/>
            </w:tcMar>
            <w:vAlign w:val="center"/>
            <w:hideMark/>
          </w:tcPr>
          <w:p w14:paraId="54B39946" w14:textId="77777777" w:rsidR="0037114F" w:rsidRDefault="0037114F" w:rsidP="0037114F">
            <w:pPr>
              <w:rPr>
                <w:rFonts w:ascii="Arial" w:eastAsia="Times New Roman" w:hAnsi="Arial" w:cs="Arial"/>
                <w:b/>
                <w:bCs/>
                <w:i/>
                <w:iCs/>
                <w:sz w:val="14"/>
                <w:szCs w:val="14"/>
                <w:vertAlign w:val="subscript"/>
              </w:rPr>
            </w:pPr>
            <w:r>
              <w:rPr>
                <w:rFonts w:ascii="Arial" w:eastAsia="Times New Roman" w:hAnsi="Arial" w:cs="Arial"/>
                <w:b/>
                <w:bCs/>
                <w:i/>
                <w:iCs/>
                <w:sz w:val="14"/>
                <w:szCs w:val="14"/>
              </w:rPr>
              <w:t xml:space="preserve">   </w:t>
            </w:r>
            <w:r w:rsidRPr="00CC271B">
              <w:rPr>
                <w:rFonts w:ascii="Arial" w:eastAsia="Times New Roman" w:hAnsi="Arial" w:cs="Arial"/>
                <w:b/>
                <w:bCs/>
                <w:i/>
                <w:iCs/>
                <w:sz w:val="14"/>
                <w:szCs w:val="14"/>
              </w:rPr>
              <w:t>δ</w:t>
            </w:r>
            <w:r w:rsidRPr="00CC271B">
              <w:rPr>
                <w:rFonts w:ascii="Arial" w:eastAsia="Times New Roman" w:hAnsi="Arial" w:cs="Arial"/>
                <w:b/>
                <w:bCs/>
                <w:i/>
                <w:iCs/>
                <w:sz w:val="14"/>
                <w:szCs w:val="14"/>
                <w:vertAlign w:val="subscript"/>
              </w:rPr>
              <w:t>6</w:t>
            </w:r>
          </w:p>
          <w:p w14:paraId="5D2D3C7C" w14:textId="090BE322" w:rsidR="0037114F" w:rsidRPr="00B556DE" w:rsidRDefault="0037114F" w:rsidP="0037114F">
            <w:pPr>
              <w:rPr>
                <w:rFonts w:ascii="Arial" w:eastAsia="Times New Roman" w:hAnsi="Arial" w:cs="Arial"/>
                <w:b/>
                <w:bCs/>
                <w:i/>
                <w:iCs/>
                <w:sz w:val="14"/>
                <w:szCs w:val="14"/>
              </w:rPr>
            </w:pPr>
            <w:r w:rsidRPr="00CC271B">
              <w:rPr>
                <w:rFonts w:ascii="Arial" w:eastAsia="Times New Roman" w:hAnsi="Arial" w:cs="Arial"/>
                <w:b/>
                <w:bCs/>
                <w:i/>
                <w:iCs/>
                <w:sz w:val="14"/>
                <w:szCs w:val="14"/>
              </w:rPr>
              <w:t> i</w:t>
            </w:r>
            <w:r w:rsidRPr="00CC271B">
              <w:rPr>
                <w:rFonts w:ascii="Arial" w:eastAsia="Times New Roman" w:hAnsi="Arial" w:cs="Arial"/>
                <w:b/>
                <w:bCs/>
                <w:i/>
                <w:iCs/>
                <w:sz w:val="14"/>
                <w:szCs w:val="14"/>
                <w:vertAlign w:val="subscript"/>
              </w:rPr>
              <w:t>t</w:t>
            </w:r>
            <w:r w:rsidRPr="00CC271B">
              <w:rPr>
                <w:rFonts w:ascii="Arial" w:eastAsia="Times New Roman" w:hAnsi="Arial" w:cs="Arial"/>
                <w:b/>
                <w:bCs/>
                <w:i/>
                <w:iCs/>
                <w:sz w:val="14"/>
                <w:szCs w:val="14"/>
              </w:rPr>
              <w:t>×d09</w:t>
            </w:r>
            <w:r w:rsidRPr="00CC271B">
              <w:rPr>
                <w:rFonts w:ascii="Arial" w:eastAsia="Times New Roman" w:hAnsi="Arial" w:cs="Arial"/>
                <w:b/>
                <w:bCs/>
                <w:i/>
                <w:iCs/>
                <w:sz w:val="14"/>
                <w:szCs w:val="14"/>
                <w:vertAlign w:val="subscript"/>
              </w:rPr>
              <w:t>t</w:t>
            </w:r>
          </w:p>
        </w:tc>
        <w:tc>
          <w:tcPr>
            <w:tcW w:w="0" w:type="auto"/>
            <w:shd w:val="clear" w:color="auto" w:fill="F0F0F0"/>
            <w:tcMar>
              <w:top w:w="90" w:type="dxa"/>
              <w:left w:w="90" w:type="dxa"/>
              <w:bottom w:w="90" w:type="dxa"/>
              <w:right w:w="90" w:type="dxa"/>
            </w:tcMar>
            <w:vAlign w:val="center"/>
            <w:hideMark/>
          </w:tcPr>
          <w:p w14:paraId="2B765496" w14:textId="77777777" w:rsidR="0037114F" w:rsidRPr="00B556DE" w:rsidRDefault="0037114F" w:rsidP="0037114F">
            <w:pPr>
              <w:rPr>
                <w:rFonts w:ascii="Arial" w:eastAsia="Times New Roman" w:hAnsi="Arial" w:cs="Arial"/>
                <w:b/>
                <w:bCs/>
                <w:i/>
                <w:iCs/>
                <w:sz w:val="14"/>
                <w:szCs w:val="14"/>
              </w:rPr>
            </w:pPr>
            <w:r w:rsidRPr="00B556DE">
              <w:rPr>
                <w:rFonts w:ascii="Arial" w:eastAsia="Times New Roman" w:hAnsi="Arial" w:cs="Arial"/>
                <w:b/>
                <w:bCs/>
                <w:i/>
                <w:iCs/>
                <w:sz w:val="14"/>
                <w:szCs w:val="14"/>
              </w:rPr>
              <w:t>Chow Test</w:t>
            </w:r>
          </w:p>
        </w:tc>
      </w:tr>
      <w:tr w:rsidR="005953CA" w:rsidRPr="00B556DE" w14:paraId="3A1A3593" w14:textId="77777777" w:rsidTr="00B556DE">
        <w:trPr>
          <w:divId w:val="1811285607"/>
        </w:trPr>
        <w:tc>
          <w:tcPr>
            <w:tcW w:w="0" w:type="auto"/>
            <w:tcMar>
              <w:top w:w="90" w:type="dxa"/>
              <w:left w:w="90" w:type="dxa"/>
              <w:bottom w:w="90" w:type="dxa"/>
              <w:right w:w="90" w:type="dxa"/>
            </w:tcMar>
            <w:vAlign w:val="center"/>
            <w:hideMark/>
          </w:tcPr>
          <w:p w14:paraId="5DD7409A" w14:textId="00A4F436" w:rsidR="005953CA" w:rsidRPr="00B556DE" w:rsidRDefault="00B556DE" w:rsidP="00B556DE">
            <w:pPr>
              <w:rPr>
                <w:rFonts w:ascii="Arial" w:eastAsia="Times New Roman" w:hAnsi="Arial" w:cs="Arial"/>
                <w:sz w:val="14"/>
                <w:szCs w:val="14"/>
              </w:rPr>
            </w:pPr>
            <w:proofErr w:type="gramStart"/>
            <w:r w:rsidRPr="00CC271B">
              <w:rPr>
                <w:rFonts w:ascii="Arial" w:eastAsia="Times New Roman" w:hAnsi="Arial" w:cs="Arial"/>
                <w:sz w:val="14"/>
                <w:szCs w:val="14"/>
              </w:rPr>
              <w:t>Log(</w:t>
            </w:r>
            <w:proofErr w:type="gramEnd"/>
            <w:r w:rsidRPr="00CC271B">
              <w:rPr>
                <w:rFonts w:ascii="Arial" w:eastAsia="Times New Roman" w:hAnsi="Arial" w:cs="Arial"/>
                <w:sz w:val="14"/>
                <w:szCs w:val="14"/>
              </w:rPr>
              <w:t>M</w:t>
            </w:r>
            <w:r w:rsidRPr="00CC271B">
              <w:rPr>
                <w:rFonts w:ascii="Arial" w:eastAsia="Times New Roman" w:hAnsi="Arial" w:cs="Arial"/>
                <w:sz w:val="14"/>
                <w:szCs w:val="14"/>
                <w:vertAlign w:val="subscript"/>
              </w:rPr>
              <w:t>t</w:t>
            </w:r>
            <w:r w:rsidRPr="00CC271B">
              <w:rPr>
                <w:rFonts w:ascii="Arial" w:eastAsia="Times New Roman" w:hAnsi="Arial" w:cs="Arial"/>
                <w:sz w:val="14"/>
                <w:szCs w:val="14"/>
              </w:rPr>
              <w:t>)</w:t>
            </w:r>
          </w:p>
        </w:tc>
        <w:tc>
          <w:tcPr>
            <w:tcW w:w="0" w:type="auto"/>
            <w:tcMar>
              <w:top w:w="90" w:type="dxa"/>
              <w:left w:w="90" w:type="dxa"/>
              <w:bottom w:w="90" w:type="dxa"/>
              <w:right w:w="90" w:type="dxa"/>
            </w:tcMar>
            <w:vAlign w:val="center"/>
            <w:hideMark/>
          </w:tcPr>
          <w:p w14:paraId="25D62F96" w14:textId="77777777" w:rsidR="005953CA" w:rsidRPr="00B556DE" w:rsidRDefault="006E6F84" w:rsidP="00B556DE">
            <w:pPr>
              <w:rPr>
                <w:rFonts w:ascii="Arial" w:eastAsia="Times New Roman" w:hAnsi="Arial" w:cs="Arial"/>
                <w:sz w:val="14"/>
                <w:szCs w:val="14"/>
              </w:rPr>
            </w:pPr>
            <w:r w:rsidRPr="00B556DE">
              <w:rPr>
                <w:rFonts w:ascii="Arial" w:eastAsia="Times New Roman" w:hAnsi="Arial" w:cs="Arial"/>
                <w:sz w:val="14"/>
                <w:szCs w:val="14"/>
              </w:rPr>
              <w:t>-0.19</w:t>
            </w:r>
            <w:r w:rsidRPr="00B556DE">
              <w:rPr>
                <w:rFonts w:ascii="Arial" w:eastAsia="Times New Roman" w:hAnsi="Arial" w:cs="Arial"/>
                <w:sz w:val="14"/>
                <w:szCs w:val="14"/>
              </w:rPr>
              <w:br/>
              <w:t>(1.27)</w:t>
            </w:r>
          </w:p>
        </w:tc>
        <w:tc>
          <w:tcPr>
            <w:tcW w:w="0" w:type="auto"/>
            <w:tcMar>
              <w:top w:w="90" w:type="dxa"/>
              <w:left w:w="90" w:type="dxa"/>
              <w:bottom w:w="90" w:type="dxa"/>
              <w:right w:w="90" w:type="dxa"/>
            </w:tcMar>
            <w:vAlign w:val="center"/>
            <w:hideMark/>
          </w:tcPr>
          <w:p w14:paraId="24EC4697" w14:textId="77777777" w:rsidR="005953CA" w:rsidRPr="00B556DE" w:rsidRDefault="006E6F84" w:rsidP="00B556DE">
            <w:pPr>
              <w:rPr>
                <w:rFonts w:ascii="Arial" w:eastAsia="Times New Roman" w:hAnsi="Arial" w:cs="Arial"/>
                <w:sz w:val="14"/>
                <w:szCs w:val="14"/>
              </w:rPr>
            </w:pPr>
            <w:r w:rsidRPr="00B556DE">
              <w:rPr>
                <w:rFonts w:ascii="Arial" w:eastAsia="Times New Roman" w:hAnsi="Arial" w:cs="Arial"/>
                <w:sz w:val="14"/>
                <w:szCs w:val="14"/>
              </w:rPr>
              <w:t>0.85***</w:t>
            </w:r>
            <w:r w:rsidRPr="00B556DE">
              <w:rPr>
                <w:rFonts w:ascii="Arial" w:eastAsia="Times New Roman" w:hAnsi="Arial" w:cs="Arial"/>
                <w:sz w:val="14"/>
                <w:szCs w:val="14"/>
              </w:rPr>
              <w:br/>
              <w:t>(0.11)</w:t>
            </w:r>
          </w:p>
        </w:tc>
        <w:tc>
          <w:tcPr>
            <w:tcW w:w="0" w:type="auto"/>
            <w:tcMar>
              <w:top w:w="90" w:type="dxa"/>
              <w:left w:w="90" w:type="dxa"/>
              <w:bottom w:w="90" w:type="dxa"/>
              <w:right w:w="90" w:type="dxa"/>
            </w:tcMar>
            <w:vAlign w:val="center"/>
            <w:hideMark/>
          </w:tcPr>
          <w:p w14:paraId="175CD212" w14:textId="77777777" w:rsidR="005953CA" w:rsidRPr="00B556DE" w:rsidRDefault="006E6F84" w:rsidP="00B556DE">
            <w:pPr>
              <w:rPr>
                <w:rFonts w:ascii="Arial" w:eastAsia="Times New Roman" w:hAnsi="Arial" w:cs="Arial"/>
                <w:sz w:val="14"/>
                <w:szCs w:val="14"/>
              </w:rPr>
            </w:pPr>
            <w:r w:rsidRPr="00B556DE">
              <w:rPr>
                <w:rFonts w:ascii="Arial" w:eastAsia="Times New Roman" w:hAnsi="Arial" w:cs="Arial"/>
                <w:sz w:val="14"/>
                <w:szCs w:val="14"/>
              </w:rPr>
              <w:t>-0.003***</w:t>
            </w:r>
            <w:r w:rsidRPr="00B556DE">
              <w:rPr>
                <w:rFonts w:ascii="Arial" w:eastAsia="Times New Roman" w:hAnsi="Arial" w:cs="Arial"/>
                <w:sz w:val="14"/>
                <w:szCs w:val="14"/>
              </w:rPr>
              <w:br/>
              <w:t>(0.001)</w:t>
            </w:r>
          </w:p>
        </w:tc>
        <w:tc>
          <w:tcPr>
            <w:tcW w:w="0" w:type="auto"/>
            <w:tcMar>
              <w:top w:w="90" w:type="dxa"/>
              <w:left w:w="90" w:type="dxa"/>
              <w:bottom w:w="90" w:type="dxa"/>
              <w:right w:w="90" w:type="dxa"/>
            </w:tcMar>
            <w:vAlign w:val="center"/>
            <w:hideMark/>
          </w:tcPr>
          <w:p w14:paraId="5EF3AD64" w14:textId="77777777" w:rsidR="005953CA" w:rsidRPr="00B556DE" w:rsidRDefault="006E6F84" w:rsidP="00B556DE">
            <w:pPr>
              <w:rPr>
                <w:rFonts w:ascii="Arial" w:eastAsia="Times New Roman" w:hAnsi="Arial" w:cs="Arial"/>
                <w:sz w:val="14"/>
                <w:szCs w:val="14"/>
              </w:rPr>
            </w:pPr>
            <w:r w:rsidRPr="00B556DE">
              <w:rPr>
                <w:rFonts w:ascii="Arial" w:eastAsia="Times New Roman" w:hAnsi="Arial" w:cs="Arial"/>
                <w:sz w:val="14"/>
                <w:szCs w:val="14"/>
              </w:rPr>
              <w:t>-3.69</w:t>
            </w:r>
            <w:r w:rsidRPr="00B556DE">
              <w:rPr>
                <w:rFonts w:ascii="Arial" w:eastAsia="Times New Roman" w:hAnsi="Arial" w:cs="Arial"/>
                <w:sz w:val="14"/>
                <w:szCs w:val="14"/>
              </w:rPr>
              <w:br/>
              <w:t>(2.89)</w:t>
            </w:r>
          </w:p>
        </w:tc>
        <w:tc>
          <w:tcPr>
            <w:tcW w:w="0" w:type="auto"/>
            <w:tcMar>
              <w:top w:w="90" w:type="dxa"/>
              <w:left w:w="90" w:type="dxa"/>
              <w:bottom w:w="90" w:type="dxa"/>
              <w:right w:w="90" w:type="dxa"/>
            </w:tcMar>
            <w:vAlign w:val="center"/>
            <w:hideMark/>
          </w:tcPr>
          <w:p w14:paraId="454FBFA7" w14:textId="0E15CA2C" w:rsidR="005953CA" w:rsidRPr="00B556DE" w:rsidRDefault="00B556DE" w:rsidP="00B556DE">
            <w:pPr>
              <w:rPr>
                <w:rFonts w:ascii="Arial" w:eastAsia="Times New Roman" w:hAnsi="Arial" w:cs="Arial"/>
                <w:sz w:val="14"/>
                <w:szCs w:val="14"/>
              </w:rPr>
            </w:pPr>
            <w:r>
              <w:rPr>
                <w:rFonts w:ascii="Arial" w:eastAsia="Times New Roman" w:hAnsi="Arial" w:cs="Arial"/>
                <w:sz w:val="14"/>
                <w:szCs w:val="14"/>
              </w:rPr>
              <w:t xml:space="preserve">     </w:t>
            </w:r>
            <w:r w:rsidR="006E6F84" w:rsidRPr="00B556DE">
              <w:rPr>
                <w:rFonts w:ascii="Arial" w:eastAsia="Times New Roman" w:hAnsi="Arial" w:cs="Arial"/>
                <w:sz w:val="14"/>
                <w:szCs w:val="14"/>
              </w:rPr>
              <w:t>0.32</w:t>
            </w:r>
            <w:r w:rsidR="006E6F84" w:rsidRPr="00B556DE">
              <w:rPr>
                <w:rFonts w:ascii="Arial" w:eastAsia="Times New Roman" w:hAnsi="Arial" w:cs="Arial"/>
                <w:sz w:val="14"/>
                <w:szCs w:val="14"/>
              </w:rPr>
              <w:br/>
            </w:r>
            <w:r>
              <w:rPr>
                <w:rFonts w:ascii="Arial" w:eastAsia="Times New Roman" w:hAnsi="Arial" w:cs="Arial"/>
                <w:sz w:val="14"/>
                <w:szCs w:val="14"/>
              </w:rPr>
              <w:t xml:space="preserve"> </w:t>
            </w:r>
            <w:proofErr w:type="gramStart"/>
            <w:r>
              <w:rPr>
                <w:rFonts w:ascii="Arial" w:eastAsia="Times New Roman" w:hAnsi="Arial" w:cs="Arial"/>
                <w:sz w:val="14"/>
                <w:szCs w:val="14"/>
              </w:rPr>
              <w:t xml:space="preserve">   </w:t>
            </w:r>
            <w:r w:rsidR="006E6F84" w:rsidRPr="00B556DE">
              <w:rPr>
                <w:rFonts w:ascii="Arial" w:eastAsia="Times New Roman" w:hAnsi="Arial" w:cs="Arial"/>
                <w:sz w:val="14"/>
                <w:szCs w:val="14"/>
              </w:rPr>
              <w:t>(</w:t>
            </w:r>
            <w:proofErr w:type="gramEnd"/>
            <w:r w:rsidR="006E6F84" w:rsidRPr="00B556DE">
              <w:rPr>
                <w:rFonts w:ascii="Arial" w:eastAsia="Times New Roman" w:hAnsi="Arial" w:cs="Arial"/>
                <w:sz w:val="14"/>
                <w:szCs w:val="14"/>
              </w:rPr>
              <w:t>0.25)</w:t>
            </w:r>
          </w:p>
        </w:tc>
        <w:tc>
          <w:tcPr>
            <w:tcW w:w="0" w:type="auto"/>
            <w:tcMar>
              <w:top w:w="90" w:type="dxa"/>
              <w:left w:w="90" w:type="dxa"/>
              <w:bottom w:w="90" w:type="dxa"/>
              <w:right w:w="90" w:type="dxa"/>
            </w:tcMar>
            <w:vAlign w:val="center"/>
            <w:hideMark/>
          </w:tcPr>
          <w:p w14:paraId="1F7839D8" w14:textId="77777777" w:rsidR="005953CA" w:rsidRPr="00B556DE" w:rsidRDefault="006E6F84" w:rsidP="00B556DE">
            <w:pPr>
              <w:rPr>
                <w:rFonts w:ascii="Arial" w:eastAsia="Times New Roman" w:hAnsi="Arial" w:cs="Arial"/>
                <w:sz w:val="14"/>
                <w:szCs w:val="14"/>
              </w:rPr>
            </w:pPr>
            <w:r w:rsidRPr="00B556DE">
              <w:rPr>
                <w:rFonts w:ascii="Arial" w:eastAsia="Times New Roman" w:hAnsi="Arial" w:cs="Arial"/>
                <w:sz w:val="14"/>
                <w:szCs w:val="14"/>
              </w:rPr>
              <w:t>0.003</w:t>
            </w:r>
            <w:r w:rsidRPr="00B556DE">
              <w:rPr>
                <w:rFonts w:ascii="Arial" w:eastAsia="Times New Roman" w:hAnsi="Arial" w:cs="Arial"/>
                <w:sz w:val="14"/>
                <w:szCs w:val="14"/>
              </w:rPr>
              <w:br/>
              <w:t>(0.002)</w:t>
            </w:r>
          </w:p>
        </w:tc>
        <w:tc>
          <w:tcPr>
            <w:tcW w:w="0" w:type="auto"/>
            <w:tcMar>
              <w:top w:w="90" w:type="dxa"/>
              <w:left w:w="90" w:type="dxa"/>
              <w:bottom w:w="90" w:type="dxa"/>
              <w:right w:w="90" w:type="dxa"/>
            </w:tcMar>
            <w:vAlign w:val="center"/>
            <w:hideMark/>
          </w:tcPr>
          <w:p w14:paraId="624FD494" w14:textId="77777777" w:rsidR="005953CA" w:rsidRPr="00B556DE" w:rsidRDefault="006E6F84" w:rsidP="00B556DE">
            <w:pPr>
              <w:rPr>
                <w:rFonts w:ascii="Arial" w:eastAsia="Times New Roman" w:hAnsi="Arial" w:cs="Arial"/>
                <w:sz w:val="14"/>
                <w:szCs w:val="14"/>
              </w:rPr>
            </w:pPr>
            <w:r w:rsidRPr="00B556DE">
              <w:rPr>
                <w:rFonts w:ascii="Arial" w:eastAsia="Times New Roman" w:hAnsi="Arial" w:cs="Arial"/>
                <w:sz w:val="14"/>
                <w:szCs w:val="14"/>
              </w:rPr>
              <w:t>10.05***</w:t>
            </w:r>
            <w:r w:rsidRPr="00B556DE">
              <w:rPr>
                <w:rFonts w:ascii="Arial" w:eastAsia="Times New Roman" w:hAnsi="Arial" w:cs="Arial"/>
                <w:sz w:val="14"/>
                <w:szCs w:val="14"/>
              </w:rPr>
              <w:br/>
              <w:t>(2.06)</w:t>
            </w:r>
          </w:p>
        </w:tc>
        <w:tc>
          <w:tcPr>
            <w:tcW w:w="0" w:type="auto"/>
            <w:tcMar>
              <w:top w:w="90" w:type="dxa"/>
              <w:left w:w="90" w:type="dxa"/>
              <w:bottom w:w="90" w:type="dxa"/>
              <w:right w:w="90" w:type="dxa"/>
            </w:tcMar>
            <w:vAlign w:val="center"/>
            <w:hideMark/>
          </w:tcPr>
          <w:p w14:paraId="2B9B2C0D" w14:textId="77777777" w:rsidR="005953CA" w:rsidRPr="00B556DE" w:rsidRDefault="006E6F84" w:rsidP="00B556DE">
            <w:pPr>
              <w:rPr>
                <w:rFonts w:ascii="Arial" w:eastAsia="Times New Roman" w:hAnsi="Arial" w:cs="Arial"/>
                <w:sz w:val="14"/>
                <w:szCs w:val="14"/>
              </w:rPr>
            </w:pPr>
            <w:r w:rsidRPr="00B556DE">
              <w:rPr>
                <w:rFonts w:ascii="Arial" w:eastAsia="Times New Roman" w:hAnsi="Arial" w:cs="Arial"/>
                <w:sz w:val="14"/>
                <w:szCs w:val="14"/>
              </w:rPr>
              <w:t>-0.85***</w:t>
            </w:r>
            <w:r w:rsidRPr="00B556DE">
              <w:rPr>
                <w:rFonts w:ascii="Arial" w:eastAsia="Times New Roman" w:hAnsi="Arial" w:cs="Arial"/>
                <w:sz w:val="14"/>
                <w:szCs w:val="14"/>
              </w:rPr>
              <w:br/>
              <w:t>(0.18)</w:t>
            </w:r>
          </w:p>
        </w:tc>
        <w:tc>
          <w:tcPr>
            <w:tcW w:w="0" w:type="auto"/>
            <w:tcMar>
              <w:top w:w="90" w:type="dxa"/>
              <w:left w:w="90" w:type="dxa"/>
              <w:bottom w:w="90" w:type="dxa"/>
              <w:right w:w="90" w:type="dxa"/>
            </w:tcMar>
            <w:vAlign w:val="center"/>
            <w:hideMark/>
          </w:tcPr>
          <w:p w14:paraId="7AF5B2FB" w14:textId="77777777" w:rsidR="005953CA" w:rsidRPr="00B556DE" w:rsidRDefault="006E6F84" w:rsidP="00B556DE">
            <w:pPr>
              <w:rPr>
                <w:rFonts w:ascii="Arial" w:eastAsia="Times New Roman" w:hAnsi="Arial" w:cs="Arial"/>
                <w:sz w:val="14"/>
                <w:szCs w:val="14"/>
              </w:rPr>
            </w:pPr>
            <w:r w:rsidRPr="00B556DE">
              <w:rPr>
                <w:rFonts w:ascii="Arial" w:eastAsia="Times New Roman" w:hAnsi="Arial" w:cs="Arial"/>
                <w:sz w:val="14"/>
                <w:szCs w:val="14"/>
              </w:rPr>
              <w:t>-0.02***</w:t>
            </w:r>
            <w:r w:rsidRPr="00B556DE">
              <w:rPr>
                <w:rFonts w:ascii="Arial" w:eastAsia="Times New Roman" w:hAnsi="Arial" w:cs="Arial"/>
                <w:sz w:val="14"/>
                <w:szCs w:val="14"/>
              </w:rPr>
              <w:br/>
              <w:t>(0.004)</w:t>
            </w:r>
          </w:p>
        </w:tc>
        <w:tc>
          <w:tcPr>
            <w:tcW w:w="0" w:type="auto"/>
            <w:tcMar>
              <w:top w:w="90" w:type="dxa"/>
              <w:left w:w="90" w:type="dxa"/>
              <w:bottom w:w="90" w:type="dxa"/>
              <w:right w:w="90" w:type="dxa"/>
            </w:tcMar>
            <w:vAlign w:val="center"/>
            <w:hideMark/>
          </w:tcPr>
          <w:p w14:paraId="3EE0333B" w14:textId="77777777" w:rsidR="005953CA" w:rsidRPr="00B556DE" w:rsidRDefault="006E6F84" w:rsidP="00B556DE">
            <w:pPr>
              <w:rPr>
                <w:rFonts w:ascii="Arial" w:eastAsia="Times New Roman" w:hAnsi="Arial" w:cs="Arial"/>
                <w:sz w:val="14"/>
                <w:szCs w:val="14"/>
              </w:rPr>
            </w:pPr>
            <w:r w:rsidRPr="00B556DE">
              <w:rPr>
                <w:rFonts w:ascii="Arial" w:eastAsia="Times New Roman" w:hAnsi="Arial" w:cs="Arial"/>
                <w:sz w:val="14"/>
                <w:szCs w:val="14"/>
              </w:rPr>
              <w:t>f-stat = 44.51</w:t>
            </w:r>
            <w:r w:rsidRPr="00B556DE">
              <w:rPr>
                <w:rFonts w:ascii="Arial" w:eastAsia="Times New Roman" w:hAnsi="Arial" w:cs="Arial"/>
                <w:sz w:val="14"/>
                <w:szCs w:val="14"/>
              </w:rPr>
              <w:br/>
              <w:t>(p-value &lt; .001)</w:t>
            </w:r>
          </w:p>
        </w:tc>
      </w:tr>
    </w:tbl>
    <w:p w14:paraId="1A862BC3" w14:textId="77777777" w:rsidR="005953CA" w:rsidRDefault="006E6F84">
      <w:pPr>
        <w:divId w:val="164252203"/>
        <w:rPr>
          <w:rFonts w:ascii="Arial" w:eastAsia="Times New Roman" w:hAnsi="Arial" w:cs="Arial"/>
          <w:i/>
          <w:iCs/>
          <w:sz w:val="16"/>
          <w:szCs w:val="16"/>
          <w:lang w:val="en"/>
        </w:rPr>
      </w:pPr>
      <w:r>
        <w:rPr>
          <w:rFonts w:ascii="Arial" w:eastAsia="Times New Roman" w:hAnsi="Arial" w:cs="Arial"/>
          <w:i/>
          <w:iCs/>
          <w:sz w:val="16"/>
          <w:szCs w:val="16"/>
          <w:lang w:val="en"/>
        </w:rPr>
        <w:t>Source: Author's estimation, 2024. ***, **, * denotes statistical significance at 1%, 5% and 10%, respectively. Standard errors are in parentheses.</w:t>
      </w:r>
    </w:p>
    <w:p w14:paraId="284985C6" w14:textId="77777777" w:rsidR="005953CA" w:rsidRDefault="006E6F84">
      <w:pPr>
        <w:pStyle w:val="NormalWeb"/>
        <w:rPr>
          <w:rFonts w:ascii="Arial" w:hAnsi="Arial" w:cs="Arial"/>
          <w:sz w:val="20"/>
          <w:szCs w:val="20"/>
          <w:lang w:val="en"/>
        </w:rPr>
      </w:pPr>
      <w:r>
        <w:rPr>
          <w:rFonts w:ascii="Arial" w:hAnsi="Arial" w:cs="Arial"/>
          <w:sz w:val="20"/>
          <w:szCs w:val="20"/>
          <w:lang w:val="en"/>
        </w:rPr>
        <w:t>The intercept, estimated at -0.19, suggests that when all other predictors are zero, the expected value of real money balance is -0.19 percent. The coefficient of real income, β</w:t>
      </w:r>
      <w:r>
        <w:rPr>
          <w:rFonts w:ascii="Arial" w:hAnsi="Arial" w:cs="Arial"/>
          <w:sz w:val="16"/>
          <w:szCs w:val="16"/>
          <w:vertAlign w:val="subscript"/>
          <w:lang w:val="en"/>
        </w:rPr>
        <w:t>2</w:t>
      </w:r>
      <w:r>
        <w:rPr>
          <w:rFonts w:ascii="Arial" w:hAnsi="Arial" w:cs="Arial"/>
          <w:sz w:val="20"/>
          <w:szCs w:val="20"/>
          <w:lang w:val="en"/>
        </w:rPr>
        <w:t>, is 0.85 and significant at 1% level (</w:t>
      </w:r>
      <w:r>
        <w:rPr>
          <w:rFonts w:ascii="Arial" w:hAnsi="Arial" w:cs="Arial"/>
          <w:i/>
          <w:iCs/>
          <w:sz w:val="20"/>
          <w:szCs w:val="20"/>
          <w:lang w:val="en"/>
        </w:rPr>
        <w:t>p</w:t>
      </w:r>
      <w:r>
        <w:rPr>
          <w:rFonts w:ascii="Arial" w:hAnsi="Arial" w:cs="Arial"/>
          <w:sz w:val="20"/>
          <w:szCs w:val="20"/>
          <w:lang w:val="en"/>
        </w:rPr>
        <w:t>-value = .00). Similarly, the coefficient for interest rate, β</w:t>
      </w:r>
      <w:r>
        <w:rPr>
          <w:rFonts w:ascii="Arial" w:hAnsi="Arial" w:cs="Arial"/>
          <w:sz w:val="16"/>
          <w:szCs w:val="16"/>
          <w:vertAlign w:val="subscript"/>
          <w:lang w:val="en"/>
        </w:rPr>
        <w:t>3</w:t>
      </w:r>
      <w:r>
        <w:rPr>
          <w:rFonts w:ascii="Arial" w:hAnsi="Arial" w:cs="Arial"/>
          <w:sz w:val="20"/>
          <w:szCs w:val="20"/>
          <w:lang w:val="en"/>
        </w:rPr>
        <w:t>, is -0.003 and significant at 1% level (</w:t>
      </w:r>
      <w:r>
        <w:rPr>
          <w:rFonts w:ascii="Arial" w:hAnsi="Arial" w:cs="Arial"/>
          <w:i/>
          <w:iCs/>
          <w:sz w:val="20"/>
          <w:szCs w:val="20"/>
          <w:lang w:val="en"/>
        </w:rPr>
        <w:t>p</w:t>
      </w:r>
      <w:r>
        <w:rPr>
          <w:rFonts w:ascii="Arial" w:hAnsi="Arial" w:cs="Arial"/>
          <w:sz w:val="20"/>
          <w:szCs w:val="20"/>
          <w:lang w:val="en"/>
        </w:rPr>
        <w:t>-value = .00). The coefficient of the early phase inflation targeting regime structural break dummy, δ</w:t>
      </w:r>
      <w:r>
        <w:rPr>
          <w:rFonts w:ascii="Arial" w:hAnsi="Arial" w:cs="Arial"/>
          <w:sz w:val="16"/>
          <w:szCs w:val="16"/>
          <w:vertAlign w:val="subscript"/>
          <w:lang w:val="en"/>
        </w:rPr>
        <w:t>1</w:t>
      </w:r>
      <w:r>
        <w:rPr>
          <w:rFonts w:ascii="Arial" w:hAnsi="Arial" w:cs="Arial"/>
          <w:sz w:val="20"/>
          <w:szCs w:val="20"/>
          <w:lang w:val="en"/>
        </w:rPr>
        <w:t>, has a coefficient of -3.69, but it is not statistically significant (</w:t>
      </w:r>
      <w:r>
        <w:rPr>
          <w:rFonts w:ascii="Arial" w:hAnsi="Arial" w:cs="Arial"/>
          <w:i/>
          <w:iCs/>
          <w:sz w:val="20"/>
          <w:szCs w:val="20"/>
          <w:lang w:val="en"/>
        </w:rPr>
        <w:t>p</w:t>
      </w:r>
      <w:r>
        <w:rPr>
          <w:rFonts w:ascii="Arial" w:hAnsi="Arial" w:cs="Arial"/>
          <w:sz w:val="20"/>
          <w:szCs w:val="20"/>
          <w:lang w:val="en"/>
        </w:rPr>
        <w:t>-value = .20).</w:t>
      </w:r>
    </w:p>
    <w:p w14:paraId="279DBDAB" w14:textId="77777777" w:rsidR="005953CA" w:rsidRDefault="006E6F84">
      <w:pPr>
        <w:pStyle w:val="NormalWeb"/>
        <w:rPr>
          <w:rFonts w:ascii="Arial" w:hAnsi="Arial" w:cs="Arial"/>
          <w:sz w:val="20"/>
          <w:szCs w:val="20"/>
          <w:lang w:val="en"/>
        </w:rPr>
      </w:pPr>
      <w:r>
        <w:rPr>
          <w:rFonts w:ascii="Arial" w:hAnsi="Arial" w:cs="Arial"/>
          <w:sz w:val="20"/>
          <w:szCs w:val="20"/>
          <w:lang w:val="en"/>
        </w:rPr>
        <w:t>The interaction term [</w:t>
      </w:r>
      <w:proofErr w:type="gramStart"/>
      <w:r>
        <w:rPr>
          <w:rFonts w:ascii="Arial" w:hAnsi="Arial" w:cs="Arial"/>
          <w:sz w:val="20"/>
          <w:szCs w:val="20"/>
          <w:lang w:val="en"/>
        </w:rPr>
        <w:t>log(</w:t>
      </w:r>
      <w:proofErr w:type="gramEnd"/>
      <w:r>
        <w:rPr>
          <w:rFonts w:ascii="Arial" w:hAnsi="Arial" w:cs="Arial"/>
          <w:sz w:val="20"/>
          <w:szCs w:val="20"/>
          <w:lang w:val="en"/>
        </w:rPr>
        <w:t>Y</w:t>
      </w:r>
      <w:r>
        <w:rPr>
          <w:rFonts w:ascii="Arial" w:hAnsi="Arial" w:cs="Arial"/>
          <w:sz w:val="16"/>
          <w:szCs w:val="16"/>
          <w:vertAlign w:val="subscript"/>
          <w:lang w:val="en"/>
        </w:rPr>
        <w:t>t</w:t>
      </w:r>
      <w:r>
        <w:rPr>
          <w:rFonts w:ascii="Arial" w:hAnsi="Arial" w:cs="Arial"/>
          <w:sz w:val="20"/>
          <w:szCs w:val="20"/>
          <w:lang w:val="en"/>
        </w:rPr>
        <w:t>) × d08</w:t>
      </w:r>
      <w:r>
        <w:rPr>
          <w:rFonts w:ascii="Arial" w:hAnsi="Arial" w:cs="Arial"/>
          <w:sz w:val="16"/>
          <w:szCs w:val="16"/>
          <w:vertAlign w:val="subscript"/>
          <w:lang w:val="en"/>
        </w:rPr>
        <w:t>t</w:t>
      </w:r>
      <w:r>
        <w:rPr>
          <w:rFonts w:ascii="Arial" w:hAnsi="Arial" w:cs="Arial"/>
          <w:sz w:val="20"/>
          <w:szCs w:val="20"/>
          <w:lang w:val="en"/>
        </w:rPr>
        <w:t>] has a coefficient of 0.32 and is also statistically insignificant (</w:t>
      </w:r>
      <w:r>
        <w:rPr>
          <w:rFonts w:ascii="Arial" w:hAnsi="Arial" w:cs="Arial"/>
          <w:i/>
          <w:iCs/>
          <w:sz w:val="20"/>
          <w:szCs w:val="20"/>
          <w:lang w:val="en"/>
        </w:rPr>
        <w:t>p</w:t>
      </w:r>
      <w:r>
        <w:rPr>
          <w:rFonts w:ascii="Arial" w:hAnsi="Arial" w:cs="Arial"/>
          <w:sz w:val="20"/>
          <w:szCs w:val="20"/>
          <w:lang w:val="en"/>
        </w:rPr>
        <w:t>-value = .21). The interaction term [i</w:t>
      </w:r>
      <w:r>
        <w:rPr>
          <w:rFonts w:ascii="Arial" w:hAnsi="Arial" w:cs="Arial"/>
          <w:sz w:val="16"/>
          <w:szCs w:val="16"/>
          <w:vertAlign w:val="subscript"/>
          <w:lang w:val="en"/>
        </w:rPr>
        <w:t>t</w:t>
      </w:r>
      <w:r>
        <w:rPr>
          <w:rFonts w:ascii="Arial" w:hAnsi="Arial" w:cs="Arial"/>
          <w:sz w:val="20"/>
          <w:szCs w:val="20"/>
          <w:lang w:val="en"/>
        </w:rPr>
        <w:t xml:space="preserve"> × d08</w:t>
      </w:r>
      <w:r>
        <w:rPr>
          <w:rFonts w:ascii="Arial" w:hAnsi="Arial" w:cs="Arial"/>
          <w:sz w:val="16"/>
          <w:szCs w:val="16"/>
          <w:vertAlign w:val="subscript"/>
          <w:lang w:val="en"/>
        </w:rPr>
        <w:t>t</w:t>
      </w:r>
      <w:r>
        <w:rPr>
          <w:rFonts w:ascii="Arial" w:hAnsi="Arial" w:cs="Arial"/>
          <w:sz w:val="20"/>
          <w:szCs w:val="20"/>
          <w:lang w:val="en"/>
        </w:rPr>
        <w:t>] has a coefficient of 0.003, which is close to being significant at the 10% level (</w:t>
      </w:r>
      <w:r>
        <w:rPr>
          <w:rFonts w:ascii="Arial" w:hAnsi="Arial" w:cs="Arial"/>
          <w:i/>
          <w:iCs/>
          <w:sz w:val="20"/>
          <w:szCs w:val="20"/>
          <w:lang w:val="en"/>
        </w:rPr>
        <w:t>p</w:t>
      </w:r>
      <w:r>
        <w:rPr>
          <w:rFonts w:ascii="Arial" w:hAnsi="Arial" w:cs="Arial"/>
          <w:sz w:val="20"/>
          <w:szCs w:val="20"/>
          <w:lang w:val="en"/>
        </w:rPr>
        <w:t>-value = .14), indicating evidence of a change in the relationship between interest rates and real money balance during the early phase of the inflation targeting regime.</w:t>
      </w:r>
    </w:p>
    <w:p w14:paraId="6982208F" w14:textId="77777777" w:rsidR="005953CA" w:rsidRDefault="006E6F84">
      <w:pPr>
        <w:pStyle w:val="NormalWeb"/>
        <w:rPr>
          <w:rFonts w:ascii="Arial" w:hAnsi="Arial" w:cs="Arial"/>
          <w:sz w:val="20"/>
          <w:szCs w:val="20"/>
          <w:lang w:val="en"/>
        </w:rPr>
      </w:pPr>
      <w:r>
        <w:rPr>
          <w:rFonts w:ascii="Arial" w:hAnsi="Arial" w:cs="Arial"/>
          <w:sz w:val="20"/>
          <w:szCs w:val="20"/>
          <w:lang w:val="en"/>
        </w:rPr>
        <w:lastRenderedPageBreak/>
        <w:t>The coefficient of the COVID period dummy, δ</w:t>
      </w:r>
      <w:r>
        <w:rPr>
          <w:rFonts w:ascii="Arial" w:hAnsi="Arial" w:cs="Arial"/>
          <w:sz w:val="16"/>
          <w:szCs w:val="16"/>
          <w:vertAlign w:val="subscript"/>
          <w:lang w:val="en"/>
        </w:rPr>
        <w:t>4</w:t>
      </w:r>
      <w:r>
        <w:rPr>
          <w:rFonts w:ascii="Arial" w:hAnsi="Arial" w:cs="Arial"/>
          <w:sz w:val="20"/>
          <w:szCs w:val="20"/>
          <w:lang w:val="en"/>
        </w:rPr>
        <w:t>, is 10.05 and it is statistically significant at 1% level (</w:t>
      </w:r>
      <w:r>
        <w:rPr>
          <w:rFonts w:ascii="Arial" w:hAnsi="Arial" w:cs="Arial"/>
          <w:i/>
          <w:iCs/>
          <w:sz w:val="20"/>
          <w:szCs w:val="20"/>
          <w:lang w:val="en"/>
        </w:rPr>
        <w:t>p</w:t>
      </w:r>
      <w:r>
        <w:rPr>
          <w:rFonts w:ascii="Arial" w:hAnsi="Arial" w:cs="Arial"/>
          <w:sz w:val="20"/>
          <w:szCs w:val="20"/>
          <w:lang w:val="en"/>
        </w:rPr>
        <w:t>-value = .00). Similarly, the interaction terms [</w:t>
      </w:r>
      <w:proofErr w:type="gramStart"/>
      <w:r>
        <w:rPr>
          <w:rFonts w:ascii="Arial" w:hAnsi="Arial" w:cs="Arial"/>
          <w:sz w:val="20"/>
          <w:szCs w:val="20"/>
          <w:lang w:val="en"/>
        </w:rPr>
        <w:t>log(</w:t>
      </w:r>
      <w:proofErr w:type="gramEnd"/>
      <w:r>
        <w:rPr>
          <w:rFonts w:ascii="Arial" w:hAnsi="Arial" w:cs="Arial"/>
          <w:sz w:val="20"/>
          <w:szCs w:val="20"/>
          <w:lang w:val="en"/>
        </w:rPr>
        <w:t>Y</w:t>
      </w:r>
      <w:r>
        <w:rPr>
          <w:rFonts w:ascii="Arial" w:hAnsi="Arial" w:cs="Arial"/>
          <w:sz w:val="16"/>
          <w:szCs w:val="16"/>
          <w:vertAlign w:val="subscript"/>
          <w:lang w:val="en"/>
        </w:rPr>
        <w:t>t</w:t>
      </w:r>
      <w:r>
        <w:rPr>
          <w:rFonts w:ascii="Arial" w:hAnsi="Arial" w:cs="Arial"/>
          <w:sz w:val="20"/>
          <w:szCs w:val="20"/>
          <w:lang w:val="en"/>
        </w:rPr>
        <w:t>) × d09</w:t>
      </w:r>
      <w:r>
        <w:rPr>
          <w:rFonts w:ascii="Arial" w:hAnsi="Arial" w:cs="Arial"/>
          <w:sz w:val="16"/>
          <w:szCs w:val="16"/>
          <w:vertAlign w:val="subscript"/>
          <w:lang w:val="en"/>
        </w:rPr>
        <w:t>t</w:t>
      </w:r>
      <w:r>
        <w:rPr>
          <w:rFonts w:ascii="Arial" w:hAnsi="Arial" w:cs="Arial"/>
          <w:sz w:val="20"/>
          <w:szCs w:val="20"/>
          <w:lang w:val="en"/>
        </w:rPr>
        <w:t>] and [i</w:t>
      </w:r>
      <w:r>
        <w:rPr>
          <w:rFonts w:ascii="Arial" w:hAnsi="Arial" w:cs="Arial"/>
          <w:sz w:val="16"/>
          <w:szCs w:val="16"/>
          <w:vertAlign w:val="subscript"/>
          <w:lang w:val="en"/>
        </w:rPr>
        <w:t>t</w:t>
      </w:r>
      <w:r>
        <w:rPr>
          <w:rFonts w:ascii="Arial" w:hAnsi="Arial" w:cs="Arial"/>
          <w:sz w:val="20"/>
          <w:szCs w:val="20"/>
          <w:lang w:val="en"/>
        </w:rPr>
        <w:t xml:space="preserve"> × d09</w:t>
      </w:r>
      <w:r>
        <w:rPr>
          <w:rFonts w:ascii="Arial" w:hAnsi="Arial" w:cs="Arial"/>
          <w:sz w:val="16"/>
          <w:szCs w:val="16"/>
          <w:vertAlign w:val="subscript"/>
          <w:lang w:val="en"/>
        </w:rPr>
        <w:t>t</w:t>
      </w:r>
      <w:r>
        <w:rPr>
          <w:rFonts w:ascii="Arial" w:hAnsi="Arial" w:cs="Arial"/>
          <w:sz w:val="20"/>
          <w:szCs w:val="20"/>
          <w:lang w:val="en"/>
        </w:rPr>
        <w:t>] are both statistically significant at 1% level (</w:t>
      </w:r>
      <w:r>
        <w:rPr>
          <w:rFonts w:ascii="Arial" w:hAnsi="Arial" w:cs="Arial"/>
          <w:i/>
          <w:iCs/>
          <w:sz w:val="20"/>
          <w:szCs w:val="20"/>
          <w:lang w:val="en"/>
        </w:rPr>
        <w:t>p</w:t>
      </w:r>
      <w:r>
        <w:rPr>
          <w:rFonts w:ascii="Arial" w:hAnsi="Arial" w:cs="Arial"/>
          <w:sz w:val="20"/>
          <w:szCs w:val="20"/>
          <w:lang w:val="en"/>
        </w:rPr>
        <w:t>-value = .00). The coefficient on [i</w:t>
      </w:r>
      <w:r>
        <w:rPr>
          <w:rFonts w:ascii="Arial" w:hAnsi="Arial" w:cs="Arial"/>
          <w:sz w:val="16"/>
          <w:szCs w:val="16"/>
          <w:vertAlign w:val="subscript"/>
          <w:lang w:val="en"/>
        </w:rPr>
        <w:t>t</w:t>
      </w:r>
      <w:r>
        <w:rPr>
          <w:rFonts w:ascii="Arial" w:hAnsi="Arial" w:cs="Arial"/>
          <w:sz w:val="20"/>
          <w:szCs w:val="20"/>
          <w:lang w:val="en"/>
        </w:rPr>
        <w:t xml:space="preserve"> × d09</w:t>
      </w:r>
      <w:r>
        <w:rPr>
          <w:rFonts w:ascii="Arial" w:hAnsi="Arial" w:cs="Arial"/>
          <w:sz w:val="16"/>
          <w:szCs w:val="16"/>
          <w:vertAlign w:val="subscript"/>
          <w:lang w:val="en"/>
        </w:rPr>
        <w:t>t</w:t>
      </w:r>
      <w:r>
        <w:rPr>
          <w:rFonts w:ascii="Arial" w:hAnsi="Arial" w:cs="Arial"/>
          <w:sz w:val="20"/>
          <w:szCs w:val="20"/>
          <w:lang w:val="en"/>
        </w:rPr>
        <w:t>] is -0.02, indicating that the negative impact of the interest rate on money demand was significantly strengthened during the pandemic. The coefficient on [</w:t>
      </w:r>
      <w:proofErr w:type="gramStart"/>
      <w:r>
        <w:rPr>
          <w:rFonts w:ascii="Arial" w:hAnsi="Arial" w:cs="Arial"/>
          <w:sz w:val="20"/>
          <w:szCs w:val="20"/>
          <w:lang w:val="en"/>
        </w:rPr>
        <w:t>log(</w:t>
      </w:r>
      <w:proofErr w:type="gramEnd"/>
      <w:r>
        <w:rPr>
          <w:rFonts w:ascii="Arial" w:hAnsi="Arial" w:cs="Arial"/>
          <w:sz w:val="20"/>
          <w:szCs w:val="20"/>
          <w:lang w:val="en"/>
        </w:rPr>
        <w:t>Y</w:t>
      </w:r>
      <w:r>
        <w:rPr>
          <w:rFonts w:ascii="Arial" w:hAnsi="Arial" w:cs="Arial"/>
          <w:sz w:val="16"/>
          <w:szCs w:val="16"/>
          <w:vertAlign w:val="subscript"/>
          <w:lang w:val="en"/>
        </w:rPr>
        <w:t>t</w:t>
      </w:r>
      <w:r>
        <w:rPr>
          <w:rFonts w:ascii="Arial" w:hAnsi="Arial" w:cs="Arial"/>
          <w:sz w:val="20"/>
          <w:szCs w:val="20"/>
          <w:lang w:val="en"/>
        </w:rPr>
        <w:t>) × d09</w:t>
      </w:r>
      <w:r>
        <w:rPr>
          <w:rFonts w:ascii="Arial" w:hAnsi="Arial" w:cs="Arial"/>
          <w:sz w:val="16"/>
          <w:szCs w:val="16"/>
          <w:vertAlign w:val="subscript"/>
          <w:lang w:val="en"/>
        </w:rPr>
        <w:t>t</w:t>
      </w:r>
      <w:r>
        <w:rPr>
          <w:rFonts w:ascii="Arial" w:hAnsi="Arial" w:cs="Arial"/>
          <w:sz w:val="20"/>
          <w:szCs w:val="20"/>
          <w:lang w:val="en"/>
        </w:rPr>
        <w:t>] is -0.852, suggesting that the positive impact of income on money demand was significantly reduced during the pandemic. The altered relationship between money demand and its drivers during the COVID-19 pandemic likely stemmed from increased precautionary behavior and shifts in transaction patterns due to lockdowns and economic uncertainty (Chen et al., 2021). Households and firms increased their demand for liquid assets as a buffer against potential income loss and unforeseen expenses, potentially weakening the typical responsiveness to income and interest rates.</w:t>
      </w:r>
    </w:p>
    <w:p w14:paraId="40280D2E" w14:textId="77777777" w:rsidR="005953CA" w:rsidRDefault="006E6F84">
      <w:pPr>
        <w:pStyle w:val="NormalWeb"/>
        <w:rPr>
          <w:rFonts w:ascii="Arial" w:hAnsi="Arial" w:cs="Arial"/>
          <w:sz w:val="20"/>
          <w:szCs w:val="20"/>
          <w:lang w:val="en"/>
        </w:rPr>
      </w:pPr>
      <w:r>
        <w:rPr>
          <w:rFonts w:ascii="Arial" w:hAnsi="Arial" w:cs="Arial"/>
          <w:sz w:val="20"/>
          <w:szCs w:val="20"/>
          <w:lang w:val="en"/>
        </w:rPr>
        <w:t xml:space="preserve">The Chow test conducted on the GLS model has a test statistic of 44.51 with a </w:t>
      </w:r>
      <w:r>
        <w:rPr>
          <w:rFonts w:ascii="Arial" w:hAnsi="Arial" w:cs="Arial"/>
          <w:i/>
          <w:iCs/>
          <w:sz w:val="20"/>
          <w:szCs w:val="20"/>
          <w:lang w:val="en"/>
        </w:rPr>
        <w:t>p</w:t>
      </w:r>
      <w:r>
        <w:rPr>
          <w:rFonts w:ascii="Arial" w:hAnsi="Arial" w:cs="Arial"/>
          <w:sz w:val="20"/>
          <w:szCs w:val="20"/>
          <w:lang w:val="en"/>
        </w:rPr>
        <w:t xml:space="preserve">-value less than .001. This </w:t>
      </w:r>
      <w:r>
        <w:rPr>
          <w:rFonts w:ascii="Arial" w:hAnsi="Arial" w:cs="Arial"/>
          <w:i/>
          <w:iCs/>
          <w:sz w:val="20"/>
          <w:szCs w:val="20"/>
          <w:lang w:val="en"/>
        </w:rPr>
        <w:t>p</w:t>
      </w:r>
      <w:r>
        <w:rPr>
          <w:rFonts w:ascii="Arial" w:hAnsi="Arial" w:cs="Arial"/>
          <w:sz w:val="20"/>
          <w:szCs w:val="20"/>
          <w:lang w:val="en"/>
        </w:rPr>
        <w:t>-value is statistically significant at the 1% level, suggesting that there is evidence to reject the null hypothesis of parameter stability over time. This finding indicates the presence of a structural break in the data, which confirms that the relationship between the variables in the model has undergone a change at some point during the sample period.</w:t>
      </w:r>
    </w:p>
    <w:p w14:paraId="5B8E6185" w14:textId="77777777" w:rsidR="005953CA" w:rsidRDefault="006E6F84">
      <w:pPr>
        <w:jc w:val="both"/>
        <w:divId w:val="763771878"/>
        <w:rPr>
          <w:rFonts w:ascii="Arial" w:eastAsia="Times New Roman" w:hAnsi="Arial" w:cs="Arial"/>
          <w:b/>
          <w:bCs/>
          <w:sz w:val="20"/>
          <w:szCs w:val="20"/>
          <w:lang w:val="en"/>
        </w:rPr>
      </w:pPr>
      <w:r>
        <w:rPr>
          <w:rFonts w:ascii="Arial" w:eastAsia="Times New Roman" w:hAnsi="Arial" w:cs="Arial"/>
          <w:b/>
          <w:bCs/>
          <w:sz w:val="20"/>
          <w:szCs w:val="20"/>
          <w:lang w:val="en"/>
        </w:rPr>
        <w:t>3.3 Final Model After Model Selection</w:t>
      </w:r>
    </w:p>
    <w:p w14:paraId="004013EC" w14:textId="77777777" w:rsidR="005953CA" w:rsidRDefault="006E6F84">
      <w:pPr>
        <w:pStyle w:val="NormalWeb"/>
        <w:rPr>
          <w:rFonts w:ascii="Arial" w:hAnsi="Arial" w:cs="Arial"/>
          <w:sz w:val="20"/>
          <w:szCs w:val="20"/>
          <w:lang w:val="en"/>
        </w:rPr>
      </w:pPr>
      <w:r>
        <w:rPr>
          <w:rFonts w:ascii="Arial" w:hAnsi="Arial" w:cs="Arial"/>
          <w:sz w:val="20"/>
          <w:szCs w:val="20"/>
          <w:lang w:val="en"/>
        </w:rPr>
        <w:t>Table 3 presents the results of the final GLS estimates of the money demand function after model selection. The variables that were statistically insignificant in Table 2 were gradually removed until a final model was achieved.</w:t>
      </w:r>
    </w:p>
    <w:p w14:paraId="3548E7BA" w14:textId="77777777" w:rsidR="005953CA" w:rsidRDefault="006E6F84">
      <w:pPr>
        <w:divId w:val="1884557234"/>
        <w:rPr>
          <w:rFonts w:ascii="Arial" w:eastAsia="Times New Roman" w:hAnsi="Arial" w:cs="Arial"/>
          <w:b/>
          <w:bCs/>
          <w:sz w:val="20"/>
          <w:szCs w:val="20"/>
          <w:lang w:val="en"/>
        </w:rPr>
      </w:pPr>
      <w:r>
        <w:rPr>
          <w:rFonts w:ascii="Arial" w:eastAsia="Times New Roman" w:hAnsi="Arial" w:cs="Arial"/>
          <w:b/>
          <w:bCs/>
          <w:sz w:val="20"/>
          <w:szCs w:val="20"/>
          <w:lang w:val="en"/>
        </w:rPr>
        <w:t>Table 3. Final Generalized Least Squares (GLS) regression after model selection</w:t>
      </w:r>
    </w:p>
    <w:tbl>
      <w:tblPr>
        <w:tblW w:w="5000" w:type="pct"/>
        <w:tblBorders>
          <w:top w:val="single" w:sz="4" w:space="0" w:color="auto"/>
          <w:bottom w:val="single" w:sz="4" w:space="0" w:color="auto"/>
          <w:insideH w:val="single" w:sz="4" w:space="0" w:color="auto"/>
        </w:tblBorders>
        <w:tblCellMar>
          <w:top w:w="15" w:type="dxa"/>
          <w:left w:w="15" w:type="dxa"/>
          <w:bottom w:w="15" w:type="dxa"/>
          <w:right w:w="15" w:type="dxa"/>
        </w:tblCellMar>
        <w:tblLook w:val="04A0" w:firstRow="1" w:lastRow="0" w:firstColumn="1" w:lastColumn="0" w:noHBand="0" w:noVBand="1"/>
      </w:tblPr>
      <w:tblGrid>
        <w:gridCol w:w="1164"/>
        <w:gridCol w:w="905"/>
        <w:gridCol w:w="1005"/>
        <w:gridCol w:w="1073"/>
        <w:gridCol w:w="1005"/>
        <w:gridCol w:w="1447"/>
        <w:gridCol w:w="1073"/>
        <w:gridCol w:w="1688"/>
      </w:tblGrid>
      <w:tr w:rsidR="0037114F" w:rsidRPr="00B556DE" w14:paraId="4815F994" w14:textId="77777777" w:rsidTr="00B556DE">
        <w:trPr>
          <w:divId w:val="174196718"/>
        </w:trPr>
        <w:tc>
          <w:tcPr>
            <w:tcW w:w="0" w:type="auto"/>
            <w:shd w:val="clear" w:color="auto" w:fill="F0F0F0"/>
            <w:tcMar>
              <w:top w:w="90" w:type="dxa"/>
              <w:left w:w="90" w:type="dxa"/>
              <w:bottom w:w="90" w:type="dxa"/>
              <w:right w:w="90" w:type="dxa"/>
            </w:tcMar>
            <w:vAlign w:val="center"/>
            <w:hideMark/>
          </w:tcPr>
          <w:p w14:paraId="48EE9DBE" w14:textId="77777777" w:rsidR="0037114F" w:rsidRPr="00B556DE" w:rsidRDefault="0037114F" w:rsidP="0037114F">
            <w:pPr>
              <w:rPr>
                <w:rFonts w:ascii="Arial" w:eastAsia="Times New Roman" w:hAnsi="Arial" w:cs="Arial"/>
                <w:b/>
                <w:bCs/>
                <w:i/>
                <w:iCs/>
                <w:sz w:val="14"/>
                <w:szCs w:val="14"/>
              </w:rPr>
            </w:pPr>
            <w:r w:rsidRPr="00B556DE">
              <w:rPr>
                <w:rFonts w:ascii="Arial" w:eastAsia="Times New Roman" w:hAnsi="Arial" w:cs="Arial"/>
                <w:b/>
                <w:bCs/>
                <w:i/>
                <w:iCs/>
                <w:sz w:val="14"/>
                <w:szCs w:val="14"/>
              </w:rPr>
              <w:t>Variables</w:t>
            </w:r>
          </w:p>
        </w:tc>
        <w:tc>
          <w:tcPr>
            <w:tcW w:w="0" w:type="auto"/>
            <w:shd w:val="clear" w:color="auto" w:fill="F0F0F0"/>
            <w:tcMar>
              <w:top w:w="90" w:type="dxa"/>
              <w:left w:w="90" w:type="dxa"/>
              <w:bottom w:w="90" w:type="dxa"/>
              <w:right w:w="90" w:type="dxa"/>
            </w:tcMar>
            <w:vAlign w:val="center"/>
            <w:hideMark/>
          </w:tcPr>
          <w:p w14:paraId="05265BB7" w14:textId="77777777" w:rsidR="0037114F" w:rsidRPr="00B556DE" w:rsidRDefault="0037114F" w:rsidP="0037114F">
            <w:pPr>
              <w:rPr>
                <w:rFonts w:ascii="Arial" w:eastAsia="Times New Roman" w:hAnsi="Arial" w:cs="Arial"/>
                <w:b/>
                <w:bCs/>
                <w:i/>
                <w:iCs/>
                <w:sz w:val="14"/>
                <w:szCs w:val="14"/>
              </w:rPr>
            </w:pPr>
            <w:r w:rsidRPr="00B556DE">
              <w:rPr>
                <w:rFonts w:ascii="Arial" w:eastAsia="Times New Roman" w:hAnsi="Arial" w:cs="Arial"/>
                <w:b/>
                <w:bCs/>
                <w:i/>
                <w:iCs/>
                <w:sz w:val="14"/>
                <w:szCs w:val="14"/>
              </w:rPr>
              <w:t>β1</w:t>
            </w:r>
          </w:p>
        </w:tc>
        <w:tc>
          <w:tcPr>
            <w:tcW w:w="0" w:type="auto"/>
            <w:shd w:val="clear" w:color="auto" w:fill="F0F0F0"/>
            <w:tcMar>
              <w:top w:w="90" w:type="dxa"/>
              <w:left w:w="90" w:type="dxa"/>
              <w:bottom w:w="90" w:type="dxa"/>
              <w:right w:w="90" w:type="dxa"/>
            </w:tcMar>
            <w:vAlign w:val="center"/>
            <w:hideMark/>
          </w:tcPr>
          <w:p w14:paraId="43DAEEEB" w14:textId="77777777" w:rsidR="0037114F" w:rsidRDefault="0037114F" w:rsidP="0037114F">
            <w:pPr>
              <w:rPr>
                <w:rFonts w:ascii="Arial" w:eastAsia="Times New Roman" w:hAnsi="Arial" w:cs="Arial"/>
                <w:b/>
                <w:bCs/>
                <w:i/>
                <w:iCs/>
                <w:sz w:val="14"/>
                <w:szCs w:val="14"/>
                <w:vertAlign w:val="subscript"/>
              </w:rPr>
            </w:pPr>
            <w:r>
              <w:rPr>
                <w:rFonts w:ascii="Arial" w:eastAsia="Times New Roman" w:hAnsi="Arial" w:cs="Arial"/>
                <w:b/>
                <w:bCs/>
                <w:i/>
                <w:iCs/>
                <w:sz w:val="14"/>
                <w:szCs w:val="14"/>
              </w:rPr>
              <w:t xml:space="preserve">     </w:t>
            </w:r>
            <w:r w:rsidRPr="00CC271B">
              <w:rPr>
                <w:rFonts w:ascii="Arial" w:eastAsia="Times New Roman" w:hAnsi="Arial" w:cs="Arial"/>
                <w:b/>
                <w:bCs/>
                <w:i/>
                <w:iCs/>
                <w:sz w:val="14"/>
                <w:szCs w:val="14"/>
              </w:rPr>
              <w:t>β</w:t>
            </w:r>
            <w:r w:rsidRPr="00CC271B">
              <w:rPr>
                <w:rFonts w:ascii="Arial" w:eastAsia="Times New Roman" w:hAnsi="Arial" w:cs="Arial"/>
                <w:b/>
                <w:bCs/>
                <w:i/>
                <w:iCs/>
                <w:sz w:val="14"/>
                <w:szCs w:val="14"/>
                <w:vertAlign w:val="subscript"/>
              </w:rPr>
              <w:t>2</w:t>
            </w:r>
          </w:p>
          <w:p w14:paraId="2B993F38" w14:textId="410C984B" w:rsidR="0037114F" w:rsidRPr="00B556DE" w:rsidRDefault="0037114F" w:rsidP="0037114F">
            <w:pPr>
              <w:rPr>
                <w:rFonts w:ascii="Arial" w:eastAsia="Times New Roman" w:hAnsi="Arial" w:cs="Arial"/>
                <w:b/>
                <w:bCs/>
                <w:i/>
                <w:iCs/>
                <w:sz w:val="14"/>
                <w:szCs w:val="14"/>
              </w:rPr>
            </w:pPr>
            <w:r w:rsidRPr="00CC271B">
              <w:rPr>
                <w:rFonts w:ascii="Arial" w:eastAsia="Times New Roman" w:hAnsi="Arial" w:cs="Arial"/>
                <w:b/>
                <w:bCs/>
                <w:i/>
                <w:iCs/>
                <w:sz w:val="14"/>
                <w:szCs w:val="14"/>
              </w:rPr>
              <w:t> </w:t>
            </w:r>
            <w:proofErr w:type="gramStart"/>
            <w:r w:rsidRPr="00CC271B">
              <w:rPr>
                <w:rFonts w:ascii="Arial" w:eastAsia="Times New Roman" w:hAnsi="Arial" w:cs="Arial"/>
                <w:b/>
                <w:bCs/>
                <w:i/>
                <w:iCs/>
                <w:sz w:val="14"/>
                <w:szCs w:val="14"/>
              </w:rPr>
              <w:t>log(</w:t>
            </w:r>
            <w:proofErr w:type="gramEnd"/>
            <w:r w:rsidRPr="00CC271B">
              <w:rPr>
                <w:rFonts w:ascii="Arial" w:eastAsia="Times New Roman" w:hAnsi="Arial" w:cs="Arial"/>
                <w:b/>
                <w:bCs/>
                <w:i/>
                <w:iCs/>
                <w:sz w:val="14"/>
                <w:szCs w:val="14"/>
              </w:rPr>
              <w:t>Y</w:t>
            </w:r>
            <w:r w:rsidRPr="00CC271B">
              <w:rPr>
                <w:rFonts w:ascii="Arial" w:eastAsia="Times New Roman" w:hAnsi="Arial" w:cs="Arial"/>
                <w:b/>
                <w:bCs/>
                <w:i/>
                <w:iCs/>
                <w:sz w:val="14"/>
                <w:szCs w:val="14"/>
                <w:vertAlign w:val="subscript"/>
              </w:rPr>
              <w:t>t</w:t>
            </w:r>
            <w:r w:rsidRPr="00CC271B">
              <w:rPr>
                <w:rFonts w:ascii="Arial" w:eastAsia="Times New Roman" w:hAnsi="Arial" w:cs="Arial"/>
                <w:b/>
                <w:bCs/>
                <w:i/>
                <w:iCs/>
                <w:sz w:val="14"/>
                <w:szCs w:val="14"/>
              </w:rPr>
              <w:t>)</w:t>
            </w:r>
          </w:p>
        </w:tc>
        <w:tc>
          <w:tcPr>
            <w:tcW w:w="0" w:type="auto"/>
            <w:shd w:val="clear" w:color="auto" w:fill="F0F0F0"/>
            <w:tcMar>
              <w:top w:w="90" w:type="dxa"/>
              <w:left w:w="90" w:type="dxa"/>
              <w:bottom w:w="90" w:type="dxa"/>
              <w:right w:w="90" w:type="dxa"/>
            </w:tcMar>
            <w:vAlign w:val="center"/>
            <w:hideMark/>
          </w:tcPr>
          <w:p w14:paraId="4E7DE358" w14:textId="77777777" w:rsidR="0037114F" w:rsidRDefault="0037114F" w:rsidP="0037114F">
            <w:pPr>
              <w:rPr>
                <w:rFonts w:ascii="Arial" w:eastAsia="Times New Roman" w:hAnsi="Arial" w:cs="Arial"/>
                <w:b/>
                <w:bCs/>
                <w:i/>
                <w:iCs/>
                <w:sz w:val="14"/>
                <w:szCs w:val="14"/>
                <w:vertAlign w:val="subscript"/>
              </w:rPr>
            </w:pPr>
            <w:r>
              <w:rPr>
                <w:rFonts w:ascii="Arial" w:eastAsia="Times New Roman" w:hAnsi="Arial" w:cs="Arial"/>
                <w:b/>
                <w:bCs/>
                <w:i/>
                <w:iCs/>
                <w:sz w:val="14"/>
                <w:szCs w:val="14"/>
              </w:rPr>
              <w:t xml:space="preserve"> </w:t>
            </w:r>
            <w:r w:rsidRPr="00CC271B">
              <w:rPr>
                <w:rFonts w:ascii="Arial" w:eastAsia="Times New Roman" w:hAnsi="Arial" w:cs="Arial"/>
                <w:b/>
                <w:bCs/>
                <w:i/>
                <w:iCs/>
                <w:sz w:val="14"/>
                <w:szCs w:val="14"/>
              </w:rPr>
              <w:t>β</w:t>
            </w:r>
            <w:r w:rsidRPr="00CC271B">
              <w:rPr>
                <w:rFonts w:ascii="Arial" w:eastAsia="Times New Roman" w:hAnsi="Arial" w:cs="Arial"/>
                <w:b/>
                <w:bCs/>
                <w:i/>
                <w:iCs/>
                <w:sz w:val="14"/>
                <w:szCs w:val="14"/>
                <w:vertAlign w:val="subscript"/>
              </w:rPr>
              <w:t>3</w:t>
            </w:r>
          </w:p>
          <w:p w14:paraId="311B029D" w14:textId="4E877DE3" w:rsidR="0037114F" w:rsidRPr="00B556DE" w:rsidRDefault="0037114F" w:rsidP="0037114F">
            <w:pPr>
              <w:rPr>
                <w:rFonts w:ascii="Arial" w:eastAsia="Times New Roman" w:hAnsi="Arial" w:cs="Arial"/>
                <w:b/>
                <w:bCs/>
                <w:i/>
                <w:iCs/>
                <w:sz w:val="14"/>
                <w:szCs w:val="14"/>
              </w:rPr>
            </w:pPr>
            <w:r>
              <w:rPr>
                <w:rFonts w:ascii="Arial" w:eastAsia="Times New Roman" w:hAnsi="Arial" w:cs="Arial"/>
                <w:b/>
                <w:bCs/>
                <w:i/>
                <w:iCs/>
                <w:sz w:val="14"/>
                <w:szCs w:val="14"/>
              </w:rPr>
              <w:t xml:space="preserve"> </w:t>
            </w:r>
            <w:r w:rsidRPr="00CC271B">
              <w:rPr>
                <w:rFonts w:ascii="Arial" w:eastAsia="Times New Roman" w:hAnsi="Arial" w:cs="Arial"/>
                <w:b/>
                <w:bCs/>
                <w:i/>
                <w:iCs/>
                <w:sz w:val="14"/>
                <w:szCs w:val="14"/>
              </w:rPr>
              <w:t> i</w:t>
            </w:r>
            <w:r w:rsidRPr="00CC271B">
              <w:rPr>
                <w:rFonts w:ascii="Arial" w:eastAsia="Times New Roman" w:hAnsi="Arial" w:cs="Arial"/>
                <w:b/>
                <w:bCs/>
                <w:i/>
                <w:iCs/>
                <w:sz w:val="14"/>
                <w:szCs w:val="14"/>
                <w:vertAlign w:val="subscript"/>
              </w:rPr>
              <w:t>t</w:t>
            </w:r>
          </w:p>
        </w:tc>
        <w:tc>
          <w:tcPr>
            <w:tcW w:w="0" w:type="auto"/>
            <w:shd w:val="clear" w:color="auto" w:fill="F0F0F0"/>
            <w:tcMar>
              <w:top w:w="90" w:type="dxa"/>
              <w:left w:w="90" w:type="dxa"/>
              <w:bottom w:w="90" w:type="dxa"/>
              <w:right w:w="90" w:type="dxa"/>
            </w:tcMar>
            <w:vAlign w:val="center"/>
            <w:hideMark/>
          </w:tcPr>
          <w:p w14:paraId="4F348265" w14:textId="77777777" w:rsidR="0037114F" w:rsidRDefault="0037114F" w:rsidP="0037114F">
            <w:pPr>
              <w:rPr>
                <w:rFonts w:ascii="Arial" w:eastAsia="Times New Roman" w:hAnsi="Arial" w:cs="Arial"/>
                <w:b/>
                <w:bCs/>
                <w:i/>
                <w:iCs/>
                <w:sz w:val="14"/>
                <w:szCs w:val="14"/>
              </w:rPr>
            </w:pPr>
            <w:r>
              <w:rPr>
                <w:rFonts w:ascii="Arial" w:eastAsia="Times New Roman" w:hAnsi="Arial" w:cs="Arial"/>
                <w:b/>
                <w:bCs/>
                <w:i/>
                <w:iCs/>
                <w:sz w:val="14"/>
                <w:szCs w:val="14"/>
              </w:rPr>
              <w:t xml:space="preserve"> </w:t>
            </w:r>
            <w:r w:rsidRPr="00CC271B">
              <w:rPr>
                <w:rFonts w:ascii="Arial" w:eastAsia="Times New Roman" w:hAnsi="Arial" w:cs="Arial"/>
                <w:b/>
                <w:bCs/>
                <w:i/>
                <w:iCs/>
                <w:sz w:val="14"/>
                <w:szCs w:val="14"/>
              </w:rPr>
              <w:t>δ</w:t>
            </w:r>
            <w:r w:rsidRPr="00CC271B">
              <w:rPr>
                <w:rFonts w:ascii="Arial" w:eastAsia="Times New Roman" w:hAnsi="Arial" w:cs="Arial"/>
                <w:b/>
                <w:bCs/>
                <w:i/>
                <w:iCs/>
                <w:sz w:val="14"/>
                <w:szCs w:val="14"/>
                <w:vertAlign w:val="subscript"/>
              </w:rPr>
              <w:t>4</w:t>
            </w:r>
            <w:r w:rsidRPr="00CC271B">
              <w:rPr>
                <w:rFonts w:ascii="Arial" w:eastAsia="Times New Roman" w:hAnsi="Arial" w:cs="Arial"/>
                <w:b/>
                <w:bCs/>
                <w:i/>
                <w:iCs/>
                <w:sz w:val="14"/>
                <w:szCs w:val="14"/>
              </w:rPr>
              <w:t> </w:t>
            </w:r>
          </w:p>
          <w:p w14:paraId="74400E82" w14:textId="2C7B3E53" w:rsidR="0037114F" w:rsidRPr="00B556DE" w:rsidRDefault="0037114F" w:rsidP="0037114F">
            <w:pPr>
              <w:rPr>
                <w:rFonts w:ascii="Arial" w:eastAsia="Times New Roman" w:hAnsi="Arial" w:cs="Arial"/>
                <w:b/>
                <w:bCs/>
                <w:i/>
                <w:iCs/>
                <w:sz w:val="14"/>
                <w:szCs w:val="14"/>
              </w:rPr>
            </w:pPr>
            <w:r w:rsidRPr="00CC271B">
              <w:rPr>
                <w:rFonts w:ascii="Arial" w:eastAsia="Times New Roman" w:hAnsi="Arial" w:cs="Arial"/>
                <w:b/>
                <w:bCs/>
                <w:i/>
                <w:iCs/>
                <w:sz w:val="14"/>
                <w:szCs w:val="14"/>
              </w:rPr>
              <w:t>d09</w:t>
            </w:r>
            <w:r w:rsidRPr="00CC271B">
              <w:rPr>
                <w:rFonts w:ascii="Arial" w:eastAsia="Times New Roman" w:hAnsi="Arial" w:cs="Arial"/>
                <w:b/>
                <w:bCs/>
                <w:i/>
                <w:iCs/>
                <w:sz w:val="14"/>
                <w:szCs w:val="14"/>
                <w:vertAlign w:val="subscript"/>
              </w:rPr>
              <w:t>t</w:t>
            </w:r>
          </w:p>
        </w:tc>
        <w:tc>
          <w:tcPr>
            <w:tcW w:w="0" w:type="auto"/>
            <w:shd w:val="clear" w:color="auto" w:fill="F0F0F0"/>
            <w:tcMar>
              <w:top w:w="90" w:type="dxa"/>
              <w:left w:w="90" w:type="dxa"/>
              <w:bottom w:w="90" w:type="dxa"/>
              <w:right w:w="90" w:type="dxa"/>
            </w:tcMar>
            <w:vAlign w:val="center"/>
            <w:hideMark/>
          </w:tcPr>
          <w:p w14:paraId="5DE7CA48" w14:textId="77777777" w:rsidR="0037114F" w:rsidRDefault="0037114F" w:rsidP="0037114F">
            <w:pPr>
              <w:rPr>
                <w:rFonts w:ascii="Arial" w:eastAsia="Times New Roman" w:hAnsi="Arial" w:cs="Arial"/>
                <w:b/>
                <w:bCs/>
                <w:i/>
                <w:iCs/>
                <w:sz w:val="14"/>
                <w:szCs w:val="14"/>
                <w:vertAlign w:val="subscript"/>
              </w:rPr>
            </w:pPr>
            <w:r>
              <w:rPr>
                <w:rFonts w:ascii="Arial" w:eastAsia="Times New Roman" w:hAnsi="Arial" w:cs="Arial"/>
                <w:b/>
                <w:bCs/>
                <w:i/>
                <w:iCs/>
                <w:sz w:val="14"/>
                <w:szCs w:val="14"/>
              </w:rPr>
              <w:t xml:space="preserve">      </w:t>
            </w:r>
            <w:r w:rsidRPr="00CC271B">
              <w:rPr>
                <w:rFonts w:ascii="Arial" w:eastAsia="Times New Roman" w:hAnsi="Arial" w:cs="Arial"/>
                <w:b/>
                <w:bCs/>
                <w:i/>
                <w:iCs/>
                <w:sz w:val="14"/>
                <w:szCs w:val="14"/>
              </w:rPr>
              <w:t>δ</w:t>
            </w:r>
            <w:r w:rsidRPr="00CC271B">
              <w:rPr>
                <w:rFonts w:ascii="Arial" w:eastAsia="Times New Roman" w:hAnsi="Arial" w:cs="Arial"/>
                <w:b/>
                <w:bCs/>
                <w:i/>
                <w:iCs/>
                <w:sz w:val="14"/>
                <w:szCs w:val="14"/>
                <w:vertAlign w:val="subscript"/>
              </w:rPr>
              <w:t>5</w:t>
            </w:r>
          </w:p>
          <w:p w14:paraId="58798A62" w14:textId="20482159" w:rsidR="0037114F" w:rsidRPr="00B556DE" w:rsidRDefault="0037114F" w:rsidP="0037114F">
            <w:pPr>
              <w:rPr>
                <w:rFonts w:ascii="Arial" w:eastAsia="Times New Roman" w:hAnsi="Arial" w:cs="Arial"/>
                <w:b/>
                <w:bCs/>
                <w:i/>
                <w:iCs/>
                <w:sz w:val="14"/>
                <w:szCs w:val="14"/>
              </w:rPr>
            </w:pPr>
            <w:r w:rsidRPr="00CC271B">
              <w:rPr>
                <w:rFonts w:ascii="Arial" w:eastAsia="Times New Roman" w:hAnsi="Arial" w:cs="Arial"/>
                <w:b/>
                <w:bCs/>
                <w:i/>
                <w:iCs/>
                <w:sz w:val="14"/>
                <w:szCs w:val="14"/>
              </w:rPr>
              <w:t> </w:t>
            </w:r>
            <w:proofErr w:type="gramStart"/>
            <w:r w:rsidRPr="00CC271B">
              <w:rPr>
                <w:rFonts w:ascii="Arial" w:eastAsia="Times New Roman" w:hAnsi="Arial" w:cs="Arial"/>
                <w:b/>
                <w:bCs/>
                <w:i/>
                <w:iCs/>
                <w:sz w:val="14"/>
                <w:szCs w:val="14"/>
              </w:rPr>
              <w:t>log(</w:t>
            </w:r>
            <w:proofErr w:type="gramEnd"/>
            <w:r w:rsidRPr="00CC271B">
              <w:rPr>
                <w:rFonts w:ascii="Arial" w:eastAsia="Times New Roman" w:hAnsi="Arial" w:cs="Arial"/>
                <w:b/>
                <w:bCs/>
                <w:i/>
                <w:iCs/>
                <w:sz w:val="14"/>
                <w:szCs w:val="14"/>
              </w:rPr>
              <w:t>Y</w:t>
            </w:r>
            <w:r w:rsidRPr="00CC271B">
              <w:rPr>
                <w:rFonts w:ascii="Arial" w:eastAsia="Times New Roman" w:hAnsi="Arial" w:cs="Arial"/>
                <w:b/>
                <w:bCs/>
                <w:i/>
                <w:iCs/>
                <w:sz w:val="14"/>
                <w:szCs w:val="14"/>
                <w:vertAlign w:val="subscript"/>
              </w:rPr>
              <w:t>t</w:t>
            </w:r>
            <w:r w:rsidRPr="00CC271B">
              <w:rPr>
                <w:rFonts w:ascii="Arial" w:eastAsia="Times New Roman" w:hAnsi="Arial" w:cs="Arial"/>
                <w:b/>
                <w:bCs/>
                <w:i/>
                <w:iCs/>
                <w:sz w:val="14"/>
                <w:szCs w:val="14"/>
              </w:rPr>
              <w:t>)×d09</w:t>
            </w:r>
            <w:r w:rsidRPr="00CC271B">
              <w:rPr>
                <w:rFonts w:ascii="Arial" w:eastAsia="Times New Roman" w:hAnsi="Arial" w:cs="Arial"/>
                <w:b/>
                <w:bCs/>
                <w:i/>
                <w:iCs/>
                <w:sz w:val="14"/>
                <w:szCs w:val="14"/>
                <w:vertAlign w:val="subscript"/>
              </w:rPr>
              <w:t>t</w:t>
            </w:r>
          </w:p>
        </w:tc>
        <w:tc>
          <w:tcPr>
            <w:tcW w:w="0" w:type="auto"/>
            <w:shd w:val="clear" w:color="auto" w:fill="F0F0F0"/>
            <w:tcMar>
              <w:top w:w="90" w:type="dxa"/>
              <w:left w:w="90" w:type="dxa"/>
              <w:bottom w:w="90" w:type="dxa"/>
              <w:right w:w="90" w:type="dxa"/>
            </w:tcMar>
            <w:vAlign w:val="center"/>
            <w:hideMark/>
          </w:tcPr>
          <w:p w14:paraId="09747F2F" w14:textId="77777777" w:rsidR="0037114F" w:rsidRDefault="0037114F" w:rsidP="0037114F">
            <w:pPr>
              <w:rPr>
                <w:rFonts w:ascii="Arial" w:eastAsia="Times New Roman" w:hAnsi="Arial" w:cs="Arial"/>
                <w:b/>
                <w:bCs/>
                <w:i/>
                <w:iCs/>
                <w:sz w:val="14"/>
                <w:szCs w:val="14"/>
                <w:vertAlign w:val="subscript"/>
              </w:rPr>
            </w:pPr>
            <w:r>
              <w:rPr>
                <w:rFonts w:ascii="Arial" w:eastAsia="Times New Roman" w:hAnsi="Arial" w:cs="Arial"/>
                <w:b/>
                <w:bCs/>
                <w:i/>
                <w:iCs/>
                <w:sz w:val="14"/>
                <w:szCs w:val="14"/>
              </w:rPr>
              <w:t xml:space="preserve">   </w:t>
            </w:r>
            <w:r w:rsidRPr="00CC271B">
              <w:rPr>
                <w:rFonts w:ascii="Arial" w:eastAsia="Times New Roman" w:hAnsi="Arial" w:cs="Arial"/>
                <w:b/>
                <w:bCs/>
                <w:i/>
                <w:iCs/>
                <w:sz w:val="14"/>
                <w:szCs w:val="14"/>
              </w:rPr>
              <w:t>δ</w:t>
            </w:r>
            <w:r w:rsidRPr="00CC271B">
              <w:rPr>
                <w:rFonts w:ascii="Arial" w:eastAsia="Times New Roman" w:hAnsi="Arial" w:cs="Arial"/>
                <w:b/>
                <w:bCs/>
                <w:i/>
                <w:iCs/>
                <w:sz w:val="14"/>
                <w:szCs w:val="14"/>
                <w:vertAlign w:val="subscript"/>
              </w:rPr>
              <w:t>6</w:t>
            </w:r>
          </w:p>
          <w:p w14:paraId="49BEC6DD" w14:textId="553FEB97" w:rsidR="0037114F" w:rsidRPr="00B556DE" w:rsidRDefault="0037114F" w:rsidP="0037114F">
            <w:pPr>
              <w:rPr>
                <w:rFonts w:ascii="Arial" w:eastAsia="Times New Roman" w:hAnsi="Arial" w:cs="Arial"/>
                <w:b/>
                <w:bCs/>
                <w:i/>
                <w:iCs/>
                <w:sz w:val="14"/>
                <w:szCs w:val="14"/>
              </w:rPr>
            </w:pPr>
            <w:r w:rsidRPr="00CC271B">
              <w:rPr>
                <w:rFonts w:ascii="Arial" w:eastAsia="Times New Roman" w:hAnsi="Arial" w:cs="Arial"/>
                <w:b/>
                <w:bCs/>
                <w:i/>
                <w:iCs/>
                <w:sz w:val="14"/>
                <w:szCs w:val="14"/>
              </w:rPr>
              <w:t> i</w:t>
            </w:r>
            <w:r w:rsidRPr="00CC271B">
              <w:rPr>
                <w:rFonts w:ascii="Arial" w:eastAsia="Times New Roman" w:hAnsi="Arial" w:cs="Arial"/>
                <w:b/>
                <w:bCs/>
                <w:i/>
                <w:iCs/>
                <w:sz w:val="14"/>
                <w:szCs w:val="14"/>
                <w:vertAlign w:val="subscript"/>
              </w:rPr>
              <w:t>t</w:t>
            </w:r>
            <w:r w:rsidRPr="00CC271B">
              <w:rPr>
                <w:rFonts w:ascii="Arial" w:eastAsia="Times New Roman" w:hAnsi="Arial" w:cs="Arial"/>
                <w:b/>
                <w:bCs/>
                <w:i/>
                <w:iCs/>
                <w:sz w:val="14"/>
                <w:szCs w:val="14"/>
              </w:rPr>
              <w:t>×d09</w:t>
            </w:r>
            <w:r w:rsidRPr="00CC271B">
              <w:rPr>
                <w:rFonts w:ascii="Arial" w:eastAsia="Times New Roman" w:hAnsi="Arial" w:cs="Arial"/>
                <w:b/>
                <w:bCs/>
                <w:i/>
                <w:iCs/>
                <w:sz w:val="14"/>
                <w:szCs w:val="14"/>
                <w:vertAlign w:val="subscript"/>
              </w:rPr>
              <w:t>t</w:t>
            </w:r>
          </w:p>
        </w:tc>
        <w:tc>
          <w:tcPr>
            <w:tcW w:w="0" w:type="auto"/>
            <w:shd w:val="clear" w:color="auto" w:fill="F0F0F0"/>
            <w:tcMar>
              <w:top w:w="90" w:type="dxa"/>
              <w:left w:w="90" w:type="dxa"/>
              <w:bottom w:w="90" w:type="dxa"/>
              <w:right w:w="90" w:type="dxa"/>
            </w:tcMar>
            <w:vAlign w:val="center"/>
            <w:hideMark/>
          </w:tcPr>
          <w:p w14:paraId="36DFF064" w14:textId="77777777" w:rsidR="0037114F" w:rsidRPr="00B556DE" w:rsidRDefault="0037114F" w:rsidP="0037114F">
            <w:pPr>
              <w:rPr>
                <w:rFonts w:ascii="Arial" w:eastAsia="Times New Roman" w:hAnsi="Arial" w:cs="Arial"/>
                <w:b/>
                <w:bCs/>
                <w:i/>
                <w:iCs/>
                <w:sz w:val="14"/>
                <w:szCs w:val="14"/>
              </w:rPr>
            </w:pPr>
            <w:r w:rsidRPr="00B556DE">
              <w:rPr>
                <w:rFonts w:ascii="Arial" w:eastAsia="Times New Roman" w:hAnsi="Arial" w:cs="Arial"/>
                <w:b/>
                <w:bCs/>
                <w:i/>
                <w:iCs/>
                <w:sz w:val="14"/>
                <w:szCs w:val="14"/>
              </w:rPr>
              <w:t>Chow Test</w:t>
            </w:r>
          </w:p>
        </w:tc>
      </w:tr>
      <w:tr w:rsidR="005953CA" w:rsidRPr="00B556DE" w14:paraId="6363AFCD" w14:textId="77777777" w:rsidTr="00B556DE">
        <w:trPr>
          <w:divId w:val="174196718"/>
        </w:trPr>
        <w:tc>
          <w:tcPr>
            <w:tcW w:w="0" w:type="auto"/>
            <w:tcMar>
              <w:top w:w="90" w:type="dxa"/>
              <w:left w:w="90" w:type="dxa"/>
              <w:bottom w:w="90" w:type="dxa"/>
              <w:right w:w="90" w:type="dxa"/>
            </w:tcMar>
            <w:vAlign w:val="center"/>
            <w:hideMark/>
          </w:tcPr>
          <w:p w14:paraId="0E148706" w14:textId="25CBC687" w:rsidR="005953CA" w:rsidRPr="00B556DE" w:rsidRDefault="0037114F" w:rsidP="00B556DE">
            <w:pPr>
              <w:rPr>
                <w:rFonts w:ascii="Arial" w:eastAsia="Times New Roman" w:hAnsi="Arial" w:cs="Arial"/>
                <w:sz w:val="14"/>
                <w:szCs w:val="14"/>
              </w:rPr>
            </w:pPr>
            <w:proofErr w:type="gramStart"/>
            <w:r w:rsidRPr="00CC271B">
              <w:rPr>
                <w:rFonts w:ascii="Arial" w:eastAsia="Times New Roman" w:hAnsi="Arial" w:cs="Arial"/>
                <w:sz w:val="14"/>
                <w:szCs w:val="14"/>
              </w:rPr>
              <w:t>Log(</w:t>
            </w:r>
            <w:proofErr w:type="gramEnd"/>
            <w:r w:rsidRPr="00CC271B">
              <w:rPr>
                <w:rFonts w:ascii="Arial" w:eastAsia="Times New Roman" w:hAnsi="Arial" w:cs="Arial"/>
                <w:sz w:val="14"/>
                <w:szCs w:val="14"/>
              </w:rPr>
              <w:t>M</w:t>
            </w:r>
            <w:r w:rsidRPr="00CC271B">
              <w:rPr>
                <w:rFonts w:ascii="Arial" w:eastAsia="Times New Roman" w:hAnsi="Arial" w:cs="Arial"/>
                <w:sz w:val="14"/>
                <w:szCs w:val="14"/>
                <w:vertAlign w:val="subscript"/>
              </w:rPr>
              <w:t>t</w:t>
            </w:r>
            <w:r w:rsidRPr="00CC271B">
              <w:rPr>
                <w:rFonts w:ascii="Arial" w:eastAsia="Times New Roman" w:hAnsi="Arial" w:cs="Arial"/>
                <w:sz w:val="14"/>
                <w:szCs w:val="14"/>
              </w:rPr>
              <w:t>)</w:t>
            </w:r>
          </w:p>
        </w:tc>
        <w:tc>
          <w:tcPr>
            <w:tcW w:w="0" w:type="auto"/>
            <w:tcMar>
              <w:top w:w="90" w:type="dxa"/>
              <w:left w:w="90" w:type="dxa"/>
              <w:bottom w:w="90" w:type="dxa"/>
              <w:right w:w="90" w:type="dxa"/>
            </w:tcMar>
            <w:vAlign w:val="center"/>
            <w:hideMark/>
          </w:tcPr>
          <w:p w14:paraId="448CA601" w14:textId="77777777" w:rsidR="005953CA" w:rsidRPr="00B556DE" w:rsidRDefault="006E6F84" w:rsidP="00B556DE">
            <w:pPr>
              <w:rPr>
                <w:rFonts w:ascii="Arial" w:eastAsia="Times New Roman" w:hAnsi="Arial" w:cs="Arial"/>
                <w:sz w:val="14"/>
                <w:szCs w:val="14"/>
              </w:rPr>
            </w:pPr>
            <w:r w:rsidRPr="00B556DE">
              <w:rPr>
                <w:rFonts w:ascii="Arial" w:eastAsia="Times New Roman" w:hAnsi="Arial" w:cs="Arial"/>
                <w:sz w:val="14"/>
                <w:szCs w:val="14"/>
              </w:rPr>
              <w:t>-0.29</w:t>
            </w:r>
            <w:r w:rsidRPr="00B556DE">
              <w:rPr>
                <w:rFonts w:ascii="Arial" w:eastAsia="Times New Roman" w:hAnsi="Arial" w:cs="Arial"/>
                <w:sz w:val="14"/>
                <w:szCs w:val="14"/>
              </w:rPr>
              <w:br/>
              <w:t>(1.258)</w:t>
            </w:r>
          </w:p>
        </w:tc>
        <w:tc>
          <w:tcPr>
            <w:tcW w:w="0" w:type="auto"/>
            <w:tcMar>
              <w:top w:w="90" w:type="dxa"/>
              <w:left w:w="90" w:type="dxa"/>
              <w:bottom w:w="90" w:type="dxa"/>
              <w:right w:w="90" w:type="dxa"/>
            </w:tcMar>
            <w:vAlign w:val="center"/>
            <w:hideMark/>
          </w:tcPr>
          <w:p w14:paraId="62C95060" w14:textId="77777777" w:rsidR="005953CA" w:rsidRPr="00B556DE" w:rsidRDefault="006E6F84" w:rsidP="00B556DE">
            <w:pPr>
              <w:rPr>
                <w:rFonts w:ascii="Arial" w:eastAsia="Times New Roman" w:hAnsi="Arial" w:cs="Arial"/>
                <w:sz w:val="14"/>
                <w:szCs w:val="14"/>
              </w:rPr>
            </w:pPr>
            <w:r w:rsidRPr="00B556DE">
              <w:rPr>
                <w:rFonts w:ascii="Arial" w:eastAsia="Times New Roman" w:hAnsi="Arial" w:cs="Arial"/>
                <w:sz w:val="14"/>
                <w:szCs w:val="14"/>
              </w:rPr>
              <w:t>0.863***</w:t>
            </w:r>
            <w:r w:rsidRPr="00B556DE">
              <w:rPr>
                <w:rFonts w:ascii="Arial" w:eastAsia="Times New Roman" w:hAnsi="Arial" w:cs="Arial"/>
                <w:sz w:val="14"/>
                <w:szCs w:val="14"/>
              </w:rPr>
              <w:br/>
              <w:t>(0.108)</w:t>
            </w:r>
          </w:p>
        </w:tc>
        <w:tc>
          <w:tcPr>
            <w:tcW w:w="0" w:type="auto"/>
            <w:tcMar>
              <w:top w:w="90" w:type="dxa"/>
              <w:left w:w="90" w:type="dxa"/>
              <w:bottom w:w="90" w:type="dxa"/>
              <w:right w:w="90" w:type="dxa"/>
            </w:tcMar>
            <w:vAlign w:val="center"/>
            <w:hideMark/>
          </w:tcPr>
          <w:p w14:paraId="601D4ECF" w14:textId="77777777" w:rsidR="005953CA" w:rsidRPr="00B556DE" w:rsidRDefault="006E6F84" w:rsidP="00B556DE">
            <w:pPr>
              <w:rPr>
                <w:rFonts w:ascii="Arial" w:eastAsia="Times New Roman" w:hAnsi="Arial" w:cs="Arial"/>
                <w:sz w:val="14"/>
                <w:szCs w:val="14"/>
              </w:rPr>
            </w:pPr>
            <w:r w:rsidRPr="00B556DE">
              <w:rPr>
                <w:rFonts w:ascii="Arial" w:eastAsia="Times New Roman" w:hAnsi="Arial" w:cs="Arial"/>
                <w:sz w:val="14"/>
                <w:szCs w:val="14"/>
              </w:rPr>
              <w:t>-0.002***</w:t>
            </w:r>
            <w:r w:rsidRPr="00B556DE">
              <w:rPr>
                <w:rFonts w:ascii="Arial" w:eastAsia="Times New Roman" w:hAnsi="Arial" w:cs="Arial"/>
                <w:sz w:val="14"/>
                <w:szCs w:val="14"/>
              </w:rPr>
              <w:br/>
              <w:t>(0.0006)</w:t>
            </w:r>
          </w:p>
        </w:tc>
        <w:tc>
          <w:tcPr>
            <w:tcW w:w="0" w:type="auto"/>
            <w:tcMar>
              <w:top w:w="90" w:type="dxa"/>
              <w:left w:w="90" w:type="dxa"/>
              <w:bottom w:w="90" w:type="dxa"/>
              <w:right w:w="90" w:type="dxa"/>
            </w:tcMar>
            <w:vAlign w:val="center"/>
            <w:hideMark/>
          </w:tcPr>
          <w:p w14:paraId="5F655688" w14:textId="77777777" w:rsidR="005953CA" w:rsidRPr="00B556DE" w:rsidRDefault="006E6F84" w:rsidP="00B556DE">
            <w:pPr>
              <w:rPr>
                <w:rFonts w:ascii="Arial" w:eastAsia="Times New Roman" w:hAnsi="Arial" w:cs="Arial"/>
                <w:sz w:val="14"/>
                <w:szCs w:val="14"/>
              </w:rPr>
            </w:pPr>
            <w:r w:rsidRPr="00B556DE">
              <w:rPr>
                <w:rFonts w:ascii="Arial" w:eastAsia="Times New Roman" w:hAnsi="Arial" w:cs="Arial"/>
                <w:sz w:val="14"/>
                <w:szCs w:val="14"/>
              </w:rPr>
              <w:t>10.16***</w:t>
            </w:r>
            <w:r w:rsidRPr="00B556DE">
              <w:rPr>
                <w:rFonts w:ascii="Arial" w:eastAsia="Times New Roman" w:hAnsi="Arial" w:cs="Arial"/>
                <w:sz w:val="14"/>
                <w:szCs w:val="14"/>
              </w:rPr>
              <w:br/>
              <w:t>(2.058)</w:t>
            </w:r>
          </w:p>
        </w:tc>
        <w:tc>
          <w:tcPr>
            <w:tcW w:w="0" w:type="auto"/>
            <w:tcMar>
              <w:top w:w="90" w:type="dxa"/>
              <w:left w:w="90" w:type="dxa"/>
              <w:bottom w:w="90" w:type="dxa"/>
              <w:right w:w="90" w:type="dxa"/>
            </w:tcMar>
            <w:vAlign w:val="center"/>
            <w:hideMark/>
          </w:tcPr>
          <w:p w14:paraId="4DB5787F" w14:textId="77777777" w:rsidR="005953CA" w:rsidRPr="00B556DE" w:rsidRDefault="006E6F84" w:rsidP="00B556DE">
            <w:pPr>
              <w:rPr>
                <w:rFonts w:ascii="Arial" w:eastAsia="Times New Roman" w:hAnsi="Arial" w:cs="Arial"/>
                <w:sz w:val="14"/>
                <w:szCs w:val="14"/>
              </w:rPr>
            </w:pPr>
            <w:r w:rsidRPr="00B556DE">
              <w:rPr>
                <w:rFonts w:ascii="Arial" w:eastAsia="Times New Roman" w:hAnsi="Arial" w:cs="Arial"/>
                <w:sz w:val="14"/>
                <w:szCs w:val="14"/>
              </w:rPr>
              <w:t>-0.861***</w:t>
            </w:r>
            <w:r w:rsidRPr="00B556DE">
              <w:rPr>
                <w:rFonts w:ascii="Arial" w:eastAsia="Times New Roman" w:hAnsi="Arial" w:cs="Arial"/>
                <w:sz w:val="14"/>
                <w:szCs w:val="14"/>
              </w:rPr>
              <w:br/>
              <w:t>(0.175)</w:t>
            </w:r>
          </w:p>
        </w:tc>
        <w:tc>
          <w:tcPr>
            <w:tcW w:w="0" w:type="auto"/>
            <w:tcMar>
              <w:top w:w="90" w:type="dxa"/>
              <w:left w:w="90" w:type="dxa"/>
              <w:bottom w:w="90" w:type="dxa"/>
              <w:right w:w="90" w:type="dxa"/>
            </w:tcMar>
            <w:vAlign w:val="center"/>
            <w:hideMark/>
          </w:tcPr>
          <w:p w14:paraId="45DC78DA" w14:textId="77777777" w:rsidR="005953CA" w:rsidRPr="00B556DE" w:rsidRDefault="006E6F84" w:rsidP="00B556DE">
            <w:pPr>
              <w:rPr>
                <w:rFonts w:ascii="Arial" w:eastAsia="Times New Roman" w:hAnsi="Arial" w:cs="Arial"/>
                <w:sz w:val="14"/>
                <w:szCs w:val="14"/>
              </w:rPr>
            </w:pPr>
            <w:r w:rsidRPr="00B556DE">
              <w:rPr>
                <w:rFonts w:ascii="Arial" w:eastAsia="Times New Roman" w:hAnsi="Arial" w:cs="Arial"/>
                <w:sz w:val="14"/>
                <w:szCs w:val="14"/>
              </w:rPr>
              <w:t>-0.016***</w:t>
            </w:r>
            <w:r w:rsidRPr="00B556DE">
              <w:rPr>
                <w:rFonts w:ascii="Arial" w:eastAsia="Times New Roman" w:hAnsi="Arial" w:cs="Arial"/>
                <w:sz w:val="14"/>
                <w:szCs w:val="14"/>
              </w:rPr>
              <w:br/>
              <w:t>(0.003)</w:t>
            </w:r>
          </w:p>
        </w:tc>
        <w:tc>
          <w:tcPr>
            <w:tcW w:w="0" w:type="auto"/>
            <w:tcMar>
              <w:top w:w="90" w:type="dxa"/>
              <w:left w:w="90" w:type="dxa"/>
              <w:bottom w:w="90" w:type="dxa"/>
              <w:right w:w="90" w:type="dxa"/>
            </w:tcMar>
            <w:vAlign w:val="center"/>
            <w:hideMark/>
          </w:tcPr>
          <w:p w14:paraId="36151F6F" w14:textId="77777777" w:rsidR="005953CA" w:rsidRPr="00B556DE" w:rsidRDefault="006E6F84" w:rsidP="00B556DE">
            <w:pPr>
              <w:rPr>
                <w:rFonts w:ascii="Arial" w:eastAsia="Times New Roman" w:hAnsi="Arial" w:cs="Arial"/>
                <w:sz w:val="14"/>
                <w:szCs w:val="14"/>
              </w:rPr>
            </w:pPr>
            <w:r w:rsidRPr="00B556DE">
              <w:rPr>
                <w:rFonts w:ascii="Arial" w:eastAsia="Times New Roman" w:hAnsi="Arial" w:cs="Arial"/>
                <w:sz w:val="14"/>
                <w:szCs w:val="14"/>
              </w:rPr>
              <w:t>68.756***</w:t>
            </w:r>
            <w:r w:rsidRPr="00B556DE">
              <w:rPr>
                <w:rFonts w:ascii="Arial" w:eastAsia="Times New Roman" w:hAnsi="Arial" w:cs="Arial"/>
                <w:sz w:val="14"/>
                <w:szCs w:val="14"/>
              </w:rPr>
              <w:br/>
              <w:t>(p-value &lt; .001)</w:t>
            </w:r>
          </w:p>
        </w:tc>
      </w:tr>
    </w:tbl>
    <w:p w14:paraId="025C3A72" w14:textId="77777777" w:rsidR="005953CA" w:rsidRDefault="006E6F84">
      <w:pPr>
        <w:divId w:val="1397820470"/>
        <w:rPr>
          <w:rFonts w:ascii="Arial" w:eastAsia="Times New Roman" w:hAnsi="Arial" w:cs="Arial"/>
          <w:i/>
          <w:iCs/>
          <w:sz w:val="16"/>
          <w:szCs w:val="16"/>
          <w:lang w:val="en"/>
        </w:rPr>
      </w:pPr>
      <w:r>
        <w:rPr>
          <w:rFonts w:ascii="Arial" w:eastAsia="Times New Roman" w:hAnsi="Arial" w:cs="Arial"/>
          <w:i/>
          <w:iCs/>
          <w:sz w:val="16"/>
          <w:szCs w:val="16"/>
          <w:lang w:val="en"/>
        </w:rPr>
        <w:t>Source: Author's estimation, 2024. ***, **, * denotes statistical significance at 1%, 5% and 10%, respectively. Standard errors are in parentheses.</w:t>
      </w:r>
    </w:p>
    <w:p w14:paraId="273ADB44" w14:textId="77777777" w:rsidR="005953CA" w:rsidRDefault="006E6F84">
      <w:pPr>
        <w:pStyle w:val="NormalWeb"/>
        <w:rPr>
          <w:rFonts w:ascii="Arial" w:hAnsi="Arial" w:cs="Arial"/>
          <w:sz w:val="20"/>
          <w:szCs w:val="20"/>
          <w:lang w:val="en"/>
        </w:rPr>
      </w:pPr>
      <w:r>
        <w:rPr>
          <w:rFonts w:ascii="Arial" w:hAnsi="Arial" w:cs="Arial"/>
          <w:sz w:val="20"/>
          <w:szCs w:val="20"/>
          <w:lang w:val="en"/>
        </w:rPr>
        <w:t>With the improved model, the dummy variable for COVID-19 pandemic remains statistically significant which testifies that indeed there was a structural break in the money demand equation during the COVID era. In the model, the coefficients for the interest rate and real GDP are statistically significant at the 1% level (</w:t>
      </w:r>
      <w:r>
        <w:rPr>
          <w:rFonts w:ascii="Arial" w:hAnsi="Arial" w:cs="Arial"/>
          <w:i/>
          <w:iCs/>
          <w:sz w:val="20"/>
          <w:szCs w:val="20"/>
          <w:lang w:val="en"/>
        </w:rPr>
        <w:t>p</w:t>
      </w:r>
      <w:r>
        <w:rPr>
          <w:rFonts w:ascii="Arial" w:hAnsi="Arial" w:cs="Arial"/>
          <w:sz w:val="20"/>
          <w:szCs w:val="20"/>
          <w:lang w:val="en"/>
        </w:rPr>
        <w:t>-value = .00). Consistent with economic theory on money demand, the coefficient for real GDP exhibits a positive sign, indicating a positive relationship between income and money demand. Conversely, the coefficient for the interest rate displays a negative sign, reflecting the inverse relationship between the cost of holding money and the quantity demanded.</w:t>
      </w:r>
    </w:p>
    <w:p w14:paraId="17FA8DDC" w14:textId="77777777" w:rsidR="005953CA" w:rsidRDefault="006E6F84">
      <w:pPr>
        <w:pStyle w:val="NormalWeb"/>
        <w:rPr>
          <w:rFonts w:ascii="Arial" w:hAnsi="Arial" w:cs="Arial"/>
          <w:sz w:val="20"/>
          <w:szCs w:val="20"/>
          <w:lang w:val="en"/>
        </w:rPr>
      </w:pPr>
      <w:r>
        <w:rPr>
          <w:rFonts w:ascii="Arial" w:hAnsi="Arial" w:cs="Arial"/>
          <w:sz w:val="20"/>
          <w:szCs w:val="20"/>
          <w:lang w:val="en"/>
        </w:rPr>
        <w:t>The interaction term for income δ</w:t>
      </w:r>
      <w:r>
        <w:rPr>
          <w:rFonts w:ascii="Arial" w:hAnsi="Arial" w:cs="Arial"/>
          <w:sz w:val="16"/>
          <w:szCs w:val="16"/>
          <w:vertAlign w:val="subscript"/>
          <w:lang w:val="en"/>
        </w:rPr>
        <w:t>5</w:t>
      </w:r>
      <w:r>
        <w:rPr>
          <w:rFonts w:ascii="Arial" w:hAnsi="Arial" w:cs="Arial"/>
          <w:sz w:val="20"/>
          <w:szCs w:val="20"/>
          <w:lang w:val="en"/>
        </w:rPr>
        <w:t>, implies that the income elasticity dropped by 0.861 during the pandemic (net elasticity = 0.002), while the interest interaction δ</w:t>
      </w:r>
      <w:r>
        <w:rPr>
          <w:rFonts w:ascii="Arial" w:hAnsi="Arial" w:cs="Arial"/>
          <w:sz w:val="16"/>
          <w:szCs w:val="16"/>
          <w:vertAlign w:val="subscript"/>
          <w:lang w:val="en"/>
        </w:rPr>
        <w:t>6</w:t>
      </w:r>
      <w:r>
        <w:rPr>
          <w:rFonts w:ascii="Arial" w:hAnsi="Arial" w:cs="Arial"/>
          <w:sz w:val="20"/>
          <w:szCs w:val="20"/>
          <w:lang w:val="en"/>
        </w:rPr>
        <w:t xml:space="preserve"> means the nominal rate sensitivity became more negative (shifting β</w:t>
      </w:r>
      <w:r>
        <w:rPr>
          <w:rFonts w:ascii="Arial" w:hAnsi="Arial" w:cs="Arial"/>
          <w:sz w:val="16"/>
          <w:szCs w:val="16"/>
          <w:vertAlign w:val="subscript"/>
          <w:lang w:val="en"/>
        </w:rPr>
        <w:t>3</w:t>
      </w:r>
      <w:r>
        <w:rPr>
          <w:rFonts w:ascii="Arial" w:hAnsi="Arial" w:cs="Arial"/>
          <w:sz w:val="20"/>
          <w:szCs w:val="20"/>
          <w:lang w:val="en"/>
        </w:rPr>
        <w:t xml:space="preserve"> from -0.002 to -0.018). These shifts suggest that in the pandemic, money demand responded less to income and more strongly (negatively) to interest rates. This altered relationship likely reflects increased precautionary demand for liquidity and changing transaction patterns during lockdowns and uncertainty (Chen et al., 2020; Engert &amp; Huynh, 2022). Households and firms raised cash holdings as buffers against income loss and for emergency spending, weakening the usual income effect and reinforcing the opportunity-cost effect of rates.</w:t>
      </w:r>
    </w:p>
    <w:p w14:paraId="0220E65A" w14:textId="77777777" w:rsidR="005953CA" w:rsidRDefault="006E6F84">
      <w:pPr>
        <w:pStyle w:val="NormalWeb"/>
        <w:rPr>
          <w:rFonts w:ascii="Arial" w:hAnsi="Arial" w:cs="Arial"/>
          <w:sz w:val="20"/>
          <w:szCs w:val="20"/>
          <w:lang w:val="en"/>
        </w:rPr>
      </w:pPr>
      <w:r>
        <w:rPr>
          <w:rFonts w:ascii="Arial" w:hAnsi="Arial" w:cs="Arial"/>
          <w:sz w:val="20"/>
          <w:szCs w:val="20"/>
          <w:lang w:val="en"/>
        </w:rPr>
        <w:t xml:space="preserve">The Chow test conducted on the Final GLS model has a test statistic of 68.756 with a </w:t>
      </w:r>
      <w:r>
        <w:rPr>
          <w:rFonts w:ascii="Arial" w:hAnsi="Arial" w:cs="Arial"/>
          <w:i/>
          <w:iCs/>
          <w:sz w:val="20"/>
          <w:szCs w:val="20"/>
          <w:lang w:val="en"/>
        </w:rPr>
        <w:t>p</w:t>
      </w:r>
      <w:r>
        <w:rPr>
          <w:rFonts w:ascii="Arial" w:hAnsi="Arial" w:cs="Arial"/>
          <w:sz w:val="20"/>
          <w:szCs w:val="20"/>
          <w:lang w:val="en"/>
        </w:rPr>
        <w:t xml:space="preserve">-value of less than .001. This </w:t>
      </w:r>
      <w:r>
        <w:rPr>
          <w:rFonts w:ascii="Arial" w:hAnsi="Arial" w:cs="Arial"/>
          <w:i/>
          <w:iCs/>
          <w:sz w:val="20"/>
          <w:szCs w:val="20"/>
          <w:lang w:val="en"/>
        </w:rPr>
        <w:t>p</w:t>
      </w:r>
      <w:r>
        <w:rPr>
          <w:rFonts w:ascii="Arial" w:hAnsi="Arial" w:cs="Arial"/>
          <w:sz w:val="20"/>
          <w:szCs w:val="20"/>
          <w:lang w:val="en"/>
        </w:rPr>
        <w:t>-value is statistically significant at the 1% level, suggesting that there is evidence to reject the null hypothesis of parameter stability over time. The final model thus provides evidence that Canada's money demand function is not time-invariant: economic shocks like COVID-19 can materially alter the underlying demand behavior.</w:t>
      </w:r>
    </w:p>
    <w:p w14:paraId="4331AB5D" w14:textId="77777777" w:rsidR="005953CA" w:rsidRDefault="006E6F84">
      <w:pPr>
        <w:jc w:val="both"/>
        <w:divId w:val="1223637107"/>
        <w:rPr>
          <w:rFonts w:ascii="Arial" w:eastAsia="Times New Roman" w:hAnsi="Arial" w:cs="Arial"/>
          <w:b/>
          <w:bCs/>
          <w:caps/>
          <w:sz w:val="22"/>
          <w:szCs w:val="22"/>
          <w:lang w:val="en"/>
        </w:rPr>
      </w:pPr>
      <w:r>
        <w:rPr>
          <w:rFonts w:ascii="Arial" w:eastAsia="Times New Roman" w:hAnsi="Arial" w:cs="Arial"/>
          <w:b/>
          <w:bCs/>
          <w:caps/>
          <w:sz w:val="22"/>
          <w:szCs w:val="22"/>
          <w:lang w:val="en"/>
        </w:rPr>
        <w:lastRenderedPageBreak/>
        <w:t>4. CONCLUSION</w:t>
      </w:r>
    </w:p>
    <w:p w14:paraId="6387F01E" w14:textId="77777777" w:rsidR="005953CA" w:rsidRDefault="006E6F84">
      <w:pPr>
        <w:pStyle w:val="NormalWeb"/>
        <w:rPr>
          <w:rFonts w:ascii="Arial" w:hAnsi="Arial" w:cs="Arial"/>
          <w:sz w:val="20"/>
          <w:szCs w:val="20"/>
          <w:lang w:val="en"/>
        </w:rPr>
      </w:pPr>
      <w:r>
        <w:rPr>
          <w:rFonts w:ascii="Arial" w:hAnsi="Arial" w:cs="Arial"/>
          <w:sz w:val="20"/>
          <w:szCs w:val="20"/>
          <w:lang w:val="en"/>
        </w:rPr>
        <w:t xml:space="preserve">This analysis of Canadian money demand (1961-2023) confirms core predictions of monetary theory: real money balances rise with income and fall with interest rates. However, GLS estimation reveals significant structural breaks, especially during the COVID-19 pandemic (Chow test: 68.756, </w:t>
      </w:r>
      <w:r>
        <w:rPr>
          <w:rFonts w:ascii="Arial" w:hAnsi="Arial" w:cs="Arial"/>
          <w:i/>
          <w:iCs/>
          <w:sz w:val="20"/>
          <w:szCs w:val="20"/>
          <w:lang w:val="en"/>
        </w:rPr>
        <w:t>p</w:t>
      </w:r>
      <w:r>
        <w:rPr>
          <w:rFonts w:ascii="Arial" w:hAnsi="Arial" w:cs="Arial"/>
          <w:sz w:val="20"/>
          <w:szCs w:val="20"/>
          <w:lang w:val="en"/>
        </w:rPr>
        <w:t>-value &lt; .001). During the pandemic, the income elasticity of money demand declined markedly, and interest-sensitivity increased, consistent with documented hoarding of cash under uncertainty (Chen et al., 2020; Engert &amp; Huynh, 2022).</w:t>
      </w:r>
    </w:p>
    <w:p w14:paraId="71139DDD" w14:textId="77777777" w:rsidR="005953CA" w:rsidRDefault="006E6F84">
      <w:pPr>
        <w:pStyle w:val="NormalWeb"/>
        <w:rPr>
          <w:rFonts w:ascii="Arial" w:hAnsi="Arial" w:cs="Arial"/>
          <w:sz w:val="20"/>
          <w:szCs w:val="20"/>
          <w:lang w:val="en"/>
        </w:rPr>
      </w:pPr>
      <w:r>
        <w:rPr>
          <w:rFonts w:ascii="Arial" w:hAnsi="Arial" w:cs="Arial"/>
          <w:sz w:val="20"/>
          <w:szCs w:val="20"/>
          <w:lang w:val="en"/>
        </w:rPr>
        <w:t xml:space="preserve">These findings emphasize that policymakers must account for such instabilities in money demand relationships, especially during crises, to ensure effective policy implementation. For example, Bank of Canada analysts note that significant shifts in money usage require careful reconsideration of policy indicators (Dunbar &amp; Jones, 2018). In line with our results, ignoring such structural changes can impair monetary policy analysis (Dunbar &amp; Jones, 2018; </w:t>
      </w:r>
      <w:proofErr w:type="spellStart"/>
      <w:r>
        <w:rPr>
          <w:rFonts w:ascii="Arial" w:hAnsi="Arial" w:cs="Arial"/>
          <w:sz w:val="20"/>
          <w:szCs w:val="20"/>
          <w:lang w:val="en"/>
        </w:rPr>
        <w:t>Engert</w:t>
      </w:r>
      <w:proofErr w:type="spellEnd"/>
      <w:r>
        <w:rPr>
          <w:rFonts w:ascii="Arial" w:hAnsi="Arial" w:cs="Arial"/>
          <w:sz w:val="20"/>
          <w:szCs w:val="20"/>
          <w:lang w:val="en"/>
        </w:rPr>
        <w:t xml:space="preserve">, Fung, &amp; </w:t>
      </w:r>
      <w:proofErr w:type="spellStart"/>
      <w:r>
        <w:rPr>
          <w:rFonts w:ascii="Arial" w:hAnsi="Arial" w:cs="Arial"/>
          <w:sz w:val="20"/>
          <w:szCs w:val="20"/>
          <w:lang w:val="en"/>
        </w:rPr>
        <w:t>Segendorf</w:t>
      </w:r>
      <w:proofErr w:type="spellEnd"/>
      <w:r>
        <w:rPr>
          <w:rFonts w:ascii="Arial" w:hAnsi="Arial" w:cs="Arial"/>
          <w:sz w:val="20"/>
          <w:szCs w:val="20"/>
          <w:lang w:val="en"/>
        </w:rPr>
        <w:t>, 2019). Overall, the evidence suggests that money demand in Canada evolves over time with changing economic conditions and technologies (Bech et al., 2018; Dahlhaus &amp; Welte, 2024), highlighting the need for ongoing empirical validation of money demand models in policymaking and forecasting.</w:t>
      </w:r>
    </w:p>
    <w:p w14:paraId="15B4DB00" w14:textId="77777777" w:rsidR="008B32D3" w:rsidRDefault="008B32D3">
      <w:pPr>
        <w:jc w:val="both"/>
        <w:divId w:val="2135782812"/>
        <w:rPr>
          <w:rFonts w:ascii="Arial" w:eastAsia="Times New Roman" w:hAnsi="Arial" w:cs="Arial"/>
          <w:b/>
          <w:bCs/>
          <w:caps/>
          <w:sz w:val="22"/>
          <w:szCs w:val="22"/>
          <w:lang w:val="en"/>
        </w:rPr>
      </w:pPr>
    </w:p>
    <w:p w14:paraId="7CA91B64" w14:textId="0694CE23" w:rsidR="005953CA" w:rsidRDefault="006E6F84">
      <w:pPr>
        <w:jc w:val="both"/>
        <w:divId w:val="2135782812"/>
        <w:rPr>
          <w:rFonts w:ascii="Arial" w:eastAsia="Times New Roman" w:hAnsi="Arial" w:cs="Arial"/>
          <w:b/>
          <w:bCs/>
          <w:caps/>
          <w:sz w:val="22"/>
          <w:szCs w:val="22"/>
          <w:lang w:val="en"/>
        </w:rPr>
      </w:pPr>
      <w:bookmarkStart w:id="0" w:name="_GoBack"/>
      <w:bookmarkEnd w:id="0"/>
      <w:r>
        <w:rPr>
          <w:rFonts w:ascii="Arial" w:eastAsia="Times New Roman" w:hAnsi="Arial" w:cs="Arial"/>
          <w:b/>
          <w:bCs/>
          <w:caps/>
          <w:sz w:val="22"/>
          <w:szCs w:val="22"/>
          <w:lang w:val="en"/>
        </w:rPr>
        <w:t>CONSENT</w:t>
      </w:r>
    </w:p>
    <w:p w14:paraId="7E8CC947" w14:textId="77777777" w:rsidR="005953CA" w:rsidRDefault="006E6F84">
      <w:pPr>
        <w:pStyle w:val="NormalWeb"/>
        <w:rPr>
          <w:rFonts w:ascii="Arial" w:hAnsi="Arial" w:cs="Arial"/>
          <w:sz w:val="20"/>
          <w:szCs w:val="20"/>
          <w:lang w:val="en"/>
        </w:rPr>
      </w:pPr>
      <w:r>
        <w:rPr>
          <w:rFonts w:ascii="Arial" w:hAnsi="Arial" w:cs="Arial"/>
          <w:sz w:val="20"/>
          <w:szCs w:val="20"/>
          <w:lang w:val="en"/>
        </w:rPr>
        <w:t>Not applicable. This study uses publicly available secondary data from government databases and does not involve human subjects.</w:t>
      </w:r>
    </w:p>
    <w:p w14:paraId="7A12B608" w14:textId="77777777" w:rsidR="005953CA" w:rsidRDefault="006E6F84">
      <w:pPr>
        <w:jc w:val="both"/>
        <w:divId w:val="2100635939"/>
        <w:rPr>
          <w:rFonts w:ascii="Arial" w:eastAsia="Times New Roman" w:hAnsi="Arial" w:cs="Arial"/>
          <w:b/>
          <w:bCs/>
          <w:caps/>
          <w:sz w:val="22"/>
          <w:szCs w:val="22"/>
          <w:lang w:val="en"/>
        </w:rPr>
      </w:pPr>
      <w:r>
        <w:rPr>
          <w:rFonts w:ascii="Arial" w:eastAsia="Times New Roman" w:hAnsi="Arial" w:cs="Arial"/>
          <w:b/>
          <w:bCs/>
          <w:caps/>
          <w:sz w:val="22"/>
          <w:szCs w:val="22"/>
          <w:lang w:val="en"/>
        </w:rPr>
        <w:t>ETHICAL APPROVAL</w:t>
      </w:r>
    </w:p>
    <w:p w14:paraId="3ADE39E2" w14:textId="77777777" w:rsidR="005953CA" w:rsidRDefault="006E6F84">
      <w:pPr>
        <w:pStyle w:val="NormalWeb"/>
        <w:rPr>
          <w:rFonts w:ascii="Arial" w:hAnsi="Arial" w:cs="Arial"/>
          <w:sz w:val="20"/>
          <w:szCs w:val="20"/>
          <w:lang w:val="en"/>
        </w:rPr>
      </w:pPr>
      <w:r>
        <w:rPr>
          <w:rFonts w:ascii="Arial" w:hAnsi="Arial" w:cs="Arial"/>
          <w:sz w:val="20"/>
          <w:szCs w:val="20"/>
          <w:lang w:val="en"/>
        </w:rPr>
        <w:t>Ethical approval was not required for this study as it involves analysis of publicly available secondary economic data from official government sources (FRED database). No primary data collection involving human or animal subjects was conducted.</w:t>
      </w:r>
    </w:p>
    <w:p w14:paraId="31FFB100" w14:textId="77777777" w:rsidR="00E46E3F" w:rsidRDefault="00E46E3F">
      <w:pPr>
        <w:pStyle w:val="NormalWeb"/>
        <w:rPr>
          <w:rFonts w:ascii="Arial" w:hAnsi="Arial" w:cs="Arial"/>
          <w:sz w:val="20"/>
          <w:szCs w:val="20"/>
          <w:lang w:val="en"/>
        </w:rPr>
      </w:pPr>
    </w:p>
    <w:p w14:paraId="15B9BBC8" w14:textId="77777777" w:rsidR="00E46E3F" w:rsidRPr="00E46E3F" w:rsidRDefault="00E46E3F" w:rsidP="00E46E3F">
      <w:pPr>
        <w:pStyle w:val="NormalWeb"/>
        <w:rPr>
          <w:rFonts w:ascii="Arial" w:hAnsi="Arial" w:cs="Arial"/>
          <w:sz w:val="20"/>
          <w:szCs w:val="20"/>
          <w:lang w:val="en"/>
        </w:rPr>
      </w:pPr>
      <w:r w:rsidRPr="00E46E3F">
        <w:rPr>
          <w:rFonts w:ascii="Arial" w:hAnsi="Arial" w:cs="Arial"/>
          <w:sz w:val="20"/>
          <w:szCs w:val="20"/>
          <w:lang w:val="en"/>
        </w:rPr>
        <w:t>COMPETING INTERESTS DISCLAIMER:</w:t>
      </w:r>
    </w:p>
    <w:p w14:paraId="1165AE2B" w14:textId="77777777" w:rsidR="00E46E3F" w:rsidRPr="00E46E3F" w:rsidRDefault="00E46E3F" w:rsidP="00E46E3F">
      <w:pPr>
        <w:pStyle w:val="NormalWeb"/>
        <w:rPr>
          <w:rFonts w:ascii="Arial" w:hAnsi="Arial" w:cs="Arial"/>
          <w:sz w:val="20"/>
          <w:szCs w:val="20"/>
          <w:lang w:val="en"/>
        </w:rPr>
      </w:pPr>
      <w:r w:rsidRPr="00E46E3F">
        <w:rPr>
          <w:rFonts w:ascii="Arial" w:hAnsi="Arial" w:cs="Arial"/>
          <w:sz w:val="20"/>
          <w:szCs w:val="20"/>
          <w:lang w:val="en"/>
        </w:rPr>
        <w:t>Authors have declared that they have no known competing financial interests OR non-financial interests OR personal relationships that could have appeared to influence the work reported in this paper.</w:t>
      </w:r>
    </w:p>
    <w:p w14:paraId="04D7582E" w14:textId="77777777" w:rsidR="00E46E3F" w:rsidRPr="00E46E3F" w:rsidRDefault="00E46E3F" w:rsidP="00E46E3F">
      <w:pPr>
        <w:pStyle w:val="NormalWeb"/>
        <w:rPr>
          <w:rFonts w:ascii="Arial" w:hAnsi="Arial" w:cs="Arial"/>
          <w:sz w:val="20"/>
          <w:szCs w:val="20"/>
          <w:lang w:val="en"/>
        </w:rPr>
      </w:pPr>
    </w:p>
    <w:p w14:paraId="692A2991" w14:textId="77777777" w:rsidR="00E46E3F" w:rsidRDefault="00E46E3F">
      <w:pPr>
        <w:pStyle w:val="NormalWeb"/>
        <w:rPr>
          <w:rFonts w:ascii="Arial" w:hAnsi="Arial" w:cs="Arial"/>
          <w:sz w:val="20"/>
          <w:szCs w:val="20"/>
          <w:lang w:val="en"/>
        </w:rPr>
      </w:pPr>
    </w:p>
    <w:p w14:paraId="2258021D" w14:textId="77777777" w:rsidR="006E6F84" w:rsidRDefault="006E6F84">
      <w:pPr>
        <w:divId w:val="1218861686"/>
        <w:rPr>
          <w:rFonts w:ascii="Arial" w:eastAsia="Times New Roman" w:hAnsi="Arial" w:cs="Arial"/>
          <w:b/>
          <w:bCs/>
          <w:caps/>
          <w:sz w:val="22"/>
          <w:szCs w:val="22"/>
          <w:lang w:val="en"/>
        </w:rPr>
      </w:pPr>
    </w:p>
    <w:p w14:paraId="694C13B9" w14:textId="77777777" w:rsidR="006E6F84" w:rsidRDefault="006E6F84">
      <w:pPr>
        <w:divId w:val="1218861686"/>
        <w:rPr>
          <w:rFonts w:ascii="Arial" w:eastAsia="Times New Roman" w:hAnsi="Arial" w:cs="Arial"/>
          <w:b/>
          <w:bCs/>
          <w:caps/>
          <w:sz w:val="22"/>
          <w:szCs w:val="22"/>
          <w:lang w:val="en"/>
        </w:rPr>
      </w:pPr>
    </w:p>
    <w:p w14:paraId="5600B6ED" w14:textId="77777777" w:rsidR="006E6F84" w:rsidRDefault="006E6F84">
      <w:pPr>
        <w:divId w:val="1218861686"/>
        <w:rPr>
          <w:rFonts w:ascii="Arial" w:eastAsia="Times New Roman" w:hAnsi="Arial" w:cs="Arial"/>
          <w:b/>
          <w:bCs/>
          <w:caps/>
          <w:sz w:val="22"/>
          <w:szCs w:val="22"/>
          <w:lang w:val="en"/>
        </w:rPr>
      </w:pPr>
    </w:p>
    <w:p w14:paraId="04C1C6B8" w14:textId="77777777" w:rsidR="006E6F84" w:rsidRDefault="006E6F84">
      <w:pPr>
        <w:divId w:val="1218861686"/>
        <w:rPr>
          <w:rFonts w:ascii="Arial" w:eastAsia="Times New Roman" w:hAnsi="Arial" w:cs="Arial"/>
          <w:b/>
          <w:bCs/>
          <w:caps/>
          <w:sz w:val="22"/>
          <w:szCs w:val="22"/>
          <w:lang w:val="en"/>
        </w:rPr>
      </w:pPr>
    </w:p>
    <w:p w14:paraId="7A5F5902" w14:textId="74769868" w:rsidR="005953CA" w:rsidRDefault="006E6F84">
      <w:pPr>
        <w:divId w:val="1218861686"/>
        <w:rPr>
          <w:rFonts w:ascii="Arial" w:eastAsia="Times New Roman" w:hAnsi="Arial" w:cs="Arial"/>
          <w:b/>
          <w:bCs/>
          <w:caps/>
          <w:sz w:val="22"/>
          <w:szCs w:val="22"/>
          <w:lang w:val="en"/>
        </w:rPr>
      </w:pPr>
      <w:r>
        <w:rPr>
          <w:rFonts w:ascii="Arial" w:eastAsia="Times New Roman" w:hAnsi="Arial" w:cs="Arial"/>
          <w:b/>
          <w:bCs/>
          <w:caps/>
          <w:sz w:val="22"/>
          <w:szCs w:val="22"/>
          <w:lang w:val="en"/>
        </w:rPr>
        <w:t>REFERENCES</w:t>
      </w:r>
    </w:p>
    <w:p w14:paraId="36E68DA0" w14:textId="17E5E82B" w:rsidR="005953CA" w:rsidRPr="00A10E2D" w:rsidRDefault="006E6F84">
      <w:pPr>
        <w:ind w:hanging="300"/>
        <w:divId w:val="166680295"/>
        <w:rPr>
          <w:rFonts w:ascii="Arial" w:eastAsia="Times New Roman" w:hAnsi="Arial" w:cs="Arial"/>
          <w:sz w:val="20"/>
          <w:szCs w:val="20"/>
          <w:lang w:val="en"/>
        </w:rPr>
      </w:pPr>
      <w:r w:rsidRPr="00A10E2D">
        <w:rPr>
          <w:rFonts w:ascii="Arial" w:eastAsia="Times New Roman" w:hAnsi="Arial" w:cs="Arial"/>
          <w:sz w:val="20"/>
          <w:szCs w:val="20"/>
          <w:lang w:val="en"/>
        </w:rPr>
        <w:t xml:space="preserve">Atta-Mensah, J. (2004). Money demand and economic uncertainty (Working Paper No. 2004-33). Bank of Canada. </w:t>
      </w:r>
      <w:hyperlink r:id="rId6" w:history="1">
        <w:r w:rsidR="0037114F" w:rsidRPr="00A10E2D">
          <w:rPr>
            <w:rStyle w:val="Hyperlink"/>
            <w:rFonts w:ascii="Arial" w:eastAsia="Times New Roman" w:hAnsi="Arial" w:cs="Arial"/>
            <w:sz w:val="20"/>
            <w:szCs w:val="20"/>
            <w:lang w:val="en"/>
          </w:rPr>
          <w:t>https://doi.org/10.34989/swp-2004-25</w:t>
        </w:r>
      </w:hyperlink>
      <w:r w:rsidR="0037114F" w:rsidRPr="00A10E2D">
        <w:rPr>
          <w:rFonts w:ascii="Arial" w:eastAsia="Times New Roman" w:hAnsi="Arial" w:cs="Arial"/>
          <w:sz w:val="20"/>
          <w:szCs w:val="20"/>
          <w:lang w:val="en"/>
        </w:rPr>
        <w:t xml:space="preserve"> </w:t>
      </w:r>
    </w:p>
    <w:p w14:paraId="45D3FC2E" w14:textId="4ADCE81A" w:rsidR="005953CA" w:rsidRPr="00A10E2D" w:rsidRDefault="006E6F84">
      <w:pPr>
        <w:ind w:hanging="300"/>
        <w:divId w:val="1854807490"/>
        <w:rPr>
          <w:rFonts w:ascii="Arial" w:eastAsia="Times New Roman" w:hAnsi="Arial" w:cs="Arial"/>
          <w:sz w:val="20"/>
          <w:szCs w:val="20"/>
          <w:lang w:val="en"/>
        </w:rPr>
      </w:pPr>
      <w:r w:rsidRPr="00A10E2D">
        <w:rPr>
          <w:rFonts w:ascii="Arial" w:eastAsia="Times New Roman" w:hAnsi="Arial" w:cs="Arial"/>
          <w:sz w:val="20"/>
          <w:szCs w:val="20"/>
          <w:lang w:val="en"/>
        </w:rPr>
        <w:t xml:space="preserve">Bahmani-Oskooee, M., &amp; Nayeri, M. M. (2018). Policy uncertainty and the demand for money in Canada: A nonlinear approach. Applied Economics Quarterly, 64(4), 279-295. </w:t>
      </w:r>
      <w:hyperlink r:id="rId7" w:history="1">
        <w:r w:rsidR="0037114F" w:rsidRPr="00A10E2D">
          <w:rPr>
            <w:rStyle w:val="Hyperlink"/>
            <w:rFonts w:ascii="Arial" w:eastAsia="Times New Roman" w:hAnsi="Arial" w:cs="Arial"/>
            <w:sz w:val="20"/>
            <w:szCs w:val="20"/>
            <w:lang w:val="en"/>
          </w:rPr>
          <w:t>https://doi.org/10.3790/aeq.64.4.279</w:t>
        </w:r>
      </w:hyperlink>
      <w:r w:rsidR="0037114F" w:rsidRPr="00A10E2D">
        <w:rPr>
          <w:rFonts w:ascii="Arial" w:eastAsia="Times New Roman" w:hAnsi="Arial" w:cs="Arial"/>
          <w:sz w:val="20"/>
          <w:szCs w:val="20"/>
          <w:lang w:val="en"/>
        </w:rPr>
        <w:t xml:space="preserve"> </w:t>
      </w:r>
    </w:p>
    <w:p w14:paraId="707E4E5E" w14:textId="59CD75C6" w:rsidR="005953CA" w:rsidRPr="00A10E2D" w:rsidRDefault="006E6F84">
      <w:pPr>
        <w:ind w:hanging="300"/>
        <w:divId w:val="784153291"/>
        <w:rPr>
          <w:rFonts w:ascii="Arial" w:eastAsia="Times New Roman" w:hAnsi="Arial" w:cs="Arial"/>
          <w:sz w:val="20"/>
          <w:szCs w:val="20"/>
          <w:lang w:val="en"/>
        </w:rPr>
      </w:pPr>
      <w:r w:rsidRPr="00A10E2D">
        <w:rPr>
          <w:rFonts w:ascii="Arial" w:eastAsia="Times New Roman" w:hAnsi="Arial" w:cs="Arial"/>
          <w:sz w:val="20"/>
          <w:szCs w:val="20"/>
          <w:lang w:val="en"/>
        </w:rPr>
        <w:t>Bech, M. L., Faruqui, U., Ougaard, F., &amp; Picillo, C. (2018). Payments are a-</w:t>
      </w:r>
      <w:proofErr w:type="spellStart"/>
      <w:r w:rsidRPr="00A10E2D">
        <w:rPr>
          <w:rFonts w:ascii="Arial" w:eastAsia="Times New Roman" w:hAnsi="Arial" w:cs="Arial"/>
          <w:sz w:val="20"/>
          <w:szCs w:val="20"/>
          <w:lang w:val="en"/>
        </w:rPr>
        <w:t>changin</w:t>
      </w:r>
      <w:proofErr w:type="spellEnd"/>
      <w:r w:rsidRPr="00A10E2D">
        <w:rPr>
          <w:rFonts w:ascii="Arial" w:eastAsia="Times New Roman" w:hAnsi="Arial" w:cs="Arial"/>
          <w:sz w:val="20"/>
          <w:szCs w:val="20"/>
          <w:lang w:val="en"/>
        </w:rPr>
        <w:t xml:space="preserve">' but cash still rules. BIS Quarterly Review, March 2018. </w:t>
      </w:r>
      <w:hyperlink r:id="rId8" w:history="1">
        <w:r w:rsidR="0037114F" w:rsidRPr="00A10E2D">
          <w:rPr>
            <w:rStyle w:val="Hyperlink"/>
            <w:rFonts w:ascii="Arial" w:eastAsia="Times New Roman" w:hAnsi="Arial" w:cs="Arial"/>
            <w:sz w:val="20"/>
            <w:szCs w:val="20"/>
            <w:lang w:val="en"/>
          </w:rPr>
          <w:t>https://www.bis.org/publ/qtrpdf/r_qt1803g.htm</w:t>
        </w:r>
      </w:hyperlink>
      <w:r w:rsidR="0037114F" w:rsidRPr="00A10E2D">
        <w:rPr>
          <w:rFonts w:ascii="Arial" w:eastAsia="Times New Roman" w:hAnsi="Arial" w:cs="Arial"/>
          <w:sz w:val="20"/>
          <w:szCs w:val="20"/>
          <w:lang w:val="en"/>
        </w:rPr>
        <w:t xml:space="preserve"> </w:t>
      </w:r>
    </w:p>
    <w:p w14:paraId="38916E4D" w14:textId="58B79C05" w:rsidR="005953CA" w:rsidRPr="00A10E2D" w:rsidRDefault="006E6F84">
      <w:pPr>
        <w:ind w:hanging="300"/>
        <w:divId w:val="550505435"/>
        <w:rPr>
          <w:rFonts w:ascii="Arial" w:eastAsia="Times New Roman" w:hAnsi="Arial" w:cs="Arial"/>
          <w:sz w:val="20"/>
          <w:szCs w:val="20"/>
          <w:lang w:val="en"/>
        </w:rPr>
      </w:pPr>
      <w:r w:rsidRPr="00A10E2D">
        <w:rPr>
          <w:rFonts w:ascii="Arial" w:eastAsia="Times New Roman" w:hAnsi="Arial" w:cs="Arial"/>
          <w:sz w:val="20"/>
          <w:szCs w:val="20"/>
          <w:lang w:val="en"/>
        </w:rPr>
        <w:lastRenderedPageBreak/>
        <w:t xml:space="preserve">Chen, H., Engert, W., Huynh, K., Nicholls, G., Nicholson, M., &amp; Zhu, J. (2020). Cash and COVID-19: The impact of the pandemic on demand for and use of cash (Staff Discussion Paper No. 2020-6). Bank of Canada. </w:t>
      </w:r>
      <w:hyperlink r:id="rId9" w:history="1">
        <w:r w:rsidR="0037114F" w:rsidRPr="00A10E2D">
          <w:rPr>
            <w:rStyle w:val="Hyperlink"/>
            <w:rFonts w:ascii="Arial" w:eastAsia="Times New Roman" w:hAnsi="Arial" w:cs="Arial"/>
            <w:sz w:val="20"/>
            <w:szCs w:val="20"/>
            <w:lang w:val="en"/>
          </w:rPr>
          <w:t>https://doi.org/10.34989/sdp-2020-6</w:t>
        </w:r>
      </w:hyperlink>
      <w:r w:rsidR="0037114F" w:rsidRPr="00A10E2D">
        <w:rPr>
          <w:rFonts w:ascii="Arial" w:eastAsia="Times New Roman" w:hAnsi="Arial" w:cs="Arial"/>
          <w:sz w:val="20"/>
          <w:szCs w:val="20"/>
          <w:lang w:val="en"/>
        </w:rPr>
        <w:t xml:space="preserve"> </w:t>
      </w:r>
    </w:p>
    <w:p w14:paraId="3E414714" w14:textId="53A3595A" w:rsidR="005953CA" w:rsidRPr="00A10E2D" w:rsidRDefault="006E6F84">
      <w:pPr>
        <w:ind w:hanging="300"/>
        <w:divId w:val="1769888052"/>
        <w:rPr>
          <w:rFonts w:ascii="Arial" w:eastAsia="Times New Roman" w:hAnsi="Arial" w:cs="Arial"/>
          <w:sz w:val="20"/>
          <w:szCs w:val="20"/>
          <w:lang w:val="en"/>
        </w:rPr>
      </w:pPr>
      <w:r w:rsidRPr="00A10E2D">
        <w:rPr>
          <w:rFonts w:ascii="Arial" w:eastAsia="Times New Roman" w:hAnsi="Arial" w:cs="Arial"/>
          <w:sz w:val="20"/>
          <w:szCs w:val="20"/>
          <w:lang w:val="en"/>
        </w:rPr>
        <w:t xml:space="preserve">Chen, H., Engert, W., Felt, M. H., Huynh, K., Nicholls, G., O'Habib, D., &amp; Zhu, J. (2021). Cash and COVID-19: The impact of the second wave in Canada (Staff Discussion Paper No. 2021-12). Bank of Canada. </w:t>
      </w:r>
      <w:hyperlink r:id="rId10" w:history="1">
        <w:r w:rsidR="0037114F" w:rsidRPr="00A10E2D">
          <w:rPr>
            <w:rStyle w:val="Hyperlink"/>
            <w:rFonts w:ascii="Arial" w:eastAsia="Times New Roman" w:hAnsi="Arial" w:cs="Arial"/>
            <w:sz w:val="20"/>
            <w:szCs w:val="20"/>
            <w:lang w:val="en"/>
          </w:rPr>
          <w:t>https://doi.org/10.34989/sdp-2021-12</w:t>
        </w:r>
      </w:hyperlink>
      <w:r w:rsidR="0037114F" w:rsidRPr="00A10E2D">
        <w:rPr>
          <w:rFonts w:ascii="Arial" w:eastAsia="Times New Roman" w:hAnsi="Arial" w:cs="Arial"/>
          <w:sz w:val="20"/>
          <w:szCs w:val="20"/>
          <w:lang w:val="en"/>
        </w:rPr>
        <w:t xml:space="preserve"> </w:t>
      </w:r>
    </w:p>
    <w:p w14:paraId="6950B290" w14:textId="36B863DC" w:rsidR="005953CA" w:rsidRPr="00A10E2D" w:rsidRDefault="006E6F84">
      <w:pPr>
        <w:ind w:hanging="300"/>
        <w:divId w:val="1060133405"/>
        <w:rPr>
          <w:rFonts w:ascii="Arial" w:eastAsia="Times New Roman" w:hAnsi="Arial" w:cs="Arial"/>
          <w:sz w:val="20"/>
          <w:szCs w:val="20"/>
          <w:lang w:val="en"/>
        </w:rPr>
      </w:pPr>
      <w:r w:rsidRPr="00A10E2D">
        <w:rPr>
          <w:rFonts w:ascii="Arial" w:eastAsia="Times New Roman" w:hAnsi="Arial" w:cs="Arial"/>
          <w:sz w:val="20"/>
          <w:szCs w:val="20"/>
          <w:lang w:val="en"/>
        </w:rPr>
        <w:t xml:space="preserve">Chow, G. C. (1960). Tests of equality between sets of coefficients in two linear regressions. </w:t>
      </w:r>
      <w:proofErr w:type="spellStart"/>
      <w:r w:rsidRPr="00A10E2D">
        <w:rPr>
          <w:rFonts w:ascii="Arial" w:eastAsia="Times New Roman" w:hAnsi="Arial" w:cs="Arial"/>
          <w:sz w:val="20"/>
          <w:szCs w:val="20"/>
          <w:lang w:val="en"/>
        </w:rPr>
        <w:t>Econometrica</w:t>
      </w:r>
      <w:proofErr w:type="spellEnd"/>
      <w:r w:rsidRPr="00A10E2D">
        <w:rPr>
          <w:rFonts w:ascii="Arial" w:eastAsia="Times New Roman" w:hAnsi="Arial" w:cs="Arial"/>
          <w:sz w:val="20"/>
          <w:szCs w:val="20"/>
          <w:lang w:val="en"/>
        </w:rPr>
        <w:t xml:space="preserve">, 28(3), 591-605. </w:t>
      </w:r>
      <w:hyperlink r:id="rId11" w:history="1">
        <w:r w:rsidR="0037114F" w:rsidRPr="00A10E2D">
          <w:rPr>
            <w:rStyle w:val="Hyperlink"/>
            <w:rFonts w:ascii="Arial" w:eastAsia="Times New Roman" w:hAnsi="Arial" w:cs="Arial"/>
            <w:sz w:val="20"/>
            <w:szCs w:val="20"/>
            <w:lang w:val="en"/>
          </w:rPr>
          <w:t>https://doi.org/10.2307/1910133</w:t>
        </w:r>
      </w:hyperlink>
      <w:r w:rsidR="0037114F" w:rsidRPr="00A10E2D">
        <w:rPr>
          <w:rFonts w:ascii="Arial" w:eastAsia="Times New Roman" w:hAnsi="Arial" w:cs="Arial"/>
          <w:sz w:val="20"/>
          <w:szCs w:val="20"/>
          <w:lang w:val="en"/>
        </w:rPr>
        <w:t xml:space="preserve"> </w:t>
      </w:r>
    </w:p>
    <w:p w14:paraId="57DF3885" w14:textId="37CFD415" w:rsidR="005953CA" w:rsidRPr="00A10E2D" w:rsidRDefault="006E6F84">
      <w:pPr>
        <w:ind w:hanging="300"/>
        <w:divId w:val="494301521"/>
        <w:rPr>
          <w:rFonts w:ascii="Arial" w:eastAsia="Times New Roman" w:hAnsi="Arial" w:cs="Arial"/>
          <w:sz w:val="20"/>
          <w:szCs w:val="20"/>
          <w:lang w:val="en"/>
        </w:rPr>
      </w:pPr>
      <w:r w:rsidRPr="00A10E2D">
        <w:rPr>
          <w:rFonts w:ascii="Arial" w:eastAsia="Times New Roman" w:hAnsi="Arial" w:cs="Arial"/>
          <w:sz w:val="20"/>
          <w:szCs w:val="20"/>
          <w:lang w:val="en"/>
        </w:rPr>
        <w:t xml:space="preserve">Dahlhaus, T., &amp; Welte, A. (2024). Payment habits during Covid-19: Evidence from high-frequency transaction data. In Bank for International Settlements (Ed.), Granular data: New horizons and challenges (IFC Bulletin No. 61). BIS. </w:t>
      </w:r>
      <w:hyperlink r:id="rId12" w:history="1">
        <w:r w:rsidR="0037114F" w:rsidRPr="00A10E2D">
          <w:rPr>
            <w:rStyle w:val="Hyperlink"/>
            <w:rFonts w:ascii="Arial" w:eastAsia="Times New Roman" w:hAnsi="Arial" w:cs="Arial"/>
            <w:sz w:val="20"/>
            <w:szCs w:val="20"/>
            <w:lang w:val="en"/>
          </w:rPr>
          <w:t>https://www.bis.org/ifc/publ/ifcb61_05.pdf</w:t>
        </w:r>
      </w:hyperlink>
      <w:r w:rsidR="0037114F" w:rsidRPr="00A10E2D">
        <w:rPr>
          <w:rFonts w:ascii="Arial" w:eastAsia="Times New Roman" w:hAnsi="Arial" w:cs="Arial"/>
          <w:sz w:val="20"/>
          <w:szCs w:val="20"/>
          <w:lang w:val="en"/>
        </w:rPr>
        <w:t xml:space="preserve"> </w:t>
      </w:r>
    </w:p>
    <w:p w14:paraId="298829F9" w14:textId="26B9C696" w:rsidR="005953CA" w:rsidRPr="00A10E2D" w:rsidRDefault="006E6F84">
      <w:pPr>
        <w:ind w:hanging="300"/>
        <w:divId w:val="1469277116"/>
        <w:rPr>
          <w:sz w:val="20"/>
          <w:szCs w:val="20"/>
        </w:rPr>
      </w:pPr>
      <w:r w:rsidRPr="00A10E2D">
        <w:rPr>
          <w:rFonts w:ascii="Arial" w:eastAsia="Times New Roman" w:hAnsi="Arial" w:cs="Arial"/>
          <w:sz w:val="20"/>
          <w:szCs w:val="20"/>
          <w:lang w:val="en"/>
        </w:rPr>
        <w:t xml:space="preserve">Dunbar, G., &amp; Jones, C. (2018). The (Un)Demand for money in Canada (Staff Working Paper No. 2018-20). Bank of Canada. </w:t>
      </w:r>
      <w:hyperlink r:id="rId13" w:history="1">
        <w:r w:rsidR="0037114F" w:rsidRPr="00A10E2D">
          <w:rPr>
            <w:rStyle w:val="Hyperlink"/>
            <w:rFonts w:ascii="Arial" w:eastAsia="Times New Roman" w:hAnsi="Arial" w:cs="Arial"/>
            <w:sz w:val="20"/>
            <w:szCs w:val="20"/>
            <w:lang w:val="en"/>
          </w:rPr>
          <w:t>https://doi.org/10.34989/swp-2018-20</w:t>
        </w:r>
      </w:hyperlink>
      <w:r w:rsidR="0037114F" w:rsidRPr="00A10E2D">
        <w:rPr>
          <w:sz w:val="20"/>
          <w:szCs w:val="20"/>
        </w:rPr>
        <w:t xml:space="preserve"> </w:t>
      </w:r>
    </w:p>
    <w:p w14:paraId="67BEFF42" w14:textId="3A14F1A1" w:rsidR="005953CA" w:rsidRPr="00A10E2D" w:rsidRDefault="006E6F84">
      <w:pPr>
        <w:ind w:hanging="300"/>
        <w:divId w:val="1196188863"/>
        <w:rPr>
          <w:rFonts w:ascii="Arial" w:eastAsia="Times New Roman" w:hAnsi="Arial" w:cs="Arial"/>
          <w:sz w:val="20"/>
          <w:szCs w:val="20"/>
          <w:lang w:val="en"/>
        </w:rPr>
      </w:pPr>
      <w:r w:rsidRPr="00A10E2D">
        <w:rPr>
          <w:rFonts w:ascii="Arial" w:eastAsia="Times New Roman" w:hAnsi="Arial" w:cs="Arial"/>
          <w:sz w:val="20"/>
          <w:szCs w:val="20"/>
          <w:lang w:val="en"/>
        </w:rPr>
        <w:t xml:space="preserve">Engert, W., Fung, B., &amp; </w:t>
      </w:r>
      <w:proofErr w:type="spellStart"/>
      <w:r w:rsidRPr="00A10E2D">
        <w:rPr>
          <w:rFonts w:ascii="Arial" w:eastAsia="Times New Roman" w:hAnsi="Arial" w:cs="Arial"/>
          <w:sz w:val="20"/>
          <w:szCs w:val="20"/>
          <w:lang w:val="en"/>
        </w:rPr>
        <w:t>Segendorf</w:t>
      </w:r>
      <w:proofErr w:type="spellEnd"/>
      <w:r w:rsidRPr="00A10E2D">
        <w:rPr>
          <w:rFonts w:ascii="Arial" w:eastAsia="Times New Roman" w:hAnsi="Arial" w:cs="Arial"/>
          <w:sz w:val="20"/>
          <w:szCs w:val="20"/>
          <w:lang w:val="en"/>
        </w:rPr>
        <w:t xml:space="preserve">, B. (2019). A Tale of Two Countries: Cash demand in Canada and Sweden (Staff Discussion Paper No. 2019-7). Bank of Canada. </w:t>
      </w:r>
      <w:hyperlink r:id="rId14" w:history="1">
        <w:r w:rsidR="0037114F" w:rsidRPr="00A10E2D">
          <w:rPr>
            <w:rStyle w:val="Hyperlink"/>
            <w:rFonts w:ascii="Arial" w:eastAsia="Times New Roman" w:hAnsi="Arial" w:cs="Arial"/>
            <w:sz w:val="20"/>
            <w:szCs w:val="20"/>
            <w:lang w:val="en"/>
          </w:rPr>
          <w:t>https://doi.org/10.34989/sdp-2019-7</w:t>
        </w:r>
      </w:hyperlink>
      <w:r w:rsidR="0037114F" w:rsidRPr="00A10E2D">
        <w:rPr>
          <w:rFonts w:ascii="Arial" w:eastAsia="Times New Roman" w:hAnsi="Arial" w:cs="Arial"/>
          <w:sz w:val="20"/>
          <w:szCs w:val="20"/>
          <w:lang w:val="en"/>
        </w:rPr>
        <w:t xml:space="preserve"> </w:t>
      </w:r>
    </w:p>
    <w:p w14:paraId="255383F5" w14:textId="5272BD6A" w:rsidR="005953CA" w:rsidRPr="00A10E2D" w:rsidRDefault="006E6F84">
      <w:pPr>
        <w:ind w:hanging="300"/>
        <w:divId w:val="251205150"/>
        <w:rPr>
          <w:rFonts w:ascii="Arial" w:eastAsia="Times New Roman" w:hAnsi="Arial" w:cs="Arial"/>
          <w:sz w:val="20"/>
          <w:szCs w:val="20"/>
          <w:lang w:val="en"/>
        </w:rPr>
      </w:pPr>
      <w:r w:rsidRPr="00A10E2D">
        <w:rPr>
          <w:rFonts w:ascii="Arial" w:eastAsia="Times New Roman" w:hAnsi="Arial" w:cs="Arial"/>
          <w:sz w:val="20"/>
          <w:szCs w:val="20"/>
          <w:lang w:val="en"/>
        </w:rPr>
        <w:t xml:space="preserve">Engert, W., &amp; Huynh, K. (2022). Cash, COVID-19 and the prospects for a Canadian digital dollar (Staff Discussion Paper No. 2022-17). Bank of Canada. </w:t>
      </w:r>
      <w:hyperlink r:id="rId15" w:history="1">
        <w:r w:rsidR="0037114F" w:rsidRPr="00A10E2D">
          <w:rPr>
            <w:rStyle w:val="Hyperlink"/>
            <w:rFonts w:ascii="Arial" w:eastAsia="Times New Roman" w:hAnsi="Arial" w:cs="Arial"/>
            <w:sz w:val="20"/>
            <w:szCs w:val="20"/>
            <w:lang w:val="en"/>
          </w:rPr>
          <w:t>https://doi.org/10.34989/sdp-2022-17</w:t>
        </w:r>
      </w:hyperlink>
      <w:r w:rsidR="0037114F" w:rsidRPr="00A10E2D">
        <w:rPr>
          <w:rFonts w:ascii="Arial" w:eastAsia="Times New Roman" w:hAnsi="Arial" w:cs="Arial"/>
          <w:sz w:val="20"/>
          <w:szCs w:val="20"/>
          <w:lang w:val="en"/>
        </w:rPr>
        <w:t xml:space="preserve"> </w:t>
      </w:r>
    </w:p>
    <w:p w14:paraId="0FFA26F2" w14:textId="459496B4" w:rsidR="005953CA" w:rsidRPr="00A10E2D" w:rsidRDefault="006E6F84">
      <w:pPr>
        <w:ind w:hanging="300"/>
        <w:divId w:val="304816408"/>
        <w:rPr>
          <w:sz w:val="20"/>
          <w:szCs w:val="20"/>
        </w:rPr>
      </w:pPr>
      <w:r w:rsidRPr="00A10E2D">
        <w:rPr>
          <w:rFonts w:ascii="Arial" w:eastAsia="Times New Roman" w:hAnsi="Arial" w:cs="Arial"/>
          <w:sz w:val="20"/>
          <w:szCs w:val="20"/>
          <w:lang w:val="en"/>
        </w:rPr>
        <w:t xml:space="preserve">Friedman, M. (1956). The quantity theory of money: A restatement. In M. Friedman (Ed.), Studies in the quantity theory of money (pp. 327-351). University of Chicago Press. </w:t>
      </w:r>
      <w:hyperlink r:id="rId16" w:history="1">
        <w:r w:rsidR="0037114F" w:rsidRPr="00A10E2D">
          <w:rPr>
            <w:rStyle w:val="Hyperlink"/>
            <w:rFonts w:ascii="Arial" w:eastAsia="Times New Roman" w:hAnsi="Arial" w:cs="Arial"/>
            <w:sz w:val="20"/>
            <w:szCs w:val="20"/>
            <w:lang w:val="en"/>
          </w:rPr>
          <w:t>https://www.nber.org/system/files/chapters/c11402/c11402.pdf</w:t>
        </w:r>
      </w:hyperlink>
      <w:r w:rsidR="0037114F" w:rsidRPr="00A10E2D">
        <w:rPr>
          <w:sz w:val="20"/>
          <w:szCs w:val="20"/>
        </w:rPr>
        <w:t xml:space="preserve"> </w:t>
      </w:r>
    </w:p>
    <w:p w14:paraId="0AB4DCB2" w14:textId="0C4809E0" w:rsidR="005953CA" w:rsidRPr="00A10E2D" w:rsidRDefault="006E6F84">
      <w:pPr>
        <w:ind w:hanging="300"/>
        <w:divId w:val="813065944"/>
        <w:rPr>
          <w:rFonts w:ascii="Arial" w:eastAsia="Times New Roman" w:hAnsi="Arial" w:cs="Arial"/>
          <w:sz w:val="20"/>
          <w:szCs w:val="20"/>
          <w:lang w:val="en"/>
        </w:rPr>
      </w:pPr>
      <w:r w:rsidRPr="00A10E2D">
        <w:rPr>
          <w:rFonts w:ascii="Arial" w:eastAsia="Times New Roman" w:hAnsi="Arial" w:cs="Arial"/>
          <w:sz w:val="20"/>
          <w:szCs w:val="20"/>
          <w:lang w:val="en"/>
        </w:rPr>
        <w:t xml:space="preserve">Friedman, M. (1969). The role of monetary policy. American Economic Review, 59(2), 1-17. </w:t>
      </w:r>
      <w:hyperlink r:id="rId17" w:history="1">
        <w:r w:rsidR="0037114F" w:rsidRPr="00A10E2D">
          <w:rPr>
            <w:rStyle w:val="Hyperlink"/>
            <w:rFonts w:ascii="Arial" w:eastAsia="Times New Roman" w:hAnsi="Arial" w:cs="Arial"/>
            <w:sz w:val="20"/>
            <w:szCs w:val="20"/>
            <w:lang w:val="en"/>
          </w:rPr>
          <w:t>http://www.jstor.org/stable/1831652</w:t>
        </w:r>
      </w:hyperlink>
      <w:r w:rsidR="0037114F" w:rsidRPr="00A10E2D">
        <w:rPr>
          <w:rFonts w:ascii="Arial" w:eastAsia="Times New Roman" w:hAnsi="Arial" w:cs="Arial"/>
          <w:sz w:val="20"/>
          <w:szCs w:val="20"/>
          <w:lang w:val="en"/>
        </w:rPr>
        <w:t xml:space="preserve"> </w:t>
      </w:r>
    </w:p>
    <w:p w14:paraId="578356C7" w14:textId="31242510" w:rsidR="005953CA" w:rsidRPr="00A10E2D" w:rsidRDefault="006E6F84">
      <w:pPr>
        <w:ind w:hanging="300"/>
        <w:divId w:val="171343282"/>
        <w:rPr>
          <w:rFonts w:ascii="Arial" w:eastAsia="Times New Roman" w:hAnsi="Arial" w:cs="Arial"/>
          <w:sz w:val="20"/>
          <w:szCs w:val="20"/>
          <w:lang w:val="en"/>
        </w:rPr>
      </w:pPr>
      <w:r w:rsidRPr="00A10E2D">
        <w:rPr>
          <w:rFonts w:ascii="Arial" w:eastAsia="Times New Roman" w:hAnsi="Arial" w:cs="Arial"/>
          <w:sz w:val="20"/>
          <w:szCs w:val="20"/>
          <w:lang w:val="en"/>
        </w:rPr>
        <w:t xml:space="preserve">Gregory, A. W. (1985). Testing nested functional forms of money demand for Canada. Journal of Quantitative Economics, 2, 211-230. </w:t>
      </w:r>
      <w:hyperlink r:id="rId18" w:history="1">
        <w:r w:rsidR="0037114F" w:rsidRPr="00A10E2D">
          <w:rPr>
            <w:rStyle w:val="Hyperlink"/>
            <w:rFonts w:ascii="Arial" w:eastAsia="Times New Roman" w:hAnsi="Arial" w:cs="Arial"/>
            <w:sz w:val="20"/>
            <w:szCs w:val="20"/>
            <w:lang w:val="en"/>
          </w:rPr>
          <w:t>https://ideas.repec.org/a/cje/issued/v16y1983i4p593-602.html</w:t>
        </w:r>
      </w:hyperlink>
      <w:r w:rsidR="0037114F" w:rsidRPr="00A10E2D">
        <w:rPr>
          <w:rFonts w:ascii="Arial" w:eastAsia="Times New Roman" w:hAnsi="Arial" w:cs="Arial"/>
          <w:sz w:val="20"/>
          <w:szCs w:val="20"/>
          <w:lang w:val="en"/>
        </w:rPr>
        <w:t xml:space="preserve"> </w:t>
      </w:r>
    </w:p>
    <w:p w14:paraId="64A50062" w14:textId="3038E907" w:rsidR="005953CA" w:rsidRPr="00A10E2D" w:rsidRDefault="006E6F84">
      <w:pPr>
        <w:ind w:hanging="300"/>
        <w:divId w:val="1094783500"/>
        <w:rPr>
          <w:rFonts w:ascii="Arial" w:eastAsia="Times New Roman" w:hAnsi="Arial" w:cs="Arial"/>
          <w:sz w:val="20"/>
          <w:szCs w:val="20"/>
          <w:lang w:val="en"/>
        </w:rPr>
      </w:pPr>
      <w:r w:rsidRPr="00A10E2D">
        <w:rPr>
          <w:rFonts w:ascii="Arial" w:eastAsia="Times New Roman" w:hAnsi="Arial" w:cs="Arial"/>
          <w:sz w:val="20"/>
          <w:szCs w:val="20"/>
          <w:lang w:val="en"/>
        </w:rPr>
        <w:t xml:space="preserve">Haug, A. A., &amp; Lucas, R. F. (1996). Long-run money demand in Canada: In search of stability. Review of Economics and Statistics, 78(2), 345-348. </w:t>
      </w:r>
      <w:hyperlink r:id="rId19" w:history="1">
        <w:r w:rsidR="0037114F" w:rsidRPr="00A10E2D">
          <w:rPr>
            <w:rStyle w:val="Hyperlink"/>
            <w:rFonts w:ascii="Arial" w:eastAsia="Times New Roman" w:hAnsi="Arial" w:cs="Arial"/>
            <w:sz w:val="20"/>
            <w:szCs w:val="20"/>
            <w:lang w:val="en"/>
          </w:rPr>
          <w:t>https://ideas.repec.org/a/tpr/restat/v78y1996i2p345-48.html</w:t>
        </w:r>
      </w:hyperlink>
      <w:r w:rsidR="0037114F" w:rsidRPr="00A10E2D">
        <w:rPr>
          <w:rFonts w:ascii="Arial" w:eastAsia="Times New Roman" w:hAnsi="Arial" w:cs="Arial"/>
          <w:sz w:val="20"/>
          <w:szCs w:val="20"/>
          <w:lang w:val="en"/>
        </w:rPr>
        <w:t xml:space="preserve"> </w:t>
      </w:r>
    </w:p>
    <w:p w14:paraId="290CA59E" w14:textId="4B58845E" w:rsidR="005953CA" w:rsidRPr="00A10E2D" w:rsidRDefault="006E6F84">
      <w:pPr>
        <w:ind w:hanging="300"/>
        <w:divId w:val="1965236796"/>
        <w:rPr>
          <w:rFonts w:ascii="Arial" w:eastAsia="Times New Roman" w:hAnsi="Arial" w:cs="Arial"/>
          <w:sz w:val="20"/>
          <w:szCs w:val="20"/>
          <w:lang w:val="en"/>
        </w:rPr>
      </w:pPr>
      <w:proofErr w:type="spellStart"/>
      <w:r w:rsidRPr="00A10E2D">
        <w:rPr>
          <w:rFonts w:ascii="Arial" w:eastAsia="Times New Roman" w:hAnsi="Arial" w:cs="Arial"/>
          <w:sz w:val="20"/>
          <w:szCs w:val="20"/>
          <w:lang w:val="en"/>
        </w:rPr>
        <w:t>Hueng</w:t>
      </w:r>
      <w:proofErr w:type="spellEnd"/>
      <w:r w:rsidRPr="00A10E2D">
        <w:rPr>
          <w:rFonts w:ascii="Arial" w:eastAsia="Times New Roman" w:hAnsi="Arial" w:cs="Arial"/>
          <w:sz w:val="20"/>
          <w:szCs w:val="20"/>
          <w:lang w:val="en"/>
        </w:rPr>
        <w:t xml:space="preserve">, C. J. (1997). The demand for money in an open economy: Some evidence for Canada. </w:t>
      </w:r>
      <w:hyperlink r:id="rId20" w:history="1">
        <w:r w:rsidR="0037114F" w:rsidRPr="00A10E2D">
          <w:rPr>
            <w:rStyle w:val="Hyperlink"/>
            <w:rFonts w:ascii="Arial" w:eastAsia="Times New Roman" w:hAnsi="Arial" w:cs="Arial"/>
            <w:sz w:val="20"/>
            <w:szCs w:val="20"/>
            <w:lang w:val="en"/>
          </w:rPr>
          <w:t>https://doi.org/10.1016/S1062-9408(99)80078-3</w:t>
        </w:r>
      </w:hyperlink>
      <w:r w:rsidR="0037114F" w:rsidRPr="00A10E2D">
        <w:rPr>
          <w:rFonts w:ascii="Arial" w:eastAsia="Times New Roman" w:hAnsi="Arial" w:cs="Arial"/>
          <w:sz w:val="20"/>
          <w:szCs w:val="20"/>
          <w:lang w:val="en"/>
        </w:rPr>
        <w:t xml:space="preserve"> </w:t>
      </w:r>
    </w:p>
    <w:p w14:paraId="653A5518" w14:textId="11EC24CD" w:rsidR="005953CA" w:rsidRPr="00A10E2D" w:rsidRDefault="006E6F84">
      <w:pPr>
        <w:ind w:hanging="300"/>
        <w:divId w:val="1877155843"/>
        <w:rPr>
          <w:rFonts w:ascii="Arial" w:eastAsia="Times New Roman" w:hAnsi="Arial" w:cs="Arial"/>
          <w:sz w:val="20"/>
          <w:szCs w:val="20"/>
          <w:lang w:val="en"/>
        </w:rPr>
      </w:pPr>
      <w:proofErr w:type="spellStart"/>
      <w:r w:rsidRPr="00A10E2D">
        <w:rPr>
          <w:rFonts w:ascii="Arial" w:eastAsia="Times New Roman" w:hAnsi="Arial" w:cs="Arial"/>
          <w:sz w:val="20"/>
          <w:szCs w:val="20"/>
          <w:lang w:val="en"/>
        </w:rPr>
        <w:t>Lubello</w:t>
      </w:r>
      <w:proofErr w:type="spellEnd"/>
      <w:r w:rsidRPr="00A10E2D">
        <w:rPr>
          <w:rFonts w:ascii="Arial" w:eastAsia="Times New Roman" w:hAnsi="Arial" w:cs="Arial"/>
          <w:sz w:val="20"/>
          <w:szCs w:val="20"/>
          <w:lang w:val="en"/>
        </w:rPr>
        <w:t xml:space="preserve">, F. (2011). Money demand and inflation: A cointegration analysis for Canada. </w:t>
      </w:r>
      <w:hyperlink r:id="rId21" w:history="1">
        <w:r w:rsidR="0037114F" w:rsidRPr="00A10E2D">
          <w:rPr>
            <w:rStyle w:val="Hyperlink"/>
            <w:rFonts w:ascii="Arial" w:eastAsia="Times New Roman" w:hAnsi="Arial" w:cs="Arial"/>
            <w:sz w:val="20"/>
            <w:szCs w:val="20"/>
            <w:lang w:val="en"/>
          </w:rPr>
          <w:t>https://mpra.ub.uni-muenchen.de/id/eprint/54960</w:t>
        </w:r>
      </w:hyperlink>
      <w:r w:rsidR="0037114F" w:rsidRPr="00A10E2D">
        <w:rPr>
          <w:rFonts w:ascii="Arial" w:eastAsia="Times New Roman" w:hAnsi="Arial" w:cs="Arial"/>
          <w:sz w:val="20"/>
          <w:szCs w:val="20"/>
          <w:lang w:val="en"/>
        </w:rPr>
        <w:t xml:space="preserve"> </w:t>
      </w:r>
    </w:p>
    <w:p w14:paraId="09DF6A7D" w14:textId="067B327F" w:rsidR="005953CA" w:rsidRPr="00A10E2D" w:rsidRDefault="006E6F84">
      <w:pPr>
        <w:ind w:hanging="300"/>
        <w:divId w:val="529805629"/>
        <w:rPr>
          <w:rFonts w:ascii="Arial" w:eastAsia="Times New Roman" w:hAnsi="Arial" w:cs="Arial"/>
          <w:sz w:val="20"/>
          <w:szCs w:val="20"/>
          <w:lang w:val="en"/>
        </w:rPr>
      </w:pPr>
      <w:r w:rsidRPr="00A10E2D">
        <w:rPr>
          <w:rFonts w:ascii="Arial" w:eastAsia="Times New Roman" w:hAnsi="Arial" w:cs="Arial"/>
          <w:sz w:val="20"/>
          <w:szCs w:val="20"/>
          <w:lang w:val="en"/>
        </w:rPr>
        <w:t xml:space="preserve">Macklem, T. (2001). A new measure of core inflation. Bank of Canada Review, Winter 2001-2002, 11-22. </w:t>
      </w:r>
      <w:hyperlink r:id="rId22" w:history="1">
        <w:r w:rsidR="0037114F" w:rsidRPr="00A10E2D">
          <w:rPr>
            <w:rStyle w:val="Hyperlink"/>
            <w:rFonts w:ascii="Arial" w:eastAsia="Times New Roman" w:hAnsi="Arial" w:cs="Arial"/>
            <w:sz w:val="20"/>
            <w:szCs w:val="20"/>
            <w:lang w:val="en"/>
          </w:rPr>
          <w:t>https://www.bankofcanada.ca/wp-content/uploads/2010/06/mackleme.pdf</w:t>
        </w:r>
      </w:hyperlink>
      <w:r w:rsidR="0037114F" w:rsidRPr="00A10E2D">
        <w:rPr>
          <w:rFonts w:ascii="Arial" w:eastAsia="Times New Roman" w:hAnsi="Arial" w:cs="Arial"/>
          <w:sz w:val="20"/>
          <w:szCs w:val="20"/>
          <w:lang w:val="en"/>
        </w:rPr>
        <w:t xml:space="preserve"> </w:t>
      </w:r>
    </w:p>
    <w:p w14:paraId="5B04FF0C" w14:textId="7F64176E" w:rsidR="00BA7521" w:rsidRPr="00A10E2D" w:rsidRDefault="006E6F84">
      <w:pPr>
        <w:ind w:hanging="300"/>
        <w:divId w:val="166098573"/>
        <w:rPr>
          <w:rFonts w:ascii="Arial" w:eastAsia="Times New Roman" w:hAnsi="Arial" w:cs="Arial"/>
          <w:sz w:val="20"/>
          <w:szCs w:val="20"/>
          <w:lang w:val="en"/>
        </w:rPr>
      </w:pPr>
      <w:r w:rsidRPr="00A10E2D">
        <w:rPr>
          <w:rFonts w:ascii="Arial" w:eastAsia="Times New Roman" w:hAnsi="Arial" w:cs="Arial"/>
          <w:sz w:val="20"/>
          <w:szCs w:val="20"/>
          <w:lang w:val="en"/>
        </w:rPr>
        <w:t xml:space="preserve">World Health Organization. (2020, March 11). WHO Director-General's opening remarks at the media briefing on COVID-19 - 11 March 2020. </w:t>
      </w:r>
      <w:hyperlink r:id="rId23" w:history="1">
        <w:r w:rsidR="0037114F" w:rsidRPr="00A10E2D">
          <w:rPr>
            <w:rStyle w:val="Hyperlink"/>
            <w:rFonts w:ascii="Arial" w:eastAsia="Times New Roman" w:hAnsi="Arial" w:cs="Arial"/>
            <w:sz w:val="20"/>
            <w:szCs w:val="20"/>
            <w:lang w:val="en"/>
          </w:rPr>
          <w:t>https://www.who.int/news-room/speeches/item/who-director-general-s-opening-remarks-at-the-media-briefing-on-covid-19---11-march-2020</w:t>
        </w:r>
      </w:hyperlink>
      <w:r w:rsidR="0037114F" w:rsidRPr="00A10E2D">
        <w:rPr>
          <w:rFonts w:ascii="Arial" w:eastAsia="Times New Roman" w:hAnsi="Arial" w:cs="Arial"/>
          <w:sz w:val="20"/>
          <w:szCs w:val="20"/>
          <w:lang w:val="en"/>
        </w:rPr>
        <w:t xml:space="preserve"> </w:t>
      </w:r>
    </w:p>
    <w:sectPr w:rsidR="00BA7521" w:rsidRPr="00A10E2D">
      <w:headerReference w:type="even" r:id="rId24"/>
      <w:headerReference w:type="default" r:id="rId25"/>
      <w:footerReference w:type="even" r:id="rId26"/>
      <w:footerReference w:type="default" r:id="rId27"/>
      <w:headerReference w:type="first" r:id="rId28"/>
      <w:footerReference w:type="first" r:id="rId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AD4D4A" w14:textId="77777777" w:rsidR="00CB1CE9" w:rsidRDefault="00CB1CE9" w:rsidP="008B32D3">
      <w:r>
        <w:separator/>
      </w:r>
    </w:p>
  </w:endnote>
  <w:endnote w:type="continuationSeparator" w:id="0">
    <w:p w14:paraId="3D4B2589" w14:textId="77777777" w:rsidR="00CB1CE9" w:rsidRDefault="00CB1CE9" w:rsidP="008B3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0C6FD" w14:textId="77777777" w:rsidR="008B32D3" w:rsidRDefault="008B32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37688" w14:textId="77777777" w:rsidR="008B32D3" w:rsidRDefault="008B32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2ECDB" w14:textId="77777777" w:rsidR="008B32D3" w:rsidRDefault="008B32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F5AE93" w14:textId="77777777" w:rsidR="00CB1CE9" w:rsidRDefault="00CB1CE9" w:rsidP="008B32D3">
      <w:r>
        <w:separator/>
      </w:r>
    </w:p>
  </w:footnote>
  <w:footnote w:type="continuationSeparator" w:id="0">
    <w:p w14:paraId="54346AB7" w14:textId="77777777" w:rsidR="00CB1CE9" w:rsidRDefault="00CB1CE9" w:rsidP="008B32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AF1C8F" w14:textId="08438D0E" w:rsidR="008B32D3" w:rsidRDefault="008B32D3">
    <w:pPr>
      <w:pStyle w:val="Header"/>
    </w:pPr>
    <w:r>
      <w:rPr>
        <w:noProof/>
      </w:rPr>
      <w:pict w14:anchorId="686510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1555766"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EA62B6" w14:textId="2DD0E0FC" w:rsidR="008B32D3" w:rsidRDefault="008B32D3">
    <w:pPr>
      <w:pStyle w:val="Header"/>
    </w:pPr>
    <w:r>
      <w:rPr>
        <w:noProof/>
      </w:rPr>
      <w:pict w14:anchorId="044D8A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1555767"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D8D7F6" w14:textId="31C75DD4" w:rsidR="008B32D3" w:rsidRDefault="008B32D3">
    <w:pPr>
      <w:pStyle w:val="Header"/>
    </w:pPr>
    <w:r>
      <w:rPr>
        <w:noProof/>
      </w:rPr>
      <w:pict w14:anchorId="62249D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1555765"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DED"/>
    <w:rsid w:val="00235259"/>
    <w:rsid w:val="0037114F"/>
    <w:rsid w:val="004E370B"/>
    <w:rsid w:val="005953CA"/>
    <w:rsid w:val="006E6F84"/>
    <w:rsid w:val="008B32D3"/>
    <w:rsid w:val="0095594B"/>
    <w:rsid w:val="00983DED"/>
    <w:rsid w:val="00A10E2D"/>
    <w:rsid w:val="00B556DE"/>
    <w:rsid w:val="00B834F4"/>
    <w:rsid w:val="00BA7521"/>
    <w:rsid w:val="00CB1CE9"/>
    <w:rsid w:val="00CC271B"/>
    <w:rsid w:val="00CD446D"/>
    <w:rsid w:val="00DC399E"/>
    <w:rsid w:val="00E4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6E74DC4"/>
  <w15:chartTrackingRefBased/>
  <w15:docId w15:val="{8AEDABFA-CB32-4C2C-83E5-2FFD37147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20"/>
      <w:jc w:val="both"/>
    </w:pPr>
  </w:style>
  <w:style w:type="paragraph" w:styleId="NormalWeb">
    <w:name w:val="Normal (Web)"/>
    <w:basedOn w:val="Normal"/>
    <w:uiPriority w:val="99"/>
    <w:semiHidden/>
    <w:unhideWhenUsed/>
    <w:pPr>
      <w:spacing w:before="100" w:beforeAutospacing="1" w:after="120"/>
      <w:jc w:val="both"/>
    </w:pPr>
  </w:style>
  <w:style w:type="paragraph" w:customStyle="1" w:styleId="Title1">
    <w:name w:val="Title1"/>
    <w:basedOn w:val="Normal"/>
    <w:pPr>
      <w:spacing w:before="100" w:beforeAutospacing="1" w:after="300"/>
      <w:jc w:val="center"/>
    </w:pPr>
    <w:rPr>
      <w:b/>
      <w:bCs/>
      <w:caps/>
      <w:sz w:val="28"/>
      <w:szCs w:val="28"/>
    </w:rPr>
  </w:style>
  <w:style w:type="paragraph" w:customStyle="1" w:styleId="authors">
    <w:name w:val="authors"/>
    <w:basedOn w:val="Normal"/>
    <w:pPr>
      <w:spacing w:before="100" w:beforeAutospacing="1" w:after="150"/>
      <w:jc w:val="center"/>
    </w:pPr>
    <w:rPr>
      <w:sz w:val="22"/>
      <w:szCs w:val="22"/>
    </w:rPr>
  </w:style>
  <w:style w:type="paragraph" w:customStyle="1" w:styleId="affiliation">
    <w:name w:val="affiliation"/>
    <w:basedOn w:val="Normal"/>
    <w:pPr>
      <w:spacing w:before="100" w:beforeAutospacing="1" w:after="300"/>
      <w:jc w:val="center"/>
    </w:pPr>
    <w:rPr>
      <w:sz w:val="18"/>
      <w:szCs w:val="18"/>
    </w:rPr>
  </w:style>
  <w:style w:type="paragraph" w:customStyle="1" w:styleId="abstract-box">
    <w:name w:val="abstract-box"/>
    <w:basedOn w:val="Normal"/>
    <w:pPr>
      <w:pBdr>
        <w:top w:val="single" w:sz="12" w:space="11" w:color="000000"/>
        <w:left w:val="single" w:sz="12" w:space="11" w:color="000000"/>
        <w:bottom w:val="single" w:sz="12" w:space="11" w:color="000000"/>
        <w:right w:val="single" w:sz="12" w:space="11" w:color="000000"/>
      </w:pBdr>
      <w:shd w:val="clear" w:color="auto" w:fill="F9F9F9"/>
      <w:spacing w:before="100" w:beforeAutospacing="1" w:after="300"/>
    </w:pPr>
  </w:style>
  <w:style w:type="paragraph" w:customStyle="1" w:styleId="abstract-title">
    <w:name w:val="abstract-title"/>
    <w:basedOn w:val="Normal"/>
    <w:pPr>
      <w:spacing w:before="100" w:beforeAutospacing="1" w:after="150"/>
    </w:pPr>
    <w:rPr>
      <w:b/>
      <w:bCs/>
      <w:caps/>
      <w:sz w:val="22"/>
      <w:szCs w:val="22"/>
    </w:rPr>
  </w:style>
  <w:style w:type="paragraph" w:customStyle="1" w:styleId="abstract-section">
    <w:name w:val="abstract-section"/>
    <w:basedOn w:val="Normal"/>
    <w:pPr>
      <w:spacing w:before="100" w:beforeAutospacing="1" w:after="120"/>
      <w:jc w:val="both"/>
    </w:pPr>
  </w:style>
  <w:style w:type="paragraph" w:customStyle="1" w:styleId="abstract-label">
    <w:name w:val="abstract-label"/>
    <w:basedOn w:val="Normal"/>
    <w:pPr>
      <w:spacing w:before="100" w:beforeAutospacing="1" w:after="100" w:afterAutospacing="1"/>
    </w:pPr>
    <w:rPr>
      <w:b/>
      <w:bCs/>
    </w:rPr>
  </w:style>
  <w:style w:type="paragraph" w:customStyle="1" w:styleId="keywords">
    <w:name w:val="keywords"/>
    <w:basedOn w:val="Normal"/>
    <w:pPr>
      <w:spacing w:before="150" w:after="100" w:afterAutospacing="1"/>
      <w:jc w:val="both"/>
    </w:pPr>
    <w:rPr>
      <w:i/>
      <w:iCs/>
    </w:rPr>
  </w:style>
  <w:style w:type="paragraph" w:customStyle="1" w:styleId="two-column">
    <w:name w:val="two-column"/>
    <w:basedOn w:val="Normal"/>
    <w:pPr>
      <w:spacing w:before="100" w:beforeAutospacing="1" w:after="100" w:afterAutospacing="1"/>
      <w:jc w:val="both"/>
    </w:pPr>
  </w:style>
  <w:style w:type="paragraph" w:customStyle="1" w:styleId="section-title">
    <w:name w:val="section-title"/>
    <w:basedOn w:val="Normal"/>
    <w:pPr>
      <w:spacing w:before="225" w:after="120"/>
    </w:pPr>
    <w:rPr>
      <w:b/>
      <w:bCs/>
      <w:caps/>
      <w:sz w:val="22"/>
      <w:szCs w:val="22"/>
    </w:rPr>
  </w:style>
  <w:style w:type="paragraph" w:customStyle="1" w:styleId="subsection-title">
    <w:name w:val="subsection-title"/>
    <w:basedOn w:val="Normal"/>
    <w:pPr>
      <w:spacing w:before="180" w:after="90"/>
    </w:pPr>
    <w:rPr>
      <w:b/>
      <w:bCs/>
      <w:sz w:val="20"/>
      <w:szCs w:val="20"/>
    </w:rPr>
  </w:style>
  <w:style w:type="paragraph" w:customStyle="1" w:styleId="sub-subsection-title">
    <w:name w:val="sub-subsection-title"/>
    <w:basedOn w:val="Normal"/>
    <w:pPr>
      <w:spacing w:before="150" w:after="90"/>
    </w:pPr>
    <w:rPr>
      <w:b/>
      <w:bCs/>
      <w:sz w:val="20"/>
      <w:szCs w:val="20"/>
      <w:u w:val="single"/>
    </w:rPr>
  </w:style>
  <w:style w:type="paragraph" w:customStyle="1" w:styleId="table-title">
    <w:name w:val="table-title"/>
    <w:basedOn w:val="Normal"/>
    <w:pPr>
      <w:spacing w:before="180" w:after="75"/>
    </w:pPr>
    <w:rPr>
      <w:b/>
      <w:bCs/>
      <w:sz w:val="20"/>
      <w:szCs w:val="20"/>
    </w:rPr>
  </w:style>
  <w:style w:type="paragraph" w:customStyle="1" w:styleId="table-note">
    <w:name w:val="table-note"/>
    <w:basedOn w:val="Normal"/>
    <w:pPr>
      <w:spacing w:before="75" w:after="150"/>
    </w:pPr>
    <w:rPr>
      <w:i/>
      <w:iCs/>
      <w:sz w:val="16"/>
      <w:szCs w:val="16"/>
    </w:rPr>
  </w:style>
  <w:style w:type="paragraph" w:customStyle="1" w:styleId="equation">
    <w:name w:val="equation"/>
    <w:basedOn w:val="Normal"/>
    <w:pPr>
      <w:spacing w:before="180" w:after="180"/>
      <w:jc w:val="center"/>
    </w:pPr>
    <w:rPr>
      <w:i/>
      <w:iCs/>
    </w:rPr>
  </w:style>
  <w:style w:type="paragraph" w:customStyle="1" w:styleId="reference">
    <w:name w:val="reference"/>
    <w:basedOn w:val="Normal"/>
    <w:pPr>
      <w:spacing w:before="100" w:beforeAutospacing="1" w:after="90"/>
      <w:ind w:hanging="300"/>
    </w:pPr>
    <w:rPr>
      <w:sz w:val="18"/>
      <w:szCs w:val="18"/>
    </w:rPr>
  </w:style>
  <w:style w:type="character" w:customStyle="1" w:styleId="abstract-label1">
    <w:name w:val="abstract-label1"/>
    <w:basedOn w:val="DefaultParagraphFont"/>
    <w:rPr>
      <w:b/>
      <w:bCs/>
    </w:rPr>
  </w:style>
  <w:style w:type="character" w:styleId="Strong">
    <w:name w:val="Strong"/>
    <w:basedOn w:val="DefaultParagraphFont"/>
    <w:uiPriority w:val="22"/>
    <w:qFormat/>
    <w:rPr>
      <w:b/>
      <w:bCs/>
    </w:rPr>
  </w:style>
  <w:style w:type="character" w:styleId="Hyperlink">
    <w:name w:val="Hyperlink"/>
    <w:basedOn w:val="DefaultParagraphFont"/>
    <w:uiPriority w:val="99"/>
    <w:unhideWhenUsed/>
    <w:rsid w:val="0037114F"/>
    <w:rPr>
      <w:color w:val="467886" w:themeColor="hyperlink"/>
      <w:u w:val="single"/>
    </w:rPr>
  </w:style>
  <w:style w:type="character" w:styleId="UnresolvedMention">
    <w:name w:val="Unresolved Mention"/>
    <w:basedOn w:val="DefaultParagraphFont"/>
    <w:uiPriority w:val="99"/>
    <w:semiHidden/>
    <w:unhideWhenUsed/>
    <w:rsid w:val="0037114F"/>
    <w:rPr>
      <w:color w:val="605E5C"/>
      <w:shd w:val="clear" w:color="auto" w:fill="E1DFDD"/>
    </w:rPr>
  </w:style>
  <w:style w:type="character" w:styleId="FollowedHyperlink">
    <w:name w:val="FollowedHyperlink"/>
    <w:basedOn w:val="DefaultParagraphFont"/>
    <w:uiPriority w:val="99"/>
    <w:semiHidden/>
    <w:unhideWhenUsed/>
    <w:rsid w:val="0037114F"/>
    <w:rPr>
      <w:color w:val="96607D" w:themeColor="followedHyperlink"/>
      <w:u w:val="single"/>
    </w:rPr>
  </w:style>
  <w:style w:type="paragraph" w:styleId="Header">
    <w:name w:val="header"/>
    <w:basedOn w:val="Normal"/>
    <w:link w:val="HeaderChar"/>
    <w:uiPriority w:val="99"/>
    <w:unhideWhenUsed/>
    <w:rsid w:val="008B32D3"/>
    <w:pPr>
      <w:tabs>
        <w:tab w:val="center" w:pos="4680"/>
        <w:tab w:val="right" w:pos="9360"/>
      </w:tabs>
    </w:pPr>
  </w:style>
  <w:style w:type="character" w:customStyle="1" w:styleId="HeaderChar">
    <w:name w:val="Header Char"/>
    <w:basedOn w:val="DefaultParagraphFont"/>
    <w:link w:val="Header"/>
    <w:uiPriority w:val="99"/>
    <w:rsid w:val="008B32D3"/>
    <w:rPr>
      <w:rFonts w:eastAsiaTheme="minorEastAsia"/>
      <w:sz w:val="24"/>
      <w:szCs w:val="24"/>
    </w:rPr>
  </w:style>
  <w:style w:type="paragraph" w:styleId="Footer">
    <w:name w:val="footer"/>
    <w:basedOn w:val="Normal"/>
    <w:link w:val="FooterChar"/>
    <w:uiPriority w:val="99"/>
    <w:unhideWhenUsed/>
    <w:rsid w:val="008B32D3"/>
    <w:pPr>
      <w:tabs>
        <w:tab w:val="center" w:pos="4680"/>
        <w:tab w:val="right" w:pos="9360"/>
      </w:tabs>
    </w:pPr>
  </w:style>
  <w:style w:type="character" w:customStyle="1" w:styleId="FooterChar">
    <w:name w:val="Footer Char"/>
    <w:basedOn w:val="DefaultParagraphFont"/>
    <w:link w:val="Footer"/>
    <w:uiPriority w:val="99"/>
    <w:rsid w:val="008B32D3"/>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196718">
      <w:marLeft w:val="0"/>
      <w:marRight w:val="0"/>
      <w:marTop w:val="0"/>
      <w:marBottom w:val="0"/>
      <w:divBdr>
        <w:top w:val="none" w:sz="0" w:space="0" w:color="auto"/>
        <w:left w:val="none" w:sz="0" w:space="0" w:color="auto"/>
        <w:bottom w:val="none" w:sz="0" w:space="0" w:color="auto"/>
        <w:right w:val="none" w:sz="0" w:space="0" w:color="auto"/>
      </w:divBdr>
      <w:divsChild>
        <w:div w:id="1884557234">
          <w:marLeft w:val="0"/>
          <w:marRight w:val="0"/>
          <w:marTop w:val="180"/>
          <w:marBottom w:val="75"/>
          <w:divBdr>
            <w:top w:val="none" w:sz="0" w:space="0" w:color="auto"/>
            <w:left w:val="none" w:sz="0" w:space="0" w:color="auto"/>
            <w:bottom w:val="none" w:sz="0" w:space="0" w:color="auto"/>
            <w:right w:val="none" w:sz="0" w:space="0" w:color="auto"/>
          </w:divBdr>
        </w:div>
        <w:div w:id="1397820470">
          <w:marLeft w:val="0"/>
          <w:marRight w:val="0"/>
          <w:marTop w:val="75"/>
          <w:marBottom w:val="150"/>
          <w:divBdr>
            <w:top w:val="none" w:sz="0" w:space="0" w:color="auto"/>
            <w:left w:val="none" w:sz="0" w:space="0" w:color="auto"/>
            <w:bottom w:val="none" w:sz="0" w:space="0" w:color="auto"/>
            <w:right w:val="none" w:sz="0" w:space="0" w:color="auto"/>
          </w:divBdr>
        </w:div>
      </w:divsChild>
    </w:div>
    <w:div w:id="222715359">
      <w:marLeft w:val="0"/>
      <w:marRight w:val="0"/>
      <w:marTop w:val="0"/>
      <w:marBottom w:val="300"/>
      <w:divBdr>
        <w:top w:val="single" w:sz="12" w:space="11" w:color="000000"/>
        <w:left w:val="single" w:sz="12" w:space="11" w:color="000000"/>
        <w:bottom w:val="single" w:sz="12" w:space="11" w:color="000000"/>
        <w:right w:val="single" w:sz="12" w:space="11" w:color="000000"/>
      </w:divBdr>
      <w:divsChild>
        <w:div w:id="1479225612">
          <w:marLeft w:val="0"/>
          <w:marRight w:val="0"/>
          <w:marTop w:val="0"/>
          <w:marBottom w:val="150"/>
          <w:divBdr>
            <w:top w:val="none" w:sz="0" w:space="0" w:color="auto"/>
            <w:left w:val="none" w:sz="0" w:space="0" w:color="auto"/>
            <w:bottom w:val="none" w:sz="0" w:space="0" w:color="auto"/>
            <w:right w:val="none" w:sz="0" w:space="0" w:color="auto"/>
          </w:divBdr>
        </w:div>
        <w:div w:id="830217286">
          <w:marLeft w:val="0"/>
          <w:marRight w:val="0"/>
          <w:marTop w:val="0"/>
          <w:marBottom w:val="120"/>
          <w:divBdr>
            <w:top w:val="none" w:sz="0" w:space="0" w:color="auto"/>
            <w:left w:val="none" w:sz="0" w:space="0" w:color="auto"/>
            <w:bottom w:val="none" w:sz="0" w:space="0" w:color="auto"/>
            <w:right w:val="none" w:sz="0" w:space="0" w:color="auto"/>
          </w:divBdr>
        </w:div>
        <w:div w:id="814756151">
          <w:marLeft w:val="0"/>
          <w:marRight w:val="0"/>
          <w:marTop w:val="0"/>
          <w:marBottom w:val="120"/>
          <w:divBdr>
            <w:top w:val="none" w:sz="0" w:space="0" w:color="auto"/>
            <w:left w:val="none" w:sz="0" w:space="0" w:color="auto"/>
            <w:bottom w:val="none" w:sz="0" w:space="0" w:color="auto"/>
            <w:right w:val="none" w:sz="0" w:space="0" w:color="auto"/>
          </w:divBdr>
        </w:div>
        <w:div w:id="580023936">
          <w:marLeft w:val="0"/>
          <w:marRight w:val="0"/>
          <w:marTop w:val="0"/>
          <w:marBottom w:val="120"/>
          <w:divBdr>
            <w:top w:val="none" w:sz="0" w:space="0" w:color="auto"/>
            <w:left w:val="none" w:sz="0" w:space="0" w:color="auto"/>
            <w:bottom w:val="none" w:sz="0" w:space="0" w:color="auto"/>
            <w:right w:val="none" w:sz="0" w:space="0" w:color="auto"/>
          </w:divBdr>
        </w:div>
        <w:div w:id="912277968">
          <w:marLeft w:val="0"/>
          <w:marRight w:val="0"/>
          <w:marTop w:val="0"/>
          <w:marBottom w:val="120"/>
          <w:divBdr>
            <w:top w:val="none" w:sz="0" w:space="0" w:color="auto"/>
            <w:left w:val="none" w:sz="0" w:space="0" w:color="auto"/>
            <w:bottom w:val="none" w:sz="0" w:space="0" w:color="auto"/>
            <w:right w:val="none" w:sz="0" w:space="0" w:color="auto"/>
          </w:divBdr>
        </w:div>
        <w:div w:id="1997030610">
          <w:marLeft w:val="0"/>
          <w:marRight w:val="0"/>
          <w:marTop w:val="0"/>
          <w:marBottom w:val="120"/>
          <w:divBdr>
            <w:top w:val="none" w:sz="0" w:space="0" w:color="auto"/>
            <w:left w:val="none" w:sz="0" w:space="0" w:color="auto"/>
            <w:bottom w:val="none" w:sz="0" w:space="0" w:color="auto"/>
            <w:right w:val="none" w:sz="0" w:space="0" w:color="auto"/>
          </w:divBdr>
        </w:div>
        <w:div w:id="1114401014">
          <w:marLeft w:val="0"/>
          <w:marRight w:val="0"/>
          <w:marTop w:val="0"/>
          <w:marBottom w:val="120"/>
          <w:divBdr>
            <w:top w:val="none" w:sz="0" w:space="0" w:color="auto"/>
            <w:left w:val="none" w:sz="0" w:space="0" w:color="auto"/>
            <w:bottom w:val="none" w:sz="0" w:space="0" w:color="auto"/>
            <w:right w:val="none" w:sz="0" w:space="0" w:color="auto"/>
          </w:divBdr>
        </w:div>
        <w:div w:id="1396590314">
          <w:marLeft w:val="0"/>
          <w:marRight w:val="0"/>
          <w:marTop w:val="150"/>
          <w:marBottom w:val="0"/>
          <w:divBdr>
            <w:top w:val="none" w:sz="0" w:space="0" w:color="auto"/>
            <w:left w:val="none" w:sz="0" w:space="0" w:color="auto"/>
            <w:bottom w:val="none" w:sz="0" w:space="0" w:color="auto"/>
            <w:right w:val="none" w:sz="0" w:space="0" w:color="auto"/>
          </w:divBdr>
        </w:div>
      </w:divsChild>
    </w:div>
    <w:div w:id="224143311">
      <w:marLeft w:val="0"/>
      <w:marRight w:val="0"/>
      <w:marTop w:val="180"/>
      <w:marBottom w:val="90"/>
      <w:divBdr>
        <w:top w:val="none" w:sz="0" w:space="0" w:color="auto"/>
        <w:left w:val="none" w:sz="0" w:space="0" w:color="auto"/>
        <w:bottom w:val="none" w:sz="0" w:space="0" w:color="auto"/>
        <w:right w:val="none" w:sz="0" w:space="0" w:color="auto"/>
      </w:divBdr>
    </w:div>
    <w:div w:id="263997985">
      <w:marLeft w:val="0"/>
      <w:marRight w:val="0"/>
      <w:marTop w:val="225"/>
      <w:marBottom w:val="120"/>
      <w:divBdr>
        <w:top w:val="none" w:sz="0" w:space="0" w:color="auto"/>
        <w:left w:val="none" w:sz="0" w:space="0" w:color="auto"/>
        <w:bottom w:val="none" w:sz="0" w:space="0" w:color="auto"/>
        <w:right w:val="none" w:sz="0" w:space="0" w:color="auto"/>
      </w:divBdr>
    </w:div>
    <w:div w:id="472600874">
      <w:marLeft w:val="0"/>
      <w:marRight w:val="0"/>
      <w:marTop w:val="180"/>
      <w:marBottom w:val="90"/>
      <w:divBdr>
        <w:top w:val="none" w:sz="0" w:space="0" w:color="auto"/>
        <w:left w:val="none" w:sz="0" w:space="0" w:color="auto"/>
        <w:bottom w:val="none" w:sz="0" w:space="0" w:color="auto"/>
        <w:right w:val="none" w:sz="0" w:space="0" w:color="auto"/>
      </w:divBdr>
    </w:div>
    <w:div w:id="608005693">
      <w:marLeft w:val="0"/>
      <w:marRight w:val="0"/>
      <w:marTop w:val="0"/>
      <w:marBottom w:val="0"/>
      <w:divBdr>
        <w:top w:val="none" w:sz="0" w:space="0" w:color="auto"/>
        <w:left w:val="none" w:sz="0" w:space="0" w:color="auto"/>
        <w:bottom w:val="none" w:sz="0" w:space="0" w:color="auto"/>
        <w:right w:val="none" w:sz="0" w:space="0" w:color="auto"/>
      </w:divBdr>
      <w:divsChild>
        <w:div w:id="1218861686">
          <w:marLeft w:val="0"/>
          <w:marRight w:val="0"/>
          <w:marTop w:val="225"/>
          <w:marBottom w:val="120"/>
          <w:divBdr>
            <w:top w:val="none" w:sz="0" w:space="0" w:color="auto"/>
            <w:left w:val="none" w:sz="0" w:space="0" w:color="auto"/>
            <w:bottom w:val="none" w:sz="0" w:space="0" w:color="auto"/>
            <w:right w:val="none" w:sz="0" w:space="0" w:color="auto"/>
          </w:divBdr>
        </w:div>
        <w:div w:id="166680295">
          <w:marLeft w:val="0"/>
          <w:marRight w:val="0"/>
          <w:marTop w:val="0"/>
          <w:marBottom w:val="90"/>
          <w:divBdr>
            <w:top w:val="none" w:sz="0" w:space="0" w:color="auto"/>
            <w:left w:val="none" w:sz="0" w:space="0" w:color="auto"/>
            <w:bottom w:val="none" w:sz="0" w:space="0" w:color="auto"/>
            <w:right w:val="none" w:sz="0" w:space="0" w:color="auto"/>
          </w:divBdr>
        </w:div>
        <w:div w:id="1854807490">
          <w:marLeft w:val="0"/>
          <w:marRight w:val="0"/>
          <w:marTop w:val="0"/>
          <w:marBottom w:val="90"/>
          <w:divBdr>
            <w:top w:val="none" w:sz="0" w:space="0" w:color="auto"/>
            <w:left w:val="none" w:sz="0" w:space="0" w:color="auto"/>
            <w:bottom w:val="none" w:sz="0" w:space="0" w:color="auto"/>
            <w:right w:val="none" w:sz="0" w:space="0" w:color="auto"/>
          </w:divBdr>
        </w:div>
        <w:div w:id="784153291">
          <w:marLeft w:val="0"/>
          <w:marRight w:val="0"/>
          <w:marTop w:val="0"/>
          <w:marBottom w:val="90"/>
          <w:divBdr>
            <w:top w:val="none" w:sz="0" w:space="0" w:color="auto"/>
            <w:left w:val="none" w:sz="0" w:space="0" w:color="auto"/>
            <w:bottom w:val="none" w:sz="0" w:space="0" w:color="auto"/>
            <w:right w:val="none" w:sz="0" w:space="0" w:color="auto"/>
          </w:divBdr>
        </w:div>
        <w:div w:id="550505435">
          <w:marLeft w:val="0"/>
          <w:marRight w:val="0"/>
          <w:marTop w:val="0"/>
          <w:marBottom w:val="90"/>
          <w:divBdr>
            <w:top w:val="none" w:sz="0" w:space="0" w:color="auto"/>
            <w:left w:val="none" w:sz="0" w:space="0" w:color="auto"/>
            <w:bottom w:val="none" w:sz="0" w:space="0" w:color="auto"/>
            <w:right w:val="none" w:sz="0" w:space="0" w:color="auto"/>
          </w:divBdr>
        </w:div>
        <w:div w:id="1769888052">
          <w:marLeft w:val="0"/>
          <w:marRight w:val="0"/>
          <w:marTop w:val="0"/>
          <w:marBottom w:val="90"/>
          <w:divBdr>
            <w:top w:val="none" w:sz="0" w:space="0" w:color="auto"/>
            <w:left w:val="none" w:sz="0" w:space="0" w:color="auto"/>
            <w:bottom w:val="none" w:sz="0" w:space="0" w:color="auto"/>
            <w:right w:val="none" w:sz="0" w:space="0" w:color="auto"/>
          </w:divBdr>
        </w:div>
        <w:div w:id="1060133405">
          <w:marLeft w:val="0"/>
          <w:marRight w:val="0"/>
          <w:marTop w:val="0"/>
          <w:marBottom w:val="90"/>
          <w:divBdr>
            <w:top w:val="none" w:sz="0" w:space="0" w:color="auto"/>
            <w:left w:val="none" w:sz="0" w:space="0" w:color="auto"/>
            <w:bottom w:val="none" w:sz="0" w:space="0" w:color="auto"/>
            <w:right w:val="none" w:sz="0" w:space="0" w:color="auto"/>
          </w:divBdr>
        </w:div>
        <w:div w:id="494301521">
          <w:marLeft w:val="0"/>
          <w:marRight w:val="0"/>
          <w:marTop w:val="0"/>
          <w:marBottom w:val="90"/>
          <w:divBdr>
            <w:top w:val="none" w:sz="0" w:space="0" w:color="auto"/>
            <w:left w:val="none" w:sz="0" w:space="0" w:color="auto"/>
            <w:bottom w:val="none" w:sz="0" w:space="0" w:color="auto"/>
            <w:right w:val="none" w:sz="0" w:space="0" w:color="auto"/>
          </w:divBdr>
        </w:div>
        <w:div w:id="1469277116">
          <w:marLeft w:val="0"/>
          <w:marRight w:val="0"/>
          <w:marTop w:val="0"/>
          <w:marBottom w:val="90"/>
          <w:divBdr>
            <w:top w:val="none" w:sz="0" w:space="0" w:color="auto"/>
            <w:left w:val="none" w:sz="0" w:space="0" w:color="auto"/>
            <w:bottom w:val="none" w:sz="0" w:space="0" w:color="auto"/>
            <w:right w:val="none" w:sz="0" w:space="0" w:color="auto"/>
          </w:divBdr>
        </w:div>
        <w:div w:id="1196188863">
          <w:marLeft w:val="0"/>
          <w:marRight w:val="0"/>
          <w:marTop w:val="0"/>
          <w:marBottom w:val="90"/>
          <w:divBdr>
            <w:top w:val="none" w:sz="0" w:space="0" w:color="auto"/>
            <w:left w:val="none" w:sz="0" w:space="0" w:color="auto"/>
            <w:bottom w:val="none" w:sz="0" w:space="0" w:color="auto"/>
            <w:right w:val="none" w:sz="0" w:space="0" w:color="auto"/>
          </w:divBdr>
        </w:div>
        <w:div w:id="251205150">
          <w:marLeft w:val="0"/>
          <w:marRight w:val="0"/>
          <w:marTop w:val="0"/>
          <w:marBottom w:val="90"/>
          <w:divBdr>
            <w:top w:val="none" w:sz="0" w:space="0" w:color="auto"/>
            <w:left w:val="none" w:sz="0" w:space="0" w:color="auto"/>
            <w:bottom w:val="none" w:sz="0" w:space="0" w:color="auto"/>
            <w:right w:val="none" w:sz="0" w:space="0" w:color="auto"/>
          </w:divBdr>
        </w:div>
        <w:div w:id="304816408">
          <w:marLeft w:val="0"/>
          <w:marRight w:val="0"/>
          <w:marTop w:val="0"/>
          <w:marBottom w:val="90"/>
          <w:divBdr>
            <w:top w:val="none" w:sz="0" w:space="0" w:color="auto"/>
            <w:left w:val="none" w:sz="0" w:space="0" w:color="auto"/>
            <w:bottom w:val="none" w:sz="0" w:space="0" w:color="auto"/>
            <w:right w:val="none" w:sz="0" w:space="0" w:color="auto"/>
          </w:divBdr>
        </w:div>
        <w:div w:id="813065944">
          <w:marLeft w:val="0"/>
          <w:marRight w:val="0"/>
          <w:marTop w:val="0"/>
          <w:marBottom w:val="90"/>
          <w:divBdr>
            <w:top w:val="none" w:sz="0" w:space="0" w:color="auto"/>
            <w:left w:val="none" w:sz="0" w:space="0" w:color="auto"/>
            <w:bottom w:val="none" w:sz="0" w:space="0" w:color="auto"/>
            <w:right w:val="none" w:sz="0" w:space="0" w:color="auto"/>
          </w:divBdr>
        </w:div>
        <w:div w:id="171343282">
          <w:marLeft w:val="0"/>
          <w:marRight w:val="0"/>
          <w:marTop w:val="0"/>
          <w:marBottom w:val="90"/>
          <w:divBdr>
            <w:top w:val="none" w:sz="0" w:space="0" w:color="auto"/>
            <w:left w:val="none" w:sz="0" w:space="0" w:color="auto"/>
            <w:bottom w:val="none" w:sz="0" w:space="0" w:color="auto"/>
            <w:right w:val="none" w:sz="0" w:space="0" w:color="auto"/>
          </w:divBdr>
        </w:div>
        <w:div w:id="1094783500">
          <w:marLeft w:val="0"/>
          <w:marRight w:val="0"/>
          <w:marTop w:val="0"/>
          <w:marBottom w:val="90"/>
          <w:divBdr>
            <w:top w:val="none" w:sz="0" w:space="0" w:color="auto"/>
            <w:left w:val="none" w:sz="0" w:space="0" w:color="auto"/>
            <w:bottom w:val="none" w:sz="0" w:space="0" w:color="auto"/>
            <w:right w:val="none" w:sz="0" w:space="0" w:color="auto"/>
          </w:divBdr>
        </w:div>
        <w:div w:id="1965236796">
          <w:marLeft w:val="0"/>
          <w:marRight w:val="0"/>
          <w:marTop w:val="0"/>
          <w:marBottom w:val="90"/>
          <w:divBdr>
            <w:top w:val="none" w:sz="0" w:space="0" w:color="auto"/>
            <w:left w:val="none" w:sz="0" w:space="0" w:color="auto"/>
            <w:bottom w:val="none" w:sz="0" w:space="0" w:color="auto"/>
            <w:right w:val="none" w:sz="0" w:space="0" w:color="auto"/>
          </w:divBdr>
        </w:div>
        <w:div w:id="1877155843">
          <w:marLeft w:val="0"/>
          <w:marRight w:val="0"/>
          <w:marTop w:val="0"/>
          <w:marBottom w:val="90"/>
          <w:divBdr>
            <w:top w:val="none" w:sz="0" w:space="0" w:color="auto"/>
            <w:left w:val="none" w:sz="0" w:space="0" w:color="auto"/>
            <w:bottom w:val="none" w:sz="0" w:space="0" w:color="auto"/>
            <w:right w:val="none" w:sz="0" w:space="0" w:color="auto"/>
          </w:divBdr>
        </w:div>
        <w:div w:id="529805629">
          <w:marLeft w:val="0"/>
          <w:marRight w:val="0"/>
          <w:marTop w:val="0"/>
          <w:marBottom w:val="90"/>
          <w:divBdr>
            <w:top w:val="none" w:sz="0" w:space="0" w:color="auto"/>
            <w:left w:val="none" w:sz="0" w:space="0" w:color="auto"/>
            <w:bottom w:val="none" w:sz="0" w:space="0" w:color="auto"/>
            <w:right w:val="none" w:sz="0" w:space="0" w:color="auto"/>
          </w:divBdr>
        </w:div>
        <w:div w:id="166098573">
          <w:marLeft w:val="0"/>
          <w:marRight w:val="0"/>
          <w:marTop w:val="0"/>
          <w:marBottom w:val="90"/>
          <w:divBdr>
            <w:top w:val="none" w:sz="0" w:space="0" w:color="auto"/>
            <w:left w:val="none" w:sz="0" w:space="0" w:color="auto"/>
            <w:bottom w:val="none" w:sz="0" w:space="0" w:color="auto"/>
            <w:right w:val="none" w:sz="0" w:space="0" w:color="auto"/>
          </w:divBdr>
        </w:div>
      </w:divsChild>
    </w:div>
    <w:div w:id="732050455">
      <w:marLeft w:val="0"/>
      <w:marRight w:val="0"/>
      <w:marTop w:val="225"/>
      <w:marBottom w:val="120"/>
      <w:divBdr>
        <w:top w:val="none" w:sz="0" w:space="0" w:color="auto"/>
        <w:left w:val="none" w:sz="0" w:space="0" w:color="auto"/>
        <w:bottom w:val="none" w:sz="0" w:space="0" w:color="auto"/>
        <w:right w:val="none" w:sz="0" w:space="0" w:color="auto"/>
      </w:divBdr>
    </w:div>
    <w:div w:id="737362861">
      <w:marLeft w:val="0"/>
      <w:marRight w:val="0"/>
      <w:marTop w:val="225"/>
      <w:marBottom w:val="120"/>
      <w:divBdr>
        <w:top w:val="none" w:sz="0" w:space="0" w:color="auto"/>
        <w:left w:val="none" w:sz="0" w:space="0" w:color="auto"/>
        <w:bottom w:val="none" w:sz="0" w:space="0" w:color="auto"/>
        <w:right w:val="none" w:sz="0" w:space="0" w:color="auto"/>
      </w:divBdr>
    </w:div>
    <w:div w:id="763771878">
      <w:marLeft w:val="0"/>
      <w:marRight w:val="0"/>
      <w:marTop w:val="180"/>
      <w:marBottom w:val="90"/>
      <w:divBdr>
        <w:top w:val="none" w:sz="0" w:space="0" w:color="auto"/>
        <w:left w:val="none" w:sz="0" w:space="0" w:color="auto"/>
        <w:bottom w:val="none" w:sz="0" w:space="0" w:color="auto"/>
        <w:right w:val="none" w:sz="0" w:space="0" w:color="auto"/>
      </w:divBdr>
    </w:div>
    <w:div w:id="881020961">
      <w:marLeft w:val="0"/>
      <w:marRight w:val="0"/>
      <w:marTop w:val="225"/>
      <w:marBottom w:val="120"/>
      <w:divBdr>
        <w:top w:val="none" w:sz="0" w:space="0" w:color="auto"/>
        <w:left w:val="none" w:sz="0" w:space="0" w:color="auto"/>
        <w:bottom w:val="none" w:sz="0" w:space="0" w:color="auto"/>
        <w:right w:val="none" w:sz="0" w:space="0" w:color="auto"/>
      </w:divBdr>
    </w:div>
    <w:div w:id="966811935">
      <w:marLeft w:val="0"/>
      <w:marRight w:val="0"/>
      <w:marTop w:val="0"/>
      <w:marBottom w:val="0"/>
      <w:divBdr>
        <w:top w:val="none" w:sz="0" w:space="0" w:color="auto"/>
        <w:left w:val="none" w:sz="0" w:space="0" w:color="auto"/>
        <w:bottom w:val="none" w:sz="0" w:space="0" w:color="auto"/>
        <w:right w:val="none" w:sz="0" w:space="0" w:color="auto"/>
      </w:divBdr>
      <w:divsChild>
        <w:div w:id="707798844">
          <w:marLeft w:val="0"/>
          <w:marRight w:val="0"/>
          <w:marTop w:val="180"/>
          <w:marBottom w:val="75"/>
          <w:divBdr>
            <w:top w:val="none" w:sz="0" w:space="0" w:color="auto"/>
            <w:left w:val="none" w:sz="0" w:space="0" w:color="auto"/>
            <w:bottom w:val="none" w:sz="0" w:space="0" w:color="auto"/>
            <w:right w:val="none" w:sz="0" w:space="0" w:color="auto"/>
          </w:divBdr>
        </w:div>
        <w:div w:id="1575237601">
          <w:marLeft w:val="0"/>
          <w:marRight w:val="0"/>
          <w:marTop w:val="75"/>
          <w:marBottom w:val="150"/>
          <w:divBdr>
            <w:top w:val="none" w:sz="0" w:space="0" w:color="auto"/>
            <w:left w:val="none" w:sz="0" w:space="0" w:color="auto"/>
            <w:bottom w:val="none" w:sz="0" w:space="0" w:color="auto"/>
            <w:right w:val="none" w:sz="0" w:space="0" w:color="auto"/>
          </w:divBdr>
        </w:div>
      </w:divsChild>
    </w:div>
    <w:div w:id="1006202890">
      <w:marLeft w:val="0"/>
      <w:marRight w:val="0"/>
      <w:marTop w:val="0"/>
      <w:marBottom w:val="300"/>
      <w:divBdr>
        <w:top w:val="none" w:sz="0" w:space="0" w:color="auto"/>
        <w:left w:val="none" w:sz="0" w:space="0" w:color="auto"/>
        <w:bottom w:val="none" w:sz="0" w:space="0" w:color="auto"/>
        <w:right w:val="none" w:sz="0" w:space="0" w:color="auto"/>
      </w:divBdr>
    </w:div>
    <w:div w:id="1158227880">
      <w:marLeft w:val="0"/>
      <w:marRight w:val="0"/>
      <w:marTop w:val="180"/>
      <w:marBottom w:val="90"/>
      <w:divBdr>
        <w:top w:val="none" w:sz="0" w:space="0" w:color="auto"/>
        <w:left w:val="none" w:sz="0" w:space="0" w:color="auto"/>
        <w:bottom w:val="none" w:sz="0" w:space="0" w:color="auto"/>
        <w:right w:val="none" w:sz="0" w:space="0" w:color="auto"/>
      </w:divBdr>
    </w:div>
    <w:div w:id="1223637107">
      <w:marLeft w:val="0"/>
      <w:marRight w:val="0"/>
      <w:marTop w:val="225"/>
      <w:marBottom w:val="120"/>
      <w:divBdr>
        <w:top w:val="none" w:sz="0" w:space="0" w:color="auto"/>
        <w:left w:val="none" w:sz="0" w:space="0" w:color="auto"/>
        <w:bottom w:val="none" w:sz="0" w:space="0" w:color="auto"/>
        <w:right w:val="none" w:sz="0" w:space="0" w:color="auto"/>
      </w:divBdr>
    </w:div>
    <w:div w:id="1434126591">
      <w:marLeft w:val="0"/>
      <w:marRight w:val="0"/>
      <w:marTop w:val="150"/>
      <w:marBottom w:val="90"/>
      <w:divBdr>
        <w:top w:val="none" w:sz="0" w:space="0" w:color="auto"/>
        <w:left w:val="none" w:sz="0" w:space="0" w:color="auto"/>
        <w:bottom w:val="none" w:sz="0" w:space="0" w:color="auto"/>
        <w:right w:val="none" w:sz="0" w:space="0" w:color="auto"/>
      </w:divBdr>
    </w:div>
    <w:div w:id="1479610383">
      <w:marLeft w:val="0"/>
      <w:marRight w:val="0"/>
      <w:marTop w:val="225"/>
      <w:marBottom w:val="120"/>
      <w:divBdr>
        <w:top w:val="none" w:sz="0" w:space="0" w:color="auto"/>
        <w:left w:val="none" w:sz="0" w:space="0" w:color="auto"/>
        <w:bottom w:val="none" w:sz="0" w:space="0" w:color="auto"/>
        <w:right w:val="none" w:sz="0" w:space="0" w:color="auto"/>
      </w:divBdr>
    </w:div>
    <w:div w:id="1503471756">
      <w:marLeft w:val="0"/>
      <w:marRight w:val="0"/>
      <w:marTop w:val="180"/>
      <w:marBottom w:val="180"/>
      <w:divBdr>
        <w:top w:val="none" w:sz="0" w:space="0" w:color="auto"/>
        <w:left w:val="none" w:sz="0" w:space="0" w:color="auto"/>
        <w:bottom w:val="none" w:sz="0" w:space="0" w:color="auto"/>
        <w:right w:val="none" w:sz="0" w:space="0" w:color="auto"/>
      </w:divBdr>
    </w:div>
    <w:div w:id="1674258730">
      <w:marLeft w:val="0"/>
      <w:marRight w:val="0"/>
      <w:marTop w:val="180"/>
      <w:marBottom w:val="180"/>
      <w:divBdr>
        <w:top w:val="none" w:sz="0" w:space="0" w:color="auto"/>
        <w:left w:val="none" w:sz="0" w:space="0" w:color="auto"/>
        <w:bottom w:val="none" w:sz="0" w:space="0" w:color="auto"/>
        <w:right w:val="none" w:sz="0" w:space="0" w:color="auto"/>
      </w:divBdr>
    </w:div>
    <w:div w:id="1700010866">
      <w:marLeft w:val="0"/>
      <w:marRight w:val="0"/>
      <w:marTop w:val="180"/>
      <w:marBottom w:val="90"/>
      <w:divBdr>
        <w:top w:val="none" w:sz="0" w:space="0" w:color="auto"/>
        <w:left w:val="none" w:sz="0" w:space="0" w:color="auto"/>
        <w:bottom w:val="none" w:sz="0" w:space="0" w:color="auto"/>
        <w:right w:val="none" w:sz="0" w:space="0" w:color="auto"/>
      </w:divBdr>
    </w:div>
    <w:div w:id="1763336515">
      <w:marLeft w:val="0"/>
      <w:marRight w:val="0"/>
      <w:marTop w:val="0"/>
      <w:marBottom w:val="150"/>
      <w:divBdr>
        <w:top w:val="none" w:sz="0" w:space="0" w:color="auto"/>
        <w:left w:val="none" w:sz="0" w:space="0" w:color="auto"/>
        <w:bottom w:val="none" w:sz="0" w:space="0" w:color="auto"/>
        <w:right w:val="none" w:sz="0" w:space="0" w:color="auto"/>
      </w:divBdr>
    </w:div>
    <w:div w:id="1793941634">
      <w:marLeft w:val="0"/>
      <w:marRight w:val="0"/>
      <w:marTop w:val="225"/>
      <w:marBottom w:val="120"/>
      <w:divBdr>
        <w:top w:val="none" w:sz="0" w:space="0" w:color="auto"/>
        <w:left w:val="none" w:sz="0" w:space="0" w:color="auto"/>
        <w:bottom w:val="none" w:sz="0" w:space="0" w:color="auto"/>
        <w:right w:val="none" w:sz="0" w:space="0" w:color="auto"/>
      </w:divBdr>
    </w:div>
    <w:div w:id="1794859140">
      <w:marLeft w:val="0"/>
      <w:marRight w:val="0"/>
      <w:marTop w:val="0"/>
      <w:marBottom w:val="300"/>
      <w:divBdr>
        <w:top w:val="none" w:sz="0" w:space="0" w:color="auto"/>
        <w:left w:val="none" w:sz="0" w:space="0" w:color="auto"/>
        <w:bottom w:val="none" w:sz="0" w:space="0" w:color="auto"/>
        <w:right w:val="none" w:sz="0" w:space="0" w:color="auto"/>
      </w:divBdr>
    </w:div>
    <w:div w:id="1811285607">
      <w:marLeft w:val="0"/>
      <w:marRight w:val="0"/>
      <w:marTop w:val="0"/>
      <w:marBottom w:val="0"/>
      <w:divBdr>
        <w:top w:val="none" w:sz="0" w:space="0" w:color="auto"/>
        <w:left w:val="none" w:sz="0" w:space="0" w:color="auto"/>
        <w:bottom w:val="none" w:sz="0" w:space="0" w:color="auto"/>
        <w:right w:val="none" w:sz="0" w:space="0" w:color="auto"/>
      </w:divBdr>
      <w:divsChild>
        <w:div w:id="1107458938">
          <w:marLeft w:val="0"/>
          <w:marRight w:val="0"/>
          <w:marTop w:val="180"/>
          <w:marBottom w:val="75"/>
          <w:divBdr>
            <w:top w:val="none" w:sz="0" w:space="0" w:color="auto"/>
            <w:left w:val="none" w:sz="0" w:space="0" w:color="auto"/>
            <w:bottom w:val="none" w:sz="0" w:space="0" w:color="auto"/>
            <w:right w:val="none" w:sz="0" w:space="0" w:color="auto"/>
          </w:divBdr>
        </w:div>
        <w:div w:id="164252203">
          <w:marLeft w:val="0"/>
          <w:marRight w:val="0"/>
          <w:marTop w:val="75"/>
          <w:marBottom w:val="150"/>
          <w:divBdr>
            <w:top w:val="none" w:sz="0" w:space="0" w:color="auto"/>
            <w:left w:val="none" w:sz="0" w:space="0" w:color="auto"/>
            <w:bottom w:val="none" w:sz="0" w:space="0" w:color="auto"/>
            <w:right w:val="none" w:sz="0" w:space="0" w:color="auto"/>
          </w:divBdr>
        </w:div>
      </w:divsChild>
    </w:div>
    <w:div w:id="1822649063">
      <w:marLeft w:val="0"/>
      <w:marRight w:val="0"/>
      <w:marTop w:val="180"/>
      <w:marBottom w:val="90"/>
      <w:divBdr>
        <w:top w:val="none" w:sz="0" w:space="0" w:color="auto"/>
        <w:left w:val="none" w:sz="0" w:space="0" w:color="auto"/>
        <w:bottom w:val="none" w:sz="0" w:space="0" w:color="auto"/>
        <w:right w:val="none" w:sz="0" w:space="0" w:color="auto"/>
      </w:divBdr>
    </w:div>
    <w:div w:id="1864632505">
      <w:marLeft w:val="0"/>
      <w:marRight w:val="0"/>
      <w:marTop w:val="180"/>
      <w:marBottom w:val="90"/>
      <w:divBdr>
        <w:top w:val="none" w:sz="0" w:space="0" w:color="auto"/>
        <w:left w:val="none" w:sz="0" w:space="0" w:color="auto"/>
        <w:bottom w:val="none" w:sz="0" w:space="0" w:color="auto"/>
        <w:right w:val="none" w:sz="0" w:space="0" w:color="auto"/>
      </w:divBdr>
    </w:div>
    <w:div w:id="1918591248">
      <w:marLeft w:val="0"/>
      <w:marRight w:val="0"/>
      <w:marTop w:val="150"/>
      <w:marBottom w:val="90"/>
      <w:divBdr>
        <w:top w:val="none" w:sz="0" w:space="0" w:color="auto"/>
        <w:left w:val="none" w:sz="0" w:space="0" w:color="auto"/>
        <w:bottom w:val="none" w:sz="0" w:space="0" w:color="auto"/>
        <w:right w:val="none" w:sz="0" w:space="0" w:color="auto"/>
      </w:divBdr>
    </w:div>
    <w:div w:id="2100635939">
      <w:marLeft w:val="0"/>
      <w:marRight w:val="0"/>
      <w:marTop w:val="225"/>
      <w:marBottom w:val="120"/>
      <w:divBdr>
        <w:top w:val="none" w:sz="0" w:space="0" w:color="auto"/>
        <w:left w:val="none" w:sz="0" w:space="0" w:color="auto"/>
        <w:bottom w:val="none" w:sz="0" w:space="0" w:color="auto"/>
        <w:right w:val="none" w:sz="0" w:space="0" w:color="auto"/>
      </w:divBdr>
    </w:div>
    <w:div w:id="2135782812">
      <w:marLeft w:val="0"/>
      <w:marRight w:val="0"/>
      <w:marTop w:val="225"/>
      <w:marBottom w:val="12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s.org/publ/qtrpdf/r_qt1803g.htm" TargetMode="External"/><Relationship Id="rId13" Type="http://schemas.openxmlformats.org/officeDocument/2006/relationships/hyperlink" Target="https://doi.org/10.34989/swp-2018-20" TargetMode="External"/><Relationship Id="rId18" Type="http://schemas.openxmlformats.org/officeDocument/2006/relationships/hyperlink" Target="https://ideas.repec.org/a/cje/issued/v16y1983i4p593-602.html" TargetMode="External"/><Relationship Id="rId26"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hyperlink" Target="https://mpra.ub.uni-muenchen.de/id/eprint/54960" TargetMode="External"/><Relationship Id="rId7" Type="http://schemas.openxmlformats.org/officeDocument/2006/relationships/hyperlink" Target="https://doi.org/10.3790/aeq.64.4.279" TargetMode="External"/><Relationship Id="rId12" Type="http://schemas.openxmlformats.org/officeDocument/2006/relationships/hyperlink" Target="https://www.bis.org/ifc/publ/ifcb61_05.pdf" TargetMode="External"/><Relationship Id="rId17" Type="http://schemas.openxmlformats.org/officeDocument/2006/relationships/hyperlink" Target="http://www.jstor.org/stable/1831652" TargetMode="External"/><Relationship Id="rId25"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hyperlink" Target="https://www.nber.org/system/files/chapters/c11402/c11402.pdf" TargetMode="External"/><Relationship Id="rId20" Type="http://schemas.openxmlformats.org/officeDocument/2006/relationships/hyperlink" Target="https://doi.org/10.1016/S1062-9408(99)80078-3" TargetMode="External"/><Relationship Id="rId29"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https://doi.org/10.34989/swp-2004-25" TargetMode="External"/><Relationship Id="rId11" Type="http://schemas.openxmlformats.org/officeDocument/2006/relationships/hyperlink" Target="https://doi.org/10.2307/1910133" TargetMode="External"/><Relationship Id="rId24"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yperlink" Target="https://doi.org/10.34989/sdp-2022-17" TargetMode="External"/><Relationship Id="rId23" Type="http://schemas.openxmlformats.org/officeDocument/2006/relationships/hyperlink" Target="https://www.who.int/news-room/speeches/item/who-director-general-s-opening-remarks-at-the-media-briefing-on-covid-19---11-march-2020" TargetMode="External"/><Relationship Id="rId28" Type="http://schemas.openxmlformats.org/officeDocument/2006/relationships/header" Target="header3.xml"/><Relationship Id="rId10" Type="http://schemas.openxmlformats.org/officeDocument/2006/relationships/hyperlink" Target="https://doi.org/10.34989/sdp-2021-12" TargetMode="External"/><Relationship Id="rId19" Type="http://schemas.openxmlformats.org/officeDocument/2006/relationships/hyperlink" Target="https://ideas.repec.org/a/tpr/restat/v78y1996i2p345-48.html" TargetMode="External"/><Relationship Id="rId31"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doi.org/10.34989/sdp-2020-6" TargetMode="External"/><Relationship Id="rId14" Type="http://schemas.openxmlformats.org/officeDocument/2006/relationships/hyperlink" Target="https://doi.org/10.34989/sdp-2019-7" TargetMode="External"/><Relationship Id="rId22" Type="http://schemas.openxmlformats.org/officeDocument/2006/relationships/hyperlink" Target="https://www.bankofcanada.ca/wp-content/uploads/2010/06/mackleme.pdf"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4396</Words>
  <Characters>25058</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Structural Instability in Canada's Money Demand Function</vt:lpstr>
    </vt:vector>
  </TitlesOfParts>
  <Company/>
  <LinksUpToDate>false</LinksUpToDate>
  <CharactersWithSpaces>29396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Structural Instability in Canada's Money Demand Function</dc:title>
  <dc:subject/>
  <dc:creator>Alice Inyan</dc:creator>
  <cp:keywords/>
  <dc:description/>
  <cp:lastModifiedBy>SDI 1084</cp:lastModifiedBy>
  <cp:revision>9</cp:revision>
  <dcterms:created xsi:type="dcterms:W3CDTF">2026-01-19T21:42:00Z</dcterms:created>
  <dcterms:modified xsi:type="dcterms:W3CDTF">2026-01-20T12:44:00Z</dcterms:modified>
</cp:coreProperties>
</file>