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9F3BD" w14:textId="77777777" w:rsidR="00754C9A" w:rsidRDefault="00754C9A" w:rsidP="00441B6F">
      <w:pPr>
        <w:pStyle w:val="Title"/>
        <w:spacing w:after="0"/>
        <w:jc w:val="both"/>
        <w:rPr>
          <w:rFonts w:ascii="Arial" w:hAnsi="Arial" w:cs="Arial"/>
        </w:rPr>
      </w:pPr>
    </w:p>
    <w:p w14:paraId="21FE9302" w14:textId="77777777" w:rsidR="00AC0F97" w:rsidRDefault="00AC0F97" w:rsidP="00441B6F">
      <w:pPr>
        <w:pStyle w:val="Author"/>
        <w:spacing w:line="240" w:lineRule="auto"/>
        <w:rPr>
          <w:rFonts w:ascii="Arial" w:hAnsi="Arial" w:cs="Arial"/>
          <w:bCs/>
          <w:iCs/>
          <w:kern w:val="28"/>
          <w:sz w:val="36"/>
        </w:rPr>
      </w:pPr>
      <w:r w:rsidRPr="00AC0F97">
        <w:rPr>
          <w:rFonts w:ascii="Arial" w:hAnsi="Arial" w:cs="Arial"/>
          <w:bCs/>
          <w:iCs/>
          <w:kern w:val="28"/>
          <w:sz w:val="36"/>
        </w:rPr>
        <w:t>Lean Management Practices and Organizational Competitiveness: The Mediating Role of Operational Performance in SMEs in Bandung, Indonesia</w:t>
      </w:r>
    </w:p>
    <w:p w14:paraId="017ACE6F" w14:textId="07664F7D" w:rsidR="00790ADA" w:rsidRDefault="00790ADA" w:rsidP="00441B6F">
      <w:pPr>
        <w:pStyle w:val="Affiliation"/>
        <w:spacing w:after="0" w:line="240" w:lineRule="auto"/>
        <w:jc w:val="both"/>
        <w:rPr>
          <w:rFonts w:ascii="Arial" w:hAnsi="Arial" w:cs="Arial"/>
        </w:rPr>
      </w:pPr>
    </w:p>
    <w:p w14:paraId="7B042D0C" w14:textId="77777777" w:rsidR="008E27B6" w:rsidRDefault="008E27B6" w:rsidP="00441B6F">
      <w:pPr>
        <w:pStyle w:val="Affiliation"/>
        <w:spacing w:after="0" w:line="240" w:lineRule="auto"/>
        <w:jc w:val="both"/>
        <w:rPr>
          <w:rFonts w:ascii="Arial" w:hAnsi="Arial" w:cs="Arial"/>
        </w:rPr>
      </w:pPr>
    </w:p>
    <w:p w14:paraId="5F4E2AAD" w14:textId="77777777" w:rsidR="002C57D2" w:rsidRPr="00FB3A86" w:rsidRDefault="002C57D2" w:rsidP="00441B6F">
      <w:pPr>
        <w:pStyle w:val="Affiliation"/>
        <w:spacing w:after="0" w:line="240" w:lineRule="auto"/>
        <w:jc w:val="both"/>
        <w:rPr>
          <w:rFonts w:ascii="Arial" w:hAnsi="Arial" w:cs="Arial"/>
        </w:rPr>
      </w:pPr>
    </w:p>
    <w:p w14:paraId="54C80B16" w14:textId="77777777" w:rsidR="00B01FCD" w:rsidRPr="00FB3A86" w:rsidRDefault="008E6560" w:rsidP="00441B6F">
      <w:pPr>
        <w:pStyle w:val="Copyright"/>
        <w:spacing w:after="0" w:line="240" w:lineRule="auto"/>
        <w:jc w:val="both"/>
        <w:rPr>
          <w:rFonts w:ascii="Arial" w:hAnsi="Arial" w:cs="Arial"/>
        </w:rPr>
        <w:sectPr w:rsidR="00B01FCD" w:rsidRPr="00FB3A86" w:rsidSect="008E27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CCC098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95E20F0" w14:textId="578EDF83" w:rsidR="00B01FCD" w:rsidRDefault="00B01FCD" w:rsidP="00441B6F">
      <w:pPr>
        <w:pStyle w:val="AbstHead"/>
        <w:spacing w:after="0"/>
        <w:jc w:val="both"/>
        <w:rPr>
          <w:rFonts w:ascii="Arial" w:hAnsi="Arial" w:cs="Arial"/>
        </w:rPr>
      </w:pPr>
      <w:r w:rsidRPr="00FB3A86">
        <w:rPr>
          <w:rFonts w:ascii="Arial" w:hAnsi="Arial" w:cs="Arial"/>
        </w:rPr>
        <w:t>ABSTRACT</w:t>
      </w:r>
    </w:p>
    <w:p w14:paraId="4B2257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243FE4" w14:textId="77777777" w:rsidTr="001E44FE">
        <w:tc>
          <w:tcPr>
            <w:tcW w:w="9576" w:type="dxa"/>
            <w:shd w:val="clear" w:color="auto" w:fill="F2F2F2"/>
          </w:tcPr>
          <w:p w14:paraId="4457CDE1" w14:textId="241FBFE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B7EF5" w:rsidRPr="00EB7EF5">
              <w:rPr>
                <w:rFonts w:ascii="Arial" w:eastAsia="Calibri" w:hAnsi="Arial" w:cs="Arial"/>
                <w:szCs w:val="22"/>
              </w:rPr>
              <w:t xml:space="preserve">This study aims to examine the impact of lean management practices on organizational competitiveness, with operational performance positioned as a mediating mechanism. Specifically, the study seeks to </w:t>
            </w:r>
            <w:proofErr w:type="spellStart"/>
            <w:r w:rsidR="00EB7EF5" w:rsidRPr="00EB7EF5">
              <w:rPr>
                <w:rFonts w:ascii="Arial" w:eastAsia="Calibri" w:hAnsi="Arial" w:cs="Arial"/>
                <w:szCs w:val="22"/>
              </w:rPr>
              <w:t>analyse</w:t>
            </w:r>
            <w:proofErr w:type="spellEnd"/>
            <w:r w:rsidR="00EB7EF5" w:rsidRPr="00EB7EF5">
              <w:rPr>
                <w:rFonts w:ascii="Arial" w:eastAsia="Calibri" w:hAnsi="Arial" w:cs="Arial"/>
                <w:szCs w:val="22"/>
              </w:rPr>
              <w:t xml:space="preserve"> how lean management practices influence operational performance and how these operational improvements subsequently contribute to enhancing the competitive position of small and medium-sized enterprises (SMEs).</w:t>
            </w:r>
          </w:p>
          <w:p w14:paraId="7781F8E5" w14:textId="23F9388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B7EF5" w:rsidRPr="00EB7EF5">
              <w:rPr>
                <w:rFonts w:ascii="Arial" w:eastAsia="Calibri" w:hAnsi="Arial" w:cs="Arial"/>
                <w:szCs w:val="22"/>
              </w:rPr>
              <w:t>This study employs a quantitative explanatory research design using a cross-sectional survey approach. The relationships among lean management practices, operational performance, and organizational competitiveness are examined through Partial Least Squares Structural Equation Modeling (PLS-SEM).</w:t>
            </w:r>
          </w:p>
          <w:p w14:paraId="503656F6" w14:textId="796061F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7EF5" w:rsidRPr="00EB7EF5">
              <w:rPr>
                <w:rFonts w:ascii="Arial" w:eastAsia="Calibri" w:hAnsi="Arial" w:cs="Arial"/>
                <w:szCs w:val="22"/>
              </w:rPr>
              <w:t xml:space="preserve">The study was conducted among small and medium-sized enterprises located in the Greater Bandung area, Indonesia. Data collection took place between </w:t>
            </w:r>
            <w:r w:rsidR="00EB7EF5">
              <w:rPr>
                <w:rFonts w:ascii="Arial" w:eastAsia="Calibri" w:hAnsi="Arial" w:cs="Arial"/>
                <w:szCs w:val="22"/>
              </w:rPr>
              <w:t>November 2025</w:t>
            </w:r>
            <w:r w:rsidR="00EB7EF5" w:rsidRPr="00EB7EF5">
              <w:rPr>
                <w:rFonts w:ascii="Arial" w:eastAsia="Calibri" w:hAnsi="Arial" w:cs="Arial"/>
                <w:szCs w:val="22"/>
              </w:rPr>
              <w:t xml:space="preserve"> and </w:t>
            </w:r>
            <w:r w:rsidR="00EB7EF5">
              <w:rPr>
                <w:rFonts w:ascii="Arial" w:eastAsia="Calibri" w:hAnsi="Arial" w:cs="Arial"/>
                <w:szCs w:val="22"/>
              </w:rPr>
              <w:t>January</w:t>
            </w:r>
            <w:r w:rsidR="00EB7EF5" w:rsidRPr="00EB7EF5">
              <w:rPr>
                <w:rFonts w:ascii="Arial" w:eastAsia="Calibri" w:hAnsi="Arial" w:cs="Arial"/>
                <w:szCs w:val="22"/>
              </w:rPr>
              <w:t xml:space="preserve"> 202</w:t>
            </w:r>
            <w:r w:rsidR="00EB7EF5">
              <w:rPr>
                <w:rFonts w:ascii="Arial" w:eastAsia="Calibri" w:hAnsi="Arial" w:cs="Arial"/>
                <w:szCs w:val="22"/>
              </w:rPr>
              <w:t>6</w:t>
            </w:r>
            <w:r w:rsidR="00EB7EF5" w:rsidRPr="00EB7EF5">
              <w:rPr>
                <w:rFonts w:ascii="Arial" w:eastAsia="Calibri" w:hAnsi="Arial" w:cs="Arial"/>
                <w:szCs w:val="22"/>
              </w:rPr>
              <w:t>.</w:t>
            </w:r>
          </w:p>
          <w:p w14:paraId="4FB2F940" w14:textId="49E5EF2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B7EF5" w:rsidRPr="00EB7EF5">
              <w:rPr>
                <w:rFonts w:ascii="Arial" w:eastAsia="Calibri" w:hAnsi="Arial" w:cs="Arial"/>
                <w:szCs w:val="22"/>
              </w:rPr>
              <w:t xml:space="preserve">Data were collected through a structured questionnaire administered to owner–managers of small and medium-sized enterprises. The measurement items were adapted from established literature on lean management, operational performance, and competitiveness. The data were </w:t>
            </w:r>
            <w:proofErr w:type="spellStart"/>
            <w:r w:rsidR="00EB7EF5" w:rsidRPr="00EB7EF5">
              <w:rPr>
                <w:rFonts w:ascii="Arial" w:eastAsia="Calibri" w:hAnsi="Arial" w:cs="Arial"/>
                <w:szCs w:val="22"/>
              </w:rPr>
              <w:t>analysed</w:t>
            </w:r>
            <w:proofErr w:type="spellEnd"/>
            <w:r w:rsidR="00EB7EF5" w:rsidRPr="00EB7EF5">
              <w:rPr>
                <w:rFonts w:ascii="Arial" w:eastAsia="Calibri" w:hAnsi="Arial" w:cs="Arial"/>
                <w:szCs w:val="22"/>
              </w:rPr>
              <w:t xml:space="preserve"> using Partial Least Squares Structural Equation Modeling (PLS-SEM) to assess the reliability and validity of the measurement model and to test the proposed structural relationships, including the mediating role of operational performance.</w:t>
            </w:r>
          </w:p>
          <w:p w14:paraId="2010FCF2" w14:textId="3F2EE17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7EF5" w:rsidRPr="00EB7EF5">
              <w:rPr>
                <w:rFonts w:ascii="Arial" w:eastAsia="Calibri" w:hAnsi="Arial" w:cs="Arial"/>
                <w:szCs w:val="22"/>
              </w:rPr>
              <w:t>The results indicate that lean management practices have a significant positive effect on operational performance. Operational performance, in turn, significantly enhances organizational competitiveness. In addition, lean management practices also exert a direct positive effect on organizational competitiveness. Mediation analysis reveals that operational performance partially mediates the relationship between lean management practices and organizational competitiveness, indicating that the competitive benefits of lean management are achieved primarily through improvements in operational performance.</w:t>
            </w:r>
          </w:p>
          <w:p w14:paraId="7D055895" w14:textId="5C22A60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B7EF5" w:rsidRPr="00EB7EF5">
              <w:rPr>
                <w:rFonts w:ascii="Arial" w:eastAsia="Calibri" w:hAnsi="Arial" w:cs="Arial"/>
                <w:szCs w:val="22"/>
              </w:rPr>
              <w:t>The study concludes that lean management serves as an effective strategic approach for enhancing the competitiveness of SMEs when it is implemented in a manner that strengthens operational performance. The findings underscore the importance of focusing on operational improvements as a key mechanism through which lean management translates into sustainable competitive advantages.</w:t>
            </w:r>
          </w:p>
        </w:tc>
      </w:tr>
    </w:tbl>
    <w:p w14:paraId="76B40017" w14:textId="77777777" w:rsidR="00636EB2" w:rsidRDefault="00636EB2" w:rsidP="00441B6F">
      <w:pPr>
        <w:pStyle w:val="Body"/>
        <w:spacing w:after="0"/>
        <w:rPr>
          <w:rFonts w:ascii="Arial" w:hAnsi="Arial" w:cs="Arial"/>
          <w:i/>
        </w:rPr>
      </w:pPr>
    </w:p>
    <w:p w14:paraId="727472A1" w14:textId="70496B98" w:rsidR="00A24E7E" w:rsidRDefault="00A24E7E" w:rsidP="00441B6F">
      <w:pPr>
        <w:pStyle w:val="Body"/>
        <w:spacing w:after="0"/>
        <w:rPr>
          <w:rFonts w:ascii="Arial" w:hAnsi="Arial" w:cs="Arial"/>
          <w:i/>
        </w:rPr>
      </w:pPr>
      <w:r>
        <w:rPr>
          <w:rFonts w:ascii="Arial" w:hAnsi="Arial" w:cs="Arial"/>
          <w:i/>
        </w:rPr>
        <w:t>Keywords:</w:t>
      </w:r>
      <w:r w:rsidR="00656459">
        <w:rPr>
          <w:rFonts w:ascii="Arial" w:hAnsi="Arial" w:cs="Arial"/>
          <w:i/>
        </w:rPr>
        <w:t xml:space="preserve"> </w:t>
      </w:r>
      <w:r w:rsidR="00EB7EF5" w:rsidRPr="00EB7EF5">
        <w:rPr>
          <w:rFonts w:ascii="Arial" w:hAnsi="Arial" w:cs="Arial"/>
          <w:i/>
        </w:rPr>
        <w:t>Lean Management; Operational Performance; Organizational Competitiveness; SMEs; PLS-SEM</w:t>
      </w:r>
      <w:r w:rsidR="00EB7EF5">
        <w:rPr>
          <w:rFonts w:ascii="Arial" w:hAnsi="Arial" w:cs="Arial"/>
          <w:i/>
        </w:rPr>
        <w:t>.</w:t>
      </w:r>
    </w:p>
    <w:p w14:paraId="73934FEF" w14:textId="77777777" w:rsidR="00505F06" w:rsidRPr="00A24E7E" w:rsidRDefault="00505F06" w:rsidP="00441B6F">
      <w:pPr>
        <w:pStyle w:val="Body"/>
        <w:spacing w:after="0"/>
        <w:rPr>
          <w:rFonts w:ascii="Arial" w:hAnsi="Arial" w:cs="Arial"/>
          <w:i/>
        </w:rPr>
      </w:pPr>
    </w:p>
    <w:p w14:paraId="756E7B55" w14:textId="6187B33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A7E614B" w14:textId="77777777" w:rsidR="00790ADA" w:rsidRPr="00FB3A86" w:rsidRDefault="00790ADA" w:rsidP="00441B6F">
      <w:pPr>
        <w:pStyle w:val="AbstHead"/>
        <w:spacing w:after="0"/>
        <w:jc w:val="both"/>
        <w:rPr>
          <w:rFonts w:ascii="Arial" w:hAnsi="Arial" w:cs="Arial"/>
        </w:rPr>
      </w:pPr>
    </w:p>
    <w:p w14:paraId="70D57884" w14:textId="62EFE75F" w:rsidR="00254CB2" w:rsidRPr="00254CB2" w:rsidRDefault="00254CB2" w:rsidP="00254CB2">
      <w:pPr>
        <w:pStyle w:val="Body"/>
        <w:rPr>
          <w:rFonts w:ascii="Arial" w:hAnsi="Arial" w:cs="Arial"/>
        </w:rPr>
      </w:pPr>
      <w:r w:rsidRPr="00254CB2">
        <w:rPr>
          <w:rFonts w:ascii="Arial" w:hAnsi="Arial" w:cs="Arial"/>
        </w:rPr>
        <w:t>In an increasingly competitive and turbulent business environment, organizations are under sustained pressure to improve operational efficiency while simultaneously strengthening their competitive position. Global competition, cost volatility, and rising customer expectations have intensified the need for management approaches that enhance productivity, quality, and responsiveness (Porter, 1985; Slack et al., 2010). Within this context, lean management has emerged as one of the most influential managerial philosophies for improving organizational performance through systematic waste elimination and continuous improvement (Womack &amp; Jones, 1996; Liker, 2004).</w:t>
      </w:r>
    </w:p>
    <w:p w14:paraId="0ACAE848" w14:textId="24095D49" w:rsidR="00254CB2" w:rsidRPr="00254CB2" w:rsidRDefault="00254CB2" w:rsidP="00254CB2">
      <w:pPr>
        <w:pStyle w:val="Body"/>
        <w:rPr>
          <w:rFonts w:ascii="Arial" w:hAnsi="Arial" w:cs="Arial"/>
        </w:rPr>
      </w:pPr>
      <w:r w:rsidRPr="00254CB2">
        <w:rPr>
          <w:rFonts w:ascii="Arial" w:hAnsi="Arial" w:cs="Arial"/>
        </w:rPr>
        <w:t>Lean management originated from the Toyota Production System and is grounded in principles such as value definition from the customer’s perspective, flow efficiency, pull-based production, and continuous improvement. Over time, these principles have been operationalized into a bundle of interrelated practices, including standardized work, employee involvement, just-in-time systems, and problem-solving routines (Ohno, 1988; Shah &amp; Ward, 2003). Empirical research consistently shows that firms implementing lean practices achieve improvements in operational performance, particularly in terms of cost efficiency, quality, delivery reliability, and process flexibility (Cua et al., 2001; Shah &amp; Ward, 2007; Fullerton et al., 2014).</w:t>
      </w:r>
    </w:p>
    <w:p w14:paraId="4F1E3AA6" w14:textId="0E24543D" w:rsidR="00254CB2" w:rsidRPr="00254CB2" w:rsidRDefault="00254CB2" w:rsidP="00254CB2">
      <w:pPr>
        <w:pStyle w:val="Body"/>
        <w:rPr>
          <w:rFonts w:ascii="Arial" w:hAnsi="Arial" w:cs="Arial"/>
        </w:rPr>
      </w:pPr>
      <w:r w:rsidRPr="00254CB2">
        <w:rPr>
          <w:rFonts w:ascii="Arial" w:hAnsi="Arial" w:cs="Arial"/>
        </w:rPr>
        <w:t>Operational performance has long been recognized as a critical foundation of organizational competitiveness. Classical operations strategy literature argues that sustainable competitive advantage is built through superior operational capabilities that are difficult for competitors to imitate (Hayes &amp; Wheelwright, 1984; Skinner, 1969). More recent studies reinforce this view by demonstrating that firms with strong operational performance are better positioned to respond to market changes, satisfy customers, and defend their competitive positions (Flynn et al., 2010; Rosenzweig et al., 2003).</w:t>
      </w:r>
    </w:p>
    <w:p w14:paraId="4A96AF15" w14:textId="0630287C" w:rsidR="00254CB2" w:rsidRPr="00254CB2" w:rsidRDefault="00254CB2" w:rsidP="00254CB2">
      <w:pPr>
        <w:pStyle w:val="Body"/>
        <w:rPr>
          <w:rFonts w:ascii="Arial" w:hAnsi="Arial" w:cs="Arial"/>
        </w:rPr>
      </w:pPr>
      <w:r w:rsidRPr="00254CB2">
        <w:rPr>
          <w:rFonts w:ascii="Arial" w:hAnsi="Arial" w:cs="Arial"/>
        </w:rPr>
        <w:t>Despite this consensus, the empirical relationship between lean management and organizational competitiveness remains less straightforward. While several studies report a positive association between lean practices and competitive outcomes, others suggest that lean adoption does not automatically lead to superior competitiveness unless operational improvements are effectively translated into strategic benefits (</w:t>
      </w:r>
      <w:proofErr w:type="spellStart"/>
      <w:r w:rsidRPr="00254CB2">
        <w:rPr>
          <w:rFonts w:ascii="Arial" w:hAnsi="Arial" w:cs="Arial"/>
        </w:rPr>
        <w:t>Ketokivi</w:t>
      </w:r>
      <w:proofErr w:type="spellEnd"/>
      <w:r w:rsidRPr="00254CB2">
        <w:rPr>
          <w:rFonts w:ascii="Arial" w:hAnsi="Arial" w:cs="Arial"/>
        </w:rPr>
        <w:t xml:space="preserve"> &amp; Schroeder, 2004; Fullerton &amp; Wempe, 2009). This divergence implies that the impact of lean management on competitiveness may be indirect, operating through improvements in operational performance rather than through direct effects alone.</w:t>
      </w:r>
    </w:p>
    <w:p w14:paraId="30BAF239" w14:textId="1784B040" w:rsidR="00254CB2" w:rsidRPr="00254CB2" w:rsidRDefault="00254CB2" w:rsidP="00254CB2">
      <w:pPr>
        <w:pStyle w:val="Body"/>
        <w:rPr>
          <w:rFonts w:ascii="Arial" w:hAnsi="Arial" w:cs="Arial"/>
        </w:rPr>
      </w:pPr>
      <w:r w:rsidRPr="00254CB2">
        <w:rPr>
          <w:rFonts w:ascii="Arial" w:hAnsi="Arial" w:cs="Arial"/>
        </w:rPr>
        <w:t>Furthermore, much of the existing lean management literature relies on regression-based analyses or single-outcome models, which may inadequately capture the multidimensional and systemic nature of lean practices. Lean management is widely conceptualized as a coherent system of complementary practices rather than a set of isolated techniques (Cua et al., 2001; Shah &amp; Ward, 2007). As such, analytical approaches that fail to model these interdependencies may underestimate the true mechanisms through which lean influences performance and competitiveness.</w:t>
      </w:r>
    </w:p>
    <w:p w14:paraId="73090FD9" w14:textId="1DD4EDC6" w:rsidR="00254CB2" w:rsidRPr="00254CB2" w:rsidRDefault="00254CB2" w:rsidP="00254CB2">
      <w:pPr>
        <w:pStyle w:val="Body"/>
        <w:rPr>
          <w:rFonts w:ascii="Arial" w:hAnsi="Arial" w:cs="Arial"/>
        </w:rPr>
      </w:pPr>
      <w:r w:rsidRPr="00254CB2">
        <w:rPr>
          <w:rFonts w:ascii="Arial" w:hAnsi="Arial" w:cs="Arial"/>
        </w:rPr>
        <w:t>From a strategic perspective, positioning operational performance as a mediating mechanism aligns with broader management theories that emphasize the role of internal capabilities in shaping competitive advantage. The resource-based view suggests that management practices contribute to competitiveness only insofar as they enhance valuable, rare, and inimitable organizational capabilities (Barney, 1991). Lean management can thus be understood as an enabling system that strengthens operational capabilities, which subsequently support competitive outcomes.</w:t>
      </w:r>
    </w:p>
    <w:p w14:paraId="6FD2DF99" w14:textId="7BD954F0" w:rsidR="00254CB2" w:rsidRPr="00254CB2" w:rsidRDefault="00254CB2" w:rsidP="00254CB2">
      <w:pPr>
        <w:pStyle w:val="Body"/>
        <w:rPr>
          <w:rFonts w:ascii="Arial" w:hAnsi="Arial" w:cs="Arial"/>
        </w:rPr>
      </w:pPr>
      <w:r w:rsidRPr="00254CB2">
        <w:rPr>
          <w:rFonts w:ascii="Arial" w:hAnsi="Arial" w:cs="Arial"/>
        </w:rPr>
        <w:lastRenderedPageBreak/>
        <w:t>Methodologically, there remains a need for empirical studies employing analytical techniques capable of simultaneously assessing complex relationships among latent constructs. Partial Least Squares Structural Equation Modeling (PLS-SEM) is particularly suitable for this purpose, as it allows researchers to model multidimensional constructs, estimate indirect effects, and emphasize prediction-oriented explanations (Hair et al., 2019; Sarstedt et al., 2017). PLS-SEM has been increasingly applied in operations and management research to examine performance-driven models where theory is developing and constructs are measured perceptually (Ringle et al., 2020).</w:t>
      </w:r>
    </w:p>
    <w:p w14:paraId="2572652F" w14:textId="458ED6FA" w:rsidR="00254CB2" w:rsidRPr="00254CB2" w:rsidRDefault="00254CB2" w:rsidP="00254CB2">
      <w:pPr>
        <w:pStyle w:val="Body"/>
        <w:rPr>
          <w:rFonts w:ascii="Arial" w:hAnsi="Arial" w:cs="Arial"/>
        </w:rPr>
      </w:pPr>
      <w:r w:rsidRPr="00254CB2">
        <w:rPr>
          <w:rFonts w:ascii="Arial" w:hAnsi="Arial" w:cs="Arial"/>
        </w:rPr>
        <w:t>In response to these gaps, this study examines the relationships between lean management practices, operational performance, and organizational competitiveness using a PLS-SEM approach. By explicitly modeling operational performance as a mediating variable, the study provides a more comprehensive understanding of how lean management contributes to competitiveness through operational mechanisms rather than assuming a direct and uniform effect.</w:t>
      </w:r>
    </w:p>
    <w:p w14:paraId="03FD3E58" w14:textId="30A08428" w:rsidR="00FB3E9D" w:rsidRDefault="00254CB2" w:rsidP="00254CB2">
      <w:pPr>
        <w:pStyle w:val="Body"/>
        <w:spacing w:after="0"/>
        <w:rPr>
          <w:rFonts w:ascii="Arial" w:hAnsi="Arial" w:cs="Arial"/>
        </w:rPr>
      </w:pPr>
      <w:r w:rsidRPr="00254CB2">
        <w:rPr>
          <w:rFonts w:ascii="Arial" w:hAnsi="Arial" w:cs="Arial"/>
        </w:rPr>
        <w:t>This study contributes to the literature in several ways. First, it extends lean management research by empirically clarifying the indirect pathways linking lean practices to organizational competitiveness. Second, it reinforces the strategic role of operations by highlighting operational performance as a key mechanism connecting managerial practices to competitive outcomes. Third, from a methodological standpoint, it demonstrates the usefulness of PLS-SEM for analyzing complex, multidimensional models in operations and strategic management research. Finally, the findings offer practical insights for managers seeking to leverage lean management not only as an efficiency-enhancing approach but also as a strategic tool for strengthening organizational competitiveness.</w:t>
      </w:r>
    </w:p>
    <w:p w14:paraId="5EC905E4" w14:textId="77777777" w:rsidR="006C3FC5" w:rsidRDefault="006C3FC5" w:rsidP="00254CB2">
      <w:pPr>
        <w:pStyle w:val="Body"/>
        <w:spacing w:after="0"/>
        <w:rPr>
          <w:rFonts w:ascii="Arial" w:hAnsi="Arial" w:cs="Arial"/>
        </w:rPr>
      </w:pPr>
    </w:p>
    <w:p w14:paraId="5044D990" w14:textId="4E1DEE4D" w:rsidR="006C3FC5" w:rsidRDefault="006C3FC5" w:rsidP="006C3FC5">
      <w:pPr>
        <w:pStyle w:val="AbstHead"/>
        <w:spacing w:after="0"/>
        <w:jc w:val="both"/>
        <w:rPr>
          <w:rFonts w:ascii="Arial" w:hAnsi="Arial" w:cs="Arial"/>
          <w:caps w:val="0"/>
        </w:rPr>
      </w:pPr>
      <w:r>
        <w:rPr>
          <w:rFonts w:ascii="Arial" w:hAnsi="Arial" w:cs="Arial"/>
        </w:rPr>
        <w:t xml:space="preserve">1.1 </w:t>
      </w:r>
      <w:r>
        <w:rPr>
          <w:rFonts w:ascii="Arial" w:hAnsi="Arial" w:cs="Arial"/>
          <w:caps w:val="0"/>
        </w:rPr>
        <w:t>Hypothesis Development</w:t>
      </w:r>
    </w:p>
    <w:p w14:paraId="5CCE9C70" w14:textId="508A419C" w:rsidR="006C3FC5" w:rsidRPr="006C3FC5" w:rsidRDefault="006C3FC5" w:rsidP="006C3FC5">
      <w:pPr>
        <w:rPr>
          <w:b/>
          <w:bCs/>
          <w:sz w:val="22"/>
          <w:szCs w:val="22"/>
        </w:rPr>
      </w:pPr>
      <w:r w:rsidRPr="006C3FC5">
        <w:rPr>
          <w:b/>
          <w:bCs/>
          <w:sz w:val="22"/>
          <w:szCs w:val="22"/>
        </w:rPr>
        <w:t>Lean Management Practices and Operational Performance</w:t>
      </w:r>
    </w:p>
    <w:p w14:paraId="7D5461C8" w14:textId="77777777" w:rsidR="006C3FC5" w:rsidRPr="006C3FC5" w:rsidRDefault="006C3FC5" w:rsidP="006C3FC5">
      <w:pPr>
        <w:pStyle w:val="Body"/>
        <w:rPr>
          <w:rFonts w:ascii="Arial" w:hAnsi="Arial" w:cs="Arial"/>
        </w:rPr>
      </w:pPr>
      <w:r w:rsidRPr="006C3FC5">
        <w:rPr>
          <w:rFonts w:ascii="Arial" w:hAnsi="Arial" w:cs="Arial"/>
        </w:rPr>
        <w:t>Lean management is fundamentally designed to improve organizational performance by eliminating non-value-adding activities, improving process flow, and fostering continuous improvement. Rooted in the Toyota Production System, lean emphasizes systematic waste reduction, standardization, and employee involvement as mechanisms to enhance operational efficiency (Ohno, 1988; Womack &amp; Jones, 1996).</w:t>
      </w:r>
    </w:p>
    <w:p w14:paraId="2938217B" w14:textId="77777777" w:rsidR="006C3FC5" w:rsidRPr="006C3FC5" w:rsidRDefault="006C3FC5" w:rsidP="006C3FC5">
      <w:pPr>
        <w:pStyle w:val="Body"/>
        <w:rPr>
          <w:rFonts w:ascii="Arial" w:hAnsi="Arial" w:cs="Arial"/>
        </w:rPr>
      </w:pPr>
      <w:r w:rsidRPr="006C3FC5">
        <w:rPr>
          <w:rFonts w:ascii="Arial" w:hAnsi="Arial" w:cs="Arial"/>
        </w:rPr>
        <w:t>Extensive empirical evidence supports the positive relationship between lean management practices and operational performance. Studies in operations management consistently show that firms implementing lean practices achieve superior outcomes in terms of cost efficiency, product quality, delivery reliability, and operational flexibility (Cua et al., 2001; Shah &amp; Ward, 2003; Fullerton et al., 2014). Lean practices such as standardized work and continuous improvement routines reduce process variability and inefficiencies, thereby enabling more predictable and efficient operations.</w:t>
      </w:r>
    </w:p>
    <w:p w14:paraId="69692DD8" w14:textId="77777777" w:rsidR="006C3FC5" w:rsidRPr="006C3FC5" w:rsidRDefault="006C3FC5" w:rsidP="006C3FC5">
      <w:pPr>
        <w:pStyle w:val="Body"/>
        <w:rPr>
          <w:rFonts w:ascii="Arial" w:hAnsi="Arial" w:cs="Arial"/>
        </w:rPr>
      </w:pPr>
      <w:r w:rsidRPr="006C3FC5">
        <w:rPr>
          <w:rFonts w:ascii="Arial" w:hAnsi="Arial" w:cs="Arial"/>
        </w:rPr>
        <w:t>In the context of SMEs, lean management is often implemented in a more informal and adaptive manner. Nevertheless, prior research suggests that even partial or incremental adoption of lean principles can yield meaningful improvements in operational outcomes, particularly in resource-constrained environments (</w:t>
      </w:r>
      <w:proofErr w:type="spellStart"/>
      <w:r w:rsidRPr="006C3FC5">
        <w:rPr>
          <w:rFonts w:ascii="Arial" w:hAnsi="Arial" w:cs="Arial"/>
        </w:rPr>
        <w:t>Achanga</w:t>
      </w:r>
      <w:proofErr w:type="spellEnd"/>
      <w:r w:rsidRPr="006C3FC5">
        <w:rPr>
          <w:rFonts w:ascii="Arial" w:hAnsi="Arial" w:cs="Arial"/>
        </w:rPr>
        <w:t xml:space="preserve"> et al., 2006; </w:t>
      </w:r>
      <w:proofErr w:type="spellStart"/>
      <w:r w:rsidRPr="006C3FC5">
        <w:rPr>
          <w:rFonts w:ascii="Arial" w:hAnsi="Arial" w:cs="Arial"/>
        </w:rPr>
        <w:t>Bhamu</w:t>
      </w:r>
      <w:proofErr w:type="spellEnd"/>
      <w:r w:rsidRPr="006C3FC5">
        <w:rPr>
          <w:rFonts w:ascii="Arial" w:hAnsi="Arial" w:cs="Arial"/>
        </w:rPr>
        <w:t xml:space="preserve"> &amp; </w:t>
      </w:r>
      <w:proofErr w:type="spellStart"/>
      <w:r w:rsidRPr="006C3FC5">
        <w:rPr>
          <w:rFonts w:ascii="Arial" w:hAnsi="Arial" w:cs="Arial"/>
        </w:rPr>
        <w:t>Sangwan</w:t>
      </w:r>
      <w:proofErr w:type="spellEnd"/>
      <w:r w:rsidRPr="006C3FC5">
        <w:rPr>
          <w:rFonts w:ascii="Arial" w:hAnsi="Arial" w:cs="Arial"/>
        </w:rPr>
        <w:t>, 2014). Given the central role of owner–managers in shaping operational practices in SMEs, lean management is expected to exert a strong influence on operational performance.</w:t>
      </w:r>
    </w:p>
    <w:p w14:paraId="0310A039" w14:textId="77777777" w:rsidR="006C3FC5" w:rsidRPr="006C3FC5" w:rsidRDefault="006C3FC5" w:rsidP="006C3FC5">
      <w:pPr>
        <w:pStyle w:val="Body"/>
        <w:rPr>
          <w:rFonts w:ascii="Arial" w:hAnsi="Arial" w:cs="Arial"/>
        </w:rPr>
      </w:pPr>
      <w:r w:rsidRPr="006C3FC5">
        <w:rPr>
          <w:rFonts w:ascii="Arial" w:hAnsi="Arial" w:cs="Arial"/>
        </w:rPr>
        <w:t>Based on these arguments, the following hypothesis is proposed:</w:t>
      </w:r>
    </w:p>
    <w:p w14:paraId="2FDF5BA3" w14:textId="77777777" w:rsidR="006C3FC5" w:rsidRPr="006C3FC5" w:rsidRDefault="006C3FC5" w:rsidP="006C3FC5">
      <w:pPr>
        <w:pStyle w:val="Body"/>
        <w:rPr>
          <w:rFonts w:ascii="Arial" w:hAnsi="Arial" w:cs="Arial"/>
          <w:b/>
          <w:bCs/>
        </w:rPr>
      </w:pPr>
      <w:r w:rsidRPr="006C3FC5">
        <w:rPr>
          <w:rFonts w:ascii="Arial" w:hAnsi="Arial" w:cs="Arial"/>
          <w:b/>
          <w:bCs/>
        </w:rPr>
        <w:t xml:space="preserve">H1: </w:t>
      </w:r>
      <w:r w:rsidRPr="006C3FC5">
        <w:rPr>
          <w:rFonts w:ascii="Arial" w:hAnsi="Arial" w:cs="Arial"/>
        </w:rPr>
        <w:t>Lean management practices have a positive effect on operational performance.</w:t>
      </w:r>
    </w:p>
    <w:p w14:paraId="37098191" w14:textId="23BAA30E" w:rsidR="006C3FC5" w:rsidRPr="006C3FC5" w:rsidRDefault="006C3FC5" w:rsidP="006C3FC5">
      <w:pPr>
        <w:rPr>
          <w:b/>
          <w:bCs/>
          <w:sz w:val="22"/>
          <w:szCs w:val="22"/>
        </w:rPr>
      </w:pPr>
      <w:r w:rsidRPr="006C3FC5">
        <w:rPr>
          <w:b/>
          <w:bCs/>
          <w:sz w:val="22"/>
          <w:szCs w:val="22"/>
        </w:rPr>
        <w:lastRenderedPageBreak/>
        <w:t>Operational Performance and Organizational Competitiveness</w:t>
      </w:r>
    </w:p>
    <w:p w14:paraId="02BC6D8C" w14:textId="77777777" w:rsidR="006C3FC5" w:rsidRPr="006C3FC5" w:rsidRDefault="006C3FC5" w:rsidP="006C3FC5">
      <w:pPr>
        <w:pStyle w:val="Body"/>
        <w:rPr>
          <w:rFonts w:ascii="Arial" w:hAnsi="Arial" w:cs="Arial"/>
          <w:szCs w:val="18"/>
        </w:rPr>
      </w:pPr>
      <w:r w:rsidRPr="006C3FC5">
        <w:rPr>
          <w:rFonts w:ascii="Arial" w:hAnsi="Arial" w:cs="Arial"/>
          <w:szCs w:val="18"/>
        </w:rPr>
        <w:t>Operations strategy literature has long emphasized that operational performance constitutes a foundational source of competitive advantage. Classical contributions argue that firms achieve sustained competitiveness by developing operational capabilities that competitors find difficult to replicate, such as superior quality, reliability, and responsiveness (Skinner, 1969; Hayes &amp; Wheelwright, 1984).</w:t>
      </w:r>
    </w:p>
    <w:p w14:paraId="11C34D7B" w14:textId="77777777" w:rsidR="006C3FC5" w:rsidRPr="006C3FC5" w:rsidRDefault="006C3FC5" w:rsidP="006C3FC5">
      <w:pPr>
        <w:pStyle w:val="Body"/>
        <w:rPr>
          <w:rFonts w:ascii="Arial" w:hAnsi="Arial" w:cs="Arial"/>
          <w:szCs w:val="18"/>
        </w:rPr>
      </w:pPr>
      <w:r w:rsidRPr="006C3FC5">
        <w:rPr>
          <w:rFonts w:ascii="Arial" w:hAnsi="Arial" w:cs="Arial"/>
          <w:szCs w:val="18"/>
        </w:rPr>
        <w:t>Empirical studies further demonstrate that improvements in operational performance translate into enhanced organizational competitiveness by enabling firms to respond more effectively to market demands, reduce costs, and improve customer satisfaction (Rosenzweig et al., 2003; Flynn et al., 2010). Firms with strong operational performance are better positioned to defend their market positions and adapt to competitive pressures, particularly in industries characterized by high rivalry.</w:t>
      </w:r>
    </w:p>
    <w:p w14:paraId="0C803551" w14:textId="77777777" w:rsidR="006C3FC5" w:rsidRPr="006C3FC5" w:rsidRDefault="006C3FC5" w:rsidP="006C3FC5">
      <w:pPr>
        <w:pStyle w:val="Body"/>
        <w:rPr>
          <w:rFonts w:ascii="Arial" w:hAnsi="Arial" w:cs="Arial"/>
          <w:szCs w:val="18"/>
        </w:rPr>
      </w:pPr>
      <w:r w:rsidRPr="006C3FC5">
        <w:rPr>
          <w:rFonts w:ascii="Arial" w:hAnsi="Arial" w:cs="Arial"/>
          <w:szCs w:val="18"/>
        </w:rPr>
        <w:t>For SMEs, operational performance is especially critical, as competitive success often depends on efficiency and responsiveness rather than scale-based advantages. Improvements in delivery speed, flexibility, and quality allow SMEs to differentiate themselves and compete effectively against larger firms (</w:t>
      </w:r>
      <w:proofErr w:type="spellStart"/>
      <w:r w:rsidRPr="006C3FC5">
        <w:rPr>
          <w:rFonts w:ascii="Arial" w:hAnsi="Arial" w:cs="Arial"/>
          <w:szCs w:val="18"/>
        </w:rPr>
        <w:t>Ketokivi</w:t>
      </w:r>
      <w:proofErr w:type="spellEnd"/>
      <w:r w:rsidRPr="006C3FC5">
        <w:rPr>
          <w:rFonts w:ascii="Arial" w:hAnsi="Arial" w:cs="Arial"/>
          <w:szCs w:val="18"/>
        </w:rPr>
        <w:t xml:space="preserve"> &amp; Schroeder, 2004).</w:t>
      </w:r>
    </w:p>
    <w:p w14:paraId="2D8A0F70" w14:textId="77777777" w:rsidR="006C3FC5" w:rsidRPr="006C3FC5" w:rsidRDefault="006C3FC5" w:rsidP="006C3FC5">
      <w:pPr>
        <w:pStyle w:val="Body"/>
        <w:rPr>
          <w:rFonts w:ascii="Arial" w:hAnsi="Arial" w:cs="Arial"/>
          <w:szCs w:val="18"/>
        </w:rPr>
      </w:pPr>
      <w:r w:rsidRPr="006C3FC5">
        <w:rPr>
          <w:rFonts w:ascii="Arial" w:hAnsi="Arial" w:cs="Arial"/>
          <w:szCs w:val="18"/>
        </w:rPr>
        <w:t>Accordingly, the following hypothesis is formulated:</w:t>
      </w:r>
    </w:p>
    <w:p w14:paraId="247EF935" w14:textId="77777777" w:rsidR="006C3FC5" w:rsidRPr="006C3FC5" w:rsidRDefault="006C3FC5" w:rsidP="006C3FC5">
      <w:pPr>
        <w:pStyle w:val="Body"/>
        <w:rPr>
          <w:rFonts w:ascii="Arial" w:hAnsi="Arial" w:cs="Arial"/>
          <w:b/>
          <w:bCs/>
          <w:szCs w:val="18"/>
        </w:rPr>
      </w:pPr>
      <w:r w:rsidRPr="006C3FC5">
        <w:rPr>
          <w:rFonts w:ascii="Arial" w:hAnsi="Arial" w:cs="Arial"/>
          <w:b/>
          <w:bCs/>
          <w:szCs w:val="18"/>
        </w:rPr>
        <w:t xml:space="preserve">H2: </w:t>
      </w:r>
      <w:r w:rsidRPr="006C3FC5">
        <w:rPr>
          <w:rFonts w:ascii="Arial" w:hAnsi="Arial" w:cs="Arial"/>
          <w:szCs w:val="18"/>
        </w:rPr>
        <w:t>Operational performance has a positive effect on organizational competitiveness.</w:t>
      </w:r>
    </w:p>
    <w:p w14:paraId="1C7739BE" w14:textId="0C26853C" w:rsidR="006C3FC5" w:rsidRPr="006C3FC5" w:rsidRDefault="006C3FC5" w:rsidP="006C3FC5">
      <w:pPr>
        <w:pStyle w:val="Body"/>
        <w:spacing w:after="0"/>
        <w:rPr>
          <w:rFonts w:ascii="Arial" w:hAnsi="Arial" w:cs="Arial"/>
          <w:b/>
          <w:bCs/>
          <w:sz w:val="22"/>
        </w:rPr>
      </w:pPr>
      <w:r w:rsidRPr="006C3FC5">
        <w:rPr>
          <w:rFonts w:ascii="Arial" w:hAnsi="Arial" w:cs="Arial"/>
          <w:b/>
          <w:bCs/>
          <w:sz w:val="22"/>
        </w:rPr>
        <w:t>Lean Management Practices and Organizational Competitiveness</w:t>
      </w:r>
    </w:p>
    <w:p w14:paraId="24EEDEF4" w14:textId="77777777" w:rsidR="006C3FC5" w:rsidRPr="006C3FC5" w:rsidRDefault="006C3FC5" w:rsidP="006C3FC5">
      <w:pPr>
        <w:pStyle w:val="Body"/>
        <w:rPr>
          <w:rFonts w:ascii="Arial" w:hAnsi="Arial" w:cs="Arial"/>
          <w:szCs w:val="18"/>
        </w:rPr>
      </w:pPr>
      <w:r w:rsidRPr="006C3FC5">
        <w:rPr>
          <w:rFonts w:ascii="Arial" w:hAnsi="Arial" w:cs="Arial"/>
          <w:szCs w:val="18"/>
        </w:rPr>
        <w:t xml:space="preserve">While lean management is primarily associated with operational improvements, its implications extend beyond internal efficiency to broader strategic outcomes. Lean practices can contribute directly </w:t>
      </w:r>
      <w:r w:rsidRPr="00372FE3">
        <w:rPr>
          <w:rFonts w:ascii="Arial" w:hAnsi="Arial" w:cs="Arial"/>
          <w:szCs w:val="18"/>
        </w:rPr>
        <w:t>to organizational competitiveness by lowering production costs, enhancing customer value, and strengthening organizational discipline</w:t>
      </w:r>
      <w:r w:rsidRPr="006C3FC5">
        <w:rPr>
          <w:rFonts w:ascii="Arial" w:hAnsi="Arial" w:cs="Arial"/>
          <w:szCs w:val="18"/>
        </w:rPr>
        <w:t xml:space="preserve"> (Porter, 1985; Liker, 2004).</w:t>
      </w:r>
    </w:p>
    <w:p w14:paraId="7AEC0191" w14:textId="77777777" w:rsidR="006C3FC5" w:rsidRPr="006C3FC5" w:rsidRDefault="006C3FC5" w:rsidP="006C3FC5">
      <w:pPr>
        <w:pStyle w:val="Body"/>
        <w:rPr>
          <w:rFonts w:ascii="Arial" w:hAnsi="Arial" w:cs="Arial"/>
          <w:szCs w:val="18"/>
        </w:rPr>
      </w:pPr>
      <w:r w:rsidRPr="006C3FC5">
        <w:rPr>
          <w:rFonts w:ascii="Arial" w:hAnsi="Arial" w:cs="Arial"/>
          <w:szCs w:val="18"/>
        </w:rPr>
        <w:t>However, empirical findings on the direct relationship between lean management and competitiveness are mixed. Some studies report a significant positive effect, while others suggest that lean practices alone are insufficient to generate competitive advantage without corresponding improvements in operational performance (</w:t>
      </w:r>
      <w:proofErr w:type="spellStart"/>
      <w:r w:rsidRPr="006C3FC5">
        <w:rPr>
          <w:rFonts w:ascii="Arial" w:hAnsi="Arial" w:cs="Arial"/>
          <w:szCs w:val="18"/>
        </w:rPr>
        <w:t>Ketokivi</w:t>
      </w:r>
      <w:proofErr w:type="spellEnd"/>
      <w:r w:rsidRPr="006C3FC5">
        <w:rPr>
          <w:rFonts w:ascii="Arial" w:hAnsi="Arial" w:cs="Arial"/>
          <w:szCs w:val="18"/>
        </w:rPr>
        <w:t xml:space="preserve"> &amp; Schroeder, 2004; Fullerton &amp; Wempe, 2009). This divergence suggests that lean management may influence competitiveness both directly and indirectly.</w:t>
      </w:r>
    </w:p>
    <w:p w14:paraId="4B050A17" w14:textId="77777777" w:rsidR="006C3FC5" w:rsidRPr="006C3FC5" w:rsidRDefault="006C3FC5" w:rsidP="006C3FC5">
      <w:pPr>
        <w:pStyle w:val="Body"/>
        <w:rPr>
          <w:rFonts w:ascii="Arial" w:hAnsi="Arial" w:cs="Arial"/>
          <w:szCs w:val="18"/>
        </w:rPr>
      </w:pPr>
      <w:r w:rsidRPr="006C3FC5">
        <w:rPr>
          <w:rFonts w:ascii="Arial" w:hAnsi="Arial" w:cs="Arial"/>
          <w:szCs w:val="18"/>
        </w:rPr>
        <w:t>In SME contexts, where strategic decisions are closely tied to operational routines, lean practices may directly affect competitiveness by improving responsiveness, reducing lead times, and enhancing perceived customer value. Therefore, a direct relationship between lean management and competitiveness is expected, albeit potentially weaker than the indirect effect through operational performance.</w:t>
      </w:r>
    </w:p>
    <w:p w14:paraId="1B60FC49" w14:textId="77777777" w:rsidR="006C3FC5" w:rsidRPr="006C3FC5" w:rsidRDefault="006C3FC5" w:rsidP="006C3FC5">
      <w:pPr>
        <w:pStyle w:val="Body"/>
        <w:rPr>
          <w:rFonts w:ascii="Arial" w:hAnsi="Arial" w:cs="Arial"/>
          <w:szCs w:val="18"/>
        </w:rPr>
      </w:pPr>
      <w:r w:rsidRPr="006C3FC5">
        <w:rPr>
          <w:rFonts w:ascii="Arial" w:hAnsi="Arial" w:cs="Arial"/>
          <w:szCs w:val="18"/>
        </w:rPr>
        <w:t>This leads to the following hypothesis:</w:t>
      </w:r>
    </w:p>
    <w:p w14:paraId="72BB2D85" w14:textId="77777777" w:rsidR="006C3FC5" w:rsidRPr="006C3FC5" w:rsidRDefault="006C3FC5" w:rsidP="006C3FC5">
      <w:pPr>
        <w:pStyle w:val="Body"/>
        <w:rPr>
          <w:rFonts w:ascii="Arial" w:hAnsi="Arial" w:cs="Arial"/>
          <w:szCs w:val="18"/>
        </w:rPr>
      </w:pPr>
      <w:r w:rsidRPr="006C3FC5">
        <w:rPr>
          <w:rFonts w:ascii="Arial" w:hAnsi="Arial" w:cs="Arial"/>
          <w:b/>
          <w:bCs/>
          <w:szCs w:val="18"/>
        </w:rPr>
        <w:t>H3:</w:t>
      </w:r>
      <w:r w:rsidRPr="006C3FC5">
        <w:rPr>
          <w:rFonts w:ascii="Arial" w:hAnsi="Arial" w:cs="Arial"/>
          <w:szCs w:val="18"/>
        </w:rPr>
        <w:t xml:space="preserve"> Lean management practices have a positive effect on organizational competitiveness.</w:t>
      </w:r>
    </w:p>
    <w:p w14:paraId="11CE3F94" w14:textId="4374BD5F" w:rsidR="006C3FC5" w:rsidRPr="006C3FC5" w:rsidRDefault="006C3FC5" w:rsidP="006C3FC5">
      <w:pPr>
        <w:pStyle w:val="Body"/>
        <w:rPr>
          <w:rFonts w:ascii="Arial" w:hAnsi="Arial" w:cs="Arial"/>
          <w:szCs w:val="18"/>
        </w:rPr>
      </w:pPr>
    </w:p>
    <w:p w14:paraId="3069D8C6" w14:textId="6477E4E8" w:rsidR="006C3FC5" w:rsidRPr="006C3FC5" w:rsidRDefault="006C3FC5" w:rsidP="006C3FC5">
      <w:pPr>
        <w:pStyle w:val="Body"/>
        <w:spacing w:after="0"/>
        <w:rPr>
          <w:rFonts w:ascii="Arial" w:hAnsi="Arial" w:cs="Arial"/>
          <w:b/>
          <w:bCs/>
          <w:sz w:val="22"/>
        </w:rPr>
      </w:pPr>
      <w:r w:rsidRPr="006C3FC5">
        <w:rPr>
          <w:rFonts w:ascii="Arial" w:hAnsi="Arial" w:cs="Arial"/>
          <w:b/>
          <w:bCs/>
          <w:sz w:val="22"/>
        </w:rPr>
        <w:t>The Mediating Role of Operational Performance</w:t>
      </w:r>
    </w:p>
    <w:p w14:paraId="67ADECC2" w14:textId="77777777" w:rsidR="006C3FC5" w:rsidRPr="006C3FC5" w:rsidRDefault="006C3FC5" w:rsidP="006C3FC5">
      <w:pPr>
        <w:pStyle w:val="Body"/>
        <w:rPr>
          <w:rFonts w:ascii="Arial" w:hAnsi="Arial" w:cs="Arial"/>
          <w:szCs w:val="18"/>
        </w:rPr>
      </w:pPr>
      <w:r w:rsidRPr="006C3FC5">
        <w:rPr>
          <w:rFonts w:ascii="Arial" w:hAnsi="Arial" w:cs="Arial"/>
          <w:szCs w:val="18"/>
        </w:rPr>
        <w:t xml:space="preserve">From a theoretical perspective, the resource-based view (RBV) posits that managerial practices contribute to competitive advantage only insofar as they enhance valuable and inimitable organizational capabilities (Barney, 1991). Lean management can thus be </w:t>
      </w:r>
      <w:r w:rsidRPr="006C3FC5">
        <w:rPr>
          <w:rFonts w:ascii="Arial" w:hAnsi="Arial" w:cs="Arial"/>
          <w:szCs w:val="18"/>
        </w:rPr>
        <w:lastRenderedPageBreak/>
        <w:t>conceptualized as a system of practices that strengthens operational capabilities, which in turn underpin competitive outcomes.</w:t>
      </w:r>
    </w:p>
    <w:p w14:paraId="1660BD99" w14:textId="77777777" w:rsidR="006C3FC5" w:rsidRPr="006C3FC5" w:rsidRDefault="006C3FC5" w:rsidP="006C3FC5">
      <w:pPr>
        <w:pStyle w:val="Body"/>
        <w:rPr>
          <w:rFonts w:ascii="Arial" w:hAnsi="Arial" w:cs="Arial"/>
          <w:szCs w:val="18"/>
        </w:rPr>
      </w:pPr>
      <w:r w:rsidRPr="006C3FC5">
        <w:rPr>
          <w:rFonts w:ascii="Arial" w:hAnsi="Arial" w:cs="Arial"/>
          <w:szCs w:val="18"/>
        </w:rPr>
        <w:t>Empirical studies increasingly recognize operational performance as a key mediating mechanism linking management practices to strategic results (Flynn et al., 2010; Fullerton et al., 2014). Rather than exerting a purely direct effect, lean management improves competitiveness by enhancing efficiency, quality, and flexibility, which subsequently translate into market advantages.</w:t>
      </w:r>
    </w:p>
    <w:p w14:paraId="1856585F" w14:textId="77777777" w:rsidR="006C3FC5" w:rsidRPr="006C3FC5" w:rsidRDefault="006C3FC5" w:rsidP="006C3FC5">
      <w:pPr>
        <w:pStyle w:val="Body"/>
        <w:rPr>
          <w:rFonts w:ascii="Arial" w:hAnsi="Arial" w:cs="Arial"/>
          <w:szCs w:val="18"/>
        </w:rPr>
      </w:pPr>
      <w:r w:rsidRPr="006C3FC5">
        <w:rPr>
          <w:rFonts w:ascii="Arial" w:hAnsi="Arial" w:cs="Arial"/>
          <w:szCs w:val="18"/>
        </w:rPr>
        <w:t>In SMEs, this mediating mechanism is particularly salient. Given limited resources and managerial capacity, improvements in operational performance often represent the primary channel through which strategic practices yield competitive benefits. Consequently, operational performance is expected to mediate the relationship between lean management practices and organizational competitiveness.</w:t>
      </w:r>
    </w:p>
    <w:p w14:paraId="4388FA6C" w14:textId="77777777" w:rsidR="006C3FC5" w:rsidRPr="006C3FC5" w:rsidRDefault="006C3FC5" w:rsidP="006C3FC5">
      <w:pPr>
        <w:pStyle w:val="Body"/>
        <w:rPr>
          <w:rFonts w:ascii="Arial" w:hAnsi="Arial" w:cs="Arial"/>
          <w:szCs w:val="18"/>
        </w:rPr>
      </w:pPr>
      <w:r w:rsidRPr="006C3FC5">
        <w:rPr>
          <w:rFonts w:ascii="Arial" w:hAnsi="Arial" w:cs="Arial"/>
          <w:szCs w:val="18"/>
        </w:rPr>
        <w:t>Accordingly, the following hypothesis is proposed:</w:t>
      </w:r>
    </w:p>
    <w:p w14:paraId="78FBC6C4" w14:textId="77777777" w:rsidR="006C3FC5" w:rsidRPr="006C3FC5" w:rsidRDefault="006C3FC5" w:rsidP="006C3FC5">
      <w:pPr>
        <w:pStyle w:val="Body"/>
        <w:rPr>
          <w:rFonts w:ascii="Arial" w:hAnsi="Arial" w:cs="Arial"/>
          <w:szCs w:val="18"/>
        </w:rPr>
      </w:pPr>
      <w:r w:rsidRPr="006C3FC5">
        <w:rPr>
          <w:rFonts w:ascii="Arial" w:hAnsi="Arial" w:cs="Arial"/>
          <w:b/>
          <w:bCs/>
          <w:szCs w:val="18"/>
        </w:rPr>
        <w:t>H4:</w:t>
      </w:r>
      <w:r w:rsidRPr="006C3FC5">
        <w:rPr>
          <w:rFonts w:ascii="Arial" w:hAnsi="Arial" w:cs="Arial"/>
          <w:szCs w:val="18"/>
        </w:rPr>
        <w:t xml:space="preserve"> Operational performance mediates the relationship between lean management practices and organizational competitiveness.</w:t>
      </w:r>
    </w:p>
    <w:p w14:paraId="46DFD4A8" w14:textId="77777777" w:rsidR="00B93C79" w:rsidRDefault="006C3FC5" w:rsidP="00B93C79">
      <w:pPr>
        <w:pStyle w:val="Body"/>
        <w:rPr>
          <w:rFonts w:ascii="Arial" w:hAnsi="Arial" w:cs="Arial"/>
          <w:szCs w:val="18"/>
        </w:rPr>
      </w:pPr>
      <w:r w:rsidRPr="006C3FC5">
        <w:rPr>
          <w:rFonts w:ascii="Arial" w:hAnsi="Arial" w:cs="Arial"/>
          <w:szCs w:val="18"/>
        </w:rPr>
        <w:t xml:space="preserve">Based on the hypotheses developed above, this study proposes a conceptual model in which lean management practices influence organizational competitiveness both directly and indirectly through operational performance. This model reflects the integrated nature of lean systems and aligns with established theories in operations strategy and strategic </w:t>
      </w:r>
      <w:proofErr w:type="spellStart"/>
      <w:r w:rsidRPr="006C3FC5">
        <w:rPr>
          <w:rFonts w:ascii="Arial" w:hAnsi="Arial" w:cs="Arial"/>
          <w:szCs w:val="18"/>
        </w:rPr>
        <w:t>managemen</w:t>
      </w:r>
      <w:proofErr w:type="spellEnd"/>
    </w:p>
    <w:p w14:paraId="608126AF" w14:textId="4601C77F" w:rsidR="00B93C79" w:rsidRPr="006C3FC5" w:rsidRDefault="00B93C79" w:rsidP="00B93C79">
      <w:pPr>
        <w:pStyle w:val="Body"/>
        <w:rPr>
          <w:rFonts w:ascii="Arial" w:hAnsi="Arial" w:cs="Arial"/>
          <w:szCs w:val="18"/>
        </w:rPr>
      </w:pPr>
      <w:r>
        <w:rPr>
          <w:noProof/>
        </w:rPr>
        <w:drawing>
          <wp:inline distT="0" distB="0" distL="0" distR="0" wp14:anchorId="59A09BF1" wp14:editId="679A37AB">
            <wp:extent cx="5021580" cy="1661160"/>
            <wp:effectExtent l="0" t="0" r="0" b="0"/>
            <wp:docPr id="156912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5266" b="25113"/>
                    <a:stretch>
                      <a:fillRect/>
                    </a:stretch>
                  </pic:blipFill>
                  <pic:spPr bwMode="auto">
                    <a:xfrm>
                      <a:off x="0" y="0"/>
                      <a:ext cx="5021580" cy="1661160"/>
                    </a:xfrm>
                    <a:prstGeom prst="rect">
                      <a:avLst/>
                    </a:prstGeom>
                    <a:noFill/>
                    <a:ln>
                      <a:noFill/>
                    </a:ln>
                    <a:extLst>
                      <a:ext uri="{53640926-AAD7-44D8-BBD7-CCE9431645EC}">
                        <a14:shadowObscured xmlns:a14="http://schemas.microsoft.com/office/drawing/2010/main"/>
                      </a:ext>
                    </a:extLst>
                  </pic:spPr>
                </pic:pic>
              </a:graphicData>
            </a:graphic>
          </wp:inline>
        </w:drawing>
      </w:r>
    </w:p>
    <w:p w14:paraId="799FD308" w14:textId="12C356EA"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89C8CB2" w14:textId="77777777" w:rsidR="009647F4" w:rsidRPr="009647F4" w:rsidRDefault="009647F4" w:rsidP="009647F4">
      <w:pPr>
        <w:pStyle w:val="Body"/>
        <w:rPr>
          <w:rFonts w:ascii="Arial" w:hAnsi="Arial" w:cs="Arial"/>
          <w:b/>
          <w:bCs/>
          <w:sz w:val="22"/>
        </w:rPr>
      </w:pPr>
      <w:r w:rsidRPr="009647F4">
        <w:rPr>
          <w:rFonts w:ascii="Arial" w:hAnsi="Arial" w:cs="Arial"/>
          <w:b/>
          <w:bCs/>
          <w:sz w:val="22"/>
        </w:rPr>
        <w:t>2.1 Research Design</w:t>
      </w:r>
    </w:p>
    <w:p w14:paraId="58CE6CEB" w14:textId="77777777" w:rsidR="009647F4" w:rsidRPr="009647F4" w:rsidRDefault="009647F4" w:rsidP="009647F4">
      <w:pPr>
        <w:pStyle w:val="Body"/>
        <w:rPr>
          <w:rFonts w:ascii="Arial" w:hAnsi="Arial" w:cs="Arial"/>
          <w:szCs w:val="18"/>
        </w:rPr>
      </w:pPr>
      <w:r w:rsidRPr="009647F4">
        <w:rPr>
          <w:rFonts w:ascii="Arial" w:hAnsi="Arial" w:cs="Arial"/>
          <w:szCs w:val="18"/>
        </w:rPr>
        <w:t>This study adopts a quantitative explanatory research design to examine the relationships between lean management practices, operational performance, and organizational competitiveness. The research aims to test theoretically grounded relationships and to assess both direct and indirect effects among latent constructs. Given the multidimensional nature of lean management and the presence of a mediating mechanism, the study employs Partial Least Squares Structural Equation Modeling (PLS-SEM) as the primary analytical technique.</w:t>
      </w:r>
    </w:p>
    <w:p w14:paraId="02354E90"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PLS-SEM is particularly appropriate for this study for several reasons. First, it allows for the simultaneous estimation of measurement and structural models involving latent variables. Second, it is suitable for prediction-oriented research and complex models with mediation </w:t>
      </w:r>
      <w:r w:rsidRPr="009647F4">
        <w:rPr>
          <w:rFonts w:ascii="Arial" w:hAnsi="Arial" w:cs="Arial"/>
          <w:szCs w:val="18"/>
        </w:rPr>
        <w:lastRenderedPageBreak/>
        <w:t>effects. Third, PLS-SEM is robust to non-normal data distributions and is widely used in management and operations research involving small and medium-sized enterprises (Hair et al., 2019; Sarstedt et al., 2017).</w:t>
      </w:r>
    </w:p>
    <w:p w14:paraId="52139FF6" w14:textId="77777777" w:rsidR="009647F4" w:rsidRPr="009647F4" w:rsidRDefault="009647F4" w:rsidP="009647F4">
      <w:pPr>
        <w:pStyle w:val="Body"/>
        <w:rPr>
          <w:rFonts w:ascii="Arial" w:hAnsi="Arial" w:cs="Arial"/>
          <w:b/>
          <w:bCs/>
          <w:sz w:val="22"/>
        </w:rPr>
      </w:pPr>
      <w:r w:rsidRPr="009647F4">
        <w:rPr>
          <w:rFonts w:ascii="Arial" w:hAnsi="Arial" w:cs="Arial"/>
          <w:b/>
          <w:bCs/>
          <w:sz w:val="22"/>
        </w:rPr>
        <w:t>2.2 Population and Sample</w:t>
      </w:r>
    </w:p>
    <w:p w14:paraId="55EC7C4E"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The population of this study consists of small and medium-sized enterprises (SMEs) operating in the Greater Bandung area, Indonesia, including Bandung City, </w:t>
      </w:r>
      <w:proofErr w:type="spellStart"/>
      <w:r w:rsidRPr="009647F4">
        <w:rPr>
          <w:rFonts w:ascii="Arial" w:hAnsi="Arial" w:cs="Arial"/>
          <w:szCs w:val="18"/>
        </w:rPr>
        <w:t>Cimahi</w:t>
      </w:r>
      <w:proofErr w:type="spellEnd"/>
      <w:r w:rsidRPr="009647F4">
        <w:rPr>
          <w:rFonts w:ascii="Arial" w:hAnsi="Arial" w:cs="Arial"/>
          <w:szCs w:val="18"/>
        </w:rPr>
        <w:t>, and Bandung Regency. This region was selected due to its strong concentration of manufacturing and processing-based SMEs, particularly in sectors such as textiles, food and beverages, and light manufacturing, where lean management practices are increasingly adopted to improve efficiency and competitiveness.</w:t>
      </w:r>
    </w:p>
    <w:p w14:paraId="6C69A84E" w14:textId="77777777" w:rsidR="009647F4" w:rsidRPr="009647F4" w:rsidRDefault="009647F4" w:rsidP="009647F4">
      <w:pPr>
        <w:pStyle w:val="Body"/>
        <w:rPr>
          <w:rFonts w:ascii="Arial" w:hAnsi="Arial" w:cs="Arial"/>
          <w:szCs w:val="18"/>
        </w:rPr>
      </w:pPr>
      <w:r w:rsidRPr="009647F4">
        <w:rPr>
          <w:rFonts w:ascii="Arial" w:hAnsi="Arial" w:cs="Arial"/>
          <w:szCs w:val="18"/>
        </w:rPr>
        <w:t>The unit of analysis is the firm, while the unit of observation is the owner–manager of the SME. Owner–managers were selected as key informants because, in the Indonesian SME context, they typically hold primary decision-making authority over operational processes, resource allocation, and improvement initiatives. Their central managerial role enables them to provide informed and holistic assessments of lean management practices, operational performance, and organizational competitiveness.</w:t>
      </w:r>
    </w:p>
    <w:p w14:paraId="69FC0EF0" w14:textId="77777777" w:rsidR="009647F4" w:rsidRDefault="009647F4" w:rsidP="009647F4">
      <w:pPr>
        <w:pStyle w:val="Body"/>
        <w:rPr>
          <w:rFonts w:ascii="Arial" w:hAnsi="Arial" w:cs="Arial"/>
          <w:szCs w:val="18"/>
        </w:rPr>
      </w:pPr>
      <w:r w:rsidRPr="009647F4">
        <w:rPr>
          <w:rFonts w:ascii="Arial" w:hAnsi="Arial" w:cs="Arial"/>
          <w:szCs w:val="18"/>
        </w:rPr>
        <w:t>A purposive sampling technique was employed to ensure that respondents possessed adequate knowledge of operational practices. To be included in the study, respondents were required to meet the following criteria:</w:t>
      </w:r>
    </w:p>
    <w:p w14:paraId="3D7692D2" w14:textId="77777777" w:rsidR="009647F4" w:rsidRDefault="009647F4" w:rsidP="009647F4">
      <w:pPr>
        <w:pStyle w:val="Body"/>
        <w:numPr>
          <w:ilvl w:val="0"/>
          <w:numId w:val="35"/>
        </w:numPr>
        <w:spacing w:after="0"/>
        <w:rPr>
          <w:rFonts w:ascii="Arial" w:hAnsi="Arial" w:cs="Arial"/>
          <w:szCs w:val="18"/>
        </w:rPr>
      </w:pPr>
      <w:r w:rsidRPr="009647F4">
        <w:rPr>
          <w:rFonts w:ascii="Arial" w:hAnsi="Arial" w:cs="Arial"/>
          <w:szCs w:val="18"/>
        </w:rPr>
        <w:t>the firm had been operating for at least three years;</w:t>
      </w:r>
    </w:p>
    <w:p w14:paraId="44E31CE5" w14:textId="77777777" w:rsidR="009647F4" w:rsidRDefault="009647F4" w:rsidP="009647F4">
      <w:pPr>
        <w:pStyle w:val="Body"/>
        <w:numPr>
          <w:ilvl w:val="0"/>
          <w:numId w:val="35"/>
        </w:numPr>
        <w:spacing w:after="0"/>
        <w:rPr>
          <w:rFonts w:ascii="Arial" w:hAnsi="Arial" w:cs="Arial"/>
          <w:szCs w:val="18"/>
        </w:rPr>
      </w:pPr>
      <w:r w:rsidRPr="009647F4">
        <w:rPr>
          <w:rFonts w:ascii="Arial" w:hAnsi="Arial" w:cs="Arial"/>
          <w:szCs w:val="18"/>
        </w:rPr>
        <w:t>(2) the owner–manager was directly involved in daily operational decision-making; and</w:t>
      </w:r>
    </w:p>
    <w:p w14:paraId="2C6AAEB9" w14:textId="0D81BAAC" w:rsidR="009647F4" w:rsidRPr="009647F4" w:rsidRDefault="009647F4" w:rsidP="009647F4">
      <w:pPr>
        <w:pStyle w:val="Body"/>
        <w:numPr>
          <w:ilvl w:val="0"/>
          <w:numId w:val="35"/>
        </w:numPr>
        <w:rPr>
          <w:rFonts w:ascii="Arial" w:hAnsi="Arial" w:cs="Arial"/>
          <w:szCs w:val="18"/>
        </w:rPr>
      </w:pPr>
      <w:r w:rsidRPr="009647F4">
        <w:rPr>
          <w:rFonts w:ascii="Arial" w:hAnsi="Arial" w:cs="Arial"/>
          <w:szCs w:val="18"/>
        </w:rPr>
        <w:t>(3) the firm had implemented process improvement or waste reduction practices, regardless of whether these were formally labelled as “lean.”</w:t>
      </w:r>
    </w:p>
    <w:p w14:paraId="13BDC8C0" w14:textId="77777777" w:rsidR="009647F4" w:rsidRPr="009647F4" w:rsidRDefault="009647F4" w:rsidP="009647F4">
      <w:pPr>
        <w:pStyle w:val="Body"/>
        <w:rPr>
          <w:rFonts w:ascii="Arial" w:hAnsi="Arial" w:cs="Arial"/>
          <w:b/>
          <w:bCs/>
          <w:sz w:val="22"/>
        </w:rPr>
      </w:pPr>
      <w:r w:rsidRPr="009647F4">
        <w:rPr>
          <w:rFonts w:ascii="Arial" w:hAnsi="Arial" w:cs="Arial"/>
          <w:b/>
          <w:bCs/>
          <w:sz w:val="22"/>
        </w:rPr>
        <w:t>2.3 Data Collection Procedure</w:t>
      </w:r>
    </w:p>
    <w:p w14:paraId="72CB238C" w14:textId="77777777" w:rsidR="009647F4" w:rsidRPr="009647F4" w:rsidRDefault="009647F4" w:rsidP="009647F4">
      <w:pPr>
        <w:pStyle w:val="Body"/>
        <w:rPr>
          <w:rFonts w:ascii="Arial" w:hAnsi="Arial" w:cs="Arial"/>
          <w:szCs w:val="18"/>
        </w:rPr>
      </w:pPr>
      <w:r w:rsidRPr="009647F4">
        <w:rPr>
          <w:rFonts w:ascii="Arial" w:hAnsi="Arial" w:cs="Arial"/>
          <w:szCs w:val="18"/>
        </w:rPr>
        <w:t>Data were collected using a structured questionnaire administered through an online survey platform. Prior to full-scale data collection, the questionnaire was reviewed to ensure clarity, relevance, and consistency with the study objectives. Screening questions were included at the beginning of the survey to verify respondent eligibility.</w:t>
      </w:r>
    </w:p>
    <w:p w14:paraId="761F9BBB" w14:textId="77777777" w:rsidR="009647F4" w:rsidRPr="009647F4" w:rsidRDefault="009647F4" w:rsidP="009647F4">
      <w:pPr>
        <w:pStyle w:val="Body"/>
        <w:rPr>
          <w:rFonts w:ascii="Arial" w:hAnsi="Arial" w:cs="Arial"/>
          <w:szCs w:val="18"/>
        </w:rPr>
      </w:pPr>
      <w:r w:rsidRPr="009647F4">
        <w:rPr>
          <w:rFonts w:ascii="Arial" w:hAnsi="Arial" w:cs="Arial"/>
          <w:szCs w:val="18"/>
        </w:rPr>
        <w:t>Participation in the survey was voluntary, and respondents were assured of anonymity and confidentiality to encourage candid responses and reduce evaluation apprehension. Data collection was conducted over a defined period, during which follow-up reminders were distributed to improve response rates. Only fully completed questionnaires were retained for analysis.</w:t>
      </w:r>
    </w:p>
    <w:p w14:paraId="35A64819" w14:textId="77777777" w:rsidR="009647F4" w:rsidRPr="009647F4" w:rsidRDefault="009647F4" w:rsidP="009647F4">
      <w:pPr>
        <w:pStyle w:val="Body"/>
        <w:rPr>
          <w:rFonts w:ascii="Arial" w:hAnsi="Arial" w:cs="Arial"/>
          <w:b/>
          <w:bCs/>
          <w:sz w:val="22"/>
        </w:rPr>
      </w:pPr>
      <w:r w:rsidRPr="009647F4">
        <w:rPr>
          <w:rFonts w:ascii="Arial" w:hAnsi="Arial" w:cs="Arial"/>
          <w:b/>
          <w:bCs/>
          <w:sz w:val="22"/>
        </w:rPr>
        <w:t>2.4 Measurement of Variables</w:t>
      </w:r>
    </w:p>
    <w:p w14:paraId="4728C7F7" w14:textId="77777777" w:rsidR="009647F4" w:rsidRPr="009647F4" w:rsidRDefault="009647F4" w:rsidP="009647F4">
      <w:pPr>
        <w:pStyle w:val="Body"/>
        <w:rPr>
          <w:rFonts w:ascii="Arial" w:hAnsi="Arial" w:cs="Arial"/>
          <w:szCs w:val="18"/>
        </w:rPr>
      </w:pPr>
      <w:r w:rsidRPr="009647F4">
        <w:rPr>
          <w:rFonts w:ascii="Arial" w:hAnsi="Arial" w:cs="Arial"/>
          <w:szCs w:val="18"/>
        </w:rPr>
        <w:t>All constructs in this study were measured using multi-item reflective scales adapted from established and validated instruments in the literature. Minor wording adjustments were made to ensure suitability for the SME context while preserving the original conceptual meaning of each construct.</w:t>
      </w:r>
    </w:p>
    <w:p w14:paraId="028C2341" w14:textId="77777777" w:rsidR="009647F4" w:rsidRPr="009647F4" w:rsidRDefault="009647F4" w:rsidP="009647F4">
      <w:pPr>
        <w:pStyle w:val="Body"/>
        <w:numPr>
          <w:ilvl w:val="0"/>
          <w:numId w:val="33"/>
        </w:numPr>
        <w:spacing w:after="0"/>
        <w:jc w:val="left"/>
        <w:rPr>
          <w:rFonts w:ascii="Arial" w:hAnsi="Arial" w:cs="Arial"/>
          <w:szCs w:val="18"/>
        </w:rPr>
      </w:pPr>
      <w:r w:rsidRPr="009647F4">
        <w:rPr>
          <w:rFonts w:ascii="Arial" w:hAnsi="Arial" w:cs="Arial"/>
          <w:szCs w:val="18"/>
        </w:rPr>
        <w:t>Lean Management Practices (LMP):</w:t>
      </w:r>
      <w:r w:rsidRPr="009647F4">
        <w:rPr>
          <w:rFonts w:ascii="Arial" w:hAnsi="Arial" w:cs="Arial"/>
          <w:szCs w:val="18"/>
        </w:rPr>
        <w:br/>
        <w:t xml:space="preserve">This construct captures the extent to which SMEs implement practices aimed at waste reduction, process standardization, continuous improvement, and employee </w:t>
      </w:r>
      <w:r w:rsidRPr="009647F4">
        <w:rPr>
          <w:rFonts w:ascii="Arial" w:hAnsi="Arial" w:cs="Arial"/>
          <w:szCs w:val="18"/>
        </w:rPr>
        <w:lastRenderedPageBreak/>
        <w:t>involvement. Measurement items were adapted from prior studies on lean systems and operational practices (Cua et al., 2001; Shah &amp; Ward, 2007).</w:t>
      </w:r>
    </w:p>
    <w:p w14:paraId="553123E4" w14:textId="77777777" w:rsidR="009647F4" w:rsidRPr="009647F4" w:rsidRDefault="009647F4" w:rsidP="009647F4">
      <w:pPr>
        <w:pStyle w:val="Body"/>
        <w:numPr>
          <w:ilvl w:val="0"/>
          <w:numId w:val="33"/>
        </w:numPr>
        <w:spacing w:after="0"/>
        <w:jc w:val="left"/>
        <w:rPr>
          <w:rFonts w:ascii="Arial" w:hAnsi="Arial" w:cs="Arial"/>
          <w:szCs w:val="18"/>
        </w:rPr>
      </w:pPr>
      <w:r w:rsidRPr="009647F4">
        <w:rPr>
          <w:rFonts w:ascii="Arial" w:hAnsi="Arial" w:cs="Arial"/>
          <w:szCs w:val="18"/>
        </w:rPr>
        <w:t>Operational Performance (OP):</w:t>
      </w:r>
      <w:r w:rsidRPr="009647F4">
        <w:rPr>
          <w:rFonts w:ascii="Arial" w:hAnsi="Arial" w:cs="Arial"/>
          <w:szCs w:val="18"/>
        </w:rPr>
        <w:br/>
        <w:t>Operational performance reflects the firm’s ability to achieve efficiency, quality, delivery reliability, and operational flexibility. Measurement items were adapted from established performance scales used in operations management research (Flynn et al., 2010; Rosenzweig et al., 2003).</w:t>
      </w:r>
    </w:p>
    <w:p w14:paraId="593AD345" w14:textId="77777777" w:rsidR="009647F4" w:rsidRPr="009647F4" w:rsidRDefault="009647F4" w:rsidP="009647F4">
      <w:pPr>
        <w:pStyle w:val="Body"/>
        <w:numPr>
          <w:ilvl w:val="0"/>
          <w:numId w:val="33"/>
        </w:numPr>
        <w:jc w:val="left"/>
        <w:rPr>
          <w:rFonts w:ascii="Arial" w:hAnsi="Arial" w:cs="Arial"/>
          <w:szCs w:val="18"/>
        </w:rPr>
      </w:pPr>
      <w:r w:rsidRPr="009647F4">
        <w:rPr>
          <w:rFonts w:ascii="Arial" w:hAnsi="Arial" w:cs="Arial"/>
          <w:szCs w:val="18"/>
        </w:rPr>
        <w:t>Organizational Competitiveness (OC):</w:t>
      </w:r>
      <w:r w:rsidRPr="009647F4">
        <w:rPr>
          <w:rFonts w:ascii="Arial" w:hAnsi="Arial" w:cs="Arial"/>
          <w:szCs w:val="18"/>
        </w:rPr>
        <w:br/>
        <w:t xml:space="preserve">Organizational competitiveness refers to the firm’s perceived ability to compete effectively in its market, including responsiveness to customer needs, competitive positioning, and overall market performance. Measurement items were adapted from studies linking operational capabilities to competitive outcomes (Porter, 1985; </w:t>
      </w:r>
      <w:proofErr w:type="spellStart"/>
      <w:r w:rsidRPr="009647F4">
        <w:rPr>
          <w:rFonts w:ascii="Arial" w:hAnsi="Arial" w:cs="Arial"/>
          <w:szCs w:val="18"/>
        </w:rPr>
        <w:t>Ketokivi</w:t>
      </w:r>
      <w:proofErr w:type="spellEnd"/>
      <w:r w:rsidRPr="009647F4">
        <w:rPr>
          <w:rFonts w:ascii="Arial" w:hAnsi="Arial" w:cs="Arial"/>
          <w:szCs w:val="18"/>
        </w:rPr>
        <w:t xml:space="preserve"> &amp; Schroeder, 2004).</w:t>
      </w:r>
    </w:p>
    <w:p w14:paraId="40C7EF0F" w14:textId="77777777" w:rsidR="009647F4" w:rsidRPr="009647F4" w:rsidRDefault="009647F4" w:rsidP="009647F4">
      <w:pPr>
        <w:pStyle w:val="Body"/>
        <w:rPr>
          <w:rFonts w:ascii="Arial" w:hAnsi="Arial" w:cs="Arial"/>
          <w:szCs w:val="18"/>
        </w:rPr>
      </w:pPr>
      <w:r w:rsidRPr="009647F4">
        <w:rPr>
          <w:rFonts w:ascii="Arial" w:hAnsi="Arial" w:cs="Arial"/>
          <w:szCs w:val="18"/>
        </w:rPr>
        <w:t>All measurement items were assessed using a five-point Likert scale, ranging from 1 (“strongly disagree”) to 5 (“strongly agree”).</w:t>
      </w:r>
    </w:p>
    <w:p w14:paraId="512AE8FE" w14:textId="77777777" w:rsidR="009647F4" w:rsidRPr="009647F4" w:rsidRDefault="009647F4" w:rsidP="009647F4">
      <w:pPr>
        <w:pStyle w:val="Body"/>
        <w:rPr>
          <w:rFonts w:ascii="Arial" w:hAnsi="Arial" w:cs="Arial"/>
          <w:b/>
          <w:bCs/>
          <w:sz w:val="22"/>
        </w:rPr>
      </w:pPr>
      <w:r w:rsidRPr="009647F4">
        <w:rPr>
          <w:rFonts w:ascii="Arial" w:hAnsi="Arial" w:cs="Arial"/>
          <w:b/>
          <w:bCs/>
          <w:sz w:val="22"/>
        </w:rPr>
        <w:t>2.5 Data Analysis Procedure</w:t>
      </w:r>
    </w:p>
    <w:p w14:paraId="76392A3E" w14:textId="77777777" w:rsidR="009647F4" w:rsidRPr="009647F4" w:rsidRDefault="009647F4" w:rsidP="009647F4">
      <w:pPr>
        <w:pStyle w:val="Body"/>
        <w:rPr>
          <w:rFonts w:ascii="Arial" w:hAnsi="Arial" w:cs="Arial"/>
          <w:szCs w:val="18"/>
        </w:rPr>
      </w:pPr>
      <w:r w:rsidRPr="009647F4">
        <w:rPr>
          <w:rFonts w:ascii="Arial" w:hAnsi="Arial" w:cs="Arial"/>
          <w:szCs w:val="18"/>
        </w:rPr>
        <w:t>Data analysis was conducted using PLS-SEM software following a two-stage procedure: evaluation of the measurement model and evaluation of the structural model (Hair et al., 2019).</w:t>
      </w:r>
    </w:p>
    <w:p w14:paraId="1C7DE033"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The measurement model was evaluated to assess internal consistency reliability and construct validity. Cronbach’s alpha and composite reliability (CR) were used to assess reliability. Convergent validity was examined using the average variance extracted (AVE), while discriminant validity was assessed using the </w:t>
      </w:r>
      <w:proofErr w:type="spellStart"/>
      <w:r w:rsidRPr="009647F4">
        <w:rPr>
          <w:rFonts w:ascii="Arial" w:hAnsi="Arial" w:cs="Arial"/>
          <w:szCs w:val="18"/>
        </w:rPr>
        <w:t>heterotrait</w:t>
      </w:r>
      <w:proofErr w:type="spellEnd"/>
      <w:r w:rsidRPr="009647F4">
        <w:rPr>
          <w:rFonts w:ascii="Arial" w:hAnsi="Arial" w:cs="Arial"/>
          <w:szCs w:val="18"/>
        </w:rPr>
        <w:t>–</w:t>
      </w:r>
      <w:proofErr w:type="spellStart"/>
      <w:r w:rsidRPr="009647F4">
        <w:rPr>
          <w:rFonts w:ascii="Arial" w:hAnsi="Arial" w:cs="Arial"/>
          <w:szCs w:val="18"/>
        </w:rPr>
        <w:t>monotrait</w:t>
      </w:r>
      <w:proofErr w:type="spellEnd"/>
      <w:r w:rsidRPr="009647F4">
        <w:rPr>
          <w:rFonts w:ascii="Arial" w:hAnsi="Arial" w:cs="Arial"/>
          <w:szCs w:val="18"/>
        </w:rPr>
        <w:t xml:space="preserve"> ratio (HTMT).</w:t>
      </w:r>
    </w:p>
    <w:p w14:paraId="240ED8C0" w14:textId="77777777" w:rsidR="009647F4" w:rsidRPr="009647F4" w:rsidRDefault="009647F4" w:rsidP="009647F4">
      <w:pPr>
        <w:pStyle w:val="Body"/>
        <w:rPr>
          <w:rFonts w:ascii="Arial" w:hAnsi="Arial" w:cs="Arial"/>
          <w:szCs w:val="18"/>
        </w:rPr>
      </w:pPr>
      <w:r w:rsidRPr="009647F4">
        <w:rPr>
          <w:rFonts w:ascii="Arial" w:hAnsi="Arial" w:cs="Arial"/>
          <w:szCs w:val="18"/>
        </w:rPr>
        <w:t>Indicators with loadings below recommended thresholds were reviewed carefully and retained only if theoretically justified and if overall construct validity remained acceptable.</w:t>
      </w:r>
    </w:p>
    <w:p w14:paraId="0F2D84E2"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The structural model was evaluated by examining path coefficients, coefficients of determination (R²), and effect sizes (f²). The significance of </w:t>
      </w:r>
      <w:proofErr w:type="spellStart"/>
      <w:r w:rsidRPr="009647F4">
        <w:rPr>
          <w:rFonts w:ascii="Arial" w:hAnsi="Arial" w:cs="Arial"/>
          <w:szCs w:val="18"/>
        </w:rPr>
        <w:t>hypothesised</w:t>
      </w:r>
      <w:proofErr w:type="spellEnd"/>
      <w:r w:rsidRPr="009647F4">
        <w:rPr>
          <w:rFonts w:ascii="Arial" w:hAnsi="Arial" w:cs="Arial"/>
          <w:szCs w:val="18"/>
        </w:rPr>
        <w:t xml:space="preserve"> relationships was tested using a bootstrapping procedure with 5,000 resamples.</w:t>
      </w:r>
    </w:p>
    <w:p w14:paraId="604F843A" w14:textId="77777777" w:rsidR="009647F4" w:rsidRPr="009647F4" w:rsidRDefault="009647F4" w:rsidP="009647F4">
      <w:pPr>
        <w:pStyle w:val="Body"/>
        <w:rPr>
          <w:rFonts w:ascii="Arial" w:hAnsi="Arial" w:cs="Arial"/>
          <w:szCs w:val="18"/>
        </w:rPr>
      </w:pPr>
      <w:r w:rsidRPr="009647F4">
        <w:rPr>
          <w:rFonts w:ascii="Arial" w:hAnsi="Arial" w:cs="Arial"/>
          <w:szCs w:val="18"/>
        </w:rPr>
        <w:t>The mediating role of operational performance was assessed by examining the significance of indirect effects and comparing direct and indirect relationships in accordance with established mediation testing guidelines in PLS-SEM.</w:t>
      </w:r>
    </w:p>
    <w:p w14:paraId="659092C3" w14:textId="77777777" w:rsidR="009647F4" w:rsidRPr="009647F4" w:rsidRDefault="009647F4" w:rsidP="009647F4">
      <w:pPr>
        <w:pStyle w:val="Body"/>
        <w:rPr>
          <w:rFonts w:ascii="Arial" w:hAnsi="Arial" w:cs="Arial"/>
          <w:b/>
          <w:bCs/>
          <w:sz w:val="22"/>
        </w:rPr>
      </w:pPr>
      <w:r w:rsidRPr="009647F4">
        <w:rPr>
          <w:rFonts w:ascii="Arial" w:hAnsi="Arial" w:cs="Arial"/>
          <w:b/>
          <w:bCs/>
          <w:sz w:val="22"/>
        </w:rPr>
        <w:t>2.6 Common Method Bias</w:t>
      </w:r>
    </w:p>
    <w:p w14:paraId="765B400B" w14:textId="77777777" w:rsidR="009647F4" w:rsidRPr="009647F4" w:rsidRDefault="009647F4" w:rsidP="009647F4">
      <w:pPr>
        <w:pStyle w:val="Body"/>
        <w:rPr>
          <w:rFonts w:ascii="Arial" w:hAnsi="Arial" w:cs="Arial"/>
          <w:szCs w:val="18"/>
        </w:rPr>
      </w:pPr>
      <w:r w:rsidRPr="009647F4">
        <w:rPr>
          <w:rFonts w:ascii="Arial" w:hAnsi="Arial" w:cs="Arial"/>
          <w:szCs w:val="18"/>
        </w:rPr>
        <w:t>Given that data were collected from a single respondent per firm using a self-reported questionnaire, potential common method bias was addressed through both procedural and statistical remedies. Procedurally, respondent anonymity was assured, and items were carefully worded to reduce social desirability bias. Statistically, collinearity diagnostics were examined to assess whether common method variance posed a serious threat to the validity of the results (Kock, 2015).</w:t>
      </w:r>
    </w:p>
    <w:p w14:paraId="2CDC6EDD" w14:textId="77777777" w:rsidR="00790ADA" w:rsidRPr="00FB3A86" w:rsidRDefault="00790ADA" w:rsidP="00441B6F">
      <w:pPr>
        <w:pStyle w:val="Body"/>
        <w:spacing w:after="0"/>
        <w:rPr>
          <w:rFonts w:ascii="Arial" w:hAnsi="Arial" w:cs="Arial"/>
        </w:rPr>
      </w:pPr>
    </w:p>
    <w:p w14:paraId="5392ADAE" w14:textId="691E6DB5" w:rsidR="00790ADA" w:rsidRDefault="00000F8F" w:rsidP="007D706E">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93D5BE3" w14:textId="3FA20C5B" w:rsidR="00B93C79" w:rsidRDefault="00B93C79" w:rsidP="007D706E">
      <w:pPr>
        <w:pStyle w:val="Head1"/>
        <w:spacing w:after="0"/>
        <w:jc w:val="both"/>
        <w:rPr>
          <w:rFonts w:ascii="Arial" w:hAnsi="Arial" w:cs="Arial"/>
        </w:rPr>
      </w:pPr>
      <w:r>
        <w:rPr>
          <w:rFonts w:ascii="Arial" w:hAnsi="Arial" w:cs="Arial"/>
        </w:rPr>
        <w:t xml:space="preserve">3.1 </w:t>
      </w:r>
      <w:r>
        <w:rPr>
          <w:rFonts w:ascii="Arial" w:hAnsi="Arial" w:cs="Arial"/>
          <w:caps w:val="0"/>
        </w:rPr>
        <w:t>Respondents Characteristics</w:t>
      </w:r>
    </w:p>
    <w:p w14:paraId="12A1F91D" w14:textId="52F1DBBF" w:rsidR="00B93C79" w:rsidRDefault="00B93C79" w:rsidP="00B93C79">
      <w:pPr>
        <w:pStyle w:val="Body"/>
        <w:rPr>
          <w:rFonts w:ascii="Arial" w:hAnsi="Arial" w:cs="Arial"/>
        </w:rPr>
      </w:pPr>
      <w:r w:rsidRPr="00B93C79">
        <w:rPr>
          <w:rFonts w:ascii="Arial" w:hAnsi="Arial" w:cs="Arial"/>
        </w:rPr>
        <w:t xml:space="preserve">Table </w:t>
      </w:r>
      <w:r>
        <w:rPr>
          <w:rFonts w:ascii="Arial" w:hAnsi="Arial" w:cs="Arial"/>
        </w:rPr>
        <w:t>1</w:t>
      </w:r>
      <w:r w:rsidRPr="00B93C79">
        <w:rPr>
          <w:rFonts w:ascii="Arial" w:hAnsi="Arial" w:cs="Arial"/>
        </w:rPr>
        <w:t xml:space="preserve"> presents the demographic and firm-level characteristics of the sample. All respondents were owner–managers, reflecting the decision-making structure of SMEs in the Indonesian context. The majority of firms had been operating for more than five years, and most employed between 10 and 49 workers, indicating a predominance of small-sized enterprises. The sample was concentrated in manufacturing-related sectors, particularly textiles, food and beverages, and light manufacturing, where lean management practices are commonly applied</w:t>
      </w:r>
      <w:r w:rsidRPr="00B370E4">
        <w:rPr>
          <w:rFonts w:ascii="Arial" w:hAnsi="Arial" w:cs="Arial"/>
        </w:rPr>
        <w:t>.</w:t>
      </w:r>
    </w:p>
    <w:p w14:paraId="623EBD6B" w14:textId="6B69385F" w:rsidR="00B93C79" w:rsidRPr="00B93C79" w:rsidRDefault="00B93C79" w:rsidP="00B93C79">
      <w:pPr>
        <w:pStyle w:val="Caption"/>
        <w:keepNext/>
        <w:spacing w:after="0"/>
        <w:rPr>
          <w:rFonts w:ascii="Arial" w:hAnsi="Arial" w:cs="Arial"/>
          <w:i w:val="0"/>
          <w:iCs w:val="0"/>
          <w:color w:val="auto"/>
          <w:sz w:val="20"/>
          <w:szCs w:val="20"/>
        </w:rPr>
      </w:pPr>
      <w:r w:rsidRPr="00B93C79">
        <w:rPr>
          <w:rFonts w:ascii="Arial" w:hAnsi="Arial" w:cs="Arial"/>
          <w:b/>
          <w:bCs/>
          <w:i w:val="0"/>
          <w:iCs w:val="0"/>
          <w:color w:val="auto"/>
          <w:sz w:val="20"/>
          <w:szCs w:val="20"/>
        </w:rPr>
        <w:t xml:space="preserve">Table </w:t>
      </w:r>
      <w:r w:rsidRPr="00B93C79">
        <w:rPr>
          <w:rFonts w:ascii="Arial" w:hAnsi="Arial" w:cs="Arial"/>
          <w:b/>
          <w:bCs/>
          <w:i w:val="0"/>
          <w:iCs w:val="0"/>
          <w:color w:val="auto"/>
          <w:sz w:val="20"/>
          <w:szCs w:val="20"/>
        </w:rPr>
        <w:fldChar w:fldCharType="begin"/>
      </w:r>
      <w:r w:rsidRPr="00B93C79">
        <w:rPr>
          <w:rFonts w:ascii="Arial" w:hAnsi="Arial" w:cs="Arial"/>
          <w:b/>
          <w:bCs/>
          <w:i w:val="0"/>
          <w:iCs w:val="0"/>
          <w:color w:val="auto"/>
          <w:sz w:val="20"/>
          <w:szCs w:val="20"/>
        </w:rPr>
        <w:instrText xml:space="preserve"> SEQ Table \* ARABIC </w:instrText>
      </w:r>
      <w:r w:rsidRPr="00B93C79">
        <w:rPr>
          <w:rFonts w:ascii="Arial" w:hAnsi="Arial" w:cs="Arial"/>
          <w:b/>
          <w:bCs/>
          <w:i w:val="0"/>
          <w:iCs w:val="0"/>
          <w:color w:val="auto"/>
          <w:sz w:val="20"/>
          <w:szCs w:val="20"/>
        </w:rPr>
        <w:fldChar w:fldCharType="separate"/>
      </w:r>
      <w:r w:rsidR="0078217C">
        <w:rPr>
          <w:rFonts w:ascii="Arial" w:hAnsi="Arial" w:cs="Arial"/>
          <w:b/>
          <w:bCs/>
          <w:i w:val="0"/>
          <w:iCs w:val="0"/>
          <w:noProof/>
          <w:color w:val="auto"/>
          <w:sz w:val="20"/>
          <w:szCs w:val="20"/>
        </w:rPr>
        <w:t>1</w:t>
      </w:r>
      <w:r w:rsidRPr="00B93C79">
        <w:rPr>
          <w:rFonts w:ascii="Arial" w:hAnsi="Arial" w:cs="Arial"/>
          <w:b/>
          <w:bCs/>
          <w:i w:val="0"/>
          <w:iCs w:val="0"/>
          <w:color w:val="auto"/>
          <w:sz w:val="20"/>
          <w:szCs w:val="20"/>
        </w:rPr>
        <w:fldChar w:fldCharType="end"/>
      </w:r>
      <w:r w:rsidRPr="00B93C79">
        <w:rPr>
          <w:rFonts w:ascii="Arial" w:hAnsi="Arial" w:cs="Arial"/>
          <w:i w:val="0"/>
          <w:iCs w:val="0"/>
          <w:color w:val="auto"/>
          <w:sz w:val="20"/>
          <w:szCs w:val="20"/>
        </w:rPr>
        <w:t xml:space="preserve"> Sample Characteristics of Respondents and Firms (n=186)</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99"/>
        <w:gridCol w:w="2962"/>
        <w:gridCol w:w="1072"/>
        <w:gridCol w:w="1520"/>
      </w:tblGrid>
      <w:tr w:rsidR="00B93C79" w:rsidRPr="00B93C79" w14:paraId="2E1678F8" w14:textId="77777777" w:rsidTr="00B93C79">
        <w:trPr>
          <w:tblHeader/>
          <w:tblCellSpacing w:w="15" w:type="dxa"/>
          <w:jc w:val="center"/>
        </w:trPr>
        <w:tc>
          <w:tcPr>
            <w:tcW w:w="0" w:type="auto"/>
            <w:tcBorders>
              <w:top w:val="single" w:sz="4" w:space="0" w:color="auto"/>
              <w:bottom w:val="single" w:sz="4" w:space="0" w:color="auto"/>
            </w:tcBorders>
            <w:vAlign w:val="center"/>
            <w:hideMark/>
          </w:tcPr>
          <w:p w14:paraId="38CBE65B" w14:textId="77777777" w:rsidR="00B93C79" w:rsidRPr="00B93C79" w:rsidRDefault="00B93C79" w:rsidP="00B93C79">
            <w:pPr>
              <w:jc w:val="center"/>
              <w:rPr>
                <w:rFonts w:ascii="Arial" w:hAnsi="Arial" w:cs="Arial"/>
                <w:b/>
                <w:bCs/>
              </w:rPr>
            </w:pPr>
            <w:r w:rsidRPr="00B93C79">
              <w:rPr>
                <w:rFonts w:ascii="Arial" w:hAnsi="Arial" w:cs="Arial"/>
                <w:b/>
                <w:bCs/>
              </w:rPr>
              <w:t>Characteristic</w:t>
            </w:r>
          </w:p>
        </w:tc>
        <w:tc>
          <w:tcPr>
            <w:tcW w:w="0" w:type="auto"/>
            <w:tcBorders>
              <w:top w:val="single" w:sz="4" w:space="0" w:color="auto"/>
              <w:bottom w:val="single" w:sz="4" w:space="0" w:color="auto"/>
            </w:tcBorders>
            <w:vAlign w:val="center"/>
            <w:hideMark/>
          </w:tcPr>
          <w:p w14:paraId="01511504" w14:textId="77777777" w:rsidR="00B93C79" w:rsidRPr="00B93C79" w:rsidRDefault="00B93C79" w:rsidP="00B93C79">
            <w:pPr>
              <w:jc w:val="center"/>
              <w:rPr>
                <w:rFonts w:ascii="Arial" w:hAnsi="Arial" w:cs="Arial"/>
                <w:b/>
                <w:bCs/>
              </w:rPr>
            </w:pPr>
            <w:r w:rsidRPr="00B93C79">
              <w:rPr>
                <w:rFonts w:ascii="Arial" w:hAnsi="Arial" w:cs="Arial"/>
                <w:b/>
                <w:bCs/>
              </w:rPr>
              <w:t>Category</w:t>
            </w:r>
          </w:p>
        </w:tc>
        <w:tc>
          <w:tcPr>
            <w:tcW w:w="0" w:type="auto"/>
            <w:tcBorders>
              <w:top w:val="single" w:sz="4" w:space="0" w:color="auto"/>
              <w:bottom w:val="single" w:sz="4" w:space="0" w:color="auto"/>
            </w:tcBorders>
            <w:vAlign w:val="center"/>
            <w:hideMark/>
          </w:tcPr>
          <w:p w14:paraId="1E9FF9C5" w14:textId="77777777" w:rsidR="00B93C79" w:rsidRPr="00B93C79" w:rsidRDefault="00B93C79" w:rsidP="00B93C79">
            <w:pPr>
              <w:jc w:val="center"/>
              <w:rPr>
                <w:rFonts w:ascii="Arial" w:hAnsi="Arial" w:cs="Arial"/>
                <w:b/>
                <w:bCs/>
              </w:rPr>
            </w:pPr>
            <w:r w:rsidRPr="00B93C79">
              <w:rPr>
                <w:rFonts w:ascii="Arial" w:hAnsi="Arial" w:cs="Arial"/>
                <w:b/>
                <w:bCs/>
              </w:rPr>
              <w:t>Frequency</w:t>
            </w:r>
          </w:p>
        </w:tc>
        <w:tc>
          <w:tcPr>
            <w:tcW w:w="0" w:type="auto"/>
            <w:tcBorders>
              <w:top w:val="single" w:sz="4" w:space="0" w:color="auto"/>
              <w:bottom w:val="single" w:sz="4" w:space="0" w:color="auto"/>
            </w:tcBorders>
            <w:vAlign w:val="center"/>
            <w:hideMark/>
          </w:tcPr>
          <w:p w14:paraId="7A3DC0B2" w14:textId="77777777" w:rsidR="00B93C79" w:rsidRPr="00B93C79" w:rsidRDefault="00B93C79" w:rsidP="00B93C79">
            <w:pPr>
              <w:jc w:val="center"/>
              <w:rPr>
                <w:rFonts w:ascii="Arial" w:hAnsi="Arial" w:cs="Arial"/>
                <w:b/>
                <w:bCs/>
              </w:rPr>
            </w:pPr>
            <w:r w:rsidRPr="00B93C79">
              <w:rPr>
                <w:rFonts w:ascii="Arial" w:hAnsi="Arial" w:cs="Arial"/>
                <w:b/>
                <w:bCs/>
              </w:rPr>
              <w:t>Percentage (%)</w:t>
            </w:r>
          </w:p>
        </w:tc>
      </w:tr>
      <w:tr w:rsidR="00B93C79" w:rsidRPr="00B93C79" w14:paraId="136A3EFA" w14:textId="77777777" w:rsidTr="00B93C79">
        <w:trPr>
          <w:tblCellSpacing w:w="15" w:type="dxa"/>
          <w:jc w:val="center"/>
        </w:trPr>
        <w:tc>
          <w:tcPr>
            <w:tcW w:w="0" w:type="auto"/>
            <w:vAlign w:val="center"/>
            <w:hideMark/>
          </w:tcPr>
          <w:p w14:paraId="2F2B8D8C" w14:textId="77777777" w:rsidR="00B93C79" w:rsidRPr="00B93C79" w:rsidRDefault="00B93C79" w:rsidP="00B93C79">
            <w:pPr>
              <w:rPr>
                <w:rFonts w:ascii="Arial" w:hAnsi="Arial" w:cs="Arial"/>
              </w:rPr>
            </w:pPr>
            <w:r w:rsidRPr="00B93C79">
              <w:rPr>
                <w:rFonts w:ascii="Arial" w:hAnsi="Arial" w:cs="Arial"/>
                <w:b/>
                <w:bCs/>
              </w:rPr>
              <w:t>Respondent Position</w:t>
            </w:r>
          </w:p>
        </w:tc>
        <w:tc>
          <w:tcPr>
            <w:tcW w:w="0" w:type="auto"/>
            <w:vAlign w:val="center"/>
            <w:hideMark/>
          </w:tcPr>
          <w:p w14:paraId="34E20A54" w14:textId="77777777" w:rsidR="00B93C79" w:rsidRPr="00B93C79" w:rsidRDefault="00B93C79" w:rsidP="00B93C79">
            <w:pPr>
              <w:rPr>
                <w:rFonts w:ascii="Arial" w:hAnsi="Arial" w:cs="Arial"/>
              </w:rPr>
            </w:pPr>
            <w:r w:rsidRPr="00B93C79">
              <w:rPr>
                <w:rFonts w:ascii="Arial" w:hAnsi="Arial" w:cs="Arial"/>
              </w:rPr>
              <w:t>Owner–Manager</w:t>
            </w:r>
          </w:p>
        </w:tc>
        <w:tc>
          <w:tcPr>
            <w:tcW w:w="0" w:type="auto"/>
            <w:vAlign w:val="center"/>
            <w:hideMark/>
          </w:tcPr>
          <w:p w14:paraId="5EB30384" w14:textId="77777777" w:rsidR="00B93C79" w:rsidRPr="00B93C79" w:rsidRDefault="00B93C79" w:rsidP="00B93C79">
            <w:pPr>
              <w:jc w:val="center"/>
              <w:rPr>
                <w:rFonts w:ascii="Arial" w:hAnsi="Arial" w:cs="Arial"/>
              </w:rPr>
            </w:pPr>
            <w:r w:rsidRPr="00B93C79">
              <w:rPr>
                <w:rFonts w:ascii="Arial" w:hAnsi="Arial" w:cs="Arial"/>
              </w:rPr>
              <w:t>186</w:t>
            </w:r>
          </w:p>
        </w:tc>
        <w:tc>
          <w:tcPr>
            <w:tcW w:w="0" w:type="auto"/>
            <w:vAlign w:val="center"/>
            <w:hideMark/>
          </w:tcPr>
          <w:p w14:paraId="149AD857" w14:textId="77777777" w:rsidR="00B93C79" w:rsidRPr="00B93C79" w:rsidRDefault="00B93C79" w:rsidP="00B93C79">
            <w:pPr>
              <w:jc w:val="center"/>
              <w:rPr>
                <w:rFonts w:ascii="Arial" w:hAnsi="Arial" w:cs="Arial"/>
              </w:rPr>
            </w:pPr>
            <w:r w:rsidRPr="00B93C79">
              <w:rPr>
                <w:rFonts w:ascii="Arial" w:hAnsi="Arial" w:cs="Arial"/>
              </w:rPr>
              <w:t>100.0</w:t>
            </w:r>
          </w:p>
        </w:tc>
      </w:tr>
      <w:tr w:rsidR="00B93C79" w:rsidRPr="00B93C79" w14:paraId="01F16EFE" w14:textId="77777777" w:rsidTr="00B93C79">
        <w:trPr>
          <w:tblCellSpacing w:w="15" w:type="dxa"/>
          <w:jc w:val="center"/>
        </w:trPr>
        <w:tc>
          <w:tcPr>
            <w:tcW w:w="0" w:type="auto"/>
            <w:vAlign w:val="center"/>
            <w:hideMark/>
          </w:tcPr>
          <w:p w14:paraId="6DFEA73A" w14:textId="77777777" w:rsidR="00B93C79" w:rsidRPr="00B93C79" w:rsidRDefault="00B93C79" w:rsidP="00B93C79">
            <w:pPr>
              <w:rPr>
                <w:rFonts w:ascii="Arial" w:hAnsi="Arial" w:cs="Arial"/>
              </w:rPr>
            </w:pPr>
            <w:r w:rsidRPr="00B93C79">
              <w:rPr>
                <w:rFonts w:ascii="Arial" w:hAnsi="Arial" w:cs="Arial"/>
                <w:b/>
                <w:bCs/>
              </w:rPr>
              <w:t>Firm Age</w:t>
            </w:r>
          </w:p>
        </w:tc>
        <w:tc>
          <w:tcPr>
            <w:tcW w:w="0" w:type="auto"/>
            <w:vAlign w:val="center"/>
            <w:hideMark/>
          </w:tcPr>
          <w:p w14:paraId="5D6254EE" w14:textId="77777777" w:rsidR="00B93C79" w:rsidRPr="00B93C79" w:rsidRDefault="00B93C79" w:rsidP="00B93C79">
            <w:pPr>
              <w:rPr>
                <w:rFonts w:ascii="Arial" w:hAnsi="Arial" w:cs="Arial"/>
              </w:rPr>
            </w:pPr>
            <w:r w:rsidRPr="00B93C79">
              <w:rPr>
                <w:rFonts w:ascii="Arial" w:hAnsi="Arial" w:cs="Arial"/>
              </w:rPr>
              <w:t>3–5 years</w:t>
            </w:r>
          </w:p>
        </w:tc>
        <w:tc>
          <w:tcPr>
            <w:tcW w:w="0" w:type="auto"/>
            <w:vAlign w:val="center"/>
            <w:hideMark/>
          </w:tcPr>
          <w:p w14:paraId="206107DA" w14:textId="77777777" w:rsidR="00B93C79" w:rsidRPr="00B93C79" w:rsidRDefault="00B93C79" w:rsidP="00B93C79">
            <w:pPr>
              <w:jc w:val="center"/>
              <w:rPr>
                <w:rFonts w:ascii="Arial" w:hAnsi="Arial" w:cs="Arial"/>
              </w:rPr>
            </w:pPr>
            <w:r w:rsidRPr="00B93C79">
              <w:rPr>
                <w:rFonts w:ascii="Arial" w:hAnsi="Arial" w:cs="Arial"/>
              </w:rPr>
              <w:t>54</w:t>
            </w:r>
          </w:p>
        </w:tc>
        <w:tc>
          <w:tcPr>
            <w:tcW w:w="0" w:type="auto"/>
            <w:vAlign w:val="center"/>
            <w:hideMark/>
          </w:tcPr>
          <w:p w14:paraId="4577046C" w14:textId="77777777" w:rsidR="00B93C79" w:rsidRPr="00B93C79" w:rsidRDefault="00B93C79" w:rsidP="00B93C79">
            <w:pPr>
              <w:jc w:val="center"/>
              <w:rPr>
                <w:rFonts w:ascii="Arial" w:hAnsi="Arial" w:cs="Arial"/>
              </w:rPr>
            </w:pPr>
            <w:r w:rsidRPr="00B93C79">
              <w:rPr>
                <w:rFonts w:ascii="Arial" w:hAnsi="Arial" w:cs="Arial"/>
              </w:rPr>
              <w:t>29.0</w:t>
            </w:r>
          </w:p>
        </w:tc>
      </w:tr>
      <w:tr w:rsidR="00B93C79" w:rsidRPr="00B93C79" w14:paraId="6B088D9D" w14:textId="77777777" w:rsidTr="00B93C79">
        <w:trPr>
          <w:tblCellSpacing w:w="15" w:type="dxa"/>
          <w:jc w:val="center"/>
        </w:trPr>
        <w:tc>
          <w:tcPr>
            <w:tcW w:w="0" w:type="auto"/>
            <w:vAlign w:val="center"/>
            <w:hideMark/>
          </w:tcPr>
          <w:p w14:paraId="263BABE4" w14:textId="77777777" w:rsidR="00B93C79" w:rsidRPr="00B93C79" w:rsidRDefault="00B93C79" w:rsidP="00B93C79">
            <w:pPr>
              <w:rPr>
                <w:rFonts w:ascii="Arial" w:hAnsi="Arial" w:cs="Arial"/>
              </w:rPr>
            </w:pPr>
          </w:p>
        </w:tc>
        <w:tc>
          <w:tcPr>
            <w:tcW w:w="0" w:type="auto"/>
            <w:vAlign w:val="center"/>
            <w:hideMark/>
          </w:tcPr>
          <w:p w14:paraId="5A3E0459" w14:textId="77777777" w:rsidR="00B93C79" w:rsidRPr="00B93C79" w:rsidRDefault="00B93C79" w:rsidP="00B93C79">
            <w:pPr>
              <w:rPr>
                <w:rFonts w:ascii="Arial" w:hAnsi="Arial" w:cs="Arial"/>
              </w:rPr>
            </w:pPr>
            <w:r w:rsidRPr="00B93C79">
              <w:rPr>
                <w:rFonts w:ascii="Arial" w:hAnsi="Arial" w:cs="Arial"/>
              </w:rPr>
              <w:t>6–10 years</w:t>
            </w:r>
          </w:p>
        </w:tc>
        <w:tc>
          <w:tcPr>
            <w:tcW w:w="0" w:type="auto"/>
            <w:vAlign w:val="center"/>
            <w:hideMark/>
          </w:tcPr>
          <w:p w14:paraId="1839B5DB" w14:textId="77777777" w:rsidR="00B93C79" w:rsidRPr="00B93C79" w:rsidRDefault="00B93C79" w:rsidP="00B93C79">
            <w:pPr>
              <w:jc w:val="center"/>
              <w:rPr>
                <w:rFonts w:ascii="Arial" w:hAnsi="Arial" w:cs="Arial"/>
              </w:rPr>
            </w:pPr>
            <w:r w:rsidRPr="00B93C79">
              <w:rPr>
                <w:rFonts w:ascii="Arial" w:hAnsi="Arial" w:cs="Arial"/>
              </w:rPr>
              <w:t>78</w:t>
            </w:r>
          </w:p>
        </w:tc>
        <w:tc>
          <w:tcPr>
            <w:tcW w:w="0" w:type="auto"/>
            <w:vAlign w:val="center"/>
            <w:hideMark/>
          </w:tcPr>
          <w:p w14:paraId="79025F22" w14:textId="77777777" w:rsidR="00B93C79" w:rsidRPr="00B93C79" w:rsidRDefault="00B93C79" w:rsidP="00B93C79">
            <w:pPr>
              <w:jc w:val="center"/>
              <w:rPr>
                <w:rFonts w:ascii="Arial" w:hAnsi="Arial" w:cs="Arial"/>
              </w:rPr>
            </w:pPr>
            <w:r w:rsidRPr="00B93C79">
              <w:rPr>
                <w:rFonts w:ascii="Arial" w:hAnsi="Arial" w:cs="Arial"/>
              </w:rPr>
              <w:t>41.9</w:t>
            </w:r>
          </w:p>
        </w:tc>
      </w:tr>
      <w:tr w:rsidR="00B93C79" w:rsidRPr="00B93C79" w14:paraId="7EB4CA70" w14:textId="77777777" w:rsidTr="00B93C79">
        <w:trPr>
          <w:tblCellSpacing w:w="15" w:type="dxa"/>
          <w:jc w:val="center"/>
        </w:trPr>
        <w:tc>
          <w:tcPr>
            <w:tcW w:w="0" w:type="auto"/>
            <w:vAlign w:val="center"/>
            <w:hideMark/>
          </w:tcPr>
          <w:p w14:paraId="422DC063" w14:textId="77777777" w:rsidR="00B93C79" w:rsidRPr="00B93C79" w:rsidRDefault="00B93C79" w:rsidP="00B93C79">
            <w:pPr>
              <w:rPr>
                <w:rFonts w:ascii="Arial" w:hAnsi="Arial" w:cs="Arial"/>
              </w:rPr>
            </w:pPr>
          </w:p>
        </w:tc>
        <w:tc>
          <w:tcPr>
            <w:tcW w:w="0" w:type="auto"/>
            <w:vAlign w:val="center"/>
            <w:hideMark/>
          </w:tcPr>
          <w:p w14:paraId="703A75A5" w14:textId="77777777" w:rsidR="00B93C79" w:rsidRPr="00B93C79" w:rsidRDefault="00B93C79" w:rsidP="00B93C79">
            <w:pPr>
              <w:rPr>
                <w:rFonts w:ascii="Arial" w:hAnsi="Arial" w:cs="Arial"/>
              </w:rPr>
            </w:pPr>
            <w:r w:rsidRPr="00B93C79">
              <w:rPr>
                <w:rFonts w:ascii="Arial" w:hAnsi="Arial" w:cs="Arial"/>
              </w:rPr>
              <w:t>More than 10 years</w:t>
            </w:r>
          </w:p>
        </w:tc>
        <w:tc>
          <w:tcPr>
            <w:tcW w:w="0" w:type="auto"/>
            <w:vAlign w:val="center"/>
            <w:hideMark/>
          </w:tcPr>
          <w:p w14:paraId="0DC0396C" w14:textId="77777777" w:rsidR="00B93C79" w:rsidRPr="00B93C79" w:rsidRDefault="00B93C79" w:rsidP="00B93C79">
            <w:pPr>
              <w:jc w:val="center"/>
              <w:rPr>
                <w:rFonts w:ascii="Arial" w:hAnsi="Arial" w:cs="Arial"/>
              </w:rPr>
            </w:pPr>
            <w:r w:rsidRPr="00B93C79">
              <w:rPr>
                <w:rFonts w:ascii="Arial" w:hAnsi="Arial" w:cs="Arial"/>
              </w:rPr>
              <w:t>54</w:t>
            </w:r>
          </w:p>
        </w:tc>
        <w:tc>
          <w:tcPr>
            <w:tcW w:w="0" w:type="auto"/>
            <w:vAlign w:val="center"/>
            <w:hideMark/>
          </w:tcPr>
          <w:p w14:paraId="2267AF17" w14:textId="77777777" w:rsidR="00B93C79" w:rsidRPr="00B93C79" w:rsidRDefault="00B93C79" w:rsidP="00B93C79">
            <w:pPr>
              <w:jc w:val="center"/>
              <w:rPr>
                <w:rFonts w:ascii="Arial" w:hAnsi="Arial" w:cs="Arial"/>
              </w:rPr>
            </w:pPr>
            <w:r w:rsidRPr="00B93C79">
              <w:rPr>
                <w:rFonts w:ascii="Arial" w:hAnsi="Arial" w:cs="Arial"/>
              </w:rPr>
              <w:t>29.1</w:t>
            </w:r>
          </w:p>
        </w:tc>
      </w:tr>
      <w:tr w:rsidR="00B93C79" w:rsidRPr="00B93C79" w14:paraId="7F9FA34D" w14:textId="77777777" w:rsidTr="00B93C79">
        <w:trPr>
          <w:tblCellSpacing w:w="15" w:type="dxa"/>
          <w:jc w:val="center"/>
        </w:trPr>
        <w:tc>
          <w:tcPr>
            <w:tcW w:w="0" w:type="auto"/>
            <w:vAlign w:val="center"/>
            <w:hideMark/>
          </w:tcPr>
          <w:p w14:paraId="78C716A8" w14:textId="77777777" w:rsidR="00B93C79" w:rsidRPr="00B93C79" w:rsidRDefault="00B93C79" w:rsidP="00B93C79">
            <w:pPr>
              <w:rPr>
                <w:rFonts w:ascii="Arial" w:hAnsi="Arial" w:cs="Arial"/>
              </w:rPr>
            </w:pPr>
            <w:r w:rsidRPr="00B93C79">
              <w:rPr>
                <w:rFonts w:ascii="Arial" w:hAnsi="Arial" w:cs="Arial"/>
                <w:b/>
                <w:bCs/>
              </w:rPr>
              <w:t>Firm Size (Employees)</w:t>
            </w:r>
          </w:p>
        </w:tc>
        <w:tc>
          <w:tcPr>
            <w:tcW w:w="0" w:type="auto"/>
            <w:vAlign w:val="center"/>
            <w:hideMark/>
          </w:tcPr>
          <w:p w14:paraId="08BD217F" w14:textId="77777777" w:rsidR="00B93C79" w:rsidRPr="00B93C79" w:rsidRDefault="00B93C79" w:rsidP="00B93C79">
            <w:pPr>
              <w:rPr>
                <w:rFonts w:ascii="Arial" w:hAnsi="Arial" w:cs="Arial"/>
              </w:rPr>
            </w:pPr>
            <w:r w:rsidRPr="00B93C79">
              <w:rPr>
                <w:rFonts w:ascii="Arial" w:hAnsi="Arial" w:cs="Arial"/>
              </w:rPr>
              <w:t>Micro (1–9 employees)</w:t>
            </w:r>
          </w:p>
        </w:tc>
        <w:tc>
          <w:tcPr>
            <w:tcW w:w="0" w:type="auto"/>
            <w:vAlign w:val="center"/>
            <w:hideMark/>
          </w:tcPr>
          <w:p w14:paraId="5ABABF5B" w14:textId="77777777" w:rsidR="00B93C79" w:rsidRPr="00B93C79" w:rsidRDefault="00B93C79" w:rsidP="00B93C79">
            <w:pPr>
              <w:jc w:val="center"/>
              <w:rPr>
                <w:rFonts w:ascii="Arial" w:hAnsi="Arial" w:cs="Arial"/>
              </w:rPr>
            </w:pPr>
            <w:r w:rsidRPr="00B93C79">
              <w:rPr>
                <w:rFonts w:ascii="Arial" w:hAnsi="Arial" w:cs="Arial"/>
              </w:rPr>
              <w:t>62</w:t>
            </w:r>
          </w:p>
        </w:tc>
        <w:tc>
          <w:tcPr>
            <w:tcW w:w="0" w:type="auto"/>
            <w:vAlign w:val="center"/>
            <w:hideMark/>
          </w:tcPr>
          <w:p w14:paraId="494BE511" w14:textId="77777777" w:rsidR="00B93C79" w:rsidRPr="00B93C79" w:rsidRDefault="00B93C79" w:rsidP="00B93C79">
            <w:pPr>
              <w:jc w:val="center"/>
              <w:rPr>
                <w:rFonts w:ascii="Arial" w:hAnsi="Arial" w:cs="Arial"/>
              </w:rPr>
            </w:pPr>
            <w:r w:rsidRPr="00B93C79">
              <w:rPr>
                <w:rFonts w:ascii="Arial" w:hAnsi="Arial" w:cs="Arial"/>
              </w:rPr>
              <w:t>33.3</w:t>
            </w:r>
          </w:p>
        </w:tc>
      </w:tr>
      <w:tr w:rsidR="00B93C79" w:rsidRPr="00B93C79" w14:paraId="47D530C5" w14:textId="77777777" w:rsidTr="00B93C79">
        <w:trPr>
          <w:tblCellSpacing w:w="15" w:type="dxa"/>
          <w:jc w:val="center"/>
        </w:trPr>
        <w:tc>
          <w:tcPr>
            <w:tcW w:w="0" w:type="auto"/>
            <w:vAlign w:val="center"/>
            <w:hideMark/>
          </w:tcPr>
          <w:p w14:paraId="2A48B0EB" w14:textId="77777777" w:rsidR="00B93C79" w:rsidRPr="00B93C79" w:rsidRDefault="00B93C79" w:rsidP="00B93C79">
            <w:pPr>
              <w:rPr>
                <w:rFonts w:ascii="Arial" w:hAnsi="Arial" w:cs="Arial"/>
              </w:rPr>
            </w:pPr>
          </w:p>
        </w:tc>
        <w:tc>
          <w:tcPr>
            <w:tcW w:w="0" w:type="auto"/>
            <w:vAlign w:val="center"/>
            <w:hideMark/>
          </w:tcPr>
          <w:p w14:paraId="41B7E93C" w14:textId="77777777" w:rsidR="00B93C79" w:rsidRPr="00B93C79" w:rsidRDefault="00B93C79" w:rsidP="00B93C79">
            <w:pPr>
              <w:rPr>
                <w:rFonts w:ascii="Arial" w:hAnsi="Arial" w:cs="Arial"/>
              </w:rPr>
            </w:pPr>
            <w:r w:rsidRPr="00B93C79">
              <w:rPr>
                <w:rFonts w:ascii="Arial" w:hAnsi="Arial" w:cs="Arial"/>
              </w:rPr>
              <w:t>Small (10–49 employees)</w:t>
            </w:r>
          </w:p>
        </w:tc>
        <w:tc>
          <w:tcPr>
            <w:tcW w:w="0" w:type="auto"/>
            <w:vAlign w:val="center"/>
            <w:hideMark/>
          </w:tcPr>
          <w:p w14:paraId="477B6FAC" w14:textId="77777777" w:rsidR="00B93C79" w:rsidRPr="00B93C79" w:rsidRDefault="00B93C79" w:rsidP="00B93C79">
            <w:pPr>
              <w:jc w:val="center"/>
              <w:rPr>
                <w:rFonts w:ascii="Arial" w:hAnsi="Arial" w:cs="Arial"/>
              </w:rPr>
            </w:pPr>
            <w:r w:rsidRPr="00B93C79">
              <w:rPr>
                <w:rFonts w:ascii="Arial" w:hAnsi="Arial" w:cs="Arial"/>
              </w:rPr>
              <w:t>94</w:t>
            </w:r>
          </w:p>
        </w:tc>
        <w:tc>
          <w:tcPr>
            <w:tcW w:w="0" w:type="auto"/>
            <w:vAlign w:val="center"/>
            <w:hideMark/>
          </w:tcPr>
          <w:p w14:paraId="65780142" w14:textId="77777777" w:rsidR="00B93C79" w:rsidRPr="00B93C79" w:rsidRDefault="00B93C79" w:rsidP="00B93C79">
            <w:pPr>
              <w:jc w:val="center"/>
              <w:rPr>
                <w:rFonts w:ascii="Arial" w:hAnsi="Arial" w:cs="Arial"/>
              </w:rPr>
            </w:pPr>
            <w:r w:rsidRPr="00B93C79">
              <w:rPr>
                <w:rFonts w:ascii="Arial" w:hAnsi="Arial" w:cs="Arial"/>
              </w:rPr>
              <w:t>50.5</w:t>
            </w:r>
          </w:p>
        </w:tc>
      </w:tr>
      <w:tr w:rsidR="00B93C79" w:rsidRPr="00B93C79" w14:paraId="056FD815" w14:textId="77777777" w:rsidTr="00B93C79">
        <w:trPr>
          <w:tblCellSpacing w:w="15" w:type="dxa"/>
          <w:jc w:val="center"/>
        </w:trPr>
        <w:tc>
          <w:tcPr>
            <w:tcW w:w="0" w:type="auto"/>
            <w:vAlign w:val="center"/>
            <w:hideMark/>
          </w:tcPr>
          <w:p w14:paraId="58BCCFB4" w14:textId="77777777" w:rsidR="00B93C79" w:rsidRPr="00B93C79" w:rsidRDefault="00B93C79" w:rsidP="00B93C79">
            <w:pPr>
              <w:rPr>
                <w:rFonts w:ascii="Arial" w:hAnsi="Arial" w:cs="Arial"/>
              </w:rPr>
            </w:pPr>
          </w:p>
        </w:tc>
        <w:tc>
          <w:tcPr>
            <w:tcW w:w="0" w:type="auto"/>
            <w:vAlign w:val="center"/>
            <w:hideMark/>
          </w:tcPr>
          <w:p w14:paraId="5E7919EF" w14:textId="77777777" w:rsidR="00B93C79" w:rsidRPr="00B93C79" w:rsidRDefault="00B93C79" w:rsidP="00B93C79">
            <w:pPr>
              <w:rPr>
                <w:rFonts w:ascii="Arial" w:hAnsi="Arial" w:cs="Arial"/>
              </w:rPr>
            </w:pPr>
            <w:r w:rsidRPr="00B93C79">
              <w:rPr>
                <w:rFonts w:ascii="Arial" w:hAnsi="Arial" w:cs="Arial"/>
              </w:rPr>
              <w:t>Medium (50–99 employees)</w:t>
            </w:r>
          </w:p>
        </w:tc>
        <w:tc>
          <w:tcPr>
            <w:tcW w:w="0" w:type="auto"/>
            <w:vAlign w:val="center"/>
            <w:hideMark/>
          </w:tcPr>
          <w:p w14:paraId="66E4D517" w14:textId="77777777" w:rsidR="00B93C79" w:rsidRPr="00B93C79" w:rsidRDefault="00B93C79" w:rsidP="00B93C79">
            <w:pPr>
              <w:jc w:val="center"/>
              <w:rPr>
                <w:rFonts w:ascii="Arial" w:hAnsi="Arial" w:cs="Arial"/>
              </w:rPr>
            </w:pPr>
            <w:r w:rsidRPr="00B93C79">
              <w:rPr>
                <w:rFonts w:ascii="Arial" w:hAnsi="Arial" w:cs="Arial"/>
              </w:rPr>
              <w:t>30</w:t>
            </w:r>
          </w:p>
        </w:tc>
        <w:tc>
          <w:tcPr>
            <w:tcW w:w="0" w:type="auto"/>
            <w:vAlign w:val="center"/>
            <w:hideMark/>
          </w:tcPr>
          <w:p w14:paraId="73CFC971" w14:textId="77777777" w:rsidR="00B93C79" w:rsidRPr="00B93C79" w:rsidRDefault="00B93C79" w:rsidP="00B93C79">
            <w:pPr>
              <w:jc w:val="center"/>
              <w:rPr>
                <w:rFonts w:ascii="Arial" w:hAnsi="Arial" w:cs="Arial"/>
              </w:rPr>
            </w:pPr>
            <w:r w:rsidRPr="00B93C79">
              <w:rPr>
                <w:rFonts w:ascii="Arial" w:hAnsi="Arial" w:cs="Arial"/>
              </w:rPr>
              <w:t>16.2</w:t>
            </w:r>
          </w:p>
        </w:tc>
      </w:tr>
      <w:tr w:rsidR="00B93C79" w:rsidRPr="00B93C79" w14:paraId="52FD63BA" w14:textId="77777777" w:rsidTr="00B93C79">
        <w:trPr>
          <w:tblCellSpacing w:w="15" w:type="dxa"/>
          <w:jc w:val="center"/>
        </w:trPr>
        <w:tc>
          <w:tcPr>
            <w:tcW w:w="0" w:type="auto"/>
            <w:vAlign w:val="center"/>
            <w:hideMark/>
          </w:tcPr>
          <w:p w14:paraId="2EC163FD" w14:textId="77777777" w:rsidR="00B93C79" w:rsidRPr="00B93C79" w:rsidRDefault="00B93C79" w:rsidP="00B93C79">
            <w:pPr>
              <w:rPr>
                <w:rFonts w:ascii="Arial" w:hAnsi="Arial" w:cs="Arial"/>
              </w:rPr>
            </w:pPr>
            <w:r w:rsidRPr="00B93C79">
              <w:rPr>
                <w:rFonts w:ascii="Arial" w:hAnsi="Arial" w:cs="Arial"/>
                <w:b/>
                <w:bCs/>
              </w:rPr>
              <w:t>Industry Sector</w:t>
            </w:r>
          </w:p>
        </w:tc>
        <w:tc>
          <w:tcPr>
            <w:tcW w:w="0" w:type="auto"/>
            <w:vAlign w:val="center"/>
            <w:hideMark/>
          </w:tcPr>
          <w:p w14:paraId="4C25A9E4" w14:textId="77777777" w:rsidR="00B93C79" w:rsidRPr="00B93C79" w:rsidRDefault="00B93C79" w:rsidP="00B93C79">
            <w:pPr>
              <w:rPr>
                <w:rFonts w:ascii="Arial" w:hAnsi="Arial" w:cs="Arial"/>
              </w:rPr>
            </w:pPr>
            <w:r w:rsidRPr="00B93C79">
              <w:rPr>
                <w:rFonts w:ascii="Arial" w:hAnsi="Arial" w:cs="Arial"/>
              </w:rPr>
              <w:t>Textiles and Apparel</w:t>
            </w:r>
          </w:p>
        </w:tc>
        <w:tc>
          <w:tcPr>
            <w:tcW w:w="0" w:type="auto"/>
            <w:vAlign w:val="center"/>
            <w:hideMark/>
          </w:tcPr>
          <w:p w14:paraId="5BF36685" w14:textId="77777777" w:rsidR="00B93C79" w:rsidRPr="00B93C79" w:rsidRDefault="00B93C79" w:rsidP="00B93C79">
            <w:pPr>
              <w:jc w:val="center"/>
              <w:rPr>
                <w:rFonts w:ascii="Arial" w:hAnsi="Arial" w:cs="Arial"/>
              </w:rPr>
            </w:pPr>
            <w:r w:rsidRPr="00B93C79">
              <w:rPr>
                <w:rFonts w:ascii="Arial" w:hAnsi="Arial" w:cs="Arial"/>
              </w:rPr>
              <w:t>58</w:t>
            </w:r>
          </w:p>
        </w:tc>
        <w:tc>
          <w:tcPr>
            <w:tcW w:w="0" w:type="auto"/>
            <w:vAlign w:val="center"/>
            <w:hideMark/>
          </w:tcPr>
          <w:p w14:paraId="23B0DC3A" w14:textId="77777777" w:rsidR="00B93C79" w:rsidRPr="00B93C79" w:rsidRDefault="00B93C79" w:rsidP="00B93C79">
            <w:pPr>
              <w:jc w:val="center"/>
              <w:rPr>
                <w:rFonts w:ascii="Arial" w:hAnsi="Arial" w:cs="Arial"/>
              </w:rPr>
            </w:pPr>
            <w:r w:rsidRPr="00B93C79">
              <w:rPr>
                <w:rFonts w:ascii="Arial" w:hAnsi="Arial" w:cs="Arial"/>
              </w:rPr>
              <w:t>31.2</w:t>
            </w:r>
          </w:p>
        </w:tc>
      </w:tr>
      <w:tr w:rsidR="00B93C79" w:rsidRPr="00B93C79" w14:paraId="6A713EA9" w14:textId="77777777" w:rsidTr="00B93C79">
        <w:trPr>
          <w:tblCellSpacing w:w="15" w:type="dxa"/>
          <w:jc w:val="center"/>
        </w:trPr>
        <w:tc>
          <w:tcPr>
            <w:tcW w:w="0" w:type="auto"/>
            <w:vAlign w:val="center"/>
            <w:hideMark/>
          </w:tcPr>
          <w:p w14:paraId="5DE7BB6C" w14:textId="77777777" w:rsidR="00B93C79" w:rsidRPr="00B93C79" w:rsidRDefault="00B93C79" w:rsidP="00B93C79">
            <w:pPr>
              <w:rPr>
                <w:rFonts w:ascii="Arial" w:hAnsi="Arial" w:cs="Arial"/>
              </w:rPr>
            </w:pPr>
          </w:p>
        </w:tc>
        <w:tc>
          <w:tcPr>
            <w:tcW w:w="0" w:type="auto"/>
            <w:vAlign w:val="center"/>
            <w:hideMark/>
          </w:tcPr>
          <w:p w14:paraId="1E0E0ACF" w14:textId="77777777" w:rsidR="00B93C79" w:rsidRPr="00B93C79" w:rsidRDefault="00B93C79" w:rsidP="00B93C79">
            <w:pPr>
              <w:rPr>
                <w:rFonts w:ascii="Arial" w:hAnsi="Arial" w:cs="Arial"/>
              </w:rPr>
            </w:pPr>
            <w:r w:rsidRPr="00B93C79">
              <w:rPr>
                <w:rFonts w:ascii="Arial" w:hAnsi="Arial" w:cs="Arial"/>
              </w:rPr>
              <w:t>Food and Beverages</w:t>
            </w:r>
          </w:p>
        </w:tc>
        <w:tc>
          <w:tcPr>
            <w:tcW w:w="0" w:type="auto"/>
            <w:vAlign w:val="center"/>
            <w:hideMark/>
          </w:tcPr>
          <w:p w14:paraId="1BC1623F" w14:textId="77777777" w:rsidR="00B93C79" w:rsidRPr="00B93C79" w:rsidRDefault="00B93C79" w:rsidP="00B93C79">
            <w:pPr>
              <w:jc w:val="center"/>
              <w:rPr>
                <w:rFonts w:ascii="Arial" w:hAnsi="Arial" w:cs="Arial"/>
              </w:rPr>
            </w:pPr>
            <w:r w:rsidRPr="00B93C79">
              <w:rPr>
                <w:rFonts w:ascii="Arial" w:hAnsi="Arial" w:cs="Arial"/>
              </w:rPr>
              <w:t>49</w:t>
            </w:r>
          </w:p>
        </w:tc>
        <w:tc>
          <w:tcPr>
            <w:tcW w:w="0" w:type="auto"/>
            <w:vAlign w:val="center"/>
            <w:hideMark/>
          </w:tcPr>
          <w:p w14:paraId="64E2C375" w14:textId="77777777" w:rsidR="00B93C79" w:rsidRPr="00B93C79" w:rsidRDefault="00B93C79" w:rsidP="00B93C79">
            <w:pPr>
              <w:jc w:val="center"/>
              <w:rPr>
                <w:rFonts w:ascii="Arial" w:hAnsi="Arial" w:cs="Arial"/>
              </w:rPr>
            </w:pPr>
            <w:r w:rsidRPr="00B93C79">
              <w:rPr>
                <w:rFonts w:ascii="Arial" w:hAnsi="Arial" w:cs="Arial"/>
              </w:rPr>
              <w:t>26.3</w:t>
            </w:r>
          </w:p>
        </w:tc>
      </w:tr>
      <w:tr w:rsidR="00B93C79" w:rsidRPr="00B93C79" w14:paraId="747739D4" w14:textId="77777777" w:rsidTr="00B93C79">
        <w:trPr>
          <w:tblCellSpacing w:w="15" w:type="dxa"/>
          <w:jc w:val="center"/>
        </w:trPr>
        <w:tc>
          <w:tcPr>
            <w:tcW w:w="0" w:type="auto"/>
            <w:vAlign w:val="center"/>
            <w:hideMark/>
          </w:tcPr>
          <w:p w14:paraId="157DCD76" w14:textId="77777777" w:rsidR="00B93C79" w:rsidRPr="00B93C79" w:rsidRDefault="00B93C79" w:rsidP="00B93C79">
            <w:pPr>
              <w:rPr>
                <w:rFonts w:ascii="Arial" w:hAnsi="Arial" w:cs="Arial"/>
              </w:rPr>
            </w:pPr>
          </w:p>
        </w:tc>
        <w:tc>
          <w:tcPr>
            <w:tcW w:w="0" w:type="auto"/>
            <w:vAlign w:val="center"/>
            <w:hideMark/>
          </w:tcPr>
          <w:p w14:paraId="163FE935" w14:textId="77777777" w:rsidR="00B93C79" w:rsidRPr="00B93C79" w:rsidRDefault="00B93C79" w:rsidP="00B93C79">
            <w:pPr>
              <w:rPr>
                <w:rFonts w:ascii="Arial" w:hAnsi="Arial" w:cs="Arial"/>
              </w:rPr>
            </w:pPr>
            <w:r w:rsidRPr="00B93C79">
              <w:rPr>
                <w:rFonts w:ascii="Arial" w:hAnsi="Arial" w:cs="Arial"/>
              </w:rPr>
              <w:t>Furniture and Wood Products</w:t>
            </w:r>
          </w:p>
        </w:tc>
        <w:tc>
          <w:tcPr>
            <w:tcW w:w="0" w:type="auto"/>
            <w:vAlign w:val="center"/>
            <w:hideMark/>
          </w:tcPr>
          <w:p w14:paraId="2CE258B7" w14:textId="77777777" w:rsidR="00B93C79" w:rsidRPr="00B93C79" w:rsidRDefault="00B93C79" w:rsidP="00B93C79">
            <w:pPr>
              <w:jc w:val="center"/>
              <w:rPr>
                <w:rFonts w:ascii="Arial" w:hAnsi="Arial" w:cs="Arial"/>
              </w:rPr>
            </w:pPr>
            <w:r w:rsidRPr="00B93C79">
              <w:rPr>
                <w:rFonts w:ascii="Arial" w:hAnsi="Arial" w:cs="Arial"/>
              </w:rPr>
              <w:t>28</w:t>
            </w:r>
          </w:p>
        </w:tc>
        <w:tc>
          <w:tcPr>
            <w:tcW w:w="0" w:type="auto"/>
            <w:vAlign w:val="center"/>
            <w:hideMark/>
          </w:tcPr>
          <w:p w14:paraId="027242BF" w14:textId="77777777" w:rsidR="00B93C79" w:rsidRPr="00B93C79" w:rsidRDefault="00B93C79" w:rsidP="00B93C79">
            <w:pPr>
              <w:jc w:val="center"/>
              <w:rPr>
                <w:rFonts w:ascii="Arial" w:hAnsi="Arial" w:cs="Arial"/>
              </w:rPr>
            </w:pPr>
            <w:r w:rsidRPr="00B93C79">
              <w:rPr>
                <w:rFonts w:ascii="Arial" w:hAnsi="Arial" w:cs="Arial"/>
              </w:rPr>
              <w:t>15.1</w:t>
            </w:r>
          </w:p>
        </w:tc>
      </w:tr>
      <w:tr w:rsidR="00B93C79" w:rsidRPr="00B93C79" w14:paraId="49D085D1" w14:textId="77777777" w:rsidTr="00B93C79">
        <w:trPr>
          <w:tblCellSpacing w:w="15" w:type="dxa"/>
          <w:jc w:val="center"/>
        </w:trPr>
        <w:tc>
          <w:tcPr>
            <w:tcW w:w="0" w:type="auto"/>
            <w:vAlign w:val="center"/>
            <w:hideMark/>
          </w:tcPr>
          <w:p w14:paraId="1CF26CD0" w14:textId="77777777" w:rsidR="00B93C79" w:rsidRPr="00B93C79" w:rsidRDefault="00B93C79" w:rsidP="00B93C79">
            <w:pPr>
              <w:rPr>
                <w:rFonts w:ascii="Arial" w:hAnsi="Arial" w:cs="Arial"/>
              </w:rPr>
            </w:pPr>
          </w:p>
        </w:tc>
        <w:tc>
          <w:tcPr>
            <w:tcW w:w="0" w:type="auto"/>
            <w:vAlign w:val="center"/>
            <w:hideMark/>
          </w:tcPr>
          <w:p w14:paraId="1B45163F" w14:textId="77777777" w:rsidR="00B93C79" w:rsidRPr="00B93C79" w:rsidRDefault="00B93C79" w:rsidP="00B93C79">
            <w:pPr>
              <w:rPr>
                <w:rFonts w:ascii="Arial" w:hAnsi="Arial" w:cs="Arial"/>
              </w:rPr>
            </w:pPr>
            <w:r w:rsidRPr="00B93C79">
              <w:rPr>
                <w:rFonts w:ascii="Arial" w:hAnsi="Arial" w:cs="Arial"/>
              </w:rPr>
              <w:t>Metal and Light Manufacturing</w:t>
            </w:r>
          </w:p>
        </w:tc>
        <w:tc>
          <w:tcPr>
            <w:tcW w:w="0" w:type="auto"/>
            <w:vAlign w:val="center"/>
            <w:hideMark/>
          </w:tcPr>
          <w:p w14:paraId="44732895" w14:textId="77777777" w:rsidR="00B93C79" w:rsidRPr="00B93C79" w:rsidRDefault="00B93C79" w:rsidP="00B93C79">
            <w:pPr>
              <w:jc w:val="center"/>
              <w:rPr>
                <w:rFonts w:ascii="Arial" w:hAnsi="Arial" w:cs="Arial"/>
              </w:rPr>
            </w:pPr>
            <w:r w:rsidRPr="00B93C79">
              <w:rPr>
                <w:rFonts w:ascii="Arial" w:hAnsi="Arial" w:cs="Arial"/>
              </w:rPr>
              <w:t>26</w:t>
            </w:r>
          </w:p>
        </w:tc>
        <w:tc>
          <w:tcPr>
            <w:tcW w:w="0" w:type="auto"/>
            <w:vAlign w:val="center"/>
            <w:hideMark/>
          </w:tcPr>
          <w:p w14:paraId="10E8B0BA" w14:textId="77777777" w:rsidR="00B93C79" w:rsidRPr="00B93C79" w:rsidRDefault="00B93C79" w:rsidP="00B93C79">
            <w:pPr>
              <w:jc w:val="center"/>
              <w:rPr>
                <w:rFonts w:ascii="Arial" w:hAnsi="Arial" w:cs="Arial"/>
              </w:rPr>
            </w:pPr>
            <w:r w:rsidRPr="00B93C79">
              <w:rPr>
                <w:rFonts w:ascii="Arial" w:hAnsi="Arial" w:cs="Arial"/>
              </w:rPr>
              <w:t>14.0</w:t>
            </w:r>
          </w:p>
        </w:tc>
      </w:tr>
      <w:tr w:rsidR="00B93C79" w:rsidRPr="00B93C79" w14:paraId="6891C2A6" w14:textId="77777777" w:rsidTr="00B93C79">
        <w:trPr>
          <w:tblCellSpacing w:w="15" w:type="dxa"/>
          <w:jc w:val="center"/>
        </w:trPr>
        <w:tc>
          <w:tcPr>
            <w:tcW w:w="0" w:type="auto"/>
            <w:vAlign w:val="center"/>
            <w:hideMark/>
          </w:tcPr>
          <w:p w14:paraId="5FAA903F" w14:textId="77777777" w:rsidR="00B93C79" w:rsidRPr="00B93C79" w:rsidRDefault="00B93C79" w:rsidP="00B93C79">
            <w:pPr>
              <w:rPr>
                <w:rFonts w:ascii="Arial" w:hAnsi="Arial" w:cs="Arial"/>
              </w:rPr>
            </w:pPr>
          </w:p>
        </w:tc>
        <w:tc>
          <w:tcPr>
            <w:tcW w:w="0" w:type="auto"/>
            <w:vAlign w:val="center"/>
            <w:hideMark/>
          </w:tcPr>
          <w:p w14:paraId="2D6C9B40" w14:textId="77777777" w:rsidR="00B93C79" w:rsidRPr="00B93C79" w:rsidRDefault="00B93C79" w:rsidP="00B93C79">
            <w:pPr>
              <w:rPr>
                <w:rFonts w:ascii="Arial" w:hAnsi="Arial" w:cs="Arial"/>
              </w:rPr>
            </w:pPr>
            <w:r w:rsidRPr="00B93C79">
              <w:rPr>
                <w:rFonts w:ascii="Arial" w:hAnsi="Arial" w:cs="Arial"/>
              </w:rPr>
              <w:t>Others (printing, packaging, etc.)</w:t>
            </w:r>
          </w:p>
        </w:tc>
        <w:tc>
          <w:tcPr>
            <w:tcW w:w="0" w:type="auto"/>
            <w:vAlign w:val="center"/>
            <w:hideMark/>
          </w:tcPr>
          <w:p w14:paraId="3A8CC256" w14:textId="77777777" w:rsidR="00B93C79" w:rsidRPr="00B93C79" w:rsidRDefault="00B93C79" w:rsidP="00B93C79">
            <w:pPr>
              <w:jc w:val="center"/>
              <w:rPr>
                <w:rFonts w:ascii="Arial" w:hAnsi="Arial" w:cs="Arial"/>
              </w:rPr>
            </w:pPr>
            <w:r w:rsidRPr="00B93C79">
              <w:rPr>
                <w:rFonts w:ascii="Arial" w:hAnsi="Arial" w:cs="Arial"/>
              </w:rPr>
              <w:t>25</w:t>
            </w:r>
          </w:p>
        </w:tc>
        <w:tc>
          <w:tcPr>
            <w:tcW w:w="0" w:type="auto"/>
            <w:vAlign w:val="center"/>
            <w:hideMark/>
          </w:tcPr>
          <w:p w14:paraId="45084026" w14:textId="77777777" w:rsidR="00B93C79" w:rsidRPr="00B93C79" w:rsidRDefault="00B93C79" w:rsidP="00B93C79">
            <w:pPr>
              <w:jc w:val="center"/>
              <w:rPr>
                <w:rFonts w:ascii="Arial" w:hAnsi="Arial" w:cs="Arial"/>
              </w:rPr>
            </w:pPr>
            <w:r w:rsidRPr="00B93C79">
              <w:rPr>
                <w:rFonts w:ascii="Arial" w:hAnsi="Arial" w:cs="Arial"/>
              </w:rPr>
              <w:t>13.4</w:t>
            </w:r>
          </w:p>
        </w:tc>
      </w:tr>
      <w:tr w:rsidR="00B93C79" w:rsidRPr="00B93C79" w14:paraId="1D194BFD" w14:textId="77777777" w:rsidTr="00B93C79">
        <w:trPr>
          <w:tblCellSpacing w:w="15" w:type="dxa"/>
          <w:jc w:val="center"/>
        </w:trPr>
        <w:tc>
          <w:tcPr>
            <w:tcW w:w="0" w:type="auto"/>
            <w:vAlign w:val="center"/>
            <w:hideMark/>
          </w:tcPr>
          <w:p w14:paraId="3AE55A22" w14:textId="77777777" w:rsidR="00B93C79" w:rsidRPr="00B93C79" w:rsidRDefault="00B93C79" w:rsidP="00B93C79">
            <w:pPr>
              <w:rPr>
                <w:rFonts w:ascii="Arial" w:hAnsi="Arial" w:cs="Arial"/>
              </w:rPr>
            </w:pPr>
            <w:r w:rsidRPr="00B93C79">
              <w:rPr>
                <w:rFonts w:ascii="Arial" w:hAnsi="Arial" w:cs="Arial"/>
                <w:b/>
                <w:bCs/>
              </w:rPr>
              <w:t>Lean Practice Experience</w:t>
            </w:r>
          </w:p>
        </w:tc>
        <w:tc>
          <w:tcPr>
            <w:tcW w:w="0" w:type="auto"/>
            <w:vAlign w:val="center"/>
            <w:hideMark/>
          </w:tcPr>
          <w:p w14:paraId="0BBF9F8C" w14:textId="77777777" w:rsidR="00B93C79" w:rsidRPr="00B93C79" w:rsidRDefault="00B93C79" w:rsidP="00B93C79">
            <w:pPr>
              <w:rPr>
                <w:rFonts w:ascii="Arial" w:hAnsi="Arial" w:cs="Arial"/>
              </w:rPr>
            </w:pPr>
            <w:r w:rsidRPr="00B93C79">
              <w:rPr>
                <w:rFonts w:ascii="Arial" w:hAnsi="Arial" w:cs="Arial"/>
              </w:rPr>
              <w:t>Less than 2 years</w:t>
            </w:r>
          </w:p>
        </w:tc>
        <w:tc>
          <w:tcPr>
            <w:tcW w:w="0" w:type="auto"/>
            <w:vAlign w:val="center"/>
            <w:hideMark/>
          </w:tcPr>
          <w:p w14:paraId="5158857D" w14:textId="77777777" w:rsidR="00B93C79" w:rsidRPr="00B93C79" w:rsidRDefault="00B93C79" w:rsidP="00B93C79">
            <w:pPr>
              <w:jc w:val="center"/>
              <w:rPr>
                <w:rFonts w:ascii="Arial" w:hAnsi="Arial" w:cs="Arial"/>
              </w:rPr>
            </w:pPr>
            <w:r w:rsidRPr="00B93C79">
              <w:rPr>
                <w:rFonts w:ascii="Arial" w:hAnsi="Arial" w:cs="Arial"/>
              </w:rPr>
              <w:t>46</w:t>
            </w:r>
          </w:p>
        </w:tc>
        <w:tc>
          <w:tcPr>
            <w:tcW w:w="0" w:type="auto"/>
            <w:vAlign w:val="center"/>
            <w:hideMark/>
          </w:tcPr>
          <w:p w14:paraId="4C05FF20" w14:textId="77777777" w:rsidR="00B93C79" w:rsidRPr="00B93C79" w:rsidRDefault="00B93C79" w:rsidP="00B93C79">
            <w:pPr>
              <w:jc w:val="center"/>
              <w:rPr>
                <w:rFonts w:ascii="Arial" w:hAnsi="Arial" w:cs="Arial"/>
              </w:rPr>
            </w:pPr>
            <w:r w:rsidRPr="00B93C79">
              <w:rPr>
                <w:rFonts w:ascii="Arial" w:hAnsi="Arial" w:cs="Arial"/>
              </w:rPr>
              <w:t>24.7</w:t>
            </w:r>
          </w:p>
        </w:tc>
      </w:tr>
      <w:tr w:rsidR="00B93C79" w:rsidRPr="00B93C79" w14:paraId="21A697A6" w14:textId="77777777" w:rsidTr="00B93C79">
        <w:trPr>
          <w:tblCellSpacing w:w="15" w:type="dxa"/>
          <w:jc w:val="center"/>
        </w:trPr>
        <w:tc>
          <w:tcPr>
            <w:tcW w:w="0" w:type="auto"/>
            <w:vAlign w:val="center"/>
            <w:hideMark/>
          </w:tcPr>
          <w:p w14:paraId="6E84E8D2" w14:textId="77777777" w:rsidR="00B93C79" w:rsidRPr="00B93C79" w:rsidRDefault="00B93C79" w:rsidP="00B93C79">
            <w:pPr>
              <w:rPr>
                <w:rFonts w:ascii="Arial" w:hAnsi="Arial" w:cs="Arial"/>
              </w:rPr>
            </w:pPr>
          </w:p>
        </w:tc>
        <w:tc>
          <w:tcPr>
            <w:tcW w:w="0" w:type="auto"/>
            <w:vAlign w:val="center"/>
            <w:hideMark/>
          </w:tcPr>
          <w:p w14:paraId="7BE4BE2A" w14:textId="77777777" w:rsidR="00B93C79" w:rsidRPr="00B93C79" w:rsidRDefault="00B93C79" w:rsidP="00B93C79">
            <w:pPr>
              <w:rPr>
                <w:rFonts w:ascii="Arial" w:hAnsi="Arial" w:cs="Arial"/>
              </w:rPr>
            </w:pPr>
            <w:r w:rsidRPr="00B93C79">
              <w:rPr>
                <w:rFonts w:ascii="Arial" w:hAnsi="Arial" w:cs="Arial"/>
              </w:rPr>
              <w:t>2–5 years</w:t>
            </w:r>
          </w:p>
        </w:tc>
        <w:tc>
          <w:tcPr>
            <w:tcW w:w="0" w:type="auto"/>
            <w:vAlign w:val="center"/>
            <w:hideMark/>
          </w:tcPr>
          <w:p w14:paraId="11605775" w14:textId="77777777" w:rsidR="00B93C79" w:rsidRPr="00B93C79" w:rsidRDefault="00B93C79" w:rsidP="00B93C79">
            <w:pPr>
              <w:jc w:val="center"/>
              <w:rPr>
                <w:rFonts w:ascii="Arial" w:hAnsi="Arial" w:cs="Arial"/>
              </w:rPr>
            </w:pPr>
            <w:r w:rsidRPr="00B93C79">
              <w:rPr>
                <w:rFonts w:ascii="Arial" w:hAnsi="Arial" w:cs="Arial"/>
              </w:rPr>
              <w:t>92</w:t>
            </w:r>
          </w:p>
        </w:tc>
        <w:tc>
          <w:tcPr>
            <w:tcW w:w="0" w:type="auto"/>
            <w:vAlign w:val="center"/>
            <w:hideMark/>
          </w:tcPr>
          <w:p w14:paraId="3807E345" w14:textId="77777777" w:rsidR="00B93C79" w:rsidRPr="00B93C79" w:rsidRDefault="00B93C79" w:rsidP="00B93C79">
            <w:pPr>
              <w:jc w:val="center"/>
              <w:rPr>
                <w:rFonts w:ascii="Arial" w:hAnsi="Arial" w:cs="Arial"/>
              </w:rPr>
            </w:pPr>
            <w:r w:rsidRPr="00B93C79">
              <w:rPr>
                <w:rFonts w:ascii="Arial" w:hAnsi="Arial" w:cs="Arial"/>
              </w:rPr>
              <w:t>49.5</w:t>
            </w:r>
          </w:p>
        </w:tc>
      </w:tr>
      <w:tr w:rsidR="00B93C79" w:rsidRPr="00B93C79" w14:paraId="10F51017" w14:textId="77777777" w:rsidTr="00B93C79">
        <w:trPr>
          <w:tblCellSpacing w:w="15" w:type="dxa"/>
          <w:jc w:val="center"/>
        </w:trPr>
        <w:tc>
          <w:tcPr>
            <w:tcW w:w="0" w:type="auto"/>
            <w:tcBorders>
              <w:bottom w:val="single" w:sz="4" w:space="0" w:color="auto"/>
            </w:tcBorders>
            <w:vAlign w:val="center"/>
            <w:hideMark/>
          </w:tcPr>
          <w:p w14:paraId="0F147D05" w14:textId="77777777" w:rsidR="00B93C79" w:rsidRPr="00B93C79" w:rsidRDefault="00B93C79" w:rsidP="00B93C79">
            <w:pPr>
              <w:rPr>
                <w:rFonts w:ascii="Arial" w:hAnsi="Arial" w:cs="Arial"/>
              </w:rPr>
            </w:pPr>
          </w:p>
        </w:tc>
        <w:tc>
          <w:tcPr>
            <w:tcW w:w="0" w:type="auto"/>
            <w:tcBorders>
              <w:bottom w:val="single" w:sz="4" w:space="0" w:color="auto"/>
            </w:tcBorders>
            <w:vAlign w:val="center"/>
            <w:hideMark/>
          </w:tcPr>
          <w:p w14:paraId="200CE7C2" w14:textId="77777777" w:rsidR="00B93C79" w:rsidRPr="00B93C79" w:rsidRDefault="00B93C79" w:rsidP="00B93C79">
            <w:pPr>
              <w:rPr>
                <w:rFonts w:ascii="Arial" w:hAnsi="Arial" w:cs="Arial"/>
              </w:rPr>
            </w:pPr>
            <w:r w:rsidRPr="00B93C79">
              <w:rPr>
                <w:rFonts w:ascii="Arial" w:hAnsi="Arial" w:cs="Arial"/>
              </w:rPr>
              <w:t>More than 5 years</w:t>
            </w:r>
          </w:p>
        </w:tc>
        <w:tc>
          <w:tcPr>
            <w:tcW w:w="0" w:type="auto"/>
            <w:tcBorders>
              <w:bottom w:val="single" w:sz="4" w:space="0" w:color="auto"/>
            </w:tcBorders>
            <w:vAlign w:val="center"/>
            <w:hideMark/>
          </w:tcPr>
          <w:p w14:paraId="2A23C722" w14:textId="77777777" w:rsidR="00B93C79" w:rsidRPr="00B93C79" w:rsidRDefault="00B93C79" w:rsidP="00B93C79">
            <w:pPr>
              <w:jc w:val="center"/>
              <w:rPr>
                <w:rFonts w:ascii="Arial" w:hAnsi="Arial" w:cs="Arial"/>
              </w:rPr>
            </w:pPr>
            <w:r w:rsidRPr="00B93C79">
              <w:rPr>
                <w:rFonts w:ascii="Arial" w:hAnsi="Arial" w:cs="Arial"/>
              </w:rPr>
              <w:t>48</w:t>
            </w:r>
          </w:p>
        </w:tc>
        <w:tc>
          <w:tcPr>
            <w:tcW w:w="0" w:type="auto"/>
            <w:tcBorders>
              <w:bottom w:val="single" w:sz="4" w:space="0" w:color="auto"/>
            </w:tcBorders>
            <w:vAlign w:val="center"/>
            <w:hideMark/>
          </w:tcPr>
          <w:p w14:paraId="399B2C08" w14:textId="77777777" w:rsidR="00B93C79" w:rsidRPr="00B93C79" w:rsidRDefault="00B93C79" w:rsidP="00B93C79">
            <w:pPr>
              <w:jc w:val="center"/>
              <w:rPr>
                <w:rFonts w:ascii="Arial" w:hAnsi="Arial" w:cs="Arial"/>
              </w:rPr>
            </w:pPr>
            <w:r w:rsidRPr="00B93C79">
              <w:rPr>
                <w:rFonts w:ascii="Arial" w:hAnsi="Arial" w:cs="Arial"/>
              </w:rPr>
              <w:t>25.8</w:t>
            </w:r>
          </w:p>
        </w:tc>
      </w:tr>
    </w:tbl>
    <w:p w14:paraId="202D5DFD" w14:textId="77777777" w:rsidR="00B93C79" w:rsidRPr="00FB3A86" w:rsidRDefault="00B93C79" w:rsidP="00B370E4">
      <w:pPr>
        <w:pStyle w:val="Head1"/>
        <w:jc w:val="both"/>
        <w:rPr>
          <w:rFonts w:ascii="Arial" w:hAnsi="Arial" w:cs="Arial"/>
        </w:rPr>
      </w:pPr>
    </w:p>
    <w:p w14:paraId="31F95186" w14:textId="19692F2C" w:rsidR="00B370E4" w:rsidRPr="00B370E4" w:rsidRDefault="00B370E4" w:rsidP="00B370E4">
      <w:pPr>
        <w:pStyle w:val="Body"/>
        <w:rPr>
          <w:rFonts w:ascii="Arial" w:hAnsi="Arial" w:cs="Arial"/>
          <w:b/>
          <w:bCs/>
          <w:sz w:val="22"/>
          <w:szCs w:val="22"/>
        </w:rPr>
      </w:pPr>
      <w:r w:rsidRPr="00B370E4">
        <w:rPr>
          <w:rFonts w:ascii="Arial" w:hAnsi="Arial" w:cs="Arial"/>
          <w:b/>
          <w:bCs/>
          <w:sz w:val="22"/>
          <w:szCs w:val="22"/>
        </w:rPr>
        <w:t xml:space="preserve">3.2 </w:t>
      </w:r>
      <w:r w:rsidR="007D706E" w:rsidRPr="007D706E">
        <w:rPr>
          <w:rFonts w:ascii="Arial" w:hAnsi="Arial" w:cs="Arial"/>
          <w:b/>
          <w:bCs/>
          <w:sz w:val="22"/>
          <w:szCs w:val="22"/>
        </w:rPr>
        <w:t>Outer Model Analysis</w:t>
      </w:r>
    </w:p>
    <w:p w14:paraId="7FADFFDE" w14:textId="77777777" w:rsidR="007D706E" w:rsidRPr="007D706E" w:rsidRDefault="007D706E" w:rsidP="007D706E">
      <w:pPr>
        <w:pStyle w:val="Body"/>
        <w:rPr>
          <w:rFonts w:ascii="Arial" w:hAnsi="Arial" w:cs="Arial"/>
        </w:rPr>
      </w:pPr>
      <w:r w:rsidRPr="007D706E">
        <w:rPr>
          <w:rFonts w:ascii="Arial" w:hAnsi="Arial" w:cs="Arial"/>
        </w:rPr>
        <w:t>The outer (measurement) model was evaluated to assess the reliability and validity of the reflective constructs used in this study, namely Lean Management Practices (LMP), Operational Performance (OP), and Organizational Competitiveness (OC). The assessment followed established PLS-SEM guidelines, focusing on indicator reliability, internal consistency reliability, convergent validity, and discriminant validity.</w:t>
      </w:r>
    </w:p>
    <w:p w14:paraId="513DDE69" w14:textId="3A418A8B" w:rsidR="007D706E" w:rsidRPr="007D706E" w:rsidRDefault="007D706E" w:rsidP="007D706E">
      <w:pPr>
        <w:pStyle w:val="Body"/>
        <w:rPr>
          <w:rFonts w:ascii="Arial" w:hAnsi="Arial" w:cs="Arial"/>
          <w:b/>
          <w:bCs/>
        </w:rPr>
      </w:pPr>
      <w:r w:rsidRPr="007D706E">
        <w:rPr>
          <w:rFonts w:ascii="Arial" w:hAnsi="Arial" w:cs="Arial"/>
          <w:b/>
          <w:bCs/>
        </w:rPr>
        <w:t>3.</w:t>
      </w:r>
      <w:r>
        <w:rPr>
          <w:rFonts w:ascii="Arial" w:hAnsi="Arial" w:cs="Arial"/>
          <w:b/>
          <w:bCs/>
        </w:rPr>
        <w:t>2</w:t>
      </w:r>
      <w:r w:rsidRPr="007D706E">
        <w:rPr>
          <w:rFonts w:ascii="Arial" w:hAnsi="Arial" w:cs="Arial"/>
          <w:b/>
          <w:bCs/>
        </w:rPr>
        <w:t>.1 Indicator Reliability</w:t>
      </w:r>
    </w:p>
    <w:p w14:paraId="4D8A383D" w14:textId="3ABD68B8" w:rsidR="007D706E" w:rsidRDefault="007D706E" w:rsidP="007D706E">
      <w:pPr>
        <w:pStyle w:val="Body"/>
        <w:rPr>
          <w:rFonts w:ascii="Arial" w:hAnsi="Arial" w:cs="Arial"/>
        </w:rPr>
      </w:pPr>
      <w:r w:rsidRPr="007D706E">
        <w:rPr>
          <w:rFonts w:ascii="Arial" w:hAnsi="Arial" w:cs="Arial"/>
        </w:rPr>
        <w:t xml:space="preserve">Indicator reliability was examined by evaluating the outer loadings of each measurement item on its respective construct. As presented in Table </w:t>
      </w:r>
      <w:r>
        <w:rPr>
          <w:rFonts w:ascii="Arial" w:hAnsi="Arial" w:cs="Arial"/>
        </w:rPr>
        <w:t>2</w:t>
      </w:r>
      <w:r w:rsidRPr="007D706E">
        <w:rPr>
          <w:rFonts w:ascii="Arial" w:hAnsi="Arial" w:cs="Arial"/>
        </w:rPr>
        <w:t>, all indicators exhibit loadings above the recommended threshold of 0.70, with a small number of items falling slightly above 0.65 but retained due to strong theoretical justification. All loadings are statistically significant at p &lt; 0.001.</w:t>
      </w:r>
    </w:p>
    <w:p w14:paraId="29F17A99" w14:textId="77777777" w:rsidR="007D706E" w:rsidRDefault="007D706E" w:rsidP="007D706E">
      <w:pPr>
        <w:pStyle w:val="Body"/>
        <w:rPr>
          <w:rFonts w:ascii="Arial" w:hAnsi="Arial" w:cs="Arial"/>
        </w:rPr>
      </w:pPr>
    </w:p>
    <w:p w14:paraId="4686C4A0" w14:textId="77777777" w:rsidR="007D706E" w:rsidRDefault="007D706E" w:rsidP="007D706E">
      <w:pPr>
        <w:pStyle w:val="Body"/>
        <w:rPr>
          <w:rFonts w:ascii="Arial" w:hAnsi="Arial" w:cs="Arial"/>
        </w:rPr>
      </w:pPr>
    </w:p>
    <w:p w14:paraId="1F13AA67" w14:textId="3B85D606" w:rsidR="007D706E" w:rsidRPr="007D706E" w:rsidRDefault="007D706E" w:rsidP="007D706E">
      <w:pPr>
        <w:pStyle w:val="Caption"/>
        <w:keepNext/>
        <w:spacing w:after="0"/>
        <w:rPr>
          <w:rFonts w:ascii="Arial" w:hAnsi="Arial" w:cs="Arial"/>
          <w:b/>
          <w:bCs/>
          <w:i w:val="0"/>
          <w:iCs w:val="0"/>
          <w:color w:val="auto"/>
          <w:sz w:val="22"/>
          <w:szCs w:val="22"/>
        </w:rPr>
      </w:pPr>
      <w:r w:rsidRPr="007D706E">
        <w:rPr>
          <w:rFonts w:ascii="Arial" w:hAnsi="Arial" w:cs="Arial"/>
          <w:b/>
          <w:bCs/>
          <w:i w:val="0"/>
          <w:iCs w:val="0"/>
          <w:color w:val="auto"/>
          <w:sz w:val="22"/>
          <w:szCs w:val="22"/>
        </w:rPr>
        <w:lastRenderedPageBreak/>
        <w:t xml:space="preserve">Table </w:t>
      </w:r>
      <w:r w:rsidRPr="007D706E">
        <w:rPr>
          <w:rFonts w:ascii="Arial" w:hAnsi="Arial" w:cs="Arial"/>
          <w:b/>
          <w:bCs/>
          <w:i w:val="0"/>
          <w:iCs w:val="0"/>
          <w:color w:val="auto"/>
          <w:sz w:val="22"/>
          <w:szCs w:val="22"/>
        </w:rPr>
        <w:fldChar w:fldCharType="begin"/>
      </w:r>
      <w:r w:rsidRPr="007D706E">
        <w:rPr>
          <w:rFonts w:ascii="Arial" w:hAnsi="Arial" w:cs="Arial"/>
          <w:b/>
          <w:bCs/>
          <w:i w:val="0"/>
          <w:iCs w:val="0"/>
          <w:color w:val="auto"/>
          <w:sz w:val="22"/>
          <w:szCs w:val="22"/>
        </w:rPr>
        <w:instrText xml:space="preserve"> SEQ Table \* ARABIC </w:instrText>
      </w:r>
      <w:r w:rsidRPr="007D706E">
        <w:rPr>
          <w:rFonts w:ascii="Arial" w:hAnsi="Arial" w:cs="Arial"/>
          <w:b/>
          <w:bCs/>
          <w:i w:val="0"/>
          <w:iCs w:val="0"/>
          <w:color w:val="auto"/>
          <w:sz w:val="22"/>
          <w:szCs w:val="22"/>
        </w:rPr>
        <w:fldChar w:fldCharType="separate"/>
      </w:r>
      <w:r w:rsidR="0078217C">
        <w:rPr>
          <w:rFonts w:ascii="Arial" w:hAnsi="Arial" w:cs="Arial"/>
          <w:b/>
          <w:bCs/>
          <w:i w:val="0"/>
          <w:iCs w:val="0"/>
          <w:noProof/>
          <w:color w:val="auto"/>
          <w:sz w:val="22"/>
          <w:szCs w:val="22"/>
        </w:rPr>
        <w:t>2</w:t>
      </w:r>
      <w:r w:rsidRPr="007D706E">
        <w:rPr>
          <w:rFonts w:ascii="Arial" w:hAnsi="Arial" w:cs="Arial"/>
          <w:b/>
          <w:bCs/>
          <w:i w:val="0"/>
          <w:iCs w:val="0"/>
          <w:color w:val="auto"/>
          <w:sz w:val="22"/>
          <w:szCs w:val="22"/>
        </w:rPr>
        <w:fldChar w:fldCharType="end"/>
      </w:r>
      <w:r w:rsidRPr="007D706E">
        <w:rPr>
          <w:rFonts w:ascii="Arial" w:hAnsi="Arial" w:cs="Arial"/>
          <w:b/>
          <w:bCs/>
          <w:i w:val="0"/>
          <w:iCs w:val="0"/>
          <w:color w:val="auto"/>
          <w:sz w:val="22"/>
          <w:szCs w:val="22"/>
        </w:rPr>
        <w:t xml:space="preserve"> Indicator Loadings</w:t>
      </w:r>
    </w:p>
    <w:tbl>
      <w:tblPr>
        <w:tblW w:w="8235" w:type="dxa"/>
        <w:tblCellSpacing w:w="15" w:type="dxa"/>
        <w:tblCellMar>
          <w:top w:w="15" w:type="dxa"/>
          <w:left w:w="15" w:type="dxa"/>
          <w:bottom w:w="15" w:type="dxa"/>
          <w:right w:w="15" w:type="dxa"/>
        </w:tblCellMar>
        <w:tblLook w:val="04A0" w:firstRow="1" w:lastRow="0" w:firstColumn="1" w:lastColumn="0" w:noHBand="0" w:noVBand="1"/>
      </w:tblPr>
      <w:tblGrid>
        <w:gridCol w:w="4455"/>
        <w:gridCol w:w="1710"/>
        <w:gridCol w:w="2070"/>
      </w:tblGrid>
      <w:tr w:rsidR="007D706E" w:rsidRPr="007D706E" w14:paraId="520C7A8F" w14:textId="77777777" w:rsidTr="007D706E">
        <w:trPr>
          <w:tblHeader/>
          <w:tblCellSpacing w:w="15" w:type="dxa"/>
        </w:trPr>
        <w:tc>
          <w:tcPr>
            <w:tcW w:w="4410" w:type="dxa"/>
            <w:tcBorders>
              <w:top w:val="single" w:sz="4" w:space="0" w:color="auto"/>
              <w:bottom w:val="single" w:sz="4" w:space="0" w:color="auto"/>
            </w:tcBorders>
            <w:vAlign w:val="center"/>
            <w:hideMark/>
          </w:tcPr>
          <w:p w14:paraId="08A56058" w14:textId="77777777" w:rsidR="007D706E" w:rsidRPr="007D706E" w:rsidRDefault="007D706E" w:rsidP="007D706E">
            <w:pPr>
              <w:pStyle w:val="Body"/>
              <w:spacing w:after="0"/>
              <w:rPr>
                <w:rFonts w:ascii="Arial" w:hAnsi="Arial" w:cs="Arial"/>
                <w:b/>
                <w:bCs/>
              </w:rPr>
            </w:pPr>
            <w:r w:rsidRPr="007D706E">
              <w:rPr>
                <w:rFonts w:ascii="Arial" w:hAnsi="Arial" w:cs="Arial"/>
                <w:b/>
                <w:bCs/>
              </w:rPr>
              <w:t>Construct</w:t>
            </w:r>
          </w:p>
        </w:tc>
        <w:tc>
          <w:tcPr>
            <w:tcW w:w="1680" w:type="dxa"/>
            <w:tcBorders>
              <w:top w:val="single" w:sz="4" w:space="0" w:color="auto"/>
              <w:bottom w:val="single" w:sz="4" w:space="0" w:color="auto"/>
            </w:tcBorders>
            <w:vAlign w:val="center"/>
            <w:hideMark/>
          </w:tcPr>
          <w:p w14:paraId="4B6DB38F" w14:textId="77777777" w:rsidR="007D706E" w:rsidRPr="007D706E" w:rsidRDefault="007D706E" w:rsidP="007D706E">
            <w:pPr>
              <w:pStyle w:val="Body"/>
              <w:spacing w:after="0"/>
              <w:jc w:val="center"/>
              <w:rPr>
                <w:rFonts w:ascii="Arial" w:hAnsi="Arial" w:cs="Arial"/>
                <w:b/>
                <w:bCs/>
              </w:rPr>
            </w:pPr>
            <w:r w:rsidRPr="007D706E">
              <w:rPr>
                <w:rFonts w:ascii="Arial" w:hAnsi="Arial" w:cs="Arial"/>
                <w:b/>
                <w:bCs/>
              </w:rPr>
              <w:t>Indicator</w:t>
            </w:r>
          </w:p>
        </w:tc>
        <w:tc>
          <w:tcPr>
            <w:tcW w:w="2025" w:type="dxa"/>
            <w:tcBorders>
              <w:top w:val="single" w:sz="4" w:space="0" w:color="auto"/>
              <w:bottom w:val="single" w:sz="4" w:space="0" w:color="auto"/>
            </w:tcBorders>
            <w:vAlign w:val="center"/>
            <w:hideMark/>
          </w:tcPr>
          <w:p w14:paraId="4A8E5981" w14:textId="77777777" w:rsidR="007D706E" w:rsidRPr="007D706E" w:rsidRDefault="007D706E" w:rsidP="007D706E">
            <w:pPr>
              <w:pStyle w:val="Body"/>
              <w:spacing w:after="0"/>
              <w:jc w:val="center"/>
              <w:rPr>
                <w:rFonts w:ascii="Arial" w:hAnsi="Arial" w:cs="Arial"/>
                <w:b/>
                <w:bCs/>
              </w:rPr>
            </w:pPr>
            <w:r w:rsidRPr="007D706E">
              <w:rPr>
                <w:rFonts w:ascii="Arial" w:hAnsi="Arial" w:cs="Arial"/>
                <w:b/>
                <w:bCs/>
              </w:rPr>
              <w:t>Loading</w:t>
            </w:r>
          </w:p>
        </w:tc>
      </w:tr>
      <w:tr w:rsidR="007D706E" w:rsidRPr="007D706E" w14:paraId="2D629DA3" w14:textId="77777777" w:rsidTr="007D706E">
        <w:trPr>
          <w:tblCellSpacing w:w="15" w:type="dxa"/>
        </w:trPr>
        <w:tc>
          <w:tcPr>
            <w:tcW w:w="4410" w:type="dxa"/>
            <w:vAlign w:val="center"/>
            <w:hideMark/>
          </w:tcPr>
          <w:p w14:paraId="43C6B1D7" w14:textId="77777777" w:rsidR="007D706E" w:rsidRPr="007D706E" w:rsidRDefault="007D706E" w:rsidP="007D706E">
            <w:pPr>
              <w:pStyle w:val="Body"/>
              <w:spacing w:after="0"/>
              <w:rPr>
                <w:rFonts w:ascii="Arial" w:hAnsi="Arial" w:cs="Arial"/>
              </w:rPr>
            </w:pPr>
            <w:r w:rsidRPr="007D706E">
              <w:rPr>
                <w:rFonts w:ascii="Arial" w:hAnsi="Arial" w:cs="Arial"/>
              </w:rPr>
              <w:t>Lean Management Practices (LMP)</w:t>
            </w:r>
          </w:p>
        </w:tc>
        <w:tc>
          <w:tcPr>
            <w:tcW w:w="1680" w:type="dxa"/>
            <w:vAlign w:val="center"/>
            <w:hideMark/>
          </w:tcPr>
          <w:p w14:paraId="38A1628B" w14:textId="77777777" w:rsidR="007D706E" w:rsidRPr="007D706E" w:rsidRDefault="007D706E" w:rsidP="007D706E">
            <w:pPr>
              <w:pStyle w:val="Body"/>
              <w:spacing w:after="0"/>
              <w:jc w:val="center"/>
              <w:rPr>
                <w:rFonts w:ascii="Arial" w:hAnsi="Arial" w:cs="Arial"/>
              </w:rPr>
            </w:pPr>
            <w:r w:rsidRPr="007D706E">
              <w:rPr>
                <w:rFonts w:ascii="Arial" w:hAnsi="Arial" w:cs="Arial"/>
              </w:rPr>
              <w:t>LMP1</w:t>
            </w:r>
          </w:p>
        </w:tc>
        <w:tc>
          <w:tcPr>
            <w:tcW w:w="2025" w:type="dxa"/>
            <w:vAlign w:val="center"/>
            <w:hideMark/>
          </w:tcPr>
          <w:p w14:paraId="224E3561" w14:textId="77777777" w:rsidR="007D706E" w:rsidRPr="007D706E" w:rsidRDefault="007D706E" w:rsidP="007D706E">
            <w:pPr>
              <w:pStyle w:val="Body"/>
              <w:spacing w:after="0"/>
              <w:jc w:val="center"/>
              <w:rPr>
                <w:rFonts w:ascii="Arial" w:hAnsi="Arial" w:cs="Arial"/>
              </w:rPr>
            </w:pPr>
            <w:r w:rsidRPr="007D706E">
              <w:rPr>
                <w:rFonts w:ascii="Arial" w:hAnsi="Arial" w:cs="Arial"/>
              </w:rPr>
              <w:t>0.81</w:t>
            </w:r>
          </w:p>
        </w:tc>
      </w:tr>
      <w:tr w:rsidR="007D706E" w:rsidRPr="007D706E" w14:paraId="1057F54C" w14:textId="77777777" w:rsidTr="007D706E">
        <w:trPr>
          <w:tblCellSpacing w:w="15" w:type="dxa"/>
        </w:trPr>
        <w:tc>
          <w:tcPr>
            <w:tcW w:w="4410" w:type="dxa"/>
            <w:vAlign w:val="center"/>
            <w:hideMark/>
          </w:tcPr>
          <w:p w14:paraId="3B46300F" w14:textId="77777777" w:rsidR="007D706E" w:rsidRPr="007D706E" w:rsidRDefault="007D706E" w:rsidP="007D706E">
            <w:pPr>
              <w:pStyle w:val="Body"/>
              <w:spacing w:after="0"/>
              <w:rPr>
                <w:rFonts w:ascii="Arial" w:hAnsi="Arial" w:cs="Arial"/>
              </w:rPr>
            </w:pPr>
          </w:p>
        </w:tc>
        <w:tc>
          <w:tcPr>
            <w:tcW w:w="1680" w:type="dxa"/>
            <w:vAlign w:val="center"/>
            <w:hideMark/>
          </w:tcPr>
          <w:p w14:paraId="0EAE91FC" w14:textId="77777777" w:rsidR="007D706E" w:rsidRPr="007D706E" w:rsidRDefault="007D706E" w:rsidP="007D706E">
            <w:pPr>
              <w:pStyle w:val="Body"/>
              <w:spacing w:after="0"/>
              <w:jc w:val="center"/>
              <w:rPr>
                <w:rFonts w:ascii="Arial" w:hAnsi="Arial" w:cs="Arial"/>
              </w:rPr>
            </w:pPr>
            <w:r w:rsidRPr="007D706E">
              <w:rPr>
                <w:rFonts w:ascii="Arial" w:hAnsi="Arial" w:cs="Arial"/>
              </w:rPr>
              <w:t>LMP2</w:t>
            </w:r>
          </w:p>
        </w:tc>
        <w:tc>
          <w:tcPr>
            <w:tcW w:w="2025" w:type="dxa"/>
            <w:vAlign w:val="center"/>
            <w:hideMark/>
          </w:tcPr>
          <w:p w14:paraId="5A231E8D" w14:textId="77777777" w:rsidR="007D706E" w:rsidRPr="007D706E" w:rsidRDefault="007D706E" w:rsidP="007D706E">
            <w:pPr>
              <w:pStyle w:val="Body"/>
              <w:spacing w:after="0"/>
              <w:jc w:val="center"/>
              <w:rPr>
                <w:rFonts w:ascii="Arial" w:hAnsi="Arial" w:cs="Arial"/>
              </w:rPr>
            </w:pPr>
            <w:r w:rsidRPr="007D706E">
              <w:rPr>
                <w:rFonts w:ascii="Arial" w:hAnsi="Arial" w:cs="Arial"/>
              </w:rPr>
              <w:t>0.84</w:t>
            </w:r>
          </w:p>
        </w:tc>
      </w:tr>
      <w:tr w:rsidR="007D706E" w:rsidRPr="007D706E" w14:paraId="7B43A263" w14:textId="77777777" w:rsidTr="007D706E">
        <w:trPr>
          <w:tblCellSpacing w:w="15" w:type="dxa"/>
        </w:trPr>
        <w:tc>
          <w:tcPr>
            <w:tcW w:w="4410" w:type="dxa"/>
            <w:vAlign w:val="center"/>
            <w:hideMark/>
          </w:tcPr>
          <w:p w14:paraId="196A1192" w14:textId="77777777" w:rsidR="007D706E" w:rsidRPr="007D706E" w:rsidRDefault="007D706E" w:rsidP="007D706E">
            <w:pPr>
              <w:pStyle w:val="Body"/>
              <w:spacing w:after="0"/>
              <w:rPr>
                <w:rFonts w:ascii="Arial" w:hAnsi="Arial" w:cs="Arial"/>
              </w:rPr>
            </w:pPr>
          </w:p>
        </w:tc>
        <w:tc>
          <w:tcPr>
            <w:tcW w:w="1680" w:type="dxa"/>
            <w:vAlign w:val="center"/>
            <w:hideMark/>
          </w:tcPr>
          <w:p w14:paraId="1530C0EB" w14:textId="77777777" w:rsidR="007D706E" w:rsidRPr="007D706E" w:rsidRDefault="007D706E" w:rsidP="007D706E">
            <w:pPr>
              <w:pStyle w:val="Body"/>
              <w:spacing w:after="0"/>
              <w:jc w:val="center"/>
              <w:rPr>
                <w:rFonts w:ascii="Arial" w:hAnsi="Arial" w:cs="Arial"/>
              </w:rPr>
            </w:pPr>
            <w:r w:rsidRPr="007D706E">
              <w:rPr>
                <w:rFonts w:ascii="Arial" w:hAnsi="Arial" w:cs="Arial"/>
              </w:rPr>
              <w:t>LMP3</w:t>
            </w:r>
          </w:p>
        </w:tc>
        <w:tc>
          <w:tcPr>
            <w:tcW w:w="2025" w:type="dxa"/>
            <w:vAlign w:val="center"/>
            <w:hideMark/>
          </w:tcPr>
          <w:p w14:paraId="0A65B7AA" w14:textId="77777777" w:rsidR="007D706E" w:rsidRPr="007D706E" w:rsidRDefault="007D706E" w:rsidP="007D706E">
            <w:pPr>
              <w:pStyle w:val="Body"/>
              <w:spacing w:after="0"/>
              <w:jc w:val="center"/>
              <w:rPr>
                <w:rFonts w:ascii="Arial" w:hAnsi="Arial" w:cs="Arial"/>
              </w:rPr>
            </w:pPr>
            <w:r w:rsidRPr="007D706E">
              <w:rPr>
                <w:rFonts w:ascii="Arial" w:hAnsi="Arial" w:cs="Arial"/>
              </w:rPr>
              <w:t>0.79</w:t>
            </w:r>
          </w:p>
        </w:tc>
      </w:tr>
      <w:tr w:rsidR="007D706E" w:rsidRPr="007D706E" w14:paraId="3BC20CC6" w14:textId="77777777" w:rsidTr="007D706E">
        <w:trPr>
          <w:tblCellSpacing w:w="15" w:type="dxa"/>
        </w:trPr>
        <w:tc>
          <w:tcPr>
            <w:tcW w:w="4410" w:type="dxa"/>
            <w:vAlign w:val="center"/>
            <w:hideMark/>
          </w:tcPr>
          <w:p w14:paraId="6CB9A18E" w14:textId="77777777" w:rsidR="007D706E" w:rsidRPr="007D706E" w:rsidRDefault="007D706E" w:rsidP="007D706E">
            <w:pPr>
              <w:pStyle w:val="Body"/>
              <w:spacing w:after="0"/>
              <w:rPr>
                <w:rFonts w:ascii="Arial" w:hAnsi="Arial" w:cs="Arial"/>
              </w:rPr>
            </w:pPr>
          </w:p>
        </w:tc>
        <w:tc>
          <w:tcPr>
            <w:tcW w:w="1680" w:type="dxa"/>
            <w:vAlign w:val="center"/>
            <w:hideMark/>
          </w:tcPr>
          <w:p w14:paraId="2877AC83" w14:textId="77777777" w:rsidR="007D706E" w:rsidRPr="007D706E" w:rsidRDefault="007D706E" w:rsidP="007D706E">
            <w:pPr>
              <w:pStyle w:val="Body"/>
              <w:spacing w:after="0"/>
              <w:jc w:val="center"/>
              <w:rPr>
                <w:rFonts w:ascii="Arial" w:hAnsi="Arial" w:cs="Arial"/>
              </w:rPr>
            </w:pPr>
            <w:r w:rsidRPr="007D706E">
              <w:rPr>
                <w:rFonts w:ascii="Arial" w:hAnsi="Arial" w:cs="Arial"/>
              </w:rPr>
              <w:t>LMP4</w:t>
            </w:r>
          </w:p>
        </w:tc>
        <w:tc>
          <w:tcPr>
            <w:tcW w:w="2025" w:type="dxa"/>
            <w:vAlign w:val="center"/>
            <w:hideMark/>
          </w:tcPr>
          <w:p w14:paraId="1221F509" w14:textId="77777777" w:rsidR="007D706E" w:rsidRPr="007D706E" w:rsidRDefault="007D706E" w:rsidP="007D706E">
            <w:pPr>
              <w:pStyle w:val="Body"/>
              <w:spacing w:after="0"/>
              <w:jc w:val="center"/>
              <w:rPr>
                <w:rFonts w:ascii="Arial" w:hAnsi="Arial" w:cs="Arial"/>
              </w:rPr>
            </w:pPr>
            <w:r w:rsidRPr="007D706E">
              <w:rPr>
                <w:rFonts w:ascii="Arial" w:hAnsi="Arial" w:cs="Arial"/>
              </w:rPr>
              <w:t>0.76</w:t>
            </w:r>
          </w:p>
        </w:tc>
      </w:tr>
      <w:tr w:rsidR="007D706E" w:rsidRPr="007D706E" w14:paraId="267E70D6" w14:textId="77777777" w:rsidTr="007D706E">
        <w:trPr>
          <w:tblCellSpacing w:w="15" w:type="dxa"/>
        </w:trPr>
        <w:tc>
          <w:tcPr>
            <w:tcW w:w="4410" w:type="dxa"/>
            <w:vAlign w:val="center"/>
            <w:hideMark/>
          </w:tcPr>
          <w:p w14:paraId="1E70CBBE" w14:textId="77777777" w:rsidR="007D706E" w:rsidRPr="007D706E" w:rsidRDefault="007D706E" w:rsidP="007D706E">
            <w:pPr>
              <w:pStyle w:val="Body"/>
              <w:spacing w:after="0"/>
              <w:rPr>
                <w:rFonts w:ascii="Arial" w:hAnsi="Arial" w:cs="Arial"/>
              </w:rPr>
            </w:pPr>
          </w:p>
        </w:tc>
        <w:tc>
          <w:tcPr>
            <w:tcW w:w="1680" w:type="dxa"/>
            <w:vAlign w:val="center"/>
            <w:hideMark/>
          </w:tcPr>
          <w:p w14:paraId="6844FA42" w14:textId="77777777" w:rsidR="007D706E" w:rsidRPr="007D706E" w:rsidRDefault="007D706E" w:rsidP="007D706E">
            <w:pPr>
              <w:pStyle w:val="Body"/>
              <w:spacing w:after="0"/>
              <w:jc w:val="center"/>
              <w:rPr>
                <w:rFonts w:ascii="Arial" w:hAnsi="Arial" w:cs="Arial"/>
              </w:rPr>
            </w:pPr>
            <w:r w:rsidRPr="007D706E">
              <w:rPr>
                <w:rFonts w:ascii="Arial" w:hAnsi="Arial" w:cs="Arial"/>
              </w:rPr>
              <w:t>LMP5</w:t>
            </w:r>
          </w:p>
        </w:tc>
        <w:tc>
          <w:tcPr>
            <w:tcW w:w="2025" w:type="dxa"/>
            <w:vAlign w:val="center"/>
            <w:hideMark/>
          </w:tcPr>
          <w:p w14:paraId="3941A5B2" w14:textId="77777777" w:rsidR="007D706E" w:rsidRPr="007D706E" w:rsidRDefault="007D706E" w:rsidP="007D706E">
            <w:pPr>
              <w:pStyle w:val="Body"/>
              <w:spacing w:after="0"/>
              <w:jc w:val="center"/>
              <w:rPr>
                <w:rFonts w:ascii="Arial" w:hAnsi="Arial" w:cs="Arial"/>
              </w:rPr>
            </w:pPr>
            <w:r w:rsidRPr="007D706E">
              <w:rPr>
                <w:rFonts w:ascii="Arial" w:hAnsi="Arial" w:cs="Arial"/>
              </w:rPr>
              <w:t>0.83</w:t>
            </w:r>
          </w:p>
        </w:tc>
      </w:tr>
      <w:tr w:rsidR="007D706E" w:rsidRPr="007D706E" w14:paraId="6A5DE62C" w14:textId="77777777" w:rsidTr="007D706E">
        <w:trPr>
          <w:tblCellSpacing w:w="15" w:type="dxa"/>
        </w:trPr>
        <w:tc>
          <w:tcPr>
            <w:tcW w:w="4410" w:type="dxa"/>
            <w:vAlign w:val="center"/>
            <w:hideMark/>
          </w:tcPr>
          <w:p w14:paraId="5BBB8D0B" w14:textId="77777777" w:rsidR="007D706E" w:rsidRPr="007D706E" w:rsidRDefault="007D706E" w:rsidP="007D706E">
            <w:pPr>
              <w:pStyle w:val="Body"/>
              <w:spacing w:after="0"/>
              <w:rPr>
                <w:rFonts w:ascii="Arial" w:hAnsi="Arial" w:cs="Arial"/>
              </w:rPr>
            </w:pPr>
            <w:r w:rsidRPr="007D706E">
              <w:rPr>
                <w:rFonts w:ascii="Arial" w:hAnsi="Arial" w:cs="Arial"/>
              </w:rPr>
              <w:t>Operational Performance (OP)</w:t>
            </w:r>
          </w:p>
        </w:tc>
        <w:tc>
          <w:tcPr>
            <w:tcW w:w="1680" w:type="dxa"/>
            <w:vAlign w:val="center"/>
            <w:hideMark/>
          </w:tcPr>
          <w:p w14:paraId="451ECDE4" w14:textId="77777777" w:rsidR="007D706E" w:rsidRPr="007D706E" w:rsidRDefault="007D706E" w:rsidP="007D706E">
            <w:pPr>
              <w:pStyle w:val="Body"/>
              <w:spacing w:after="0"/>
              <w:jc w:val="center"/>
              <w:rPr>
                <w:rFonts w:ascii="Arial" w:hAnsi="Arial" w:cs="Arial"/>
              </w:rPr>
            </w:pPr>
            <w:r w:rsidRPr="007D706E">
              <w:rPr>
                <w:rFonts w:ascii="Arial" w:hAnsi="Arial" w:cs="Arial"/>
              </w:rPr>
              <w:t>OP1</w:t>
            </w:r>
          </w:p>
        </w:tc>
        <w:tc>
          <w:tcPr>
            <w:tcW w:w="2025" w:type="dxa"/>
            <w:vAlign w:val="center"/>
            <w:hideMark/>
          </w:tcPr>
          <w:p w14:paraId="49CD7713" w14:textId="77777777" w:rsidR="007D706E" w:rsidRPr="007D706E" w:rsidRDefault="007D706E" w:rsidP="007D706E">
            <w:pPr>
              <w:pStyle w:val="Body"/>
              <w:spacing w:after="0"/>
              <w:jc w:val="center"/>
              <w:rPr>
                <w:rFonts w:ascii="Arial" w:hAnsi="Arial" w:cs="Arial"/>
              </w:rPr>
            </w:pPr>
            <w:r w:rsidRPr="007D706E">
              <w:rPr>
                <w:rFonts w:ascii="Arial" w:hAnsi="Arial" w:cs="Arial"/>
              </w:rPr>
              <w:t>0.78</w:t>
            </w:r>
          </w:p>
        </w:tc>
      </w:tr>
      <w:tr w:rsidR="007D706E" w:rsidRPr="007D706E" w14:paraId="0AF5E08D" w14:textId="77777777" w:rsidTr="007D706E">
        <w:trPr>
          <w:tblCellSpacing w:w="15" w:type="dxa"/>
        </w:trPr>
        <w:tc>
          <w:tcPr>
            <w:tcW w:w="4410" w:type="dxa"/>
            <w:vAlign w:val="center"/>
            <w:hideMark/>
          </w:tcPr>
          <w:p w14:paraId="2F5410C2" w14:textId="77777777" w:rsidR="007D706E" w:rsidRPr="007D706E" w:rsidRDefault="007D706E" w:rsidP="007D706E">
            <w:pPr>
              <w:pStyle w:val="Body"/>
              <w:spacing w:after="0"/>
              <w:rPr>
                <w:rFonts w:ascii="Arial" w:hAnsi="Arial" w:cs="Arial"/>
              </w:rPr>
            </w:pPr>
          </w:p>
        </w:tc>
        <w:tc>
          <w:tcPr>
            <w:tcW w:w="1680" w:type="dxa"/>
            <w:vAlign w:val="center"/>
            <w:hideMark/>
          </w:tcPr>
          <w:p w14:paraId="4713B619" w14:textId="77777777" w:rsidR="007D706E" w:rsidRPr="007D706E" w:rsidRDefault="007D706E" w:rsidP="007D706E">
            <w:pPr>
              <w:pStyle w:val="Body"/>
              <w:spacing w:after="0"/>
              <w:jc w:val="center"/>
              <w:rPr>
                <w:rFonts w:ascii="Arial" w:hAnsi="Arial" w:cs="Arial"/>
              </w:rPr>
            </w:pPr>
            <w:r w:rsidRPr="007D706E">
              <w:rPr>
                <w:rFonts w:ascii="Arial" w:hAnsi="Arial" w:cs="Arial"/>
              </w:rPr>
              <w:t>OP2</w:t>
            </w:r>
          </w:p>
        </w:tc>
        <w:tc>
          <w:tcPr>
            <w:tcW w:w="2025" w:type="dxa"/>
            <w:vAlign w:val="center"/>
            <w:hideMark/>
          </w:tcPr>
          <w:p w14:paraId="5A3DABD5" w14:textId="77777777" w:rsidR="007D706E" w:rsidRPr="007D706E" w:rsidRDefault="007D706E" w:rsidP="007D706E">
            <w:pPr>
              <w:pStyle w:val="Body"/>
              <w:spacing w:after="0"/>
              <w:jc w:val="center"/>
              <w:rPr>
                <w:rFonts w:ascii="Arial" w:hAnsi="Arial" w:cs="Arial"/>
              </w:rPr>
            </w:pPr>
            <w:r w:rsidRPr="007D706E">
              <w:rPr>
                <w:rFonts w:ascii="Arial" w:hAnsi="Arial" w:cs="Arial"/>
              </w:rPr>
              <w:t>0.82</w:t>
            </w:r>
          </w:p>
        </w:tc>
      </w:tr>
      <w:tr w:rsidR="007D706E" w:rsidRPr="007D706E" w14:paraId="201CEF57" w14:textId="77777777" w:rsidTr="007D706E">
        <w:trPr>
          <w:tblCellSpacing w:w="15" w:type="dxa"/>
        </w:trPr>
        <w:tc>
          <w:tcPr>
            <w:tcW w:w="4410" w:type="dxa"/>
            <w:vAlign w:val="center"/>
            <w:hideMark/>
          </w:tcPr>
          <w:p w14:paraId="15B4305B" w14:textId="77777777" w:rsidR="007D706E" w:rsidRPr="007D706E" w:rsidRDefault="007D706E" w:rsidP="007D706E">
            <w:pPr>
              <w:pStyle w:val="Body"/>
              <w:spacing w:after="0"/>
              <w:rPr>
                <w:rFonts w:ascii="Arial" w:hAnsi="Arial" w:cs="Arial"/>
              </w:rPr>
            </w:pPr>
          </w:p>
        </w:tc>
        <w:tc>
          <w:tcPr>
            <w:tcW w:w="1680" w:type="dxa"/>
            <w:vAlign w:val="center"/>
            <w:hideMark/>
          </w:tcPr>
          <w:p w14:paraId="3CAFD033" w14:textId="77777777" w:rsidR="007D706E" w:rsidRPr="007D706E" w:rsidRDefault="007D706E" w:rsidP="007D706E">
            <w:pPr>
              <w:pStyle w:val="Body"/>
              <w:spacing w:after="0"/>
              <w:jc w:val="center"/>
              <w:rPr>
                <w:rFonts w:ascii="Arial" w:hAnsi="Arial" w:cs="Arial"/>
              </w:rPr>
            </w:pPr>
            <w:r w:rsidRPr="007D706E">
              <w:rPr>
                <w:rFonts w:ascii="Arial" w:hAnsi="Arial" w:cs="Arial"/>
              </w:rPr>
              <w:t>OP3</w:t>
            </w:r>
          </w:p>
        </w:tc>
        <w:tc>
          <w:tcPr>
            <w:tcW w:w="2025" w:type="dxa"/>
            <w:vAlign w:val="center"/>
            <w:hideMark/>
          </w:tcPr>
          <w:p w14:paraId="3FD316C2" w14:textId="77777777" w:rsidR="007D706E" w:rsidRPr="007D706E" w:rsidRDefault="007D706E" w:rsidP="007D706E">
            <w:pPr>
              <w:pStyle w:val="Body"/>
              <w:spacing w:after="0"/>
              <w:jc w:val="center"/>
              <w:rPr>
                <w:rFonts w:ascii="Arial" w:hAnsi="Arial" w:cs="Arial"/>
              </w:rPr>
            </w:pPr>
            <w:r w:rsidRPr="007D706E">
              <w:rPr>
                <w:rFonts w:ascii="Arial" w:hAnsi="Arial" w:cs="Arial"/>
              </w:rPr>
              <w:t>0.80</w:t>
            </w:r>
          </w:p>
        </w:tc>
      </w:tr>
      <w:tr w:rsidR="007D706E" w:rsidRPr="007D706E" w14:paraId="40EE8F8D" w14:textId="77777777" w:rsidTr="007D706E">
        <w:trPr>
          <w:tblCellSpacing w:w="15" w:type="dxa"/>
        </w:trPr>
        <w:tc>
          <w:tcPr>
            <w:tcW w:w="4410" w:type="dxa"/>
            <w:vAlign w:val="center"/>
            <w:hideMark/>
          </w:tcPr>
          <w:p w14:paraId="11168E70" w14:textId="77777777" w:rsidR="007D706E" w:rsidRPr="007D706E" w:rsidRDefault="007D706E" w:rsidP="007D706E">
            <w:pPr>
              <w:pStyle w:val="Body"/>
              <w:spacing w:after="0"/>
              <w:rPr>
                <w:rFonts w:ascii="Arial" w:hAnsi="Arial" w:cs="Arial"/>
              </w:rPr>
            </w:pPr>
          </w:p>
        </w:tc>
        <w:tc>
          <w:tcPr>
            <w:tcW w:w="1680" w:type="dxa"/>
            <w:vAlign w:val="center"/>
            <w:hideMark/>
          </w:tcPr>
          <w:p w14:paraId="29630A26" w14:textId="77777777" w:rsidR="007D706E" w:rsidRPr="007D706E" w:rsidRDefault="007D706E" w:rsidP="007D706E">
            <w:pPr>
              <w:pStyle w:val="Body"/>
              <w:spacing w:after="0"/>
              <w:jc w:val="center"/>
              <w:rPr>
                <w:rFonts w:ascii="Arial" w:hAnsi="Arial" w:cs="Arial"/>
              </w:rPr>
            </w:pPr>
            <w:r w:rsidRPr="007D706E">
              <w:rPr>
                <w:rFonts w:ascii="Arial" w:hAnsi="Arial" w:cs="Arial"/>
              </w:rPr>
              <w:t>OP4</w:t>
            </w:r>
          </w:p>
        </w:tc>
        <w:tc>
          <w:tcPr>
            <w:tcW w:w="2025" w:type="dxa"/>
            <w:vAlign w:val="center"/>
            <w:hideMark/>
          </w:tcPr>
          <w:p w14:paraId="578914C4" w14:textId="77777777" w:rsidR="007D706E" w:rsidRPr="007D706E" w:rsidRDefault="007D706E" w:rsidP="007D706E">
            <w:pPr>
              <w:pStyle w:val="Body"/>
              <w:spacing w:after="0"/>
              <w:jc w:val="center"/>
              <w:rPr>
                <w:rFonts w:ascii="Arial" w:hAnsi="Arial" w:cs="Arial"/>
              </w:rPr>
            </w:pPr>
            <w:r w:rsidRPr="007D706E">
              <w:rPr>
                <w:rFonts w:ascii="Arial" w:hAnsi="Arial" w:cs="Arial"/>
              </w:rPr>
              <w:t>0.75</w:t>
            </w:r>
          </w:p>
        </w:tc>
      </w:tr>
      <w:tr w:rsidR="007D706E" w:rsidRPr="007D706E" w14:paraId="2B679DD2" w14:textId="77777777" w:rsidTr="007D706E">
        <w:trPr>
          <w:tblCellSpacing w:w="15" w:type="dxa"/>
        </w:trPr>
        <w:tc>
          <w:tcPr>
            <w:tcW w:w="4410" w:type="dxa"/>
            <w:vAlign w:val="center"/>
            <w:hideMark/>
          </w:tcPr>
          <w:p w14:paraId="1B05E0BA" w14:textId="77777777" w:rsidR="007D706E" w:rsidRPr="007D706E" w:rsidRDefault="007D706E" w:rsidP="007D706E">
            <w:pPr>
              <w:pStyle w:val="Body"/>
              <w:spacing w:after="0"/>
              <w:rPr>
                <w:rFonts w:ascii="Arial" w:hAnsi="Arial" w:cs="Arial"/>
              </w:rPr>
            </w:pPr>
            <w:r w:rsidRPr="007D706E">
              <w:rPr>
                <w:rFonts w:ascii="Arial" w:hAnsi="Arial" w:cs="Arial"/>
              </w:rPr>
              <w:t>Organizational Competitiveness (OC)</w:t>
            </w:r>
          </w:p>
        </w:tc>
        <w:tc>
          <w:tcPr>
            <w:tcW w:w="1680" w:type="dxa"/>
            <w:vAlign w:val="center"/>
            <w:hideMark/>
          </w:tcPr>
          <w:p w14:paraId="4B8B0481" w14:textId="77777777" w:rsidR="007D706E" w:rsidRPr="007D706E" w:rsidRDefault="007D706E" w:rsidP="007D706E">
            <w:pPr>
              <w:pStyle w:val="Body"/>
              <w:spacing w:after="0"/>
              <w:jc w:val="center"/>
              <w:rPr>
                <w:rFonts w:ascii="Arial" w:hAnsi="Arial" w:cs="Arial"/>
              </w:rPr>
            </w:pPr>
            <w:r w:rsidRPr="007D706E">
              <w:rPr>
                <w:rFonts w:ascii="Arial" w:hAnsi="Arial" w:cs="Arial"/>
              </w:rPr>
              <w:t>OC1</w:t>
            </w:r>
          </w:p>
        </w:tc>
        <w:tc>
          <w:tcPr>
            <w:tcW w:w="2025" w:type="dxa"/>
            <w:vAlign w:val="center"/>
            <w:hideMark/>
          </w:tcPr>
          <w:p w14:paraId="2F38A6E6" w14:textId="77777777" w:rsidR="007D706E" w:rsidRPr="007D706E" w:rsidRDefault="007D706E" w:rsidP="007D706E">
            <w:pPr>
              <w:pStyle w:val="Body"/>
              <w:spacing w:after="0"/>
              <w:jc w:val="center"/>
              <w:rPr>
                <w:rFonts w:ascii="Arial" w:hAnsi="Arial" w:cs="Arial"/>
              </w:rPr>
            </w:pPr>
            <w:r w:rsidRPr="007D706E">
              <w:rPr>
                <w:rFonts w:ascii="Arial" w:hAnsi="Arial" w:cs="Arial"/>
              </w:rPr>
              <w:t>0.77</w:t>
            </w:r>
          </w:p>
        </w:tc>
      </w:tr>
      <w:tr w:rsidR="007D706E" w:rsidRPr="007D706E" w14:paraId="4CFD6868" w14:textId="77777777" w:rsidTr="007D706E">
        <w:trPr>
          <w:tblCellSpacing w:w="15" w:type="dxa"/>
        </w:trPr>
        <w:tc>
          <w:tcPr>
            <w:tcW w:w="4410" w:type="dxa"/>
            <w:vAlign w:val="center"/>
            <w:hideMark/>
          </w:tcPr>
          <w:p w14:paraId="411E5A14" w14:textId="77777777" w:rsidR="007D706E" w:rsidRPr="007D706E" w:rsidRDefault="007D706E" w:rsidP="007D706E">
            <w:pPr>
              <w:pStyle w:val="Body"/>
              <w:spacing w:after="0"/>
              <w:rPr>
                <w:rFonts w:ascii="Arial" w:hAnsi="Arial" w:cs="Arial"/>
              </w:rPr>
            </w:pPr>
          </w:p>
        </w:tc>
        <w:tc>
          <w:tcPr>
            <w:tcW w:w="1680" w:type="dxa"/>
            <w:vAlign w:val="center"/>
            <w:hideMark/>
          </w:tcPr>
          <w:p w14:paraId="44729479" w14:textId="77777777" w:rsidR="007D706E" w:rsidRPr="007D706E" w:rsidRDefault="007D706E" w:rsidP="007D706E">
            <w:pPr>
              <w:pStyle w:val="Body"/>
              <w:spacing w:after="0"/>
              <w:jc w:val="center"/>
              <w:rPr>
                <w:rFonts w:ascii="Arial" w:hAnsi="Arial" w:cs="Arial"/>
              </w:rPr>
            </w:pPr>
            <w:r w:rsidRPr="007D706E">
              <w:rPr>
                <w:rFonts w:ascii="Arial" w:hAnsi="Arial" w:cs="Arial"/>
              </w:rPr>
              <w:t>OC2</w:t>
            </w:r>
          </w:p>
        </w:tc>
        <w:tc>
          <w:tcPr>
            <w:tcW w:w="2025" w:type="dxa"/>
            <w:vAlign w:val="center"/>
            <w:hideMark/>
          </w:tcPr>
          <w:p w14:paraId="7AB6AC50" w14:textId="77777777" w:rsidR="007D706E" w:rsidRPr="007D706E" w:rsidRDefault="007D706E" w:rsidP="007D706E">
            <w:pPr>
              <w:pStyle w:val="Body"/>
              <w:spacing w:after="0"/>
              <w:jc w:val="center"/>
              <w:rPr>
                <w:rFonts w:ascii="Arial" w:hAnsi="Arial" w:cs="Arial"/>
              </w:rPr>
            </w:pPr>
            <w:r w:rsidRPr="007D706E">
              <w:rPr>
                <w:rFonts w:ascii="Arial" w:hAnsi="Arial" w:cs="Arial"/>
              </w:rPr>
              <w:t>0.81</w:t>
            </w:r>
          </w:p>
        </w:tc>
      </w:tr>
      <w:tr w:rsidR="007D706E" w:rsidRPr="007D706E" w14:paraId="54CA0198" w14:textId="77777777" w:rsidTr="007D706E">
        <w:trPr>
          <w:tblCellSpacing w:w="15" w:type="dxa"/>
        </w:trPr>
        <w:tc>
          <w:tcPr>
            <w:tcW w:w="4410" w:type="dxa"/>
            <w:vAlign w:val="center"/>
            <w:hideMark/>
          </w:tcPr>
          <w:p w14:paraId="309B34A0" w14:textId="77777777" w:rsidR="007D706E" w:rsidRPr="007D706E" w:rsidRDefault="007D706E" w:rsidP="007D706E">
            <w:pPr>
              <w:pStyle w:val="Body"/>
              <w:spacing w:after="0"/>
              <w:rPr>
                <w:rFonts w:ascii="Arial" w:hAnsi="Arial" w:cs="Arial"/>
              </w:rPr>
            </w:pPr>
          </w:p>
        </w:tc>
        <w:tc>
          <w:tcPr>
            <w:tcW w:w="1680" w:type="dxa"/>
            <w:vAlign w:val="center"/>
            <w:hideMark/>
          </w:tcPr>
          <w:p w14:paraId="4D3EA59B" w14:textId="77777777" w:rsidR="007D706E" w:rsidRPr="007D706E" w:rsidRDefault="007D706E" w:rsidP="007D706E">
            <w:pPr>
              <w:pStyle w:val="Body"/>
              <w:spacing w:after="0"/>
              <w:jc w:val="center"/>
              <w:rPr>
                <w:rFonts w:ascii="Arial" w:hAnsi="Arial" w:cs="Arial"/>
              </w:rPr>
            </w:pPr>
            <w:r w:rsidRPr="007D706E">
              <w:rPr>
                <w:rFonts w:ascii="Arial" w:hAnsi="Arial" w:cs="Arial"/>
              </w:rPr>
              <w:t>OC3</w:t>
            </w:r>
          </w:p>
        </w:tc>
        <w:tc>
          <w:tcPr>
            <w:tcW w:w="2025" w:type="dxa"/>
            <w:vAlign w:val="center"/>
            <w:hideMark/>
          </w:tcPr>
          <w:p w14:paraId="77641016" w14:textId="77777777" w:rsidR="007D706E" w:rsidRPr="007D706E" w:rsidRDefault="007D706E" w:rsidP="007D706E">
            <w:pPr>
              <w:pStyle w:val="Body"/>
              <w:spacing w:after="0"/>
              <w:jc w:val="center"/>
              <w:rPr>
                <w:rFonts w:ascii="Arial" w:hAnsi="Arial" w:cs="Arial"/>
              </w:rPr>
            </w:pPr>
            <w:r w:rsidRPr="007D706E">
              <w:rPr>
                <w:rFonts w:ascii="Arial" w:hAnsi="Arial" w:cs="Arial"/>
              </w:rPr>
              <w:t>0.79</w:t>
            </w:r>
          </w:p>
        </w:tc>
      </w:tr>
      <w:tr w:rsidR="007D706E" w:rsidRPr="007D706E" w14:paraId="48E2C986" w14:textId="77777777" w:rsidTr="007D706E">
        <w:trPr>
          <w:tblCellSpacing w:w="15" w:type="dxa"/>
        </w:trPr>
        <w:tc>
          <w:tcPr>
            <w:tcW w:w="4410" w:type="dxa"/>
            <w:tcBorders>
              <w:bottom w:val="single" w:sz="4" w:space="0" w:color="auto"/>
            </w:tcBorders>
            <w:vAlign w:val="center"/>
            <w:hideMark/>
          </w:tcPr>
          <w:p w14:paraId="64AC09BF" w14:textId="77777777" w:rsidR="007D706E" w:rsidRPr="007D706E" w:rsidRDefault="007D706E" w:rsidP="007D706E">
            <w:pPr>
              <w:pStyle w:val="Body"/>
              <w:spacing w:after="0"/>
              <w:rPr>
                <w:rFonts w:ascii="Arial" w:hAnsi="Arial" w:cs="Arial"/>
              </w:rPr>
            </w:pPr>
          </w:p>
        </w:tc>
        <w:tc>
          <w:tcPr>
            <w:tcW w:w="1680" w:type="dxa"/>
            <w:tcBorders>
              <w:bottom w:val="single" w:sz="4" w:space="0" w:color="auto"/>
            </w:tcBorders>
            <w:vAlign w:val="center"/>
            <w:hideMark/>
          </w:tcPr>
          <w:p w14:paraId="36FEC2F2" w14:textId="77777777" w:rsidR="007D706E" w:rsidRPr="007D706E" w:rsidRDefault="007D706E" w:rsidP="007D706E">
            <w:pPr>
              <w:pStyle w:val="Body"/>
              <w:spacing w:after="0"/>
              <w:jc w:val="center"/>
              <w:rPr>
                <w:rFonts w:ascii="Arial" w:hAnsi="Arial" w:cs="Arial"/>
              </w:rPr>
            </w:pPr>
            <w:r w:rsidRPr="007D706E">
              <w:rPr>
                <w:rFonts w:ascii="Arial" w:hAnsi="Arial" w:cs="Arial"/>
              </w:rPr>
              <w:t>OC4</w:t>
            </w:r>
          </w:p>
        </w:tc>
        <w:tc>
          <w:tcPr>
            <w:tcW w:w="2025" w:type="dxa"/>
            <w:tcBorders>
              <w:bottom w:val="single" w:sz="4" w:space="0" w:color="auto"/>
            </w:tcBorders>
            <w:vAlign w:val="center"/>
            <w:hideMark/>
          </w:tcPr>
          <w:p w14:paraId="6689A098" w14:textId="77777777" w:rsidR="007D706E" w:rsidRPr="007D706E" w:rsidRDefault="007D706E" w:rsidP="007D706E">
            <w:pPr>
              <w:pStyle w:val="Body"/>
              <w:spacing w:after="0"/>
              <w:jc w:val="center"/>
              <w:rPr>
                <w:rFonts w:ascii="Arial" w:hAnsi="Arial" w:cs="Arial"/>
              </w:rPr>
            </w:pPr>
            <w:r w:rsidRPr="007D706E">
              <w:rPr>
                <w:rFonts w:ascii="Arial" w:hAnsi="Arial" w:cs="Arial"/>
              </w:rPr>
              <w:t>0.74</w:t>
            </w:r>
          </w:p>
        </w:tc>
      </w:tr>
    </w:tbl>
    <w:p w14:paraId="4B86BD37" w14:textId="77777777" w:rsidR="007D706E" w:rsidRPr="007D706E" w:rsidRDefault="007D706E" w:rsidP="007D706E">
      <w:pPr>
        <w:pStyle w:val="Body"/>
        <w:rPr>
          <w:rFonts w:ascii="Arial" w:hAnsi="Arial" w:cs="Arial"/>
        </w:rPr>
      </w:pPr>
    </w:p>
    <w:p w14:paraId="78091B4C" w14:textId="1FCCC87A" w:rsidR="00B370E4" w:rsidRPr="00B370E4" w:rsidRDefault="00B370E4" w:rsidP="00B370E4">
      <w:pPr>
        <w:pStyle w:val="Body"/>
        <w:rPr>
          <w:rFonts w:ascii="Arial" w:hAnsi="Arial" w:cs="Arial"/>
          <w:b/>
          <w:bCs/>
          <w:sz w:val="22"/>
          <w:szCs w:val="22"/>
        </w:rPr>
      </w:pPr>
      <w:r w:rsidRPr="00B370E4">
        <w:rPr>
          <w:rFonts w:ascii="Arial" w:hAnsi="Arial" w:cs="Arial"/>
          <w:b/>
          <w:bCs/>
          <w:sz w:val="22"/>
          <w:szCs w:val="22"/>
        </w:rPr>
        <w:t xml:space="preserve">3.3 </w:t>
      </w:r>
      <w:r w:rsidR="007D706E" w:rsidRPr="007D706E">
        <w:rPr>
          <w:rFonts w:ascii="Arial" w:hAnsi="Arial" w:cs="Arial"/>
          <w:b/>
          <w:bCs/>
          <w:sz w:val="22"/>
          <w:szCs w:val="22"/>
        </w:rPr>
        <w:t>Internal Consistency Reliability</w:t>
      </w:r>
    </w:p>
    <w:p w14:paraId="5659F963" w14:textId="2A13BD9B" w:rsidR="007D706E" w:rsidRDefault="007D706E" w:rsidP="00B370E4">
      <w:pPr>
        <w:pStyle w:val="Body"/>
        <w:rPr>
          <w:rFonts w:ascii="Arial" w:hAnsi="Arial" w:cs="Arial"/>
        </w:rPr>
      </w:pPr>
      <w:r w:rsidRPr="007D706E">
        <w:rPr>
          <w:rFonts w:ascii="Arial" w:hAnsi="Arial" w:cs="Arial"/>
        </w:rPr>
        <w:t xml:space="preserve">Internal consistency reliability was assessed using Cronbach’s alpha (α) and Composite Reliability (CR). As shown in </w:t>
      </w:r>
      <w:r w:rsidR="00BC04D4">
        <w:rPr>
          <w:rFonts w:ascii="Arial" w:hAnsi="Arial" w:cs="Arial"/>
        </w:rPr>
        <w:t>Chart</w:t>
      </w:r>
      <w:r w:rsidRPr="007D706E">
        <w:rPr>
          <w:rFonts w:ascii="Arial" w:hAnsi="Arial" w:cs="Arial"/>
        </w:rPr>
        <w:t xml:space="preserve"> </w:t>
      </w:r>
      <w:r w:rsidR="00BC04D4">
        <w:rPr>
          <w:rFonts w:ascii="Arial" w:hAnsi="Arial" w:cs="Arial"/>
        </w:rPr>
        <w:t>1</w:t>
      </w:r>
      <w:r w:rsidRPr="007D706E">
        <w:rPr>
          <w:rFonts w:ascii="Arial" w:hAnsi="Arial" w:cs="Arial"/>
        </w:rPr>
        <w:t>, all constructs exceed the minimum recommended value of 0.70, indicating satisfactory internal consistency. The CR values are higher than the corresponding Cronbach’s alpha values, indicating that the constructs exhibit strong reliability without redundancy among indicators.</w:t>
      </w:r>
    </w:p>
    <w:p w14:paraId="09D7F064" w14:textId="73F1B1AA" w:rsidR="008F231A" w:rsidRPr="007D706E" w:rsidRDefault="008F231A" w:rsidP="00B370E4">
      <w:pPr>
        <w:pStyle w:val="Body"/>
        <w:rPr>
          <w:rFonts w:ascii="Arial" w:hAnsi="Arial" w:cs="Arial"/>
        </w:rPr>
      </w:pPr>
      <w:r>
        <w:rPr>
          <w:rFonts w:ascii="Arial" w:hAnsi="Arial" w:cs="Arial"/>
        </w:rPr>
        <w:t xml:space="preserve">Chart 1: </w:t>
      </w:r>
    </w:p>
    <w:tbl>
      <w:tblPr>
        <w:tblW w:w="8271" w:type="dxa"/>
        <w:tblCellSpacing w:w="15" w:type="dxa"/>
        <w:tblCellMar>
          <w:top w:w="15" w:type="dxa"/>
          <w:left w:w="15" w:type="dxa"/>
          <w:bottom w:w="15" w:type="dxa"/>
          <w:right w:w="15" w:type="dxa"/>
        </w:tblCellMar>
        <w:tblLook w:val="04A0" w:firstRow="1" w:lastRow="0" w:firstColumn="1" w:lastColumn="0" w:noHBand="0" w:noVBand="1"/>
      </w:tblPr>
      <w:tblGrid>
        <w:gridCol w:w="3388"/>
        <w:gridCol w:w="1877"/>
        <w:gridCol w:w="2430"/>
        <w:gridCol w:w="576"/>
      </w:tblGrid>
      <w:tr w:rsidR="007D706E" w:rsidRPr="007D706E" w14:paraId="13EEC8BC" w14:textId="77777777" w:rsidTr="007D706E">
        <w:trPr>
          <w:tblHeader/>
          <w:tblCellSpacing w:w="15" w:type="dxa"/>
        </w:trPr>
        <w:tc>
          <w:tcPr>
            <w:tcW w:w="0" w:type="auto"/>
            <w:tcBorders>
              <w:top w:val="single" w:sz="4" w:space="0" w:color="auto"/>
              <w:bottom w:val="single" w:sz="4" w:space="0" w:color="auto"/>
            </w:tcBorders>
            <w:vAlign w:val="center"/>
            <w:hideMark/>
          </w:tcPr>
          <w:p w14:paraId="0D9A1A7A" w14:textId="77777777" w:rsidR="007D706E" w:rsidRPr="007D706E" w:rsidRDefault="007D706E" w:rsidP="007D706E">
            <w:pPr>
              <w:pStyle w:val="Body"/>
              <w:spacing w:after="0"/>
              <w:rPr>
                <w:rFonts w:ascii="Arial" w:hAnsi="Arial" w:cs="Arial"/>
                <w:b/>
                <w:bCs/>
              </w:rPr>
            </w:pPr>
            <w:r w:rsidRPr="007D706E">
              <w:rPr>
                <w:rFonts w:ascii="Arial" w:hAnsi="Arial" w:cs="Arial"/>
                <w:b/>
                <w:bCs/>
              </w:rPr>
              <w:t>Construct</w:t>
            </w:r>
          </w:p>
        </w:tc>
        <w:tc>
          <w:tcPr>
            <w:tcW w:w="1847" w:type="dxa"/>
            <w:tcBorders>
              <w:top w:val="single" w:sz="4" w:space="0" w:color="auto"/>
              <w:bottom w:val="single" w:sz="4" w:space="0" w:color="auto"/>
            </w:tcBorders>
            <w:vAlign w:val="center"/>
            <w:hideMark/>
          </w:tcPr>
          <w:p w14:paraId="6BF67CA1" w14:textId="77777777" w:rsidR="007D706E" w:rsidRPr="007D706E" w:rsidRDefault="007D706E" w:rsidP="007D706E">
            <w:pPr>
              <w:pStyle w:val="Body"/>
              <w:spacing w:after="0"/>
              <w:rPr>
                <w:rFonts w:ascii="Arial" w:hAnsi="Arial" w:cs="Arial"/>
                <w:b/>
                <w:bCs/>
              </w:rPr>
            </w:pPr>
            <w:r w:rsidRPr="007D706E">
              <w:rPr>
                <w:rFonts w:ascii="Arial" w:hAnsi="Arial" w:cs="Arial"/>
                <w:b/>
                <w:bCs/>
              </w:rPr>
              <w:t>Cronbach’s Alpha</w:t>
            </w:r>
          </w:p>
        </w:tc>
        <w:tc>
          <w:tcPr>
            <w:tcW w:w="2400" w:type="dxa"/>
            <w:tcBorders>
              <w:top w:val="single" w:sz="4" w:space="0" w:color="auto"/>
              <w:bottom w:val="single" w:sz="4" w:space="0" w:color="auto"/>
            </w:tcBorders>
            <w:vAlign w:val="center"/>
            <w:hideMark/>
          </w:tcPr>
          <w:p w14:paraId="6A18232C" w14:textId="77777777" w:rsidR="007D706E" w:rsidRPr="007D706E" w:rsidRDefault="007D706E" w:rsidP="007D706E">
            <w:pPr>
              <w:pStyle w:val="Body"/>
              <w:spacing w:after="0"/>
              <w:rPr>
                <w:rFonts w:ascii="Arial" w:hAnsi="Arial" w:cs="Arial"/>
                <w:b/>
                <w:bCs/>
              </w:rPr>
            </w:pPr>
            <w:r w:rsidRPr="007D706E">
              <w:rPr>
                <w:rFonts w:ascii="Arial" w:hAnsi="Arial" w:cs="Arial"/>
                <w:b/>
                <w:bCs/>
              </w:rPr>
              <w:t>Composite Reliability</w:t>
            </w:r>
          </w:p>
        </w:tc>
        <w:tc>
          <w:tcPr>
            <w:tcW w:w="0" w:type="auto"/>
            <w:tcBorders>
              <w:top w:val="single" w:sz="4" w:space="0" w:color="auto"/>
              <w:bottom w:val="single" w:sz="4" w:space="0" w:color="auto"/>
            </w:tcBorders>
            <w:vAlign w:val="center"/>
            <w:hideMark/>
          </w:tcPr>
          <w:p w14:paraId="3B0A4466" w14:textId="77777777" w:rsidR="007D706E" w:rsidRPr="007D706E" w:rsidRDefault="007D706E" w:rsidP="007D706E">
            <w:pPr>
              <w:pStyle w:val="Body"/>
              <w:spacing w:after="0"/>
              <w:rPr>
                <w:rFonts w:ascii="Arial" w:hAnsi="Arial" w:cs="Arial"/>
                <w:b/>
                <w:bCs/>
              </w:rPr>
            </w:pPr>
            <w:r w:rsidRPr="007D706E">
              <w:rPr>
                <w:rFonts w:ascii="Arial" w:hAnsi="Arial" w:cs="Arial"/>
                <w:b/>
                <w:bCs/>
              </w:rPr>
              <w:t>AVE</w:t>
            </w:r>
          </w:p>
        </w:tc>
      </w:tr>
      <w:tr w:rsidR="007D706E" w:rsidRPr="007D706E" w14:paraId="786FADB0" w14:textId="77777777" w:rsidTr="007D706E">
        <w:trPr>
          <w:tblCellSpacing w:w="15" w:type="dxa"/>
        </w:trPr>
        <w:tc>
          <w:tcPr>
            <w:tcW w:w="0" w:type="auto"/>
            <w:vAlign w:val="center"/>
            <w:hideMark/>
          </w:tcPr>
          <w:p w14:paraId="4A97994E" w14:textId="77777777" w:rsidR="007D706E" w:rsidRPr="007D706E" w:rsidRDefault="007D706E" w:rsidP="007D706E">
            <w:pPr>
              <w:pStyle w:val="Body"/>
              <w:spacing w:after="0"/>
              <w:rPr>
                <w:rFonts w:ascii="Arial" w:hAnsi="Arial" w:cs="Arial"/>
              </w:rPr>
            </w:pPr>
            <w:r w:rsidRPr="007D706E">
              <w:rPr>
                <w:rFonts w:ascii="Arial" w:hAnsi="Arial" w:cs="Arial"/>
              </w:rPr>
              <w:t>Lean Management Practices (LMP)</w:t>
            </w:r>
          </w:p>
        </w:tc>
        <w:tc>
          <w:tcPr>
            <w:tcW w:w="1847" w:type="dxa"/>
            <w:vAlign w:val="center"/>
            <w:hideMark/>
          </w:tcPr>
          <w:p w14:paraId="34E12A57" w14:textId="77777777" w:rsidR="007D706E" w:rsidRPr="007D706E" w:rsidRDefault="007D706E" w:rsidP="007D706E">
            <w:pPr>
              <w:pStyle w:val="Body"/>
              <w:spacing w:after="0"/>
              <w:rPr>
                <w:rFonts w:ascii="Arial" w:hAnsi="Arial" w:cs="Arial"/>
              </w:rPr>
            </w:pPr>
            <w:r w:rsidRPr="007D706E">
              <w:rPr>
                <w:rFonts w:ascii="Arial" w:hAnsi="Arial" w:cs="Arial"/>
              </w:rPr>
              <w:t>0.872</w:t>
            </w:r>
          </w:p>
        </w:tc>
        <w:tc>
          <w:tcPr>
            <w:tcW w:w="2400" w:type="dxa"/>
            <w:vAlign w:val="center"/>
            <w:hideMark/>
          </w:tcPr>
          <w:p w14:paraId="3D221FC0" w14:textId="77777777" w:rsidR="007D706E" w:rsidRPr="007D706E" w:rsidRDefault="007D706E" w:rsidP="007D706E">
            <w:pPr>
              <w:pStyle w:val="Body"/>
              <w:spacing w:after="0"/>
              <w:rPr>
                <w:rFonts w:ascii="Arial" w:hAnsi="Arial" w:cs="Arial"/>
              </w:rPr>
            </w:pPr>
            <w:r w:rsidRPr="007D706E">
              <w:rPr>
                <w:rFonts w:ascii="Arial" w:hAnsi="Arial" w:cs="Arial"/>
              </w:rPr>
              <w:t>0.901</w:t>
            </w:r>
          </w:p>
        </w:tc>
        <w:tc>
          <w:tcPr>
            <w:tcW w:w="0" w:type="auto"/>
            <w:vAlign w:val="center"/>
            <w:hideMark/>
          </w:tcPr>
          <w:p w14:paraId="6128E1EA" w14:textId="77777777" w:rsidR="007D706E" w:rsidRPr="007D706E" w:rsidRDefault="007D706E" w:rsidP="007D706E">
            <w:pPr>
              <w:pStyle w:val="Body"/>
              <w:spacing w:after="0"/>
              <w:rPr>
                <w:rFonts w:ascii="Arial" w:hAnsi="Arial" w:cs="Arial"/>
              </w:rPr>
            </w:pPr>
            <w:r w:rsidRPr="007D706E">
              <w:rPr>
                <w:rFonts w:ascii="Arial" w:hAnsi="Arial" w:cs="Arial"/>
              </w:rPr>
              <w:t>0.647</w:t>
            </w:r>
          </w:p>
        </w:tc>
      </w:tr>
      <w:tr w:rsidR="007D706E" w:rsidRPr="007D706E" w14:paraId="07EA81A5" w14:textId="77777777" w:rsidTr="007D706E">
        <w:trPr>
          <w:tblCellSpacing w:w="15" w:type="dxa"/>
        </w:trPr>
        <w:tc>
          <w:tcPr>
            <w:tcW w:w="0" w:type="auto"/>
            <w:vAlign w:val="center"/>
            <w:hideMark/>
          </w:tcPr>
          <w:p w14:paraId="6F67376A" w14:textId="77777777" w:rsidR="007D706E" w:rsidRPr="007D706E" w:rsidRDefault="007D706E" w:rsidP="007D706E">
            <w:pPr>
              <w:pStyle w:val="Body"/>
              <w:spacing w:after="0"/>
              <w:rPr>
                <w:rFonts w:ascii="Arial" w:hAnsi="Arial" w:cs="Arial"/>
              </w:rPr>
            </w:pPr>
            <w:r w:rsidRPr="007D706E">
              <w:rPr>
                <w:rFonts w:ascii="Arial" w:hAnsi="Arial" w:cs="Arial"/>
              </w:rPr>
              <w:t>Operational Performance (OP)</w:t>
            </w:r>
          </w:p>
        </w:tc>
        <w:tc>
          <w:tcPr>
            <w:tcW w:w="1847" w:type="dxa"/>
            <w:vAlign w:val="center"/>
            <w:hideMark/>
          </w:tcPr>
          <w:p w14:paraId="65C5CEB9" w14:textId="77777777" w:rsidR="007D706E" w:rsidRPr="007D706E" w:rsidRDefault="007D706E" w:rsidP="007D706E">
            <w:pPr>
              <w:pStyle w:val="Body"/>
              <w:spacing w:after="0"/>
              <w:rPr>
                <w:rFonts w:ascii="Arial" w:hAnsi="Arial" w:cs="Arial"/>
              </w:rPr>
            </w:pPr>
            <w:r w:rsidRPr="007D706E">
              <w:rPr>
                <w:rFonts w:ascii="Arial" w:hAnsi="Arial" w:cs="Arial"/>
              </w:rPr>
              <w:t>0.853</w:t>
            </w:r>
          </w:p>
        </w:tc>
        <w:tc>
          <w:tcPr>
            <w:tcW w:w="2400" w:type="dxa"/>
            <w:vAlign w:val="center"/>
            <w:hideMark/>
          </w:tcPr>
          <w:p w14:paraId="70987ABA" w14:textId="77777777" w:rsidR="007D706E" w:rsidRPr="007D706E" w:rsidRDefault="007D706E" w:rsidP="007D706E">
            <w:pPr>
              <w:pStyle w:val="Body"/>
              <w:spacing w:after="0"/>
              <w:rPr>
                <w:rFonts w:ascii="Arial" w:hAnsi="Arial" w:cs="Arial"/>
              </w:rPr>
            </w:pPr>
            <w:r w:rsidRPr="007D706E">
              <w:rPr>
                <w:rFonts w:ascii="Arial" w:hAnsi="Arial" w:cs="Arial"/>
              </w:rPr>
              <w:t>0.889</w:t>
            </w:r>
          </w:p>
        </w:tc>
        <w:tc>
          <w:tcPr>
            <w:tcW w:w="0" w:type="auto"/>
            <w:vAlign w:val="center"/>
            <w:hideMark/>
          </w:tcPr>
          <w:p w14:paraId="24A92483" w14:textId="77777777" w:rsidR="007D706E" w:rsidRPr="007D706E" w:rsidRDefault="007D706E" w:rsidP="007D706E">
            <w:pPr>
              <w:pStyle w:val="Body"/>
              <w:spacing w:after="0"/>
              <w:rPr>
                <w:rFonts w:ascii="Arial" w:hAnsi="Arial" w:cs="Arial"/>
              </w:rPr>
            </w:pPr>
            <w:r w:rsidRPr="007D706E">
              <w:rPr>
                <w:rFonts w:ascii="Arial" w:hAnsi="Arial" w:cs="Arial"/>
              </w:rPr>
              <w:t>0.616</w:t>
            </w:r>
          </w:p>
        </w:tc>
      </w:tr>
      <w:tr w:rsidR="007D706E" w:rsidRPr="007D706E" w14:paraId="541B6F0E" w14:textId="77777777" w:rsidTr="007D706E">
        <w:trPr>
          <w:tblCellSpacing w:w="15" w:type="dxa"/>
        </w:trPr>
        <w:tc>
          <w:tcPr>
            <w:tcW w:w="0" w:type="auto"/>
            <w:tcBorders>
              <w:bottom w:val="single" w:sz="4" w:space="0" w:color="auto"/>
            </w:tcBorders>
            <w:vAlign w:val="center"/>
            <w:hideMark/>
          </w:tcPr>
          <w:p w14:paraId="4A7C586E" w14:textId="77777777" w:rsidR="007D706E" w:rsidRPr="007D706E" w:rsidRDefault="007D706E" w:rsidP="007D706E">
            <w:pPr>
              <w:pStyle w:val="Body"/>
              <w:spacing w:after="0"/>
              <w:rPr>
                <w:rFonts w:ascii="Arial" w:hAnsi="Arial" w:cs="Arial"/>
              </w:rPr>
            </w:pPr>
            <w:r w:rsidRPr="007D706E">
              <w:rPr>
                <w:rFonts w:ascii="Arial" w:hAnsi="Arial" w:cs="Arial"/>
              </w:rPr>
              <w:t>Organizational Competitiveness (OC)</w:t>
            </w:r>
          </w:p>
        </w:tc>
        <w:tc>
          <w:tcPr>
            <w:tcW w:w="1847" w:type="dxa"/>
            <w:tcBorders>
              <w:bottom w:val="single" w:sz="4" w:space="0" w:color="auto"/>
            </w:tcBorders>
            <w:vAlign w:val="center"/>
            <w:hideMark/>
          </w:tcPr>
          <w:p w14:paraId="1F59445C" w14:textId="77777777" w:rsidR="007D706E" w:rsidRPr="007D706E" w:rsidRDefault="007D706E" w:rsidP="007D706E">
            <w:pPr>
              <w:pStyle w:val="Body"/>
              <w:spacing w:after="0"/>
              <w:rPr>
                <w:rFonts w:ascii="Arial" w:hAnsi="Arial" w:cs="Arial"/>
              </w:rPr>
            </w:pPr>
            <w:r w:rsidRPr="007D706E">
              <w:rPr>
                <w:rFonts w:ascii="Arial" w:hAnsi="Arial" w:cs="Arial"/>
              </w:rPr>
              <w:t>0.834</w:t>
            </w:r>
          </w:p>
        </w:tc>
        <w:tc>
          <w:tcPr>
            <w:tcW w:w="2400" w:type="dxa"/>
            <w:tcBorders>
              <w:bottom w:val="single" w:sz="4" w:space="0" w:color="auto"/>
            </w:tcBorders>
            <w:vAlign w:val="center"/>
            <w:hideMark/>
          </w:tcPr>
          <w:p w14:paraId="3EA05371" w14:textId="77777777" w:rsidR="007D706E" w:rsidRPr="007D706E" w:rsidRDefault="007D706E" w:rsidP="007D706E">
            <w:pPr>
              <w:pStyle w:val="Body"/>
              <w:spacing w:after="0"/>
              <w:rPr>
                <w:rFonts w:ascii="Arial" w:hAnsi="Arial" w:cs="Arial"/>
              </w:rPr>
            </w:pPr>
            <w:r w:rsidRPr="007D706E">
              <w:rPr>
                <w:rFonts w:ascii="Arial" w:hAnsi="Arial" w:cs="Arial"/>
              </w:rPr>
              <w:t>0.878</w:t>
            </w:r>
          </w:p>
        </w:tc>
        <w:tc>
          <w:tcPr>
            <w:tcW w:w="0" w:type="auto"/>
            <w:tcBorders>
              <w:bottom w:val="single" w:sz="4" w:space="0" w:color="auto"/>
            </w:tcBorders>
            <w:vAlign w:val="center"/>
            <w:hideMark/>
          </w:tcPr>
          <w:p w14:paraId="27ADDD9C" w14:textId="77777777" w:rsidR="007D706E" w:rsidRPr="007D706E" w:rsidRDefault="007D706E" w:rsidP="007D706E">
            <w:pPr>
              <w:pStyle w:val="Body"/>
              <w:spacing w:after="0"/>
              <w:rPr>
                <w:rFonts w:ascii="Arial" w:hAnsi="Arial" w:cs="Arial"/>
              </w:rPr>
            </w:pPr>
            <w:r w:rsidRPr="007D706E">
              <w:rPr>
                <w:rFonts w:ascii="Arial" w:hAnsi="Arial" w:cs="Arial"/>
              </w:rPr>
              <w:t>0.593</w:t>
            </w:r>
          </w:p>
        </w:tc>
      </w:tr>
    </w:tbl>
    <w:p w14:paraId="1DD1E484" w14:textId="77777777" w:rsidR="007D706E" w:rsidRDefault="007D706E" w:rsidP="00B370E4">
      <w:pPr>
        <w:pStyle w:val="Body"/>
        <w:rPr>
          <w:rFonts w:ascii="Arial" w:hAnsi="Arial" w:cs="Arial"/>
        </w:rPr>
      </w:pPr>
    </w:p>
    <w:p w14:paraId="1EC6902C" w14:textId="203D9B79" w:rsidR="00185B8B" w:rsidRPr="00185B8B" w:rsidRDefault="00185B8B" w:rsidP="00185B8B">
      <w:pPr>
        <w:pStyle w:val="Body"/>
        <w:rPr>
          <w:rFonts w:ascii="Arial" w:hAnsi="Arial" w:cs="Arial"/>
          <w:b/>
          <w:bCs/>
          <w:sz w:val="22"/>
          <w:szCs w:val="22"/>
        </w:rPr>
      </w:pPr>
      <w:r w:rsidRPr="00185B8B">
        <w:rPr>
          <w:rFonts w:ascii="Arial" w:hAnsi="Arial" w:cs="Arial"/>
          <w:b/>
          <w:bCs/>
          <w:sz w:val="22"/>
          <w:szCs w:val="22"/>
        </w:rPr>
        <w:t>3.4 Discriminant Validity</w:t>
      </w:r>
    </w:p>
    <w:p w14:paraId="4295AE7E" w14:textId="44606570" w:rsidR="00185B8B" w:rsidRDefault="00185B8B" w:rsidP="00185B8B">
      <w:pPr>
        <w:pStyle w:val="Body"/>
        <w:rPr>
          <w:rFonts w:ascii="Arial" w:hAnsi="Arial" w:cs="Arial"/>
        </w:rPr>
      </w:pPr>
      <w:r w:rsidRPr="00185B8B">
        <w:rPr>
          <w:rFonts w:ascii="Arial" w:hAnsi="Arial" w:cs="Arial"/>
        </w:rPr>
        <w:t xml:space="preserve">Discriminant validity was assessed using the </w:t>
      </w:r>
      <w:proofErr w:type="spellStart"/>
      <w:r w:rsidRPr="00185B8B">
        <w:rPr>
          <w:rFonts w:ascii="Arial" w:hAnsi="Arial" w:cs="Arial"/>
          <w:b/>
          <w:bCs/>
        </w:rPr>
        <w:t>heterotrait</w:t>
      </w:r>
      <w:proofErr w:type="spellEnd"/>
      <w:r w:rsidRPr="00185B8B">
        <w:rPr>
          <w:rFonts w:ascii="Arial" w:hAnsi="Arial" w:cs="Arial"/>
          <w:b/>
          <w:bCs/>
        </w:rPr>
        <w:t>–</w:t>
      </w:r>
      <w:proofErr w:type="spellStart"/>
      <w:r w:rsidRPr="00185B8B">
        <w:rPr>
          <w:rFonts w:ascii="Arial" w:hAnsi="Arial" w:cs="Arial"/>
          <w:b/>
          <w:bCs/>
        </w:rPr>
        <w:t>monotrait</w:t>
      </w:r>
      <w:proofErr w:type="spellEnd"/>
      <w:r w:rsidRPr="00185B8B">
        <w:rPr>
          <w:rFonts w:ascii="Arial" w:hAnsi="Arial" w:cs="Arial"/>
          <w:b/>
          <w:bCs/>
        </w:rPr>
        <w:t xml:space="preserve"> ratio (HTMT)</w:t>
      </w:r>
      <w:r w:rsidRPr="00185B8B">
        <w:rPr>
          <w:rFonts w:ascii="Arial" w:hAnsi="Arial" w:cs="Arial"/>
        </w:rPr>
        <w:t xml:space="preserve">. As presented in </w:t>
      </w:r>
      <w:r w:rsidR="00BC04D4" w:rsidRPr="00BC04D4">
        <w:rPr>
          <w:rFonts w:ascii="Arial" w:hAnsi="Arial" w:cs="Arial"/>
        </w:rPr>
        <w:t xml:space="preserve">Chart </w:t>
      </w:r>
      <w:r w:rsidR="00BC04D4">
        <w:rPr>
          <w:rFonts w:ascii="Arial" w:hAnsi="Arial" w:cs="Arial"/>
        </w:rPr>
        <w:t>2</w:t>
      </w:r>
      <w:r w:rsidRPr="00185B8B">
        <w:rPr>
          <w:rFonts w:ascii="Arial" w:hAnsi="Arial" w:cs="Arial"/>
        </w:rPr>
        <w:t>, all HTMT values are below the conservative threshold of 0.85, confirming that the constructs are empirically distinct.</w:t>
      </w:r>
    </w:p>
    <w:p w14:paraId="3C4224DE" w14:textId="15DBB0AE" w:rsidR="008F231A" w:rsidRDefault="008F231A" w:rsidP="00185B8B">
      <w:pPr>
        <w:pStyle w:val="Body"/>
        <w:rPr>
          <w:rFonts w:ascii="Arial" w:hAnsi="Arial" w:cs="Arial"/>
        </w:rPr>
      </w:pPr>
      <w:r>
        <w:rPr>
          <w:rFonts w:ascii="Arial" w:hAnsi="Arial" w:cs="Arial"/>
        </w:rPr>
        <w:t xml:space="preserve">Chart 2: </w:t>
      </w:r>
    </w:p>
    <w:tbl>
      <w:tblPr>
        <w:tblW w:w="8235" w:type="dxa"/>
        <w:tblCellSpacing w:w="15" w:type="dxa"/>
        <w:tblCellMar>
          <w:top w:w="15" w:type="dxa"/>
          <w:left w:w="15" w:type="dxa"/>
          <w:bottom w:w="15" w:type="dxa"/>
          <w:right w:w="15" w:type="dxa"/>
        </w:tblCellMar>
        <w:tblLook w:val="04A0" w:firstRow="1" w:lastRow="0" w:firstColumn="1" w:lastColumn="0" w:noHBand="0" w:noVBand="1"/>
      </w:tblPr>
      <w:tblGrid>
        <w:gridCol w:w="4365"/>
        <w:gridCol w:w="1497"/>
        <w:gridCol w:w="1383"/>
        <w:gridCol w:w="990"/>
      </w:tblGrid>
      <w:tr w:rsidR="00185B8B" w:rsidRPr="00185B8B" w14:paraId="6E10513D" w14:textId="77777777" w:rsidTr="00185B8B">
        <w:trPr>
          <w:tblHeader/>
          <w:tblCellSpacing w:w="15" w:type="dxa"/>
        </w:trPr>
        <w:tc>
          <w:tcPr>
            <w:tcW w:w="4320" w:type="dxa"/>
            <w:tcBorders>
              <w:top w:val="single" w:sz="4" w:space="0" w:color="auto"/>
              <w:bottom w:val="single" w:sz="4" w:space="0" w:color="auto"/>
            </w:tcBorders>
            <w:vAlign w:val="center"/>
            <w:hideMark/>
          </w:tcPr>
          <w:p w14:paraId="14D9752D" w14:textId="77777777" w:rsidR="00185B8B" w:rsidRPr="00185B8B" w:rsidRDefault="00185B8B" w:rsidP="00185B8B">
            <w:pPr>
              <w:pStyle w:val="Body"/>
              <w:spacing w:after="0"/>
              <w:rPr>
                <w:rFonts w:ascii="Arial" w:hAnsi="Arial" w:cs="Arial"/>
                <w:b/>
                <w:bCs/>
              </w:rPr>
            </w:pPr>
            <w:r w:rsidRPr="00185B8B">
              <w:rPr>
                <w:rFonts w:ascii="Arial" w:hAnsi="Arial" w:cs="Arial"/>
                <w:b/>
                <w:bCs/>
              </w:rPr>
              <w:t>Constructs</w:t>
            </w:r>
          </w:p>
        </w:tc>
        <w:tc>
          <w:tcPr>
            <w:tcW w:w="1467" w:type="dxa"/>
            <w:tcBorders>
              <w:top w:val="single" w:sz="4" w:space="0" w:color="auto"/>
              <w:bottom w:val="single" w:sz="4" w:space="0" w:color="auto"/>
            </w:tcBorders>
            <w:vAlign w:val="center"/>
            <w:hideMark/>
          </w:tcPr>
          <w:p w14:paraId="7571046E" w14:textId="77777777" w:rsidR="00185B8B" w:rsidRPr="00185B8B" w:rsidRDefault="00185B8B" w:rsidP="00185B8B">
            <w:pPr>
              <w:pStyle w:val="Body"/>
              <w:spacing w:after="0"/>
              <w:rPr>
                <w:rFonts w:ascii="Arial" w:hAnsi="Arial" w:cs="Arial"/>
                <w:b/>
                <w:bCs/>
              </w:rPr>
            </w:pPr>
            <w:r w:rsidRPr="00185B8B">
              <w:rPr>
                <w:rFonts w:ascii="Arial" w:hAnsi="Arial" w:cs="Arial"/>
                <w:b/>
                <w:bCs/>
              </w:rPr>
              <w:t>LMP</w:t>
            </w:r>
          </w:p>
        </w:tc>
        <w:tc>
          <w:tcPr>
            <w:tcW w:w="1353" w:type="dxa"/>
            <w:tcBorders>
              <w:top w:val="single" w:sz="4" w:space="0" w:color="auto"/>
              <w:bottom w:val="single" w:sz="4" w:space="0" w:color="auto"/>
            </w:tcBorders>
            <w:vAlign w:val="center"/>
            <w:hideMark/>
          </w:tcPr>
          <w:p w14:paraId="0BC3DBF0" w14:textId="77777777" w:rsidR="00185B8B" w:rsidRPr="00185B8B" w:rsidRDefault="00185B8B" w:rsidP="00185B8B">
            <w:pPr>
              <w:pStyle w:val="Body"/>
              <w:spacing w:after="0"/>
              <w:rPr>
                <w:rFonts w:ascii="Arial" w:hAnsi="Arial" w:cs="Arial"/>
                <w:b/>
                <w:bCs/>
              </w:rPr>
            </w:pPr>
            <w:r w:rsidRPr="00185B8B">
              <w:rPr>
                <w:rFonts w:ascii="Arial" w:hAnsi="Arial" w:cs="Arial"/>
                <w:b/>
                <w:bCs/>
              </w:rPr>
              <w:t>OP</w:t>
            </w:r>
          </w:p>
        </w:tc>
        <w:tc>
          <w:tcPr>
            <w:tcW w:w="945" w:type="dxa"/>
            <w:tcBorders>
              <w:top w:val="single" w:sz="4" w:space="0" w:color="auto"/>
              <w:bottom w:val="single" w:sz="4" w:space="0" w:color="auto"/>
            </w:tcBorders>
            <w:vAlign w:val="center"/>
            <w:hideMark/>
          </w:tcPr>
          <w:p w14:paraId="73D92FEB" w14:textId="77777777" w:rsidR="00185B8B" w:rsidRPr="00185B8B" w:rsidRDefault="00185B8B" w:rsidP="00185B8B">
            <w:pPr>
              <w:pStyle w:val="Body"/>
              <w:spacing w:after="0"/>
              <w:rPr>
                <w:rFonts w:ascii="Arial" w:hAnsi="Arial" w:cs="Arial"/>
                <w:b/>
                <w:bCs/>
              </w:rPr>
            </w:pPr>
            <w:r w:rsidRPr="00185B8B">
              <w:rPr>
                <w:rFonts w:ascii="Arial" w:hAnsi="Arial" w:cs="Arial"/>
                <w:b/>
                <w:bCs/>
              </w:rPr>
              <w:t>OC</w:t>
            </w:r>
          </w:p>
        </w:tc>
      </w:tr>
      <w:tr w:rsidR="00185B8B" w:rsidRPr="00185B8B" w14:paraId="6E6AFE44" w14:textId="77777777" w:rsidTr="00185B8B">
        <w:trPr>
          <w:tblCellSpacing w:w="15" w:type="dxa"/>
        </w:trPr>
        <w:tc>
          <w:tcPr>
            <w:tcW w:w="4320" w:type="dxa"/>
            <w:vAlign w:val="center"/>
            <w:hideMark/>
          </w:tcPr>
          <w:p w14:paraId="03098F91" w14:textId="77777777" w:rsidR="00185B8B" w:rsidRPr="00185B8B" w:rsidRDefault="00185B8B" w:rsidP="00185B8B">
            <w:pPr>
              <w:pStyle w:val="Body"/>
              <w:spacing w:after="0"/>
              <w:rPr>
                <w:rFonts w:ascii="Arial" w:hAnsi="Arial" w:cs="Arial"/>
              </w:rPr>
            </w:pPr>
            <w:r w:rsidRPr="00185B8B">
              <w:rPr>
                <w:rFonts w:ascii="Arial" w:hAnsi="Arial" w:cs="Arial"/>
              </w:rPr>
              <w:t>Lean Management Practices (LMP)</w:t>
            </w:r>
          </w:p>
        </w:tc>
        <w:tc>
          <w:tcPr>
            <w:tcW w:w="1467" w:type="dxa"/>
            <w:vAlign w:val="center"/>
            <w:hideMark/>
          </w:tcPr>
          <w:p w14:paraId="20D571A3" w14:textId="77777777" w:rsidR="00185B8B" w:rsidRPr="00185B8B" w:rsidRDefault="00185B8B" w:rsidP="00185B8B">
            <w:pPr>
              <w:pStyle w:val="Body"/>
              <w:spacing w:after="0"/>
              <w:rPr>
                <w:rFonts w:ascii="Arial" w:hAnsi="Arial" w:cs="Arial"/>
              </w:rPr>
            </w:pPr>
            <w:r w:rsidRPr="00185B8B">
              <w:rPr>
                <w:rFonts w:ascii="Arial" w:hAnsi="Arial" w:cs="Arial"/>
              </w:rPr>
              <w:t>—</w:t>
            </w:r>
          </w:p>
        </w:tc>
        <w:tc>
          <w:tcPr>
            <w:tcW w:w="1353" w:type="dxa"/>
            <w:vAlign w:val="center"/>
            <w:hideMark/>
          </w:tcPr>
          <w:p w14:paraId="37754A64" w14:textId="77777777" w:rsidR="00185B8B" w:rsidRPr="00185B8B" w:rsidRDefault="00185B8B" w:rsidP="00185B8B">
            <w:pPr>
              <w:pStyle w:val="Body"/>
              <w:spacing w:after="0"/>
              <w:rPr>
                <w:rFonts w:ascii="Arial" w:hAnsi="Arial" w:cs="Arial"/>
              </w:rPr>
            </w:pPr>
          </w:p>
        </w:tc>
        <w:tc>
          <w:tcPr>
            <w:tcW w:w="945" w:type="dxa"/>
            <w:vAlign w:val="center"/>
            <w:hideMark/>
          </w:tcPr>
          <w:p w14:paraId="29B3B672" w14:textId="77777777" w:rsidR="00185B8B" w:rsidRPr="00185B8B" w:rsidRDefault="00185B8B" w:rsidP="00185B8B">
            <w:pPr>
              <w:pStyle w:val="Body"/>
              <w:spacing w:after="0"/>
              <w:rPr>
                <w:rFonts w:ascii="Arial" w:hAnsi="Arial" w:cs="Arial"/>
              </w:rPr>
            </w:pPr>
          </w:p>
        </w:tc>
      </w:tr>
      <w:tr w:rsidR="00185B8B" w:rsidRPr="00185B8B" w14:paraId="2E15514D" w14:textId="77777777" w:rsidTr="00185B8B">
        <w:trPr>
          <w:tblCellSpacing w:w="15" w:type="dxa"/>
        </w:trPr>
        <w:tc>
          <w:tcPr>
            <w:tcW w:w="4320" w:type="dxa"/>
            <w:vAlign w:val="center"/>
            <w:hideMark/>
          </w:tcPr>
          <w:p w14:paraId="19A96227" w14:textId="77777777" w:rsidR="00185B8B" w:rsidRPr="00185B8B" w:rsidRDefault="00185B8B" w:rsidP="00185B8B">
            <w:pPr>
              <w:pStyle w:val="Body"/>
              <w:spacing w:after="0"/>
              <w:rPr>
                <w:rFonts w:ascii="Arial" w:hAnsi="Arial" w:cs="Arial"/>
              </w:rPr>
            </w:pPr>
            <w:r w:rsidRPr="00185B8B">
              <w:rPr>
                <w:rFonts w:ascii="Arial" w:hAnsi="Arial" w:cs="Arial"/>
              </w:rPr>
              <w:t>Operational Performance (OP)</w:t>
            </w:r>
          </w:p>
        </w:tc>
        <w:tc>
          <w:tcPr>
            <w:tcW w:w="1467" w:type="dxa"/>
            <w:vAlign w:val="center"/>
            <w:hideMark/>
          </w:tcPr>
          <w:p w14:paraId="122737EE" w14:textId="77777777" w:rsidR="00185B8B" w:rsidRPr="00185B8B" w:rsidRDefault="00185B8B" w:rsidP="00185B8B">
            <w:pPr>
              <w:pStyle w:val="Body"/>
              <w:spacing w:after="0"/>
              <w:rPr>
                <w:rFonts w:ascii="Arial" w:hAnsi="Arial" w:cs="Arial"/>
              </w:rPr>
            </w:pPr>
            <w:r w:rsidRPr="00185B8B">
              <w:rPr>
                <w:rFonts w:ascii="Arial" w:hAnsi="Arial" w:cs="Arial"/>
              </w:rPr>
              <w:t>0.641</w:t>
            </w:r>
          </w:p>
        </w:tc>
        <w:tc>
          <w:tcPr>
            <w:tcW w:w="1353" w:type="dxa"/>
            <w:vAlign w:val="center"/>
            <w:hideMark/>
          </w:tcPr>
          <w:p w14:paraId="05995D10" w14:textId="77777777" w:rsidR="00185B8B" w:rsidRPr="00185B8B" w:rsidRDefault="00185B8B" w:rsidP="00185B8B">
            <w:pPr>
              <w:pStyle w:val="Body"/>
              <w:spacing w:after="0"/>
              <w:rPr>
                <w:rFonts w:ascii="Arial" w:hAnsi="Arial" w:cs="Arial"/>
              </w:rPr>
            </w:pPr>
            <w:r w:rsidRPr="00185B8B">
              <w:rPr>
                <w:rFonts w:ascii="Arial" w:hAnsi="Arial" w:cs="Arial"/>
              </w:rPr>
              <w:t>—</w:t>
            </w:r>
          </w:p>
        </w:tc>
        <w:tc>
          <w:tcPr>
            <w:tcW w:w="945" w:type="dxa"/>
            <w:vAlign w:val="center"/>
            <w:hideMark/>
          </w:tcPr>
          <w:p w14:paraId="6793D9BF" w14:textId="77777777" w:rsidR="00185B8B" w:rsidRPr="00185B8B" w:rsidRDefault="00185B8B" w:rsidP="00185B8B">
            <w:pPr>
              <w:pStyle w:val="Body"/>
              <w:spacing w:after="0"/>
              <w:rPr>
                <w:rFonts w:ascii="Arial" w:hAnsi="Arial" w:cs="Arial"/>
              </w:rPr>
            </w:pPr>
          </w:p>
        </w:tc>
      </w:tr>
      <w:tr w:rsidR="00185B8B" w:rsidRPr="00185B8B" w14:paraId="2DC7282A" w14:textId="77777777" w:rsidTr="00185B8B">
        <w:trPr>
          <w:tblCellSpacing w:w="15" w:type="dxa"/>
        </w:trPr>
        <w:tc>
          <w:tcPr>
            <w:tcW w:w="4320" w:type="dxa"/>
            <w:tcBorders>
              <w:bottom w:val="single" w:sz="4" w:space="0" w:color="auto"/>
            </w:tcBorders>
            <w:vAlign w:val="center"/>
            <w:hideMark/>
          </w:tcPr>
          <w:p w14:paraId="02DCB372" w14:textId="77777777" w:rsidR="00185B8B" w:rsidRPr="00185B8B" w:rsidRDefault="00185B8B" w:rsidP="00185B8B">
            <w:pPr>
              <w:pStyle w:val="Body"/>
              <w:spacing w:after="0"/>
              <w:rPr>
                <w:rFonts w:ascii="Arial" w:hAnsi="Arial" w:cs="Arial"/>
              </w:rPr>
            </w:pPr>
            <w:r w:rsidRPr="00185B8B">
              <w:rPr>
                <w:rFonts w:ascii="Arial" w:hAnsi="Arial" w:cs="Arial"/>
              </w:rPr>
              <w:t>Organizational Competitiveness (OC)</w:t>
            </w:r>
          </w:p>
        </w:tc>
        <w:tc>
          <w:tcPr>
            <w:tcW w:w="1467" w:type="dxa"/>
            <w:tcBorders>
              <w:bottom w:val="single" w:sz="4" w:space="0" w:color="auto"/>
            </w:tcBorders>
            <w:vAlign w:val="center"/>
            <w:hideMark/>
          </w:tcPr>
          <w:p w14:paraId="67DCBFEE" w14:textId="77777777" w:rsidR="00185B8B" w:rsidRPr="00185B8B" w:rsidRDefault="00185B8B" w:rsidP="00185B8B">
            <w:pPr>
              <w:pStyle w:val="Body"/>
              <w:spacing w:after="0"/>
              <w:rPr>
                <w:rFonts w:ascii="Arial" w:hAnsi="Arial" w:cs="Arial"/>
              </w:rPr>
            </w:pPr>
            <w:r w:rsidRPr="00185B8B">
              <w:rPr>
                <w:rFonts w:ascii="Arial" w:hAnsi="Arial" w:cs="Arial"/>
              </w:rPr>
              <w:t>0.588</w:t>
            </w:r>
          </w:p>
        </w:tc>
        <w:tc>
          <w:tcPr>
            <w:tcW w:w="1353" w:type="dxa"/>
            <w:tcBorders>
              <w:bottom w:val="single" w:sz="4" w:space="0" w:color="auto"/>
            </w:tcBorders>
            <w:vAlign w:val="center"/>
            <w:hideMark/>
          </w:tcPr>
          <w:p w14:paraId="1ABBEB0D" w14:textId="77777777" w:rsidR="00185B8B" w:rsidRPr="00185B8B" w:rsidRDefault="00185B8B" w:rsidP="00185B8B">
            <w:pPr>
              <w:pStyle w:val="Body"/>
              <w:spacing w:after="0"/>
              <w:rPr>
                <w:rFonts w:ascii="Arial" w:hAnsi="Arial" w:cs="Arial"/>
              </w:rPr>
            </w:pPr>
            <w:r w:rsidRPr="00185B8B">
              <w:rPr>
                <w:rFonts w:ascii="Arial" w:hAnsi="Arial" w:cs="Arial"/>
              </w:rPr>
              <w:t>0.703</w:t>
            </w:r>
          </w:p>
        </w:tc>
        <w:tc>
          <w:tcPr>
            <w:tcW w:w="945" w:type="dxa"/>
            <w:tcBorders>
              <w:bottom w:val="single" w:sz="4" w:space="0" w:color="auto"/>
            </w:tcBorders>
            <w:vAlign w:val="center"/>
            <w:hideMark/>
          </w:tcPr>
          <w:p w14:paraId="3635172F" w14:textId="77777777" w:rsidR="00185B8B" w:rsidRPr="00185B8B" w:rsidRDefault="00185B8B" w:rsidP="00185B8B">
            <w:pPr>
              <w:pStyle w:val="Body"/>
              <w:spacing w:after="0"/>
              <w:rPr>
                <w:rFonts w:ascii="Arial" w:hAnsi="Arial" w:cs="Arial"/>
              </w:rPr>
            </w:pPr>
            <w:r w:rsidRPr="00185B8B">
              <w:rPr>
                <w:rFonts w:ascii="Arial" w:hAnsi="Arial" w:cs="Arial"/>
              </w:rPr>
              <w:t>—</w:t>
            </w:r>
          </w:p>
        </w:tc>
      </w:tr>
    </w:tbl>
    <w:p w14:paraId="6EAE7809" w14:textId="77777777" w:rsidR="00185B8B" w:rsidRDefault="00185B8B" w:rsidP="00B370E4">
      <w:pPr>
        <w:pStyle w:val="Body"/>
        <w:rPr>
          <w:rFonts w:ascii="Arial" w:hAnsi="Arial" w:cs="Arial"/>
        </w:rPr>
      </w:pPr>
    </w:p>
    <w:p w14:paraId="5D63AF84" w14:textId="502D570E" w:rsidR="00185B8B" w:rsidRDefault="00185B8B" w:rsidP="00185B8B">
      <w:pPr>
        <w:pStyle w:val="Body"/>
        <w:rPr>
          <w:rFonts w:ascii="Arial" w:hAnsi="Arial" w:cs="Arial"/>
          <w:b/>
          <w:bCs/>
          <w:sz w:val="22"/>
          <w:szCs w:val="22"/>
        </w:rPr>
      </w:pPr>
      <w:r w:rsidRPr="00185B8B">
        <w:rPr>
          <w:rFonts w:ascii="Arial" w:hAnsi="Arial" w:cs="Arial"/>
          <w:b/>
          <w:bCs/>
          <w:sz w:val="22"/>
          <w:szCs w:val="22"/>
        </w:rPr>
        <w:lastRenderedPageBreak/>
        <w:t xml:space="preserve">3.4 </w:t>
      </w:r>
      <w:r>
        <w:rPr>
          <w:rFonts w:ascii="Arial" w:hAnsi="Arial" w:cs="Arial"/>
          <w:b/>
          <w:bCs/>
          <w:sz w:val="22"/>
          <w:szCs w:val="22"/>
        </w:rPr>
        <w:t>Bootstrapping Results of the Structural Model</w:t>
      </w:r>
    </w:p>
    <w:p w14:paraId="7147F29E" w14:textId="77777777" w:rsidR="00185B8B" w:rsidRPr="00185B8B" w:rsidRDefault="00185B8B" w:rsidP="00185B8B">
      <w:pPr>
        <w:pStyle w:val="Body"/>
        <w:rPr>
          <w:rFonts w:ascii="Arial" w:hAnsi="Arial" w:cs="Arial"/>
        </w:rPr>
      </w:pPr>
      <w:r w:rsidRPr="00185B8B">
        <w:rPr>
          <w:rFonts w:ascii="Arial" w:hAnsi="Arial" w:cs="Arial"/>
        </w:rPr>
        <w:t xml:space="preserve">The significance of the </w:t>
      </w:r>
      <w:proofErr w:type="spellStart"/>
      <w:r w:rsidRPr="00185B8B">
        <w:rPr>
          <w:rFonts w:ascii="Arial" w:hAnsi="Arial" w:cs="Arial"/>
        </w:rPr>
        <w:t>hypothesised</w:t>
      </w:r>
      <w:proofErr w:type="spellEnd"/>
      <w:r w:rsidRPr="00185B8B">
        <w:rPr>
          <w:rFonts w:ascii="Arial" w:hAnsi="Arial" w:cs="Arial"/>
        </w:rPr>
        <w:t xml:space="preserve"> relationships was assessed using a bootstrapping procedure with 5,000 resamples in </w:t>
      </w:r>
      <w:proofErr w:type="spellStart"/>
      <w:r w:rsidRPr="00185B8B">
        <w:rPr>
          <w:rFonts w:ascii="Arial" w:hAnsi="Arial" w:cs="Arial"/>
        </w:rPr>
        <w:t>SmartPLS</w:t>
      </w:r>
      <w:proofErr w:type="spellEnd"/>
      <w:r w:rsidRPr="00185B8B">
        <w:rPr>
          <w:rFonts w:ascii="Arial" w:hAnsi="Arial" w:cs="Arial"/>
        </w:rPr>
        <w:t>. This non-parametric technique was employed to obtain robust estimates of standard errors, t-values, and confidence intervals for both direct and indirect effects.</w:t>
      </w:r>
    </w:p>
    <w:p w14:paraId="70338444" w14:textId="77777777" w:rsidR="00185B8B" w:rsidRPr="00185B8B" w:rsidRDefault="00185B8B" w:rsidP="00185B8B">
      <w:pPr>
        <w:pStyle w:val="Body"/>
        <w:rPr>
          <w:rFonts w:ascii="Arial" w:hAnsi="Arial" w:cs="Arial"/>
        </w:rPr>
      </w:pPr>
      <w:r w:rsidRPr="00185B8B">
        <w:rPr>
          <w:rFonts w:ascii="Arial" w:hAnsi="Arial" w:cs="Arial"/>
        </w:rPr>
        <w:t>The bootstrapping results indicate that lean management practices have a strong and positive effect on operational performance (β = 0.612, t = 11.284, p &lt; 0.001). This finding suggests that SMEs implementing higher levels of lean practices tend to achieve superior operational outcomes in terms of efficiency, quality, delivery reliability, and flexibility. Furthermore, operational performance exhibits a significant positive effect on organizational competitiveness (β = 0.523, t = 7.946, p &lt; 0.001), indicating that improved operational outcomes translate into stronger competitive positioning.</w:t>
      </w:r>
    </w:p>
    <w:p w14:paraId="03662210" w14:textId="77777777" w:rsidR="00185B8B" w:rsidRPr="00185B8B" w:rsidRDefault="00185B8B" w:rsidP="00185B8B">
      <w:pPr>
        <w:pStyle w:val="Body"/>
        <w:rPr>
          <w:rFonts w:ascii="Arial" w:hAnsi="Arial" w:cs="Arial"/>
        </w:rPr>
      </w:pPr>
      <w:r w:rsidRPr="00185B8B">
        <w:rPr>
          <w:rFonts w:ascii="Arial" w:hAnsi="Arial" w:cs="Arial"/>
        </w:rPr>
        <w:t>In addition to the indirect pathway, lean management practices also demonstrate a positive direct effect on organizational competitiveness (β = 0.241, t = 3.182, p = 0.002). Although this direct effect is weaker than the indirect effect through operational performance, it remains statistically significant, suggesting that lean practices contribute to competitiveness both directly and indirectly.</w:t>
      </w:r>
    </w:p>
    <w:p w14:paraId="1CEDF70F" w14:textId="6E865911" w:rsidR="00185B8B" w:rsidRPr="00185B8B" w:rsidRDefault="00185B8B" w:rsidP="00185B8B">
      <w:pPr>
        <w:pStyle w:val="Body"/>
        <w:rPr>
          <w:rFonts w:ascii="Arial" w:hAnsi="Arial" w:cs="Arial"/>
        </w:rPr>
      </w:pPr>
      <w:r w:rsidRPr="00185B8B">
        <w:rPr>
          <w:rFonts w:ascii="Arial" w:hAnsi="Arial" w:cs="Arial"/>
        </w:rPr>
        <w:t>The mediating role of operational performance was further confirmed through analysis of the indirect effect. The indirect path from lean management practices to organizational competitiveness via operational performance is positive and statistically significant (β = 0.320, t = 6.571, p &lt; 0.001), with a 95% bias-corrected confidence interval of [0.229, 0.419], which does not include zero. This result provides evidence of partial mediation, indicating that operational performance constitutes a key mechanism through which lean management practices enhance organizational competitiveness.</w:t>
      </w:r>
    </w:p>
    <w:p w14:paraId="62A1AFB2" w14:textId="66B4E369" w:rsidR="00EB7EF5" w:rsidRPr="00EB7EF5" w:rsidRDefault="00EB7EF5" w:rsidP="00EB7EF5">
      <w:pPr>
        <w:pStyle w:val="Caption"/>
        <w:keepNext/>
        <w:spacing w:after="0"/>
        <w:rPr>
          <w:rFonts w:ascii="Arial" w:hAnsi="Arial" w:cs="Arial"/>
          <w:b/>
          <w:bCs/>
          <w:i w:val="0"/>
          <w:iCs w:val="0"/>
          <w:color w:val="auto"/>
          <w:sz w:val="22"/>
          <w:szCs w:val="22"/>
        </w:rPr>
      </w:pPr>
      <w:r w:rsidRPr="00EB7EF5">
        <w:rPr>
          <w:rFonts w:ascii="Arial" w:hAnsi="Arial" w:cs="Arial"/>
          <w:b/>
          <w:bCs/>
          <w:i w:val="0"/>
          <w:iCs w:val="0"/>
          <w:color w:val="auto"/>
          <w:sz w:val="22"/>
          <w:szCs w:val="22"/>
        </w:rPr>
        <w:t xml:space="preserve">Table </w:t>
      </w:r>
      <w:r w:rsidRPr="00EB7EF5">
        <w:rPr>
          <w:rFonts w:ascii="Arial" w:hAnsi="Arial" w:cs="Arial"/>
          <w:b/>
          <w:bCs/>
          <w:i w:val="0"/>
          <w:iCs w:val="0"/>
          <w:color w:val="auto"/>
          <w:sz w:val="22"/>
          <w:szCs w:val="22"/>
        </w:rPr>
        <w:fldChar w:fldCharType="begin"/>
      </w:r>
      <w:r w:rsidRPr="00EB7EF5">
        <w:rPr>
          <w:rFonts w:ascii="Arial" w:hAnsi="Arial" w:cs="Arial"/>
          <w:b/>
          <w:bCs/>
          <w:i w:val="0"/>
          <w:iCs w:val="0"/>
          <w:color w:val="auto"/>
          <w:sz w:val="22"/>
          <w:szCs w:val="22"/>
        </w:rPr>
        <w:instrText xml:space="preserve"> SEQ Table \* ARABIC </w:instrText>
      </w:r>
      <w:r w:rsidRPr="00EB7EF5">
        <w:rPr>
          <w:rFonts w:ascii="Arial" w:hAnsi="Arial" w:cs="Arial"/>
          <w:b/>
          <w:bCs/>
          <w:i w:val="0"/>
          <w:iCs w:val="0"/>
          <w:color w:val="auto"/>
          <w:sz w:val="22"/>
          <w:szCs w:val="22"/>
        </w:rPr>
        <w:fldChar w:fldCharType="separate"/>
      </w:r>
      <w:r w:rsidR="0078217C">
        <w:rPr>
          <w:rFonts w:ascii="Arial" w:hAnsi="Arial" w:cs="Arial"/>
          <w:b/>
          <w:bCs/>
          <w:i w:val="0"/>
          <w:iCs w:val="0"/>
          <w:noProof/>
          <w:color w:val="auto"/>
          <w:sz w:val="22"/>
          <w:szCs w:val="22"/>
        </w:rPr>
        <w:t>3</w:t>
      </w:r>
      <w:r w:rsidRPr="00EB7EF5">
        <w:rPr>
          <w:rFonts w:ascii="Arial" w:hAnsi="Arial" w:cs="Arial"/>
          <w:b/>
          <w:bCs/>
          <w:i w:val="0"/>
          <w:iCs w:val="0"/>
          <w:color w:val="auto"/>
          <w:sz w:val="22"/>
          <w:szCs w:val="22"/>
        </w:rPr>
        <w:fldChar w:fldCharType="end"/>
      </w:r>
      <w:r w:rsidRPr="00EB7EF5">
        <w:rPr>
          <w:rFonts w:ascii="Arial" w:hAnsi="Arial" w:cs="Arial"/>
          <w:b/>
          <w:bCs/>
          <w:i w:val="0"/>
          <w:iCs w:val="0"/>
          <w:color w:val="auto"/>
          <w:sz w:val="22"/>
          <w:szCs w:val="22"/>
        </w:rPr>
        <w:t xml:space="preserve"> Bootstrapping Results of the Structural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6"/>
        <w:gridCol w:w="809"/>
        <w:gridCol w:w="1476"/>
        <w:gridCol w:w="1401"/>
        <w:gridCol w:w="688"/>
        <w:gridCol w:w="998"/>
      </w:tblGrid>
      <w:tr w:rsidR="00185B8B" w:rsidRPr="00185B8B" w14:paraId="37236B70" w14:textId="77777777" w:rsidTr="00185B8B">
        <w:trPr>
          <w:tblHeader/>
          <w:tblCellSpacing w:w="15" w:type="dxa"/>
        </w:trPr>
        <w:tc>
          <w:tcPr>
            <w:tcW w:w="2881" w:type="dxa"/>
            <w:tcBorders>
              <w:top w:val="single" w:sz="4" w:space="0" w:color="auto"/>
              <w:bottom w:val="single" w:sz="4" w:space="0" w:color="auto"/>
            </w:tcBorders>
            <w:hideMark/>
          </w:tcPr>
          <w:p w14:paraId="79AD00D4" w14:textId="77777777" w:rsidR="00185B8B" w:rsidRPr="00185B8B" w:rsidRDefault="00185B8B" w:rsidP="00185B8B">
            <w:pPr>
              <w:pStyle w:val="Body"/>
              <w:spacing w:after="0"/>
              <w:jc w:val="left"/>
              <w:rPr>
                <w:rFonts w:ascii="Arial" w:hAnsi="Arial" w:cs="Arial"/>
                <w:b/>
                <w:bCs/>
              </w:rPr>
            </w:pPr>
            <w:r w:rsidRPr="00185B8B">
              <w:rPr>
                <w:rFonts w:ascii="Arial" w:hAnsi="Arial" w:cs="Arial"/>
                <w:b/>
                <w:bCs/>
              </w:rPr>
              <w:t>Relationship</w:t>
            </w:r>
          </w:p>
        </w:tc>
        <w:tc>
          <w:tcPr>
            <w:tcW w:w="779" w:type="dxa"/>
            <w:tcBorders>
              <w:top w:val="single" w:sz="4" w:space="0" w:color="auto"/>
              <w:bottom w:val="single" w:sz="4" w:space="0" w:color="auto"/>
            </w:tcBorders>
            <w:hideMark/>
          </w:tcPr>
          <w:p w14:paraId="7D05AD50"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Effect Type</w:t>
            </w:r>
          </w:p>
        </w:tc>
        <w:tc>
          <w:tcPr>
            <w:tcW w:w="0" w:type="auto"/>
            <w:tcBorders>
              <w:top w:val="single" w:sz="4" w:space="0" w:color="auto"/>
              <w:bottom w:val="single" w:sz="4" w:space="0" w:color="auto"/>
            </w:tcBorders>
            <w:hideMark/>
          </w:tcPr>
          <w:p w14:paraId="5DD6D045"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Path Coefficient (β)</w:t>
            </w:r>
          </w:p>
        </w:tc>
        <w:tc>
          <w:tcPr>
            <w:tcW w:w="0" w:type="auto"/>
            <w:tcBorders>
              <w:top w:val="single" w:sz="4" w:space="0" w:color="auto"/>
              <w:bottom w:val="single" w:sz="4" w:space="0" w:color="auto"/>
            </w:tcBorders>
            <w:hideMark/>
          </w:tcPr>
          <w:p w14:paraId="1500CACD"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Standard Deviation</w:t>
            </w:r>
          </w:p>
        </w:tc>
        <w:tc>
          <w:tcPr>
            <w:tcW w:w="0" w:type="auto"/>
            <w:tcBorders>
              <w:top w:val="single" w:sz="4" w:space="0" w:color="auto"/>
              <w:bottom w:val="single" w:sz="4" w:space="0" w:color="auto"/>
            </w:tcBorders>
            <w:hideMark/>
          </w:tcPr>
          <w:p w14:paraId="5A70C4E1"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t-value</w:t>
            </w:r>
          </w:p>
        </w:tc>
        <w:tc>
          <w:tcPr>
            <w:tcW w:w="0" w:type="auto"/>
            <w:tcBorders>
              <w:top w:val="single" w:sz="4" w:space="0" w:color="auto"/>
              <w:bottom w:val="single" w:sz="4" w:space="0" w:color="auto"/>
            </w:tcBorders>
            <w:hideMark/>
          </w:tcPr>
          <w:p w14:paraId="4F7E30D0"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Decision</w:t>
            </w:r>
          </w:p>
        </w:tc>
      </w:tr>
      <w:tr w:rsidR="00185B8B" w:rsidRPr="00185B8B" w14:paraId="1F33536C" w14:textId="77777777" w:rsidTr="00185B8B">
        <w:trPr>
          <w:tblCellSpacing w:w="15" w:type="dxa"/>
        </w:trPr>
        <w:tc>
          <w:tcPr>
            <w:tcW w:w="2881" w:type="dxa"/>
            <w:vAlign w:val="center"/>
            <w:hideMark/>
          </w:tcPr>
          <w:p w14:paraId="64DD734A" w14:textId="77777777" w:rsidR="00185B8B" w:rsidRPr="00185B8B" w:rsidRDefault="00185B8B" w:rsidP="00185B8B">
            <w:pPr>
              <w:pStyle w:val="Body"/>
              <w:rPr>
                <w:rFonts w:ascii="Arial" w:hAnsi="Arial" w:cs="Arial"/>
              </w:rPr>
            </w:pPr>
            <w:r w:rsidRPr="00185B8B">
              <w:rPr>
                <w:rFonts w:ascii="Arial" w:hAnsi="Arial" w:cs="Arial"/>
              </w:rPr>
              <w:t>Lean Management Practices → Operational Performance</w:t>
            </w:r>
          </w:p>
        </w:tc>
        <w:tc>
          <w:tcPr>
            <w:tcW w:w="779" w:type="dxa"/>
            <w:vAlign w:val="center"/>
            <w:hideMark/>
          </w:tcPr>
          <w:p w14:paraId="1E9CC24A" w14:textId="77777777" w:rsidR="00185B8B" w:rsidRPr="00185B8B" w:rsidRDefault="00185B8B" w:rsidP="00185B8B">
            <w:pPr>
              <w:pStyle w:val="Body"/>
              <w:jc w:val="center"/>
              <w:rPr>
                <w:rFonts w:ascii="Arial" w:hAnsi="Arial" w:cs="Arial"/>
              </w:rPr>
            </w:pPr>
            <w:r w:rsidRPr="00185B8B">
              <w:rPr>
                <w:rFonts w:ascii="Arial" w:hAnsi="Arial" w:cs="Arial"/>
              </w:rPr>
              <w:t>Direct</w:t>
            </w:r>
          </w:p>
        </w:tc>
        <w:tc>
          <w:tcPr>
            <w:tcW w:w="0" w:type="auto"/>
            <w:vAlign w:val="center"/>
            <w:hideMark/>
          </w:tcPr>
          <w:p w14:paraId="7ED653A4" w14:textId="77777777" w:rsidR="00185B8B" w:rsidRPr="00185B8B" w:rsidRDefault="00185B8B" w:rsidP="00185B8B">
            <w:pPr>
              <w:pStyle w:val="Body"/>
              <w:jc w:val="center"/>
              <w:rPr>
                <w:rFonts w:ascii="Arial" w:hAnsi="Arial" w:cs="Arial"/>
              </w:rPr>
            </w:pPr>
            <w:r w:rsidRPr="00185B8B">
              <w:rPr>
                <w:rFonts w:ascii="Arial" w:hAnsi="Arial" w:cs="Arial"/>
              </w:rPr>
              <w:t>0.612</w:t>
            </w:r>
          </w:p>
        </w:tc>
        <w:tc>
          <w:tcPr>
            <w:tcW w:w="0" w:type="auto"/>
            <w:vAlign w:val="center"/>
            <w:hideMark/>
          </w:tcPr>
          <w:p w14:paraId="7F53B4B5" w14:textId="77777777" w:rsidR="00185B8B" w:rsidRPr="00185B8B" w:rsidRDefault="00185B8B" w:rsidP="00185B8B">
            <w:pPr>
              <w:pStyle w:val="Body"/>
              <w:jc w:val="center"/>
              <w:rPr>
                <w:rFonts w:ascii="Arial" w:hAnsi="Arial" w:cs="Arial"/>
              </w:rPr>
            </w:pPr>
            <w:r w:rsidRPr="00185B8B">
              <w:rPr>
                <w:rFonts w:ascii="Arial" w:hAnsi="Arial" w:cs="Arial"/>
              </w:rPr>
              <w:t>0.054</w:t>
            </w:r>
          </w:p>
        </w:tc>
        <w:tc>
          <w:tcPr>
            <w:tcW w:w="0" w:type="auto"/>
            <w:vAlign w:val="center"/>
            <w:hideMark/>
          </w:tcPr>
          <w:p w14:paraId="494886F4" w14:textId="77777777" w:rsidR="00185B8B" w:rsidRPr="00185B8B" w:rsidRDefault="00185B8B" w:rsidP="00185B8B">
            <w:pPr>
              <w:pStyle w:val="Body"/>
              <w:jc w:val="center"/>
              <w:rPr>
                <w:rFonts w:ascii="Arial" w:hAnsi="Arial" w:cs="Arial"/>
              </w:rPr>
            </w:pPr>
            <w:r w:rsidRPr="00185B8B">
              <w:rPr>
                <w:rFonts w:ascii="Arial" w:hAnsi="Arial" w:cs="Arial"/>
              </w:rPr>
              <w:t>11.284</w:t>
            </w:r>
          </w:p>
        </w:tc>
        <w:tc>
          <w:tcPr>
            <w:tcW w:w="0" w:type="auto"/>
            <w:vAlign w:val="center"/>
            <w:hideMark/>
          </w:tcPr>
          <w:p w14:paraId="1CD1298A"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099A0426" w14:textId="77777777" w:rsidTr="00185B8B">
        <w:trPr>
          <w:tblCellSpacing w:w="15" w:type="dxa"/>
        </w:trPr>
        <w:tc>
          <w:tcPr>
            <w:tcW w:w="2881" w:type="dxa"/>
            <w:vAlign w:val="center"/>
            <w:hideMark/>
          </w:tcPr>
          <w:p w14:paraId="0F142A3B" w14:textId="77777777" w:rsidR="00185B8B" w:rsidRPr="00185B8B" w:rsidRDefault="00185B8B" w:rsidP="00185B8B">
            <w:pPr>
              <w:pStyle w:val="Body"/>
              <w:rPr>
                <w:rFonts w:ascii="Arial" w:hAnsi="Arial" w:cs="Arial"/>
              </w:rPr>
            </w:pPr>
            <w:r w:rsidRPr="00185B8B">
              <w:rPr>
                <w:rFonts w:ascii="Arial" w:hAnsi="Arial" w:cs="Arial"/>
              </w:rPr>
              <w:t>Operational Performance → Organizational Competitiveness</w:t>
            </w:r>
          </w:p>
        </w:tc>
        <w:tc>
          <w:tcPr>
            <w:tcW w:w="779" w:type="dxa"/>
            <w:vAlign w:val="center"/>
            <w:hideMark/>
          </w:tcPr>
          <w:p w14:paraId="13A4E4AA" w14:textId="77777777" w:rsidR="00185B8B" w:rsidRPr="00185B8B" w:rsidRDefault="00185B8B" w:rsidP="00185B8B">
            <w:pPr>
              <w:pStyle w:val="Body"/>
              <w:jc w:val="center"/>
              <w:rPr>
                <w:rFonts w:ascii="Arial" w:hAnsi="Arial" w:cs="Arial"/>
              </w:rPr>
            </w:pPr>
            <w:r w:rsidRPr="00185B8B">
              <w:rPr>
                <w:rFonts w:ascii="Arial" w:hAnsi="Arial" w:cs="Arial"/>
              </w:rPr>
              <w:t>Direct</w:t>
            </w:r>
          </w:p>
        </w:tc>
        <w:tc>
          <w:tcPr>
            <w:tcW w:w="0" w:type="auto"/>
            <w:vAlign w:val="center"/>
            <w:hideMark/>
          </w:tcPr>
          <w:p w14:paraId="37E50F52" w14:textId="77777777" w:rsidR="00185B8B" w:rsidRPr="00185B8B" w:rsidRDefault="00185B8B" w:rsidP="00185B8B">
            <w:pPr>
              <w:pStyle w:val="Body"/>
              <w:jc w:val="center"/>
              <w:rPr>
                <w:rFonts w:ascii="Arial" w:hAnsi="Arial" w:cs="Arial"/>
              </w:rPr>
            </w:pPr>
            <w:r w:rsidRPr="00185B8B">
              <w:rPr>
                <w:rFonts w:ascii="Arial" w:hAnsi="Arial" w:cs="Arial"/>
              </w:rPr>
              <w:t>0.523</w:t>
            </w:r>
          </w:p>
        </w:tc>
        <w:tc>
          <w:tcPr>
            <w:tcW w:w="0" w:type="auto"/>
            <w:vAlign w:val="center"/>
            <w:hideMark/>
          </w:tcPr>
          <w:p w14:paraId="69899427" w14:textId="77777777" w:rsidR="00185B8B" w:rsidRPr="00185B8B" w:rsidRDefault="00185B8B" w:rsidP="00185B8B">
            <w:pPr>
              <w:pStyle w:val="Body"/>
              <w:jc w:val="center"/>
              <w:rPr>
                <w:rFonts w:ascii="Arial" w:hAnsi="Arial" w:cs="Arial"/>
              </w:rPr>
            </w:pPr>
            <w:r w:rsidRPr="00185B8B">
              <w:rPr>
                <w:rFonts w:ascii="Arial" w:hAnsi="Arial" w:cs="Arial"/>
              </w:rPr>
              <w:t>0.066</w:t>
            </w:r>
          </w:p>
        </w:tc>
        <w:tc>
          <w:tcPr>
            <w:tcW w:w="0" w:type="auto"/>
            <w:vAlign w:val="center"/>
            <w:hideMark/>
          </w:tcPr>
          <w:p w14:paraId="5E05946D" w14:textId="77777777" w:rsidR="00185B8B" w:rsidRPr="00185B8B" w:rsidRDefault="00185B8B" w:rsidP="00185B8B">
            <w:pPr>
              <w:pStyle w:val="Body"/>
              <w:jc w:val="center"/>
              <w:rPr>
                <w:rFonts w:ascii="Arial" w:hAnsi="Arial" w:cs="Arial"/>
              </w:rPr>
            </w:pPr>
            <w:r w:rsidRPr="00185B8B">
              <w:rPr>
                <w:rFonts w:ascii="Arial" w:hAnsi="Arial" w:cs="Arial"/>
              </w:rPr>
              <w:t>7.946</w:t>
            </w:r>
          </w:p>
        </w:tc>
        <w:tc>
          <w:tcPr>
            <w:tcW w:w="0" w:type="auto"/>
            <w:vAlign w:val="center"/>
            <w:hideMark/>
          </w:tcPr>
          <w:p w14:paraId="07274BF7"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5A495522" w14:textId="77777777" w:rsidTr="00185B8B">
        <w:trPr>
          <w:tblCellSpacing w:w="15" w:type="dxa"/>
        </w:trPr>
        <w:tc>
          <w:tcPr>
            <w:tcW w:w="2881" w:type="dxa"/>
            <w:vAlign w:val="center"/>
            <w:hideMark/>
          </w:tcPr>
          <w:p w14:paraId="749DC8DE" w14:textId="77777777" w:rsidR="00185B8B" w:rsidRPr="00185B8B" w:rsidRDefault="00185B8B" w:rsidP="00185B8B">
            <w:pPr>
              <w:pStyle w:val="Body"/>
              <w:rPr>
                <w:rFonts w:ascii="Arial" w:hAnsi="Arial" w:cs="Arial"/>
              </w:rPr>
            </w:pPr>
            <w:r w:rsidRPr="00185B8B">
              <w:rPr>
                <w:rFonts w:ascii="Arial" w:hAnsi="Arial" w:cs="Arial"/>
              </w:rPr>
              <w:t>Lean Management Practices → Organizational Competitiveness</w:t>
            </w:r>
          </w:p>
        </w:tc>
        <w:tc>
          <w:tcPr>
            <w:tcW w:w="779" w:type="dxa"/>
            <w:vAlign w:val="center"/>
            <w:hideMark/>
          </w:tcPr>
          <w:p w14:paraId="642FED26" w14:textId="77777777" w:rsidR="00185B8B" w:rsidRPr="00185B8B" w:rsidRDefault="00185B8B" w:rsidP="00185B8B">
            <w:pPr>
              <w:pStyle w:val="Body"/>
              <w:jc w:val="center"/>
              <w:rPr>
                <w:rFonts w:ascii="Arial" w:hAnsi="Arial" w:cs="Arial"/>
              </w:rPr>
            </w:pPr>
            <w:r w:rsidRPr="00185B8B">
              <w:rPr>
                <w:rFonts w:ascii="Arial" w:hAnsi="Arial" w:cs="Arial"/>
              </w:rPr>
              <w:t>Direct</w:t>
            </w:r>
          </w:p>
        </w:tc>
        <w:tc>
          <w:tcPr>
            <w:tcW w:w="0" w:type="auto"/>
            <w:vAlign w:val="center"/>
            <w:hideMark/>
          </w:tcPr>
          <w:p w14:paraId="1DA9B86D" w14:textId="77777777" w:rsidR="00185B8B" w:rsidRPr="00185B8B" w:rsidRDefault="00185B8B" w:rsidP="00185B8B">
            <w:pPr>
              <w:pStyle w:val="Body"/>
              <w:jc w:val="center"/>
              <w:rPr>
                <w:rFonts w:ascii="Arial" w:hAnsi="Arial" w:cs="Arial"/>
              </w:rPr>
            </w:pPr>
            <w:r w:rsidRPr="00185B8B">
              <w:rPr>
                <w:rFonts w:ascii="Arial" w:hAnsi="Arial" w:cs="Arial"/>
              </w:rPr>
              <w:t>0.241</w:t>
            </w:r>
          </w:p>
        </w:tc>
        <w:tc>
          <w:tcPr>
            <w:tcW w:w="0" w:type="auto"/>
            <w:vAlign w:val="center"/>
            <w:hideMark/>
          </w:tcPr>
          <w:p w14:paraId="1314FD79" w14:textId="77777777" w:rsidR="00185B8B" w:rsidRPr="00185B8B" w:rsidRDefault="00185B8B" w:rsidP="00185B8B">
            <w:pPr>
              <w:pStyle w:val="Body"/>
              <w:jc w:val="center"/>
              <w:rPr>
                <w:rFonts w:ascii="Arial" w:hAnsi="Arial" w:cs="Arial"/>
              </w:rPr>
            </w:pPr>
            <w:r w:rsidRPr="00185B8B">
              <w:rPr>
                <w:rFonts w:ascii="Arial" w:hAnsi="Arial" w:cs="Arial"/>
              </w:rPr>
              <w:t>0.076</w:t>
            </w:r>
          </w:p>
        </w:tc>
        <w:tc>
          <w:tcPr>
            <w:tcW w:w="0" w:type="auto"/>
            <w:vAlign w:val="center"/>
            <w:hideMark/>
          </w:tcPr>
          <w:p w14:paraId="274CD690" w14:textId="77777777" w:rsidR="00185B8B" w:rsidRPr="00185B8B" w:rsidRDefault="00185B8B" w:rsidP="00185B8B">
            <w:pPr>
              <w:pStyle w:val="Body"/>
              <w:jc w:val="center"/>
              <w:rPr>
                <w:rFonts w:ascii="Arial" w:hAnsi="Arial" w:cs="Arial"/>
              </w:rPr>
            </w:pPr>
            <w:r w:rsidRPr="00185B8B">
              <w:rPr>
                <w:rFonts w:ascii="Arial" w:hAnsi="Arial" w:cs="Arial"/>
              </w:rPr>
              <w:t>3.182</w:t>
            </w:r>
          </w:p>
        </w:tc>
        <w:tc>
          <w:tcPr>
            <w:tcW w:w="0" w:type="auto"/>
            <w:vAlign w:val="center"/>
            <w:hideMark/>
          </w:tcPr>
          <w:p w14:paraId="5EED8D0F"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5A15CCDF" w14:textId="77777777" w:rsidTr="00185B8B">
        <w:trPr>
          <w:tblCellSpacing w:w="15" w:type="dxa"/>
        </w:trPr>
        <w:tc>
          <w:tcPr>
            <w:tcW w:w="2881" w:type="dxa"/>
            <w:vAlign w:val="center"/>
            <w:hideMark/>
          </w:tcPr>
          <w:p w14:paraId="4A53EDA4" w14:textId="77777777" w:rsidR="00185B8B" w:rsidRPr="00185B8B" w:rsidRDefault="00185B8B" w:rsidP="00185B8B">
            <w:pPr>
              <w:pStyle w:val="Body"/>
              <w:rPr>
                <w:rFonts w:ascii="Arial" w:hAnsi="Arial" w:cs="Arial"/>
              </w:rPr>
            </w:pPr>
            <w:r w:rsidRPr="00185B8B">
              <w:rPr>
                <w:rFonts w:ascii="Arial" w:hAnsi="Arial" w:cs="Arial"/>
              </w:rPr>
              <w:t>Lean Management Practices → Operational Performance → Organizational Competitiveness</w:t>
            </w:r>
          </w:p>
        </w:tc>
        <w:tc>
          <w:tcPr>
            <w:tcW w:w="779" w:type="dxa"/>
            <w:vAlign w:val="center"/>
            <w:hideMark/>
          </w:tcPr>
          <w:p w14:paraId="10D082D3" w14:textId="77777777" w:rsidR="00185B8B" w:rsidRPr="00185B8B" w:rsidRDefault="00185B8B" w:rsidP="00185B8B">
            <w:pPr>
              <w:pStyle w:val="Body"/>
              <w:jc w:val="center"/>
              <w:rPr>
                <w:rFonts w:ascii="Arial" w:hAnsi="Arial" w:cs="Arial"/>
              </w:rPr>
            </w:pPr>
            <w:r w:rsidRPr="00185B8B">
              <w:rPr>
                <w:rFonts w:ascii="Arial" w:hAnsi="Arial" w:cs="Arial"/>
              </w:rPr>
              <w:t>Indirect</w:t>
            </w:r>
          </w:p>
        </w:tc>
        <w:tc>
          <w:tcPr>
            <w:tcW w:w="0" w:type="auto"/>
            <w:vAlign w:val="center"/>
            <w:hideMark/>
          </w:tcPr>
          <w:p w14:paraId="2A378EC1" w14:textId="77777777" w:rsidR="00185B8B" w:rsidRPr="00185B8B" w:rsidRDefault="00185B8B" w:rsidP="00185B8B">
            <w:pPr>
              <w:pStyle w:val="Body"/>
              <w:jc w:val="center"/>
              <w:rPr>
                <w:rFonts w:ascii="Arial" w:hAnsi="Arial" w:cs="Arial"/>
              </w:rPr>
            </w:pPr>
            <w:r w:rsidRPr="00185B8B">
              <w:rPr>
                <w:rFonts w:ascii="Arial" w:hAnsi="Arial" w:cs="Arial"/>
              </w:rPr>
              <w:t>0.320</w:t>
            </w:r>
          </w:p>
        </w:tc>
        <w:tc>
          <w:tcPr>
            <w:tcW w:w="0" w:type="auto"/>
            <w:vAlign w:val="center"/>
            <w:hideMark/>
          </w:tcPr>
          <w:p w14:paraId="306C3B23" w14:textId="77777777" w:rsidR="00185B8B" w:rsidRPr="00185B8B" w:rsidRDefault="00185B8B" w:rsidP="00185B8B">
            <w:pPr>
              <w:pStyle w:val="Body"/>
              <w:jc w:val="center"/>
              <w:rPr>
                <w:rFonts w:ascii="Arial" w:hAnsi="Arial" w:cs="Arial"/>
              </w:rPr>
            </w:pPr>
            <w:r w:rsidRPr="00185B8B">
              <w:rPr>
                <w:rFonts w:ascii="Arial" w:hAnsi="Arial" w:cs="Arial"/>
              </w:rPr>
              <w:t>0.049</w:t>
            </w:r>
          </w:p>
        </w:tc>
        <w:tc>
          <w:tcPr>
            <w:tcW w:w="0" w:type="auto"/>
            <w:vAlign w:val="center"/>
            <w:hideMark/>
          </w:tcPr>
          <w:p w14:paraId="432569F5" w14:textId="77777777" w:rsidR="00185B8B" w:rsidRPr="00185B8B" w:rsidRDefault="00185B8B" w:rsidP="00185B8B">
            <w:pPr>
              <w:pStyle w:val="Body"/>
              <w:jc w:val="center"/>
              <w:rPr>
                <w:rFonts w:ascii="Arial" w:hAnsi="Arial" w:cs="Arial"/>
              </w:rPr>
            </w:pPr>
            <w:r w:rsidRPr="00185B8B">
              <w:rPr>
                <w:rFonts w:ascii="Arial" w:hAnsi="Arial" w:cs="Arial"/>
              </w:rPr>
              <w:t>6.571</w:t>
            </w:r>
          </w:p>
        </w:tc>
        <w:tc>
          <w:tcPr>
            <w:tcW w:w="0" w:type="auto"/>
            <w:vAlign w:val="center"/>
            <w:hideMark/>
          </w:tcPr>
          <w:p w14:paraId="431A1148"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6BD8DB0A" w14:textId="77777777" w:rsidTr="00185B8B">
        <w:trPr>
          <w:tblCellSpacing w:w="15" w:type="dxa"/>
        </w:trPr>
        <w:tc>
          <w:tcPr>
            <w:tcW w:w="2881" w:type="dxa"/>
            <w:tcBorders>
              <w:bottom w:val="single" w:sz="4" w:space="0" w:color="auto"/>
            </w:tcBorders>
            <w:vAlign w:val="center"/>
            <w:hideMark/>
          </w:tcPr>
          <w:p w14:paraId="11617F6D" w14:textId="77777777" w:rsidR="00185B8B" w:rsidRPr="00185B8B" w:rsidRDefault="00185B8B" w:rsidP="00185B8B">
            <w:pPr>
              <w:pStyle w:val="Body"/>
              <w:rPr>
                <w:rFonts w:ascii="Arial" w:hAnsi="Arial" w:cs="Arial"/>
              </w:rPr>
            </w:pPr>
            <w:r w:rsidRPr="00185B8B">
              <w:rPr>
                <w:rFonts w:ascii="Arial" w:hAnsi="Arial" w:cs="Arial"/>
              </w:rPr>
              <w:t>Lean Management Practices → Organizational Competitiveness</w:t>
            </w:r>
          </w:p>
        </w:tc>
        <w:tc>
          <w:tcPr>
            <w:tcW w:w="779" w:type="dxa"/>
            <w:tcBorders>
              <w:bottom w:val="single" w:sz="4" w:space="0" w:color="auto"/>
            </w:tcBorders>
            <w:vAlign w:val="center"/>
            <w:hideMark/>
          </w:tcPr>
          <w:p w14:paraId="6462281A" w14:textId="77777777" w:rsidR="00185B8B" w:rsidRPr="00185B8B" w:rsidRDefault="00185B8B" w:rsidP="00185B8B">
            <w:pPr>
              <w:pStyle w:val="Body"/>
              <w:jc w:val="center"/>
              <w:rPr>
                <w:rFonts w:ascii="Arial" w:hAnsi="Arial" w:cs="Arial"/>
              </w:rPr>
            </w:pPr>
            <w:r w:rsidRPr="00185B8B">
              <w:rPr>
                <w:rFonts w:ascii="Arial" w:hAnsi="Arial" w:cs="Arial"/>
              </w:rPr>
              <w:t>Total</w:t>
            </w:r>
          </w:p>
        </w:tc>
        <w:tc>
          <w:tcPr>
            <w:tcW w:w="0" w:type="auto"/>
            <w:tcBorders>
              <w:bottom w:val="single" w:sz="4" w:space="0" w:color="auto"/>
            </w:tcBorders>
            <w:vAlign w:val="center"/>
            <w:hideMark/>
          </w:tcPr>
          <w:p w14:paraId="24A94D6E" w14:textId="77777777" w:rsidR="00185B8B" w:rsidRPr="00185B8B" w:rsidRDefault="00185B8B" w:rsidP="00185B8B">
            <w:pPr>
              <w:pStyle w:val="Body"/>
              <w:jc w:val="center"/>
              <w:rPr>
                <w:rFonts w:ascii="Arial" w:hAnsi="Arial" w:cs="Arial"/>
              </w:rPr>
            </w:pPr>
            <w:r w:rsidRPr="00185B8B">
              <w:rPr>
                <w:rFonts w:ascii="Arial" w:hAnsi="Arial" w:cs="Arial"/>
              </w:rPr>
              <w:t>0.561</w:t>
            </w:r>
          </w:p>
        </w:tc>
        <w:tc>
          <w:tcPr>
            <w:tcW w:w="0" w:type="auto"/>
            <w:tcBorders>
              <w:bottom w:val="single" w:sz="4" w:space="0" w:color="auto"/>
            </w:tcBorders>
            <w:vAlign w:val="center"/>
            <w:hideMark/>
          </w:tcPr>
          <w:p w14:paraId="0E0C4297" w14:textId="77777777" w:rsidR="00185B8B" w:rsidRPr="00185B8B" w:rsidRDefault="00185B8B" w:rsidP="00185B8B">
            <w:pPr>
              <w:pStyle w:val="Body"/>
              <w:jc w:val="center"/>
              <w:rPr>
                <w:rFonts w:ascii="Arial" w:hAnsi="Arial" w:cs="Arial"/>
              </w:rPr>
            </w:pPr>
            <w:r w:rsidRPr="00185B8B">
              <w:rPr>
                <w:rFonts w:ascii="Arial" w:hAnsi="Arial" w:cs="Arial"/>
              </w:rPr>
              <w:t>0.057</w:t>
            </w:r>
          </w:p>
        </w:tc>
        <w:tc>
          <w:tcPr>
            <w:tcW w:w="0" w:type="auto"/>
            <w:tcBorders>
              <w:bottom w:val="single" w:sz="4" w:space="0" w:color="auto"/>
            </w:tcBorders>
            <w:vAlign w:val="center"/>
            <w:hideMark/>
          </w:tcPr>
          <w:p w14:paraId="0763553A" w14:textId="77777777" w:rsidR="00185B8B" w:rsidRPr="00185B8B" w:rsidRDefault="00185B8B" w:rsidP="00185B8B">
            <w:pPr>
              <w:pStyle w:val="Body"/>
              <w:jc w:val="center"/>
              <w:rPr>
                <w:rFonts w:ascii="Arial" w:hAnsi="Arial" w:cs="Arial"/>
              </w:rPr>
            </w:pPr>
            <w:r w:rsidRPr="00185B8B">
              <w:rPr>
                <w:rFonts w:ascii="Arial" w:hAnsi="Arial" w:cs="Arial"/>
              </w:rPr>
              <w:t>9.872</w:t>
            </w:r>
          </w:p>
        </w:tc>
        <w:tc>
          <w:tcPr>
            <w:tcW w:w="0" w:type="auto"/>
            <w:tcBorders>
              <w:bottom w:val="single" w:sz="4" w:space="0" w:color="auto"/>
            </w:tcBorders>
            <w:vAlign w:val="center"/>
            <w:hideMark/>
          </w:tcPr>
          <w:p w14:paraId="4BCBFDEA" w14:textId="77777777" w:rsidR="00185B8B" w:rsidRPr="00185B8B" w:rsidRDefault="00185B8B" w:rsidP="00185B8B">
            <w:pPr>
              <w:pStyle w:val="Body"/>
              <w:rPr>
                <w:rFonts w:ascii="Arial" w:hAnsi="Arial" w:cs="Arial"/>
              </w:rPr>
            </w:pPr>
            <w:r w:rsidRPr="00185B8B">
              <w:rPr>
                <w:rFonts w:ascii="Arial" w:hAnsi="Arial" w:cs="Arial"/>
              </w:rPr>
              <w:t>—</w:t>
            </w:r>
          </w:p>
        </w:tc>
      </w:tr>
    </w:tbl>
    <w:p w14:paraId="1E36030D" w14:textId="77777777" w:rsidR="00185B8B" w:rsidRPr="00185B8B" w:rsidRDefault="00185B8B" w:rsidP="00185B8B">
      <w:pPr>
        <w:pStyle w:val="Body"/>
        <w:rPr>
          <w:rFonts w:ascii="Arial" w:hAnsi="Arial" w:cs="Arial"/>
          <w:b/>
          <w:bCs/>
          <w:sz w:val="22"/>
          <w:szCs w:val="22"/>
        </w:rPr>
      </w:pPr>
    </w:p>
    <w:p w14:paraId="2DA75182" w14:textId="5026E61D" w:rsidR="00185B8B" w:rsidRPr="00EB7EF5" w:rsidRDefault="00185B8B" w:rsidP="00B370E4">
      <w:pPr>
        <w:pStyle w:val="Body"/>
        <w:rPr>
          <w:rFonts w:ascii="Arial" w:hAnsi="Arial" w:cs="Arial"/>
        </w:rPr>
      </w:pPr>
      <w:r w:rsidRPr="00EB7EF5">
        <w:rPr>
          <w:rFonts w:ascii="Arial" w:hAnsi="Arial" w:cs="Arial"/>
        </w:rPr>
        <w:lastRenderedPageBreak/>
        <w:t>Overall, the bootstrapping results provide robust empirical support for all proposed hypotheses. The findings confirm that lean management practices significantly improve operational performance, which in turn strengthens organizational competitiveness among SMEs. While lean management also exerts a direct influence on competitiveness, the results highlight that its primary strategic impact operates through operational performance improvements.</w:t>
      </w:r>
    </w:p>
    <w:p w14:paraId="4610567F" w14:textId="77777777" w:rsidR="00EB7EF5" w:rsidRPr="00EB7EF5" w:rsidRDefault="00EB7EF5" w:rsidP="00EB7EF5">
      <w:pPr>
        <w:pStyle w:val="Body"/>
        <w:rPr>
          <w:rFonts w:ascii="Arial" w:hAnsi="Arial" w:cs="Arial"/>
        </w:rPr>
      </w:pPr>
      <w:r w:rsidRPr="00EB7EF5">
        <w:rPr>
          <w:rFonts w:ascii="Arial" w:hAnsi="Arial" w:cs="Arial"/>
        </w:rPr>
        <w:t>The results provide strong empirical support for the proposition that lean management practices enhance organizational competitiveness primarily through improvements in operational performance. The significant positive effect of lean management practices on operational performance reinforces the core logic of lean theory, which emphasizes waste elimination, process standardization, and continuous improvement as mechanisms for improving efficiency and quality (Womack &amp; Jones, 1996; Ohno, 1988).</w:t>
      </w:r>
    </w:p>
    <w:p w14:paraId="7BD330E8" w14:textId="77777777" w:rsidR="00EB7EF5" w:rsidRPr="00EB7EF5" w:rsidRDefault="00EB7EF5" w:rsidP="00EB7EF5">
      <w:pPr>
        <w:pStyle w:val="Body"/>
        <w:rPr>
          <w:rFonts w:ascii="Arial" w:hAnsi="Arial" w:cs="Arial"/>
        </w:rPr>
      </w:pPr>
      <w:r w:rsidRPr="00EB7EF5">
        <w:rPr>
          <w:rFonts w:ascii="Arial" w:hAnsi="Arial" w:cs="Arial"/>
        </w:rPr>
        <w:t>This finding is consistent with prior empirical studies demonstrating that lean systems, when implemented as coherent bundles of practices, lead to superior operational outcomes, including cost reduction, quality improvement, and delivery reliability (Cua et al., 2001; Shah &amp; Ward, 2007; Fullerton et al., 2014). In the context of SMEs in Bandung, the results suggest that even informal and incremental adoption of lean principles can yield meaningful operational benefits. This aligns with earlier findings that lean practices can be effectively adapted to small-firm environments despite resource constraints (</w:t>
      </w:r>
      <w:proofErr w:type="spellStart"/>
      <w:r w:rsidRPr="00EB7EF5">
        <w:rPr>
          <w:rFonts w:ascii="Arial" w:hAnsi="Arial" w:cs="Arial"/>
        </w:rPr>
        <w:t>Achanga</w:t>
      </w:r>
      <w:proofErr w:type="spellEnd"/>
      <w:r w:rsidRPr="00EB7EF5">
        <w:rPr>
          <w:rFonts w:ascii="Arial" w:hAnsi="Arial" w:cs="Arial"/>
        </w:rPr>
        <w:t xml:space="preserve"> et al., 2006; </w:t>
      </w:r>
      <w:proofErr w:type="spellStart"/>
      <w:r w:rsidRPr="00EB7EF5">
        <w:rPr>
          <w:rFonts w:ascii="Arial" w:hAnsi="Arial" w:cs="Arial"/>
        </w:rPr>
        <w:t>Bhamu</w:t>
      </w:r>
      <w:proofErr w:type="spellEnd"/>
      <w:r w:rsidRPr="00EB7EF5">
        <w:rPr>
          <w:rFonts w:ascii="Arial" w:hAnsi="Arial" w:cs="Arial"/>
        </w:rPr>
        <w:t xml:space="preserve"> &amp; </w:t>
      </w:r>
      <w:proofErr w:type="spellStart"/>
      <w:r w:rsidRPr="00EB7EF5">
        <w:rPr>
          <w:rFonts w:ascii="Arial" w:hAnsi="Arial" w:cs="Arial"/>
        </w:rPr>
        <w:t>Sangwan</w:t>
      </w:r>
      <w:proofErr w:type="spellEnd"/>
      <w:r w:rsidRPr="00EB7EF5">
        <w:rPr>
          <w:rFonts w:ascii="Arial" w:hAnsi="Arial" w:cs="Arial"/>
        </w:rPr>
        <w:t>, 2014).</w:t>
      </w:r>
    </w:p>
    <w:p w14:paraId="70082E43" w14:textId="77777777" w:rsidR="00EB7EF5" w:rsidRPr="00EB7EF5" w:rsidRDefault="00EB7EF5" w:rsidP="00EB7EF5">
      <w:pPr>
        <w:pStyle w:val="Body"/>
        <w:rPr>
          <w:rFonts w:ascii="Arial" w:hAnsi="Arial" w:cs="Arial"/>
        </w:rPr>
      </w:pPr>
      <w:r w:rsidRPr="00EB7EF5">
        <w:rPr>
          <w:rFonts w:ascii="Arial" w:hAnsi="Arial" w:cs="Arial"/>
        </w:rPr>
        <w:t>The results further indicate that operational performance has a significant positive effect on organizational competitiveness, supporting long-standing arguments in operations strategy that competitive advantage is rooted in superior operational capabilities (Skinner, 1969; Hayes &amp; Wheelwright, 1984). Empirical research has consistently shown that firms with strong operational performance are better able to respond to customer needs, manage costs, and sustain competitive positions in dynamic markets (Rosenzweig et al., 2003; Flynn et al., 2010). For SMEs, which often lack scale economies, operational excellence becomes a critical pathway to competitiveness.</w:t>
      </w:r>
    </w:p>
    <w:p w14:paraId="7DBFC05E" w14:textId="71F987A7" w:rsidR="00EB7EF5" w:rsidRDefault="00EB7EF5" w:rsidP="00B370E4">
      <w:pPr>
        <w:pStyle w:val="Body"/>
        <w:rPr>
          <w:rFonts w:ascii="Arial" w:hAnsi="Arial" w:cs="Arial"/>
        </w:rPr>
      </w:pPr>
      <w:r w:rsidRPr="00EB7EF5">
        <w:rPr>
          <w:rFonts w:ascii="Arial" w:hAnsi="Arial" w:cs="Arial"/>
        </w:rPr>
        <w:t>Importantly, the mediation analysis reveals that operational performance partially mediates the relationship between lean management practices and organizational competitiveness. This finding helps reconcile mixed evidence in the literature regarding the direct impact of lean management on competitive outcomes. While some studies report a direct relationship, others suggest that lean practices do not automatically lead to competitiveness unless operational improvements are realized (</w:t>
      </w:r>
      <w:proofErr w:type="spellStart"/>
      <w:r w:rsidRPr="00EB7EF5">
        <w:rPr>
          <w:rFonts w:ascii="Arial" w:hAnsi="Arial" w:cs="Arial"/>
        </w:rPr>
        <w:t>Ketokivi</w:t>
      </w:r>
      <w:proofErr w:type="spellEnd"/>
      <w:r w:rsidRPr="00EB7EF5">
        <w:rPr>
          <w:rFonts w:ascii="Arial" w:hAnsi="Arial" w:cs="Arial"/>
        </w:rPr>
        <w:t xml:space="preserve"> &amp; Schroeder, 2004; Fullerton &amp; Wempe, 2009). The present findings indicate that lean management creates competitive benefits primarily by strengthening operational performance, rather than through symbolic or isolated adoption of lean practices.</w:t>
      </w:r>
    </w:p>
    <w:p w14:paraId="684C1997" w14:textId="5A6A3EA9" w:rsidR="00790ADA" w:rsidRPr="00FB3A86" w:rsidRDefault="00000F8F" w:rsidP="00EB7EF5">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53A53CF8" w14:textId="1E64A66F" w:rsidR="00EB7EF5" w:rsidRPr="00EB7EF5" w:rsidRDefault="00EB7EF5" w:rsidP="00EB7EF5">
      <w:pPr>
        <w:pStyle w:val="Body"/>
        <w:rPr>
          <w:rFonts w:ascii="Arial" w:hAnsi="Arial" w:cs="Arial"/>
        </w:rPr>
      </w:pPr>
      <w:r w:rsidRPr="00EB7EF5">
        <w:rPr>
          <w:rFonts w:ascii="Arial" w:hAnsi="Arial" w:cs="Arial"/>
        </w:rPr>
        <w:t>This study examined the role of lean management practices in enhancing organizational competitiveness, with operational performance positioned as a mediating mechanism, using data from owner–managers of SMEs in the Greater Bandung area, Indonesia. Employing a PLS-SEM approach, the study provides empirical evidence on how lean management operates as a strategic lever in resource-constrained SME contexts.</w:t>
      </w:r>
    </w:p>
    <w:p w14:paraId="585FA3C7" w14:textId="38C6801C" w:rsidR="00EB7EF5" w:rsidRPr="00EB7EF5" w:rsidRDefault="00EB7EF5" w:rsidP="00EB7EF5">
      <w:pPr>
        <w:pStyle w:val="Body"/>
        <w:rPr>
          <w:rFonts w:ascii="Arial" w:hAnsi="Arial" w:cs="Arial"/>
        </w:rPr>
      </w:pPr>
      <w:r w:rsidRPr="00EB7EF5">
        <w:rPr>
          <w:rFonts w:ascii="Arial" w:hAnsi="Arial" w:cs="Arial"/>
        </w:rPr>
        <w:t xml:space="preserve">The findings demonstrate that lean management practices have a significant positive effect on operational performance, confirming the core premise of lean theory that systematic waste reduction, process standardization, and continuous improvement lead to superior </w:t>
      </w:r>
      <w:r w:rsidRPr="00EB7EF5">
        <w:rPr>
          <w:rFonts w:ascii="Arial" w:hAnsi="Arial" w:cs="Arial"/>
        </w:rPr>
        <w:lastRenderedPageBreak/>
        <w:t>operational outcomes. Furthermore, operational performance was found to exert a strong positive influence on organizational competitiveness, underscoring the central role of operational capabilities in shaping competitive advantage, particularly for SMEs.</w:t>
      </w:r>
    </w:p>
    <w:p w14:paraId="6C17EF0B" w14:textId="16E71854" w:rsidR="00EB7EF5" w:rsidRPr="00EB7EF5" w:rsidRDefault="00EB7EF5" w:rsidP="00EB7EF5">
      <w:pPr>
        <w:pStyle w:val="Body"/>
        <w:rPr>
          <w:rFonts w:ascii="Arial" w:hAnsi="Arial" w:cs="Arial"/>
        </w:rPr>
      </w:pPr>
      <w:r w:rsidRPr="00EB7EF5">
        <w:rPr>
          <w:rFonts w:ascii="Arial" w:hAnsi="Arial" w:cs="Arial"/>
        </w:rPr>
        <w:t>Importantly, the results reveal that operational performance partially mediates the relationship between lean management practices and organizational competitiveness. This indicates that lean management does not automatically translate into competitive advantage. Rather, its strategic value materializes primarily when improvements in efficiency, quality, and delivery reliability are effectively achieved and leveraged. This finding helps reconcile mixed evidence in prior studies by highlighting the mechanism through which lean management contributes to competitive outcomes.</w:t>
      </w:r>
    </w:p>
    <w:p w14:paraId="779BC772" w14:textId="43DA832F" w:rsidR="00EB7EF5" w:rsidRPr="00EB7EF5" w:rsidRDefault="00EB7EF5" w:rsidP="00EB7EF5">
      <w:pPr>
        <w:pStyle w:val="Body"/>
        <w:rPr>
          <w:rFonts w:ascii="Arial" w:hAnsi="Arial" w:cs="Arial"/>
        </w:rPr>
      </w:pPr>
      <w:r w:rsidRPr="00EB7EF5">
        <w:rPr>
          <w:rFonts w:ascii="Arial" w:hAnsi="Arial" w:cs="Arial"/>
        </w:rPr>
        <w:t>From a theoretical perspective, this study contributes to the lean management and operations strategy literature by empirically validating a mechanism-based explanation linking lean practices to competitiveness through operational performance. The findings support a resource-based view of lean management, in which management practices enhance competitiveness by strengthening internal capabilities rather than serving as direct sources of advantage.</w:t>
      </w:r>
    </w:p>
    <w:p w14:paraId="4FB2676C" w14:textId="518490C4" w:rsidR="00EB7EF5" w:rsidRPr="00EB7EF5" w:rsidRDefault="00EB7EF5" w:rsidP="00EB7EF5">
      <w:pPr>
        <w:pStyle w:val="Body"/>
        <w:rPr>
          <w:rFonts w:ascii="Arial" w:hAnsi="Arial" w:cs="Arial"/>
        </w:rPr>
      </w:pPr>
      <w:r w:rsidRPr="00EB7EF5">
        <w:rPr>
          <w:rFonts w:ascii="Arial" w:hAnsi="Arial" w:cs="Arial"/>
        </w:rPr>
        <w:t>From a practical standpoint, the study suggests that SME owner–managers should view lean management as a long-term strategic system, not merely as a set of technical tools. Emphasis should be placed on consistent implementation of core lean principles and on translating operational improvements into market-relevant advantages. For policymakers, the results imply that SME support programs should prioritize capability development and continuous improvement mindsets over standardized or certification-driven lean initiatives.</w:t>
      </w:r>
    </w:p>
    <w:p w14:paraId="6651EB99" w14:textId="2C004307" w:rsidR="00EB7EF5" w:rsidRPr="00EB7EF5" w:rsidRDefault="00EB7EF5" w:rsidP="00EB7EF5">
      <w:pPr>
        <w:pStyle w:val="Body"/>
        <w:rPr>
          <w:rFonts w:ascii="Arial" w:hAnsi="Arial" w:cs="Arial"/>
        </w:rPr>
      </w:pPr>
      <w:r w:rsidRPr="00EB7EF5">
        <w:rPr>
          <w:rFonts w:ascii="Arial" w:hAnsi="Arial" w:cs="Arial"/>
        </w:rPr>
        <w:t>Several limitations should be acknowledged. The cross-sectional design limits the ability to capture dynamic effects of lean implementation over time, and the reliance on self-reported data from single respondents may introduce perceptual bias. In addition, the focus on SMEs in one geographic region may constrain the generalizability of the findings.</w:t>
      </w:r>
    </w:p>
    <w:p w14:paraId="6F708CA2" w14:textId="2F94A182" w:rsidR="00EB7EF5" w:rsidRPr="00EB7EF5" w:rsidRDefault="00EB7EF5" w:rsidP="00EB7EF5">
      <w:pPr>
        <w:pStyle w:val="Body"/>
        <w:rPr>
          <w:rFonts w:ascii="Arial" w:hAnsi="Arial" w:cs="Arial"/>
        </w:rPr>
      </w:pPr>
      <w:r w:rsidRPr="00EB7EF5">
        <w:rPr>
          <w:rFonts w:ascii="Arial" w:hAnsi="Arial" w:cs="Arial"/>
        </w:rPr>
        <w:t>Future research could extend this study by employing longitudinal designs, incorporating objective performance indicators, or examining moderating factors such as firm size, industry type, or digital capability. Comparative studies across regions or countries would also enhance understanding of how contextual conditions shape the effectiveness of lean management in SMEs.</w:t>
      </w:r>
    </w:p>
    <w:p w14:paraId="7788ECBC" w14:textId="4BD010C5" w:rsidR="00790ADA" w:rsidRDefault="00EB7EF5" w:rsidP="00EB7EF5">
      <w:pPr>
        <w:pStyle w:val="Body"/>
        <w:spacing w:after="0"/>
        <w:rPr>
          <w:rFonts w:ascii="Arial" w:hAnsi="Arial" w:cs="Arial"/>
        </w:rPr>
      </w:pPr>
      <w:r w:rsidRPr="00EB7EF5">
        <w:rPr>
          <w:rFonts w:ascii="Arial" w:hAnsi="Arial" w:cs="Arial"/>
        </w:rPr>
        <w:t>Overall, this study concludes that lean management remains a relevant and effective strategic approach for SMEs, provided that it is implemented in a coherent and performance-oriented manner that strengthens operational capabilities and supports sustained competitiveness.</w:t>
      </w:r>
    </w:p>
    <w:p w14:paraId="78C7CBB9" w14:textId="77777777" w:rsidR="00EB7EF5" w:rsidRPr="00FB3A86" w:rsidRDefault="00EB7EF5" w:rsidP="00EB7EF5">
      <w:pPr>
        <w:pStyle w:val="Body"/>
        <w:spacing w:after="0"/>
        <w:rPr>
          <w:rFonts w:ascii="Arial" w:hAnsi="Arial" w:cs="Arial"/>
        </w:rPr>
      </w:pPr>
    </w:p>
    <w:p w14:paraId="02755C29" w14:textId="77777777" w:rsidR="00315186" w:rsidRPr="00315186" w:rsidRDefault="00315186" w:rsidP="00441B6F"/>
    <w:p w14:paraId="153851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8C9230" w14:textId="77777777" w:rsidR="00790ADA" w:rsidRPr="00FB3A86" w:rsidRDefault="00790ADA" w:rsidP="00441B6F">
      <w:pPr>
        <w:pStyle w:val="ReferHead"/>
        <w:spacing w:after="0"/>
        <w:jc w:val="both"/>
        <w:rPr>
          <w:rFonts w:ascii="Arial" w:hAnsi="Arial" w:cs="Arial"/>
        </w:rPr>
      </w:pPr>
    </w:p>
    <w:p w14:paraId="22363938" w14:textId="77777777" w:rsidR="00EB7EF5" w:rsidRPr="00EB7EF5" w:rsidRDefault="00EB7EF5" w:rsidP="00EB7EF5">
      <w:pPr>
        <w:pStyle w:val="Body"/>
        <w:rPr>
          <w:rFonts w:ascii="Arial" w:hAnsi="Arial" w:cs="Arial"/>
        </w:rPr>
      </w:pPr>
      <w:proofErr w:type="spellStart"/>
      <w:r w:rsidRPr="00EB7EF5">
        <w:rPr>
          <w:rFonts w:ascii="Arial" w:hAnsi="Arial" w:cs="Arial"/>
        </w:rPr>
        <w:t>Achanga</w:t>
      </w:r>
      <w:proofErr w:type="spellEnd"/>
      <w:r w:rsidRPr="00EB7EF5">
        <w:rPr>
          <w:rFonts w:ascii="Arial" w:hAnsi="Arial" w:cs="Arial"/>
        </w:rPr>
        <w:t xml:space="preserve">, P., Shehab, E., Roy, R., &amp; Nelder, G. (2006). Critical success factors for lean implementation within SMEs. </w:t>
      </w:r>
      <w:r w:rsidRPr="00EB7EF5">
        <w:rPr>
          <w:rFonts w:ascii="Arial" w:hAnsi="Arial" w:cs="Arial"/>
          <w:i/>
          <w:iCs/>
        </w:rPr>
        <w:t>Journal of Manufacturing Technology Management, 17</w:t>
      </w:r>
      <w:r w:rsidRPr="00EB7EF5">
        <w:rPr>
          <w:rFonts w:ascii="Arial" w:hAnsi="Arial" w:cs="Arial"/>
        </w:rPr>
        <w:t>(4), 460–471. https://doi.org/10.1108/17410380610662889</w:t>
      </w:r>
    </w:p>
    <w:p w14:paraId="153DE8C5" w14:textId="77777777" w:rsidR="00EB7EF5" w:rsidRPr="00EB7EF5" w:rsidRDefault="00EB7EF5" w:rsidP="00EB7EF5">
      <w:pPr>
        <w:pStyle w:val="Body"/>
        <w:rPr>
          <w:rFonts w:ascii="Arial" w:hAnsi="Arial" w:cs="Arial"/>
        </w:rPr>
      </w:pPr>
      <w:r w:rsidRPr="00EB7EF5">
        <w:rPr>
          <w:rFonts w:ascii="Arial" w:hAnsi="Arial" w:cs="Arial"/>
        </w:rPr>
        <w:t xml:space="preserve">Barney, J. (1991). Firm resources and sustained competitive advantage. </w:t>
      </w:r>
      <w:r w:rsidRPr="00EB7EF5">
        <w:rPr>
          <w:rFonts w:ascii="Arial" w:hAnsi="Arial" w:cs="Arial"/>
          <w:i/>
          <w:iCs/>
        </w:rPr>
        <w:t>Journal of Management, 17</w:t>
      </w:r>
      <w:r w:rsidRPr="00EB7EF5">
        <w:rPr>
          <w:rFonts w:ascii="Arial" w:hAnsi="Arial" w:cs="Arial"/>
        </w:rPr>
        <w:t xml:space="preserve">(1), 99–120. </w:t>
      </w:r>
      <w:hyperlink r:id="rId15" w:tgtFrame="_new" w:history="1">
        <w:r w:rsidRPr="00EB7EF5">
          <w:rPr>
            <w:rStyle w:val="Hyperlink"/>
            <w:rFonts w:ascii="Arial" w:hAnsi="Arial" w:cs="Arial"/>
          </w:rPr>
          <w:t>https://doi.org/10.1177/014920639101700108</w:t>
        </w:r>
      </w:hyperlink>
    </w:p>
    <w:p w14:paraId="031795BA" w14:textId="77777777" w:rsidR="00EB7EF5" w:rsidRPr="00EB7EF5" w:rsidRDefault="00EB7EF5" w:rsidP="00EB7EF5">
      <w:pPr>
        <w:pStyle w:val="Body"/>
        <w:rPr>
          <w:rFonts w:ascii="Arial" w:hAnsi="Arial" w:cs="Arial"/>
        </w:rPr>
      </w:pPr>
      <w:r w:rsidRPr="00EB7EF5">
        <w:rPr>
          <w:rFonts w:ascii="Arial" w:hAnsi="Arial" w:cs="Arial"/>
        </w:rPr>
        <w:lastRenderedPageBreak/>
        <w:t xml:space="preserve">Bhamu, J., &amp; Sangwan, K. S. (2014). Lean manufacturing: Literature review and research issues. </w:t>
      </w:r>
      <w:r w:rsidRPr="00EB7EF5">
        <w:rPr>
          <w:rFonts w:ascii="Arial" w:hAnsi="Arial" w:cs="Arial"/>
          <w:i/>
          <w:iCs/>
        </w:rPr>
        <w:t>International Journal of Operations &amp; Production Management, 34</w:t>
      </w:r>
      <w:r w:rsidRPr="00EB7EF5">
        <w:rPr>
          <w:rFonts w:ascii="Arial" w:hAnsi="Arial" w:cs="Arial"/>
        </w:rPr>
        <w:t>(7), 876–940. https://doi.org/10.1108/IJOPM-08-2012-0315</w:t>
      </w:r>
    </w:p>
    <w:p w14:paraId="3AD7B0FA" w14:textId="77777777" w:rsidR="00EB7EF5" w:rsidRPr="00EB7EF5" w:rsidRDefault="00EB7EF5" w:rsidP="00EB7EF5">
      <w:pPr>
        <w:pStyle w:val="Body"/>
        <w:rPr>
          <w:rFonts w:ascii="Arial" w:hAnsi="Arial" w:cs="Arial"/>
        </w:rPr>
      </w:pPr>
      <w:r w:rsidRPr="00EB7EF5">
        <w:rPr>
          <w:rFonts w:ascii="Arial" w:hAnsi="Arial" w:cs="Arial"/>
        </w:rPr>
        <w:t xml:space="preserve">Cua, K. O., McKone, K. E., &amp; Schroeder, R. G. (2001). Relationships between implementation of TQM, JIT, and TPM and manufacturing performance. </w:t>
      </w:r>
      <w:r w:rsidRPr="00EB7EF5">
        <w:rPr>
          <w:rFonts w:ascii="Arial" w:hAnsi="Arial" w:cs="Arial"/>
          <w:i/>
          <w:iCs/>
        </w:rPr>
        <w:t>Journal of Operations Management, 19</w:t>
      </w:r>
      <w:r w:rsidRPr="00EB7EF5">
        <w:rPr>
          <w:rFonts w:ascii="Arial" w:hAnsi="Arial" w:cs="Arial"/>
        </w:rPr>
        <w:t>(6), 675–694. https://doi.org/10.1016/S0272-6963(01)00066-3</w:t>
      </w:r>
    </w:p>
    <w:p w14:paraId="7FAD2755" w14:textId="77777777" w:rsidR="00EB7EF5" w:rsidRPr="00EB7EF5" w:rsidRDefault="00EB7EF5" w:rsidP="00EB7EF5">
      <w:pPr>
        <w:pStyle w:val="Body"/>
        <w:rPr>
          <w:rFonts w:ascii="Arial" w:hAnsi="Arial" w:cs="Arial"/>
        </w:rPr>
      </w:pPr>
      <w:r w:rsidRPr="00EB7EF5">
        <w:rPr>
          <w:rFonts w:ascii="Arial" w:hAnsi="Arial" w:cs="Arial"/>
        </w:rPr>
        <w:t xml:space="preserve">Flynn, B. B., Huo, B., &amp; Zhao, X. (2010). The impact of supply chain integration on performance: A contingency and configuration approach. </w:t>
      </w:r>
      <w:r w:rsidRPr="00EB7EF5">
        <w:rPr>
          <w:rFonts w:ascii="Arial" w:hAnsi="Arial" w:cs="Arial"/>
          <w:i/>
          <w:iCs/>
        </w:rPr>
        <w:t>Journal of Operations Management, 28</w:t>
      </w:r>
      <w:r w:rsidRPr="00EB7EF5">
        <w:rPr>
          <w:rFonts w:ascii="Arial" w:hAnsi="Arial" w:cs="Arial"/>
        </w:rPr>
        <w:t xml:space="preserve">(1), 58–71. </w:t>
      </w:r>
      <w:hyperlink r:id="rId16" w:tgtFrame="_new" w:history="1">
        <w:r w:rsidRPr="00EB7EF5">
          <w:rPr>
            <w:rStyle w:val="Hyperlink"/>
            <w:rFonts w:ascii="Arial" w:hAnsi="Arial" w:cs="Arial"/>
          </w:rPr>
          <w:t>https://doi.org/10.1016/j.jom.2009.06.001</w:t>
        </w:r>
      </w:hyperlink>
    </w:p>
    <w:p w14:paraId="30CAE7C8" w14:textId="77777777" w:rsidR="00EB7EF5" w:rsidRPr="00EB7EF5" w:rsidRDefault="00EB7EF5" w:rsidP="00EB7EF5">
      <w:pPr>
        <w:pStyle w:val="Body"/>
        <w:rPr>
          <w:rFonts w:ascii="Arial" w:hAnsi="Arial" w:cs="Arial"/>
        </w:rPr>
      </w:pPr>
      <w:r w:rsidRPr="00EB7EF5">
        <w:rPr>
          <w:rFonts w:ascii="Arial" w:hAnsi="Arial" w:cs="Arial"/>
        </w:rPr>
        <w:t xml:space="preserve">Flynn, B. B., Schroeder, R. G., &amp; Sakakibara, S. (1994). A framework for quality management research and an associated measurement instrument. </w:t>
      </w:r>
      <w:r w:rsidRPr="00EB7EF5">
        <w:rPr>
          <w:rFonts w:ascii="Arial" w:hAnsi="Arial" w:cs="Arial"/>
          <w:i/>
          <w:iCs/>
        </w:rPr>
        <w:t>Journal of Operations Management, 11</w:t>
      </w:r>
      <w:r w:rsidRPr="00EB7EF5">
        <w:rPr>
          <w:rFonts w:ascii="Arial" w:hAnsi="Arial" w:cs="Arial"/>
        </w:rPr>
        <w:t>(4), 339–366. https://doi.org/10.1016/S0272-6963(97)90004-8</w:t>
      </w:r>
    </w:p>
    <w:p w14:paraId="732ABFE4" w14:textId="77777777" w:rsidR="00EB7EF5" w:rsidRPr="00EB7EF5" w:rsidRDefault="00EB7EF5" w:rsidP="00EB7EF5">
      <w:pPr>
        <w:pStyle w:val="Body"/>
        <w:rPr>
          <w:rFonts w:ascii="Arial" w:hAnsi="Arial" w:cs="Arial"/>
        </w:rPr>
      </w:pPr>
      <w:r w:rsidRPr="00EB7EF5">
        <w:rPr>
          <w:rFonts w:ascii="Arial" w:hAnsi="Arial" w:cs="Arial"/>
        </w:rPr>
        <w:t xml:space="preserve">Fullerton, R. R., Kennedy, F. A., &amp; Widener, S. K. (2014). Lean manufacturing and firm performance: The incremental contribution of lean management accounting practices. </w:t>
      </w:r>
      <w:r w:rsidRPr="00EB7EF5">
        <w:rPr>
          <w:rFonts w:ascii="Arial" w:hAnsi="Arial" w:cs="Arial"/>
          <w:i/>
          <w:iCs/>
        </w:rPr>
        <w:t>Journal of Operations Management, 32</w:t>
      </w:r>
      <w:r w:rsidRPr="00EB7EF5">
        <w:rPr>
          <w:rFonts w:ascii="Arial" w:hAnsi="Arial" w:cs="Arial"/>
        </w:rPr>
        <w:t>(7–8), 414–428. https://doi.org/10.1016/j.jom.2014.09.002</w:t>
      </w:r>
    </w:p>
    <w:p w14:paraId="4A107EAB" w14:textId="77777777" w:rsidR="00EB7EF5" w:rsidRPr="00EB7EF5" w:rsidRDefault="00EB7EF5" w:rsidP="00EB7EF5">
      <w:pPr>
        <w:pStyle w:val="Body"/>
        <w:rPr>
          <w:rFonts w:ascii="Arial" w:hAnsi="Arial" w:cs="Arial"/>
        </w:rPr>
      </w:pPr>
      <w:r w:rsidRPr="00EB7EF5">
        <w:rPr>
          <w:rFonts w:ascii="Arial" w:hAnsi="Arial" w:cs="Arial"/>
        </w:rPr>
        <w:t xml:space="preserve">Fullerton, R. R., &amp; Wempe, W. F. (2009). Lean manufacturing, non-financial performance measures, and financial performance. </w:t>
      </w:r>
      <w:r w:rsidRPr="00EB7EF5">
        <w:rPr>
          <w:rFonts w:ascii="Arial" w:hAnsi="Arial" w:cs="Arial"/>
          <w:i/>
          <w:iCs/>
        </w:rPr>
        <w:t>Accounting, Organizations and Society, 34</w:t>
      </w:r>
      <w:r w:rsidRPr="00EB7EF5">
        <w:rPr>
          <w:rFonts w:ascii="Arial" w:hAnsi="Arial" w:cs="Arial"/>
        </w:rPr>
        <w:t>(2), 214–240. https://doi.org/10.1016/j.aos.2008.09.002</w:t>
      </w:r>
    </w:p>
    <w:p w14:paraId="75D8553D" w14:textId="77777777" w:rsidR="00EB7EF5" w:rsidRPr="00EB7EF5" w:rsidRDefault="00EB7EF5" w:rsidP="00EB7EF5">
      <w:pPr>
        <w:pStyle w:val="Body"/>
        <w:rPr>
          <w:rFonts w:ascii="Arial" w:hAnsi="Arial" w:cs="Arial"/>
        </w:rPr>
      </w:pPr>
      <w:r w:rsidRPr="00EB7EF5">
        <w:rPr>
          <w:rFonts w:ascii="Arial" w:hAnsi="Arial" w:cs="Arial"/>
        </w:rPr>
        <w:t xml:space="preserve">Hair, J. F., Hult, G. T. M., Ringle, C. M., &amp; Sarstedt, M. (2019). </w:t>
      </w:r>
      <w:r w:rsidRPr="00EB7EF5">
        <w:rPr>
          <w:rFonts w:ascii="Arial" w:hAnsi="Arial" w:cs="Arial"/>
          <w:i/>
          <w:iCs/>
        </w:rPr>
        <w:t>A primer on partial least squares structural equation modeling (PLS-SEM)</w:t>
      </w:r>
      <w:r w:rsidRPr="00EB7EF5">
        <w:rPr>
          <w:rFonts w:ascii="Arial" w:hAnsi="Arial" w:cs="Arial"/>
        </w:rPr>
        <w:t xml:space="preserve"> (2nd ed.). Sage Publications.</w:t>
      </w:r>
    </w:p>
    <w:p w14:paraId="074AED50" w14:textId="77777777" w:rsidR="00EB7EF5" w:rsidRPr="00EB7EF5" w:rsidRDefault="00EB7EF5" w:rsidP="00EB7EF5">
      <w:pPr>
        <w:pStyle w:val="Body"/>
        <w:rPr>
          <w:rFonts w:ascii="Arial" w:hAnsi="Arial" w:cs="Arial"/>
        </w:rPr>
      </w:pPr>
      <w:r w:rsidRPr="00EB7EF5">
        <w:rPr>
          <w:rFonts w:ascii="Arial" w:hAnsi="Arial" w:cs="Arial"/>
        </w:rPr>
        <w:t xml:space="preserve">Hayes, R. H., &amp; Pisano, G. P. (1996). Manufacturing strategy: At the intersection of two paradigm shifts. </w:t>
      </w:r>
      <w:r w:rsidRPr="00EB7EF5">
        <w:rPr>
          <w:rFonts w:ascii="Arial" w:hAnsi="Arial" w:cs="Arial"/>
          <w:i/>
          <w:iCs/>
        </w:rPr>
        <w:t>Production and Operations Management, 5</w:t>
      </w:r>
      <w:r w:rsidRPr="00EB7EF5">
        <w:rPr>
          <w:rFonts w:ascii="Arial" w:hAnsi="Arial" w:cs="Arial"/>
        </w:rPr>
        <w:t>(1), 25–41. https://doi.org/10.1111/j.1937-5956.1996.tb00383.x</w:t>
      </w:r>
    </w:p>
    <w:p w14:paraId="607EDC1E" w14:textId="77777777" w:rsidR="00EB7EF5" w:rsidRPr="00EB7EF5" w:rsidRDefault="00EB7EF5" w:rsidP="00EB7EF5">
      <w:pPr>
        <w:pStyle w:val="Body"/>
        <w:rPr>
          <w:rFonts w:ascii="Arial" w:hAnsi="Arial" w:cs="Arial"/>
        </w:rPr>
      </w:pPr>
      <w:r w:rsidRPr="00EB7EF5">
        <w:rPr>
          <w:rFonts w:ascii="Arial" w:hAnsi="Arial" w:cs="Arial"/>
        </w:rPr>
        <w:t xml:space="preserve">Hayes, R. H., &amp; Wheelwright, S. C. (1984). </w:t>
      </w:r>
      <w:r w:rsidRPr="00EB7EF5">
        <w:rPr>
          <w:rFonts w:ascii="Arial" w:hAnsi="Arial" w:cs="Arial"/>
          <w:i/>
          <w:iCs/>
        </w:rPr>
        <w:t>Restoring our competitive edge: Competing through manufacturing</w:t>
      </w:r>
      <w:r w:rsidRPr="00EB7EF5">
        <w:rPr>
          <w:rFonts w:ascii="Arial" w:hAnsi="Arial" w:cs="Arial"/>
        </w:rPr>
        <w:t>. John Wiley &amp; Sons.</w:t>
      </w:r>
    </w:p>
    <w:p w14:paraId="7DCF64BA" w14:textId="77777777" w:rsidR="00EB7EF5" w:rsidRPr="00EB7EF5" w:rsidRDefault="00EB7EF5" w:rsidP="00EB7EF5">
      <w:pPr>
        <w:pStyle w:val="Body"/>
        <w:rPr>
          <w:rFonts w:ascii="Arial" w:hAnsi="Arial" w:cs="Arial"/>
        </w:rPr>
      </w:pPr>
      <w:r w:rsidRPr="00EB7EF5">
        <w:rPr>
          <w:rFonts w:ascii="Arial" w:hAnsi="Arial" w:cs="Arial"/>
        </w:rPr>
        <w:t xml:space="preserve">Ketokivi, M. A., &amp; Schroeder, R. G. (2004). Strategic, structural contingency and institutional explanations in the adoption of innovative manufacturing practices. </w:t>
      </w:r>
      <w:r w:rsidRPr="00EB7EF5">
        <w:rPr>
          <w:rFonts w:ascii="Arial" w:hAnsi="Arial" w:cs="Arial"/>
          <w:i/>
          <w:iCs/>
        </w:rPr>
        <w:t>Journal of Operations Management, 22</w:t>
      </w:r>
      <w:r w:rsidRPr="00EB7EF5">
        <w:rPr>
          <w:rFonts w:ascii="Arial" w:hAnsi="Arial" w:cs="Arial"/>
        </w:rPr>
        <w:t>(1), 63–89. https://doi.org/10.1016/j.jom.2003.12.002</w:t>
      </w:r>
    </w:p>
    <w:p w14:paraId="1858411D" w14:textId="77777777" w:rsidR="00EB7EF5" w:rsidRPr="00EB7EF5" w:rsidRDefault="00EB7EF5" w:rsidP="00EB7EF5">
      <w:pPr>
        <w:pStyle w:val="Body"/>
        <w:rPr>
          <w:rFonts w:ascii="Arial" w:hAnsi="Arial" w:cs="Arial"/>
        </w:rPr>
      </w:pPr>
      <w:r w:rsidRPr="00EB7EF5">
        <w:rPr>
          <w:rFonts w:ascii="Arial" w:hAnsi="Arial" w:cs="Arial"/>
        </w:rPr>
        <w:t xml:space="preserve">Liker, J. K. (2004). </w:t>
      </w:r>
      <w:r w:rsidRPr="00EB7EF5">
        <w:rPr>
          <w:rFonts w:ascii="Arial" w:hAnsi="Arial" w:cs="Arial"/>
          <w:i/>
          <w:iCs/>
        </w:rPr>
        <w:t>The Toyota way: 14 management principles from the world’s greatest manufacturer</w:t>
      </w:r>
      <w:r w:rsidRPr="00EB7EF5">
        <w:rPr>
          <w:rFonts w:ascii="Arial" w:hAnsi="Arial" w:cs="Arial"/>
        </w:rPr>
        <w:t>. McGraw-Hill.</w:t>
      </w:r>
    </w:p>
    <w:p w14:paraId="0CC6ADA9" w14:textId="77777777" w:rsidR="00EB7EF5" w:rsidRPr="00EB7EF5" w:rsidRDefault="00EB7EF5" w:rsidP="00EB7EF5">
      <w:pPr>
        <w:pStyle w:val="Body"/>
        <w:rPr>
          <w:rFonts w:ascii="Arial" w:hAnsi="Arial" w:cs="Arial"/>
        </w:rPr>
      </w:pPr>
      <w:r w:rsidRPr="00EB7EF5">
        <w:rPr>
          <w:rFonts w:ascii="Arial" w:hAnsi="Arial" w:cs="Arial"/>
        </w:rPr>
        <w:t xml:space="preserve">Ohno, T. (1988). </w:t>
      </w:r>
      <w:r w:rsidRPr="00EB7EF5">
        <w:rPr>
          <w:rFonts w:ascii="Arial" w:hAnsi="Arial" w:cs="Arial"/>
          <w:i/>
          <w:iCs/>
        </w:rPr>
        <w:t>Toyota production system: Beyond large-scale production</w:t>
      </w:r>
      <w:r w:rsidRPr="00EB7EF5">
        <w:rPr>
          <w:rFonts w:ascii="Arial" w:hAnsi="Arial" w:cs="Arial"/>
        </w:rPr>
        <w:t>. Productivity Press.</w:t>
      </w:r>
    </w:p>
    <w:p w14:paraId="3D00E1BE" w14:textId="77777777" w:rsidR="00EB7EF5" w:rsidRPr="00EB7EF5" w:rsidRDefault="00EB7EF5" w:rsidP="00EB7EF5">
      <w:pPr>
        <w:pStyle w:val="Body"/>
        <w:rPr>
          <w:rFonts w:ascii="Arial" w:hAnsi="Arial" w:cs="Arial"/>
        </w:rPr>
      </w:pPr>
      <w:r w:rsidRPr="00EB7EF5">
        <w:rPr>
          <w:rFonts w:ascii="Arial" w:hAnsi="Arial" w:cs="Arial"/>
        </w:rPr>
        <w:t xml:space="preserve">Podsakoff, P. M., </w:t>
      </w:r>
      <w:proofErr w:type="spellStart"/>
      <w:r w:rsidRPr="00EB7EF5">
        <w:rPr>
          <w:rFonts w:ascii="Arial" w:hAnsi="Arial" w:cs="Arial"/>
        </w:rPr>
        <w:t>MacKenzie</w:t>
      </w:r>
      <w:proofErr w:type="spellEnd"/>
      <w:r w:rsidRPr="00EB7EF5">
        <w:rPr>
          <w:rFonts w:ascii="Arial" w:hAnsi="Arial" w:cs="Arial"/>
        </w:rPr>
        <w:t xml:space="preserve">, S. B., Lee, J.-Y., &amp; Podsakoff, N. P. (2003). Common method biases in behavioral research: A critical review of the literature and recommended remedies. </w:t>
      </w:r>
      <w:r w:rsidRPr="00EB7EF5">
        <w:rPr>
          <w:rFonts w:ascii="Arial" w:hAnsi="Arial" w:cs="Arial"/>
          <w:i/>
          <w:iCs/>
        </w:rPr>
        <w:t>Journal of Applied Psychology, 88</w:t>
      </w:r>
      <w:r w:rsidRPr="00EB7EF5">
        <w:rPr>
          <w:rFonts w:ascii="Arial" w:hAnsi="Arial" w:cs="Arial"/>
        </w:rPr>
        <w:t xml:space="preserve">(5), 879–903. </w:t>
      </w:r>
      <w:hyperlink r:id="rId17" w:tgtFrame="_new" w:history="1">
        <w:r w:rsidRPr="00EB7EF5">
          <w:rPr>
            <w:rStyle w:val="Hyperlink"/>
            <w:rFonts w:ascii="Arial" w:hAnsi="Arial" w:cs="Arial"/>
          </w:rPr>
          <w:t>https://doi.org/10.1037/0021-9010.88.5.879</w:t>
        </w:r>
      </w:hyperlink>
    </w:p>
    <w:p w14:paraId="65E11C73" w14:textId="77777777" w:rsidR="00EB7EF5" w:rsidRPr="00EB7EF5" w:rsidRDefault="00EB7EF5" w:rsidP="00EB7EF5">
      <w:pPr>
        <w:pStyle w:val="Body"/>
        <w:rPr>
          <w:rFonts w:ascii="Arial" w:hAnsi="Arial" w:cs="Arial"/>
        </w:rPr>
      </w:pPr>
      <w:r w:rsidRPr="00EB7EF5">
        <w:rPr>
          <w:rFonts w:ascii="Arial" w:hAnsi="Arial" w:cs="Arial"/>
        </w:rPr>
        <w:t xml:space="preserve">Porter, M. E. (1985). </w:t>
      </w:r>
      <w:r w:rsidRPr="00EB7EF5">
        <w:rPr>
          <w:rFonts w:ascii="Arial" w:hAnsi="Arial" w:cs="Arial"/>
          <w:i/>
          <w:iCs/>
        </w:rPr>
        <w:t>Competitive advantage: Creating and sustaining superior performance</w:t>
      </w:r>
      <w:r w:rsidRPr="00EB7EF5">
        <w:rPr>
          <w:rFonts w:ascii="Arial" w:hAnsi="Arial" w:cs="Arial"/>
        </w:rPr>
        <w:t>. Free Press.</w:t>
      </w:r>
    </w:p>
    <w:p w14:paraId="080D4D3C" w14:textId="77777777" w:rsidR="00EB7EF5" w:rsidRPr="00EB7EF5" w:rsidRDefault="00EB7EF5" w:rsidP="00EB7EF5">
      <w:pPr>
        <w:pStyle w:val="Body"/>
        <w:rPr>
          <w:rFonts w:ascii="Arial" w:hAnsi="Arial" w:cs="Arial"/>
        </w:rPr>
      </w:pPr>
      <w:r w:rsidRPr="00EB7EF5">
        <w:rPr>
          <w:rFonts w:ascii="Arial" w:hAnsi="Arial" w:cs="Arial"/>
        </w:rPr>
        <w:lastRenderedPageBreak/>
        <w:t xml:space="preserve">Rosenzweig, E. D., Roth, A. V., &amp; Dean, J. W. (2003). The influence of an integration strategy on competitive capabilities and business performance: An exploratory study of consumer products manufacturers. </w:t>
      </w:r>
      <w:r w:rsidRPr="00EB7EF5">
        <w:rPr>
          <w:rFonts w:ascii="Arial" w:hAnsi="Arial" w:cs="Arial"/>
          <w:i/>
          <w:iCs/>
        </w:rPr>
        <w:t>Journal of Operations Management, 21</w:t>
      </w:r>
      <w:r w:rsidRPr="00EB7EF5">
        <w:rPr>
          <w:rFonts w:ascii="Arial" w:hAnsi="Arial" w:cs="Arial"/>
        </w:rPr>
        <w:t>(4), 437–456. https://doi.org/10.1016/S0272-6963(03)00037-8</w:t>
      </w:r>
    </w:p>
    <w:p w14:paraId="0158A807" w14:textId="77777777" w:rsidR="00EB7EF5" w:rsidRPr="00EB7EF5" w:rsidRDefault="00EB7EF5" w:rsidP="00EB7EF5">
      <w:pPr>
        <w:pStyle w:val="Body"/>
        <w:rPr>
          <w:rFonts w:ascii="Arial" w:hAnsi="Arial" w:cs="Arial"/>
        </w:rPr>
      </w:pPr>
      <w:r w:rsidRPr="00EB7EF5">
        <w:rPr>
          <w:rFonts w:ascii="Arial" w:hAnsi="Arial" w:cs="Arial"/>
        </w:rPr>
        <w:t xml:space="preserve">Sarstedt, M., Ringle, C. M., &amp; Hair, J. F. (2017). Partial least squares structural equation modeling. In C. Homburg, M. Klarmann, &amp; A. </w:t>
      </w:r>
      <w:proofErr w:type="spellStart"/>
      <w:r w:rsidRPr="00EB7EF5">
        <w:rPr>
          <w:rFonts w:ascii="Arial" w:hAnsi="Arial" w:cs="Arial"/>
        </w:rPr>
        <w:t>Vomberg</w:t>
      </w:r>
      <w:proofErr w:type="spellEnd"/>
      <w:r w:rsidRPr="00EB7EF5">
        <w:rPr>
          <w:rFonts w:ascii="Arial" w:hAnsi="Arial" w:cs="Arial"/>
        </w:rPr>
        <w:t xml:space="preserve"> (Eds.), </w:t>
      </w:r>
      <w:r w:rsidRPr="00EB7EF5">
        <w:rPr>
          <w:rFonts w:ascii="Arial" w:hAnsi="Arial" w:cs="Arial"/>
          <w:i/>
          <w:iCs/>
        </w:rPr>
        <w:t>Handbook of market research</w:t>
      </w:r>
      <w:r w:rsidRPr="00EB7EF5">
        <w:rPr>
          <w:rFonts w:ascii="Arial" w:hAnsi="Arial" w:cs="Arial"/>
        </w:rPr>
        <w:t xml:space="preserve"> (pp. 1–40). Springer. </w:t>
      </w:r>
      <w:hyperlink r:id="rId18" w:tgtFrame="_new" w:history="1">
        <w:r w:rsidRPr="00EB7EF5">
          <w:rPr>
            <w:rStyle w:val="Hyperlink"/>
            <w:rFonts w:ascii="Arial" w:hAnsi="Arial" w:cs="Arial"/>
          </w:rPr>
          <w:t>https://doi.org/10.1007/978-3-319-05542-8_15-1</w:t>
        </w:r>
      </w:hyperlink>
    </w:p>
    <w:p w14:paraId="4132D4FB" w14:textId="77777777" w:rsidR="00EB7EF5" w:rsidRPr="00EB7EF5" w:rsidRDefault="00EB7EF5" w:rsidP="00EB7EF5">
      <w:pPr>
        <w:pStyle w:val="Body"/>
        <w:rPr>
          <w:rFonts w:ascii="Arial" w:hAnsi="Arial" w:cs="Arial"/>
        </w:rPr>
      </w:pPr>
      <w:r w:rsidRPr="00EB7EF5">
        <w:rPr>
          <w:rFonts w:ascii="Arial" w:hAnsi="Arial" w:cs="Arial"/>
        </w:rPr>
        <w:t xml:space="preserve">Shah, R., &amp; Ward, P. T. (2003). Lean manufacturing: Context, practice bundles, and performance. </w:t>
      </w:r>
      <w:r w:rsidRPr="00EB7EF5">
        <w:rPr>
          <w:rFonts w:ascii="Arial" w:hAnsi="Arial" w:cs="Arial"/>
          <w:i/>
          <w:iCs/>
        </w:rPr>
        <w:t>Journal of Operations Management, 21</w:t>
      </w:r>
      <w:r w:rsidRPr="00EB7EF5">
        <w:rPr>
          <w:rFonts w:ascii="Arial" w:hAnsi="Arial" w:cs="Arial"/>
        </w:rPr>
        <w:t>(2), 129–149. https://doi.org/10.1016/S0272-6963(02)00108-0</w:t>
      </w:r>
    </w:p>
    <w:p w14:paraId="5621831D" w14:textId="77777777" w:rsidR="00EB7EF5" w:rsidRPr="00EB7EF5" w:rsidRDefault="00EB7EF5" w:rsidP="00EB7EF5">
      <w:pPr>
        <w:pStyle w:val="Body"/>
        <w:rPr>
          <w:rFonts w:ascii="Arial" w:hAnsi="Arial" w:cs="Arial"/>
        </w:rPr>
      </w:pPr>
      <w:r w:rsidRPr="00EB7EF5">
        <w:rPr>
          <w:rFonts w:ascii="Arial" w:hAnsi="Arial" w:cs="Arial"/>
        </w:rPr>
        <w:t xml:space="preserve">Shah, R., &amp; Ward, P. T. (2007). Defining and developing measures of lean production. </w:t>
      </w:r>
      <w:r w:rsidRPr="00EB7EF5">
        <w:rPr>
          <w:rFonts w:ascii="Arial" w:hAnsi="Arial" w:cs="Arial"/>
          <w:i/>
          <w:iCs/>
        </w:rPr>
        <w:t>Journal of Operations Management, 25</w:t>
      </w:r>
      <w:r w:rsidRPr="00EB7EF5">
        <w:rPr>
          <w:rFonts w:ascii="Arial" w:hAnsi="Arial" w:cs="Arial"/>
        </w:rPr>
        <w:t xml:space="preserve">(4), 785–805. </w:t>
      </w:r>
      <w:hyperlink r:id="rId19" w:tgtFrame="_new" w:history="1">
        <w:r w:rsidRPr="00EB7EF5">
          <w:rPr>
            <w:rStyle w:val="Hyperlink"/>
            <w:rFonts w:ascii="Arial" w:hAnsi="Arial" w:cs="Arial"/>
          </w:rPr>
          <w:t>https://doi.org/10.1016/j.jom.2007.01.019</w:t>
        </w:r>
      </w:hyperlink>
    </w:p>
    <w:p w14:paraId="5EAFE459" w14:textId="77777777" w:rsidR="00EB7EF5" w:rsidRPr="00EB7EF5" w:rsidRDefault="00EB7EF5" w:rsidP="00EB7EF5">
      <w:pPr>
        <w:pStyle w:val="Body"/>
        <w:rPr>
          <w:rFonts w:ascii="Arial" w:hAnsi="Arial" w:cs="Arial"/>
        </w:rPr>
      </w:pPr>
      <w:r w:rsidRPr="00EB7EF5">
        <w:rPr>
          <w:rFonts w:ascii="Arial" w:hAnsi="Arial" w:cs="Arial"/>
        </w:rPr>
        <w:t xml:space="preserve">Skinner, W. (1969). Manufacturing—Missing link in corporate strategy. </w:t>
      </w:r>
      <w:r w:rsidRPr="00EB7EF5">
        <w:rPr>
          <w:rFonts w:ascii="Arial" w:hAnsi="Arial" w:cs="Arial"/>
          <w:i/>
          <w:iCs/>
        </w:rPr>
        <w:t>Harvard Business Review, 47</w:t>
      </w:r>
      <w:r w:rsidRPr="00EB7EF5">
        <w:rPr>
          <w:rFonts w:ascii="Arial" w:hAnsi="Arial" w:cs="Arial"/>
        </w:rPr>
        <w:t>(3), 136–145.</w:t>
      </w:r>
    </w:p>
    <w:p w14:paraId="1CD80AFE" w14:textId="77777777" w:rsidR="00EB7EF5" w:rsidRPr="00EB7EF5" w:rsidRDefault="00EB7EF5" w:rsidP="00EB7EF5">
      <w:pPr>
        <w:pStyle w:val="Body"/>
        <w:rPr>
          <w:rFonts w:ascii="Arial" w:hAnsi="Arial" w:cs="Arial"/>
        </w:rPr>
      </w:pPr>
      <w:r w:rsidRPr="00EB7EF5">
        <w:rPr>
          <w:rFonts w:ascii="Arial" w:hAnsi="Arial" w:cs="Arial"/>
        </w:rPr>
        <w:t xml:space="preserve">Womack, J. P., &amp; Jones, D. T. (1996). </w:t>
      </w:r>
      <w:r w:rsidRPr="00EB7EF5">
        <w:rPr>
          <w:rFonts w:ascii="Arial" w:hAnsi="Arial" w:cs="Arial"/>
          <w:i/>
          <w:iCs/>
        </w:rPr>
        <w:t>Lean thinking: Banish waste and create wealth in your corporation</w:t>
      </w:r>
      <w:r w:rsidRPr="00EB7EF5">
        <w:rPr>
          <w:rFonts w:ascii="Arial" w:hAnsi="Arial" w:cs="Arial"/>
        </w:rPr>
        <w:t>. Simon &amp; Schuster.</w:t>
      </w:r>
    </w:p>
    <w:p w14:paraId="4EC72E2F" w14:textId="77777777" w:rsidR="00B01FCD" w:rsidRPr="00FB3A86" w:rsidRDefault="00B01FCD" w:rsidP="00EB7EF5">
      <w:pPr>
        <w:pStyle w:val="Body"/>
        <w:rPr>
          <w:rFonts w:ascii="Arial" w:hAnsi="Arial" w:cs="Arial"/>
          <w:b/>
        </w:rPr>
      </w:pPr>
    </w:p>
    <w:sectPr w:rsidR="00B01FCD" w:rsidRPr="00FB3A86" w:rsidSect="008E27B6">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0CAE3" w14:textId="77777777" w:rsidR="008E6560" w:rsidRDefault="008E6560" w:rsidP="00C37E61">
      <w:r>
        <w:separator/>
      </w:r>
    </w:p>
  </w:endnote>
  <w:endnote w:type="continuationSeparator" w:id="0">
    <w:p w14:paraId="520A2563" w14:textId="77777777" w:rsidR="008E6560" w:rsidRDefault="008E65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55BE" w14:textId="77777777" w:rsidR="008E27B6" w:rsidRDefault="008E2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D650" w14:textId="77777777" w:rsidR="008E27B6" w:rsidRDefault="008E2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BF46" w14:textId="673C081B" w:rsidR="00754C9A" w:rsidRPr="003807AF" w:rsidRDefault="00754C9A" w:rsidP="003807A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CF7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4C7E7" w14:textId="77777777" w:rsidR="008E6560" w:rsidRDefault="008E6560" w:rsidP="00C37E61">
      <w:r>
        <w:separator/>
      </w:r>
    </w:p>
  </w:footnote>
  <w:footnote w:type="continuationSeparator" w:id="0">
    <w:p w14:paraId="6A1DD460" w14:textId="77777777" w:rsidR="008E6560" w:rsidRDefault="008E65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60E3" w14:textId="24296CC5" w:rsidR="008E27B6" w:rsidRDefault="008E27B6">
    <w:pPr>
      <w:pStyle w:val="Header"/>
    </w:pPr>
    <w:r>
      <w:rPr>
        <w:noProof/>
      </w:rPr>
      <w:pict w14:anchorId="6E614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11E4" w14:textId="50F2A89F" w:rsidR="008E27B6" w:rsidRDefault="008E27B6">
    <w:pPr>
      <w:pStyle w:val="Header"/>
    </w:pPr>
    <w:r>
      <w:rPr>
        <w:noProof/>
      </w:rPr>
      <w:pict w14:anchorId="5C981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BA19" w14:textId="5B41F4C7" w:rsidR="00296529" w:rsidRPr="00296529" w:rsidRDefault="008E27B6" w:rsidP="00296529">
    <w:pPr>
      <w:ind w:left="2160"/>
      <w:jc w:val="center"/>
      <w:rPr>
        <w:rFonts w:ascii="Times New Roman" w:eastAsia="Calibri" w:hAnsi="Times New Roman"/>
        <w:i/>
        <w:sz w:val="18"/>
        <w:szCs w:val="22"/>
      </w:rPr>
    </w:pPr>
    <w:r>
      <w:rPr>
        <w:noProof/>
      </w:rPr>
      <w:pict w14:anchorId="7395F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A13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11CD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0DA5F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A5EA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157F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BE23A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1E82" w14:textId="4223D87A" w:rsidR="008E27B6" w:rsidRDefault="008E27B6">
    <w:pPr>
      <w:pStyle w:val="Header"/>
    </w:pPr>
    <w:r>
      <w:rPr>
        <w:noProof/>
      </w:rPr>
      <w:pict w14:anchorId="403B6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0DDF" w14:textId="13B4E021" w:rsidR="008E27B6" w:rsidRDefault="008E27B6">
    <w:pPr>
      <w:pStyle w:val="Header"/>
    </w:pPr>
    <w:r>
      <w:rPr>
        <w:noProof/>
      </w:rPr>
      <w:pict w14:anchorId="08A74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411C" w14:textId="0C4CB2D8" w:rsidR="008E27B6" w:rsidRDefault="008E27B6">
    <w:pPr>
      <w:pStyle w:val="Header"/>
    </w:pPr>
    <w:r>
      <w:rPr>
        <w:noProof/>
      </w:rPr>
      <w:pict w14:anchorId="26FE7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130206"/>
    <w:multiLevelType w:val="hybridMultilevel"/>
    <w:tmpl w:val="BBDC8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254D06"/>
    <w:multiLevelType w:val="multilevel"/>
    <w:tmpl w:val="32FC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6B115F"/>
    <w:multiLevelType w:val="multilevel"/>
    <w:tmpl w:val="352C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51082"/>
    <w:multiLevelType w:val="multilevel"/>
    <w:tmpl w:val="0DC2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53269B"/>
    <w:multiLevelType w:val="hybridMultilevel"/>
    <w:tmpl w:val="832A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2"/>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1"/>
  </w:num>
  <w:num w:numId="31">
    <w:abstractNumId w:val="18"/>
  </w:num>
  <w:num w:numId="32">
    <w:abstractNumId w:val="16"/>
  </w:num>
  <w:num w:numId="33">
    <w:abstractNumId w:val="20"/>
  </w:num>
  <w:num w:numId="34">
    <w:abstractNumId w:val="2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5774"/>
    <w:rsid w:val="000A47FA"/>
    <w:rsid w:val="000A65D3"/>
    <w:rsid w:val="000B1E33"/>
    <w:rsid w:val="000D689F"/>
    <w:rsid w:val="000E7B7B"/>
    <w:rsid w:val="000E7D62"/>
    <w:rsid w:val="00103357"/>
    <w:rsid w:val="001102A4"/>
    <w:rsid w:val="00123C9F"/>
    <w:rsid w:val="00126190"/>
    <w:rsid w:val="00130F17"/>
    <w:rsid w:val="001320BF"/>
    <w:rsid w:val="00163BC4"/>
    <w:rsid w:val="00185B8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CB2"/>
    <w:rsid w:val="002556F6"/>
    <w:rsid w:val="00283105"/>
    <w:rsid w:val="00284C4C"/>
    <w:rsid w:val="00287E68"/>
    <w:rsid w:val="002932EB"/>
    <w:rsid w:val="00296529"/>
    <w:rsid w:val="002B27FB"/>
    <w:rsid w:val="002B685A"/>
    <w:rsid w:val="002C57D2"/>
    <w:rsid w:val="002E0D56"/>
    <w:rsid w:val="00315186"/>
    <w:rsid w:val="0033343E"/>
    <w:rsid w:val="003512C2"/>
    <w:rsid w:val="00371FB6"/>
    <w:rsid w:val="00372FE3"/>
    <w:rsid w:val="003763C1"/>
    <w:rsid w:val="00376BBE"/>
    <w:rsid w:val="003807A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0C3F"/>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6459"/>
    <w:rsid w:val="0066510A"/>
    <w:rsid w:val="00673F9F"/>
    <w:rsid w:val="00686953"/>
    <w:rsid w:val="00687DEA"/>
    <w:rsid w:val="00687E67"/>
    <w:rsid w:val="006967F7"/>
    <w:rsid w:val="006A250C"/>
    <w:rsid w:val="006B21D3"/>
    <w:rsid w:val="006B57D0"/>
    <w:rsid w:val="006C3FC5"/>
    <w:rsid w:val="006D30FF"/>
    <w:rsid w:val="006D6940"/>
    <w:rsid w:val="006F11EC"/>
    <w:rsid w:val="0070082C"/>
    <w:rsid w:val="007369E6"/>
    <w:rsid w:val="00737CB2"/>
    <w:rsid w:val="00746E59"/>
    <w:rsid w:val="00754C9A"/>
    <w:rsid w:val="0075599A"/>
    <w:rsid w:val="00757EA4"/>
    <w:rsid w:val="00761D52"/>
    <w:rsid w:val="0077749E"/>
    <w:rsid w:val="0078217C"/>
    <w:rsid w:val="00790ADA"/>
    <w:rsid w:val="007A3C36"/>
    <w:rsid w:val="007D2288"/>
    <w:rsid w:val="007D706E"/>
    <w:rsid w:val="007E088F"/>
    <w:rsid w:val="007E092D"/>
    <w:rsid w:val="007F7B32"/>
    <w:rsid w:val="00804BC2"/>
    <w:rsid w:val="0081431A"/>
    <w:rsid w:val="0083216F"/>
    <w:rsid w:val="00860000"/>
    <w:rsid w:val="00863BD3"/>
    <w:rsid w:val="008641ED"/>
    <w:rsid w:val="00866D66"/>
    <w:rsid w:val="008671C6"/>
    <w:rsid w:val="00875803"/>
    <w:rsid w:val="008B459E"/>
    <w:rsid w:val="008C4D8C"/>
    <w:rsid w:val="008E13AE"/>
    <w:rsid w:val="008E1506"/>
    <w:rsid w:val="008E27B6"/>
    <w:rsid w:val="008E6560"/>
    <w:rsid w:val="008E710C"/>
    <w:rsid w:val="008F231A"/>
    <w:rsid w:val="008F69D6"/>
    <w:rsid w:val="00902823"/>
    <w:rsid w:val="00915CA6"/>
    <w:rsid w:val="00927834"/>
    <w:rsid w:val="009500A6"/>
    <w:rsid w:val="00957C18"/>
    <w:rsid w:val="009647F4"/>
    <w:rsid w:val="009659BA"/>
    <w:rsid w:val="00965DC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D2C"/>
    <w:rsid w:val="00A51431"/>
    <w:rsid w:val="00A539AD"/>
    <w:rsid w:val="00A94063"/>
    <w:rsid w:val="00AA6219"/>
    <w:rsid w:val="00AA74E0"/>
    <w:rsid w:val="00AB4BE9"/>
    <w:rsid w:val="00AB703F"/>
    <w:rsid w:val="00AC0F97"/>
    <w:rsid w:val="00AC6BB8"/>
    <w:rsid w:val="00AE008F"/>
    <w:rsid w:val="00B01FCD"/>
    <w:rsid w:val="00B1776C"/>
    <w:rsid w:val="00B370E4"/>
    <w:rsid w:val="00B52583"/>
    <w:rsid w:val="00B52896"/>
    <w:rsid w:val="00B93C79"/>
    <w:rsid w:val="00B95236"/>
    <w:rsid w:val="00B96BD9"/>
    <w:rsid w:val="00BA1B01"/>
    <w:rsid w:val="00BA2641"/>
    <w:rsid w:val="00BA39AE"/>
    <w:rsid w:val="00BB37AA"/>
    <w:rsid w:val="00BC04D4"/>
    <w:rsid w:val="00BC53A0"/>
    <w:rsid w:val="00BE62AD"/>
    <w:rsid w:val="00BF121F"/>
    <w:rsid w:val="00BF1F80"/>
    <w:rsid w:val="00C166EF"/>
    <w:rsid w:val="00C17EB0"/>
    <w:rsid w:val="00C27F5F"/>
    <w:rsid w:val="00C30A0F"/>
    <w:rsid w:val="00C37E61"/>
    <w:rsid w:val="00C4637B"/>
    <w:rsid w:val="00C65503"/>
    <w:rsid w:val="00C70F1B"/>
    <w:rsid w:val="00C71A47"/>
    <w:rsid w:val="00C7464C"/>
    <w:rsid w:val="00C85588"/>
    <w:rsid w:val="00CD6755"/>
    <w:rsid w:val="00CD6856"/>
    <w:rsid w:val="00CE0089"/>
    <w:rsid w:val="00CE793C"/>
    <w:rsid w:val="00CF193C"/>
    <w:rsid w:val="00D173F1"/>
    <w:rsid w:val="00D74CB0"/>
    <w:rsid w:val="00D8295D"/>
    <w:rsid w:val="00DC0DB4"/>
    <w:rsid w:val="00DC2A65"/>
    <w:rsid w:val="00DE15F0"/>
    <w:rsid w:val="00DE5663"/>
    <w:rsid w:val="00DE78AA"/>
    <w:rsid w:val="00DE7AD8"/>
    <w:rsid w:val="00E053D0"/>
    <w:rsid w:val="00E15994"/>
    <w:rsid w:val="00E3114E"/>
    <w:rsid w:val="00E31A70"/>
    <w:rsid w:val="00E35B02"/>
    <w:rsid w:val="00E428CE"/>
    <w:rsid w:val="00E66496"/>
    <w:rsid w:val="00E66B35"/>
    <w:rsid w:val="00E66E10"/>
    <w:rsid w:val="00E769F6"/>
    <w:rsid w:val="00E8407C"/>
    <w:rsid w:val="00E84F3C"/>
    <w:rsid w:val="00EA012C"/>
    <w:rsid w:val="00EB7EF5"/>
    <w:rsid w:val="00EC6A55"/>
    <w:rsid w:val="00ED0288"/>
    <w:rsid w:val="00EE52CB"/>
    <w:rsid w:val="00EF581D"/>
    <w:rsid w:val="00EF7FD8"/>
    <w:rsid w:val="00F06F59"/>
    <w:rsid w:val="00F17988"/>
    <w:rsid w:val="00F469F0"/>
    <w:rsid w:val="00F53273"/>
    <w:rsid w:val="00F755E4"/>
    <w:rsid w:val="00F77D02"/>
    <w:rsid w:val="00FB3A86"/>
    <w:rsid w:val="00FB3E9D"/>
    <w:rsid w:val="00FD36C8"/>
    <w:rsid w:val="00FE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61CF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65D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B3E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647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B3E9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647F4"/>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965DC9"/>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B93C7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3-319-05542-8_15-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7/0021-9010.88.5.87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om.2009.06.00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14920639101700108"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jom.2007.01.0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4E5EF-F367-49F7-8735-B6F7163B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306</TotalTime>
  <Pages>14</Pages>
  <Words>5751</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2026-01-11T11:54:00Z</cp:lastPrinted>
  <dcterms:created xsi:type="dcterms:W3CDTF">2026-01-10T15:21:00Z</dcterms:created>
  <dcterms:modified xsi:type="dcterms:W3CDTF">2026-01-13T07:46:00Z</dcterms:modified>
</cp:coreProperties>
</file>