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73236" w14:textId="39793EED" w:rsidR="00B263F1" w:rsidRDefault="00B263F1" w:rsidP="000A53A2">
      <w:pPr>
        <w:spacing w:before="0" w:after="0" w:line="276" w:lineRule="auto"/>
        <w:jc w:val="center"/>
        <w:rPr>
          <w:b/>
          <w:bCs/>
          <w:sz w:val="32"/>
          <w:szCs w:val="32"/>
        </w:rPr>
      </w:pPr>
      <w:r w:rsidRPr="00B263F1">
        <w:rPr>
          <w:b/>
          <w:bCs/>
          <w:sz w:val="32"/>
          <w:szCs w:val="32"/>
        </w:rPr>
        <w:t>Original Research Article</w:t>
      </w:r>
    </w:p>
    <w:p w14:paraId="433E4F73" w14:textId="0F10D727" w:rsidR="000A53A2" w:rsidRDefault="000A53A2" w:rsidP="000A53A2">
      <w:pPr>
        <w:spacing w:before="0" w:after="0" w:line="276" w:lineRule="auto"/>
        <w:jc w:val="center"/>
        <w:rPr>
          <w:b/>
          <w:bCs/>
          <w:sz w:val="40"/>
          <w:szCs w:val="40"/>
        </w:rPr>
      </w:pPr>
      <w:r w:rsidRPr="00A728AD">
        <w:rPr>
          <w:b/>
          <w:bCs/>
          <w:sz w:val="32"/>
          <w:szCs w:val="32"/>
        </w:rPr>
        <w:t xml:space="preserve">Financing through crisis: How Covid-19 </w:t>
      </w:r>
      <w:bookmarkStart w:id="0" w:name="_Hlk217558420"/>
      <w:r w:rsidRPr="00A728AD">
        <w:rPr>
          <w:b/>
          <w:bCs/>
          <w:sz w:val="32"/>
          <w:szCs w:val="32"/>
        </w:rPr>
        <w:t xml:space="preserve">reshaped the </w:t>
      </w:r>
      <w:r>
        <w:rPr>
          <w:b/>
          <w:bCs/>
          <w:sz w:val="32"/>
          <w:szCs w:val="32"/>
        </w:rPr>
        <w:t>C</w:t>
      </w:r>
      <w:r w:rsidRPr="00A728AD">
        <w:rPr>
          <w:b/>
          <w:bCs/>
          <w:sz w:val="32"/>
          <w:szCs w:val="32"/>
        </w:rPr>
        <w:t xml:space="preserve">apital </w:t>
      </w:r>
      <w:r>
        <w:rPr>
          <w:b/>
          <w:bCs/>
          <w:sz w:val="32"/>
          <w:szCs w:val="32"/>
        </w:rPr>
        <w:t>S</w:t>
      </w:r>
      <w:r w:rsidRPr="00A728AD">
        <w:rPr>
          <w:b/>
          <w:bCs/>
          <w:sz w:val="32"/>
          <w:szCs w:val="32"/>
        </w:rPr>
        <w:t xml:space="preserve">tructure </w:t>
      </w:r>
      <w:r>
        <w:rPr>
          <w:b/>
          <w:bCs/>
          <w:sz w:val="32"/>
          <w:szCs w:val="32"/>
        </w:rPr>
        <w:t>c</w:t>
      </w:r>
      <w:r w:rsidRPr="00A728AD">
        <w:rPr>
          <w:b/>
          <w:bCs/>
          <w:sz w:val="32"/>
          <w:szCs w:val="32"/>
        </w:rPr>
        <w:t>hoices</w:t>
      </w:r>
      <w:bookmarkEnd w:id="0"/>
      <w:r w:rsidRPr="00A728AD">
        <w:rPr>
          <w:b/>
          <w:bCs/>
          <w:sz w:val="32"/>
          <w:szCs w:val="32"/>
        </w:rPr>
        <w:t xml:space="preserve">? Empirical evidence from </w:t>
      </w:r>
      <w:r>
        <w:rPr>
          <w:b/>
          <w:bCs/>
          <w:sz w:val="32"/>
          <w:szCs w:val="32"/>
        </w:rPr>
        <w:t>emerging economy</w:t>
      </w:r>
    </w:p>
    <w:p w14:paraId="56ECEBF9" w14:textId="77777777" w:rsidR="00B263F1" w:rsidRPr="00A728AD" w:rsidRDefault="00B263F1" w:rsidP="000A53A2">
      <w:pPr>
        <w:spacing w:before="0" w:after="0" w:line="276" w:lineRule="auto"/>
        <w:jc w:val="center"/>
        <w:rPr>
          <w:b/>
          <w:bCs/>
          <w:sz w:val="34"/>
          <w:szCs w:val="34"/>
        </w:rPr>
      </w:pPr>
    </w:p>
    <w:p w14:paraId="072B0870" w14:textId="64EC427C" w:rsidR="008B6DE8" w:rsidRDefault="008B6DE8" w:rsidP="00645BD0">
      <w:pPr>
        <w:pStyle w:val="BodyText"/>
        <w:spacing w:before="0"/>
        <w:ind w:left="0"/>
        <w:jc w:val="both"/>
        <w:rPr>
          <w:b/>
          <w:bCs/>
          <w:szCs w:val="16"/>
          <w:vertAlign w:val="superscript"/>
        </w:rPr>
      </w:pPr>
    </w:p>
    <w:p w14:paraId="56BF806A" w14:textId="77777777" w:rsidR="000F7893" w:rsidRPr="00645BD0" w:rsidRDefault="000F7893" w:rsidP="00645BD0">
      <w:pPr>
        <w:pStyle w:val="BodyText"/>
        <w:spacing w:before="0"/>
        <w:ind w:left="0"/>
        <w:jc w:val="both"/>
        <w:rPr>
          <w:b/>
          <w:bCs/>
          <w:szCs w:val="16"/>
          <w:vertAlign w:val="superscript"/>
        </w:rPr>
      </w:pPr>
      <w:bookmarkStart w:id="1" w:name="_GoBack"/>
      <w:bookmarkEnd w:id="1"/>
    </w:p>
    <w:p w14:paraId="2A46BD5F" w14:textId="77777777" w:rsidR="000A53A2" w:rsidRDefault="000A53A2" w:rsidP="000A53A2">
      <w:pPr>
        <w:spacing w:before="0" w:after="0" w:line="276" w:lineRule="auto"/>
        <w:ind w:right="29"/>
        <w:jc w:val="center"/>
        <w:rPr>
          <w:b/>
          <w:bCs/>
          <w:sz w:val="28"/>
          <w:szCs w:val="28"/>
        </w:rPr>
      </w:pPr>
      <w:r w:rsidRPr="006118C8">
        <w:rPr>
          <w:b/>
          <w:bCs/>
          <w:sz w:val="28"/>
          <w:szCs w:val="28"/>
        </w:rPr>
        <w:t>Abstract</w:t>
      </w:r>
    </w:p>
    <w:p w14:paraId="76DBBCBA" w14:textId="77777777" w:rsidR="000A53A2" w:rsidRDefault="000A53A2" w:rsidP="000A53A2">
      <w:pPr>
        <w:spacing w:before="0" w:after="0" w:line="276" w:lineRule="auto"/>
        <w:ind w:right="29"/>
      </w:pPr>
      <w:r w:rsidRPr="00DD7B8D">
        <w:rPr>
          <w:b/>
          <w:bCs/>
        </w:rPr>
        <w:t xml:space="preserve">Purpose: </w:t>
      </w:r>
      <w:r w:rsidRPr="008D0F37">
        <w:rPr>
          <w:lang w:val="en-US"/>
        </w:rPr>
        <w:t xml:space="preserve">This research aims to investigate the factors influencing capital structure and the effect of the COVID-19 pandemic on leverage decisions. </w:t>
      </w:r>
      <w:r w:rsidRPr="00DD7B8D">
        <w:t>Due to the context-specific nature of capital structure theory and the disruptions caused by COVID-19, this study investigates how the pandemic has reshaped the capital structure choices and their determinants, as well as the adjustment dynamics, among listed pharmaceutical and chemical companies in Bangladesh</w:t>
      </w:r>
      <w:r>
        <w:t>.</w:t>
      </w:r>
    </w:p>
    <w:p w14:paraId="66E415E4" w14:textId="77777777" w:rsidR="000A53A2" w:rsidRPr="001A3A4A" w:rsidRDefault="000A53A2" w:rsidP="000A53A2">
      <w:pPr>
        <w:spacing w:before="0" w:after="0" w:line="276" w:lineRule="auto"/>
        <w:ind w:right="29"/>
        <w:rPr>
          <w:lang w:val="en-US"/>
        </w:rPr>
      </w:pPr>
      <w:r w:rsidRPr="00DD7B8D">
        <w:rPr>
          <w:b/>
          <w:bCs/>
        </w:rPr>
        <w:t>Design/Methodology/Approach:</w:t>
      </w:r>
      <w:r>
        <w:t xml:space="preserve"> </w:t>
      </w:r>
      <w:r w:rsidRPr="001A3A4A">
        <w:rPr>
          <w:lang w:val="en-US"/>
        </w:rPr>
        <w:t xml:space="preserve">The analysis employs panel data from listed companies in the Pharmaceuticals and Chemicals sector on the Dhaka Stock Exchange (DSE) in Bangladesh, spanning the years 2015 to 2024 and encompassing 196 firm-year observations. This research conducts a comparative analysis of capital structure choices before and after the Covid pandemic. A fixed effects panel regression model, incorporating a lagged dependent variable, is estimated to account for dynamic adjustments while controlling for unobserved, time-invariant firm-specific effects. To examine the stationarity of the variables, the Fisher-type Augmented Dickey-Fuller (ADF) panel unit root test is utilized. </w:t>
      </w:r>
    </w:p>
    <w:p w14:paraId="5728C270" w14:textId="77777777" w:rsidR="000A53A2" w:rsidRPr="005C23EE" w:rsidRDefault="000A53A2" w:rsidP="000A53A2">
      <w:pPr>
        <w:spacing w:before="0" w:after="0" w:line="276" w:lineRule="auto"/>
        <w:ind w:right="29"/>
        <w:rPr>
          <w:lang w:val="en-US"/>
        </w:rPr>
      </w:pPr>
      <w:r w:rsidRPr="001A3A4A">
        <w:rPr>
          <w:b/>
          <w:bCs/>
          <w:lang w:val="en-US"/>
        </w:rPr>
        <w:t>Findings:</w:t>
      </w:r>
      <w:r>
        <w:rPr>
          <w:lang w:val="en-US"/>
        </w:rPr>
        <w:t xml:space="preserve"> </w:t>
      </w:r>
      <w:r w:rsidRPr="005C23EE">
        <w:rPr>
          <w:lang w:val="en-US"/>
        </w:rPr>
        <w:t>The results indicate that firm size and lagged leverage have a significant impact on all measures of leverage, confirming the path-dependent nature of capital structure decisions. In contrast, profitability and tangibility are found to be insignificant, while liquidity shows a weak negative effect, suggesting conservative liquidity management during periods of uncertainty. The COVID-19 dummy variable negatively affects leverage, highlighting a shift towards internal financing. Comparisons between pre- and post-pandemic periods reveal increased leverage persistence and a greater importance of firm size, along with a diminished role of liquidity as firms prioritize cash reserves. Overall, capital structure decisions in Bangladesh are influenced more by institutional constraints and risk aversion than by traditional collateral-based mechanisms, providing partial support for both trade-off and pecking-order theories.</w:t>
      </w:r>
    </w:p>
    <w:p w14:paraId="51B83122" w14:textId="77777777" w:rsidR="000A53A2" w:rsidRPr="00DD7B8D" w:rsidRDefault="000A53A2" w:rsidP="000A53A2">
      <w:pPr>
        <w:spacing w:before="0" w:after="0" w:line="276" w:lineRule="auto"/>
        <w:ind w:right="29"/>
        <w:rPr>
          <w:b/>
          <w:bCs/>
          <w:sz w:val="28"/>
          <w:szCs w:val="28"/>
        </w:rPr>
      </w:pPr>
      <w:r w:rsidRPr="001A3A4A">
        <w:rPr>
          <w:b/>
          <w:bCs/>
          <w:lang w:val="en-US"/>
        </w:rPr>
        <w:t>Originality/Value:</w:t>
      </w:r>
      <w:r>
        <w:rPr>
          <w:lang w:val="en-US"/>
        </w:rPr>
        <w:t xml:space="preserve"> </w:t>
      </w:r>
      <w:r w:rsidRPr="000D5921">
        <w:rPr>
          <w:lang w:val="en-US"/>
        </w:rPr>
        <w:t>This paper contributes to the literature on capital structure by offering sector-specific insights and examining capital structure during crises in an under-researched emerging market, thereby expanding the discourse on dynamic capital structure to include Bangladesh.</w:t>
      </w:r>
    </w:p>
    <w:p w14:paraId="2241B527" w14:textId="77777777" w:rsidR="000A53A2" w:rsidRDefault="000A53A2" w:rsidP="000A53A2">
      <w:pPr>
        <w:spacing w:before="0" w:after="0" w:line="276" w:lineRule="auto"/>
        <w:ind w:right="29"/>
      </w:pPr>
      <w:r w:rsidRPr="00683992">
        <w:rPr>
          <w:b/>
          <w:bCs/>
        </w:rPr>
        <w:t>Keywords:</w:t>
      </w:r>
      <w:r w:rsidRPr="00683992">
        <w:t xml:space="preserve"> Capital structure, lev</w:t>
      </w:r>
      <w:r w:rsidRPr="00677AE5">
        <w:t xml:space="preserve">erage, COVID-19, dynamic panel data, </w:t>
      </w:r>
      <w:r>
        <w:t>P</w:t>
      </w:r>
      <w:r w:rsidRPr="00677AE5">
        <w:t>harmaceutical industry, Bangladesh.</w:t>
      </w:r>
      <w:bookmarkStart w:id="2" w:name="_bkcz2nui3h50" w:colFirst="0" w:colLast="0"/>
      <w:bookmarkEnd w:id="2"/>
    </w:p>
    <w:p w14:paraId="4DCF5DCD" w14:textId="77777777" w:rsidR="000A53A2" w:rsidRPr="003715D2" w:rsidRDefault="000A53A2" w:rsidP="000A53A2">
      <w:pPr>
        <w:pStyle w:val="ListParagraph"/>
        <w:numPr>
          <w:ilvl w:val="0"/>
          <w:numId w:val="1"/>
        </w:numPr>
        <w:spacing w:before="0" w:after="0" w:line="276" w:lineRule="auto"/>
        <w:ind w:right="29"/>
        <w:rPr>
          <w:b/>
          <w:bCs/>
          <w:sz w:val="28"/>
          <w:szCs w:val="28"/>
        </w:rPr>
      </w:pPr>
      <w:r w:rsidRPr="003715D2">
        <w:rPr>
          <w:b/>
          <w:bCs/>
          <w:sz w:val="28"/>
          <w:szCs w:val="28"/>
        </w:rPr>
        <w:t>Introduction</w:t>
      </w:r>
    </w:p>
    <w:p w14:paraId="274E6A00" w14:textId="417F8685" w:rsidR="000A53A2" w:rsidRPr="003715D2" w:rsidRDefault="000A53A2" w:rsidP="000A53A2">
      <w:pPr>
        <w:spacing w:before="0" w:after="0" w:line="276" w:lineRule="auto"/>
        <w:ind w:right="29"/>
        <w:rPr>
          <w:lang w:val="en-US"/>
        </w:rPr>
      </w:pPr>
      <w:r>
        <w:t>The choice of capital structure has continued to be a key issue in corporate finance, especially in settings where market imperfection like information asymmetry, agency and bankruptcy costs among others make financing decisions anything but neutral (Modigliani</w:t>
      </w:r>
      <w:r w:rsidR="00A4053A">
        <w:t xml:space="preserve"> and</w:t>
      </w:r>
      <w:r>
        <w:t xml:space="preserve"> Miller, </w:t>
      </w:r>
      <w:r>
        <w:lastRenderedPageBreak/>
        <w:t xml:space="preserve">1958; Myers, 1984; Jensen </w:t>
      </w:r>
      <w:r w:rsidR="00A4053A">
        <w:t>and</w:t>
      </w:r>
      <w:r>
        <w:t xml:space="preserve"> Meckling, 1976). Such frictions are more eminent in the emerging economies where poorly developed capital market and institutional barriers define how firms access external finance and how the relative utilisation of debt and equity is determined (Booth </w:t>
      </w:r>
      <w:r w:rsidRPr="00A4053A">
        <w:rPr>
          <w:i/>
          <w:iCs/>
        </w:rPr>
        <w:t>et al.,</w:t>
      </w:r>
      <w:r>
        <w:t xml:space="preserve"> 2001; Bhaduri, 2002). Though classical theories, the trade-off, the pecking-order and the agency theories provide an insight into the leverage behaviour, empirical evidence indicates that all of them are extremely situation-dependent and responsive to external shocks (Frank </w:t>
      </w:r>
      <w:r w:rsidR="00A4053A">
        <w:t>and</w:t>
      </w:r>
      <w:r>
        <w:t xml:space="preserve"> Goyal, 2009). The COVID-19 pandemic brought about a global disruption never seen before, and it had generated extreme liquidity constraints, operational uncertainty and demand and supply swings. These circumstances forced companies to review their leverage status and their financial policy to remain solvent (Shen </w:t>
      </w:r>
      <w:r w:rsidRPr="00A4053A">
        <w:rPr>
          <w:i/>
          <w:iCs/>
        </w:rPr>
        <w:t>et al.,</w:t>
      </w:r>
      <w:r>
        <w:t xml:space="preserve"> 2020). Both developed and emerging market studies have shown that in the times of increased uncertainty, companies tend to deleverage or change maturity of debt to lower their exposure to the risk of bankruptcy </w:t>
      </w:r>
      <w:r w:rsidRPr="004F7856">
        <w:t xml:space="preserve">(Xia </w:t>
      </w:r>
      <w:r w:rsidRPr="00A4053A">
        <w:rPr>
          <w:i/>
          <w:iCs/>
        </w:rPr>
        <w:t>et al.,</w:t>
      </w:r>
      <w:r w:rsidRPr="009F1A6B">
        <w:t xml:space="preserve"> 2022; Ahmed </w:t>
      </w:r>
      <w:r w:rsidR="00A4053A">
        <w:t>and</w:t>
      </w:r>
      <w:r w:rsidRPr="009F1A6B">
        <w:t xml:space="preserve"> </w:t>
      </w:r>
      <w:proofErr w:type="spellStart"/>
      <w:r w:rsidRPr="009F1A6B">
        <w:t>Nugraha</w:t>
      </w:r>
      <w:proofErr w:type="spellEnd"/>
      <w:r w:rsidRPr="009F1A6B">
        <w:t>, 2024).</w:t>
      </w:r>
      <w:r>
        <w:t xml:space="preserve"> Nonetheless, such adjustments depend on the scale and orientation of institutional arrangements, governmental reactions and the sector specificities, thus the necessity of country and industry analysis. Bangladesh provides a unique set up of searching crisis era financing behaviour. In contrast to other neighbouring South Asian economies, Bangladesh introduced a vast range of loan moratoria and liquidity assistance actions via its banking framework, which assisted corporations to overcome the immediate economic strain of the pandemic </w:t>
      </w:r>
      <w:r w:rsidRPr="009F1A6B">
        <w:t xml:space="preserve">(Shahzad </w:t>
      </w:r>
      <w:r w:rsidR="00A4053A">
        <w:t>and</w:t>
      </w:r>
      <w:r w:rsidRPr="009F1A6B">
        <w:t xml:space="preserve"> Azeem, 2020)</w:t>
      </w:r>
      <w:r>
        <w:t>.</w:t>
      </w:r>
      <w:r w:rsidRPr="009F1A6B">
        <w:t xml:space="preserve"> </w:t>
      </w:r>
      <w:r>
        <w:t xml:space="preserve">Especially the Pharmaceuticals and Chemicals industry was continuous and stable in terms of demand during COVID-19, which makes it a good example of studying leverage behaviour in a crisis situation (Afroze </w:t>
      </w:r>
      <w:r w:rsidR="00A4053A">
        <w:t>and</w:t>
      </w:r>
      <w:r>
        <w:t xml:space="preserve"> Khan, 2022). However, despite being a significant economic factor, Bangladesh has not studied the dynamics of capital structure around crises, and prior research on the topic has mostly considered the financial performance or determinants of capital structure under normal conditions (Imtiaz </w:t>
      </w:r>
      <w:r w:rsidRPr="00A4053A">
        <w:rPr>
          <w:i/>
          <w:iCs/>
        </w:rPr>
        <w:t>et al.,</w:t>
      </w:r>
      <w:r>
        <w:t xml:space="preserve"> 2016; </w:t>
      </w:r>
      <w:r w:rsidRPr="00BF0A00">
        <w:t xml:space="preserve">Rahman </w:t>
      </w:r>
      <w:r w:rsidR="00A4053A">
        <w:t>and</w:t>
      </w:r>
      <w:r w:rsidRPr="00BF0A00">
        <w:t xml:space="preserve"> Sarker, 2019</w:t>
      </w:r>
      <w:r>
        <w:t xml:space="preserve">). The recent Prakash </w:t>
      </w:r>
      <w:r w:rsidRPr="00A4053A">
        <w:rPr>
          <w:i/>
          <w:iCs/>
        </w:rPr>
        <w:t>et al.</w:t>
      </w:r>
      <w:r w:rsidR="00A4053A" w:rsidRPr="00A4053A">
        <w:rPr>
          <w:i/>
          <w:iCs/>
        </w:rPr>
        <w:t>,</w:t>
      </w:r>
      <w:r>
        <w:t xml:space="preserve"> (2023) report has investigated the effect of COVID-19 on capital structure within the Indian firms and reported substantial changes in leverage behaviour in the pandemic. Their results pose significant questions as to whether parallel patterns are true in Bangladesh, a neighbouring emerging market with similar regional factors, but organisational reactions and industry strength. By replicating and generalising this framework to the Bangladeshi Pharmaceuticals &amp; Chemicals industry, one can thus have a chance to test the external validity of the capital structure theories in crises and shed light on how the institutional and industry-specific characteristics influence financing decisions in the occurrence of systemic shocks. </w:t>
      </w:r>
      <w:r w:rsidRPr="003715D2">
        <w:rPr>
          <w:lang w:val="en-US"/>
        </w:rPr>
        <w:t>In response to this concern, the study has formulated the following research question to guide further inquiry:</w:t>
      </w:r>
    </w:p>
    <w:p w14:paraId="06454464" w14:textId="77777777" w:rsidR="000A53A2" w:rsidRPr="003715D2" w:rsidRDefault="000A53A2" w:rsidP="000A53A2">
      <w:pPr>
        <w:spacing w:before="0" w:after="0" w:line="276" w:lineRule="auto"/>
        <w:ind w:right="29"/>
        <w:rPr>
          <w:lang w:val="en-US"/>
        </w:rPr>
      </w:pPr>
      <w:r w:rsidRPr="009F1A6B">
        <w:rPr>
          <w:b/>
          <w:bCs/>
          <w:lang w:val="en-US"/>
        </w:rPr>
        <w:t>RQ-1:</w:t>
      </w:r>
      <w:r>
        <w:rPr>
          <w:lang w:val="en-US"/>
        </w:rPr>
        <w:t xml:space="preserve"> </w:t>
      </w:r>
      <w:r w:rsidRPr="009F1A6B">
        <w:t xml:space="preserve">What impact did the COVID-19 pandemic have on the determinants and adjustment dynamics of capital structure among listed pharmaceutical and chemical </w:t>
      </w:r>
      <w:r>
        <w:t>firms</w:t>
      </w:r>
      <w:r w:rsidRPr="009F1A6B">
        <w:t xml:space="preserve"> in Bangladesh?</w:t>
      </w:r>
    </w:p>
    <w:p w14:paraId="2A5D6142" w14:textId="5458690B" w:rsidR="000A53A2" w:rsidRPr="003B1580" w:rsidRDefault="000A53A2" w:rsidP="000A53A2">
      <w:pPr>
        <w:spacing w:before="0" w:after="0" w:line="276" w:lineRule="auto"/>
        <w:ind w:right="29"/>
        <w:rPr>
          <w:lang w:val="en-US"/>
        </w:rPr>
      </w:pPr>
      <w:r w:rsidRPr="003715D2">
        <w:rPr>
          <w:lang w:val="en-US"/>
        </w:rPr>
        <w:t>The theoretical literature agrees that leverage decisions respond to factors such as profitability, firm size, and asset structure. However, the pandemic has introduced significant market volatility and policy interventions that may have altered these relationships. Understanding how these traditional determinants behave in crisis situations is crucial for both financial theory and the policymaking process in developing economies.</w:t>
      </w:r>
      <w:r>
        <w:rPr>
          <w:lang w:val="en-US"/>
        </w:rPr>
        <w:t xml:space="preserve"> Hence, </w:t>
      </w:r>
      <w:r>
        <w:t xml:space="preserve">the study is relevant to the growing body of literature on financing in times of crisis by offering the empirical evidence </w:t>
      </w:r>
      <w:r>
        <w:lastRenderedPageBreak/>
        <w:t xml:space="preserve">regarding the impact of COVID-19 on the determinants and dynamics of capital structure among listed Pharmaceuticals and Chemicals corporations in Bangladesh. Placing the modelling strategy of Prakash </w:t>
      </w:r>
      <w:r w:rsidRPr="00A4053A">
        <w:rPr>
          <w:i/>
          <w:iCs/>
        </w:rPr>
        <w:t>et al.</w:t>
      </w:r>
      <w:r w:rsidR="00A4053A">
        <w:rPr>
          <w:i/>
          <w:iCs/>
        </w:rPr>
        <w:t>,</w:t>
      </w:r>
      <w:r>
        <w:t xml:space="preserve"> (2023) in a context that has not been severely affected during the pandemic, the paper can assess the strength of the well-grounded capital structure theories in South Asia and can provide some comparative understanding of leverage behaviour in times of extreme uncertainty. The rest of the paper provides the theoretical framework and hypothesis, the methodology, the presentation of the empirical research findings and finally, the implication to both theory and policy</w:t>
      </w:r>
      <w:bookmarkStart w:id="3" w:name="_cz4k0j9fax2o" w:colFirst="0" w:colLast="0"/>
      <w:bookmarkEnd w:id="3"/>
      <w:r>
        <w:t>.</w:t>
      </w:r>
    </w:p>
    <w:p w14:paraId="5B68EBE7" w14:textId="77777777" w:rsidR="000A53A2" w:rsidRPr="003B1580" w:rsidRDefault="000A53A2" w:rsidP="000A53A2">
      <w:pPr>
        <w:pStyle w:val="ListParagraph"/>
        <w:numPr>
          <w:ilvl w:val="0"/>
          <w:numId w:val="1"/>
        </w:numPr>
        <w:spacing w:before="0" w:after="0" w:line="276" w:lineRule="auto"/>
        <w:ind w:right="29"/>
        <w:rPr>
          <w:b/>
          <w:bCs/>
          <w:sz w:val="28"/>
          <w:szCs w:val="28"/>
        </w:rPr>
      </w:pPr>
      <w:r w:rsidRPr="003715D2">
        <w:rPr>
          <w:b/>
          <w:bCs/>
          <w:sz w:val="28"/>
          <w:szCs w:val="28"/>
        </w:rPr>
        <w:t>Literature Review</w:t>
      </w:r>
      <w:bookmarkStart w:id="4" w:name="_jnqr1jm61dqt" w:colFirst="0" w:colLast="0"/>
      <w:bookmarkEnd w:id="4"/>
      <w:r w:rsidRPr="003715D2">
        <w:rPr>
          <w:b/>
          <w:bCs/>
          <w:sz w:val="28"/>
          <w:szCs w:val="28"/>
        </w:rPr>
        <w:t xml:space="preserve"> and Hypothesis Formulation</w:t>
      </w:r>
    </w:p>
    <w:p w14:paraId="632EEF55" w14:textId="1DA1F118" w:rsidR="000A53A2" w:rsidRDefault="000A53A2" w:rsidP="000A53A2">
      <w:pPr>
        <w:spacing w:before="0" w:after="0" w:line="276" w:lineRule="auto"/>
        <w:ind w:right="29"/>
      </w:pPr>
      <w:r w:rsidRPr="003B1580">
        <w:rPr>
          <w:b/>
          <w:bCs/>
        </w:rPr>
        <w:t>2.1 Capital Structure Determinants:</w:t>
      </w:r>
      <w:r>
        <w:t xml:space="preserve"> </w:t>
      </w:r>
      <w:r w:rsidRPr="003B1580">
        <w:rPr>
          <w:lang w:val="en-US"/>
        </w:rPr>
        <w:t xml:space="preserve">Empirical studies have identified several company-specific determinants of capital structure, including firm size, profitability, asset tangibility, liquidity, growth prospects, and market value (Titman </w:t>
      </w:r>
      <w:r w:rsidR="00A4053A">
        <w:t>and</w:t>
      </w:r>
      <w:r w:rsidRPr="003B1580">
        <w:rPr>
          <w:lang w:val="en-US"/>
        </w:rPr>
        <w:t xml:space="preserve"> Wessels, 1988; Rajan </w:t>
      </w:r>
      <w:r w:rsidR="00A4053A">
        <w:t>and</w:t>
      </w:r>
      <w:r w:rsidRPr="003B1580">
        <w:rPr>
          <w:lang w:val="en-US"/>
        </w:rPr>
        <w:t xml:space="preserve"> Zingales, 1995; Frank </w:t>
      </w:r>
      <w:r w:rsidR="00A4053A">
        <w:t>and</w:t>
      </w:r>
      <w:r w:rsidRPr="003B1580">
        <w:rPr>
          <w:lang w:val="en-US"/>
        </w:rPr>
        <w:t xml:space="preserve"> Goyal, 2009). Generally, firm size has a positive correlation with leverage, as larger firms tend to be more diversified and have easier access to credit markets (Harris </w:t>
      </w:r>
      <w:r w:rsidR="00A4053A">
        <w:t>and</w:t>
      </w:r>
      <w:r w:rsidRPr="003B1580">
        <w:rPr>
          <w:lang w:val="en-US"/>
        </w:rPr>
        <w:t xml:space="preserve"> Raviv, 1991; Vo, 2017). In contrast, profitability usually shows a negative correlation with leverage, in line with pecking order theory, since profitable firms prefer to use retained earnings rather than incur external debt (Myers, 1984; Frank </w:t>
      </w:r>
      <w:r w:rsidR="00A4053A">
        <w:t>and</w:t>
      </w:r>
      <w:r w:rsidRPr="003B1580">
        <w:rPr>
          <w:lang w:val="en-US"/>
        </w:rPr>
        <w:t xml:space="preserve"> Goyal, 2009). The tangibility of a firm's assets, or the proportion of fixed assets that can be used as collateral, tends to promote a positive relationship with leverage (Rajan </w:t>
      </w:r>
      <w:r w:rsidR="00A4053A">
        <w:t>and</w:t>
      </w:r>
      <w:r w:rsidRPr="003B1580">
        <w:rPr>
          <w:lang w:val="en-US"/>
        </w:rPr>
        <w:t xml:space="preserve"> Zingales, 1995). Liquidity often exhibits a negative correlation, as companies with substantial current assets can fund operations internally instead of relying on borrowing (Opler </w:t>
      </w:r>
      <w:r w:rsidRPr="00A4053A">
        <w:rPr>
          <w:i/>
          <w:iCs/>
          <w:lang w:val="en-US"/>
        </w:rPr>
        <w:t>et al.,</w:t>
      </w:r>
      <w:r w:rsidRPr="003B1580">
        <w:rPr>
          <w:lang w:val="en-US"/>
        </w:rPr>
        <w:t xml:space="preserve"> 1999). Additionally, firms with strong growth prospects may reduce leverage, as they tend to avoid the covenant restrictions associated with debt financing in favor of pursuing valuable future projects (Booth </w:t>
      </w:r>
      <w:r w:rsidRPr="00A4053A">
        <w:rPr>
          <w:i/>
          <w:iCs/>
          <w:lang w:val="en-US"/>
        </w:rPr>
        <w:t>et al.,</w:t>
      </w:r>
      <w:r w:rsidRPr="003B1580">
        <w:rPr>
          <w:lang w:val="en-US"/>
        </w:rPr>
        <w:t xml:space="preserve"> 2001). The relative significance of these determinants can vary by region, influenced by institutional settings, financial development, and legal frameworks (Chen, 2004; Bhaduri, 2002; </w:t>
      </w:r>
      <w:r w:rsidRPr="00A340BD">
        <w:rPr>
          <w:lang w:val="en-US"/>
        </w:rPr>
        <w:t xml:space="preserve">Shahzad </w:t>
      </w:r>
      <w:r w:rsidR="00A4053A">
        <w:t>and</w:t>
      </w:r>
      <w:r w:rsidRPr="00A340BD">
        <w:rPr>
          <w:lang w:val="en-US"/>
        </w:rPr>
        <w:t xml:space="preserve"> Azeem, 2020</w:t>
      </w:r>
      <w:r w:rsidRPr="003B1580">
        <w:rPr>
          <w:lang w:val="en-US"/>
        </w:rPr>
        <w:t xml:space="preserve">). For instance, Booth </w:t>
      </w:r>
      <w:r w:rsidRPr="00A4053A">
        <w:rPr>
          <w:i/>
          <w:iCs/>
          <w:lang w:val="en-US"/>
        </w:rPr>
        <w:t>et al.</w:t>
      </w:r>
      <w:r w:rsidR="00A4053A">
        <w:rPr>
          <w:i/>
          <w:iCs/>
          <w:lang w:val="en-US"/>
        </w:rPr>
        <w:t>,</w:t>
      </w:r>
      <w:r w:rsidRPr="003B1580">
        <w:rPr>
          <w:lang w:val="en-US"/>
        </w:rPr>
        <w:t xml:space="preserve"> (2001) found that the determinants of leverage in developing countries are similar to those in developed nations, but with lower values due to weaker investor protection and less developed credit markets. This indicates that the institutional context plays a crucial role in shaping firms' financing structures.</w:t>
      </w:r>
    </w:p>
    <w:p w14:paraId="1AA077BB" w14:textId="3630FD46" w:rsidR="000A53A2" w:rsidRDefault="000A53A2" w:rsidP="000A53A2">
      <w:pPr>
        <w:spacing w:before="0" w:after="0" w:line="276" w:lineRule="auto"/>
        <w:ind w:right="29"/>
        <w:rPr>
          <w:lang w:val="en-US"/>
        </w:rPr>
      </w:pPr>
      <w:r w:rsidRPr="003B1580">
        <w:rPr>
          <w:b/>
          <w:bCs/>
        </w:rPr>
        <w:t>2.2 Dynamics of Capital Structure Under Financial Crisis:</w:t>
      </w:r>
      <w:r>
        <w:t xml:space="preserve"> </w:t>
      </w:r>
      <w:r w:rsidRPr="003B1580">
        <w:rPr>
          <w:lang w:val="en-US"/>
        </w:rPr>
        <w:t xml:space="preserve">During financial crises, firms alter their financing behavior in response to market uncertainty, liquidity shortages, and regulatory interventions, which influence their risk appetite and credit availability (Proença </w:t>
      </w:r>
      <w:r w:rsidRPr="00A4053A">
        <w:rPr>
          <w:i/>
          <w:iCs/>
          <w:lang w:val="en-US"/>
        </w:rPr>
        <w:t xml:space="preserve">et al., </w:t>
      </w:r>
      <w:r w:rsidRPr="003B1580">
        <w:rPr>
          <w:lang w:val="en-US"/>
        </w:rPr>
        <w:t xml:space="preserve">2014; </w:t>
      </w:r>
      <w:r w:rsidRPr="009F1A6B">
        <w:rPr>
          <w:lang w:val="en-US"/>
        </w:rPr>
        <w:t xml:space="preserve">Ahmed </w:t>
      </w:r>
      <w:r w:rsidR="00A4053A">
        <w:t>and</w:t>
      </w:r>
      <w:r w:rsidRPr="009F1A6B">
        <w:rPr>
          <w:lang w:val="en-US"/>
        </w:rPr>
        <w:t xml:space="preserve"> </w:t>
      </w:r>
      <w:proofErr w:type="spellStart"/>
      <w:r w:rsidRPr="009F1A6B">
        <w:rPr>
          <w:lang w:val="en-US"/>
        </w:rPr>
        <w:t>Nugraha</w:t>
      </w:r>
      <w:proofErr w:type="spellEnd"/>
      <w:r w:rsidRPr="009F1A6B">
        <w:rPr>
          <w:lang w:val="en-US"/>
        </w:rPr>
        <w:t>, 2024</w:t>
      </w:r>
      <w:r w:rsidRPr="003B1580">
        <w:rPr>
          <w:lang w:val="en-US"/>
        </w:rPr>
        <w:t xml:space="preserve">). The 2008 global financial crisis prompted many companies to adopt leverage ratios as a survival strategy (Proença </w:t>
      </w:r>
      <w:r w:rsidRPr="00A4053A">
        <w:rPr>
          <w:i/>
          <w:iCs/>
          <w:lang w:val="en-US"/>
        </w:rPr>
        <w:t>et al.,</w:t>
      </w:r>
      <w:r w:rsidRPr="003B1580">
        <w:rPr>
          <w:lang w:val="en-US"/>
        </w:rPr>
        <w:t xml:space="preserve"> 2014). Similarly, the COVID-19 pandemic provided a natural experiment for examining how external shocks affect leverage adjustments and sensitivity to various determinants, resulting in mixed findings. Some studies indicate significant deleveraging as firms aimed to lower default risk Shen </w:t>
      </w:r>
      <w:r w:rsidRPr="00A4053A">
        <w:rPr>
          <w:i/>
          <w:iCs/>
          <w:lang w:val="en-US"/>
        </w:rPr>
        <w:t>et al.,</w:t>
      </w:r>
      <w:r w:rsidRPr="003B1580">
        <w:rPr>
          <w:lang w:val="en-US"/>
        </w:rPr>
        <w:t xml:space="preserve"> </w:t>
      </w:r>
      <w:r>
        <w:rPr>
          <w:lang w:val="en-US"/>
        </w:rPr>
        <w:t>(</w:t>
      </w:r>
      <w:r w:rsidRPr="003B1580">
        <w:rPr>
          <w:lang w:val="en-US"/>
        </w:rPr>
        <w:t xml:space="preserve">2020), while others noted an increase in short-term borrowing to secure working capital </w:t>
      </w:r>
      <w:r w:rsidRPr="009F1A6B">
        <w:rPr>
          <w:lang w:val="en-US"/>
        </w:rPr>
        <w:t>(</w:t>
      </w:r>
      <w:r w:rsidRPr="00CF2753">
        <w:rPr>
          <w:lang w:val="en-US"/>
        </w:rPr>
        <w:t xml:space="preserve">Ahmed </w:t>
      </w:r>
      <w:r w:rsidR="00A4053A">
        <w:t>and</w:t>
      </w:r>
      <w:r w:rsidRPr="00CF2753">
        <w:rPr>
          <w:lang w:val="en-US"/>
        </w:rPr>
        <w:t xml:space="preserve"> </w:t>
      </w:r>
      <w:proofErr w:type="spellStart"/>
      <w:r w:rsidRPr="00CF2753">
        <w:rPr>
          <w:lang w:val="en-US"/>
        </w:rPr>
        <w:t>Nugraha</w:t>
      </w:r>
      <w:proofErr w:type="spellEnd"/>
      <w:r w:rsidRPr="00CF2753">
        <w:rPr>
          <w:lang w:val="en-US"/>
        </w:rPr>
        <w:t>, 2024</w:t>
      </w:r>
      <w:r w:rsidRPr="009F1A6B">
        <w:rPr>
          <w:lang w:val="en-US"/>
        </w:rPr>
        <w:t>)</w:t>
      </w:r>
      <w:r>
        <w:rPr>
          <w:lang w:val="en-US"/>
        </w:rPr>
        <w:t>.</w:t>
      </w:r>
      <w:r w:rsidRPr="009F1A6B">
        <w:rPr>
          <w:lang w:val="en-US"/>
        </w:rPr>
        <w:t xml:space="preserve"> </w:t>
      </w:r>
      <w:r w:rsidRPr="003B1580">
        <w:rPr>
          <w:lang w:val="en-US"/>
        </w:rPr>
        <w:t xml:space="preserve">The pandemic's effects on banking systems were shaped by government interventions and liquidity inflows, particularly in emerging markets </w:t>
      </w:r>
      <w:r w:rsidRPr="009F1A6B">
        <w:rPr>
          <w:lang w:val="en-US"/>
        </w:rPr>
        <w:t>(</w:t>
      </w:r>
      <w:r w:rsidRPr="00CF2753">
        <w:t>Ҫolak,</w:t>
      </w:r>
      <w:r>
        <w:t xml:space="preserve"> </w:t>
      </w:r>
      <w:r w:rsidR="00A4053A">
        <w:t>and</w:t>
      </w:r>
      <w:r w:rsidRPr="00CF2753">
        <w:t xml:space="preserve"> Öztekin,</w:t>
      </w:r>
      <w:r>
        <w:t xml:space="preserve"> </w:t>
      </w:r>
      <w:r w:rsidRPr="00CF2753">
        <w:t>2021</w:t>
      </w:r>
      <w:r>
        <w:rPr>
          <w:lang w:val="en-US"/>
        </w:rPr>
        <w:t>)</w:t>
      </w:r>
      <w:r w:rsidRPr="003B1580">
        <w:rPr>
          <w:lang w:val="en-US"/>
        </w:rPr>
        <w:t xml:space="preserve">. Companies operating within bank-based systems could more easily adjust their leverage through relationship lending, whereas those in market-based systems encountered </w:t>
      </w:r>
      <w:r w:rsidRPr="003B1580">
        <w:rPr>
          <w:lang w:val="en-US"/>
        </w:rPr>
        <w:lastRenderedPageBreak/>
        <w:t>greater credit constraints. These dynamics underscore that capital structure behavior during crises is influenced not only by firm fundamentals but also by institutional resilience and policy responses.</w:t>
      </w:r>
    </w:p>
    <w:p w14:paraId="191E1156" w14:textId="5F308BE4" w:rsidR="000A53A2" w:rsidRPr="00ED67C5" w:rsidRDefault="000A53A2" w:rsidP="000A53A2">
      <w:pPr>
        <w:spacing w:before="0" w:after="0" w:line="276" w:lineRule="auto"/>
        <w:ind w:right="29"/>
        <w:rPr>
          <w:lang w:val="en-US"/>
        </w:rPr>
      </w:pPr>
      <w:r w:rsidRPr="00ED67C5">
        <w:rPr>
          <w:b/>
          <w:bCs/>
          <w:lang w:val="en-US"/>
        </w:rPr>
        <w:t xml:space="preserve">2.3 </w:t>
      </w:r>
      <w:r w:rsidRPr="00ED67C5">
        <w:rPr>
          <w:b/>
          <w:bCs/>
        </w:rPr>
        <w:t>Empirical Evidence of the Emerging and South Asian Economies:</w:t>
      </w:r>
      <w:r>
        <w:t xml:space="preserve"> </w:t>
      </w:r>
      <w:r w:rsidRPr="00ED67C5">
        <w:rPr>
          <w:lang w:val="en-US"/>
        </w:rPr>
        <w:t xml:space="preserve">Numerous studies have investigated the factors influencing capital structure in developing and transitional economies, including those in South Asia. Booth </w:t>
      </w:r>
      <w:r w:rsidRPr="00A4053A">
        <w:rPr>
          <w:i/>
          <w:iCs/>
          <w:lang w:val="en-US"/>
        </w:rPr>
        <w:t>et al.</w:t>
      </w:r>
      <w:r w:rsidR="00A4053A">
        <w:rPr>
          <w:i/>
          <w:iCs/>
          <w:lang w:val="en-US"/>
        </w:rPr>
        <w:t>,</w:t>
      </w:r>
      <w:r w:rsidRPr="00ED67C5">
        <w:rPr>
          <w:lang w:val="en-US"/>
        </w:rPr>
        <w:t xml:space="preserve"> (2001) provided early cross-country data showing that while developing countries exhibit leverage patterns similar to those of developed nations, the explanatory power is diminished due to institutional constraints. Bhaduri (2002) focused on Indian companies and found a positive correlation between size and tangibility with leverage, while profitability and liquidity displayed a negative correlation. Subsequent studies by Vo (2017) confirmed that the determinants of capital structure are generally alike in emerging economies, though they are shaped by local financial infrastructure. In South Asia, </w:t>
      </w:r>
      <w:r w:rsidRPr="00A340BD">
        <w:rPr>
          <w:lang w:val="en-US"/>
        </w:rPr>
        <w:t xml:space="preserve">Shahzad </w:t>
      </w:r>
      <w:r w:rsidR="00A4053A">
        <w:t>and</w:t>
      </w:r>
      <w:r w:rsidRPr="00A340BD">
        <w:rPr>
          <w:lang w:val="en-US"/>
        </w:rPr>
        <w:t xml:space="preserve"> Azeem, </w:t>
      </w:r>
      <w:r>
        <w:rPr>
          <w:lang w:val="en-US"/>
        </w:rPr>
        <w:t>(</w:t>
      </w:r>
      <w:r w:rsidRPr="00A340BD">
        <w:rPr>
          <w:lang w:val="en-US"/>
        </w:rPr>
        <w:t>2020)</w:t>
      </w:r>
      <w:r w:rsidRPr="00ED67C5">
        <w:rPr>
          <w:lang w:val="en-US"/>
        </w:rPr>
        <w:t xml:space="preserve"> observed ongoing leverage discrepancies among non-financial firms, attributed to limited access to capital markets and family-dominated ownership structures. Research in Bangladesh has primarily explored the relationship between profitability and leverage. Studies by Afroze </w:t>
      </w:r>
      <w:r w:rsidR="00A4053A">
        <w:t>and</w:t>
      </w:r>
      <w:r w:rsidRPr="00ED67C5">
        <w:rPr>
          <w:lang w:val="en-US"/>
        </w:rPr>
        <w:t xml:space="preserve"> Khan (2022) identified negative correlations between profitability and debt, supporting the pecking order theory. Similar findings were reported by </w:t>
      </w:r>
      <w:r w:rsidRPr="00BF0A00">
        <w:rPr>
          <w:lang w:val="en-US"/>
        </w:rPr>
        <w:t xml:space="preserve">Rahman </w:t>
      </w:r>
      <w:r w:rsidR="00A4053A">
        <w:t>and</w:t>
      </w:r>
      <w:r w:rsidRPr="00BF0A00">
        <w:rPr>
          <w:lang w:val="en-US"/>
        </w:rPr>
        <w:t xml:space="preserve"> Sarker, </w:t>
      </w:r>
      <w:r>
        <w:rPr>
          <w:lang w:val="en-US"/>
        </w:rPr>
        <w:t>(</w:t>
      </w:r>
      <w:r w:rsidRPr="00BF0A00">
        <w:rPr>
          <w:lang w:val="en-US"/>
        </w:rPr>
        <w:t xml:space="preserve">2019) </w:t>
      </w:r>
      <w:r w:rsidRPr="00ED67C5">
        <w:rPr>
          <w:lang w:val="en-US"/>
        </w:rPr>
        <w:t xml:space="preserve">and </w:t>
      </w:r>
      <w:r w:rsidRPr="00BF0A00">
        <w:rPr>
          <w:lang w:val="en-US"/>
        </w:rPr>
        <w:t xml:space="preserve">Islam </w:t>
      </w:r>
      <w:r w:rsidR="00A4053A">
        <w:t>and</w:t>
      </w:r>
      <w:r w:rsidRPr="00BF0A00">
        <w:rPr>
          <w:lang w:val="en-US"/>
        </w:rPr>
        <w:t xml:space="preserve"> Hossain, </w:t>
      </w:r>
      <w:r>
        <w:rPr>
          <w:lang w:val="en-US"/>
        </w:rPr>
        <w:t>(</w:t>
      </w:r>
      <w:r w:rsidRPr="00BF0A00">
        <w:rPr>
          <w:lang w:val="en-US"/>
        </w:rPr>
        <w:t xml:space="preserve">2025) </w:t>
      </w:r>
      <w:r w:rsidRPr="00ED67C5">
        <w:rPr>
          <w:lang w:val="en-US"/>
        </w:rPr>
        <w:t xml:space="preserve">within the manufacturing sector, underscoring the significance of firm-specific determinants despite institutional frictions. However, there is a scarcity of comparative literature, with few studies replicating international models or testing capital structure theories in crisis situations. The study by Prakash </w:t>
      </w:r>
      <w:r w:rsidRPr="00A4053A">
        <w:rPr>
          <w:i/>
          <w:iCs/>
          <w:lang w:val="en-US"/>
        </w:rPr>
        <w:t>et al.</w:t>
      </w:r>
      <w:r w:rsidR="00A4053A" w:rsidRPr="00A4053A">
        <w:rPr>
          <w:i/>
          <w:iCs/>
          <w:lang w:val="en-US"/>
        </w:rPr>
        <w:t>,</w:t>
      </w:r>
      <w:r w:rsidRPr="00ED67C5">
        <w:rPr>
          <w:lang w:val="en-US"/>
        </w:rPr>
        <w:t xml:space="preserve"> (2023) is among the first to examine the pandemic's impact on leverage in an emerging market, revealing a significant negative effect of COVID-19 on total leverage. Nevertheless, these results may not be directly applicable to Bangladesh due to its unique institutional, regulatory, and sectoral contexts, which this study aims to explore.</w:t>
      </w:r>
      <w:r>
        <w:rPr>
          <w:lang w:val="en-US"/>
        </w:rPr>
        <w:t xml:space="preserve"> However, </w:t>
      </w:r>
      <w:r>
        <w:t xml:space="preserve">Systemic crisis periods have a significant impact on the risk perceptions and financing restrictions of firms. Previous literature on crises reports a trend of deleveraging as companies attempt to reduce the risk of bankruptcy and maintain financial freedom (Proença </w:t>
      </w:r>
      <w:r w:rsidRPr="00322C12">
        <w:rPr>
          <w:i/>
          <w:iCs/>
        </w:rPr>
        <w:t>et al.,</w:t>
      </w:r>
      <w:r>
        <w:t xml:space="preserve"> 2014). The latest data on the COVID-19 pandemic also indicates that companies lessen leverage during the times of high uncertainty, especially in new markets where access to long-term capital markets is limited (Prakash </w:t>
      </w:r>
      <w:r w:rsidRPr="00322C12">
        <w:rPr>
          <w:i/>
          <w:iCs/>
        </w:rPr>
        <w:t>et al.,</w:t>
      </w:r>
      <w:r>
        <w:t xml:space="preserve"> 2023; Vo </w:t>
      </w:r>
      <w:r w:rsidRPr="00322C12">
        <w:rPr>
          <w:i/>
          <w:iCs/>
        </w:rPr>
        <w:t>et al.,</w:t>
      </w:r>
      <w:r>
        <w:t xml:space="preserve"> 2022). Hence, the following hypothesis has been formulated:</w:t>
      </w:r>
    </w:p>
    <w:p w14:paraId="318BBFE6" w14:textId="77777777" w:rsidR="000A53A2" w:rsidRDefault="000A53A2" w:rsidP="000A53A2">
      <w:pPr>
        <w:spacing w:before="0" w:after="0" w:line="276" w:lineRule="auto"/>
      </w:pPr>
      <w:r>
        <w:rPr>
          <w:b/>
          <w:bCs/>
        </w:rPr>
        <w:t>H1:</w:t>
      </w:r>
      <w:r>
        <w:t xml:space="preserve"> The COVID-19 pandemic has a significant negative impact on total leverage.</w:t>
      </w:r>
      <w:r>
        <w:br/>
      </w:r>
      <w:r>
        <w:rPr>
          <w:b/>
          <w:bCs/>
        </w:rPr>
        <w:t>H2:</w:t>
      </w:r>
      <w:r>
        <w:t xml:space="preserve"> The COVID-19 pandemic has a significant negative impact on long-term leverage.</w:t>
      </w:r>
      <w:r>
        <w:br/>
      </w:r>
      <w:r>
        <w:rPr>
          <w:b/>
          <w:bCs/>
        </w:rPr>
        <w:t>H3:</w:t>
      </w:r>
      <w:r>
        <w:t xml:space="preserve"> The COVID-19 pandemic has a significant negative impact on short-term leverage.</w:t>
      </w:r>
    </w:p>
    <w:p w14:paraId="594DA21C" w14:textId="07A04F3A" w:rsidR="000A53A2" w:rsidRPr="004E0774" w:rsidRDefault="000A53A2" w:rsidP="000A53A2">
      <w:pPr>
        <w:spacing w:before="0" w:after="0" w:line="276" w:lineRule="auto"/>
        <w:ind w:right="29"/>
        <w:rPr>
          <w:lang w:val="en-US"/>
        </w:rPr>
      </w:pPr>
      <w:r w:rsidRPr="004E0774">
        <w:rPr>
          <w:b/>
          <w:bCs/>
        </w:rPr>
        <w:t>2.</w:t>
      </w:r>
      <w:r>
        <w:rPr>
          <w:b/>
          <w:bCs/>
        </w:rPr>
        <w:t>4</w:t>
      </w:r>
      <w:r w:rsidRPr="004E0774">
        <w:rPr>
          <w:b/>
          <w:bCs/>
        </w:rPr>
        <w:t xml:space="preserve"> Theoretical Framework review: </w:t>
      </w:r>
      <w:r w:rsidRPr="004E0774">
        <w:rPr>
          <w:lang w:val="en-US"/>
        </w:rPr>
        <w:t xml:space="preserve">The theory of capital structure, developed by Modigliani </w:t>
      </w:r>
      <w:r w:rsidR="00322C12">
        <w:t>and</w:t>
      </w:r>
      <w:r w:rsidRPr="004E0774">
        <w:rPr>
          <w:lang w:val="en-US"/>
        </w:rPr>
        <w:t xml:space="preserve"> Miller (1958), asserts that in a perfect capital market, a firm's value is independent of its financing method. However, real-world factors such as taxes, bankruptcy costs, information asymmetry, and agency problems make capital structure relevant (Modigliani </w:t>
      </w:r>
      <w:r w:rsidR="00322C12">
        <w:t>and</w:t>
      </w:r>
      <w:r w:rsidRPr="004E0774">
        <w:rPr>
          <w:lang w:val="en-US"/>
        </w:rPr>
        <w:t xml:space="preserve"> Miller, 1963; Jensen </w:t>
      </w:r>
      <w:r w:rsidR="00322C12">
        <w:t>and</w:t>
      </w:r>
      <w:r w:rsidRPr="004E0774">
        <w:rPr>
          <w:lang w:val="en-US"/>
        </w:rPr>
        <w:t xml:space="preserve"> Meckling, 1976). These factors inform contemporary capital structure theories explaining firms' leverage behavior. Evidence from bank-dominated emerging economies shows that institutional constraints and firm-specific characteristics shape capital structure choices, often reducing the predictive power of classical leverage determinants </w:t>
      </w:r>
      <w:r w:rsidRPr="004E0774">
        <w:rPr>
          <w:lang w:val="en-US"/>
        </w:rPr>
        <w:lastRenderedPageBreak/>
        <w:t xml:space="preserve">(Chen, 2004). The trade-off theory suggests that companies determine an optimal debt level by balancing the tax benefits of debt against the costs of financial distress and bankruptcy (Kraus </w:t>
      </w:r>
      <w:r w:rsidR="00322C12">
        <w:t>and</w:t>
      </w:r>
      <w:r w:rsidRPr="004E0774">
        <w:rPr>
          <w:lang w:val="en-US"/>
        </w:rPr>
        <w:t xml:space="preserve"> Litzenberger, 1973; Harris </w:t>
      </w:r>
      <w:r w:rsidR="00322C12">
        <w:t>and</w:t>
      </w:r>
      <w:r w:rsidRPr="004E0774">
        <w:rPr>
          <w:lang w:val="en-US"/>
        </w:rPr>
        <w:t xml:space="preserve"> Raviv, 1991). Firms with stable cash flows, larger size, and more tangible assets tend to use higher leverage, as they are less likely to face bankruptcy and can provide collateral to reduce borrowing costs. However, during uncertainty, the costs of financial distress rise, potentially lowering the optimal leverage level.</w:t>
      </w:r>
    </w:p>
    <w:p w14:paraId="1250F7EC" w14:textId="7B6C7EBB" w:rsidR="000A53A2" w:rsidRDefault="000A53A2" w:rsidP="000A53A2">
      <w:pPr>
        <w:spacing w:before="0" w:after="0" w:line="276" w:lineRule="auto"/>
        <w:ind w:right="29"/>
        <w:rPr>
          <w:lang w:val="en-US"/>
        </w:rPr>
      </w:pPr>
      <w:r w:rsidRPr="004E0774">
        <w:rPr>
          <w:lang w:val="en-US"/>
        </w:rPr>
        <w:t xml:space="preserve">In contrast, the pecking order theory emphasizes the information asymmetry between managers and external investors (Myers </w:t>
      </w:r>
      <w:r w:rsidR="00322C12">
        <w:t>and</w:t>
      </w:r>
      <w:r w:rsidRPr="004E0774">
        <w:rPr>
          <w:lang w:val="en-US"/>
        </w:rPr>
        <w:t xml:space="preserve"> Majluf, 1984). Firms are assumed to finance themselves internally first, then through debt, and finally through equity. More profitable and liquid firms are less likely to rely on external debt. During crises, when uncertainty increases and external funding becomes costlier or limited, the pecking order mechanism strengthens, leading to deleveraging behavior. Agency theory addresses conflicts among managers, shareholders, and debt holders (Jensen </w:t>
      </w:r>
      <w:r w:rsidR="00322C12">
        <w:t>and</w:t>
      </w:r>
      <w:r w:rsidRPr="004E0774">
        <w:rPr>
          <w:lang w:val="en-US"/>
        </w:rPr>
        <w:t xml:space="preserve"> Meckling, 1976). Debt can restrict managers' free cash flow and discretion (Jensen, 1986). From an agency perspective, capital structure reflects managerial discretion over financing policies, where excessive leverage can heighten conflicts among stakeholders, particularly in weak governance environments (Stulz, 1990). High leverage can exacerbate agency problems between shareholders and creditors, especially with low creditor protection. These perspectives indicate that capital structure choices vary with firm attributes, institutional resources, and external shocks. During crises, the interplay of increased bankruptcy risk, information asymmetry, and agency costs likely alters firms' financing preferences, resulting in changes in leverage levels and debt maturity structures. Evidence from other emerging economies shows that capital structure decisions are heavily influenced by financial system characteristics and institutional quality rather than solely firm-level fundamentals (Huang, 2006).</w:t>
      </w:r>
      <w:bookmarkStart w:id="5" w:name="_4ixmo0k11u4q" w:colFirst="0" w:colLast="0"/>
      <w:bookmarkStart w:id="6" w:name="_kyo01ut8k34d" w:colFirst="0" w:colLast="0"/>
      <w:bookmarkEnd w:id="5"/>
      <w:bookmarkEnd w:id="6"/>
    </w:p>
    <w:p w14:paraId="4743D3DA" w14:textId="77777777" w:rsidR="000A53A2" w:rsidRDefault="000A53A2" w:rsidP="000A53A2">
      <w:pPr>
        <w:spacing w:before="0" w:after="0" w:line="276" w:lineRule="auto"/>
        <w:ind w:right="29"/>
        <w:rPr>
          <w:b/>
          <w:bCs/>
          <w:sz w:val="26"/>
          <w:szCs w:val="26"/>
          <w:lang w:val="en-US"/>
        </w:rPr>
      </w:pPr>
      <w:r>
        <w:rPr>
          <w:b/>
          <w:bCs/>
          <w:sz w:val="26"/>
          <w:szCs w:val="26"/>
        </w:rPr>
        <w:t xml:space="preserve">  </w:t>
      </w:r>
      <w:r w:rsidRPr="00616A3F">
        <w:rPr>
          <w:b/>
          <w:bCs/>
          <w:sz w:val="26"/>
          <w:szCs w:val="26"/>
        </w:rPr>
        <w:t>3. Research Methodology</w:t>
      </w:r>
      <w:r>
        <w:rPr>
          <w:b/>
          <w:bCs/>
          <w:sz w:val="26"/>
          <w:szCs w:val="26"/>
        </w:rPr>
        <w:t>:</w:t>
      </w:r>
    </w:p>
    <w:p w14:paraId="1023381A" w14:textId="14EC770D" w:rsidR="000A53A2" w:rsidRPr="008F2E18" w:rsidRDefault="000A53A2" w:rsidP="000A53A2">
      <w:pPr>
        <w:spacing w:before="0" w:after="0" w:line="276" w:lineRule="auto"/>
        <w:ind w:right="29"/>
        <w:rPr>
          <w:b/>
          <w:bCs/>
          <w:sz w:val="26"/>
          <w:szCs w:val="26"/>
          <w:lang w:val="en-US"/>
        </w:rPr>
      </w:pPr>
      <w:r w:rsidRPr="00A6290A">
        <w:rPr>
          <w:b/>
          <w:bCs/>
        </w:rPr>
        <w:t>3.1 Sample Design:</w:t>
      </w:r>
      <w:r>
        <w:t xml:space="preserve"> </w:t>
      </w:r>
      <w:r w:rsidRPr="00A6290A">
        <w:t xml:space="preserve">The sample targeted is all publicly traded pharmaceutical and chemical companies in Bangladesh, which have provided audited financial statements every year since 2015. </w:t>
      </w:r>
      <w:r>
        <w:t xml:space="preserve">The research centres on the pharmaceutical and chemical businesses in Bangladesh that are listed publicly to investigate the effects of COVID-19 on the capital structure. It is one of the strongest sectors of the Bangladeshi economy that existed even during the pandemic. The reason why financial institutions are not included is because they have a different regulatory environment and balance-sheet structure, which is non-comparable to their behaviour on capital structure with non-financial firms (Booth </w:t>
      </w:r>
      <w:r w:rsidRPr="00322C12">
        <w:rPr>
          <w:i/>
          <w:iCs/>
        </w:rPr>
        <w:t>et al.,</w:t>
      </w:r>
      <w:r>
        <w:t xml:space="preserve"> 2001).</w:t>
      </w:r>
      <w:bookmarkStart w:id="7" w:name="_apzxfl1qusdt" w:colFirst="0" w:colLast="0"/>
      <w:bookmarkEnd w:id="7"/>
      <w:r>
        <w:t xml:space="preserve"> </w:t>
      </w:r>
      <w:r w:rsidRPr="00A6290A">
        <w:t>Primary sources of data included annual reports, Dhaka Stock Exchange (DSE) filings and websites of companies. It spans years before the pandemic (2015-2019) and after the pandemic (2020</w:t>
      </w:r>
      <w:r>
        <w:t>-</w:t>
      </w:r>
      <w:r w:rsidRPr="00A6290A">
        <w:t>2024), which allows comparing the years. Having filtered out the firms that had not provided complete financial information, the final sample comprise</w:t>
      </w:r>
      <w:r>
        <w:t>d</w:t>
      </w:r>
      <w:r w:rsidRPr="00A6290A">
        <w:t xml:space="preserve"> of 22 firms which will represent a biassed panel dataset of around 19</w:t>
      </w:r>
      <w:r>
        <w:t>6</w:t>
      </w:r>
      <w:r w:rsidRPr="00A6290A">
        <w:t xml:space="preserve"> firm-years. This is a sufficient sample size compared to other capital structure panel studies in the emerging markets (Booth </w:t>
      </w:r>
      <w:r w:rsidRPr="00322C12">
        <w:rPr>
          <w:i/>
          <w:iCs/>
        </w:rPr>
        <w:t>et al.,</w:t>
      </w:r>
      <w:r w:rsidRPr="00A6290A">
        <w:t xml:space="preserve"> 2001; Afroze </w:t>
      </w:r>
      <w:r w:rsidR="00322C12">
        <w:t>and</w:t>
      </w:r>
      <w:r w:rsidRPr="00A6290A">
        <w:t xml:space="preserve"> Khan, 2022). The financial variables were all recoded into Bangladeshi Taka (BDT) and </w:t>
      </w:r>
      <w:proofErr w:type="spellStart"/>
      <w:r w:rsidRPr="00A6290A">
        <w:t>winsorized</w:t>
      </w:r>
      <w:proofErr w:type="spellEnd"/>
      <w:r w:rsidRPr="00A6290A">
        <w:t xml:space="preserve"> at the 1st and 99th percentile in order to reduce the impact of outliers. Following this, descriptive </w:t>
      </w:r>
      <w:r w:rsidRPr="00A6290A">
        <w:lastRenderedPageBreak/>
        <w:t xml:space="preserve">statistics and diagnostics </w:t>
      </w:r>
      <w:r>
        <w:t>tests</w:t>
      </w:r>
      <w:r w:rsidRPr="00A6290A">
        <w:t xml:space="preserve"> were conducted with the help of Stata 17 which was used as the statistical software throughout the analysis.</w:t>
      </w:r>
    </w:p>
    <w:p w14:paraId="322BF21F" w14:textId="45CDDC28" w:rsidR="000A53A2" w:rsidRDefault="000A53A2" w:rsidP="000A53A2">
      <w:pPr>
        <w:spacing w:before="0" w:after="0" w:line="276" w:lineRule="auto"/>
        <w:ind w:right="29"/>
      </w:pPr>
      <w:r w:rsidRPr="00A6290A">
        <w:rPr>
          <w:b/>
          <w:bCs/>
        </w:rPr>
        <w:t>3.2 Variable Selection and Measurement:</w:t>
      </w:r>
      <w:r>
        <w:rPr>
          <w:b/>
          <w:bCs/>
        </w:rPr>
        <w:t xml:space="preserve"> </w:t>
      </w:r>
      <w:r>
        <w:t xml:space="preserve">According to the theoretical framework and previous empirical literature, the study views the firm-specific traits such as profitability, tangibility, firm size, liquidity and growth opportunities as the determinants of capital structure. </w:t>
      </w:r>
      <w:r w:rsidRPr="00A6290A">
        <w:t xml:space="preserve">Following prior literature, particularly Prakash </w:t>
      </w:r>
      <w:r w:rsidRPr="00322C12">
        <w:rPr>
          <w:i/>
          <w:iCs/>
        </w:rPr>
        <w:t>et al.</w:t>
      </w:r>
      <w:r w:rsidR="00322C12" w:rsidRPr="00322C12">
        <w:rPr>
          <w:i/>
          <w:iCs/>
        </w:rPr>
        <w:t>,</w:t>
      </w:r>
      <w:r w:rsidRPr="00A6290A">
        <w:t xml:space="preserve"> (2023) and Frank </w:t>
      </w:r>
      <w:r w:rsidR="00322C12">
        <w:t>and</w:t>
      </w:r>
      <w:r w:rsidRPr="00A6290A">
        <w:t xml:space="preserve"> Goyal (2009), this study identifies three dependent variables representing different leverage measures and several independent variables reflecting firm characteristics and external shocks. </w:t>
      </w:r>
      <w:r>
        <w:t>The difference between the pandemic and pre-pandemic period is brought into a binary dummy variable. The variables used in analysis are summarised as table 1.</w:t>
      </w:r>
      <w:bookmarkStart w:id="8" w:name="_rcyb5d456ozt" w:colFirst="0" w:colLast="0"/>
      <w:bookmarkEnd w:id="8"/>
      <w:r>
        <w:t xml:space="preserve"> </w:t>
      </w:r>
    </w:p>
    <w:p w14:paraId="5AF45D56" w14:textId="77777777" w:rsidR="000A53A2" w:rsidRPr="00A6290A" w:rsidRDefault="000A53A2" w:rsidP="000A53A2">
      <w:pPr>
        <w:spacing w:before="0" w:after="0" w:line="276" w:lineRule="auto"/>
        <w:ind w:right="29"/>
        <w:jc w:val="center"/>
        <w:rPr>
          <w:b/>
          <w:bCs/>
        </w:rPr>
      </w:pPr>
      <w:bookmarkStart w:id="9" w:name="_Hlk217556070"/>
      <w:r w:rsidRPr="00A6290A">
        <w:rPr>
          <w:b/>
          <w:bCs/>
        </w:rPr>
        <w:t>Table 1 Variables</w:t>
      </w:r>
      <w:r>
        <w:rPr>
          <w:b/>
          <w:bCs/>
        </w:rPr>
        <w:t xml:space="preserve"> Measurement</w:t>
      </w:r>
    </w:p>
    <w:tbl>
      <w:tblPr>
        <w:tblStyle w:val="GridTable5Dark-Accent1"/>
        <w:tblW w:w="9270" w:type="dxa"/>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1096"/>
        <w:gridCol w:w="1304"/>
        <w:gridCol w:w="1548"/>
        <w:gridCol w:w="1794"/>
        <w:gridCol w:w="1133"/>
        <w:gridCol w:w="2395"/>
      </w:tblGrid>
      <w:tr w:rsidR="000A53A2" w:rsidRPr="00616A3F" w14:paraId="6E1B15D0" w14:textId="77777777" w:rsidTr="004E18BA">
        <w:trPr>
          <w:trHeight w:val="519"/>
        </w:trPr>
        <w:tc>
          <w:tcPr>
            <w:tcW w:w="0" w:type="auto"/>
          </w:tcPr>
          <w:p w14:paraId="6BAD906B" w14:textId="77777777" w:rsidR="000A53A2" w:rsidRPr="00616A3F" w:rsidRDefault="000A53A2" w:rsidP="004E18BA">
            <w:pPr>
              <w:spacing w:before="0"/>
              <w:rPr>
                <w:b/>
                <w:bCs/>
                <w:sz w:val="22"/>
                <w:szCs w:val="22"/>
              </w:rPr>
            </w:pPr>
            <w:r>
              <w:rPr>
                <w:b/>
                <w:bCs/>
                <w:sz w:val="22"/>
                <w:szCs w:val="22"/>
              </w:rPr>
              <w:t>Acronym</w:t>
            </w:r>
          </w:p>
        </w:tc>
        <w:tc>
          <w:tcPr>
            <w:tcW w:w="0" w:type="auto"/>
          </w:tcPr>
          <w:p w14:paraId="7C8A5373" w14:textId="77777777" w:rsidR="000A53A2" w:rsidRPr="00616A3F" w:rsidRDefault="000A53A2" w:rsidP="004E18BA">
            <w:pPr>
              <w:spacing w:before="0"/>
              <w:jc w:val="center"/>
              <w:rPr>
                <w:b/>
                <w:bCs/>
                <w:sz w:val="22"/>
                <w:szCs w:val="22"/>
              </w:rPr>
            </w:pPr>
            <w:r w:rsidRPr="00616A3F">
              <w:rPr>
                <w:b/>
                <w:bCs/>
                <w:sz w:val="22"/>
                <w:szCs w:val="22"/>
              </w:rPr>
              <w:t>Category</w:t>
            </w:r>
          </w:p>
        </w:tc>
        <w:tc>
          <w:tcPr>
            <w:tcW w:w="0" w:type="auto"/>
          </w:tcPr>
          <w:p w14:paraId="61B06946" w14:textId="77777777" w:rsidR="000A53A2" w:rsidRPr="00616A3F" w:rsidRDefault="000A53A2" w:rsidP="004E18BA">
            <w:pPr>
              <w:spacing w:before="0"/>
              <w:jc w:val="center"/>
              <w:rPr>
                <w:b/>
                <w:bCs/>
                <w:sz w:val="22"/>
                <w:szCs w:val="22"/>
              </w:rPr>
            </w:pPr>
            <w:r w:rsidRPr="00616A3F">
              <w:rPr>
                <w:b/>
                <w:bCs/>
                <w:sz w:val="22"/>
                <w:szCs w:val="22"/>
              </w:rPr>
              <w:t>Description</w:t>
            </w:r>
          </w:p>
        </w:tc>
        <w:tc>
          <w:tcPr>
            <w:tcW w:w="0" w:type="auto"/>
          </w:tcPr>
          <w:p w14:paraId="47C37E11" w14:textId="77777777" w:rsidR="000A53A2" w:rsidRPr="00616A3F" w:rsidRDefault="000A53A2" w:rsidP="004E18BA">
            <w:pPr>
              <w:spacing w:before="0"/>
              <w:jc w:val="center"/>
              <w:rPr>
                <w:b/>
                <w:bCs/>
                <w:sz w:val="22"/>
                <w:szCs w:val="22"/>
              </w:rPr>
            </w:pPr>
            <w:r w:rsidRPr="00616A3F">
              <w:rPr>
                <w:b/>
                <w:bCs/>
                <w:sz w:val="22"/>
                <w:szCs w:val="22"/>
              </w:rPr>
              <w:t>Measurement</w:t>
            </w:r>
          </w:p>
        </w:tc>
        <w:tc>
          <w:tcPr>
            <w:tcW w:w="0" w:type="auto"/>
          </w:tcPr>
          <w:p w14:paraId="31C831A3" w14:textId="77777777" w:rsidR="000A53A2" w:rsidRPr="00616A3F" w:rsidRDefault="000A53A2" w:rsidP="004E18BA">
            <w:pPr>
              <w:spacing w:before="0"/>
              <w:jc w:val="center"/>
              <w:rPr>
                <w:b/>
                <w:bCs/>
                <w:sz w:val="22"/>
                <w:szCs w:val="22"/>
              </w:rPr>
            </w:pPr>
            <w:r w:rsidRPr="00616A3F">
              <w:rPr>
                <w:b/>
                <w:bCs/>
                <w:sz w:val="22"/>
                <w:szCs w:val="22"/>
              </w:rPr>
              <w:t>Expected Sign</w:t>
            </w:r>
          </w:p>
        </w:tc>
        <w:tc>
          <w:tcPr>
            <w:tcW w:w="2395" w:type="dxa"/>
          </w:tcPr>
          <w:p w14:paraId="6824FD6C" w14:textId="77777777" w:rsidR="000A53A2" w:rsidRPr="00616A3F" w:rsidRDefault="000A53A2" w:rsidP="004E18BA">
            <w:pPr>
              <w:spacing w:before="0"/>
              <w:jc w:val="center"/>
              <w:rPr>
                <w:b/>
                <w:bCs/>
                <w:sz w:val="22"/>
                <w:szCs w:val="22"/>
              </w:rPr>
            </w:pPr>
            <w:r w:rsidRPr="00616A3F">
              <w:rPr>
                <w:b/>
                <w:bCs/>
                <w:sz w:val="22"/>
                <w:szCs w:val="22"/>
              </w:rPr>
              <w:t>Source</w:t>
            </w:r>
          </w:p>
        </w:tc>
      </w:tr>
      <w:tr w:rsidR="000A53A2" w:rsidRPr="00616A3F" w14:paraId="6BF55D30" w14:textId="77777777" w:rsidTr="004E18BA">
        <w:trPr>
          <w:trHeight w:val="652"/>
        </w:trPr>
        <w:tc>
          <w:tcPr>
            <w:tcW w:w="0" w:type="auto"/>
          </w:tcPr>
          <w:p w14:paraId="2020B6E3" w14:textId="77777777" w:rsidR="000A53A2" w:rsidRPr="00616A3F" w:rsidRDefault="000A53A2" w:rsidP="004E18BA">
            <w:pPr>
              <w:spacing w:before="0"/>
              <w:jc w:val="center"/>
              <w:rPr>
                <w:b/>
                <w:bCs/>
                <w:sz w:val="22"/>
                <w:szCs w:val="22"/>
              </w:rPr>
            </w:pPr>
            <w:r w:rsidRPr="00616A3F">
              <w:rPr>
                <w:b/>
                <w:bCs/>
                <w:sz w:val="22"/>
                <w:szCs w:val="22"/>
              </w:rPr>
              <w:t>TLR</w:t>
            </w:r>
          </w:p>
        </w:tc>
        <w:tc>
          <w:tcPr>
            <w:tcW w:w="0" w:type="auto"/>
          </w:tcPr>
          <w:p w14:paraId="2214F2B7" w14:textId="77777777" w:rsidR="000A53A2" w:rsidRPr="00616A3F" w:rsidRDefault="000A53A2" w:rsidP="004E18BA">
            <w:pPr>
              <w:spacing w:before="0"/>
              <w:jc w:val="center"/>
              <w:rPr>
                <w:sz w:val="22"/>
                <w:szCs w:val="22"/>
              </w:rPr>
            </w:pPr>
            <w:r w:rsidRPr="00616A3F">
              <w:rPr>
                <w:sz w:val="22"/>
                <w:szCs w:val="22"/>
              </w:rPr>
              <w:t>Dependent</w:t>
            </w:r>
          </w:p>
        </w:tc>
        <w:tc>
          <w:tcPr>
            <w:tcW w:w="0" w:type="auto"/>
          </w:tcPr>
          <w:p w14:paraId="18B01E90" w14:textId="77777777" w:rsidR="000A53A2" w:rsidRPr="00616A3F" w:rsidRDefault="000A53A2" w:rsidP="004E18BA">
            <w:pPr>
              <w:spacing w:before="0"/>
              <w:jc w:val="center"/>
              <w:rPr>
                <w:sz w:val="22"/>
                <w:szCs w:val="22"/>
              </w:rPr>
            </w:pPr>
            <w:r w:rsidRPr="00616A3F">
              <w:rPr>
                <w:sz w:val="22"/>
                <w:szCs w:val="22"/>
              </w:rPr>
              <w:t>Total Leverage Ratio</w:t>
            </w:r>
          </w:p>
        </w:tc>
        <w:tc>
          <w:tcPr>
            <w:tcW w:w="0" w:type="auto"/>
          </w:tcPr>
          <w:p w14:paraId="37914A1D" w14:textId="77777777" w:rsidR="000A53A2" w:rsidRPr="00616A3F" w:rsidRDefault="000A53A2" w:rsidP="004E18BA">
            <w:pPr>
              <w:spacing w:before="0"/>
              <w:jc w:val="center"/>
              <w:rPr>
                <w:sz w:val="22"/>
                <w:szCs w:val="22"/>
              </w:rPr>
            </w:pPr>
            <w:r w:rsidRPr="00616A3F">
              <w:rPr>
                <w:sz w:val="22"/>
                <w:szCs w:val="22"/>
              </w:rPr>
              <w:t>Total debt / Total assets</w:t>
            </w:r>
          </w:p>
        </w:tc>
        <w:tc>
          <w:tcPr>
            <w:tcW w:w="0" w:type="auto"/>
          </w:tcPr>
          <w:p w14:paraId="5BD4FF2B"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154DFD26" w14:textId="2B284127" w:rsidR="000A53A2" w:rsidRPr="00616A3F" w:rsidRDefault="000A53A2" w:rsidP="004E18BA">
            <w:pPr>
              <w:spacing w:before="0"/>
              <w:jc w:val="center"/>
              <w:rPr>
                <w:sz w:val="22"/>
                <w:szCs w:val="22"/>
              </w:rPr>
            </w:pPr>
            <w:r w:rsidRPr="00616A3F">
              <w:rPr>
                <w:sz w:val="22"/>
                <w:szCs w:val="22"/>
              </w:rPr>
              <w:t xml:space="preserve">Prakash </w:t>
            </w:r>
            <w:r w:rsidRPr="00322C12">
              <w:rPr>
                <w:i/>
                <w:iCs/>
                <w:sz w:val="22"/>
                <w:szCs w:val="22"/>
              </w:rPr>
              <w:t>et al.</w:t>
            </w:r>
            <w:r w:rsidR="00322C12" w:rsidRPr="00322C12">
              <w:rPr>
                <w:i/>
                <w:iCs/>
                <w:sz w:val="22"/>
                <w:szCs w:val="22"/>
              </w:rPr>
              <w:t>,</w:t>
            </w:r>
            <w:r w:rsidRPr="00616A3F">
              <w:rPr>
                <w:sz w:val="22"/>
                <w:szCs w:val="22"/>
              </w:rPr>
              <w:t xml:space="preserve"> (2023); Booth </w:t>
            </w:r>
            <w:r w:rsidRPr="00322C12">
              <w:rPr>
                <w:i/>
                <w:iCs/>
                <w:sz w:val="22"/>
                <w:szCs w:val="22"/>
              </w:rPr>
              <w:t>et al.</w:t>
            </w:r>
            <w:r w:rsidR="00322C12" w:rsidRPr="00322C12">
              <w:rPr>
                <w:i/>
                <w:iCs/>
                <w:sz w:val="22"/>
                <w:szCs w:val="22"/>
              </w:rPr>
              <w:t>,</w:t>
            </w:r>
            <w:r w:rsidRPr="00616A3F">
              <w:rPr>
                <w:sz w:val="22"/>
                <w:szCs w:val="22"/>
              </w:rPr>
              <w:t xml:space="preserve"> (2001)</w:t>
            </w:r>
          </w:p>
        </w:tc>
      </w:tr>
      <w:tr w:rsidR="000A53A2" w:rsidRPr="00616A3F" w14:paraId="35CD7FEB" w14:textId="77777777" w:rsidTr="004E18BA">
        <w:trPr>
          <w:trHeight w:val="510"/>
        </w:trPr>
        <w:tc>
          <w:tcPr>
            <w:tcW w:w="0" w:type="auto"/>
          </w:tcPr>
          <w:p w14:paraId="3F04F818" w14:textId="77777777" w:rsidR="000A53A2" w:rsidRPr="00616A3F" w:rsidRDefault="000A53A2" w:rsidP="004E18BA">
            <w:pPr>
              <w:spacing w:before="0"/>
              <w:jc w:val="center"/>
              <w:rPr>
                <w:b/>
                <w:bCs/>
                <w:sz w:val="22"/>
                <w:szCs w:val="22"/>
              </w:rPr>
            </w:pPr>
            <w:r w:rsidRPr="00616A3F">
              <w:rPr>
                <w:b/>
                <w:bCs/>
                <w:sz w:val="22"/>
                <w:szCs w:val="22"/>
              </w:rPr>
              <w:t>STLR</w:t>
            </w:r>
          </w:p>
        </w:tc>
        <w:tc>
          <w:tcPr>
            <w:tcW w:w="0" w:type="auto"/>
          </w:tcPr>
          <w:p w14:paraId="3CAE7BB9" w14:textId="77777777" w:rsidR="000A53A2" w:rsidRPr="00616A3F" w:rsidRDefault="000A53A2" w:rsidP="004E18BA">
            <w:pPr>
              <w:spacing w:before="0"/>
              <w:jc w:val="center"/>
              <w:rPr>
                <w:sz w:val="22"/>
                <w:szCs w:val="22"/>
              </w:rPr>
            </w:pPr>
            <w:r w:rsidRPr="00616A3F">
              <w:rPr>
                <w:sz w:val="22"/>
                <w:szCs w:val="22"/>
              </w:rPr>
              <w:t>Dependent</w:t>
            </w:r>
          </w:p>
        </w:tc>
        <w:tc>
          <w:tcPr>
            <w:tcW w:w="0" w:type="auto"/>
          </w:tcPr>
          <w:p w14:paraId="0CCD3B3B" w14:textId="77777777" w:rsidR="000A53A2" w:rsidRPr="00616A3F" w:rsidRDefault="000A53A2" w:rsidP="004E18BA">
            <w:pPr>
              <w:spacing w:before="0"/>
              <w:jc w:val="center"/>
              <w:rPr>
                <w:sz w:val="22"/>
                <w:szCs w:val="22"/>
              </w:rPr>
            </w:pPr>
            <w:r w:rsidRPr="00616A3F">
              <w:rPr>
                <w:sz w:val="22"/>
                <w:szCs w:val="22"/>
              </w:rPr>
              <w:t>Short-term Leverage Ratio</w:t>
            </w:r>
          </w:p>
        </w:tc>
        <w:tc>
          <w:tcPr>
            <w:tcW w:w="0" w:type="auto"/>
          </w:tcPr>
          <w:p w14:paraId="386603CD" w14:textId="77777777" w:rsidR="000A53A2" w:rsidRPr="00616A3F" w:rsidRDefault="000A53A2" w:rsidP="004E18BA">
            <w:pPr>
              <w:spacing w:before="0"/>
              <w:jc w:val="center"/>
              <w:rPr>
                <w:sz w:val="22"/>
                <w:szCs w:val="22"/>
              </w:rPr>
            </w:pPr>
            <w:r w:rsidRPr="00616A3F">
              <w:rPr>
                <w:sz w:val="22"/>
                <w:szCs w:val="22"/>
              </w:rPr>
              <w:t>Short-term debt / Total assets</w:t>
            </w:r>
          </w:p>
        </w:tc>
        <w:tc>
          <w:tcPr>
            <w:tcW w:w="0" w:type="auto"/>
          </w:tcPr>
          <w:p w14:paraId="3CACA03F"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458C6362" w14:textId="42582D97" w:rsidR="000A53A2" w:rsidRPr="00616A3F" w:rsidRDefault="000A53A2" w:rsidP="004E18BA">
            <w:pPr>
              <w:spacing w:before="0"/>
              <w:jc w:val="center"/>
              <w:rPr>
                <w:sz w:val="22"/>
                <w:szCs w:val="22"/>
              </w:rPr>
            </w:pPr>
            <w:r w:rsidRPr="00616A3F">
              <w:rPr>
                <w:sz w:val="22"/>
                <w:szCs w:val="22"/>
              </w:rPr>
              <w:t xml:space="preserve">Prakash </w:t>
            </w:r>
            <w:r w:rsidRPr="00322C12">
              <w:rPr>
                <w:i/>
                <w:iCs/>
                <w:sz w:val="22"/>
                <w:szCs w:val="22"/>
              </w:rPr>
              <w:t>et al.</w:t>
            </w:r>
            <w:r w:rsidR="00322C12" w:rsidRPr="00322C12">
              <w:rPr>
                <w:i/>
                <w:iCs/>
                <w:sz w:val="22"/>
                <w:szCs w:val="22"/>
              </w:rPr>
              <w:t>,</w:t>
            </w:r>
            <w:r w:rsidRPr="00616A3F">
              <w:rPr>
                <w:sz w:val="22"/>
                <w:szCs w:val="22"/>
              </w:rPr>
              <w:t xml:space="preserve"> (2023)</w:t>
            </w:r>
          </w:p>
        </w:tc>
      </w:tr>
      <w:tr w:rsidR="000A53A2" w:rsidRPr="00616A3F" w14:paraId="743E672A" w14:textId="77777777" w:rsidTr="004E18BA">
        <w:trPr>
          <w:trHeight w:val="573"/>
        </w:trPr>
        <w:tc>
          <w:tcPr>
            <w:tcW w:w="0" w:type="auto"/>
          </w:tcPr>
          <w:p w14:paraId="27B121A1" w14:textId="77777777" w:rsidR="000A53A2" w:rsidRPr="00616A3F" w:rsidRDefault="000A53A2" w:rsidP="004E18BA">
            <w:pPr>
              <w:spacing w:before="0"/>
              <w:jc w:val="center"/>
              <w:rPr>
                <w:b/>
                <w:bCs/>
                <w:sz w:val="22"/>
                <w:szCs w:val="22"/>
              </w:rPr>
            </w:pPr>
            <w:r w:rsidRPr="00616A3F">
              <w:rPr>
                <w:b/>
                <w:bCs/>
                <w:sz w:val="22"/>
                <w:szCs w:val="22"/>
              </w:rPr>
              <w:t>LTLR</w:t>
            </w:r>
          </w:p>
        </w:tc>
        <w:tc>
          <w:tcPr>
            <w:tcW w:w="0" w:type="auto"/>
          </w:tcPr>
          <w:p w14:paraId="5163ED5C" w14:textId="77777777" w:rsidR="000A53A2" w:rsidRPr="00616A3F" w:rsidRDefault="000A53A2" w:rsidP="004E18BA">
            <w:pPr>
              <w:spacing w:before="0"/>
              <w:jc w:val="center"/>
              <w:rPr>
                <w:sz w:val="22"/>
                <w:szCs w:val="22"/>
              </w:rPr>
            </w:pPr>
            <w:r w:rsidRPr="00616A3F">
              <w:rPr>
                <w:sz w:val="22"/>
                <w:szCs w:val="22"/>
              </w:rPr>
              <w:t>Dependent</w:t>
            </w:r>
          </w:p>
        </w:tc>
        <w:tc>
          <w:tcPr>
            <w:tcW w:w="0" w:type="auto"/>
          </w:tcPr>
          <w:p w14:paraId="0195D464" w14:textId="77777777" w:rsidR="000A53A2" w:rsidRPr="00616A3F" w:rsidRDefault="000A53A2" w:rsidP="004E18BA">
            <w:pPr>
              <w:spacing w:before="0"/>
              <w:jc w:val="center"/>
              <w:rPr>
                <w:sz w:val="22"/>
                <w:szCs w:val="22"/>
              </w:rPr>
            </w:pPr>
            <w:r w:rsidRPr="00616A3F">
              <w:rPr>
                <w:sz w:val="22"/>
                <w:szCs w:val="22"/>
              </w:rPr>
              <w:t>Long-term Leverage Ratio</w:t>
            </w:r>
          </w:p>
        </w:tc>
        <w:tc>
          <w:tcPr>
            <w:tcW w:w="0" w:type="auto"/>
          </w:tcPr>
          <w:p w14:paraId="6C01BE5E" w14:textId="77777777" w:rsidR="000A53A2" w:rsidRPr="00616A3F" w:rsidRDefault="000A53A2" w:rsidP="004E18BA">
            <w:pPr>
              <w:spacing w:before="0"/>
              <w:jc w:val="center"/>
              <w:rPr>
                <w:sz w:val="22"/>
                <w:szCs w:val="22"/>
              </w:rPr>
            </w:pPr>
            <w:r w:rsidRPr="00616A3F">
              <w:rPr>
                <w:sz w:val="22"/>
                <w:szCs w:val="22"/>
              </w:rPr>
              <w:t>Long-term debt / Total assets</w:t>
            </w:r>
          </w:p>
        </w:tc>
        <w:tc>
          <w:tcPr>
            <w:tcW w:w="0" w:type="auto"/>
          </w:tcPr>
          <w:p w14:paraId="19F10547"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4E642DD0" w14:textId="77777777" w:rsidR="000A53A2" w:rsidRPr="00616A3F" w:rsidRDefault="000A53A2" w:rsidP="004E18BA">
            <w:pPr>
              <w:spacing w:before="0"/>
              <w:jc w:val="center"/>
              <w:rPr>
                <w:sz w:val="22"/>
                <w:szCs w:val="22"/>
              </w:rPr>
            </w:pPr>
            <w:r w:rsidRPr="00616A3F">
              <w:rPr>
                <w:sz w:val="22"/>
                <w:szCs w:val="22"/>
              </w:rPr>
              <w:t>Vo (2017); Bhaduri (2002)</w:t>
            </w:r>
          </w:p>
        </w:tc>
      </w:tr>
      <w:tr w:rsidR="000A53A2" w:rsidRPr="00616A3F" w14:paraId="601F0A0F" w14:textId="77777777" w:rsidTr="004E18BA">
        <w:trPr>
          <w:trHeight w:val="492"/>
        </w:trPr>
        <w:tc>
          <w:tcPr>
            <w:tcW w:w="0" w:type="auto"/>
          </w:tcPr>
          <w:p w14:paraId="1908B7F6" w14:textId="77777777" w:rsidR="000A53A2" w:rsidRPr="00616A3F" w:rsidRDefault="000A53A2" w:rsidP="004E18BA">
            <w:pPr>
              <w:spacing w:before="0"/>
              <w:jc w:val="center"/>
              <w:rPr>
                <w:b/>
                <w:bCs/>
                <w:sz w:val="22"/>
                <w:szCs w:val="22"/>
              </w:rPr>
            </w:pPr>
            <w:r w:rsidRPr="00616A3F">
              <w:rPr>
                <w:b/>
                <w:bCs/>
                <w:sz w:val="22"/>
                <w:szCs w:val="22"/>
              </w:rPr>
              <w:t>ROA</w:t>
            </w:r>
          </w:p>
        </w:tc>
        <w:tc>
          <w:tcPr>
            <w:tcW w:w="0" w:type="auto"/>
          </w:tcPr>
          <w:p w14:paraId="7E861C06"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79EE1334" w14:textId="77777777" w:rsidR="000A53A2" w:rsidRPr="00616A3F" w:rsidRDefault="000A53A2" w:rsidP="004E18BA">
            <w:pPr>
              <w:spacing w:before="0"/>
              <w:jc w:val="center"/>
              <w:rPr>
                <w:sz w:val="22"/>
                <w:szCs w:val="22"/>
              </w:rPr>
            </w:pPr>
            <w:r w:rsidRPr="00616A3F">
              <w:rPr>
                <w:sz w:val="22"/>
                <w:szCs w:val="22"/>
              </w:rPr>
              <w:t>Profitability</w:t>
            </w:r>
          </w:p>
        </w:tc>
        <w:tc>
          <w:tcPr>
            <w:tcW w:w="0" w:type="auto"/>
          </w:tcPr>
          <w:p w14:paraId="3D63AA00" w14:textId="77777777" w:rsidR="000A53A2" w:rsidRPr="00616A3F" w:rsidRDefault="000A53A2" w:rsidP="004E18BA">
            <w:pPr>
              <w:spacing w:before="0"/>
              <w:jc w:val="center"/>
              <w:rPr>
                <w:sz w:val="22"/>
                <w:szCs w:val="22"/>
              </w:rPr>
            </w:pPr>
            <w:r w:rsidRPr="00616A3F">
              <w:rPr>
                <w:sz w:val="22"/>
                <w:szCs w:val="22"/>
              </w:rPr>
              <w:t>Net income / Total assets</w:t>
            </w:r>
          </w:p>
        </w:tc>
        <w:tc>
          <w:tcPr>
            <w:tcW w:w="0" w:type="auto"/>
          </w:tcPr>
          <w:p w14:paraId="337DA26F" w14:textId="77777777" w:rsidR="000A53A2" w:rsidRPr="00616A3F" w:rsidRDefault="000A53A2" w:rsidP="004E18BA">
            <w:pPr>
              <w:spacing w:before="0"/>
              <w:jc w:val="center"/>
              <w:rPr>
                <w:sz w:val="22"/>
                <w:szCs w:val="22"/>
              </w:rPr>
            </w:pPr>
            <w:r w:rsidRPr="00616A3F">
              <w:rPr>
                <w:rFonts w:ascii="Gungsuh" w:eastAsia="Gungsuh" w:hAnsi="Gungsuh" w:cs="Gungsuh"/>
                <w:sz w:val="22"/>
                <w:szCs w:val="22"/>
              </w:rPr>
              <w:t>−</w:t>
            </w:r>
          </w:p>
        </w:tc>
        <w:tc>
          <w:tcPr>
            <w:tcW w:w="2395" w:type="dxa"/>
          </w:tcPr>
          <w:p w14:paraId="75CD4D65" w14:textId="7D509434" w:rsidR="000A53A2" w:rsidRPr="00616A3F" w:rsidRDefault="000A53A2" w:rsidP="004E18BA">
            <w:pPr>
              <w:spacing w:before="0"/>
              <w:jc w:val="center"/>
              <w:rPr>
                <w:sz w:val="22"/>
                <w:szCs w:val="22"/>
              </w:rPr>
            </w:pPr>
            <w:r w:rsidRPr="00616A3F">
              <w:rPr>
                <w:sz w:val="22"/>
                <w:szCs w:val="22"/>
              </w:rPr>
              <w:t xml:space="preserve">Myers (1984); Afroze </w:t>
            </w:r>
            <w:r w:rsidR="00322C12">
              <w:t>and</w:t>
            </w:r>
            <w:r w:rsidRPr="00616A3F">
              <w:rPr>
                <w:sz w:val="22"/>
                <w:szCs w:val="22"/>
              </w:rPr>
              <w:t xml:space="preserve"> Khan (2022)</w:t>
            </w:r>
          </w:p>
        </w:tc>
      </w:tr>
      <w:tr w:rsidR="000A53A2" w:rsidRPr="00616A3F" w14:paraId="281B1EA6" w14:textId="77777777" w:rsidTr="004E18BA">
        <w:trPr>
          <w:trHeight w:val="474"/>
        </w:trPr>
        <w:tc>
          <w:tcPr>
            <w:tcW w:w="0" w:type="auto"/>
          </w:tcPr>
          <w:p w14:paraId="21D1D0B8" w14:textId="77777777" w:rsidR="000A53A2" w:rsidRPr="00616A3F" w:rsidRDefault="000A53A2" w:rsidP="004E18BA">
            <w:pPr>
              <w:spacing w:before="0"/>
              <w:jc w:val="center"/>
              <w:rPr>
                <w:b/>
                <w:bCs/>
                <w:sz w:val="22"/>
                <w:szCs w:val="22"/>
              </w:rPr>
            </w:pPr>
            <w:r w:rsidRPr="00616A3F">
              <w:rPr>
                <w:b/>
                <w:bCs/>
                <w:sz w:val="22"/>
                <w:szCs w:val="22"/>
              </w:rPr>
              <w:t>TANG</w:t>
            </w:r>
          </w:p>
        </w:tc>
        <w:tc>
          <w:tcPr>
            <w:tcW w:w="0" w:type="auto"/>
          </w:tcPr>
          <w:p w14:paraId="0940F292"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1BA688B5" w14:textId="77777777" w:rsidR="000A53A2" w:rsidRPr="00616A3F" w:rsidRDefault="000A53A2" w:rsidP="004E18BA">
            <w:pPr>
              <w:spacing w:before="0"/>
              <w:jc w:val="center"/>
              <w:rPr>
                <w:sz w:val="22"/>
                <w:szCs w:val="22"/>
              </w:rPr>
            </w:pPr>
            <w:r w:rsidRPr="00616A3F">
              <w:rPr>
                <w:sz w:val="22"/>
                <w:szCs w:val="22"/>
              </w:rPr>
              <w:t>Asset Tangibility</w:t>
            </w:r>
          </w:p>
        </w:tc>
        <w:tc>
          <w:tcPr>
            <w:tcW w:w="0" w:type="auto"/>
          </w:tcPr>
          <w:p w14:paraId="5ED74E09" w14:textId="77777777" w:rsidR="000A53A2" w:rsidRPr="00616A3F" w:rsidRDefault="000A53A2" w:rsidP="004E18BA">
            <w:pPr>
              <w:spacing w:before="0"/>
              <w:jc w:val="center"/>
              <w:rPr>
                <w:sz w:val="22"/>
                <w:szCs w:val="22"/>
              </w:rPr>
            </w:pPr>
            <w:r w:rsidRPr="00616A3F">
              <w:rPr>
                <w:sz w:val="22"/>
                <w:szCs w:val="22"/>
              </w:rPr>
              <w:t>Fixed assets / Total assets</w:t>
            </w:r>
          </w:p>
        </w:tc>
        <w:tc>
          <w:tcPr>
            <w:tcW w:w="0" w:type="auto"/>
          </w:tcPr>
          <w:p w14:paraId="04D997A6"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2A9B6FC2" w14:textId="573F66E8" w:rsidR="000A53A2" w:rsidRPr="00616A3F" w:rsidRDefault="000A53A2" w:rsidP="004E18BA">
            <w:pPr>
              <w:spacing w:before="0"/>
              <w:jc w:val="center"/>
              <w:rPr>
                <w:sz w:val="22"/>
                <w:szCs w:val="22"/>
              </w:rPr>
            </w:pPr>
            <w:r w:rsidRPr="00616A3F">
              <w:rPr>
                <w:sz w:val="22"/>
                <w:szCs w:val="22"/>
              </w:rPr>
              <w:t xml:space="preserve">Rajan </w:t>
            </w:r>
            <w:r w:rsidR="00322C12">
              <w:t>and</w:t>
            </w:r>
            <w:r w:rsidRPr="00616A3F">
              <w:rPr>
                <w:sz w:val="22"/>
                <w:szCs w:val="22"/>
              </w:rPr>
              <w:t xml:space="preserve"> Zingales (1995)</w:t>
            </w:r>
          </w:p>
        </w:tc>
      </w:tr>
      <w:tr w:rsidR="000A53A2" w:rsidRPr="00616A3F" w14:paraId="5783DB94" w14:textId="77777777" w:rsidTr="004E18BA">
        <w:trPr>
          <w:trHeight w:val="537"/>
        </w:trPr>
        <w:tc>
          <w:tcPr>
            <w:tcW w:w="0" w:type="auto"/>
          </w:tcPr>
          <w:p w14:paraId="3373907C" w14:textId="77777777" w:rsidR="000A53A2" w:rsidRPr="00616A3F" w:rsidRDefault="000A53A2" w:rsidP="004E18BA">
            <w:pPr>
              <w:spacing w:before="0"/>
              <w:jc w:val="center"/>
              <w:rPr>
                <w:b/>
                <w:bCs/>
                <w:sz w:val="22"/>
                <w:szCs w:val="22"/>
              </w:rPr>
            </w:pPr>
            <w:r w:rsidRPr="00616A3F">
              <w:rPr>
                <w:b/>
                <w:bCs/>
                <w:sz w:val="22"/>
                <w:szCs w:val="22"/>
              </w:rPr>
              <w:t>SIZE</w:t>
            </w:r>
          </w:p>
        </w:tc>
        <w:tc>
          <w:tcPr>
            <w:tcW w:w="0" w:type="auto"/>
          </w:tcPr>
          <w:p w14:paraId="737AB824"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45F727C7" w14:textId="77777777" w:rsidR="000A53A2" w:rsidRPr="00616A3F" w:rsidRDefault="000A53A2" w:rsidP="004E18BA">
            <w:pPr>
              <w:spacing w:before="0"/>
              <w:jc w:val="center"/>
              <w:rPr>
                <w:sz w:val="22"/>
                <w:szCs w:val="22"/>
              </w:rPr>
            </w:pPr>
            <w:r w:rsidRPr="00616A3F">
              <w:rPr>
                <w:sz w:val="22"/>
                <w:szCs w:val="22"/>
              </w:rPr>
              <w:t>Firm Size</w:t>
            </w:r>
          </w:p>
        </w:tc>
        <w:tc>
          <w:tcPr>
            <w:tcW w:w="0" w:type="auto"/>
          </w:tcPr>
          <w:p w14:paraId="35BDC9F2" w14:textId="77777777" w:rsidR="000A53A2" w:rsidRPr="00616A3F" w:rsidRDefault="000A53A2" w:rsidP="004E18BA">
            <w:pPr>
              <w:spacing w:before="0"/>
              <w:jc w:val="center"/>
              <w:rPr>
                <w:sz w:val="22"/>
                <w:szCs w:val="22"/>
              </w:rPr>
            </w:pPr>
            <w:r w:rsidRPr="00616A3F">
              <w:rPr>
                <w:sz w:val="22"/>
                <w:szCs w:val="22"/>
              </w:rPr>
              <w:t>Natural logarithm of total assets</w:t>
            </w:r>
          </w:p>
        </w:tc>
        <w:tc>
          <w:tcPr>
            <w:tcW w:w="0" w:type="auto"/>
          </w:tcPr>
          <w:p w14:paraId="4CF91BC9"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0BABC3D1" w14:textId="79146E55" w:rsidR="000A53A2" w:rsidRPr="00616A3F" w:rsidRDefault="000A53A2" w:rsidP="004E18BA">
            <w:pPr>
              <w:spacing w:before="0"/>
              <w:jc w:val="center"/>
              <w:rPr>
                <w:sz w:val="22"/>
                <w:szCs w:val="22"/>
              </w:rPr>
            </w:pPr>
            <w:r w:rsidRPr="00616A3F">
              <w:rPr>
                <w:sz w:val="22"/>
                <w:szCs w:val="22"/>
              </w:rPr>
              <w:t xml:space="preserve">Harris </w:t>
            </w:r>
            <w:r w:rsidR="00322C12">
              <w:t>and</w:t>
            </w:r>
            <w:r w:rsidRPr="00616A3F">
              <w:rPr>
                <w:sz w:val="22"/>
                <w:szCs w:val="22"/>
              </w:rPr>
              <w:t xml:space="preserve"> Raviv (1991)</w:t>
            </w:r>
          </w:p>
        </w:tc>
      </w:tr>
      <w:tr w:rsidR="000A53A2" w:rsidRPr="00616A3F" w14:paraId="3EDA4B70" w14:textId="77777777" w:rsidTr="004E18BA">
        <w:trPr>
          <w:trHeight w:val="501"/>
        </w:trPr>
        <w:tc>
          <w:tcPr>
            <w:tcW w:w="0" w:type="auto"/>
          </w:tcPr>
          <w:p w14:paraId="788B8E82" w14:textId="77777777" w:rsidR="000A53A2" w:rsidRPr="00616A3F" w:rsidRDefault="000A53A2" w:rsidP="004E18BA">
            <w:pPr>
              <w:spacing w:before="0"/>
              <w:jc w:val="center"/>
              <w:rPr>
                <w:b/>
                <w:bCs/>
                <w:sz w:val="22"/>
                <w:szCs w:val="22"/>
              </w:rPr>
            </w:pPr>
            <w:r w:rsidRPr="00616A3F">
              <w:rPr>
                <w:b/>
                <w:bCs/>
                <w:sz w:val="22"/>
                <w:szCs w:val="22"/>
              </w:rPr>
              <w:t>LIQ</w:t>
            </w:r>
          </w:p>
        </w:tc>
        <w:tc>
          <w:tcPr>
            <w:tcW w:w="0" w:type="auto"/>
          </w:tcPr>
          <w:p w14:paraId="1CE717F3"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688E8F87" w14:textId="77777777" w:rsidR="000A53A2" w:rsidRPr="00616A3F" w:rsidRDefault="000A53A2" w:rsidP="004E18BA">
            <w:pPr>
              <w:spacing w:before="0"/>
              <w:jc w:val="center"/>
              <w:rPr>
                <w:sz w:val="22"/>
                <w:szCs w:val="22"/>
              </w:rPr>
            </w:pPr>
            <w:r w:rsidRPr="00616A3F">
              <w:rPr>
                <w:sz w:val="22"/>
                <w:szCs w:val="22"/>
              </w:rPr>
              <w:t>Liquidity</w:t>
            </w:r>
          </w:p>
        </w:tc>
        <w:tc>
          <w:tcPr>
            <w:tcW w:w="0" w:type="auto"/>
          </w:tcPr>
          <w:p w14:paraId="40252E78" w14:textId="77777777" w:rsidR="000A53A2" w:rsidRPr="00616A3F" w:rsidRDefault="000A53A2" w:rsidP="004E18BA">
            <w:pPr>
              <w:spacing w:before="0"/>
              <w:jc w:val="center"/>
              <w:rPr>
                <w:sz w:val="22"/>
                <w:szCs w:val="22"/>
              </w:rPr>
            </w:pPr>
            <w:r w:rsidRPr="00616A3F">
              <w:rPr>
                <w:sz w:val="22"/>
                <w:szCs w:val="22"/>
              </w:rPr>
              <w:t>Current assets / Current liabilities</w:t>
            </w:r>
          </w:p>
        </w:tc>
        <w:tc>
          <w:tcPr>
            <w:tcW w:w="0" w:type="auto"/>
          </w:tcPr>
          <w:p w14:paraId="6D74982B" w14:textId="77777777" w:rsidR="000A53A2" w:rsidRPr="00616A3F" w:rsidRDefault="000A53A2" w:rsidP="004E18BA">
            <w:pPr>
              <w:spacing w:before="0"/>
              <w:jc w:val="center"/>
              <w:rPr>
                <w:sz w:val="22"/>
                <w:szCs w:val="22"/>
              </w:rPr>
            </w:pPr>
            <w:r w:rsidRPr="00616A3F">
              <w:rPr>
                <w:rFonts w:ascii="Gungsuh" w:eastAsia="Gungsuh" w:hAnsi="Gungsuh" w:cs="Gungsuh"/>
                <w:sz w:val="22"/>
                <w:szCs w:val="22"/>
              </w:rPr>
              <w:t>−</w:t>
            </w:r>
          </w:p>
        </w:tc>
        <w:tc>
          <w:tcPr>
            <w:tcW w:w="2395" w:type="dxa"/>
          </w:tcPr>
          <w:p w14:paraId="2CFE9D03" w14:textId="1FD9A346" w:rsidR="000A53A2" w:rsidRPr="00616A3F" w:rsidRDefault="000A53A2" w:rsidP="004E18BA">
            <w:pPr>
              <w:spacing w:before="0"/>
              <w:jc w:val="center"/>
              <w:rPr>
                <w:sz w:val="22"/>
                <w:szCs w:val="22"/>
              </w:rPr>
            </w:pPr>
            <w:r w:rsidRPr="00616A3F">
              <w:rPr>
                <w:sz w:val="22"/>
                <w:szCs w:val="22"/>
              </w:rPr>
              <w:t xml:space="preserve">Opler </w:t>
            </w:r>
            <w:r w:rsidRPr="00322C12">
              <w:rPr>
                <w:i/>
                <w:iCs/>
                <w:sz w:val="22"/>
                <w:szCs w:val="22"/>
              </w:rPr>
              <w:t>et al.</w:t>
            </w:r>
            <w:r w:rsidR="00322C12" w:rsidRPr="00322C12">
              <w:rPr>
                <w:i/>
                <w:iCs/>
                <w:sz w:val="22"/>
                <w:szCs w:val="22"/>
              </w:rPr>
              <w:t>,</w:t>
            </w:r>
            <w:r w:rsidRPr="00616A3F">
              <w:rPr>
                <w:sz w:val="22"/>
                <w:szCs w:val="22"/>
              </w:rPr>
              <w:t xml:space="preserve"> (1999)</w:t>
            </w:r>
          </w:p>
        </w:tc>
      </w:tr>
      <w:tr w:rsidR="000A53A2" w:rsidRPr="00616A3F" w14:paraId="6ACB1AB1" w14:textId="77777777" w:rsidTr="004E18BA">
        <w:trPr>
          <w:trHeight w:val="483"/>
        </w:trPr>
        <w:tc>
          <w:tcPr>
            <w:tcW w:w="0" w:type="auto"/>
          </w:tcPr>
          <w:p w14:paraId="578CEF3D" w14:textId="77777777" w:rsidR="000A53A2" w:rsidRPr="00616A3F" w:rsidRDefault="000A53A2" w:rsidP="004E18BA">
            <w:pPr>
              <w:spacing w:before="0"/>
              <w:jc w:val="center"/>
              <w:rPr>
                <w:b/>
                <w:bCs/>
                <w:sz w:val="22"/>
                <w:szCs w:val="22"/>
              </w:rPr>
            </w:pPr>
            <w:r w:rsidRPr="00616A3F">
              <w:rPr>
                <w:b/>
                <w:bCs/>
                <w:sz w:val="22"/>
                <w:szCs w:val="22"/>
              </w:rPr>
              <w:lastRenderedPageBreak/>
              <w:t>TQ</w:t>
            </w:r>
          </w:p>
        </w:tc>
        <w:tc>
          <w:tcPr>
            <w:tcW w:w="0" w:type="auto"/>
          </w:tcPr>
          <w:p w14:paraId="54C2D20C" w14:textId="77777777" w:rsidR="000A53A2" w:rsidRPr="00616A3F" w:rsidRDefault="000A53A2" w:rsidP="004E18BA">
            <w:pPr>
              <w:spacing w:before="0"/>
              <w:jc w:val="center"/>
              <w:rPr>
                <w:sz w:val="22"/>
                <w:szCs w:val="22"/>
              </w:rPr>
            </w:pPr>
            <w:r w:rsidRPr="00616A3F">
              <w:rPr>
                <w:sz w:val="22"/>
                <w:szCs w:val="22"/>
              </w:rPr>
              <w:t>Control</w:t>
            </w:r>
          </w:p>
        </w:tc>
        <w:tc>
          <w:tcPr>
            <w:tcW w:w="0" w:type="auto"/>
          </w:tcPr>
          <w:p w14:paraId="5100FCDC" w14:textId="77777777" w:rsidR="000A53A2" w:rsidRPr="00616A3F" w:rsidRDefault="000A53A2" w:rsidP="004E18BA">
            <w:pPr>
              <w:spacing w:before="0"/>
              <w:jc w:val="center"/>
              <w:rPr>
                <w:sz w:val="22"/>
                <w:szCs w:val="22"/>
              </w:rPr>
            </w:pPr>
            <w:r w:rsidRPr="00616A3F">
              <w:rPr>
                <w:sz w:val="22"/>
                <w:szCs w:val="22"/>
              </w:rPr>
              <w:t>Growth Opportunities</w:t>
            </w:r>
          </w:p>
        </w:tc>
        <w:tc>
          <w:tcPr>
            <w:tcW w:w="0" w:type="auto"/>
          </w:tcPr>
          <w:p w14:paraId="2DF17058" w14:textId="77777777" w:rsidR="000A53A2" w:rsidRPr="00616A3F" w:rsidRDefault="000A53A2" w:rsidP="004E18BA">
            <w:pPr>
              <w:spacing w:before="0"/>
              <w:jc w:val="center"/>
              <w:rPr>
                <w:sz w:val="22"/>
                <w:szCs w:val="22"/>
              </w:rPr>
            </w:pPr>
            <w:r w:rsidRPr="00616A3F">
              <w:rPr>
                <w:sz w:val="22"/>
                <w:szCs w:val="22"/>
              </w:rPr>
              <w:t>(Market value of equity + Debt) / Total assets</w:t>
            </w:r>
          </w:p>
        </w:tc>
        <w:tc>
          <w:tcPr>
            <w:tcW w:w="0" w:type="auto"/>
          </w:tcPr>
          <w:p w14:paraId="226FB371"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3243B6DD" w14:textId="329A626F" w:rsidR="000A53A2" w:rsidRPr="00616A3F" w:rsidRDefault="000A53A2" w:rsidP="004E18BA">
            <w:pPr>
              <w:spacing w:before="0"/>
              <w:jc w:val="center"/>
              <w:rPr>
                <w:sz w:val="22"/>
                <w:szCs w:val="22"/>
              </w:rPr>
            </w:pPr>
            <w:r w:rsidRPr="00616A3F">
              <w:rPr>
                <w:sz w:val="22"/>
                <w:szCs w:val="22"/>
              </w:rPr>
              <w:t xml:space="preserve">Baker </w:t>
            </w:r>
            <w:r w:rsidR="00322C12">
              <w:t>and</w:t>
            </w:r>
            <w:r w:rsidRPr="00616A3F">
              <w:rPr>
                <w:sz w:val="22"/>
                <w:szCs w:val="22"/>
              </w:rPr>
              <w:t xml:space="preserve"> Wurgler (2002)</w:t>
            </w:r>
          </w:p>
        </w:tc>
      </w:tr>
      <w:tr w:rsidR="000A53A2" w:rsidRPr="00616A3F" w14:paraId="238F5540" w14:textId="77777777" w:rsidTr="004E18BA">
        <w:trPr>
          <w:trHeight w:val="474"/>
        </w:trPr>
        <w:tc>
          <w:tcPr>
            <w:tcW w:w="0" w:type="auto"/>
          </w:tcPr>
          <w:p w14:paraId="0CCBF369" w14:textId="77777777" w:rsidR="000A53A2" w:rsidRPr="00616A3F" w:rsidRDefault="000A53A2" w:rsidP="004E18BA">
            <w:pPr>
              <w:spacing w:before="0"/>
              <w:jc w:val="center"/>
              <w:rPr>
                <w:b/>
                <w:bCs/>
                <w:sz w:val="22"/>
                <w:szCs w:val="22"/>
              </w:rPr>
            </w:pPr>
            <w:r w:rsidRPr="00616A3F">
              <w:rPr>
                <w:b/>
                <w:bCs/>
                <w:sz w:val="22"/>
                <w:szCs w:val="22"/>
              </w:rPr>
              <w:t>COVID</w:t>
            </w:r>
          </w:p>
        </w:tc>
        <w:tc>
          <w:tcPr>
            <w:tcW w:w="0" w:type="auto"/>
          </w:tcPr>
          <w:p w14:paraId="0745C768" w14:textId="77777777" w:rsidR="000A53A2" w:rsidRPr="00616A3F" w:rsidRDefault="000A53A2" w:rsidP="004E18BA">
            <w:pPr>
              <w:spacing w:before="0"/>
              <w:jc w:val="center"/>
              <w:rPr>
                <w:sz w:val="22"/>
                <w:szCs w:val="22"/>
              </w:rPr>
            </w:pPr>
            <w:r w:rsidRPr="00616A3F">
              <w:rPr>
                <w:sz w:val="22"/>
                <w:szCs w:val="22"/>
              </w:rPr>
              <w:t>Independent</w:t>
            </w:r>
          </w:p>
        </w:tc>
        <w:tc>
          <w:tcPr>
            <w:tcW w:w="0" w:type="auto"/>
          </w:tcPr>
          <w:p w14:paraId="1AFFA678" w14:textId="77777777" w:rsidR="000A53A2" w:rsidRPr="00616A3F" w:rsidRDefault="000A53A2" w:rsidP="004E18BA">
            <w:pPr>
              <w:spacing w:before="0"/>
              <w:jc w:val="center"/>
              <w:rPr>
                <w:sz w:val="22"/>
                <w:szCs w:val="22"/>
              </w:rPr>
            </w:pPr>
            <w:r w:rsidRPr="00616A3F">
              <w:rPr>
                <w:sz w:val="22"/>
                <w:szCs w:val="22"/>
              </w:rPr>
              <w:t>COVID-19 Period Dummy</w:t>
            </w:r>
          </w:p>
        </w:tc>
        <w:tc>
          <w:tcPr>
            <w:tcW w:w="0" w:type="auto"/>
          </w:tcPr>
          <w:p w14:paraId="5CA1FA39" w14:textId="77777777" w:rsidR="000A53A2" w:rsidRPr="00616A3F" w:rsidRDefault="000A53A2" w:rsidP="004E18BA">
            <w:pPr>
              <w:spacing w:before="0"/>
              <w:jc w:val="center"/>
              <w:rPr>
                <w:sz w:val="22"/>
                <w:szCs w:val="22"/>
              </w:rPr>
            </w:pPr>
            <w:r w:rsidRPr="00616A3F">
              <w:rPr>
                <w:sz w:val="22"/>
                <w:szCs w:val="22"/>
              </w:rPr>
              <w:t>0 = 2015–2019, 1 = 2020–2024</w:t>
            </w:r>
          </w:p>
        </w:tc>
        <w:tc>
          <w:tcPr>
            <w:tcW w:w="0" w:type="auto"/>
          </w:tcPr>
          <w:p w14:paraId="4D093220" w14:textId="77777777" w:rsidR="000A53A2" w:rsidRPr="00616A3F" w:rsidRDefault="000A53A2" w:rsidP="004E18BA">
            <w:pPr>
              <w:spacing w:before="0"/>
              <w:jc w:val="center"/>
              <w:rPr>
                <w:sz w:val="22"/>
                <w:szCs w:val="22"/>
              </w:rPr>
            </w:pPr>
            <w:r w:rsidRPr="00616A3F">
              <w:rPr>
                <w:rFonts w:ascii="Gungsuh" w:eastAsia="Gungsuh" w:hAnsi="Gungsuh" w:cs="Gungsuh"/>
                <w:sz w:val="22"/>
                <w:szCs w:val="22"/>
              </w:rPr>
              <w:t>−</w:t>
            </w:r>
          </w:p>
        </w:tc>
        <w:tc>
          <w:tcPr>
            <w:tcW w:w="2395" w:type="dxa"/>
          </w:tcPr>
          <w:p w14:paraId="74D4D229" w14:textId="26B132BA" w:rsidR="000A53A2" w:rsidRPr="00616A3F" w:rsidRDefault="000A53A2" w:rsidP="004E18BA">
            <w:pPr>
              <w:spacing w:before="0"/>
              <w:jc w:val="center"/>
              <w:rPr>
                <w:sz w:val="22"/>
                <w:szCs w:val="22"/>
              </w:rPr>
            </w:pPr>
            <w:r w:rsidRPr="00616A3F">
              <w:rPr>
                <w:sz w:val="22"/>
                <w:szCs w:val="22"/>
              </w:rPr>
              <w:t xml:space="preserve">Shen </w:t>
            </w:r>
            <w:r w:rsidRPr="00322C12">
              <w:rPr>
                <w:i/>
                <w:iCs/>
                <w:sz w:val="22"/>
                <w:szCs w:val="22"/>
              </w:rPr>
              <w:t>et al.</w:t>
            </w:r>
            <w:r w:rsidR="00322C12" w:rsidRPr="00322C12">
              <w:rPr>
                <w:i/>
                <w:iCs/>
                <w:sz w:val="22"/>
                <w:szCs w:val="22"/>
              </w:rPr>
              <w:t>,</w:t>
            </w:r>
            <w:r w:rsidRPr="00616A3F">
              <w:rPr>
                <w:sz w:val="22"/>
                <w:szCs w:val="22"/>
              </w:rPr>
              <w:t xml:space="preserve"> (2020); Prakash </w:t>
            </w:r>
            <w:r w:rsidRPr="00322C12">
              <w:rPr>
                <w:i/>
                <w:iCs/>
                <w:sz w:val="22"/>
                <w:szCs w:val="22"/>
              </w:rPr>
              <w:t>et al.</w:t>
            </w:r>
            <w:r w:rsidR="00322C12" w:rsidRPr="00322C12">
              <w:rPr>
                <w:i/>
                <w:iCs/>
                <w:sz w:val="22"/>
                <w:szCs w:val="22"/>
              </w:rPr>
              <w:t>,</w:t>
            </w:r>
            <w:r w:rsidRPr="00616A3F">
              <w:rPr>
                <w:sz w:val="22"/>
                <w:szCs w:val="22"/>
              </w:rPr>
              <w:t xml:space="preserve"> (2023)</w:t>
            </w:r>
          </w:p>
        </w:tc>
      </w:tr>
      <w:tr w:rsidR="000A53A2" w:rsidRPr="00616A3F" w14:paraId="63867771" w14:textId="77777777" w:rsidTr="004E18BA">
        <w:trPr>
          <w:trHeight w:val="537"/>
        </w:trPr>
        <w:tc>
          <w:tcPr>
            <w:tcW w:w="0" w:type="auto"/>
          </w:tcPr>
          <w:p w14:paraId="4CC63085" w14:textId="77777777" w:rsidR="000A53A2" w:rsidRPr="00616A3F" w:rsidRDefault="000A53A2" w:rsidP="004E18BA">
            <w:pPr>
              <w:spacing w:before="0"/>
              <w:jc w:val="center"/>
              <w:rPr>
                <w:b/>
                <w:bCs/>
                <w:sz w:val="22"/>
                <w:szCs w:val="22"/>
              </w:rPr>
            </w:pPr>
            <w:r w:rsidRPr="00616A3F">
              <w:rPr>
                <w:b/>
                <w:bCs/>
                <w:sz w:val="22"/>
                <w:szCs w:val="22"/>
              </w:rPr>
              <w:t>L.LEV</w:t>
            </w:r>
          </w:p>
        </w:tc>
        <w:tc>
          <w:tcPr>
            <w:tcW w:w="0" w:type="auto"/>
          </w:tcPr>
          <w:p w14:paraId="6A4047F7" w14:textId="77777777" w:rsidR="000A53A2" w:rsidRPr="00616A3F" w:rsidRDefault="000A53A2" w:rsidP="004E18BA">
            <w:pPr>
              <w:spacing w:before="0"/>
              <w:jc w:val="center"/>
              <w:rPr>
                <w:sz w:val="22"/>
                <w:szCs w:val="22"/>
              </w:rPr>
            </w:pPr>
            <w:r w:rsidRPr="00616A3F">
              <w:rPr>
                <w:sz w:val="22"/>
                <w:szCs w:val="22"/>
              </w:rPr>
              <w:t>Dynamic</w:t>
            </w:r>
          </w:p>
        </w:tc>
        <w:tc>
          <w:tcPr>
            <w:tcW w:w="0" w:type="auto"/>
          </w:tcPr>
          <w:p w14:paraId="3F15ACEA" w14:textId="77777777" w:rsidR="000A53A2" w:rsidRPr="00616A3F" w:rsidRDefault="000A53A2" w:rsidP="004E18BA">
            <w:pPr>
              <w:spacing w:before="0"/>
              <w:jc w:val="center"/>
              <w:rPr>
                <w:sz w:val="22"/>
                <w:szCs w:val="22"/>
              </w:rPr>
            </w:pPr>
            <w:r w:rsidRPr="00616A3F">
              <w:rPr>
                <w:sz w:val="22"/>
                <w:szCs w:val="22"/>
              </w:rPr>
              <w:t>Lagged Leverage</w:t>
            </w:r>
          </w:p>
        </w:tc>
        <w:tc>
          <w:tcPr>
            <w:tcW w:w="0" w:type="auto"/>
          </w:tcPr>
          <w:p w14:paraId="3D977336" w14:textId="77777777" w:rsidR="000A53A2" w:rsidRPr="00616A3F" w:rsidRDefault="000A53A2" w:rsidP="004E18BA">
            <w:pPr>
              <w:spacing w:before="0"/>
              <w:jc w:val="center"/>
              <w:rPr>
                <w:sz w:val="22"/>
                <w:szCs w:val="22"/>
              </w:rPr>
            </w:pPr>
            <w:r w:rsidRPr="00616A3F">
              <w:rPr>
                <w:sz w:val="22"/>
                <w:szCs w:val="22"/>
              </w:rPr>
              <w:t>Lagged value of leverage variable</w:t>
            </w:r>
          </w:p>
        </w:tc>
        <w:tc>
          <w:tcPr>
            <w:tcW w:w="0" w:type="auto"/>
          </w:tcPr>
          <w:p w14:paraId="762BAF2A" w14:textId="77777777" w:rsidR="000A53A2" w:rsidRPr="00616A3F" w:rsidRDefault="000A53A2" w:rsidP="004E18BA">
            <w:pPr>
              <w:spacing w:before="0"/>
              <w:jc w:val="center"/>
              <w:rPr>
                <w:sz w:val="22"/>
                <w:szCs w:val="22"/>
              </w:rPr>
            </w:pPr>
            <w:r w:rsidRPr="00616A3F">
              <w:rPr>
                <w:sz w:val="22"/>
                <w:szCs w:val="22"/>
              </w:rPr>
              <w:t>+</w:t>
            </w:r>
          </w:p>
        </w:tc>
        <w:tc>
          <w:tcPr>
            <w:tcW w:w="2395" w:type="dxa"/>
          </w:tcPr>
          <w:p w14:paraId="04EBC237" w14:textId="77777777" w:rsidR="000A53A2" w:rsidRPr="00616A3F" w:rsidRDefault="000A53A2" w:rsidP="004E18BA">
            <w:pPr>
              <w:spacing w:before="0"/>
              <w:jc w:val="center"/>
              <w:rPr>
                <w:sz w:val="22"/>
                <w:szCs w:val="22"/>
              </w:rPr>
            </w:pPr>
            <w:proofErr w:type="spellStart"/>
            <w:r w:rsidRPr="00616A3F">
              <w:rPr>
                <w:sz w:val="22"/>
                <w:szCs w:val="22"/>
              </w:rPr>
              <w:t>Baltagi</w:t>
            </w:r>
            <w:proofErr w:type="spellEnd"/>
            <w:r w:rsidRPr="00616A3F">
              <w:rPr>
                <w:sz w:val="22"/>
                <w:szCs w:val="22"/>
              </w:rPr>
              <w:t xml:space="preserve"> (2021); Wooldridge (2010)</w:t>
            </w:r>
          </w:p>
        </w:tc>
      </w:tr>
    </w:tbl>
    <w:bookmarkEnd w:id="9"/>
    <w:p w14:paraId="38A1247C" w14:textId="3BE58118" w:rsidR="000A53A2" w:rsidRDefault="000A53A2" w:rsidP="000A53A2">
      <w:pPr>
        <w:spacing w:before="0" w:after="0" w:line="276" w:lineRule="auto"/>
      </w:pPr>
      <w:r w:rsidRPr="008F2E18">
        <w:rPr>
          <w:b/>
          <w:bCs/>
        </w:rPr>
        <w:t>3.3 Modelling:</w:t>
      </w:r>
      <w:r>
        <w:t xml:space="preserve"> The research uses a dynamic panel data structure following Prakash </w:t>
      </w:r>
      <w:r w:rsidRPr="00322C12">
        <w:rPr>
          <w:i/>
          <w:iCs/>
        </w:rPr>
        <w:t>et al.</w:t>
      </w:r>
      <w:r w:rsidR="00322C12" w:rsidRPr="00322C12">
        <w:rPr>
          <w:i/>
          <w:iCs/>
        </w:rPr>
        <w:t>,</w:t>
      </w:r>
      <w:r>
        <w:t xml:space="preserve"> (2023) to act as a framework of capturing persistence in capital structure choices as well as addressing potential endogeneity as a result of firm-specific unobserved heterogeneity. The choices made by firms with regards to capital structure have been found to be path-dependent wherein an organisation will change its leverage gradually towards a desired ratio because of transaction costs and financing frictions (Wooldridge, 2010; </w:t>
      </w:r>
      <w:proofErr w:type="spellStart"/>
      <w:r>
        <w:t>Baltagi</w:t>
      </w:r>
      <w:proofErr w:type="spellEnd"/>
      <w:r>
        <w:t>, 2021). The general functional form of the dynamic model is expressed as:</w:t>
      </w:r>
    </w:p>
    <w:p w14:paraId="19017B3F" w14:textId="77777777" w:rsidR="000A53A2" w:rsidRPr="008F2E18" w:rsidRDefault="000A53A2" w:rsidP="000A53A2">
      <w:pPr>
        <w:spacing w:before="0" w:after="0" w:line="276" w:lineRule="auto"/>
      </w:pPr>
      <w:proofErr w:type="spellStart"/>
      <w:r w:rsidRPr="008F2E18">
        <w:rPr>
          <w:i/>
          <w:iCs/>
        </w:rPr>
        <w:t>CapitalStructure</w:t>
      </w:r>
      <w:proofErr w:type="spellEnd"/>
      <w:r w:rsidRPr="008F2E18">
        <w:rPr>
          <w:i/>
          <w:iCs/>
        </w:rPr>
        <w:t xml:space="preserve">₍ᵢₜ₎ = </w:t>
      </w:r>
      <w:proofErr w:type="gramStart"/>
      <w:r w:rsidRPr="008F2E18">
        <w:rPr>
          <w:i/>
          <w:iCs/>
        </w:rPr>
        <w:t>f(</w:t>
      </w:r>
      <w:proofErr w:type="spellStart"/>
      <w:proofErr w:type="gramEnd"/>
      <w:r w:rsidRPr="008F2E18">
        <w:rPr>
          <w:i/>
          <w:iCs/>
        </w:rPr>
        <w:t>CapitalStructure</w:t>
      </w:r>
      <w:proofErr w:type="spellEnd"/>
      <w:r w:rsidRPr="008F2E18">
        <w:rPr>
          <w:i/>
          <w:iCs/>
        </w:rPr>
        <w:t xml:space="preserve">₍ᵢₜ₋₁₎, </w:t>
      </w:r>
      <w:proofErr w:type="spellStart"/>
      <w:r w:rsidRPr="008F2E18">
        <w:rPr>
          <w:i/>
          <w:iCs/>
        </w:rPr>
        <w:t>Tobin’sQ</w:t>
      </w:r>
      <w:proofErr w:type="spellEnd"/>
      <w:r w:rsidRPr="008F2E18">
        <w:rPr>
          <w:i/>
          <w:iCs/>
        </w:rPr>
        <w:t>₍ᵢₜ₎, Tangibility₍ᵢₜ₎, Size₍ᵢₜ₎, Profitability₍ᵢₜ₎, Liquidity₍ᵢₜ₎, Covidₜ)</w:t>
      </w:r>
    </w:p>
    <w:p w14:paraId="68E1DD53" w14:textId="77777777" w:rsidR="000A53A2" w:rsidRDefault="000A53A2" w:rsidP="000A53A2">
      <w:pPr>
        <w:spacing w:before="0" w:after="0" w:line="276" w:lineRule="auto"/>
        <w:jc w:val="left"/>
      </w:pPr>
      <w:r>
        <w:t>Capital structure is measured using three leverage ratios: total leverage (TLR), short-term leverage (STLR) and long-term leverage (LTLR). Substituting these leverage measures into Equation (1), the models are specified as follows:</w:t>
      </w:r>
    </w:p>
    <w:p w14:paraId="3BF4B742" w14:textId="77777777" w:rsidR="000A53A2" w:rsidRPr="008F2E18" w:rsidRDefault="000A53A2" w:rsidP="000A53A2">
      <w:pPr>
        <w:spacing w:before="0" w:after="0" w:line="276" w:lineRule="auto"/>
        <w:rPr>
          <w:i/>
          <w:iCs/>
        </w:rPr>
      </w:pPr>
      <w:r w:rsidRPr="008F2E18">
        <w:rPr>
          <w:i/>
          <w:iCs/>
        </w:rPr>
        <w:t xml:space="preserve">R1:  TLR₍ᵢₜ₎ = </w:t>
      </w:r>
      <w:proofErr w:type="gramStart"/>
      <w:r w:rsidRPr="008F2E18">
        <w:rPr>
          <w:i/>
          <w:iCs/>
        </w:rPr>
        <w:t>f(</w:t>
      </w:r>
      <w:proofErr w:type="gramEnd"/>
      <w:r w:rsidRPr="008F2E18">
        <w:rPr>
          <w:i/>
          <w:iCs/>
        </w:rPr>
        <w:t xml:space="preserve">TLR₍ᵢₜ₋₁₎, </w:t>
      </w:r>
      <w:proofErr w:type="spellStart"/>
      <w:r w:rsidRPr="008F2E18">
        <w:rPr>
          <w:i/>
          <w:iCs/>
        </w:rPr>
        <w:t>Tobin’sQ</w:t>
      </w:r>
      <w:proofErr w:type="spellEnd"/>
      <w:r w:rsidRPr="008F2E18">
        <w:rPr>
          <w:i/>
          <w:iCs/>
        </w:rPr>
        <w:t>₍ᵢₜ₎, Tangibility₍ᵢₜ₎, Size₍ᵢₜ₎, Profitability₍ᵢₜ₎, Liquidity₍ᵢₜ₎, Covidₜ)</w:t>
      </w:r>
    </w:p>
    <w:p w14:paraId="36272D5A" w14:textId="77777777" w:rsidR="000A53A2" w:rsidRPr="008F2E18" w:rsidRDefault="000A53A2" w:rsidP="000A53A2">
      <w:pPr>
        <w:spacing w:before="0" w:after="0" w:line="276" w:lineRule="auto"/>
        <w:rPr>
          <w:i/>
          <w:iCs/>
        </w:rPr>
      </w:pPr>
      <w:r w:rsidRPr="008F2E18">
        <w:rPr>
          <w:i/>
          <w:iCs/>
        </w:rPr>
        <w:t xml:space="preserve">R2:  STLR₍ᵢₜ₎ = </w:t>
      </w:r>
      <w:proofErr w:type="gramStart"/>
      <w:r w:rsidRPr="008F2E18">
        <w:rPr>
          <w:i/>
          <w:iCs/>
        </w:rPr>
        <w:t>f(</w:t>
      </w:r>
      <w:proofErr w:type="gramEnd"/>
      <w:r w:rsidRPr="008F2E18">
        <w:rPr>
          <w:i/>
          <w:iCs/>
        </w:rPr>
        <w:t xml:space="preserve">STLR₍ᵢₜ₋₁₎, </w:t>
      </w:r>
      <w:proofErr w:type="spellStart"/>
      <w:r w:rsidRPr="008F2E18">
        <w:rPr>
          <w:i/>
          <w:iCs/>
        </w:rPr>
        <w:t>Tobin’sQ</w:t>
      </w:r>
      <w:proofErr w:type="spellEnd"/>
      <w:r w:rsidRPr="008F2E18">
        <w:rPr>
          <w:i/>
          <w:iCs/>
        </w:rPr>
        <w:t>₍ᵢₜ₎, Tangibility₍ᵢₜ₎, Size₍ᵢₜ₎, Profitability₍ᵢₜ₎, Liquidity₍ᵢₜ₎, Covidₜ)</w:t>
      </w:r>
    </w:p>
    <w:p w14:paraId="1803AF63" w14:textId="77777777" w:rsidR="000A53A2" w:rsidRDefault="000A53A2" w:rsidP="000A53A2">
      <w:pPr>
        <w:spacing w:before="0" w:after="0" w:line="276" w:lineRule="auto"/>
        <w:rPr>
          <w:i/>
          <w:iCs/>
        </w:rPr>
      </w:pPr>
      <w:r w:rsidRPr="008F2E18">
        <w:rPr>
          <w:i/>
          <w:iCs/>
        </w:rPr>
        <w:t xml:space="preserve">R3:  LTLR₍ᵢₜ₎ = </w:t>
      </w:r>
      <w:proofErr w:type="gramStart"/>
      <w:r w:rsidRPr="008F2E18">
        <w:rPr>
          <w:i/>
          <w:iCs/>
        </w:rPr>
        <w:t>f(</w:t>
      </w:r>
      <w:proofErr w:type="gramEnd"/>
      <w:r w:rsidRPr="008F2E18">
        <w:rPr>
          <w:i/>
          <w:iCs/>
        </w:rPr>
        <w:t xml:space="preserve">LTLR₍ᵢₜ₋₁₎, </w:t>
      </w:r>
      <w:proofErr w:type="spellStart"/>
      <w:r w:rsidRPr="008F2E18">
        <w:rPr>
          <w:i/>
          <w:iCs/>
        </w:rPr>
        <w:t>Tobin’sQ</w:t>
      </w:r>
      <w:proofErr w:type="spellEnd"/>
      <w:r w:rsidRPr="008F2E18">
        <w:rPr>
          <w:i/>
          <w:iCs/>
        </w:rPr>
        <w:t>₍ᵢₜ₎, Tangibility₍ᵢₜ₎, Size₍ᵢₜ₎, Profitability₍ᵢₜ₎, Liquidity₍ᵢₜ₎, Covidₜ)</w:t>
      </w:r>
    </w:p>
    <w:p w14:paraId="606C2CB3" w14:textId="77777777" w:rsidR="000A53A2" w:rsidRPr="00EC01AA" w:rsidRDefault="000A53A2" w:rsidP="000A53A2">
      <w:pPr>
        <w:spacing w:before="0" w:after="0" w:line="276" w:lineRule="auto"/>
        <w:rPr>
          <w:i/>
          <w:iCs/>
        </w:rPr>
      </w:pPr>
      <w:r>
        <w:t>To operationalise the model, the following econometric specification is estimated:</w:t>
      </w:r>
    </w:p>
    <w:p w14:paraId="30FBB0A9" w14:textId="77777777" w:rsidR="000A53A2" w:rsidRPr="00EC01AA" w:rsidRDefault="000A53A2" w:rsidP="000A53A2">
      <w:pPr>
        <w:spacing w:before="0" w:after="0" w:line="276" w:lineRule="auto"/>
        <w:rPr>
          <w:i/>
          <w:iCs/>
        </w:rPr>
      </w:pPr>
      <w:r w:rsidRPr="00EC01AA">
        <w:rPr>
          <w:i/>
          <w:iCs/>
        </w:rPr>
        <w:t>LEV₍ᵢₜ₎ = α + β₁LEV₍ᵢₜ₋₁₎ + β₂TQ₍ᵢₜ₎ + β₃TANG₍ᵢₜ₎ + β₄SIZE₍ᵢₜ₎ + β₅ROA₍ᵢₜ₎ + β₆LIQ₍ᵢₜ₎ + β₇COVIDₜ + μᵢ + ε₍ᵢₜ₎</w:t>
      </w:r>
    </w:p>
    <w:p w14:paraId="42B510DF" w14:textId="77777777" w:rsidR="000A53A2" w:rsidRDefault="000A53A2" w:rsidP="000A53A2">
      <w:pPr>
        <w:spacing w:before="0" w:after="0" w:line="276" w:lineRule="auto"/>
      </w:pPr>
      <w:r>
        <w:t xml:space="preserve">Where LEV₍ᵢₜ₎ represents total (TLR), short-term (STLR), or long-term (LTLR) leverage of firm </w:t>
      </w:r>
      <w:proofErr w:type="spellStart"/>
      <w:r>
        <w:t>i</w:t>
      </w:r>
      <w:proofErr w:type="spellEnd"/>
      <w:r>
        <w:t xml:space="preserve"> at time t; μᵢ captures firm-specific effects; and ε₍ᵢₜ₎ denotes the idiosyncratic error.</w:t>
      </w:r>
      <w:bookmarkStart w:id="10" w:name="_v2p6fxhtj9aa" w:colFirst="0" w:colLast="0"/>
      <w:bookmarkEnd w:id="10"/>
    </w:p>
    <w:p w14:paraId="37550DCF" w14:textId="2FC2D9E9" w:rsidR="000A53A2" w:rsidRDefault="000A53A2" w:rsidP="000A53A2">
      <w:pPr>
        <w:spacing w:before="0" w:after="0" w:line="276" w:lineRule="auto"/>
      </w:pPr>
      <w:r w:rsidRPr="00EC01AA">
        <w:rPr>
          <w:b/>
          <w:bCs/>
        </w:rPr>
        <w:t>3.4 Technique of estimation and Diagnostic Tests:</w:t>
      </w:r>
      <w:r>
        <w:t xml:space="preserve"> Due to the panel form of the data, Fixed Effects (FE) and Random Effects (RE) estimators are first used. The test that is used to identify the estimator is the Hausman specification test (Hausman, 1978). The results of the test show that there is systematic correlation between the firm-specific effects and the explanatory variables; hence, the Fixed Effects estimator is used in all leverage specifications. The validity of the results is to be guaranteed by a set of diagnostic tests. The variables stationarity is studied with the help of the Fisher-type Augmented Dickey-Fuller (ADF) panel unit root test that is suitable in the case of unbalanced panels (Maddala </w:t>
      </w:r>
      <w:r w:rsidR="00322C12">
        <w:t>and</w:t>
      </w:r>
      <w:r>
        <w:t xml:space="preserve"> Wu, 1999). Variance Inflation Factors (VIF) are used to test multicollinearity and the average values of VIF are much lower than the generally accepted value of multicollinearity hence there are no serious issues of multicollinearity (Rajan </w:t>
      </w:r>
      <w:r w:rsidR="00322C12">
        <w:t>and</w:t>
      </w:r>
      <w:r>
        <w:t xml:space="preserve"> Zingales, 1995). The problem of heteroskedasticity and serial </w:t>
      </w:r>
      <w:r>
        <w:lastRenderedPageBreak/>
        <w:t xml:space="preserve">correction is solved using firm level robust standard errors that are modelled as firm level. To further measure the robustness, subsample regressions are performed based on the pre-COVID (2015-2019) and pandemic (2020-2024) in further analysis of the crisis period (Prakash </w:t>
      </w:r>
      <w:r w:rsidRPr="00322C12">
        <w:rPr>
          <w:i/>
          <w:iCs/>
        </w:rPr>
        <w:t>et al.,</w:t>
      </w:r>
      <w:r>
        <w:t xml:space="preserve"> 2023).</w:t>
      </w:r>
    </w:p>
    <w:p w14:paraId="54FF8D06" w14:textId="77777777" w:rsidR="000A53A2" w:rsidRDefault="000A53A2" w:rsidP="000A53A2">
      <w:pPr>
        <w:spacing w:before="0" w:after="0" w:line="240" w:lineRule="auto"/>
        <w:rPr>
          <w:b/>
          <w:bCs/>
          <w:sz w:val="28"/>
          <w:szCs w:val="28"/>
        </w:rPr>
      </w:pPr>
      <w:bookmarkStart w:id="11" w:name="_wi7psy3f0kfx" w:colFirst="0" w:colLast="0"/>
      <w:bookmarkStart w:id="12" w:name="_n75ezbbzgaie" w:colFirst="0" w:colLast="0"/>
      <w:bookmarkEnd w:id="11"/>
      <w:bookmarkEnd w:id="12"/>
      <w:r w:rsidRPr="00EC01AA">
        <w:rPr>
          <w:b/>
          <w:bCs/>
          <w:sz w:val="28"/>
          <w:szCs w:val="28"/>
        </w:rPr>
        <w:t>4. Empirical Results</w:t>
      </w:r>
      <w:bookmarkStart w:id="13" w:name="_nh2e2t5ozv4j" w:colFirst="0" w:colLast="0"/>
      <w:bookmarkEnd w:id="13"/>
    </w:p>
    <w:p w14:paraId="6AD1FC50" w14:textId="77777777" w:rsidR="000A53A2" w:rsidRDefault="000A53A2" w:rsidP="000A53A2">
      <w:pPr>
        <w:spacing w:before="0" w:after="0" w:line="276" w:lineRule="auto"/>
        <w:rPr>
          <w:lang w:val="en-US"/>
        </w:rPr>
      </w:pPr>
      <w:r w:rsidRPr="00F04127">
        <w:rPr>
          <w:b/>
          <w:bCs/>
          <w:lang w:val="en-US"/>
        </w:rPr>
        <w:t>4.1 Descriptive Statistics:</w:t>
      </w:r>
      <w:r>
        <w:rPr>
          <w:lang w:val="en-US"/>
        </w:rPr>
        <w:t xml:space="preserve"> </w:t>
      </w:r>
      <w:r w:rsidRPr="00EC01AA">
        <w:rPr>
          <w:lang w:val="en-US"/>
        </w:rPr>
        <w:t>Table 2 provides descriptive statistics for the dependent and independent variables derived from firm-level panel data on pharmaceutical and chemical companies in Bangladesh from 2015 to 2024. The dataset comprises 196 firm-year observations and features an unbalanced panel structure. On average, total leverage (TLR) is 0.2118, indicating that 21% of total assets are financed by debt. This reflects a conservative capital structure, likely due to the limited availability of long-term external financing in emerging economies. The leverage structure shows a preference for short-term debt, with a mean short-term leverage (STLR) of 0.1460, while long-term leverage (LTLR) is only 0.0219. This maturity structure suggests that Bangladeshi pharmaceutical firms primarily rely on short-term financing options, such as trade credit and short-term bank loans, rather than long-term debt. Firm-specific characteristics exhibit significant variation across the sample. The mean value of Tobin's Q is 2.5398, indicating that many firms are overvalued relative to their book value. The high standard deviation reflects substantial heterogeneity in market valuations among the firms. The median asset tangibility is 0.4194, which indicates a moderate level of tangible assets that may enhance borrowing capacity by serving as collateral, although it is insufficient for large-scale long-term borrowing. The average firm size, assessed by the natural logarithm of total assets, is 15.4752, suggesting that the sample predominantly includes medium to large firms within the pharmaceutical and chemical sectors. The mean profitability (ROA) is 0.0819, which implies that companies achieve an average return of 8.2% on their assets. The negative minimum value indicates that some firms experienced losses during the sample period, particularly in years marked by increased operational and cost pressures. Mean liquidity is relatively high at 3.2537, with significant variation among firms. This suggests that most companies maintain solid short-term solvency, although liquidity management strategies differ across the sample. The elevated liquidity levels may also reflect precautionary measures in response to uncertainties, particularly during the COVID-19 pandemic.</w:t>
      </w:r>
    </w:p>
    <w:p w14:paraId="14C980CD" w14:textId="77777777" w:rsidR="000A53A2" w:rsidRPr="00F4308F" w:rsidRDefault="000A53A2" w:rsidP="000A53A2">
      <w:pPr>
        <w:spacing w:before="0" w:after="0" w:line="276" w:lineRule="auto"/>
        <w:jc w:val="center"/>
        <w:rPr>
          <w:lang w:val="en-US"/>
        </w:rPr>
      </w:pPr>
      <w:bookmarkStart w:id="14" w:name="_Hlk217556105"/>
      <w:r>
        <w:rPr>
          <w:b/>
          <w:bCs/>
        </w:rPr>
        <w:t>Table 2 Descriptive Statistics (2015–2024)</w:t>
      </w:r>
    </w:p>
    <w:tbl>
      <w:tblPr>
        <w:tblStyle w:val="GridTable5Dark-Accent1"/>
        <w:tblW w:w="9025"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773"/>
        <w:gridCol w:w="1101"/>
        <w:gridCol w:w="1276"/>
        <w:gridCol w:w="1100"/>
        <w:gridCol w:w="1100"/>
        <w:gridCol w:w="675"/>
      </w:tblGrid>
      <w:tr w:rsidR="000A53A2" w14:paraId="46CCDE2D" w14:textId="77777777" w:rsidTr="004E18BA">
        <w:trPr>
          <w:trHeight w:val="570"/>
        </w:trPr>
        <w:tc>
          <w:tcPr>
            <w:tcW w:w="3773" w:type="dxa"/>
          </w:tcPr>
          <w:p w14:paraId="115EF624" w14:textId="77777777" w:rsidR="000A53A2" w:rsidRDefault="000A53A2" w:rsidP="004E18BA">
            <w:pPr>
              <w:spacing w:before="0"/>
              <w:rPr>
                <w:b/>
                <w:bCs/>
              </w:rPr>
            </w:pPr>
            <w:r>
              <w:rPr>
                <w:b/>
                <w:bCs/>
              </w:rPr>
              <w:t>Variable</w:t>
            </w:r>
          </w:p>
        </w:tc>
        <w:tc>
          <w:tcPr>
            <w:tcW w:w="1101" w:type="dxa"/>
          </w:tcPr>
          <w:p w14:paraId="0315895D" w14:textId="77777777" w:rsidR="000A53A2" w:rsidRDefault="000A53A2" w:rsidP="004E18BA">
            <w:pPr>
              <w:spacing w:before="0"/>
              <w:rPr>
                <w:b/>
                <w:bCs/>
              </w:rPr>
            </w:pPr>
            <w:r>
              <w:rPr>
                <w:b/>
                <w:bCs/>
              </w:rPr>
              <w:t>Mean</w:t>
            </w:r>
          </w:p>
        </w:tc>
        <w:tc>
          <w:tcPr>
            <w:tcW w:w="1276" w:type="dxa"/>
          </w:tcPr>
          <w:p w14:paraId="6C4376CB" w14:textId="77777777" w:rsidR="000A53A2" w:rsidRDefault="000A53A2" w:rsidP="004E18BA">
            <w:pPr>
              <w:spacing w:before="0"/>
              <w:rPr>
                <w:b/>
                <w:bCs/>
              </w:rPr>
            </w:pPr>
            <w:r>
              <w:rPr>
                <w:b/>
                <w:bCs/>
              </w:rPr>
              <w:t>Std. Dev.</w:t>
            </w:r>
          </w:p>
        </w:tc>
        <w:tc>
          <w:tcPr>
            <w:tcW w:w="1100" w:type="dxa"/>
          </w:tcPr>
          <w:p w14:paraId="73314AEC" w14:textId="77777777" w:rsidR="000A53A2" w:rsidRDefault="000A53A2" w:rsidP="004E18BA">
            <w:pPr>
              <w:spacing w:before="0"/>
              <w:rPr>
                <w:b/>
                <w:bCs/>
              </w:rPr>
            </w:pPr>
            <w:r>
              <w:rPr>
                <w:b/>
                <w:bCs/>
              </w:rPr>
              <w:t>Min</w:t>
            </w:r>
          </w:p>
        </w:tc>
        <w:tc>
          <w:tcPr>
            <w:tcW w:w="1100" w:type="dxa"/>
          </w:tcPr>
          <w:p w14:paraId="45143659" w14:textId="77777777" w:rsidR="000A53A2" w:rsidRDefault="000A53A2" w:rsidP="004E18BA">
            <w:pPr>
              <w:spacing w:before="0"/>
              <w:rPr>
                <w:b/>
                <w:bCs/>
              </w:rPr>
            </w:pPr>
            <w:r>
              <w:rPr>
                <w:b/>
                <w:bCs/>
              </w:rPr>
              <w:t>Max</w:t>
            </w:r>
          </w:p>
        </w:tc>
        <w:tc>
          <w:tcPr>
            <w:tcW w:w="675" w:type="dxa"/>
          </w:tcPr>
          <w:p w14:paraId="3375BC7D" w14:textId="77777777" w:rsidR="000A53A2" w:rsidRDefault="000A53A2" w:rsidP="004E18BA">
            <w:pPr>
              <w:spacing w:before="0"/>
              <w:rPr>
                <w:b/>
                <w:bCs/>
              </w:rPr>
            </w:pPr>
            <w:r>
              <w:rPr>
                <w:b/>
                <w:bCs/>
              </w:rPr>
              <w:t>Obs.</w:t>
            </w:r>
          </w:p>
        </w:tc>
      </w:tr>
      <w:tr w:rsidR="000A53A2" w14:paraId="3CBEB5CF" w14:textId="77777777" w:rsidTr="004E18BA">
        <w:trPr>
          <w:trHeight w:val="570"/>
        </w:trPr>
        <w:tc>
          <w:tcPr>
            <w:tcW w:w="3773" w:type="dxa"/>
          </w:tcPr>
          <w:p w14:paraId="3C744B3A" w14:textId="77777777" w:rsidR="000A53A2" w:rsidRDefault="000A53A2" w:rsidP="004E18BA">
            <w:pPr>
              <w:spacing w:before="0"/>
            </w:pPr>
            <w:r>
              <w:rPr>
                <w:b/>
                <w:bCs/>
              </w:rPr>
              <w:t>TLR</w:t>
            </w:r>
            <w:r>
              <w:t xml:space="preserve"> (Total leverage)</w:t>
            </w:r>
          </w:p>
        </w:tc>
        <w:tc>
          <w:tcPr>
            <w:tcW w:w="1101" w:type="dxa"/>
          </w:tcPr>
          <w:p w14:paraId="5476B29B" w14:textId="77777777" w:rsidR="000A53A2" w:rsidRDefault="000A53A2" w:rsidP="004E18BA">
            <w:pPr>
              <w:spacing w:before="0"/>
            </w:pPr>
            <w:r>
              <w:t>0.2118</w:t>
            </w:r>
          </w:p>
        </w:tc>
        <w:tc>
          <w:tcPr>
            <w:tcW w:w="1276" w:type="dxa"/>
          </w:tcPr>
          <w:p w14:paraId="68AEC989" w14:textId="77777777" w:rsidR="000A53A2" w:rsidRDefault="000A53A2" w:rsidP="004E18BA">
            <w:pPr>
              <w:spacing w:before="0"/>
            </w:pPr>
            <w:r>
              <w:t>0.1757</w:t>
            </w:r>
          </w:p>
        </w:tc>
        <w:tc>
          <w:tcPr>
            <w:tcW w:w="1100" w:type="dxa"/>
          </w:tcPr>
          <w:p w14:paraId="147675D2" w14:textId="77777777" w:rsidR="000A53A2" w:rsidRDefault="000A53A2" w:rsidP="004E18BA">
            <w:pPr>
              <w:spacing w:before="0"/>
            </w:pPr>
            <w:r>
              <w:t>0.0000</w:t>
            </w:r>
          </w:p>
        </w:tc>
        <w:tc>
          <w:tcPr>
            <w:tcW w:w="1100" w:type="dxa"/>
          </w:tcPr>
          <w:p w14:paraId="1F92C618" w14:textId="77777777" w:rsidR="000A53A2" w:rsidRDefault="000A53A2" w:rsidP="004E18BA">
            <w:pPr>
              <w:spacing w:before="0"/>
            </w:pPr>
            <w:r>
              <w:t>0.7062</w:t>
            </w:r>
          </w:p>
        </w:tc>
        <w:tc>
          <w:tcPr>
            <w:tcW w:w="675" w:type="dxa"/>
          </w:tcPr>
          <w:p w14:paraId="5CC64129" w14:textId="77777777" w:rsidR="000A53A2" w:rsidRDefault="000A53A2" w:rsidP="004E18BA">
            <w:pPr>
              <w:spacing w:before="0"/>
            </w:pPr>
            <w:r>
              <w:t>196</w:t>
            </w:r>
          </w:p>
        </w:tc>
      </w:tr>
      <w:tr w:rsidR="000A53A2" w14:paraId="3191E071" w14:textId="77777777" w:rsidTr="004E18BA">
        <w:trPr>
          <w:trHeight w:val="570"/>
        </w:trPr>
        <w:tc>
          <w:tcPr>
            <w:tcW w:w="3773" w:type="dxa"/>
          </w:tcPr>
          <w:p w14:paraId="7B519FF6" w14:textId="77777777" w:rsidR="000A53A2" w:rsidRDefault="000A53A2" w:rsidP="004E18BA">
            <w:pPr>
              <w:spacing w:before="0"/>
            </w:pPr>
            <w:r>
              <w:rPr>
                <w:b/>
                <w:bCs/>
              </w:rPr>
              <w:t>STLR</w:t>
            </w:r>
            <w:r>
              <w:t xml:space="preserve"> (Short-term leverage)</w:t>
            </w:r>
          </w:p>
        </w:tc>
        <w:tc>
          <w:tcPr>
            <w:tcW w:w="1101" w:type="dxa"/>
          </w:tcPr>
          <w:p w14:paraId="05729170" w14:textId="77777777" w:rsidR="000A53A2" w:rsidRDefault="000A53A2" w:rsidP="004E18BA">
            <w:pPr>
              <w:spacing w:before="0"/>
            </w:pPr>
            <w:r>
              <w:t>0.1460</w:t>
            </w:r>
          </w:p>
        </w:tc>
        <w:tc>
          <w:tcPr>
            <w:tcW w:w="1276" w:type="dxa"/>
          </w:tcPr>
          <w:p w14:paraId="17422CEA" w14:textId="77777777" w:rsidR="000A53A2" w:rsidRDefault="000A53A2" w:rsidP="004E18BA">
            <w:pPr>
              <w:spacing w:before="0"/>
            </w:pPr>
            <w:r>
              <w:t>0.1442</w:t>
            </w:r>
          </w:p>
        </w:tc>
        <w:tc>
          <w:tcPr>
            <w:tcW w:w="1100" w:type="dxa"/>
          </w:tcPr>
          <w:p w14:paraId="60C1BB76" w14:textId="77777777" w:rsidR="000A53A2" w:rsidRDefault="000A53A2" w:rsidP="004E18BA">
            <w:pPr>
              <w:spacing w:before="0"/>
            </w:pPr>
            <w:r>
              <w:t>0.0000</w:t>
            </w:r>
          </w:p>
        </w:tc>
        <w:tc>
          <w:tcPr>
            <w:tcW w:w="1100" w:type="dxa"/>
          </w:tcPr>
          <w:p w14:paraId="03418F63" w14:textId="77777777" w:rsidR="000A53A2" w:rsidRDefault="000A53A2" w:rsidP="004E18BA">
            <w:pPr>
              <w:spacing w:before="0"/>
            </w:pPr>
            <w:r>
              <w:t>0.4835</w:t>
            </w:r>
          </w:p>
        </w:tc>
        <w:tc>
          <w:tcPr>
            <w:tcW w:w="675" w:type="dxa"/>
          </w:tcPr>
          <w:p w14:paraId="05268390" w14:textId="77777777" w:rsidR="000A53A2" w:rsidRDefault="000A53A2" w:rsidP="004E18BA">
            <w:pPr>
              <w:spacing w:before="0"/>
            </w:pPr>
            <w:r>
              <w:t>196</w:t>
            </w:r>
          </w:p>
        </w:tc>
      </w:tr>
      <w:tr w:rsidR="000A53A2" w14:paraId="17DDB1BC" w14:textId="77777777" w:rsidTr="004E18BA">
        <w:trPr>
          <w:trHeight w:val="570"/>
        </w:trPr>
        <w:tc>
          <w:tcPr>
            <w:tcW w:w="3773" w:type="dxa"/>
          </w:tcPr>
          <w:p w14:paraId="445C1134" w14:textId="77777777" w:rsidR="000A53A2" w:rsidRDefault="000A53A2" w:rsidP="004E18BA">
            <w:pPr>
              <w:spacing w:before="0"/>
            </w:pPr>
            <w:r>
              <w:rPr>
                <w:b/>
                <w:bCs/>
              </w:rPr>
              <w:t>LTLR</w:t>
            </w:r>
            <w:r>
              <w:t xml:space="preserve"> (Long-term leverage)</w:t>
            </w:r>
          </w:p>
        </w:tc>
        <w:tc>
          <w:tcPr>
            <w:tcW w:w="1101" w:type="dxa"/>
          </w:tcPr>
          <w:p w14:paraId="1B0CD165" w14:textId="77777777" w:rsidR="000A53A2" w:rsidRDefault="000A53A2" w:rsidP="004E18BA">
            <w:pPr>
              <w:spacing w:before="0"/>
            </w:pPr>
            <w:r>
              <w:t>0.0219</w:t>
            </w:r>
          </w:p>
        </w:tc>
        <w:tc>
          <w:tcPr>
            <w:tcW w:w="1276" w:type="dxa"/>
          </w:tcPr>
          <w:p w14:paraId="55C9D539" w14:textId="77777777" w:rsidR="000A53A2" w:rsidRDefault="000A53A2" w:rsidP="004E18BA">
            <w:pPr>
              <w:spacing w:before="0"/>
            </w:pPr>
            <w:r>
              <w:t>0.0268</w:t>
            </w:r>
          </w:p>
        </w:tc>
        <w:tc>
          <w:tcPr>
            <w:tcW w:w="1100" w:type="dxa"/>
          </w:tcPr>
          <w:p w14:paraId="3B05DB20" w14:textId="77777777" w:rsidR="000A53A2" w:rsidRDefault="000A53A2" w:rsidP="004E18BA">
            <w:pPr>
              <w:spacing w:before="0"/>
            </w:pPr>
            <w:r>
              <w:t>0.0000</w:t>
            </w:r>
          </w:p>
        </w:tc>
        <w:tc>
          <w:tcPr>
            <w:tcW w:w="1100" w:type="dxa"/>
          </w:tcPr>
          <w:p w14:paraId="6AB43848" w14:textId="77777777" w:rsidR="000A53A2" w:rsidRDefault="000A53A2" w:rsidP="004E18BA">
            <w:pPr>
              <w:spacing w:before="0"/>
            </w:pPr>
            <w:r>
              <w:t>0.1177</w:t>
            </w:r>
          </w:p>
        </w:tc>
        <w:tc>
          <w:tcPr>
            <w:tcW w:w="675" w:type="dxa"/>
          </w:tcPr>
          <w:p w14:paraId="1EE0244F" w14:textId="77777777" w:rsidR="000A53A2" w:rsidRDefault="000A53A2" w:rsidP="004E18BA">
            <w:pPr>
              <w:spacing w:before="0"/>
            </w:pPr>
            <w:r>
              <w:t>196</w:t>
            </w:r>
          </w:p>
        </w:tc>
      </w:tr>
      <w:tr w:rsidR="000A53A2" w14:paraId="43DA5389" w14:textId="77777777" w:rsidTr="004E18BA">
        <w:trPr>
          <w:trHeight w:val="570"/>
        </w:trPr>
        <w:tc>
          <w:tcPr>
            <w:tcW w:w="3773" w:type="dxa"/>
          </w:tcPr>
          <w:p w14:paraId="2EF83444" w14:textId="77777777" w:rsidR="000A53A2" w:rsidRDefault="000A53A2" w:rsidP="004E18BA">
            <w:pPr>
              <w:spacing w:before="0"/>
              <w:rPr>
                <w:b/>
                <w:bCs/>
              </w:rPr>
            </w:pPr>
            <w:r>
              <w:rPr>
                <w:b/>
                <w:bCs/>
              </w:rPr>
              <w:t>Tobin’s Q</w:t>
            </w:r>
          </w:p>
        </w:tc>
        <w:tc>
          <w:tcPr>
            <w:tcW w:w="1101" w:type="dxa"/>
          </w:tcPr>
          <w:p w14:paraId="02F9ECAC" w14:textId="77777777" w:rsidR="000A53A2" w:rsidRDefault="000A53A2" w:rsidP="004E18BA">
            <w:pPr>
              <w:spacing w:before="0"/>
            </w:pPr>
            <w:r>
              <w:t>2.5398</w:t>
            </w:r>
          </w:p>
        </w:tc>
        <w:tc>
          <w:tcPr>
            <w:tcW w:w="1276" w:type="dxa"/>
          </w:tcPr>
          <w:p w14:paraId="48F93F67" w14:textId="77777777" w:rsidR="000A53A2" w:rsidRDefault="000A53A2" w:rsidP="004E18BA">
            <w:pPr>
              <w:spacing w:before="0"/>
            </w:pPr>
            <w:r>
              <w:t>2.5321</w:t>
            </w:r>
          </w:p>
        </w:tc>
        <w:tc>
          <w:tcPr>
            <w:tcW w:w="1100" w:type="dxa"/>
          </w:tcPr>
          <w:p w14:paraId="1D021FC0" w14:textId="77777777" w:rsidR="000A53A2" w:rsidRDefault="000A53A2" w:rsidP="004E18BA">
            <w:pPr>
              <w:spacing w:before="0"/>
            </w:pPr>
            <w:r>
              <w:t>0.4378</w:t>
            </w:r>
          </w:p>
        </w:tc>
        <w:tc>
          <w:tcPr>
            <w:tcW w:w="1100" w:type="dxa"/>
          </w:tcPr>
          <w:p w14:paraId="7588BE3F" w14:textId="77777777" w:rsidR="000A53A2" w:rsidRDefault="000A53A2" w:rsidP="004E18BA">
            <w:pPr>
              <w:spacing w:before="0"/>
            </w:pPr>
            <w:r>
              <w:t>14.0203</w:t>
            </w:r>
          </w:p>
        </w:tc>
        <w:tc>
          <w:tcPr>
            <w:tcW w:w="675" w:type="dxa"/>
          </w:tcPr>
          <w:p w14:paraId="19F76B41" w14:textId="77777777" w:rsidR="000A53A2" w:rsidRDefault="000A53A2" w:rsidP="004E18BA">
            <w:pPr>
              <w:spacing w:before="0"/>
            </w:pPr>
            <w:r>
              <w:t>196</w:t>
            </w:r>
          </w:p>
        </w:tc>
      </w:tr>
      <w:tr w:rsidR="000A53A2" w14:paraId="00E0EAC2" w14:textId="77777777" w:rsidTr="004E18BA">
        <w:trPr>
          <w:trHeight w:val="570"/>
        </w:trPr>
        <w:tc>
          <w:tcPr>
            <w:tcW w:w="3773" w:type="dxa"/>
          </w:tcPr>
          <w:p w14:paraId="29C38E14" w14:textId="77777777" w:rsidR="000A53A2" w:rsidRDefault="000A53A2" w:rsidP="004E18BA">
            <w:pPr>
              <w:spacing w:before="0"/>
              <w:rPr>
                <w:b/>
                <w:bCs/>
              </w:rPr>
            </w:pPr>
            <w:r>
              <w:rPr>
                <w:b/>
                <w:bCs/>
              </w:rPr>
              <w:lastRenderedPageBreak/>
              <w:t>Tangibility</w:t>
            </w:r>
          </w:p>
        </w:tc>
        <w:tc>
          <w:tcPr>
            <w:tcW w:w="1101" w:type="dxa"/>
          </w:tcPr>
          <w:p w14:paraId="4E2E70E7" w14:textId="77777777" w:rsidR="000A53A2" w:rsidRDefault="000A53A2" w:rsidP="004E18BA">
            <w:pPr>
              <w:spacing w:before="0"/>
            </w:pPr>
            <w:r>
              <w:t>0.4194</w:t>
            </w:r>
          </w:p>
        </w:tc>
        <w:tc>
          <w:tcPr>
            <w:tcW w:w="1276" w:type="dxa"/>
          </w:tcPr>
          <w:p w14:paraId="66AE2D60" w14:textId="77777777" w:rsidR="000A53A2" w:rsidRDefault="000A53A2" w:rsidP="004E18BA">
            <w:pPr>
              <w:spacing w:before="0"/>
            </w:pPr>
            <w:r>
              <w:t>0.2126</w:t>
            </w:r>
          </w:p>
        </w:tc>
        <w:tc>
          <w:tcPr>
            <w:tcW w:w="1100" w:type="dxa"/>
          </w:tcPr>
          <w:p w14:paraId="430FA573" w14:textId="77777777" w:rsidR="000A53A2" w:rsidRDefault="000A53A2" w:rsidP="004E18BA">
            <w:pPr>
              <w:spacing w:before="0"/>
            </w:pPr>
            <w:r>
              <w:t>0.0428</w:t>
            </w:r>
          </w:p>
        </w:tc>
        <w:tc>
          <w:tcPr>
            <w:tcW w:w="1100" w:type="dxa"/>
          </w:tcPr>
          <w:p w14:paraId="4A4B03FE" w14:textId="77777777" w:rsidR="000A53A2" w:rsidRDefault="000A53A2" w:rsidP="004E18BA">
            <w:pPr>
              <w:spacing w:before="0"/>
            </w:pPr>
            <w:r>
              <w:t>0.9195</w:t>
            </w:r>
          </w:p>
        </w:tc>
        <w:tc>
          <w:tcPr>
            <w:tcW w:w="675" w:type="dxa"/>
          </w:tcPr>
          <w:p w14:paraId="3AE51199" w14:textId="77777777" w:rsidR="000A53A2" w:rsidRDefault="000A53A2" w:rsidP="004E18BA">
            <w:pPr>
              <w:spacing w:before="0"/>
            </w:pPr>
            <w:r>
              <w:t>196</w:t>
            </w:r>
          </w:p>
        </w:tc>
      </w:tr>
      <w:tr w:rsidR="000A53A2" w14:paraId="3B7D1F13" w14:textId="77777777" w:rsidTr="004E18BA">
        <w:trPr>
          <w:trHeight w:val="570"/>
        </w:trPr>
        <w:tc>
          <w:tcPr>
            <w:tcW w:w="3773" w:type="dxa"/>
          </w:tcPr>
          <w:p w14:paraId="4F9AD597" w14:textId="77777777" w:rsidR="000A53A2" w:rsidRDefault="000A53A2" w:rsidP="004E18BA">
            <w:pPr>
              <w:spacing w:before="0"/>
              <w:rPr>
                <w:b/>
                <w:bCs/>
              </w:rPr>
            </w:pPr>
            <w:r>
              <w:rPr>
                <w:b/>
                <w:bCs/>
              </w:rPr>
              <w:t>Size (ln Assets)</w:t>
            </w:r>
          </w:p>
        </w:tc>
        <w:tc>
          <w:tcPr>
            <w:tcW w:w="1101" w:type="dxa"/>
          </w:tcPr>
          <w:p w14:paraId="0200D5C8" w14:textId="77777777" w:rsidR="000A53A2" w:rsidRDefault="000A53A2" w:rsidP="004E18BA">
            <w:pPr>
              <w:spacing w:before="0"/>
            </w:pPr>
            <w:r>
              <w:t>15.4752</w:t>
            </w:r>
          </w:p>
        </w:tc>
        <w:tc>
          <w:tcPr>
            <w:tcW w:w="1276" w:type="dxa"/>
          </w:tcPr>
          <w:p w14:paraId="75160304" w14:textId="77777777" w:rsidR="000A53A2" w:rsidRDefault="000A53A2" w:rsidP="004E18BA">
            <w:pPr>
              <w:spacing w:before="0"/>
            </w:pPr>
            <w:r>
              <w:t>1.5309</w:t>
            </w:r>
          </w:p>
        </w:tc>
        <w:tc>
          <w:tcPr>
            <w:tcW w:w="1100" w:type="dxa"/>
          </w:tcPr>
          <w:p w14:paraId="687E947C" w14:textId="77777777" w:rsidR="000A53A2" w:rsidRDefault="000A53A2" w:rsidP="004E18BA">
            <w:pPr>
              <w:spacing w:before="0"/>
            </w:pPr>
            <w:r>
              <w:t>12.9067</w:t>
            </w:r>
          </w:p>
        </w:tc>
        <w:tc>
          <w:tcPr>
            <w:tcW w:w="1100" w:type="dxa"/>
          </w:tcPr>
          <w:p w14:paraId="5B133655" w14:textId="77777777" w:rsidR="000A53A2" w:rsidRDefault="000A53A2" w:rsidP="004E18BA">
            <w:pPr>
              <w:spacing w:before="0"/>
            </w:pPr>
            <w:r>
              <w:t>18.5341</w:t>
            </w:r>
          </w:p>
        </w:tc>
        <w:tc>
          <w:tcPr>
            <w:tcW w:w="675" w:type="dxa"/>
          </w:tcPr>
          <w:p w14:paraId="0B183A31" w14:textId="77777777" w:rsidR="000A53A2" w:rsidRDefault="000A53A2" w:rsidP="004E18BA">
            <w:pPr>
              <w:spacing w:before="0"/>
            </w:pPr>
            <w:r>
              <w:t>196</w:t>
            </w:r>
          </w:p>
        </w:tc>
      </w:tr>
      <w:tr w:rsidR="000A53A2" w14:paraId="66A72BAE" w14:textId="77777777" w:rsidTr="004E18BA">
        <w:trPr>
          <w:trHeight w:val="570"/>
        </w:trPr>
        <w:tc>
          <w:tcPr>
            <w:tcW w:w="3773" w:type="dxa"/>
          </w:tcPr>
          <w:p w14:paraId="4A1DFB5C" w14:textId="77777777" w:rsidR="000A53A2" w:rsidRDefault="000A53A2" w:rsidP="004E18BA">
            <w:pPr>
              <w:spacing w:before="0"/>
              <w:rPr>
                <w:b/>
                <w:bCs/>
              </w:rPr>
            </w:pPr>
            <w:r>
              <w:rPr>
                <w:b/>
                <w:bCs/>
              </w:rPr>
              <w:t>ROA (Profitability)</w:t>
            </w:r>
          </w:p>
        </w:tc>
        <w:tc>
          <w:tcPr>
            <w:tcW w:w="1101" w:type="dxa"/>
          </w:tcPr>
          <w:p w14:paraId="7B40E1FE" w14:textId="77777777" w:rsidR="000A53A2" w:rsidRDefault="000A53A2" w:rsidP="004E18BA">
            <w:pPr>
              <w:spacing w:before="0"/>
            </w:pPr>
            <w:r>
              <w:t>0.0819</w:t>
            </w:r>
          </w:p>
        </w:tc>
        <w:tc>
          <w:tcPr>
            <w:tcW w:w="1276" w:type="dxa"/>
          </w:tcPr>
          <w:p w14:paraId="032ACADB" w14:textId="77777777" w:rsidR="000A53A2" w:rsidRDefault="000A53A2" w:rsidP="004E18BA">
            <w:pPr>
              <w:spacing w:before="0"/>
            </w:pPr>
            <w:r>
              <w:t>0.1199</w:t>
            </w:r>
          </w:p>
        </w:tc>
        <w:tc>
          <w:tcPr>
            <w:tcW w:w="1100" w:type="dxa"/>
          </w:tcPr>
          <w:p w14:paraId="1BB4F785" w14:textId="77777777" w:rsidR="000A53A2" w:rsidRDefault="000A53A2" w:rsidP="004E18BA">
            <w:pPr>
              <w:spacing w:before="0"/>
            </w:pPr>
            <w:r>
              <w:t>–0.8167</w:t>
            </w:r>
          </w:p>
        </w:tc>
        <w:tc>
          <w:tcPr>
            <w:tcW w:w="1100" w:type="dxa"/>
          </w:tcPr>
          <w:p w14:paraId="0888797F" w14:textId="77777777" w:rsidR="000A53A2" w:rsidRDefault="000A53A2" w:rsidP="004E18BA">
            <w:pPr>
              <w:spacing w:before="0"/>
            </w:pPr>
            <w:r>
              <w:t>0.5495</w:t>
            </w:r>
          </w:p>
        </w:tc>
        <w:tc>
          <w:tcPr>
            <w:tcW w:w="675" w:type="dxa"/>
          </w:tcPr>
          <w:p w14:paraId="76A9AEE3" w14:textId="77777777" w:rsidR="000A53A2" w:rsidRDefault="000A53A2" w:rsidP="004E18BA">
            <w:pPr>
              <w:spacing w:before="0"/>
            </w:pPr>
            <w:r>
              <w:t>196</w:t>
            </w:r>
          </w:p>
        </w:tc>
      </w:tr>
      <w:tr w:rsidR="000A53A2" w14:paraId="70186A1D" w14:textId="77777777" w:rsidTr="004E18BA">
        <w:trPr>
          <w:trHeight w:val="570"/>
        </w:trPr>
        <w:tc>
          <w:tcPr>
            <w:tcW w:w="3773" w:type="dxa"/>
          </w:tcPr>
          <w:p w14:paraId="36439DBC" w14:textId="77777777" w:rsidR="000A53A2" w:rsidRDefault="000A53A2" w:rsidP="004E18BA">
            <w:pPr>
              <w:spacing w:before="0"/>
              <w:rPr>
                <w:b/>
                <w:bCs/>
              </w:rPr>
            </w:pPr>
            <w:r>
              <w:rPr>
                <w:b/>
                <w:bCs/>
              </w:rPr>
              <w:t>Liquidity</w:t>
            </w:r>
          </w:p>
        </w:tc>
        <w:tc>
          <w:tcPr>
            <w:tcW w:w="1101" w:type="dxa"/>
          </w:tcPr>
          <w:p w14:paraId="5B0701DF" w14:textId="77777777" w:rsidR="000A53A2" w:rsidRDefault="000A53A2" w:rsidP="004E18BA">
            <w:pPr>
              <w:spacing w:before="0"/>
            </w:pPr>
            <w:r>
              <w:t>3.2537</w:t>
            </w:r>
          </w:p>
        </w:tc>
        <w:tc>
          <w:tcPr>
            <w:tcW w:w="1276" w:type="dxa"/>
          </w:tcPr>
          <w:p w14:paraId="36DFBA47" w14:textId="77777777" w:rsidR="000A53A2" w:rsidRDefault="000A53A2" w:rsidP="004E18BA">
            <w:pPr>
              <w:spacing w:before="0"/>
            </w:pPr>
            <w:r>
              <w:t>4.9946</w:t>
            </w:r>
          </w:p>
        </w:tc>
        <w:tc>
          <w:tcPr>
            <w:tcW w:w="1100" w:type="dxa"/>
          </w:tcPr>
          <w:p w14:paraId="3FFA0FB5" w14:textId="77777777" w:rsidR="000A53A2" w:rsidRDefault="000A53A2" w:rsidP="004E18BA">
            <w:pPr>
              <w:spacing w:before="0"/>
            </w:pPr>
            <w:r>
              <w:t>0.0011</w:t>
            </w:r>
          </w:p>
        </w:tc>
        <w:tc>
          <w:tcPr>
            <w:tcW w:w="1100" w:type="dxa"/>
          </w:tcPr>
          <w:p w14:paraId="77396B64" w14:textId="77777777" w:rsidR="000A53A2" w:rsidRDefault="000A53A2" w:rsidP="004E18BA">
            <w:pPr>
              <w:spacing w:before="0"/>
            </w:pPr>
            <w:r>
              <w:t>28.3119</w:t>
            </w:r>
          </w:p>
        </w:tc>
        <w:tc>
          <w:tcPr>
            <w:tcW w:w="675" w:type="dxa"/>
          </w:tcPr>
          <w:p w14:paraId="70D9D6F5" w14:textId="77777777" w:rsidR="000A53A2" w:rsidRDefault="000A53A2" w:rsidP="004E18BA">
            <w:pPr>
              <w:spacing w:before="0"/>
            </w:pPr>
            <w:r>
              <w:t>196</w:t>
            </w:r>
          </w:p>
        </w:tc>
      </w:tr>
    </w:tbl>
    <w:p w14:paraId="73ABD723" w14:textId="77777777" w:rsidR="000A53A2" w:rsidRDefault="000A53A2" w:rsidP="000A53A2">
      <w:pPr>
        <w:spacing w:before="0" w:after="80" w:line="240" w:lineRule="auto"/>
        <w:jc w:val="left"/>
      </w:pPr>
      <w:r>
        <w:rPr>
          <w:b/>
          <w:bCs/>
        </w:rPr>
        <w:t>Source:</w:t>
      </w:r>
      <w:r>
        <w:t xml:space="preserve"> Author’s calculation using firm-level panel data (2015–2024), Stata 17 output</w:t>
      </w:r>
      <w:bookmarkEnd w:id="14"/>
      <w:r>
        <w:t>.</w:t>
      </w:r>
    </w:p>
    <w:p w14:paraId="22695C9E" w14:textId="77777777" w:rsidR="000A53A2" w:rsidRDefault="000A53A2" w:rsidP="000A53A2">
      <w:pPr>
        <w:spacing w:before="0" w:after="0" w:line="276" w:lineRule="auto"/>
        <w:rPr>
          <w:lang w:val="en-US"/>
        </w:rPr>
      </w:pPr>
      <w:r w:rsidRPr="00EC01AA">
        <w:rPr>
          <w:lang w:val="en-US"/>
        </w:rPr>
        <w:t>In summary, the descriptive statistics reveal that Bangladeshi pharmaceutical and chemical companies exhibit low overall leverage, a strong preference for short-term debt, high liquidity buffers, and moderate profitability. These characteristics indicate a conservative financing approach, highlighting the need for further econometric studies to investigate the relationships between leverage and the impact of the COVID-19 pandemic.</w:t>
      </w:r>
      <w:bookmarkStart w:id="15" w:name="_bgtjmvfhn72r" w:colFirst="0" w:colLast="0"/>
      <w:bookmarkEnd w:id="15"/>
    </w:p>
    <w:p w14:paraId="3F12D976" w14:textId="77777777" w:rsidR="000A53A2" w:rsidRPr="00F04127" w:rsidRDefault="000A53A2" w:rsidP="000A53A2">
      <w:pPr>
        <w:spacing w:before="0" w:after="0" w:line="276" w:lineRule="auto"/>
      </w:pPr>
      <w:r w:rsidRPr="00F04127">
        <w:rPr>
          <w:b/>
          <w:bCs/>
          <w:lang w:val="en-US"/>
        </w:rPr>
        <w:t>4.2 Pearson correlation matrix</w:t>
      </w:r>
      <w:r>
        <w:rPr>
          <w:b/>
          <w:bCs/>
          <w:lang w:val="en-US"/>
        </w:rPr>
        <w:t xml:space="preserve">: </w:t>
      </w:r>
      <w:r w:rsidRPr="00F4308F">
        <w:t>Table 3 shows the Pearson correlation between the explanatory and dependent variables. The correlations between the independent variables are neutral and below traditional levels, indicating no significant threat of multicollinearity. There is a strong correlation between total leverage (TLR) and short-term leverage (STLR), while the correlation between TLR and long-term leverage (LTLR) is weaker. All leverage measures have a negative correlation with profitability (ROA), consistent with the pecking order theory, which posits that more profitable companies rely less on external debt. Leverage is also negatively linked to liquidity, suggesting that firms with better short-term solvency use less debt. The relationship between Tobin's Q and leverage is weak and negative, implying that companies with more growth opportunities are less inclined to use debt financing. The tangibility of assets has a positive but weak relationship with leverage, aligning with trade-off theory, where tangible assets can serve as collateral and enhance borrowing power. The relationship between firm size and long-term leverage is positive, indicating that larger firms have a comparative advantage in accessing long-term financing, even in a bank-based financial system. To further assess multicollinearity, the variance inflation factor (VIF) was tested and found to be below the accepted threshold of 10. Overall, the correlation and VIF diagnostics suggest that the dataset is suitable for panel regression analysis, and the estimated coefficients are unlikely to be skewed by multicollinearity.</w:t>
      </w:r>
      <w:bookmarkStart w:id="16" w:name="_Hlk217556159"/>
    </w:p>
    <w:p w14:paraId="512D6952" w14:textId="77777777" w:rsidR="000A53A2" w:rsidRPr="00F4308F" w:rsidRDefault="000A53A2" w:rsidP="000A53A2">
      <w:pPr>
        <w:spacing w:before="0" w:after="0" w:line="276" w:lineRule="auto"/>
        <w:jc w:val="center"/>
        <w:rPr>
          <w:lang w:val="en-US"/>
        </w:rPr>
      </w:pPr>
      <w:r>
        <w:rPr>
          <w:b/>
          <w:bCs/>
        </w:rPr>
        <w:t>Table 3 Correlation Matrix</w:t>
      </w:r>
    </w:p>
    <w:tbl>
      <w:tblPr>
        <w:tblStyle w:val="GridTable5Dark-Accent1"/>
        <w:tblW w:w="10170" w:type="dxa"/>
        <w:jc w:val="center"/>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466"/>
        <w:gridCol w:w="1035"/>
        <w:gridCol w:w="1140"/>
        <w:gridCol w:w="1035"/>
        <w:gridCol w:w="1110"/>
        <w:gridCol w:w="1239"/>
        <w:gridCol w:w="936"/>
        <w:gridCol w:w="1005"/>
        <w:gridCol w:w="1204"/>
      </w:tblGrid>
      <w:tr w:rsidR="000A53A2" w14:paraId="7AC06D07" w14:textId="77777777" w:rsidTr="004E18BA">
        <w:trPr>
          <w:trHeight w:val="535"/>
          <w:jc w:val="center"/>
        </w:trPr>
        <w:tc>
          <w:tcPr>
            <w:tcW w:w="1466" w:type="dxa"/>
          </w:tcPr>
          <w:p w14:paraId="562E4661" w14:textId="77777777" w:rsidR="000A53A2" w:rsidRDefault="000A53A2" w:rsidP="004E18BA">
            <w:pPr>
              <w:spacing w:before="0"/>
              <w:jc w:val="center"/>
              <w:rPr>
                <w:b/>
                <w:bCs/>
              </w:rPr>
            </w:pPr>
            <w:r>
              <w:rPr>
                <w:b/>
                <w:bCs/>
              </w:rPr>
              <w:t>Variable</w:t>
            </w:r>
          </w:p>
        </w:tc>
        <w:tc>
          <w:tcPr>
            <w:tcW w:w="1035" w:type="dxa"/>
          </w:tcPr>
          <w:p w14:paraId="484EDE0A" w14:textId="77777777" w:rsidR="000A53A2" w:rsidRDefault="000A53A2" w:rsidP="004E18BA">
            <w:pPr>
              <w:spacing w:before="0"/>
              <w:jc w:val="center"/>
              <w:rPr>
                <w:b/>
                <w:bCs/>
              </w:rPr>
            </w:pPr>
            <w:r>
              <w:rPr>
                <w:b/>
                <w:bCs/>
              </w:rPr>
              <w:t>TLR</w:t>
            </w:r>
          </w:p>
        </w:tc>
        <w:tc>
          <w:tcPr>
            <w:tcW w:w="1140" w:type="dxa"/>
          </w:tcPr>
          <w:p w14:paraId="14A90791" w14:textId="77777777" w:rsidR="000A53A2" w:rsidRDefault="000A53A2" w:rsidP="004E18BA">
            <w:pPr>
              <w:spacing w:before="0"/>
              <w:jc w:val="center"/>
              <w:rPr>
                <w:b/>
                <w:bCs/>
              </w:rPr>
            </w:pPr>
            <w:r>
              <w:rPr>
                <w:b/>
                <w:bCs/>
              </w:rPr>
              <w:t>STLR</w:t>
            </w:r>
          </w:p>
        </w:tc>
        <w:tc>
          <w:tcPr>
            <w:tcW w:w="1035" w:type="dxa"/>
          </w:tcPr>
          <w:p w14:paraId="339408AA" w14:textId="77777777" w:rsidR="000A53A2" w:rsidRDefault="000A53A2" w:rsidP="004E18BA">
            <w:pPr>
              <w:spacing w:before="0"/>
              <w:jc w:val="center"/>
              <w:rPr>
                <w:b/>
                <w:bCs/>
              </w:rPr>
            </w:pPr>
            <w:r>
              <w:rPr>
                <w:b/>
                <w:bCs/>
              </w:rPr>
              <w:t>LTLR</w:t>
            </w:r>
          </w:p>
        </w:tc>
        <w:tc>
          <w:tcPr>
            <w:tcW w:w="1110" w:type="dxa"/>
          </w:tcPr>
          <w:p w14:paraId="511D2412" w14:textId="77777777" w:rsidR="000A53A2" w:rsidRDefault="000A53A2" w:rsidP="004E18BA">
            <w:pPr>
              <w:spacing w:before="0"/>
              <w:jc w:val="center"/>
              <w:rPr>
                <w:b/>
                <w:bCs/>
              </w:rPr>
            </w:pPr>
            <w:r>
              <w:rPr>
                <w:b/>
                <w:bCs/>
              </w:rPr>
              <w:t>Tobin’s Q</w:t>
            </w:r>
          </w:p>
        </w:tc>
        <w:tc>
          <w:tcPr>
            <w:tcW w:w="1239" w:type="dxa"/>
          </w:tcPr>
          <w:p w14:paraId="65FD96DC" w14:textId="77777777" w:rsidR="000A53A2" w:rsidRDefault="000A53A2" w:rsidP="004E18BA">
            <w:pPr>
              <w:spacing w:before="0"/>
              <w:jc w:val="center"/>
              <w:rPr>
                <w:b/>
                <w:bCs/>
              </w:rPr>
            </w:pPr>
            <w:r>
              <w:rPr>
                <w:b/>
                <w:bCs/>
              </w:rPr>
              <w:t>Tangibility</w:t>
            </w:r>
          </w:p>
        </w:tc>
        <w:tc>
          <w:tcPr>
            <w:tcW w:w="936" w:type="dxa"/>
          </w:tcPr>
          <w:p w14:paraId="4C916B56" w14:textId="77777777" w:rsidR="000A53A2" w:rsidRDefault="000A53A2" w:rsidP="004E18BA">
            <w:pPr>
              <w:spacing w:before="0"/>
              <w:jc w:val="center"/>
              <w:rPr>
                <w:b/>
                <w:bCs/>
              </w:rPr>
            </w:pPr>
            <w:r>
              <w:rPr>
                <w:b/>
                <w:bCs/>
              </w:rPr>
              <w:t>Size</w:t>
            </w:r>
          </w:p>
        </w:tc>
        <w:tc>
          <w:tcPr>
            <w:tcW w:w="1005" w:type="dxa"/>
          </w:tcPr>
          <w:p w14:paraId="01CF8DED" w14:textId="77777777" w:rsidR="000A53A2" w:rsidRDefault="000A53A2" w:rsidP="004E18BA">
            <w:pPr>
              <w:spacing w:before="0"/>
              <w:jc w:val="center"/>
              <w:rPr>
                <w:b/>
                <w:bCs/>
              </w:rPr>
            </w:pPr>
            <w:r>
              <w:rPr>
                <w:b/>
                <w:bCs/>
              </w:rPr>
              <w:t>ROA</w:t>
            </w:r>
          </w:p>
        </w:tc>
        <w:tc>
          <w:tcPr>
            <w:tcW w:w="1204" w:type="dxa"/>
          </w:tcPr>
          <w:p w14:paraId="12845BBF" w14:textId="77777777" w:rsidR="000A53A2" w:rsidRDefault="000A53A2" w:rsidP="004E18BA">
            <w:pPr>
              <w:spacing w:before="0"/>
              <w:jc w:val="center"/>
              <w:rPr>
                <w:b/>
                <w:bCs/>
              </w:rPr>
            </w:pPr>
            <w:r>
              <w:rPr>
                <w:b/>
                <w:bCs/>
              </w:rPr>
              <w:t>Liquidity</w:t>
            </w:r>
          </w:p>
        </w:tc>
      </w:tr>
      <w:tr w:rsidR="000A53A2" w14:paraId="476AB898" w14:textId="77777777" w:rsidTr="004E18BA">
        <w:trPr>
          <w:trHeight w:val="310"/>
          <w:jc w:val="center"/>
        </w:trPr>
        <w:tc>
          <w:tcPr>
            <w:tcW w:w="1466" w:type="dxa"/>
          </w:tcPr>
          <w:p w14:paraId="432390B1" w14:textId="77777777" w:rsidR="000A53A2" w:rsidRDefault="000A53A2" w:rsidP="004E18BA">
            <w:pPr>
              <w:spacing w:before="0"/>
              <w:jc w:val="center"/>
              <w:rPr>
                <w:b/>
                <w:bCs/>
              </w:rPr>
            </w:pPr>
            <w:r>
              <w:rPr>
                <w:b/>
                <w:bCs/>
              </w:rPr>
              <w:t>TLR</w:t>
            </w:r>
          </w:p>
        </w:tc>
        <w:tc>
          <w:tcPr>
            <w:tcW w:w="1035" w:type="dxa"/>
          </w:tcPr>
          <w:p w14:paraId="4672A68D" w14:textId="77777777" w:rsidR="000A53A2" w:rsidRDefault="000A53A2" w:rsidP="004E18BA">
            <w:pPr>
              <w:spacing w:before="0"/>
              <w:jc w:val="center"/>
            </w:pPr>
            <w:r>
              <w:t>1</w:t>
            </w:r>
          </w:p>
        </w:tc>
        <w:tc>
          <w:tcPr>
            <w:tcW w:w="1140" w:type="dxa"/>
          </w:tcPr>
          <w:p w14:paraId="376C374E" w14:textId="77777777" w:rsidR="000A53A2" w:rsidRDefault="000A53A2" w:rsidP="004E18BA">
            <w:pPr>
              <w:spacing w:before="0"/>
              <w:jc w:val="left"/>
            </w:pPr>
          </w:p>
        </w:tc>
        <w:tc>
          <w:tcPr>
            <w:tcW w:w="1035" w:type="dxa"/>
          </w:tcPr>
          <w:p w14:paraId="4D927B22" w14:textId="77777777" w:rsidR="000A53A2" w:rsidRDefault="000A53A2" w:rsidP="004E18BA">
            <w:pPr>
              <w:spacing w:before="0"/>
              <w:jc w:val="left"/>
            </w:pPr>
          </w:p>
        </w:tc>
        <w:tc>
          <w:tcPr>
            <w:tcW w:w="1110" w:type="dxa"/>
          </w:tcPr>
          <w:p w14:paraId="078AB25A" w14:textId="77777777" w:rsidR="000A53A2" w:rsidRDefault="000A53A2" w:rsidP="004E18BA">
            <w:pPr>
              <w:spacing w:before="0"/>
              <w:jc w:val="left"/>
            </w:pPr>
          </w:p>
        </w:tc>
        <w:tc>
          <w:tcPr>
            <w:tcW w:w="1239" w:type="dxa"/>
          </w:tcPr>
          <w:p w14:paraId="6EE8E8DB" w14:textId="77777777" w:rsidR="000A53A2" w:rsidRDefault="000A53A2" w:rsidP="004E18BA">
            <w:pPr>
              <w:spacing w:before="0"/>
              <w:jc w:val="left"/>
            </w:pPr>
          </w:p>
        </w:tc>
        <w:tc>
          <w:tcPr>
            <w:tcW w:w="936" w:type="dxa"/>
          </w:tcPr>
          <w:p w14:paraId="783A024E" w14:textId="77777777" w:rsidR="000A53A2" w:rsidRDefault="000A53A2" w:rsidP="004E18BA">
            <w:pPr>
              <w:spacing w:before="0"/>
              <w:jc w:val="left"/>
            </w:pPr>
          </w:p>
        </w:tc>
        <w:tc>
          <w:tcPr>
            <w:tcW w:w="1005" w:type="dxa"/>
          </w:tcPr>
          <w:p w14:paraId="64776823" w14:textId="77777777" w:rsidR="000A53A2" w:rsidRDefault="000A53A2" w:rsidP="004E18BA">
            <w:pPr>
              <w:spacing w:before="0"/>
              <w:jc w:val="left"/>
            </w:pPr>
          </w:p>
        </w:tc>
        <w:tc>
          <w:tcPr>
            <w:tcW w:w="1204" w:type="dxa"/>
          </w:tcPr>
          <w:p w14:paraId="53E30604" w14:textId="77777777" w:rsidR="000A53A2" w:rsidRDefault="000A53A2" w:rsidP="004E18BA">
            <w:pPr>
              <w:spacing w:before="0"/>
              <w:jc w:val="left"/>
            </w:pPr>
          </w:p>
        </w:tc>
      </w:tr>
      <w:tr w:rsidR="000A53A2" w14:paraId="702F4A52" w14:textId="77777777" w:rsidTr="004E18BA">
        <w:trPr>
          <w:trHeight w:val="490"/>
          <w:jc w:val="center"/>
        </w:trPr>
        <w:tc>
          <w:tcPr>
            <w:tcW w:w="1466" w:type="dxa"/>
          </w:tcPr>
          <w:p w14:paraId="643883B2" w14:textId="77777777" w:rsidR="000A53A2" w:rsidRDefault="000A53A2" w:rsidP="004E18BA">
            <w:pPr>
              <w:spacing w:before="0"/>
              <w:jc w:val="center"/>
              <w:rPr>
                <w:b/>
                <w:bCs/>
              </w:rPr>
            </w:pPr>
            <w:r>
              <w:rPr>
                <w:b/>
                <w:bCs/>
              </w:rPr>
              <w:t>STLR</w:t>
            </w:r>
          </w:p>
        </w:tc>
        <w:tc>
          <w:tcPr>
            <w:tcW w:w="1035" w:type="dxa"/>
          </w:tcPr>
          <w:p w14:paraId="672133C1" w14:textId="77777777" w:rsidR="000A53A2" w:rsidRDefault="000A53A2" w:rsidP="004E18BA">
            <w:pPr>
              <w:spacing w:before="0"/>
              <w:jc w:val="center"/>
            </w:pPr>
            <w:r>
              <w:t>0.8406***</w:t>
            </w:r>
          </w:p>
        </w:tc>
        <w:tc>
          <w:tcPr>
            <w:tcW w:w="1140" w:type="dxa"/>
          </w:tcPr>
          <w:p w14:paraId="7FCB691F" w14:textId="77777777" w:rsidR="000A53A2" w:rsidRDefault="000A53A2" w:rsidP="004E18BA">
            <w:pPr>
              <w:spacing w:before="0"/>
              <w:jc w:val="center"/>
            </w:pPr>
            <w:r>
              <w:t>1</w:t>
            </w:r>
          </w:p>
        </w:tc>
        <w:tc>
          <w:tcPr>
            <w:tcW w:w="1035" w:type="dxa"/>
          </w:tcPr>
          <w:p w14:paraId="398CCDB0" w14:textId="77777777" w:rsidR="000A53A2" w:rsidRDefault="000A53A2" w:rsidP="004E18BA">
            <w:pPr>
              <w:spacing w:before="0"/>
              <w:jc w:val="left"/>
            </w:pPr>
          </w:p>
        </w:tc>
        <w:tc>
          <w:tcPr>
            <w:tcW w:w="1110" w:type="dxa"/>
          </w:tcPr>
          <w:p w14:paraId="69BBA37D" w14:textId="77777777" w:rsidR="000A53A2" w:rsidRDefault="000A53A2" w:rsidP="004E18BA">
            <w:pPr>
              <w:spacing w:before="0"/>
              <w:jc w:val="left"/>
            </w:pPr>
          </w:p>
        </w:tc>
        <w:tc>
          <w:tcPr>
            <w:tcW w:w="1239" w:type="dxa"/>
          </w:tcPr>
          <w:p w14:paraId="5E7BE859" w14:textId="77777777" w:rsidR="000A53A2" w:rsidRDefault="000A53A2" w:rsidP="004E18BA">
            <w:pPr>
              <w:spacing w:before="0"/>
              <w:jc w:val="left"/>
            </w:pPr>
          </w:p>
        </w:tc>
        <w:tc>
          <w:tcPr>
            <w:tcW w:w="936" w:type="dxa"/>
          </w:tcPr>
          <w:p w14:paraId="528D746D" w14:textId="77777777" w:rsidR="000A53A2" w:rsidRDefault="000A53A2" w:rsidP="004E18BA">
            <w:pPr>
              <w:spacing w:before="0"/>
              <w:jc w:val="left"/>
            </w:pPr>
          </w:p>
        </w:tc>
        <w:tc>
          <w:tcPr>
            <w:tcW w:w="1005" w:type="dxa"/>
          </w:tcPr>
          <w:p w14:paraId="17B84820" w14:textId="77777777" w:rsidR="000A53A2" w:rsidRDefault="000A53A2" w:rsidP="004E18BA">
            <w:pPr>
              <w:spacing w:before="0"/>
              <w:jc w:val="left"/>
            </w:pPr>
          </w:p>
        </w:tc>
        <w:tc>
          <w:tcPr>
            <w:tcW w:w="1204" w:type="dxa"/>
          </w:tcPr>
          <w:p w14:paraId="13B3B4E4" w14:textId="77777777" w:rsidR="000A53A2" w:rsidRDefault="000A53A2" w:rsidP="004E18BA">
            <w:pPr>
              <w:spacing w:before="0"/>
              <w:jc w:val="left"/>
            </w:pPr>
          </w:p>
        </w:tc>
      </w:tr>
      <w:tr w:rsidR="000A53A2" w14:paraId="571B8027" w14:textId="77777777" w:rsidTr="004E18BA">
        <w:trPr>
          <w:trHeight w:val="585"/>
          <w:jc w:val="center"/>
        </w:trPr>
        <w:tc>
          <w:tcPr>
            <w:tcW w:w="1466" w:type="dxa"/>
          </w:tcPr>
          <w:p w14:paraId="61430E2B" w14:textId="77777777" w:rsidR="000A53A2" w:rsidRDefault="000A53A2" w:rsidP="004E18BA">
            <w:pPr>
              <w:spacing w:before="0"/>
              <w:jc w:val="center"/>
              <w:rPr>
                <w:b/>
                <w:bCs/>
              </w:rPr>
            </w:pPr>
            <w:r>
              <w:rPr>
                <w:b/>
                <w:bCs/>
              </w:rPr>
              <w:lastRenderedPageBreak/>
              <w:t>LTLR</w:t>
            </w:r>
          </w:p>
        </w:tc>
        <w:tc>
          <w:tcPr>
            <w:tcW w:w="1035" w:type="dxa"/>
          </w:tcPr>
          <w:p w14:paraId="6483747D" w14:textId="77777777" w:rsidR="000A53A2" w:rsidRDefault="000A53A2" w:rsidP="004E18BA">
            <w:pPr>
              <w:spacing w:before="0"/>
              <w:jc w:val="center"/>
            </w:pPr>
            <w:r>
              <w:t>0.4219***</w:t>
            </w:r>
          </w:p>
        </w:tc>
        <w:tc>
          <w:tcPr>
            <w:tcW w:w="1140" w:type="dxa"/>
          </w:tcPr>
          <w:p w14:paraId="2218DCB1" w14:textId="77777777" w:rsidR="000A53A2" w:rsidRDefault="000A53A2" w:rsidP="004E18BA">
            <w:pPr>
              <w:spacing w:before="0"/>
              <w:jc w:val="center"/>
            </w:pPr>
            <w:r>
              <w:t>0.5960***</w:t>
            </w:r>
          </w:p>
        </w:tc>
        <w:tc>
          <w:tcPr>
            <w:tcW w:w="1035" w:type="dxa"/>
          </w:tcPr>
          <w:p w14:paraId="2ED740C1" w14:textId="77777777" w:rsidR="000A53A2" w:rsidRDefault="000A53A2" w:rsidP="004E18BA">
            <w:pPr>
              <w:spacing w:before="0"/>
              <w:jc w:val="center"/>
            </w:pPr>
            <w:r>
              <w:t>1</w:t>
            </w:r>
          </w:p>
        </w:tc>
        <w:tc>
          <w:tcPr>
            <w:tcW w:w="1110" w:type="dxa"/>
          </w:tcPr>
          <w:p w14:paraId="12DBE669" w14:textId="77777777" w:rsidR="000A53A2" w:rsidRDefault="000A53A2" w:rsidP="004E18BA">
            <w:pPr>
              <w:spacing w:before="0"/>
              <w:jc w:val="left"/>
            </w:pPr>
          </w:p>
        </w:tc>
        <w:tc>
          <w:tcPr>
            <w:tcW w:w="1239" w:type="dxa"/>
          </w:tcPr>
          <w:p w14:paraId="192309C3" w14:textId="77777777" w:rsidR="000A53A2" w:rsidRDefault="000A53A2" w:rsidP="004E18BA">
            <w:pPr>
              <w:spacing w:before="0"/>
              <w:jc w:val="left"/>
            </w:pPr>
          </w:p>
        </w:tc>
        <w:tc>
          <w:tcPr>
            <w:tcW w:w="936" w:type="dxa"/>
          </w:tcPr>
          <w:p w14:paraId="703A397B" w14:textId="77777777" w:rsidR="000A53A2" w:rsidRDefault="000A53A2" w:rsidP="004E18BA">
            <w:pPr>
              <w:spacing w:before="0"/>
              <w:jc w:val="left"/>
            </w:pPr>
          </w:p>
        </w:tc>
        <w:tc>
          <w:tcPr>
            <w:tcW w:w="1005" w:type="dxa"/>
          </w:tcPr>
          <w:p w14:paraId="04BC1401" w14:textId="77777777" w:rsidR="000A53A2" w:rsidRDefault="000A53A2" w:rsidP="004E18BA">
            <w:pPr>
              <w:spacing w:before="0"/>
              <w:jc w:val="left"/>
            </w:pPr>
          </w:p>
        </w:tc>
        <w:tc>
          <w:tcPr>
            <w:tcW w:w="1204" w:type="dxa"/>
          </w:tcPr>
          <w:p w14:paraId="3E5828A1" w14:textId="77777777" w:rsidR="000A53A2" w:rsidRDefault="000A53A2" w:rsidP="004E18BA">
            <w:pPr>
              <w:spacing w:before="0"/>
              <w:jc w:val="left"/>
            </w:pPr>
          </w:p>
        </w:tc>
      </w:tr>
      <w:tr w:rsidR="000A53A2" w14:paraId="1EA76C8D" w14:textId="77777777" w:rsidTr="004E18BA">
        <w:trPr>
          <w:trHeight w:val="427"/>
          <w:jc w:val="center"/>
        </w:trPr>
        <w:tc>
          <w:tcPr>
            <w:tcW w:w="1466" w:type="dxa"/>
          </w:tcPr>
          <w:p w14:paraId="551045F0" w14:textId="77777777" w:rsidR="000A53A2" w:rsidRDefault="000A53A2" w:rsidP="004E18BA">
            <w:pPr>
              <w:spacing w:before="0"/>
              <w:jc w:val="center"/>
              <w:rPr>
                <w:b/>
                <w:bCs/>
              </w:rPr>
            </w:pPr>
            <w:r>
              <w:rPr>
                <w:b/>
                <w:bCs/>
              </w:rPr>
              <w:t>Tobin’s Q</w:t>
            </w:r>
          </w:p>
        </w:tc>
        <w:tc>
          <w:tcPr>
            <w:tcW w:w="1035" w:type="dxa"/>
          </w:tcPr>
          <w:p w14:paraId="6C57E5FF" w14:textId="77777777" w:rsidR="000A53A2" w:rsidRPr="00F4308F" w:rsidRDefault="000A53A2" w:rsidP="004E18BA">
            <w:pPr>
              <w:spacing w:before="0"/>
              <w:jc w:val="center"/>
            </w:pPr>
            <w:r w:rsidRPr="00F4308F">
              <w:rPr>
                <w:rFonts w:eastAsia="Gungsuh"/>
              </w:rPr>
              <w:t>−0.2360***</w:t>
            </w:r>
          </w:p>
        </w:tc>
        <w:tc>
          <w:tcPr>
            <w:tcW w:w="1140" w:type="dxa"/>
          </w:tcPr>
          <w:p w14:paraId="031F515D" w14:textId="77777777" w:rsidR="000A53A2" w:rsidRPr="00F4308F" w:rsidRDefault="000A53A2" w:rsidP="004E18BA">
            <w:pPr>
              <w:spacing w:before="0"/>
              <w:jc w:val="center"/>
            </w:pPr>
            <w:r w:rsidRPr="00F4308F">
              <w:rPr>
                <w:rFonts w:eastAsia="Gungsuh"/>
              </w:rPr>
              <w:t>−0.1340</w:t>
            </w:r>
          </w:p>
        </w:tc>
        <w:tc>
          <w:tcPr>
            <w:tcW w:w="1035" w:type="dxa"/>
          </w:tcPr>
          <w:p w14:paraId="63811BA6" w14:textId="77777777" w:rsidR="000A53A2" w:rsidRPr="00F4308F" w:rsidRDefault="000A53A2" w:rsidP="004E18BA">
            <w:pPr>
              <w:spacing w:before="0"/>
              <w:jc w:val="center"/>
            </w:pPr>
            <w:r w:rsidRPr="00F4308F">
              <w:rPr>
                <w:rFonts w:eastAsia="Gungsuh"/>
              </w:rPr>
              <w:t>−0.1528**</w:t>
            </w:r>
          </w:p>
        </w:tc>
        <w:tc>
          <w:tcPr>
            <w:tcW w:w="1110" w:type="dxa"/>
          </w:tcPr>
          <w:p w14:paraId="6B0E985B" w14:textId="77777777" w:rsidR="000A53A2" w:rsidRPr="00F4308F" w:rsidRDefault="000A53A2" w:rsidP="004E18BA">
            <w:pPr>
              <w:spacing w:before="0"/>
              <w:jc w:val="center"/>
            </w:pPr>
            <w:r w:rsidRPr="00F4308F">
              <w:t>1</w:t>
            </w:r>
          </w:p>
        </w:tc>
        <w:tc>
          <w:tcPr>
            <w:tcW w:w="1239" w:type="dxa"/>
          </w:tcPr>
          <w:p w14:paraId="29F7BEDD" w14:textId="77777777" w:rsidR="000A53A2" w:rsidRPr="00F4308F" w:rsidRDefault="000A53A2" w:rsidP="004E18BA">
            <w:pPr>
              <w:spacing w:before="0"/>
              <w:jc w:val="left"/>
            </w:pPr>
          </w:p>
        </w:tc>
        <w:tc>
          <w:tcPr>
            <w:tcW w:w="936" w:type="dxa"/>
          </w:tcPr>
          <w:p w14:paraId="2061FC07" w14:textId="77777777" w:rsidR="000A53A2" w:rsidRDefault="000A53A2" w:rsidP="004E18BA">
            <w:pPr>
              <w:spacing w:before="0"/>
              <w:jc w:val="left"/>
            </w:pPr>
          </w:p>
        </w:tc>
        <w:tc>
          <w:tcPr>
            <w:tcW w:w="1005" w:type="dxa"/>
          </w:tcPr>
          <w:p w14:paraId="6A0E66EA" w14:textId="77777777" w:rsidR="000A53A2" w:rsidRDefault="000A53A2" w:rsidP="004E18BA">
            <w:pPr>
              <w:spacing w:before="0"/>
              <w:jc w:val="left"/>
            </w:pPr>
          </w:p>
        </w:tc>
        <w:tc>
          <w:tcPr>
            <w:tcW w:w="1204" w:type="dxa"/>
          </w:tcPr>
          <w:p w14:paraId="458F1F0F" w14:textId="77777777" w:rsidR="000A53A2" w:rsidRDefault="000A53A2" w:rsidP="004E18BA">
            <w:pPr>
              <w:spacing w:before="0"/>
              <w:jc w:val="left"/>
            </w:pPr>
          </w:p>
        </w:tc>
      </w:tr>
      <w:tr w:rsidR="000A53A2" w14:paraId="3858D586" w14:textId="77777777" w:rsidTr="004E18BA">
        <w:trPr>
          <w:trHeight w:val="427"/>
          <w:jc w:val="center"/>
        </w:trPr>
        <w:tc>
          <w:tcPr>
            <w:tcW w:w="1466" w:type="dxa"/>
          </w:tcPr>
          <w:p w14:paraId="17FC187E" w14:textId="77777777" w:rsidR="000A53A2" w:rsidRDefault="000A53A2" w:rsidP="004E18BA">
            <w:pPr>
              <w:spacing w:before="0"/>
              <w:jc w:val="center"/>
              <w:rPr>
                <w:b/>
                <w:bCs/>
              </w:rPr>
            </w:pPr>
            <w:r>
              <w:rPr>
                <w:b/>
                <w:bCs/>
              </w:rPr>
              <w:t>Tangibility</w:t>
            </w:r>
          </w:p>
        </w:tc>
        <w:tc>
          <w:tcPr>
            <w:tcW w:w="1035" w:type="dxa"/>
          </w:tcPr>
          <w:p w14:paraId="3D446740" w14:textId="77777777" w:rsidR="000A53A2" w:rsidRPr="00F4308F" w:rsidRDefault="000A53A2" w:rsidP="004E18BA">
            <w:pPr>
              <w:spacing w:before="0"/>
              <w:jc w:val="center"/>
            </w:pPr>
            <w:r w:rsidRPr="00F4308F">
              <w:rPr>
                <w:rFonts w:eastAsia="Gungsuh"/>
              </w:rPr>
              <w:t>−0.0770</w:t>
            </w:r>
          </w:p>
        </w:tc>
        <w:tc>
          <w:tcPr>
            <w:tcW w:w="1140" w:type="dxa"/>
          </w:tcPr>
          <w:p w14:paraId="0439D50D" w14:textId="77777777" w:rsidR="000A53A2" w:rsidRPr="00F4308F" w:rsidRDefault="000A53A2" w:rsidP="004E18BA">
            <w:pPr>
              <w:spacing w:before="0"/>
              <w:jc w:val="center"/>
            </w:pPr>
            <w:r w:rsidRPr="00F4308F">
              <w:rPr>
                <w:rFonts w:eastAsia="Gungsuh"/>
              </w:rPr>
              <w:t>−0.0700</w:t>
            </w:r>
          </w:p>
        </w:tc>
        <w:tc>
          <w:tcPr>
            <w:tcW w:w="1035" w:type="dxa"/>
          </w:tcPr>
          <w:p w14:paraId="39AEFC2F" w14:textId="77777777" w:rsidR="000A53A2" w:rsidRPr="00F4308F" w:rsidRDefault="000A53A2" w:rsidP="004E18BA">
            <w:pPr>
              <w:spacing w:before="0"/>
              <w:jc w:val="center"/>
            </w:pPr>
            <w:r w:rsidRPr="00F4308F">
              <w:t>0.1153</w:t>
            </w:r>
          </w:p>
        </w:tc>
        <w:tc>
          <w:tcPr>
            <w:tcW w:w="1110" w:type="dxa"/>
          </w:tcPr>
          <w:p w14:paraId="090D7437" w14:textId="77777777" w:rsidR="000A53A2" w:rsidRPr="00F4308F" w:rsidRDefault="000A53A2" w:rsidP="004E18BA">
            <w:pPr>
              <w:spacing w:before="0"/>
              <w:jc w:val="center"/>
            </w:pPr>
            <w:r w:rsidRPr="00F4308F">
              <w:rPr>
                <w:rFonts w:eastAsia="Gungsuh"/>
              </w:rPr>
              <w:t>−0.4681***</w:t>
            </w:r>
          </w:p>
        </w:tc>
        <w:tc>
          <w:tcPr>
            <w:tcW w:w="1239" w:type="dxa"/>
          </w:tcPr>
          <w:p w14:paraId="64300CFD" w14:textId="77777777" w:rsidR="000A53A2" w:rsidRPr="00F4308F" w:rsidRDefault="000A53A2" w:rsidP="004E18BA">
            <w:pPr>
              <w:spacing w:before="0"/>
              <w:jc w:val="center"/>
            </w:pPr>
            <w:r w:rsidRPr="00F4308F">
              <w:t>1</w:t>
            </w:r>
          </w:p>
        </w:tc>
        <w:tc>
          <w:tcPr>
            <w:tcW w:w="936" w:type="dxa"/>
          </w:tcPr>
          <w:p w14:paraId="226F29CB" w14:textId="77777777" w:rsidR="000A53A2" w:rsidRDefault="000A53A2" w:rsidP="004E18BA">
            <w:pPr>
              <w:spacing w:before="0"/>
              <w:jc w:val="left"/>
            </w:pPr>
          </w:p>
        </w:tc>
        <w:tc>
          <w:tcPr>
            <w:tcW w:w="1005" w:type="dxa"/>
          </w:tcPr>
          <w:p w14:paraId="1DA30918" w14:textId="77777777" w:rsidR="000A53A2" w:rsidRDefault="000A53A2" w:rsidP="004E18BA">
            <w:pPr>
              <w:spacing w:before="0"/>
              <w:jc w:val="left"/>
            </w:pPr>
          </w:p>
        </w:tc>
        <w:tc>
          <w:tcPr>
            <w:tcW w:w="1204" w:type="dxa"/>
          </w:tcPr>
          <w:p w14:paraId="12A0A7FA" w14:textId="77777777" w:rsidR="000A53A2" w:rsidRDefault="000A53A2" w:rsidP="004E18BA">
            <w:pPr>
              <w:spacing w:before="0"/>
              <w:jc w:val="left"/>
            </w:pPr>
          </w:p>
        </w:tc>
      </w:tr>
      <w:tr w:rsidR="000A53A2" w14:paraId="3A43F61A" w14:textId="77777777" w:rsidTr="004E18BA">
        <w:trPr>
          <w:trHeight w:val="454"/>
          <w:jc w:val="center"/>
        </w:trPr>
        <w:tc>
          <w:tcPr>
            <w:tcW w:w="1466" w:type="dxa"/>
          </w:tcPr>
          <w:p w14:paraId="430435E5" w14:textId="77777777" w:rsidR="000A53A2" w:rsidRDefault="000A53A2" w:rsidP="004E18BA">
            <w:pPr>
              <w:spacing w:before="0"/>
              <w:jc w:val="center"/>
              <w:rPr>
                <w:b/>
                <w:bCs/>
              </w:rPr>
            </w:pPr>
            <w:r>
              <w:rPr>
                <w:b/>
                <w:bCs/>
              </w:rPr>
              <w:t>Size</w:t>
            </w:r>
          </w:p>
        </w:tc>
        <w:tc>
          <w:tcPr>
            <w:tcW w:w="1035" w:type="dxa"/>
          </w:tcPr>
          <w:p w14:paraId="13945F39" w14:textId="77777777" w:rsidR="000A53A2" w:rsidRPr="00F4308F" w:rsidRDefault="000A53A2" w:rsidP="004E18BA">
            <w:pPr>
              <w:spacing w:before="0"/>
              <w:jc w:val="center"/>
            </w:pPr>
            <w:r w:rsidRPr="00F4308F">
              <w:t>0.0722</w:t>
            </w:r>
          </w:p>
        </w:tc>
        <w:tc>
          <w:tcPr>
            <w:tcW w:w="1140" w:type="dxa"/>
          </w:tcPr>
          <w:p w14:paraId="3E15B6B1" w14:textId="77777777" w:rsidR="000A53A2" w:rsidRPr="00F4308F" w:rsidRDefault="000A53A2" w:rsidP="004E18BA">
            <w:pPr>
              <w:spacing w:before="0"/>
              <w:jc w:val="center"/>
            </w:pPr>
            <w:r w:rsidRPr="00F4308F">
              <w:t>0.0476</w:t>
            </w:r>
          </w:p>
        </w:tc>
        <w:tc>
          <w:tcPr>
            <w:tcW w:w="1035" w:type="dxa"/>
          </w:tcPr>
          <w:p w14:paraId="620E8BDA" w14:textId="77777777" w:rsidR="000A53A2" w:rsidRPr="00F4308F" w:rsidRDefault="000A53A2" w:rsidP="004E18BA">
            <w:pPr>
              <w:spacing w:before="0"/>
              <w:jc w:val="center"/>
            </w:pPr>
            <w:r w:rsidRPr="00F4308F">
              <w:t>0.5471***</w:t>
            </w:r>
          </w:p>
        </w:tc>
        <w:tc>
          <w:tcPr>
            <w:tcW w:w="1110" w:type="dxa"/>
          </w:tcPr>
          <w:p w14:paraId="63180515" w14:textId="77777777" w:rsidR="000A53A2" w:rsidRPr="00F4308F" w:rsidRDefault="000A53A2" w:rsidP="004E18BA">
            <w:pPr>
              <w:spacing w:before="0"/>
              <w:jc w:val="center"/>
            </w:pPr>
            <w:r w:rsidRPr="00F4308F">
              <w:rPr>
                <w:rFonts w:eastAsia="Gungsuh"/>
              </w:rPr>
              <w:t>−0.1680**</w:t>
            </w:r>
          </w:p>
        </w:tc>
        <w:tc>
          <w:tcPr>
            <w:tcW w:w="1239" w:type="dxa"/>
          </w:tcPr>
          <w:p w14:paraId="2B87DD22" w14:textId="77777777" w:rsidR="000A53A2" w:rsidRPr="00F4308F" w:rsidRDefault="000A53A2" w:rsidP="004E18BA">
            <w:pPr>
              <w:spacing w:before="0"/>
              <w:jc w:val="center"/>
            </w:pPr>
            <w:r w:rsidRPr="00F4308F">
              <w:t>0.1008</w:t>
            </w:r>
          </w:p>
        </w:tc>
        <w:tc>
          <w:tcPr>
            <w:tcW w:w="936" w:type="dxa"/>
          </w:tcPr>
          <w:p w14:paraId="163B276A" w14:textId="77777777" w:rsidR="000A53A2" w:rsidRDefault="000A53A2" w:rsidP="004E18BA">
            <w:pPr>
              <w:spacing w:before="0"/>
              <w:jc w:val="center"/>
            </w:pPr>
            <w:r>
              <w:t>1</w:t>
            </w:r>
          </w:p>
        </w:tc>
        <w:tc>
          <w:tcPr>
            <w:tcW w:w="1005" w:type="dxa"/>
          </w:tcPr>
          <w:p w14:paraId="7663BA9D" w14:textId="77777777" w:rsidR="000A53A2" w:rsidRDefault="000A53A2" w:rsidP="004E18BA">
            <w:pPr>
              <w:spacing w:before="0"/>
              <w:jc w:val="left"/>
            </w:pPr>
          </w:p>
        </w:tc>
        <w:tc>
          <w:tcPr>
            <w:tcW w:w="1204" w:type="dxa"/>
          </w:tcPr>
          <w:p w14:paraId="6AFB0036" w14:textId="77777777" w:rsidR="000A53A2" w:rsidRDefault="000A53A2" w:rsidP="004E18BA">
            <w:pPr>
              <w:spacing w:before="0"/>
              <w:jc w:val="left"/>
            </w:pPr>
          </w:p>
        </w:tc>
      </w:tr>
      <w:tr w:rsidR="000A53A2" w14:paraId="6376BDAE" w14:textId="77777777" w:rsidTr="004E18BA">
        <w:trPr>
          <w:trHeight w:val="481"/>
          <w:jc w:val="center"/>
        </w:trPr>
        <w:tc>
          <w:tcPr>
            <w:tcW w:w="1466" w:type="dxa"/>
          </w:tcPr>
          <w:p w14:paraId="5C451F3B" w14:textId="77777777" w:rsidR="000A53A2" w:rsidRDefault="000A53A2" w:rsidP="004E18BA">
            <w:pPr>
              <w:spacing w:before="0"/>
              <w:jc w:val="center"/>
              <w:rPr>
                <w:b/>
                <w:bCs/>
              </w:rPr>
            </w:pPr>
            <w:r>
              <w:rPr>
                <w:b/>
                <w:bCs/>
              </w:rPr>
              <w:t>ROA</w:t>
            </w:r>
          </w:p>
        </w:tc>
        <w:tc>
          <w:tcPr>
            <w:tcW w:w="1035" w:type="dxa"/>
          </w:tcPr>
          <w:p w14:paraId="62CC07D4" w14:textId="77777777" w:rsidR="000A53A2" w:rsidRPr="00F4308F" w:rsidRDefault="000A53A2" w:rsidP="004E18BA">
            <w:pPr>
              <w:spacing w:before="0"/>
              <w:jc w:val="center"/>
            </w:pPr>
            <w:r w:rsidRPr="00F4308F">
              <w:rPr>
                <w:rFonts w:eastAsia="Gungsuh"/>
              </w:rPr>
              <w:t>−0.3724***</w:t>
            </w:r>
          </w:p>
        </w:tc>
        <w:tc>
          <w:tcPr>
            <w:tcW w:w="1140" w:type="dxa"/>
          </w:tcPr>
          <w:p w14:paraId="48553159" w14:textId="77777777" w:rsidR="000A53A2" w:rsidRPr="00F4308F" w:rsidRDefault="000A53A2" w:rsidP="004E18BA">
            <w:pPr>
              <w:spacing w:before="0"/>
              <w:jc w:val="center"/>
            </w:pPr>
            <w:r w:rsidRPr="00F4308F">
              <w:rPr>
                <w:rFonts w:eastAsia="Gungsuh"/>
              </w:rPr>
              <w:t>−0.2765***</w:t>
            </w:r>
          </w:p>
        </w:tc>
        <w:tc>
          <w:tcPr>
            <w:tcW w:w="1035" w:type="dxa"/>
          </w:tcPr>
          <w:p w14:paraId="0752FB4D" w14:textId="77777777" w:rsidR="000A53A2" w:rsidRPr="00F4308F" w:rsidRDefault="000A53A2" w:rsidP="004E18BA">
            <w:pPr>
              <w:spacing w:before="0"/>
              <w:jc w:val="center"/>
            </w:pPr>
            <w:r w:rsidRPr="00F4308F">
              <w:rPr>
                <w:rFonts w:eastAsia="Gungsuh"/>
              </w:rPr>
              <w:t>−0.1102</w:t>
            </w:r>
          </w:p>
        </w:tc>
        <w:tc>
          <w:tcPr>
            <w:tcW w:w="1110" w:type="dxa"/>
          </w:tcPr>
          <w:p w14:paraId="157F75E4" w14:textId="77777777" w:rsidR="000A53A2" w:rsidRPr="00F4308F" w:rsidRDefault="000A53A2" w:rsidP="004E18BA">
            <w:pPr>
              <w:spacing w:before="0"/>
              <w:jc w:val="center"/>
            </w:pPr>
            <w:r w:rsidRPr="00F4308F">
              <w:t>0.6543***</w:t>
            </w:r>
          </w:p>
        </w:tc>
        <w:tc>
          <w:tcPr>
            <w:tcW w:w="1239" w:type="dxa"/>
          </w:tcPr>
          <w:p w14:paraId="55DA7927" w14:textId="77777777" w:rsidR="000A53A2" w:rsidRPr="00F4308F" w:rsidRDefault="000A53A2" w:rsidP="004E18BA">
            <w:pPr>
              <w:spacing w:before="0"/>
              <w:jc w:val="center"/>
            </w:pPr>
            <w:r w:rsidRPr="00F4308F">
              <w:rPr>
                <w:rFonts w:eastAsia="Gungsuh"/>
              </w:rPr>
              <w:t>−0.3470***</w:t>
            </w:r>
          </w:p>
        </w:tc>
        <w:tc>
          <w:tcPr>
            <w:tcW w:w="936" w:type="dxa"/>
          </w:tcPr>
          <w:p w14:paraId="3966B864" w14:textId="77777777" w:rsidR="000A53A2" w:rsidRDefault="000A53A2" w:rsidP="004E18BA">
            <w:pPr>
              <w:spacing w:before="0"/>
              <w:jc w:val="center"/>
            </w:pPr>
            <w:r>
              <w:t>0.1029</w:t>
            </w:r>
          </w:p>
        </w:tc>
        <w:tc>
          <w:tcPr>
            <w:tcW w:w="1005" w:type="dxa"/>
          </w:tcPr>
          <w:p w14:paraId="34BCAB65" w14:textId="77777777" w:rsidR="000A53A2" w:rsidRDefault="000A53A2" w:rsidP="004E18BA">
            <w:pPr>
              <w:spacing w:before="0"/>
              <w:jc w:val="center"/>
            </w:pPr>
            <w:r>
              <w:t>1</w:t>
            </w:r>
          </w:p>
        </w:tc>
        <w:tc>
          <w:tcPr>
            <w:tcW w:w="1204" w:type="dxa"/>
          </w:tcPr>
          <w:p w14:paraId="45081E14" w14:textId="77777777" w:rsidR="000A53A2" w:rsidRDefault="000A53A2" w:rsidP="004E18BA">
            <w:pPr>
              <w:spacing w:before="0"/>
              <w:jc w:val="left"/>
            </w:pPr>
          </w:p>
        </w:tc>
      </w:tr>
      <w:tr w:rsidR="000A53A2" w14:paraId="3BF6B2CB" w14:textId="77777777" w:rsidTr="004E18BA">
        <w:trPr>
          <w:trHeight w:val="508"/>
          <w:jc w:val="center"/>
        </w:trPr>
        <w:tc>
          <w:tcPr>
            <w:tcW w:w="1466" w:type="dxa"/>
          </w:tcPr>
          <w:p w14:paraId="5D57A2F0" w14:textId="77777777" w:rsidR="000A53A2" w:rsidRDefault="000A53A2" w:rsidP="004E18BA">
            <w:pPr>
              <w:spacing w:before="0"/>
              <w:jc w:val="center"/>
              <w:rPr>
                <w:b/>
                <w:bCs/>
              </w:rPr>
            </w:pPr>
            <w:r>
              <w:rPr>
                <w:b/>
                <w:bCs/>
              </w:rPr>
              <w:t>Liquidity</w:t>
            </w:r>
          </w:p>
        </w:tc>
        <w:tc>
          <w:tcPr>
            <w:tcW w:w="1035" w:type="dxa"/>
          </w:tcPr>
          <w:p w14:paraId="0612AC28" w14:textId="77777777" w:rsidR="000A53A2" w:rsidRPr="00F4308F" w:rsidRDefault="000A53A2" w:rsidP="004E18BA">
            <w:pPr>
              <w:spacing w:before="0"/>
              <w:jc w:val="center"/>
            </w:pPr>
            <w:r w:rsidRPr="00F4308F">
              <w:rPr>
                <w:rFonts w:eastAsia="Gungsuh"/>
              </w:rPr>
              <w:t>−0.3371***</w:t>
            </w:r>
          </w:p>
        </w:tc>
        <w:tc>
          <w:tcPr>
            <w:tcW w:w="1140" w:type="dxa"/>
          </w:tcPr>
          <w:p w14:paraId="15631B47" w14:textId="77777777" w:rsidR="000A53A2" w:rsidRPr="00F4308F" w:rsidRDefault="000A53A2" w:rsidP="004E18BA">
            <w:pPr>
              <w:spacing w:before="0"/>
              <w:jc w:val="center"/>
            </w:pPr>
            <w:r w:rsidRPr="00F4308F">
              <w:rPr>
                <w:rFonts w:eastAsia="Gungsuh"/>
              </w:rPr>
              <w:t>−0.3059***</w:t>
            </w:r>
          </w:p>
        </w:tc>
        <w:tc>
          <w:tcPr>
            <w:tcW w:w="1035" w:type="dxa"/>
          </w:tcPr>
          <w:p w14:paraId="161A34BC" w14:textId="77777777" w:rsidR="000A53A2" w:rsidRPr="00F4308F" w:rsidRDefault="000A53A2" w:rsidP="004E18BA">
            <w:pPr>
              <w:spacing w:before="0"/>
              <w:jc w:val="center"/>
            </w:pPr>
            <w:r w:rsidRPr="00F4308F">
              <w:rPr>
                <w:rFonts w:eastAsia="Gungsuh"/>
              </w:rPr>
              <w:t>−0.2231***</w:t>
            </w:r>
          </w:p>
        </w:tc>
        <w:tc>
          <w:tcPr>
            <w:tcW w:w="1110" w:type="dxa"/>
          </w:tcPr>
          <w:p w14:paraId="0665BDC8" w14:textId="77777777" w:rsidR="000A53A2" w:rsidRPr="00F4308F" w:rsidRDefault="000A53A2" w:rsidP="004E18BA">
            <w:pPr>
              <w:spacing w:before="0"/>
              <w:jc w:val="center"/>
            </w:pPr>
            <w:r w:rsidRPr="00F4308F">
              <w:rPr>
                <w:rFonts w:eastAsia="Gungsuh"/>
              </w:rPr>
              <w:t>−0.1127</w:t>
            </w:r>
          </w:p>
        </w:tc>
        <w:tc>
          <w:tcPr>
            <w:tcW w:w="1239" w:type="dxa"/>
          </w:tcPr>
          <w:p w14:paraId="082E5EF4" w14:textId="77777777" w:rsidR="000A53A2" w:rsidRPr="00F4308F" w:rsidRDefault="000A53A2" w:rsidP="004E18BA">
            <w:pPr>
              <w:spacing w:before="0"/>
              <w:jc w:val="center"/>
            </w:pPr>
            <w:r w:rsidRPr="00F4308F">
              <w:t>0.0134</w:t>
            </w:r>
          </w:p>
        </w:tc>
        <w:tc>
          <w:tcPr>
            <w:tcW w:w="936" w:type="dxa"/>
          </w:tcPr>
          <w:p w14:paraId="75FD5A14" w14:textId="77777777" w:rsidR="000A53A2" w:rsidRDefault="000A53A2" w:rsidP="004E18BA">
            <w:pPr>
              <w:spacing w:before="0"/>
              <w:jc w:val="center"/>
            </w:pPr>
            <w:r>
              <w:t>0.0716</w:t>
            </w:r>
          </w:p>
        </w:tc>
        <w:tc>
          <w:tcPr>
            <w:tcW w:w="1005" w:type="dxa"/>
          </w:tcPr>
          <w:p w14:paraId="1375AE40" w14:textId="77777777" w:rsidR="000A53A2" w:rsidRDefault="000A53A2" w:rsidP="004E18BA">
            <w:pPr>
              <w:spacing w:before="0"/>
              <w:jc w:val="center"/>
            </w:pPr>
            <w:r>
              <w:t>0.0497</w:t>
            </w:r>
          </w:p>
        </w:tc>
        <w:tc>
          <w:tcPr>
            <w:tcW w:w="1204" w:type="dxa"/>
          </w:tcPr>
          <w:p w14:paraId="24AA7FD4" w14:textId="77777777" w:rsidR="000A53A2" w:rsidRDefault="000A53A2" w:rsidP="004E18BA">
            <w:pPr>
              <w:spacing w:before="0"/>
              <w:jc w:val="center"/>
            </w:pPr>
            <w:r>
              <w:t>1</w:t>
            </w:r>
          </w:p>
        </w:tc>
      </w:tr>
    </w:tbl>
    <w:p w14:paraId="0235FA3B" w14:textId="51619723" w:rsidR="000A53A2" w:rsidRPr="00F04127" w:rsidRDefault="000A53A2" w:rsidP="000A53A2">
      <w:pPr>
        <w:spacing w:before="0" w:after="0" w:line="276" w:lineRule="auto"/>
      </w:pPr>
      <w:r>
        <w:rPr>
          <w:b/>
          <w:bCs/>
        </w:rPr>
        <w:t>Source:</w:t>
      </w:r>
      <w:r>
        <w:t xml:space="preserve"> Author’s computation using Stata 17. </w:t>
      </w:r>
      <w:r>
        <w:rPr>
          <w:b/>
          <w:bCs/>
        </w:rPr>
        <w:t>Note(s):</w:t>
      </w:r>
      <w:r>
        <w:t xml:space="preserve"> ***p &lt; 0.01, **p &lt; 0.05, *p &lt; 0.10.</w:t>
      </w:r>
      <w:r>
        <w:br/>
      </w:r>
      <w:bookmarkStart w:id="17" w:name="_d0f6fmat683p" w:colFirst="0" w:colLast="0"/>
      <w:bookmarkEnd w:id="16"/>
      <w:bookmarkEnd w:id="17"/>
      <w:r w:rsidRPr="00F04127">
        <w:rPr>
          <w:b/>
          <w:bCs/>
        </w:rPr>
        <w:t>4.3 Panel Unit Root Tests</w:t>
      </w:r>
      <w:r>
        <w:rPr>
          <w:b/>
          <w:bCs/>
        </w:rPr>
        <w:t xml:space="preserve">: </w:t>
      </w:r>
      <w:r>
        <w:t xml:space="preserve">Before the estimation of the regression models, there is the panel unit root tests which are carried out to ascertain that the variables used in the analysis are stationary. The panel is not balanced so, Fisher-type Augmented Dickey-Fuller (ADF) test is used that suits heterogeneous panels (Maddala </w:t>
      </w:r>
      <w:r w:rsidR="00322C12">
        <w:t>and</w:t>
      </w:r>
      <w:r>
        <w:t xml:space="preserve"> Wu, 1999). Table 4 results reveal that the total leverage (TLR), short-term leverage (STLR), long-term leverage (LTLR), Tobin Q, firm size, profitability (ROA), and liquidity are at their levels since the null hypothesis of a unit root is not accepted at standard levels of significance. The null hypothesis is not rejected at levels by the asset tangibility, which means that it is not stationary. The occurrence of a single non-stationary explanatory variable is not a weakness of the estimation since the dynamic panel specification, and the use of lagged dependent variables both consider persistence and eliminate any possible non-stationarity issues (</w:t>
      </w:r>
      <w:proofErr w:type="spellStart"/>
      <w:r>
        <w:t>Baltagi</w:t>
      </w:r>
      <w:proofErr w:type="spellEnd"/>
      <w:r>
        <w:t>, 2021; Wooldridge, 2010). Further, the fact that the dependent variables are stationary meets the consistency of estimation of the panel models of fixed effects.</w:t>
      </w:r>
      <w:bookmarkStart w:id="18" w:name="_ia7w7cul8tie" w:colFirst="0" w:colLast="0"/>
      <w:bookmarkEnd w:id="18"/>
    </w:p>
    <w:p w14:paraId="6BCD4CCC" w14:textId="77777777" w:rsidR="000A53A2" w:rsidRPr="00216217" w:rsidRDefault="000A53A2" w:rsidP="000A53A2">
      <w:pPr>
        <w:spacing w:before="0" w:after="0" w:line="276" w:lineRule="auto"/>
        <w:jc w:val="center"/>
        <w:rPr>
          <w:b/>
          <w:bCs/>
        </w:rPr>
      </w:pPr>
      <w:bookmarkStart w:id="19" w:name="_Hlk217556225"/>
      <w:r w:rsidRPr="00216217">
        <w:rPr>
          <w:b/>
          <w:bCs/>
        </w:rPr>
        <w:t xml:space="preserve">Table </w:t>
      </w:r>
      <w:r>
        <w:rPr>
          <w:b/>
          <w:bCs/>
        </w:rPr>
        <w:t>4</w:t>
      </w:r>
      <w:r w:rsidRPr="00216217">
        <w:rPr>
          <w:b/>
          <w:bCs/>
        </w:rPr>
        <w:t xml:space="preserve"> Results of Fisher-type ADF Unit Root Test (at level)</w:t>
      </w:r>
    </w:p>
    <w:tbl>
      <w:tblPr>
        <w:tblStyle w:val="GridTable5Dark-Accent1"/>
        <w:tblW w:w="9024"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796"/>
        <w:gridCol w:w="2879"/>
        <w:gridCol w:w="1905"/>
        <w:gridCol w:w="2444"/>
      </w:tblGrid>
      <w:tr w:rsidR="000A53A2" w:rsidRPr="00216217" w14:paraId="70B61213" w14:textId="77777777" w:rsidTr="004E18BA">
        <w:trPr>
          <w:trHeight w:val="404"/>
        </w:trPr>
        <w:tc>
          <w:tcPr>
            <w:tcW w:w="1796" w:type="dxa"/>
          </w:tcPr>
          <w:p w14:paraId="3E082420" w14:textId="77777777" w:rsidR="000A53A2" w:rsidRPr="00216217" w:rsidRDefault="000A53A2" w:rsidP="004E18BA">
            <w:pPr>
              <w:spacing w:before="0"/>
              <w:jc w:val="left"/>
              <w:rPr>
                <w:b/>
                <w:bCs/>
              </w:rPr>
            </w:pPr>
            <w:r w:rsidRPr="00216217">
              <w:rPr>
                <w:b/>
                <w:bCs/>
              </w:rPr>
              <w:t>Variables</w:t>
            </w:r>
          </w:p>
        </w:tc>
        <w:tc>
          <w:tcPr>
            <w:tcW w:w="2879" w:type="dxa"/>
          </w:tcPr>
          <w:p w14:paraId="595EAD53" w14:textId="77777777" w:rsidR="000A53A2" w:rsidRPr="00216217" w:rsidRDefault="000A53A2" w:rsidP="004E18BA">
            <w:pPr>
              <w:spacing w:before="0"/>
              <w:jc w:val="center"/>
              <w:rPr>
                <w:b/>
                <w:bCs/>
              </w:rPr>
            </w:pPr>
            <w:r w:rsidRPr="00216217">
              <w:rPr>
                <w:b/>
                <w:bCs/>
              </w:rPr>
              <w:t>Fisher ADF Statistic</w:t>
            </w:r>
          </w:p>
        </w:tc>
        <w:tc>
          <w:tcPr>
            <w:tcW w:w="1905" w:type="dxa"/>
          </w:tcPr>
          <w:p w14:paraId="202C30DB" w14:textId="77777777" w:rsidR="000A53A2" w:rsidRPr="00216217" w:rsidRDefault="000A53A2" w:rsidP="004E18BA">
            <w:pPr>
              <w:spacing w:before="0"/>
              <w:jc w:val="center"/>
              <w:rPr>
                <w:b/>
                <w:bCs/>
              </w:rPr>
            </w:pPr>
            <w:r w:rsidRPr="00216217">
              <w:rPr>
                <w:b/>
                <w:bCs/>
              </w:rPr>
              <w:t>p-value</w:t>
            </w:r>
          </w:p>
        </w:tc>
        <w:tc>
          <w:tcPr>
            <w:tcW w:w="2444" w:type="dxa"/>
          </w:tcPr>
          <w:p w14:paraId="5A5B0405" w14:textId="77777777" w:rsidR="000A53A2" w:rsidRPr="00216217" w:rsidRDefault="000A53A2" w:rsidP="004E18BA">
            <w:pPr>
              <w:spacing w:before="0"/>
              <w:jc w:val="center"/>
              <w:rPr>
                <w:b/>
                <w:bCs/>
              </w:rPr>
            </w:pPr>
            <w:r w:rsidRPr="00216217">
              <w:rPr>
                <w:b/>
                <w:bCs/>
              </w:rPr>
              <w:t>Stationarity</w:t>
            </w:r>
          </w:p>
        </w:tc>
      </w:tr>
      <w:tr w:rsidR="000A53A2" w:rsidRPr="00216217" w14:paraId="0AFBB539" w14:textId="77777777" w:rsidTr="004E18BA">
        <w:trPr>
          <w:trHeight w:val="350"/>
        </w:trPr>
        <w:tc>
          <w:tcPr>
            <w:tcW w:w="1796" w:type="dxa"/>
          </w:tcPr>
          <w:p w14:paraId="13E05013" w14:textId="77777777" w:rsidR="000A53A2" w:rsidRPr="00216217" w:rsidRDefault="000A53A2" w:rsidP="004E18BA">
            <w:pPr>
              <w:spacing w:before="0"/>
              <w:jc w:val="left"/>
            </w:pPr>
            <w:r w:rsidRPr="00216217">
              <w:t>TLR</w:t>
            </w:r>
          </w:p>
        </w:tc>
        <w:tc>
          <w:tcPr>
            <w:tcW w:w="2879" w:type="dxa"/>
          </w:tcPr>
          <w:p w14:paraId="1F6CB568" w14:textId="77777777" w:rsidR="000A53A2" w:rsidRPr="00216217" w:rsidRDefault="000A53A2" w:rsidP="004E18BA">
            <w:pPr>
              <w:spacing w:before="0"/>
              <w:jc w:val="center"/>
            </w:pPr>
            <w:r w:rsidRPr="00216217">
              <w:t>230.3834</w:t>
            </w:r>
          </w:p>
        </w:tc>
        <w:tc>
          <w:tcPr>
            <w:tcW w:w="1905" w:type="dxa"/>
          </w:tcPr>
          <w:p w14:paraId="28781BB8" w14:textId="77777777" w:rsidR="000A53A2" w:rsidRPr="00216217" w:rsidRDefault="000A53A2" w:rsidP="004E18BA">
            <w:pPr>
              <w:spacing w:before="0"/>
              <w:jc w:val="center"/>
            </w:pPr>
            <w:r w:rsidRPr="00216217">
              <w:t>0.0000</w:t>
            </w:r>
            <w:r>
              <w:t>***</w:t>
            </w:r>
          </w:p>
        </w:tc>
        <w:tc>
          <w:tcPr>
            <w:tcW w:w="2444" w:type="dxa"/>
          </w:tcPr>
          <w:p w14:paraId="22CC1985" w14:textId="77777777" w:rsidR="000A53A2" w:rsidRPr="00216217" w:rsidRDefault="000A53A2" w:rsidP="004E18BA">
            <w:pPr>
              <w:spacing w:before="0"/>
              <w:jc w:val="center"/>
            </w:pPr>
            <w:r w:rsidRPr="00216217">
              <w:t>Stationary</w:t>
            </w:r>
          </w:p>
        </w:tc>
      </w:tr>
      <w:tr w:rsidR="000A53A2" w:rsidRPr="00216217" w14:paraId="3B37C5E7" w14:textId="77777777" w:rsidTr="004E18BA">
        <w:trPr>
          <w:trHeight w:val="350"/>
        </w:trPr>
        <w:tc>
          <w:tcPr>
            <w:tcW w:w="1796" w:type="dxa"/>
          </w:tcPr>
          <w:p w14:paraId="7563FE21" w14:textId="77777777" w:rsidR="000A53A2" w:rsidRPr="00216217" w:rsidRDefault="000A53A2" w:rsidP="004E18BA">
            <w:pPr>
              <w:spacing w:before="0"/>
              <w:jc w:val="left"/>
            </w:pPr>
            <w:r w:rsidRPr="00216217">
              <w:t>STLR</w:t>
            </w:r>
          </w:p>
        </w:tc>
        <w:tc>
          <w:tcPr>
            <w:tcW w:w="2879" w:type="dxa"/>
          </w:tcPr>
          <w:p w14:paraId="1819418F" w14:textId="77777777" w:rsidR="000A53A2" w:rsidRPr="00216217" w:rsidRDefault="000A53A2" w:rsidP="004E18BA">
            <w:pPr>
              <w:spacing w:before="0"/>
              <w:jc w:val="center"/>
            </w:pPr>
            <w:r w:rsidRPr="00216217">
              <w:t>235.5263</w:t>
            </w:r>
          </w:p>
        </w:tc>
        <w:tc>
          <w:tcPr>
            <w:tcW w:w="1905" w:type="dxa"/>
          </w:tcPr>
          <w:p w14:paraId="1BF4D14F" w14:textId="77777777" w:rsidR="000A53A2" w:rsidRPr="00216217" w:rsidRDefault="000A53A2" w:rsidP="004E18BA">
            <w:pPr>
              <w:spacing w:before="0"/>
              <w:jc w:val="center"/>
            </w:pPr>
            <w:r w:rsidRPr="00216217">
              <w:t>0.0000</w:t>
            </w:r>
            <w:r>
              <w:t>***</w:t>
            </w:r>
          </w:p>
        </w:tc>
        <w:tc>
          <w:tcPr>
            <w:tcW w:w="2444" w:type="dxa"/>
          </w:tcPr>
          <w:p w14:paraId="1A0E8CAF" w14:textId="77777777" w:rsidR="000A53A2" w:rsidRPr="00216217" w:rsidRDefault="000A53A2" w:rsidP="004E18BA">
            <w:pPr>
              <w:spacing w:before="0"/>
              <w:jc w:val="center"/>
            </w:pPr>
            <w:r w:rsidRPr="00216217">
              <w:t>Stationary</w:t>
            </w:r>
          </w:p>
        </w:tc>
      </w:tr>
      <w:tr w:rsidR="000A53A2" w:rsidRPr="00216217" w14:paraId="3AB5A7F8" w14:textId="77777777" w:rsidTr="004E18BA">
        <w:trPr>
          <w:trHeight w:val="359"/>
        </w:trPr>
        <w:tc>
          <w:tcPr>
            <w:tcW w:w="1796" w:type="dxa"/>
          </w:tcPr>
          <w:p w14:paraId="65B00ED3" w14:textId="77777777" w:rsidR="000A53A2" w:rsidRPr="00216217" w:rsidRDefault="000A53A2" w:rsidP="004E18BA">
            <w:pPr>
              <w:spacing w:before="0"/>
              <w:jc w:val="left"/>
            </w:pPr>
            <w:r w:rsidRPr="00216217">
              <w:lastRenderedPageBreak/>
              <w:t>LTLR</w:t>
            </w:r>
          </w:p>
        </w:tc>
        <w:tc>
          <w:tcPr>
            <w:tcW w:w="2879" w:type="dxa"/>
          </w:tcPr>
          <w:p w14:paraId="2E35A1AD" w14:textId="77777777" w:rsidR="000A53A2" w:rsidRPr="00216217" w:rsidRDefault="000A53A2" w:rsidP="004E18BA">
            <w:pPr>
              <w:spacing w:before="0"/>
              <w:jc w:val="center"/>
            </w:pPr>
            <w:r w:rsidRPr="00216217">
              <w:t>207.2149</w:t>
            </w:r>
          </w:p>
        </w:tc>
        <w:tc>
          <w:tcPr>
            <w:tcW w:w="1905" w:type="dxa"/>
          </w:tcPr>
          <w:p w14:paraId="5A882856" w14:textId="77777777" w:rsidR="000A53A2" w:rsidRPr="00216217" w:rsidRDefault="000A53A2" w:rsidP="004E18BA">
            <w:pPr>
              <w:spacing w:before="0"/>
              <w:jc w:val="center"/>
            </w:pPr>
            <w:r w:rsidRPr="00216217">
              <w:t>0.0000</w:t>
            </w:r>
            <w:r>
              <w:t>***</w:t>
            </w:r>
          </w:p>
        </w:tc>
        <w:tc>
          <w:tcPr>
            <w:tcW w:w="2444" w:type="dxa"/>
          </w:tcPr>
          <w:p w14:paraId="348057D0" w14:textId="77777777" w:rsidR="000A53A2" w:rsidRPr="00216217" w:rsidRDefault="000A53A2" w:rsidP="004E18BA">
            <w:pPr>
              <w:spacing w:before="0"/>
              <w:jc w:val="center"/>
            </w:pPr>
            <w:r w:rsidRPr="00216217">
              <w:t>Stationary</w:t>
            </w:r>
          </w:p>
        </w:tc>
      </w:tr>
      <w:tr w:rsidR="000A53A2" w:rsidRPr="00216217" w14:paraId="56A77DE9" w14:textId="77777777" w:rsidTr="004E18BA">
        <w:trPr>
          <w:trHeight w:val="359"/>
        </w:trPr>
        <w:tc>
          <w:tcPr>
            <w:tcW w:w="1796" w:type="dxa"/>
          </w:tcPr>
          <w:p w14:paraId="65F9B407" w14:textId="77777777" w:rsidR="000A53A2" w:rsidRPr="00216217" w:rsidRDefault="000A53A2" w:rsidP="004E18BA">
            <w:pPr>
              <w:spacing w:before="0"/>
              <w:jc w:val="left"/>
            </w:pPr>
            <w:r w:rsidRPr="00216217">
              <w:t>Tobin’s Q</w:t>
            </w:r>
          </w:p>
        </w:tc>
        <w:tc>
          <w:tcPr>
            <w:tcW w:w="2879" w:type="dxa"/>
          </w:tcPr>
          <w:p w14:paraId="377C4FB4" w14:textId="77777777" w:rsidR="000A53A2" w:rsidRPr="00216217" w:rsidRDefault="000A53A2" w:rsidP="004E18BA">
            <w:pPr>
              <w:spacing w:before="0"/>
              <w:jc w:val="center"/>
            </w:pPr>
            <w:r w:rsidRPr="00216217">
              <w:t>124.8136</w:t>
            </w:r>
          </w:p>
        </w:tc>
        <w:tc>
          <w:tcPr>
            <w:tcW w:w="1905" w:type="dxa"/>
          </w:tcPr>
          <w:p w14:paraId="370A7A18" w14:textId="77777777" w:rsidR="000A53A2" w:rsidRPr="00216217" w:rsidRDefault="000A53A2" w:rsidP="004E18BA">
            <w:pPr>
              <w:spacing w:before="0"/>
              <w:jc w:val="center"/>
            </w:pPr>
            <w:r w:rsidRPr="00216217">
              <w:t>0.0000</w:t>
            </w:r>
            <w:r>
              <w:t>***</w:t>
            </w:r>
          </w:p>
        </w:tc>
        <w:tc>
          <w:tcPr>
            <w:tcW w:w="2444" w:type="dxa"/>
          </w:tcPr>
          <w:p w14:paraId="27FAAC0F" w14:textId="77777777" w:rsidR="000A53A2" w:rsidRPr="00216217" w:rsidRDefault="000A53A2" w:rsidP="004E18BA">
            <w:pPr>
              <w:spacing w:before="0"/>
              <w:jc w:val="center"/>
            </w:pPr>
            <w:r w:rsidRPr="00216217">
              <w:t>Stationary</w:t>
            </w:r>
          </w:p>
        </w:tc>
      </w:tr>
      <w:tr w:rsidR="000A53A2" w:rsidRPr="00216217" w14:paraId="1C146199" w14:textId="77777777" w:rsidTr="004E18BA">
        <w:trPr>
          <w:trHeight w:val="350"/>
        </w:trPr>
        <w:tc>
          <w:tcPr>
            <w:tcW w:w="1796" w:type="dxa"/>
          </w:tcPr>
          <w:p w14:paraId="729631E7" w14:textId="77777777" w:rsidR="000A53A2" w:rsidRPr="00216217" w:rsidRDefault="000A53A2" w:rsidP="004E18BA">
            <w:pPr>
              <w:spacing w:before="0"/>
              <w:jc w:val="left"/>
            </w:pPr>
            <w:r w:rsidRPr="00216217">
              <w:t>Tangibility</w:t>
            </w:r>
          </w:p>
        </w:tc>
        <w:tc>
          <w:tcPr>
            <w:tcW w:w="2879" w:type="dxa"/>
          </w:tcPr>
          <w:p w14:paraId="07055818" w14:textId="77777777" w:rsidR="000A53A2" w:rsidRPr="00216217" w:rsidRDefault="000A53A2" w:rsidP="004E18BA">
            <w:pPr>
              <w:spacing w:before="0"/>
              <w:jc w:val="center"/>
            </w:pPr>
            <w:r w:rsidRPr="00216217">
              <w:t>40.2262</w:t>
            </w:r>
          </w:p>
        </w:tc>
        <w:tc>
          <w:tcPr>
            <w:tcW w:w="1905" w:type="dxa"/>
          </w:tcPr>
          <w:p w14:paraId="731136DB" w14:textId="77777777" w:rsidR="000A53A2" w:rsidRPr="00216217" w:rsidRDefault="000A53A2" w:rsidP="004E18BA">
            <w:pPr>
              <w:spacing w:before="0"/>
              <w:jc w:val="center"/>
            </w:pPr>
            <w:r w:rsidRPr="00216217">
              <w:t>0.5490</w:t>
            </w:r>
          </w:p>
        </w:tc>
        <w:tc>
          <w:tcPr>
            <w:tcW w:w="2444" w:type="dxa"/>
          </w:tcPr>
          <w:p w14:paraId="76725ADA" w14:textId="77777777" w:rsidR="000A53A2" w:rsidRPr="00216217" w:rsidRDefault="000A53A2" w:rsidP="004E18BA">
            <w:pPr>
              <w:spacing w:before="0"/>
              <w:jc w:val="center"/>
            </w:pPr>
            <w:r w:rsidRPr="00216217">
              <w:t>Non-stationary</w:t>
            </w:r>
          </w:p>
        </w:tc>
      </w:tr>
      <w:tr w:rsidR="000A53A2" w:rsidRPr="00216217" w14:paraId="0F20CE91" w14:textId="77777777" w:rsidTr="004E18BA">
        <w:trPr>
          <w:trHeight w:val="350"/>
        </w:trPr>
        <w:tc>
          <w:tcPr>
            <w:tcW w:w="1796" w:type="dxa"/>
          </w:tcPr>
          <w:p w14:paraId="54F0DC8F" w14:textId="77777777" w:rsidR="000A53A2" w:rsidRPr="00216217" w:rsidRDefault="000A53A2" w:rsidP="004E18BA">
            <w:pPr>
              <w:spacing w:before="0"/>
              <w:jc w:val="left"/>
            </w:pPr>
            <w:r w:rsidRPr="00216217">
              <w:t>Size</w:t>
            </w:r>
          </w:p>
        </w:tc>
        <w:tc>
          <w:tcPr>
            <w:tcW w:w="2879" w:type="dxa"/>
          </w:tcPr>
          <w:p w14:paraId="374A39B5" w14:textId="77777777" w:rsidR="000A53A2" w:rsidRPr="00216217" w:rsidRDefault="000A53A2" w:rsidP="004E18BA">
            <w:pPr>
              <w:spacing w:before="0"/>
              <w:jc w:val="center"/>
            </w:pPr>
            <w:r w:rsidRPr="00216217">
              <w:t>119.6838</w:t>
            </w:r>
          </w:p>
        </w:tc>
        <w:tc>
          <w:tcPr>
            <w:tcW w:w="1905" w:type="dxa"/>
          </w:tcPr>
          <w:p w14:paraId="3594B3D7" w14:textId="77777777" w:rsidR="000A53A2" w:rsidRPr="00216217" w:rsidRDefault="000A53A2" w:rsidP="004E18BA">
            <w:pPr>
              <w:spacing w:before="0"/>
              <w:jc w:val="center"/>
            </w:pPr>
            <w:r w:rsidRPr="00216217">
              <w:t>0.0000</w:t>
            </w:r>
            <w:r>
              <w:t>***</w:t>
            </w:r>
          </w:p>
        </w:tc>
        <w:tc>
          <w:tcPr>
            <w:tcW w:w="2444" w:type="dxa"/>
          </w:tcPr>
          <w:p w14:paraId="24C405D7" w14:textId="77777777" w:rsidR="000A53A2" w:rsidRPr="00216217" w:rsidRDefault="000A53A2" w:rsidP="004E18BA">
            <w:pPr>
              <w:spacing w:before="0"/>
              <w:jc w:val="center"/>
            </w:pPr>
            <w:r w:rsidRPr="00216217">
              <w:t>Stationary</w:t>
            </w:r>
          </w:p>
        </w:tc>
      </w:tr>
      <w:tr w:rsidR="000A53A2" w:rsidRPr="00216217" w14:paraId="39931A62" w14:textId="77777777" w:rsidTr="004E18BA">
        <w:trPr>
          <w:trHeight w:val="350"/>
        </w:trPr>
        <w:tc>
          <w:tcPr>
            <w:tcW w:w="1796" w:type="dxa"/>
          </w:tcPr>
          <w:p w14:paraId="78A152C2" w14:textId="77777777" w:rsidR="000A53A2" w:rsidRPr="00216217" w:rsidRDefault="000A53A2" w:rsidP="004E18BA">
            <w:pPr>
              <w:spacing w:before="0"/>
              <w:jc w:val="left"/>
            </w:pPr>
            <w:r w:rsidRPr="00216217">
              <w:t>ROA</w:t>
            </w:r>
          </w:p>
        </w:tc>
        <w:tc>
          <w:tcPr>
            <w:tcW w:w="2879" w:type="dxa"/>
          </w:tcPr>
          <w:p w14:paraId="5FF0E49F" w14:textId="77777777" w:rsidR="000A53A2" w:rsidRPr="00216217" w:rsidRDefault="000A53A2" w:rsidP="004E18BA">
            <w:pPr>
              <w:spacing w:before="0"/>
              <w:jc w:val="center"/>
            </w:pPr>
            <w:r w:rsidRPr="00216217">
              <w:t>165.7385</w:t>
            </w:r>
          </w:p>
        </w:tc>
        <w:tc>
          <w:tcPr>
            <w:tcW w:w="1905" w:type="dxa"/>
          </w:tcPr>
          <w:p w14:paraId="377F8340" w14:textId="77777777" w:rsidR="000A53A2" w:rsidRPr="00216217" w:rsidRDefault="000A53A2" w:rsidP="004E18BA">
            <w:pPr>
              <w:spacing w:before="0"/>
              <w:jc w:val="center"/>
            </w:pPr>
            <w:r w:rsidRPr="00216217">
              <w:t>0.0000</w:t>
            </w:r>
            <w:r>
              <w:t>***</w:t>
            </w:r>
          </w:p>
        </w:tc>
        <w:tc>
          <w:tcPr>
            <w:tcW w:w="2444" w:type="dxa"/>
          </w:tcPr>
          <w:p w14:paraId="31DAFFC6" w14:textId="77777777" w:rsidR="000A53A2" w:rsidRPr="00216217" w:rsidRDefault="000A53A2" w:rsidP="004E18BA">
            <w:pPr>
              <w:spacing w:before="0"/>
              <w:jc w:val="center"/>
            </w:pPr>
            <w:r w:rsidRPr="00216217">
              <w:t>Stationary</w:t>
            </w:r>
          </w:p>
        </w:tc>
      </w:tr>
      <w:tr w:rsidR="000A53A2" w:rsidRPr="00216217" w14:paraId="2ABD3159" w14:textId="77777777" w:rsidTr="004E18BA">
        <w:trPr>
          <w:trHeight w:val="350"/>
        </w:trPr>
        <w:tc>
          <w:tcPr>
            <w:tcW w:w="1796" w:type="dxa"/>
          </w:tcPr>
          <w:p w14:paraId="5B67F811" w14:textId="77777777" w:rsidR="000A53A2" w:rsidRPr="00216217" w:rsidRDefault="000A53A2" w:rsidP="004E18BA">
            <w:pPr>
              <w:spacing w:before="0"/>
              <w:jc w:val="left"/>
            </w:pPr>
            <w:r w:rsidRPr="00216217">
              <w:t>Liquidity</w:t>
            </w:r>
          </w:p>
        </w:tc>
        <w:tc>
          <w:tcPr>
            <w:tcW w:w="2879" w:type="dxa"/>
          </w:tcPr>
          <w:p w14:paraId="3EA4958B" w14:textId="77777777" w:rsidR="000A53A2" w:rsidRPr="00216217" w:rsidRDefault="000A53A2" w:rsidP="004E18BA">
            <w:pPr>
              <w:spacing w:before="0"/>
              <w:jc w:val="center"/>
            </w:pPr>
            <w:r w:rsidRPr="00216217">
              <w:t>64.7611</w:t>
            </w:r>
          </w:p>
        </w:tc>
        <w:tc>
          <w:tcPr>
            <w:tcW w:w="1905" w:type="dxa"/>
          </w:tcPr>
          <w:p w14:paraId="4B09C884" w14:textId="77777777" w:rsidR="000A53A2" w:rsidRPr="00216217" w:rsidRDefault="000A53A2" w:rsidP="004E18BA">
            <w:pPr>
              <w:spacing w:before="0"/>
              <w:jc w:val="center"/>
            </w:pPr>
            <w:r w:rsidRPr="00216217">
              <w:t>0.0136</w:t>
            </w:r>
            <w:r>
              <w:t>***</w:t>
            </w:r>
          </w:p>
        </w:tc>
        <w:tc>
          <w:tcPr>
            <w:tcW w:w="2444" w:type="dxa"/>
          </w:tcPr>
          <w:p w14:paraId="515E53AF" w14:textId="77777777" w:rsidR="000A53A2" w:rsidRPr="00216217" w:rsidRDefault="000A53A2" w:rsidP="004E18BA">
            <w:pPr>
              <w:spacing w:before="0"/>
              <w:jc w:val="center"/>
            </w:pPr>
            <w:r w:rsidRPr="00216217">
              <w:t>Stationary</w:t>
            </w:r>
          </w:p>
        </w:tc>
      </w:tr>
    </w:tbl>
    <w:p w14:paraId="371AF5D4" w14:textId="77777777" w:rsidR="000A53A2" w:rsidRPr="00216217" w:rsidRDefault="000A53A2" w:rsidP="000A53A2">
      <w:pPr>
        <w:spacing w:before="0" w:after="0" w:line="240" w:lineRule="auto"/>
        <w:jc w:val="left"/>
      </w:pPr>
      <w:r w:rsidRPr="00216217">
        <w:rPr>
          <w:b/>
          <w:bCs/>
        </w:rPr>
        <w:t>Source:</w:t>
      </w:r>
      <w:r w:rsidRPr="00216217">
        <w:t xml:space="preserve"> Author’s analysis using Stata 17.</w:t>
      </w:r>
      <w:r>
        <w:t xml:space="preserve"> </w:t>
      </w:r>
      <w:r w:rsidRPr="00216217">
        <w:t>***p &lt; 0.01, **p &lt; 0.05.</w:t>
      </w:r>
      <w:bookmarkEnd w:id="19"/>
      <w:r>
        <w:t xml:space="preserve"> </w:t>
      </w:r>
      <w:r w:rsidRPr="00216217">
        <w:rPr>
          <w:b/>
          <w:bCs/>
        </w:rPr>
        <w:t>Note(s):</w:t>
      </w:r>
      <w:r>
        <w:rPr>
          <w:b/>
          <w:bCs/>
        </w:rPr>
        <w:t xml:space="preserve"> </w:t>
      </w:r>
      <w:r w:rsidRPr="00216217">
        <w:t>Fisher-type Augmented Dickey–Fuller (ADF) test applied for unbalanced panel data.</w:t>
      </w:r>
      <w:r w:rsidRPr="00216217">
        <w:br/>
      </w:r>
      <w:r w:rsidRPr="00216217">
        <w:br/>
        <w:t xml:space="preserve"> </w:t>
      </w:r>
      <w:bookmarkStart w:id="20" w:name="_a1cmbn5lwcpg" w:colFirst="0" w:colLast="0"/>
      <w:bookmarkEnd w:id="20"/>
      <w:r w:rsidRPr="00216217">
        <w:rPr>
          <w:b/>
          <w:bCs/>
        </w:rPr>
        <w:t>4.4 Baseline Regression Results</w:t>
      </w:r>
    </w:p>
    <w:p w14:paraId="20559F55" w14:textId="77777777" w:rsidR="000A53A2" w:rsidRPr="00216217" w:rsidRDefault="000A53A2" w:rsidP="000A53A2">
      <w:pPr>
        <w:spacing w:before="280" w:after="80" w:line="240" w:lineRule="auto"/>
        <w:jc w:val="center"/>
        <w:rPr>
          <w:b/>
          <w:bCs/>
        </w:rPr>
      </w:pPr>
      <w:bookmarkStart w:id="21" w:name="_Hlk217556441"/>
      <w:r w:rsidRPr="00216217">
        <w:rPr>
          <w:b/>
          <w:bCs/>
        </w:rPr>
        <w:t xml:space="preserve">Table </w:t>
      </w:r>
      <w:r>
        <w:rPr>
          <w:b/>
          <w:bCs/>
        </w:rPr>
        <w:t>5</w:t>
      </w:r>
      <w:r w:rsidRPr="00216217">
        <w:rPr>
          <w:b/>
          <w:bCs/>
        </w:rPr>
        <w:t xml:space="preserve"> Dynamic Panel Data Regression Results</w:t>
      </w:r>
    </w:p>
    <w:tbl>
      <w:tblPr>
        <w:tblStyle w:val="GridTable5Dark-Accent1"/>
        <w:tblW w:w="9025" w:type="dxa"/>
        <w:tblLayout w:type="fixed"/>
        <w:tblLook w:val="0600" w:firstRow="0" w:lastRow="0" w:firstColumn="0" w:lastColumn="0" w:noHBand="1" w:noVBand="1"/>
      </w:tblPr>
      <w:tblGrid>
        <w:gridCol w:w="2653"/>
        <w:gridCol w:w="2067"/>
        <w:gridCol w:w="2224"/>
        <w:gridCol w:w="2081"/>
      </w:tblGrid>
      <w:tr w:rsidR="000A53A2" w:rsidRPr="00216217" w14:paraId="7516D246" w14:textId="77777777" w:rsidTr="004E18BA">
        <w:trPr>
          <w:trHeight w:val="404"/>
        </w:trPr>
        <w:tc>
          <w:tcPr>
            <w:tcW w:w="2653" w:type="dxa"/>
          </w:tcPr>
          <w:p w14:paraId="0FCE4724" w14:textId="77777777" w:rsidR="000A53A2" w:rsidRPr="00216217" w:rsidRDefault="000A53A2" w:rsidP="004E18BA">
            <w:pPr>
              <w:spacing w:before="0"/>
              <w:jc w:val="left"/>
              <w:rPr>
                <w:b/>
                <w:bCs/>
              </w:rPr>
            </w:pPr>
            <w:r w:rsidRPr="00216217">
              <w:rPr>
                <w:b/>
                <w:bCs/>
              </w:rPr>
              <w:t>Independent variables</w:t>
            </w:r>
          </w:p>
        </w:tc>
        <w:tc>
          <w:tcPr>
            <w:tcW w:w="2067" w:type="dxa"/>
          </w:tcPr>
          <w:p w14:paraId="778BD996" w14:textId="77777777" w:rsidR="000A53A2" w:rsidRPr="00216217" w:rsidRDefault="000A53A2" w:rsidP="004E18BA">
            <w:pPr>
              <w:spacing w:before="0"/>
              <w:jc w:val="center"/>
              <w:rPr>
                <w:b/>
                <w:bCs/>
              </w:rPr>
            </w:pPr>
            <w:r w:rsidRPr="00216217">
              <w:rPr>
                <w:b/>
                <w:bCs/>
              </w:rPr>
              <w:t>TLR (R1)</w:t>
            </w:r>
          </w:p>
        </w:tc>
        <w:tc>
          <w:tcPr>
            <w:tcW w:w="2224" w:type="dxa"/>
          </w:tcPr>
          <w:p w14:paraId="4B274175" w14:textId="77777777" w:rsidR="000A53A2" w:rsidRPr="00216217" w:rsidRDefault="000A53A2" w:rsidP="004E18BA">
            <w:pPr>
              <w:spacing w:before="0"/>
              <w:jc w:val="center"/>
              <w:rPr>
                <w:b/>
                <w:bCs/>
              </w:rPr>
            </w:pPr>
            <w:r w:rsidRPr="00216217">
              <w:rPr>
                <w:b/>
                <w:bCs/>
              </w:rPr>
              <w:t>STLR (R2)</w:t>
            </w:r>
          </w:p>
        </w:tc>
        <w:tc>
          <w:tcPr>
            <w:tcW w:w="2081" w:type="dxa"/>
          </w:tcPr>
          <w:p w14:paraId="3C0709FC" w14:textId="77777777" w:rsidR="000A53A2" w:rsidRPr="00216217" w:rsidRDefault="000A53A2" w:rsidP="004E18BA">
            <w:pPr>
              <w:spacing w:before="0"/>
              <w:jc w:val="center"/>
              <w:rPr>
                <w:b/>
                <w:bCs/>
              </w:rPr>
            </w:pPr>
            <w:r w:rsidRPr="00216217">
              <w:rPr>
                <w:b/>
                <w:bCs/>
              </w:rPr>
              <w:t>LTLR (R3)</w:t>
            </w:r>
          </w:p>
        </w:tc>
      </w:tr>
      <w:tr w:rsidR="000A53A2" w:rsidRPr="00216217" w14:paraId="49805E0D" w14:textId="77777777" w:rsidTr="004E18BA">
        <w:trPr>
          <w:trHeight w:val="350"/>
        </w:trPr>
        <w:tc>
          <w:tcPr>
            <w:tcW w:w="2653" w:type="dxa"/>
          </w:tcPr>
          <w:p w14:paraId="078DBD72" w14:textId="77777777" w:rsidR="000A53A2" w:rsidRPr="00216217" w:rsidRDefault="000A53A2" w:rsidP="004E18BA">
            <w:pPr>
              <w:spacing w:before="0"/>
              <w:jc w:val="left"/>
              <w:rPr>
                <w:b/>
                <w:bCs/>
              </w:rPr>
            </w:pPr>
            <w:r w:rsidRPr="00216217">
              <w:rPr>
                <w:b/>
                <w:bCs/>
              </w:rPr>
              <w:t>Lag of dependent</w:t>
            </w:r>
          </w:p>
        </w:tc>
        <w:tc>
          <w:tcPr>
            <w:tcW w:w="2067" w:type="dxa"/>
          </w:tcPr>
          <w:p w14:paraId="63A9752F" w14:textId="77777777" w:rsidR="000A53A2" w:rsidRPr="00216217" w:rsidRDefault="000A53A2" w:rsidP="004E18BA">
            <w:pPr>
              <w:spacing w:before="0"/>
              <w:jc w:val="center"/>
            </w:pPr>
            <w:r w:rsidRPr="00216217">
              <w:t>0.2727*** (0.000)</w:t>
            </w:r>
          </w:p>
        </w:tc>
        <w:tc>
          <w:tcPr>
            <w:tcW w:w="2224" w:type="dxa"/>
          </w:tcPr>
          <w:p w14:paraId="770183CE" w14:textId="77777777" w:rsidR="000A53A2" w:rsidRPr="00216217" w:rsidRDefault="000A53A2" w:rsidP="004E18BA">
            <w:pPr>
              <w:spacing w:before="0"/>
              <w:jc w:val="center"/>
            </w:pPr>
            <w:r w:rsidRPr="00216217">
              <w:t>0.1170** (0.032)</w:t>
            </w:r>
          </w:p>
        </w:tc>
        <w:tc>
          <w:tcPr>
            <w:tcW w:w="2081" w:type="dxa"/>
          </w:tcPr>
          <w:p w14:paraId="102A8015" w14:textId="77777777" w:rsidR="000A53A2" w:rsidRPr="00216217" w:rsidRDefault="000A53A2" w:rsidP="004E18BA">
            <w:pPr>
              <w:spacing w:before="0"/>
              <w:jc w:val="center"/>
            </w:pPr>
            <w:r w:rsidRPr="00216217">
              <w:t>0.2269*** (0.000)</w:t>
            </w:r>
          </w:p>
        </w:tc>
      </w:tr>
      <w:tr w:rsidR="000A53A2" w:rsidRPr="00216217" w14:paraId="405586D3" w14:textId="77777777" w:rsidTr="004E18BA">
        <w:trPr>
          <w:trHeight w:val="350"/>
        </w:trPr>
        <w:tc>
          <w:tcPr>
            <w:tcW w:w="2653" w:type="dxa"/>
          </w:tcPr>
          <w:p w14:paraId="5CA4E9F2" w14:textId="77777777" w:rsidR="000A53A2" w:rsidRPr="00216217" w:rsidRDefault="000A53A2" w:rsidP="004E18BA">
            <w:pPr>
              <w:spacing w:before="0"/>
              <w:jc w:val="left"/>
              <w:rPr>
                <w:b/>
                <w:bCs/>
              </w:rPr>
            </w:pPr>
            <w:r w:rsidRPr="00216217">
              <w:rPr>
                <w:b/>
                <w:bCs/>
              </w:rPr>
              <w:t>Tobin’s Q</w:t>
            </w:r>
          </w:p>
        </w:tc>
        <w:tc>
          <w:tcPr>
            <w:tcW w:w="2067" w:type="dxa"/>
          </w:tcPr>
          <w:p w14:paraId="3DAFBEDB" w14:textId="77777777" w:rsidR="000A53A2" w:rsidRPr="00216217" w:rsidRDefault="000A53A2" w:rsidP="004E18BA">
            <w:pPr>
              <w:spacing w:before="0"/>
              <w:jc w:val="center"/>
            </w:pPr>
            <w:r w:rsidRPr="00216217">
              <w:t>0.0040 (0.493)</w:t>
            </w:r>
          </w:p>
        </w:tc>
        <w:tc>
          <w:tcPr>
            <w:tcW w:w="2224" w:type="dxa"/>
          </w:tcPr>
          <w:p w14:paraId="1A39BE83" w14:textId="77777777" w:rsidR="000A53A2" w:rsidRPr="00216217" w:rsidRDefault="000A53A2" w:rsidP="004E18BA">
            <w:pPr>
              <w:spacing w:before="0"/>
              <w:jc w:val="center"/>
            </w:pPr>
            <w:r w:rsidRPr="00216217">
              <w:t>0.0072* (0.088)</w:t>
            </w:r>
          </w:p>
        </w:tc>
        <w:tc>
          <w:tcPr>
            <w:tcW w:w="2081" w:type="dxa"/>
          </w:tcPr>
          <w:p w14:paraId="344E7118" w14:textId="77777777" w:rsidR="000A53A2" w:rsidRPr="00216217" w:rsidRDefault="000A53A2" w:rsidP="004E18BA">
            <w:pPr>
              <w:spacing w:before="0"/>
              <w:jc w:val="center"/>
            </w:pPr>
            <w:r w:rsidRPr="00216217">
              <w:t>0.0012 (0.062)</w:t>
            </w:r>
          </w:p>
        </w:tc>
      </w:tr>
      <w:tr w:rsidR="000A53A2" w:rsidRPr="00216217" w14:paraId="27216A51" w14:textId="77777777" w:rsidTr="004E18BA">
        <w:trPr>
          <w:trHeight w:val="350"/>
        </w:trPr>
        <w:tc>
          <w:tcPr>
            <w:tcW w:w="2653" w:type="dxa"/>
          </w:tcPr>
          <w:p w14:paraId="2C223614" w14:textId="77777777" w:rsidR="000A53A2" w:rsidRPr="00216217" w:rsidRDefault="000A53A2" w:rsidP="004E18BA">
            <w:pPr>
              <w:spacing w:before="0"/>
              <w:jc w:val="left"/>
              <w:rPr>
                <w:b/>
                <w:bCs/>
              </w:rPr>
            </w:pPr>
            <w:r w:rsidRPr="00216217">
              <w:rPr>
                <w:b/>
                <w:bCs/>
              </w:rPr>
              <w:t>Tangibility</w:t>
            </w:r>
          </w:p>
        </w:tc>
        <w:tc>
          <w:tcPr>
            <w:tcW w:w="2067" w:type="dxa"/>
          </w:tcPr>
          <w:p w14:paraId="3781668C" w14:textId="77777777" w:rsidR="000A53A2" w:rsidRPr="00216217" w:rsidRDefault="000A53A2" w:rsidP="004E18BA">
            <w:pPr>
              <w:spacing w:before="0"/>
              <w:jc w:val="center"/>
            </w:pPr>
            <w:r w:rsidRPr="00216217">
              <w:t>0.0215 (0.816)</w:t>
            </w:r>
          </w:p>
        </w:tc>
        <w:tc>
          <w:tcPr>
            <w:tcW w:w="2224" w:type="dxa"/>
          </w:tcPr>
          <w:p w14:paraId="7A47D50F" w14:textId="77777777" w:rsidR="000A53A2" w:rsidRPr="00216217" w:rsidRDefault="000A53A2" w:rsidP="004E18BA">
            <w:pPr>
              <w:spacing w:before="0"/>
              <w:jc w:val="center"/>
            </w:pPr>
            <w:r w:rsidRPr="00216217">
              <w:t>0.0663 (0.324)</w:t>
            </w:r>
          </w:p>
        </w:tc>
        <w:tc>
          <w:tcPr>
            <w:tcW w:w="2081" w:type="dxa"/>
          </w:tcPr>
          <w:p w14:paraId="30C5963D" w14:textId="77777777" w:rsidR="000A53A2" w:rsidRPr="00216217" w:rsidRDefault="000A53A2" w:rsidP="004E18BA">
            <w:pPr>
              <w:spacing w:before="0"/>
              <w:jc w:val="center"/>
            </w:pPr>
            <w:r w:rsidRPr="00216217">
              <w:t>0.0139 (0.179)</w:t>
            </w:r>
          </w:p>
        </w:tc>
      </w:tr>
      <w:tr w:rsidR="000A53A2" w:rsidRPr="00216217" w14:paraId="38261329" w14:textId="77777777" w:rsidTr="004E18BA">
        <w:trPr>
          <w:trHeight w:val="350"/>
        </w:trPr>
        <w:tc>
          <w:tcPr>
            <w:tcW w:w="2653" w:type="dxa"/>
          </w:tcPr>
          <w:p w14:paraId="47F87C31" w14:textId="77777777" w:rsidR="000A53A2" w:rsidRPr="00216217" w:rsidRDefault="000A53A2" w:rsidP="004E18BA">
            <w:pPr>
              <w:spacing w:before="0"/>
              <w:jc w:val="left"/>
              <w:rPr>
                <w:b/>
                <w:bCs/>
              </w:rPr>
            </w:pPr>
            <w:r w:rsidRPr="00216217">
              <w:rPr>
                <w:b/>
                <w:bCs/>
              </w:rPr>
              <w:t>Size</w:t>
            </w:r>
          </w:p>
        </w:tc>
        <w:tc>
          <w:tcPr>
            <w:tcW w:w="2067" w:type="dxa"/>
          </w:tcPr>
          <w:p w14:paraId="22C14AAE" w14:textId="77777777" w:rsidR="000A53A2" w:rsidRPr="00216217" w:rsidRDefault="000A53A2" w:rsidP="004E18BA">
            <w:pPr>
              <w:spacing w:before="0"/>
              <w:jc w:val="center"/>
            </w:pPr>
            <w:r w:rsidRPr="00216217">
              <w:t>0.0699** (0.013)</w:t>
            </w:r>
          </w:p>
        </w:tc>
        <w:tc>
          <w:tcPr>
            <w:tcW w:w="2224" w:type="dxa"/>
          </w:tcPr>
          <w:p w14:paraId="6C5AB7BF" w14:textId="77777777" w:rsidR="000A53A2" w:rsidRPr="00216217" w:rsidRDefault="000A53A2" w:rsidP="004E18BA">
            <w:pPr>
              <w:spacing w:before="0"/>
              <w:jc w:val="center"/>
            </w:pPr>
            <w:r w:rsidRPr="00216217">
              <w:t>0.0778*** (0.000)</w:t>
            </w:r>
          </w:p>
        </w:tc>
        <w:tc>
          <w:tcPr>
            <w:tcW w:w="2081" w:type="dxa"/>
          </w:tcPr>
          <w:p w14:paraId="6F47FF9D" w14:textId="77777777" w:rsidR="000A53A2" w:rsidRPr="00216217" w:rsidRDefault="000A53A2" w:rsidP="004E18BA">
            <w:pPr>
              <w:spacing w:before="0"/>
              <w:jc w:val="center"/>
            </w:pPr>
            <w:r w:rsidRPr="00216217">
              <w:t>0.0087*** (0.005)</w:t>
            </w:r>
          </w:p>
        </w:tc>
      </w:tr>
      <w:tr w:rsidR="000A53A2" w:rsidRPr="00216217" w14:paraId="7DC433A9" w14:textId="77777777" w:rsidTr="004E18BA">
        <w:trPr>
          <w:trHeight w:val="350"/>
        </w:trPr>
        <w:tc>
          <w:tcPr>
            <w:tcW w:w="2653" w:type="dxa"/>
          </w:tcPr>
          <w:p w14:paraId="27B9DFBE" w14:textId="77777777" w:rsidR="000A53A2" w:rsidRPr="00216217" w:rsidRDefault="000A53A2" w:rsidP="004E18BA">
            <w:pPr>
              <w:spacing w:before="0"/>
              <w:jc w:val="left"/>
              <w:rPr>
                <w:b/>
                <w:bCs/>
              </w:rPr>
            </w:pPr>
            <w:r w:rsidRPr="00216217">
              <w:rPr>
                <w:b/>
                <w:bCs/>
              </w:rPr>
              <w:t>Profitability (ROA)</w:t>
            </w:r>
          </w:p>
        </w:tc>
        <w:tc>
          <w:tcPr>
            <w:tcW w:w="2067" w:type="dxa"/>
          </w:tcPr>
          <w:p w14:paraId="20C93951" w14:textId="77777777" w:rsidR="000A53A2" w:rsidRPr="00216217" w:rsidRDefault="000A53A2" w:rsidP="004E18BA">
            <w:pPr>
              <w:spacing w:before="0"/>
              <w:jc w:val="center"/>
            </w:pPr>
            <w:r w:rsidRPr="00216217">
              <w:rPr>
                <w:rFonts w:eastAsia="Gungsuh"/>
              </w:rPr>
              <w:t>−0.1130 (0.281)</w:t>
            </w:r>
          </w:p>
        </w:tc>
        <w:tc>
          <w:tcPr>
            <w:tcW w:w="2224" w:type="dxa"/>
          </w:tcPr>
          <w:p w14:paraId="62A8A23A" w14:textId="77777777" w:rsidR="000A53A2" w:rsidRPr="00216217" w:rsidRDefault="000A53A2" w:rsidP="004E18BA">
            <w:pPr>
              <w:spacing w:before="0"/>
              <w:jc w:val="center"/>
            </w:pPr>
            <w:r w:rsidRPr="00216217">
              <w:rPr>
                <w:rFonts w:eastAsia="Gungsuh"/>
              </w:rPr>
              <w:t>−0.1244 (0.104)</w:t>
            </w:r>
          </w:p>
        </w:tc>
        <w:tc>
          <w:tcPr>
            <w:tcW w:w="2081" w:type="dxa"/>
          </w:tcPr>
          <w:p w14:paraId="7A64880C" w14:textId="77777777" w:rsidR="000A53A2" w:rsidRPr="00216217" w:rsidRDefault="000A53A2" w:rsidP="004E18BA">
            <w:pPr>
              <w:spacing w:before="0"/>
              <w:jc w:val="center"/>
            </w:pPr>
            <w:r w:rsidRPr="00216217">
              <w:rPr>
                <w:rFonts w:eastAsia="Gungsuh"/>
              </w:rPr>
              <w:t>−0.0156 (0.136)</w:t>
            </w:r>
          </w:p>
        </w:tc>
      </w:tr>
      <w:tr w:rsidR="000A53A2" w:rsidRPr="00216217" w14:paraId="3FE2CD0D" w14:textId="77777777" w:rsidTr="004E18BA">
        <w:trPr>
          <w:trHeight w:val="350"/>
        </w:trPr>
        <w:tc>
          <w:tcPr>
            <w:tcW w:w="2653" w:type="dxa"/>
          </w:tcPr>
          <w:p w14:paraId="6AFECB9C" w14:textId="77777777" w:rsidR="000A53A2" w:rsidRPr="00216217" w:rsidRDefault="000A53A2" w:rsidP="004E18BA">
            <w:pPr>
              <w:spacing w:before="0"/>
              <w:jc w:val="left"/>
              <w:rPr>
                <w:b/>
                <w:bCs/>
              </w:rPr>
            </w:pPr>
            <w:r w:rsidRPr="00216217">
              <w:rPr>
                <w:b/>
                <w:bCs/>
              </w:rPr>
              <w:t>Liquidity</w:t>
            </w:r>
          </w:p>
        </w:tc>
        <w:tc>
          <w:tcPr>
            <w:tcW w:w="2067" w:type="dxa"/>
          </w:tcPr>
          <w:p w14:paraId="4BD60B32" w14:textId="77777777" w:rsidR="000A53A2" w:rsidRPr="00216217" w:rsidRDefault="000A53A2" w:rsidP="004E18BA">
            <w:pPr>
              <w:spacing w:before="0"/>
              <w:jc w:val="center"/>
            </w:pPr>
            <w:r w:rsidRPr="00216217">
              <w:rPr>
                <w:rFonts w:eastAsia="Gungsuh"/>
              </w:rPr>
              <w:t>−0.0044* (0.075)</w:t>
            </w:r>
          </w:p>
        </w:tc>
        <w:tc>
          <w:tcPr>
            <w:tcW w:w="2224" w:type="dxa"/>
          </w:tcPr>
          <w:p w14:paraId="6D7849D0" w14:textId="77777777" w:rsidR="000A53A2" w:rsidRPr="00216217" w:rsidRDefault="000A53A2" w:rsidP="004E18BA">
            <w:pPr>
              <w:spacing w:before="0"/>
              <w:jc w:val="center"/>
            </w:pPr>
            <w:r w:rsidRPr="00216217">
              <w:rPr>
                <w:rFonts w:eastAsia="Gungsuh"/>
              </w:rPr>
              <w:t>−0.0053*** (0.003)</w:t>
            </w:r>
          </w:p>
        </w:tc>
        <w:tc>
          <w:tcPr>
            <w:tcW w:w="2081" w:type="dxa"/>
          </w:tcPr>
          <w:p w14:paraId="3AB4A9CC" w14:textId="77777777" w:rsidR="000A53A2" w:rsidRPr="00216217" w:rsidRDefault="000A53A2" w:rsidP="004E18BA">
            <w:pPr>
              <w:spacing w:before="0"/>
              <w:jc w:val="center"/>
            </w:pPr>
            <w:r w:rsidRPr="00216217">
              <w:rPr>
                <w:rFonts w:eastAsia="Gungsuh"/>
              </w:rPr>
              <w:t>−0.0005* (0.092)</w:t>
            </w:r>
          </w:p>
        </w:tc>
      </w:tr>
      <w:tr w:rsidR="000A53A2" w:rsidRPr="00216217" w14:paraId="0574ACBB" w14:textId="77777777" w:rsidTr="004E18BA">
        <w:trPr>
          <w:trHeight w:val="350"/>
        </w:trPr>
        <w:tc>
          <w:tcPr>
            <w:tcW w:w="2653" w:type="dxa"/>
          </w:tcPr>
          <w:p w14:paraId="7AE152AC" w14:textId="77777777" w:rsidR="000A53A2" w:rsidRPr="00216217" w:rsidRDefault="000A53A2" w:rsidP="004E18BA">
            <w:pPr>
              <w:spacing w:before="0"/>
              <w:jc w:val="left"/>
              <w:rPr>
                <w:b/>
                <w:bCs/>
              </w:rPr>
            </w:pPr>
            <w:r w:rsidRPr="00216217">
              <w:rPr>
                <w:b/>
                <w:bCs/>
              </w:rPr>
              <w:t>Covid-19 dummy</w:t>
            </w:r>
          </w:p>
        </w:tc>
        <w:tc>
          <w:tcPr>
            <w:tcW w:w="2067" w:type="dxa"/>
          </w:tcPr>
          <w:p w14:paraId="312D805B" w14:textId="77777777" w:rsidR="000A53A2" w:rsidRPr="00216217" w:rsidRDefault="000A53A2" w:rsidP="004E18BA">
            <w:pPr>
              <w:spacing w:before="0"/>
              <w:jc w:val="center"/>
            </w:pPr>
            <w:r w:rsidRPr="00216217">
              <w:rPr>
                <w:rFonts w:eastAsia="Gungsuh"/>
              </w:rPr>
              <w:t>−0.0097 (0.619)</w:t>
            </w:r>
          </w:p>
        </w:tc>
        <w:tc>
          <w:tcPr>
            <w:tcW w:w="2224" w:type="dxa"/>
          </w:tcPr>
          <w:p w14:paraId="39A1DDE1" w14:textId="77777777" w:rsidR="000A53A2" w:rsidRPr="00216217" w:rsidRDefault="000A53A2" w:rsidP="004E18BA">
            <w:pPr>
              <w:spacing w:before="0"/>
              <w:jc w:val="center"/>
            </w:pPr>
            <w:r w:rsidRPr="00216217">
              <w:rPr>
                <w:rFonts w:eastAsia="Gungsuh"/>
              </w:rPr>
              <w:t>−0.0260* (0.069)</w:t>
            </w:r>
          </w:p>
        </w:tc>
        <w:tc>
          <w:tcPr>
            <w:tcW w:w="2081" w:type="dxa"/>
          </w:tcPr>
          <w:p w14:paraId="11C9CAC5" w14:textId="77777777" w:rsidR="000A53A2" w:rsidRPr="00216217" w:rsidRDefault="000A53A2" w:rsidP="004E18BA">
            <w:pPr>
              <w:spacing w:before="0"/>
              <w:jc w:val="center"/>
            </w:pPr>
            <w:r w:rsidRPr="00216217">
              <w:rPr>
                <w:rFonts w:eastAsia="Gungsuh"/>
              </w:rPr>
              <w:t>−0.0036* (0.093)</w:t>
            </w:r>
          </w:p>
        </w:tc>
      </w:tr>
      <w:tr w:rsidR="000A53A2" w:rsidRPr="00216217" w14:paraId="76EB401B" w14:textId="77777777" w:rsidTr="004E18BA">
        <w:trPr>
          <w:trHeight w:val="350"/>
        </w:trPr>
        <w:tc>
          <w:tcPr>
            <w:tcW w:w="2653" w:type="dxa"/>
          </w:tcPr>
          <w:p w14:paraId="68132825" w14:textId="77777777" w:rsidR="000A53A2" w:rsidRPr="00216217" w:rsidRDefault="000A53A2" w:rsidP="004E18BA">
            <w:pPr>
              <w:spacing w:before="0"/>
              <w:jc w:val="left"/>
              <w:rPr>
                <w:b/>
                <w:bCs/>
              </w:rPr>
            </w:pPr>
            <w:bookmarkStart w:id="22" w:name="_6f8qocmw8w1c" w:colFirst="0" w:colLast="0"/>
            <w:bookmarkEnd w:id="22"/>
            <w:r w:rsidRPr="00216217">
              <w:rPr>
                <w:b/>
                <w:bCs/>
              </w:rPr>
              <w:t>R-squared</w:t>
            </w:r>
          </w:p>
        </w:tc>
        <w:tc>
          <w:tcPr>
            <w:tcW w:w="2067" w:type="dxa"/>
          </w:tcPr>
          <w:p w14:paraId="41F805B5" w14:textId="77777777" w:rsidR="000A53A2" w:rsidRPr="00216217" w:rsidRDefault="000A53A2" w:rsidP="004E18BA">
            <w:pPr>
              <w:spacing w:before="0"/>
              <w:jc w:val="center"/>
            </w:pPr>
            <w:r w:rsidRPr="00216217">
              <w:t>0.2407</w:t>
            </w:r>
          </w:p>
        </w:tc>
        <w:tc>
          <w:tcPr>
            <w:tcW w:w="2224" w:type="dxa"/>
          </w:tcPr>
          <w:p w14:paraId="62FFCAAB" w14:textId="77777777" w:rsidR="000A53A2" w:rsidRPr="00216217" w:rsidRDefault="000A53A2" w:rsidP="004E18BA">
            <w:pPr>
              <w:spacing w:before="0"/>
              <w:jc w:val="center"/>
            </w:pPr>
            <w:r w:rsidRPr="00216217">
              <w:t>0.2524</w:t>
            </w:r>
          </w:p>
        </w:tc>
        <w:tc>
          <w:tcPr>
            <w:tcW w:w="2081" w:type="dxa"/>
          </w:tcPr>
          <w:p w14:paraId="0A0EDAC4" w14:textId="77777777" w:rsidR="000A53A2" w:rsidRPr="00216217" w:rsidRDefault="000A53A2" w:rsidP="004E18BA">
            <w:pPr>
              <w:spacing w:before="0"/>
              <w:jc w:val="center"/>
            </w:pPr>
            <w:r w:rsidRPr="00216217">
              <w:t>0.2455</w:t>
            </w:r>
          </w:p>
        </w:tc>
      </w:tr>
      <w:tr w:rsidR="000A53A2" w:rsidRPr="00216217" w14:paraId="5ACCB113" w14:textId="77777777" w:rsidTr="004E18BA">
        <w:trPr>
          <w:trHeight w:val="350"/>
        </w:trPr>
        <w:tc>
          <w:tcPr>
            <w:tcW w:w="2653" w:type="dxa"/>
          </w:tcPr>
          <w:p w14:paraId="3A0740C6" w14:textId="77777777" w:rsidR="000A53A2" w:rsidRPr="00216217" w:rsidRDefault="000A53A2" w:rsidP="004E18BA">
            <w:pPr>
              <w:spacing w:before="0"/>
              <w:jc w:val="left"/>
              <w:rPr>
                <w:b/>
                <w:bCs/>
              </w:rPr>
            </w:pPr>
            <w:r w:rsidRPr="00216217">
              <w:rPr>
                <w:b/>
                <w:bCs/>
              </w:rPr>
              <w:t>F-statistic (p-value)</w:t>
            </w:r>
          </w:p>
        </w:tc>
        <w:tc>
          <w:tcPr>
            <w:tcW w:w="2067" w:type="dxa"/>
          </w:tcPr>
          <w:p w14:paraId="434CB43C" w14:textId="77777777" w:rsidR="000A53A2" w:rsidRPr="00216217" w:rsidRDefault="000A53A2" w:rsidP="004E18BA">
            <w:pPr>
              <w:spacing w:before="0"/>
              <w:jc w:val="center"/>
            </w:pPr>
            <w:r w:rsidRPr="00216217">
              <w:t>7.56 (0.000)</w:t>
            </w:r>
          </w:p>
        </w:tc>
        <w:tc>
          <w:tcPr>
            <w:tcW w:w="2224" w:type="dxa"/>
          </w:tcPr>
          <w:p w14:paraId="70AB467F" w14:textId="77777777" w:rsidR="000A53A2" w:rsidRPr="00216217" w:rsidRDefault="000A53A2" w:rsidP="004E18BA">
            <w:pPr>
              <w:spacing w:before="0"/>
              <w:jc w:val="center"/>
            </w:pPr>
            <w:r w:rsidRPr="00216217">
              <w:t>8.05 (0.000)</w:t>
            </w:r>
          </w:p>
        </w:tc>
        <w:tc>
          <w:tcPr>
            <w:tcW w:w="2081" w:type="dxa"/>
          </w:tcPr>
          <w:p w14:paraId="75BC7B22" w14:textId="77777777" w:rsidR="000A53A2" w:rsidRPr="00216217" w:rsidRDefault="000A53A2" w:rsidP="004E18BA">
            <w:pPr>
              <w:spacing w:before="0"/>
              <w:jc w:val="center"/>
            </w:pPr>
            <w:r w:rsidRPr="00216217">
              <w:t>7.76 (0.000)</w:t>
            </w:r>
          </w:p>
        </w:tc>
      </w:tr>
    </w:tbl>
    <w:p w14:paraId="79B20B21" w14:textId="77777777" w:rsidR="000A53A2" w:rsidRDefault="000A53A2" w:rsidP="000A53A2">
      <w:pPr>
        <w:spacing w:before="0" w:after="0" w:line="240" w:lineRule="auto"/>
        <w:jc w:val="center"/>
      </w:pPr>
      <w:r>
        <w:rPr>
          <w:b/>
          <w:bCs/>
        </w:rPr>
        <w:t>Source:</w:t>
      </w:r>
      <w:r>
        <w:t xml:space="preserve"> Author’s analysis using Stata 17, firm-level panel data (2015–2024).</w:t>
      </w:r>
    </w:p>
    <w:bookmarkEnd w:id="21"/>
    <w:p w14:paraId="3E61DA0A" w14:textId="3A00B009" w:rsidR="000A53A2" w:rsidRDefault="000A53A2" w:rsidP="000A53A2">
      <w:pPr>
        <w:spacing w:before="0" w:after="0" w:line="276" w:lineRule="auto"/>
      </w:pPr>
      <w:r>
        <w:t xml:space="preserve">Table 5 presents the outcomes of the dynamic fixed-effects panel regressions of the total leverage (TLR), short-term leverage (STLR) and long-term leverage (LTLR). In line with the Hausman test scores, all the models have been estimated using the fixed-effects estimator with </w:t>
      </w:r>
      <w:r>
        <w:lastRenderedPageBreak/>
        <w:t xml:space="preserve">robust standard error of the firm level. The total F-statistics is statistically significant at the level of 1 per cent in all the specifications, which suggests that the explanatory variables collectively explain the changes in leverage ratios of firms. In all three models, the coefficient on the lagged dependent variable is positive and statistically significant and it demonstrates the existence of persistence in the choice of capital structure. This observation implies that the leverage of Bangladeshi pharmaceutical and chemical companies does not change immediately after, but gradually in response to the argument in favour of the dynamic trade-off perspective of capital structure change (Myers, 1984; </w:t>
      </w:r>
      <w:proofErr w:type="spellStart"/>
      <w:r>
        <w:t>Baltagi</w:t>
      </w:r>
      <w:proofErr w:type="spellEnd"/>
      <w:r>
        <w:t xml:space="preserve">, 2021). The largest coefficient is the total leverage and long-term leverage, which means that the adjustment energy of overall and long-term debt structures is stronger. The positive and statistically significant effect of firm size on leverage in all specifications is observed. Greater use of short term and long-term debt is common in bigger firms, as they are more credit worthy, have a low perceived risk of bankruptcy and better relations with their lenders. This finding is in line with the findings in the emerging economies, where firm size has been a significant factor of leverage because access to external finance is uneven (Rajan </w:t>
      </w:r>
      <w:r w:rsidR="00322C12">
        <w:t>and</w:t>
      </w:r>
      <w:r>
        <w:t xml:space="preserve"> Zingales, 1995; Bhaduri, 2002).</w:t>
      </w:r>
    </w:p>
    <w:p w14:paraId="4AF67E95" w14:textId="67CFB4A2" w:rsidR="000A53A2" w:rsidRDefault="000A53A2" w:rsidP="000A53A2">
      <w:pPr>
        <w:spacing w:before="0" w:after="0" w:line="276" w:lineRule="auto"/>
      </w:pPr>
      <w:r>
        <w:t xml:space="preserve">Coefficient on profitability (ROA) is found to be negative in all models, but non-significant. It means that the more profitable companies are inclined to use less debt, which is consistent with the pecking order hypothesis, but the profitability does not have a significant impact on the leverage decisions in the Bangladeshi pharmaceutical and chemical market. This poor correlation can be a sign of conservative financing, where the priority is given to retained earnings, but the use of debt is limited by the institutional and market constraints (Afroze </w:t>
      </w:r>
      <w:r w:rsidR="00322C12">
        <w:t>and</w:t>
      </w:r>
      <w:r>
        <w:t xml:space="preserve"> Khan, 2022).</w:t>
      </w:r>
    </w:p>
    <w:p w14:paraId="6D6308DF" w14:textId="77777777" w:rsidR="000A53A2" w:rsidRDefault="000A53A2" w:rsidP="000A53A2">
      <w:pPr>
        <w:spacing w:before="0" w:after="0" w:line="276" w:lineRule="auto"/>
      </w:pPr>
      <w:r>
        <w:t xml:space="preserve">In all models, asset tangibility has a favourable relationship with leverage that is statistically insignificant. This indicates that the physical resources are not decisive in the process of making external borrowing in the industry. The one reason is that pharmaceutical companies use intangible resources to a large extent, including intellectual property, regulatory licences and brand value, that cannot easily be presented to the financial institutions as collateral, thus constraining the good use of physical assets to finance debts. On the other hand, </w:t>
      </w:r>
      <w:r w:rsidRPr="006E79C8">
        <w:t>liquidity has a negative relationship with leverage</w:t>
      </w:r>
      <w:r>
        <w:t xml:space="preserve">. The companies that have better liquidity levels will not heavily depend on external debt meaning that they will finance internally as long as enough liquid resources are at their disposal. This observation is in line with the agency cost arguments, which propose that the low incentives to access the external debt markets and the cost of monitoring apply to firms that possess sufficient internal cash flows (Jensen, 1986). The COVID-19 dummy variable has a negative coefficient in all the measures of leverage and is weakly significant in long-term and short-term leverage. This interprets that companies decreased their dependence on debt over the period of the pandemic, which shows an increase in uncertainty and precautionary financial behaviour. This pattern of falling leverage in the COVID-19 is in line with empirical literature </w:t>
      </w:r>
      <w:proofErr w:type="spellStart"/>
      <w:r w:rsidRPr="004F7856">
        <w:t>Demirgüç-Kunt</w:t>
      </w:r>
      <w:proofErr w:type="spellEnd"/>
      <w:r w:rsidRPr="004F7856">
        <w:t xml:space="preserve"> </w:t>
      </w:r>
      <w:r w:rsidRPr="00322C12">
        <w:rPr>
          <w:i/>
          <w:iCs/>
        </w:rPr>
        <w:t>et al.,</w:t>
      </w:r>
      <w:r w:rsidRPr="004F7856">
        <w:t xml:space="preserve"> </w:t>
      </w:r>
      <w:r>
        <w:t>(</w:t>
      </w:r>
      <w:r w:rsidRPr="004F7856">
        <w:t>2020)</w:t>
      </w:r>
      <w:r>
        <w:t xml:space="preserve"> on crises in the emerging economies, as companies are observed to pursue low capital structures to maintain financial flexibility and reduce the risk of bankruptcy in systemic shocks. The models have a modest but consistent explanatory power as indicated by the R-squared values of between 0.24-0.25 which is in line with firm-level panel studies in emerging markets. It implies that although firm-specific features are relevant in determining leverage decisions, other macroeconomic, </w:t>
      </w:r>
      <w:r>
        <w:lastRenderedPageBreak/>
        <w:t>regulatory and institutional variables could have an impact on capital structure decisions. The regression findings generally support the dynamicity of capital structure changes and indicate the strong contribution of the firm size, liquidity and external shocks in the leverage behaviour of Bangladeshi pharmaceutical and chemical companies.</w:t>
      </w:r>
      <w:bookmarkStart w:id="23" w:name="_fzeu9ml2fob" w:colFirst="0" w:colLast="0"/>
      <w:bookmarkEnd w:id="23"/>
    </w:p>
    <w:p w14:paraId="0B583EB0" w14:textId="77777777" w:rsidR="000A53A2" w:rsidRDefault="000A53A2" w:rsidP="000A53A2">
      <w:pPr>
        <w:spacing w:before="0" w:after="0" w:line="276" w:lineRule="auto"/>
        <w:rPr>
          <w:b/>
          <w:bCs/>
        </w:rPr>
      </w:pPr>
      <w:r w:rsidRPr="0040044A">
        <w:rPr>
          <w:b/>
          <w:bCs/>
        </w:rPr>
        <w:t>4.5. Comparative Analysis: Pre- and Post-COVID Periods</w:t>
      </w:r>
      <w:r>
        <w:rPr>
          <w:b/>
          <w:bCs/>
        </w:rPr>
        <w:t>:</w:t>
      </w:r>
    </w:p>
    <w:p w14:paraId="53699A29" w14:textId="77777777" w:rsidR="000A53A2" w:rsidRDefault="000A53A2" w:rsidP="000A53A2">
      <w:pPr>
        <w:spacing w:before="0" w:after="0" w:line="276" w:lineRule="auto"/>
        <w:jc w:val="center"/>
        <w:rPr>
          <w:b/>
          <w:bCs/>
        </w:rPr>
      </w:pPr>
      <w:bookmarkStart w:id="24" w:name="_Hlk217556472"/>
      <w:r>
        <w:rPr>
          <w:b/>
          <w:bCs/>
        </w:rPr>
        <w:t>Table 6 Comparative Summary of Pre- and Post-COVID-19 Regression Results</w:t>
      </w:r>
    </w:p>
    <w:tbl>
      <w:tblPr>
        <w:tblStyle w:val="GridTable5Dark-Accent1"/>
        <w:tblW w:w="951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255"/>
        <w:gridCol w:w="1145"/>
        <w:gridCol w:w="1375"/>
        <w:gridCol w:w="2255"/>
        <w:gridCol w:w="3480"/>
      </w:tblGrid>
      <w:tr w:rsidR="000A53A2" w14:paraId="18AABC26" w14:textId="77777777" w:rsidTr="004E18BA">
        <w:trPr>
          <w:trHeight w:val="548"/>
        </w:trPr>
        <w:tc>
          <w:tcPr>
            <w:tcW w:w="1255" w:type="dxa"/>
          </w:tcPr>
          <w:p w14:paraId="154C07E4" w14:textId="77777777" w:rsidR="000A53A2" w:rsidRDefault="000A53A2" w:rsidP="004E18BA">
            <w:pPr>
              <w:spacing w:before="0"/>
              <w:jc w:val="center"/>
              <w:rPr>
                <w:b/>
                <w:bCs/>
                <w:sz w:val="22"/>
                <w:szCs w:val="22"/>
              </w:rPr>
            </w:pPr>
            <w:r>
              <w:rPr>
                <w:b/>
                <w:bCs/>
                <w:sz w:val="22"/>
                <w:szCs w:val="22"/>
              </w:rPr>
              <w:t>Variable</w:t>
            </w:r>
          </w:p>
        </w:tc>
        <w:tc>
          <w:tcPr>
            <w:tcW w:w="1145" w:type="dxa"/>
          </w:tcPr>
          <w:p w14:paraId="20D76602" w14:textId="77777777" w:rsidR="000A53A2" w:rsidRDefault="000A53A2" w:rsidP="004E18BA">
            <w:pPr>
              <w:spacing w:before="0"/>
              <w:jc w:val="center"/>
              <w:rPr>
                <w:b/>
                <w:bCs/>
                <w:sz w:val="22"/>
                <w:szCs w:val="22"/>
              </w:rPr>
            </w:pPr>
            <w:r>
              <w:rPr>
                <w:b/>
                <w:bCs/>
                <w:sz w:val="22"/>
                <w:szCs w:val="22"/>
              </w:rPr>
              <w:t>Expected Sign</w:t>
            </w:r>
          </w:p>
        </w:tc>
        <w:tc>
          <w:tcPr>
            <w:tcW w:w="1375" w:type="dxa"/>
          </w:tcPr>
          <w:p w14:paraId="02712CB4" w14:textId="77777777" w:rsidR="000A53A2" w:rsidRDefault="000A53A2" w:rsidP="004E18BA">
            <w:pPr>
              <w:spacing w:before="0"/>
              <w:jc w:val="center"/>
              <w:rPr>
                <w:b/>
                <w:bCs/>
                <w:sz w:val="22"/>
                <w:szCs w:val="22"/>
              </w:rPr>
            </w:pPr>
            <w:r>
              <w:rPr>
                <w:b/>
                <w:bCs/>
                <w:sz w:val="22"/>
                <w:szCs w:val="22"/>
              </w:rPr>
              <w:t>Pre-COVID (2015–2019)</w:t>
            </w:r>
          </w:p>
        </w:tc>
        <w:tc>
          <w:tcPr>
            <w:tcW w:w="2255" w:type="dxa"/>
          </w:tcPr>
          <w:p w14:paraId="4ACC9DED" w14:textId="77777777" w:rsidR="000A53A2" w:rsidRDefault="000A53A2" w:rsidP="004E18BA">
            <w:pPr>
              <w:spacing w:before="0"/>
              <w:jc w:val="center"/>
              <w:rPr>
                <w:b/>
                <w:bCs/>
                <w:sz w:val="22"/>
                <w:szCs w:val="22"/>
              </w:rPr>
            </w:pPr>
            <w:r>
              <w:rPr>
                <w:b/>
                <w:bCs/>
                <w:sz w:val="22"/>
                <w:szCs w:val="22"/>
              </w:rPr>
              <w:t>Post-COVID (2020–2024)</w:t>
            </w:r>
          </w:p>
        </w:tc>
        <w:tc>
          <w:tcPr>
            <w:tcW w:w="3480" w:type="dxa"/>
          </w:tcPr>
          <w:p w14:paraId="26D37135" w14:textId="77777777" w:rsidR="000A53A2" w:rsidRDefault="000A53A2" w:rsidP="004E18BA">
            <w:pPr>
              <w:spacing w:before="0"/>
              <w:jc w:val="center"/>
              <w:rPr>
                <w:b/>
                <w:bCs/>
                <w:sz w:val="22"/>
                <w:szCs w:val="22"/>
              </w:rPr>
            </w:pPr>
            <w:r>
              <w:rPr>
                <w:b/>
                <w:bCs/>
                <w:sz w:val="22"/>
                <w:szCs w:val="22"/>
              </w:rPr>
              <w:t>Change / Interpretation</w:t>
            </w:r>
          </w:p>
        </w:tc>
      </w:tr>
      <w:tr w:rsidR="000A53A2" w14:paraId="7351A8F9" w14:textId="77777777" w:rsidTr="004E18BA">
        <w:trPr>
          <w:trHeight w:val="728"/>
        </w:trPr>
        <w:tc>
          <w:tcPr>
            <w:tcW w:w="1255" w:type="dxa"/>
          </w:tcPr>
          <w:p w14:paraId="6900B2A1" w14:textId="77777777" w:rsidR="000A53A2" w:rsidRDefault="000A53A2" w:rsidP="004E18BA">
            <w:pPr>
              <w:spacing w:before="0"/>
              <w:jc w:val="center"/>
              <w:rPr>
                <w:b/>
                <w:bCs/>
                <w:sz w:val="22"/>
                <w:szCs w:val="22"/>
              </w:rPr>
            </w:pPr>
            <w:r>
              <w:rPr>
                <w:b/>
                <w:bCs/>
                <w:sz w:val="22"/>
                <w:szCs w:val="22"/>
              </w:rPr>
              <w:t>Lag of Leverage</w:t>
            </w:r>
          </w:p>
        </w:tc>
        <w:tc>
          <w:tcPr>
            <w:tcW w:w="1145" w:type="dxa"/>
          </w:tcPr>
          <w:p w14:paraId="5AD1A680" w14:textId="77777777" w:rsidR="000A53A2" w:rsidRDefault="000A53A2" w:rsidP="004E18BA">
            <w:pPr>
              <w:spacing w:before="0"/>
              <w:jc w:val="center"/>
              <w:rPr>
                <w:sz w:val="22"/>
                <w:szCs w:val="22"/>
              </w:rPr>
            </w:pPr>
            <w:r>
              <w:rPr>
                <w:sz w:val="22"/>
                <w:szCs w:val="22"/>
              </w:rPr>
              <w:t>+</w:t>
            </w:r>
          </w:p>
        </w:tc>
        <w:tc>
          <w:tcPr>
            <w:tcW w:w="1375" w:type="dxa"/>
          </w:tcPr>
          <w:p w14:paraId="37ED5870" w14:textId="77777777" w:rsidR="000A53A2" w:rsidRDefault="000A53A2" w:rsidP="004E18BA">
            <w:pPr>
              <w:spacing w:before="0"/>
              <w:jc w:val="center"/>
              <w:rPr>
                <w:sz w:val="22"/>
                <w:szCs w:val="22"/>
              </w:rPr>
            </w:pPr>
            <w:r>
              <w:rPr>
                <w:sz w:val="22"/>
                <w:szCs w:val="22"/>
              </w:rPr>
              <w:t>0.2029 (</w:t>
            </w:r>
            <w:r>
              <w:rPr>
                <w:b/>
                <w:bCs/>
                <w:sz w:val="22"/>
                <w:szCs w:val="22"/>
              </w:rPr>
              <w:t>p</w:t>
            </w:r>
            <w:r>
              <w:rPr>
                <w:sz w:val="22"/>
                <w:szCs w:val="22"/>
              </w:rPr>
              <w:t xml:space="preserve"> &lt; 0.05)</w:t>
            </w:r>
          </w:p>
        </w:tc>
        <w:tc>
          <w:tcPr>
            <w:tcW w:w="2255" w:type="dxa"/>
          </w:tcPr>
          <w:p w14:paraId="276695A8" w14:textId="77777777" w:rsidR="000A53A2" w:rsidRDefault="000A53A2" w:rsidP="004E18BA">
            <w:pPr>
              <w:spacing w:before="0"/>
              <w:jc w:val="center"/>
              <w:rPr>
                <w:sz w:val="22"/>
                <w:szCs w:val="22"/>
              </w:rPr>
            </w:pPr>
            <w:r>
              <w:rPr>
                <w:sz w:val="22"/>
                <w:szCs w:val="22"/>
              </w:rPr>
              <w:t>0.8810 (</w:t>
            </w:r>
            <w:r>
              <w:rPr>
                <w:b/>
                <w:bCs/>
                <w:sz w:val="22"/>
                <w:szCs w:val="22"/>
              </w:rPr>
              <w:t>p</w:t>
            </w:r>
            <w:r>
              <w:rPr>
                <w:sz w:val="22"/>
                <w:szCs w:val="22"/>
              </w:rPr>
              <w:t xml:space="preserve"> &lt; 0.01)</w:t>
            </w:r>
          </w:p>
        </w:tc>
        <w:tc>
          <w:tcPr>
            <w:tcW w:w="3480" w:type="dxa"/>
          </w:tcPr>
          <w:p w14:paraId="2588271F" w14:textId="77777777" w:rsidR="000A53A2" w:rsidRDefault="000A53A2" w:rsidP="004E18BA">
            <w:pPr>
              <w:spacing w:before="0"/>
              <w:jc w:val="center"/>
              <w:rPr>
                <w:sz w:val="22"/>
                <w:szCs w:val="22"/>
              </w:rPr>
            </w:pPr>
            <w:r>
              <w:rPr>
                <w:sz w:val="22"/>
                <w:szCs w:val="22"/>
              </w:rPr>
              <w:t>Stronger persistence post-COVID; slower adjustment toward target leverage.</w:t>
            </w:r>
          </w:p>
        </w:tc>
      </w:tr>
      <w:tr w:rsidR="000A53A2" w14:paraId="30ED59D7" w14:textId="77777777" w:rsidTr="004E18BA">
        <w:trPr>
          <w:trHeight w:val="787"/>
        </w:trPr>
        <w:tc>
          <w:tcPr>
            <w:tcW w:w="1255" w:type="dxa"/>
          </w:tcPr>
          <w:p w14:paraId="1ECC5B0F" w14:textId="77777777" w:rsidR="000A53A2" w:rsidRDefault="000A53A2" w:rsidP="004E18BA">
            <w:pPr>
              <w:spacing w:before="0"/>
              <w:jc w:val="center"/>
              <w:rPr>
                <w:b/>
                <w:bCs/>
                <w:sz w:val="22"/>
                <w:szCs w:val="22"/>
              </w:rPr>
            </w:pPr>
            <w:r>
              <w:rPr>
                <w:b/>
                <w:bCs/>
                <w:sz w:val="22"/>
                <w:szCs w:val="22"/>
              </w:rPr>
              <w:t>Tobin’s Q</w:t>
            </w:r>
          </w:p>
        </w:tc>
        <w:tc>
          <w:tcPr>
            <w:tcW w:w="1145" w:type="dxa"/>
          </w:tcPr>
          <w:p w14:paraId="20CE1901" w14:textId="77777777" w:rsidR="000A53A2" w:rsidRDefault="000A53A2" w:rsidP="004E18BA">
            <w:pPr>
              <w:spacing w:before="0"/>
              <w:jc w:val="center"/>
              <w:rPr>
                <w:sz w:val="22"/>
                <w:szCs w:val="22"/>
              </w:rPr>
            </w:pPr>
            <w:r>
              <w:rPr>
                <w:sz w:val="22"/>
                <w:szCs w:val="22"/>
              </w:rPr>
              <w:t>±</w:t>
            </w:r>
          </w:p>
        </w:tc>
        <w:tc>
          <w:tcPr>
            <w:tcW w:w="1375" w:type="dxa"/>
          </w:tcPr>
          <w:p w14:paraId="1DA20AF1" w14:textId="77777777" w:rsidR="000A53A2" w:rsidRDefault="000A53A2" w:rsidP="004E18BA">
            <w:pPr>
              <w:spacing w:before="0"/>
              <w:jc w:val="center"/>
              <w:rPr>
                <w:sz w:val="22"/>
                <w:szCs w:val="22"/>
              </w:rPr>
            </w:pPr>
            <w:r>
              <w:rPr>
                <w:sz w:val="22"/>
                <w:szCs w:val="22"/>
              </w:rPr>
              <w:t>0.0126 (ns)</w:t>
            </w:r>
          </w:p>
        </w:tc>
        <w:tc>
          <w:tcPr>
            <w:tcW w:w="2255" w:type="dxa"/>
          </w:tcPr>
          <w:p w14:paraId="6C8A6F47" w14:textId="77777777" w:rsidR="000A53A2" w:rsidRDefault="000A53A2" w:rsidP="004E18BA">
            <w:pPr>
              <w:spacing w:before="0"/>
              <w:jc w:val="center"/>
              <w:rPr>
                <w:sz w:val="22"/>
                <w:szCs w:val="22"/>
              </w:rPr>
            </w:pPr>
            <w:r>
              <w:rPr>
                <w:sz w:val="22"/>
                <w:szCs w:val="22"/>
              </w:rPr>
              <w:t>0.0043 (ns)</w:t>
            </w:r>
          </w:p>
        </w:tc>
        <w:tc>
          <w:tcPr>
            <w:tcW w:w="3480" w:type="dxa"/>
          </w:tcPr>
          <w:p w14:paraId="15DBEBAF" w14:textId="77777777" w:rsidR="000A53A2" w:rsidRDefault="000A53A2" w:rsidP="004E18BA">
            <w:pPr>
              <w:spacing w:before="0"/>
              <w:jc w:val="center"/>
              <w:rPr>
                <w:sz w:val="22"/>
                <w:szCs w:val="22"/>
              </w:rPr>
            </w:pPr>
            <w:r>
              <w:rPr>
                <w:sz w:val="22"/>
                <w:szCs w:val="22"/>
              </w:rPr>
              <w:t>Insignificant in both; market valuation has limited influence due to weak market signals.</w:t>
            </w:r>
          </w:p>
        </w:tc>
      </w:tr>
      <w:tr w:rsidR="000A53A2" w14:paraId="167521F0" w14:textId="77777777" w:rsidTr="004E18BA">
        <w:trPr>
          <w:trHeight w:val="697"/>
        </w:trPr>
        <w:tc>
          <w:tcPr>
            <w:tcW w:w="1255" w:type="dxa"/>
          </w:tcPr>
          <w:p w14:paraId="1C9C489A" w14:textId="77777777" w:rsidR="000A53A2" w:rsidRDefault="000A53A2" w:rsidP="004E18BA">
            <w:pPr>
              <w:spacing w:before="0"/>
              <w:jc w:val="center"/>
              <w:rPr>
                <w:b/>
                <w:bCs/>
                <w:sz w:val="22"/>
                <w:szCs w:val="22"/>
              </w:rPr>
            </w:pPr>
            <w:r>
              <w:rPr>
                <w:b/>
                <w:bCs/>
                <w:sz w:val="22"/>
                <w:szCs w:val="22"/>
              </w:rPr>
              <w:t>Tangibility</w:t>
            </w:r>
          </w:p>
        </w:tc>
        <w:tc>
          <w:tcPr>
            <w:tcW w:w="1145" w:type="dxa"/>
          </w:tcPr>
          <w:p w14:paraId="3299F7F7" w14:textId="77777777" w:rsidR="000A53A2" w:rsidRDefault="000A53A2" w:rsidP="004E18BA">
            <w:pPr>
              <w:spacing w:before="0"/>
              <w:jc w:val="center"/>
              <w:rPr>
                <w:sz w:val="22"/>
                <w:szCs w:val="22"/>
              </w:rPr>
            </w:pPr>
            <w:r>
              <w:rPr>
                <w:sz w:val="22"/>
                <w:szCs w:val="22"/>
              </w:rPr>
              <w:t>+</w:t>
            </w:r>
          </w:p>
        </w:tc>
        <w:tc>
          <w:tcPr>
            <w:tcW w:w="1375" w:type="dxa"/>
          </w:tcPr>
          <w:p w14:paraId="57CA8529" w14:textId="77777777" w:rsidR="000A53A2" w:rsidRDefault="000A53A2" w:rsidP="004E18BA">
            <w:pPr>
              <w:spacing w:before="0"/>
              <w:jc w:val="center"/>
              <w:rPr>
                <w:sz w:val="22"/>
                <w:szCs w:val="22"/>
              </w:rPr>
            </w:pPr>
            <w:r>
              <w:rPr>
                <w:sz w:val="22"/>
                <w:szCs w:val="22"/>
              </w:rPr>
              <w:t>-0.1496 (ns)</w:t>
            </w:r>
          </w:p>
        </w:tc>
        <w:tc>
          <w:tcPr>
            <w:tcW w:w="2255" w:type="dxa"/>
          </w:tcPr>
          <w:p w14:paraId="0F636C36" w14:textId="77777777" w:rsidR="000A53A2" w:rsidRDefault="000A53A2" w:rsidP="004E18BA">
            <w:pPr>
              <w:spacing w:before="0"/>
              <w:jc w:val="center"/>
              <w:rPr>
                <w:sz w:val="22"/>
                <w:szCs w:val="22"/>
              </w:rPr>
            </w:pPr>
            <w:r>
              <w:rPr>
                <w:sz w:val="22"/>
                <w:szCs w:val="22"/>
              </w:rPr>
              <w:t>0.0145 (ns)</w:t>
            </w:r>
          </w:p>
        </w:tc>
        <w:tc>
          <w:tcPr>
            <w:tcW w:w="3480" w:type="dxa"/>
          </w:tcPr>
          <w:p w14:paraId="743AFFD2" w14:textId="77777777" w:rsidR="000A53A2" w:rsidRDefault="000A53A2" w:rsidP="004E18BA">
            <w:pPr>
              <w:spacing w:before="0"/>
              <w:jc w:val="center"/>
              <w:rPr>
                <w:sz w:val="22"/>
                <w:szCs w:val="22"/>
              </w:rPr>
            </w:pPr>
            <w:r>
              <w:rPr>
                <w:sz w:val="22"/>
                <w:szCs w:val="22"/>
              </w:rPr>
              <w:t>No significant effect; reliance on intangible assets limits collateral-based borrowing.</w:t>
            </w:r>
          </w:p>
        </w:tc>
      </w:tr>
      <w:tr w:rsidR="000A53A2" w14:paraId="43B451A1" w14:textId="77777777" w:rsidTr="004E18BA">
        <w:trPr>
          <w:trHeight w:val="787"/>
        </w:trPr>
        <w:tc>
          <w:tcPr>
            <w:tcW w:w="1255" w:type="dxa"/>
          </w:tcPr>
          <w:p w14:paraId="26A3B766" w14:textId="77777777" w:rsidR="000A53A2" w:rsidRDefault="000A53A2" w:rsidP="004E18BA">
            <w:pPr>
              <w:spacing w:before="0"/>
              <w:jc w:val="center"/>
              <w:rPr>
                <w:b/>
                <w:bCs/>
                <w:sz w:val="22"/>
                <w:szCs w:val="22"/>
              </w:rPr>
            </w:pPr>
            <w:r>
              <w:rPr>
                <w:b/>
                <w:bCs/>
                <w:sz w:val="22"/>
                <w:szCs w:val="22"/>
              </w:rPr>
              <w:t>Size (ln Assets)</w:t>
            </w:r>
          </w:p>
        </w:tc>
        <w:tc>
          <w:tcPr>
            <w:tcW w:w="1145" w:type="dxa"/>
          </w:tcPr>
          <w:p w14:paraId="71BF9B45" w14:textId="77777777" w:rsidR="000A53A2" w:rsidRDefault="000A53A2" w:rsidP="004E18BA">
            <w:pPr>
              <w:spacing w:before="0"/>
              <w:jc w:val="center"/>
              <w:rPr>
                <w:sz w:val="22"/>
                <w:szCs w:val="22"/>
              </w:rPr>
            </w:pPr>
            <w:r>
              <w:rPr>
                <w:sz w:val="22"/>
                <w:szCs w:val="22"/>
              </w:rPr>
              <w:t>+</w:t>
            </w:r>
          </w:p>
        </w:tc>
        <w:tc>
          <w:tcPr>
            <w:tcW w:w="1375" w:type="dxa"/>
          </w:tcPr>
          <w:p w14:paraId="5EB49063" w14:textId="77777777" w:rsidR="000A53A2" w:rsidRDefault="000A53A2" w:rsidP="004E18BA">
            <w:pPr>
              <w:spacing w:before="0"/>
              <w:jc w:val="center"/>
              <w:rPr>
                <w:sz w:val="22"/>
                <w:szCs w:val="22"/>
              </w:rPr>
            </w:pPr>
            <w:r>
              <w:rPr>
                <w:sz w:val="22"/>
                <w:szCs w:val="22"/>
              </w:rPr>
              <w:t>0.0084 (ns)</w:t>
            </w:r>
          </w:p>
        </w:tc>
        <w:tc>
          <w:tcPr>
            <w:tcW w:w="2255" w:type="dxa"/>
          </w:tcPr>
          <w:p w14:paraId="50141C93" w14:textId="77777777" w:rsidR="000A53A2" w:rsidRDefault="000A53A2" w:rsidP="004E18BA">
            <w:pPr>
              <w:spacing w:before="0"/>
              <w:jc w:val="center"/>
              <w:rPr>
                <w:sz w:val="22"/>
                <w:szCs w:val="22"/>
              </w:rPr>
            </w:pPr>
            <w:r>
              <w:rPr>
                <w:sz w:val="22"/>
                <w:szCs w:val="22"/>
              </w:rPr>
              <w:t>0.0137 (</w:t>
            </w:r>
            <w:r>
              <w:rPr>
                <w:b/>
                <w:bCs/>
                <w:sz w:val="22"/>
                <w:szCs w:val="22"/>
              </w:rPr>
              <w:t>p</w:t>
            </w:r>
            <w:r>
              <w:rPr>
                <w:sz w:val="22"/>
                <w:szCs w:val="22"/>
              </w:rPr>
              <w:t xml:space="preserve"> &lt; 0.01)</w:t>
            </w:r>
          </w:p>
        </w:tc>
        <w:tc>
          <w:tcPr>
            <w:tcW w:w="3480" w:type="dxa"/>
          </w:tcPr>
          <w:p w14:paraId="2E9921D9" w14:textId="77777777" w:rsidR="000A53A2" w:rsidRDefault="000A53A2" w:rsidP="004E18BA">
            <w:pPr>
              <w:spacing w:before="0"/>
              <w:jc w:val="center"/>
              <w:rPr>
                <w:sz w:val="22"/>
                <w:szCs w:val="22"/>
              </w:rPr>
            </w:pPr>
            <w:r>
              <w:rPr>
                <w:sz w:val="22"/>
                <w:szCs w:val="22"/>
              </w:rPr>
              <w:t>Size becomes more influential post-COVID; large firms enjoy better credit access.</w:t>
            </w:r>
          </w:p>
        </w:tc>
      </w:tr>
      <w:tr w:rsidR="000A53A2" w14:paraId="19BD375E" w14:textId="77777777" w:rsidTr="004E18BA">
        <w:trPr>
          <w:trHeight w:val="760"/>
        </w:trPr>
        <w:tc>
          <w:tcPr>
            <w:tcW w:w="1255" w:type="dxa"/>
          </w:tcPr>
          <w:p w14:paraId="77AC787C" w14:textId="77777777" w:rsidR="000A53A2" w:rsidRDefault="000A53A2" w:rsidP="004E18BA">
            <w:pPr>
              <w:spacing w:before="0"/>
              <w:jc w:val="center"/>
              <w:rPr>
                <w:b/>
                <w:bCs/>
                <w:sz w:val="22"/>
                <w:szCs w:val="22"/>
              </w:rPr>
            </w:pPr>
            <w:r>
              <w:rPr>
                <w:b/>
                <w:bCs/>
                <w:sz w:val="22"/>
                <w:szCs w:val="22"/>
              </w:rPr>
              <w:t>Profitability (ROA)</w:t>
            </w:r>
          </w:p>
        </w:tc>
        <w:tc>
          <w:tcPr>
            <w:tcW w:w="1145" w:type="dxa"/>
          </w:tcPr>
          <w:p w14:paraId="2E971593" w14:textId="77777777" w:rsidR="000A53A2" w:rsidRDefault="000A53A2" w:rsidP="004E18BA">
            <w:pPr>
              <w:spacing w:before="0"/>
              <w:jc w:val="center"/>
              <w:rPr>
                <w:sz w:val="22"/>
                <w:szCs w:val="22"/>
              </w:rPr>
            </w:pPr>
            <w:r>
              <w:rPr>
                <w:sz w:val="22"/>
                <w:szCs w:val="22"/>
              </w:rPr>
              <w:t>-</w:t>
            </w:r>
          </w:p>
        </w:tc>
        <w:tc>
          <w:tcPr>
            <w:tcW w:w="1375" w:type="dxa"/>
          </w:tcPr>
          <w:p w14:paraId="75236ADC" w14:textId="77777777" w:rsidR="000A53A2" w:rsidRDefault="000A53A2" w:rsidP="004E18BA">
            <w:pPr>
              <w:spacing w:before="0"/>
              <w:jc w:val="center"/>
              <w:rPr>
                <w:sz w:val="22"/>
                <w:szCs w:val="22"/>
              </w:rPr>
            </w:pPr>
            <w:r>
              <w:rPr>
                <w:sz w:val="22"/>
                <w:szCs w:val="22"/>
              </w:rPr>
              <w:t>-0.9466 (</w:t>
            </w:r>
            <w:r>
              <w:rPr>
                <w:b/>
                <w:bCs/>
                <w:sz w:val="22"/>
                <w:szCs w:val="22"/>
              </w:rPr>
              <w:t>p</w:t>
            </w:r>
            <w:r>
              <w:rPr>
                <w:sz w:val="22"/>
                <w:szCs w:val="22"/>
              </w:rPr>
              <w:t xml:space="preserve"> &lt; 0.05)</w:t>
            </w:r>
          </w:p>
        </w:tc>
        <w:tc>
          <w:tcPr>
            <w:tcW w:w="2255" w:type="dxa"/>
          </w:tcPr>
          <w:p w14:paraId="6AC77E8B" w14:textId="77777777" w:rsidR="000A53A2" w:rsidRDefault="000A53A2" w:rsidP="004E18BA">
            <w:pPr>
              <w:spacing w:before="0"/>
              <w:jc w:val="center"/>
              <w:rPr>
                <w:sz w:val="22"/>
                <w:szCs w:val="22"/>
              </w:rPr>
            </w:pPr>
            <w:r>
              <w:rPr>
                <w:sz w:val="22"/>
                <w:szCs w:val="22"/>
              </w:rPr>
              <w:t>-0.1519 (</w:t>
            </w:r>
            <w:r>
              <w:rPr>
                <w:b/>
                <w:bCs/>
                <w:sz w:val="22"/>
                <w:szCs w:val="22"/>
              </w:rPr>
              <w:t>p</w:t>
            </w:r>
            <w:r>
              <w:rPr>
                <w:sz w:val="22"/>
                <w:szCs w:val="22"/>
              </w:rPr>
              <w:t xml:space="preserve"> &lt; 0.05)</w:t>
            </w:r>
          </w:p>
        </w:tc>
        <w:tc>
          <w:tcPr>
            <w:tcW w:w="3480" w:type="dxa"/>
          </w:tcPr>
          <w:p w14:paraId="024E87D2" w14:textId="77777777" w:rsidR="000A53A2" w:rsidRDefault="000A53A2" w:rsidP="004E18BA">
            <w:pPr>
              <w:spacing w:before="0"/>
              <w:jc w:val="center"/>
              <w:rPr>
                <w:sz w:val="22"/>
                <w:szCs w:val="22"/>
              </w:rPr>
            </w:pPr>
            <w:r>
              <w:rPr>
                <w:sz w:val="22"/>
                <w:szCs w:val="22"/>
              </w:rPr>
              <w:t>Both negative; profitable firms prefer internal financing (supports pecking order theory).</w:t>
            </w:r>
          </w:p>
        </w:tc>
      </w:tr>
      <w:tr w:rsidR="000A53A2" w14:paraId="5B28E8E7" w14:textId="77777777" w:rsidTr="004E18BA">
        <w:trPr>
          <w:trHeight w:val="760"/>
        </w:trPr>
        <w:tc>
          <w:tcPr>
            <w:tcW w:w="1255" w:type="dxa"/>
          </w:tcPr>
          <w:p w14:paraId="0B01CDD9" w14:textId="77777777" w:rsidR="000A53A2" w:rsidRDefault="000A53A2" w:rsidP="004E18BA">
            <w:pPr>
              <w:spacing w:before="0"/>
              <w:jc w:val="center"/>
              <w:rPr>
                <w:b/>
                <w:bCs/>
                <w:sz w:val="22"/>
                <w:szCs w:val="22"/>
              </w:rPr>
            </w:pPr>
            <w:r>
              <w:rPr>
                <w:b/>
                <w:bCs/>
                <w:sz w:val="22"/>
                <w:szCs w:val="22"/>
              </w:rPr>
              <w:t>Liquidity</w:t>
            </w:r>
          </w:p>
        </w:tc>
        <w:tc>
          <w:tcPr>
            <w:tcW w:w="1145" w:type="dxa"/>
          </w:tcPr>
          <w:p w14:paraId="5F42A6E4" w14:textId="77777777" w:rsidR="000A53A2" w:rsidRDefault="000A53A2" w:rsidP="004E18BA">
            <w:pPr>
              <w:spacing w:before="0"/>
              <w:jc w:val="center"/>
              <w:rPr>
                <w:sz w:val="22"/>
                <w:szCs w:val="22"/>
              </w:rPr>
            </w:pPr>
            <w:r>
              <w:rPr>
                <w:sz w:val="22"/>
                <w:szCs w:val="22"/>
              </w:rPr>
              <w:t>-</w:t>
            </w:r>
          </w:p>
        </w:tc>
        <w:tc>
          <w:tcPr>
            <w:tcW w:w="1375" w:type="dxa"/>
          </w:tcPr>
          <w:p w14:paraId="1B09675A" w14:textId="77777777" w:rsidR="000A53A2" w:rsidRDefault="000A53A2" w:rsidP="004E18BA">
            <w:pPr>
              <w:spacing w:before="0"/>
              <w:jc w:val="center"/>
              <w:rPr>
                <w:sz w:val="22"/>
                <w:szCs w:val="22"/>
              </w:rPr>
            </w:pPr>
            <w:r>
              <w:rPr>
                <w:sz w:val="22"/>
                <w:szCs w:val="22"/>
              </w:rPr>
              <w:t>-0.0083 (</w:t>
            </w:r>
            <w:r>
              <w:rPr>
                <w:b/>
                <w:bCs/>
                <w:sz w:val="22"/>
                <w:szCs w:val="22"/>
              </w:rPr>
              <w:t>p</w:t>
            </w:r>
            <w:r>
              <w:rPr>
                <w:sz w:val="22"/>
                <w:szCs w:val="22"/>
              </w:rPr>
              <w:t xml:space="preserve"> &lt; 0.05)</w:t>
            </w:r>
          </w:p>
        </w:tc>
        <w:tc>
          <w:tcPr>
            <w:tcW w:w="2255" w:type="dxa"/>
          </w:tcPr>
          <w:p w14:paraId="52CE9819" w14:textId="77777777" w:rsidR="000A53A2" w:rsidRDefault="000A53A2" w:rsidP="004E18BA">
            <w:pPr>
              <w:spacing w:before="0"/>
              <w:jc w:val="center"/>
              <w:rPr>
                <w:sz w:val="22"/>
                <w:szCs w:val="22"/>
              </w:rPr>
            </w:pPr>
            <w:r>
              <w:rPr>
                <w:sz w:val="22"/>
                <w:szCs w:val="22"/>
              </w:rPr>
              <w:t>-0.0019 (ns)</w:t>
            </w:r>
          </w:p>
        </w:tc>
        <w:tc>
          <w:tcPr>
            <w:tcW w:w="3480" w:type="dxa"/>
          </w:tcPr>
          <w:p w14:paraId="5AADDDF5" w14:textId="77777777" w:rsidR="000A53A2" w:rsidRDefault="000A53A2" w:rsidP="004E18BA">
            <w:pPr>
              <w:spacing w:before="0"/>
              <w:jc w:val="center"/>
              <w:rPr>
                <w:sz w:val="22"/>
                <w:szCs w:val="22"/>
              </w:rPr>
            </w:pPr>
            <w:r>
              <w:rPr>
                <w:sz w:val="22"/>
                <w:szCs w:val="22"/>
              </w:rPr>
              <w:t>Pre-COVID significant but not post-COVID; firms retained liquidity buffers instead of reducing debt.</w:t>
            </w:r>
          </w:p>
        </w:tc>
      </w:tr>
      <w:tr w:rsidR="000A53A2" w14:paraId="3452AD63" w14:textId="77777777" w:rsidTr="004E18BA">
        <w:trPr>
          <w:trHeight w:val="580"/>
        </w:trPr>
        <w:tc>
          <w:tcPr>
            <w:tcW w:w="1255" w:type="dxa"/>
          </w:tcPr>
          <w:p w14:paraId="4B7BCB25" w14:textId="77777777" w:rsidR="000A53A2" w:rsidRDefault="000A53A2" w:rsidP="004E18BA">
            <w:pPr>
              <w:spacing w:before="0"/>
              <w:jc w:val="center"/>
              <w:rPr>
                <w:b/>
                <w:bCs/>
                <w:sz w:val="22"/>
                <w:szCs w:val="22"/>
              </w:rPr>
            </w:pPr>
            <w:r>
              <w:rPr>
                <w:b/>
                <w:bCs/>
                <w:sz w:val="22"/>
                <w:szCs w:val="22"/>
              </w:rPr>
              <w:t>R-squared (Overall)</w:t>
            </w:r>
          </w:p>
        </w:tc>
        <w:tc>
          <w:tcPr>
            <w:tcW w:w="1145" w:type="dxa"/>
          </w:tcPr>
          <w:p w14:paraId="672D337D" w14:textId="77777777" w:rsidR="000A53A2" w:rsidRDefault="000A53A2" w:rsidP="004E18BA">
            <w:pPr>
              <w:spacing w:before="0"/>
              <w:jc w:val="center"/>
              <w:rPr>
                <w:sz w:val="22"/>
                <w:szCs w:val="22"/>
              </w:rPr>
            </w:pPr>
            <w:r>
              <w:rPr>
                <w:sz w:val="22"/>
                <w:szCs w:val="22"/>
              </w:rPr>
              <w:t>—</w:t>
            </w:r>
          </w:p>
        </w:tc>
        <w:tc>
          <w:tcPr>
            <w:tcW w:w="1375" w:type="dxa"/>
          </w:tcPr>
          <w:p w14:paraId="4C1D3593" w14:textId="77777777" w:rsidR="000A53A2" w:rsidRDefault="000A53A2" w:rsidP="004E18BA">
            <w:pPr>
              <w:spacing w:before="0"/>
              <w:jc w:val="center"/>
              <w:rPr>
                <w:sz w:val="22"/>
                <w:szCs w:val="22"/>
              </w:rPr>
            </w:pPr>
            <w:r>
              <w:rPr>
                <w:sz w:val="22"/>
                <w:szCs w:val="22"/>
              </w:rPr>
              <w:t>0.4632</w:t>
            </w:r>
          </w:p>
        </w:tc>
        <w:tc>
          <w:tcPr>
            <w:tcW w:w="2255" w:type="dxa"/>
          </w:tcPr>
          <w:p w14:paraId="179D2936" w14:textId="77777777" w:rsidR="000A53A2" w:rsidRDefault="000A53A2" w:rsidP="004E18BA">
            <w:pPr>
              <w:spacing w:before="0"/>
              <w:jc w:val="center"/>
              <w:rPr>
                <w:sz w:val="22"/>
                <w:szCs w:val="22"/>
              </w:rPr>
            </w:pPr>
            <w:r>
              <w:rPr>
                <w:sz w:val="22"/>
                <w:szCs w:val="22"/>
              </w:rPr>
              <w:t>0.8392</w:t>
            </w:r>
          </w:p>
        </w:tc>
        <w:tc>
          <w:tcPr>
            <w:tcW w:w="3480" w:type="dxa"/>
          </w:tcPr>
          <w:p w14:paraId="0342CA2C" w14:textId="77777777" w:rsidR="000A53A2" w:rsidRDefault="000A53A2" w:rsidP="004E18BA">
            <w:pPr>
              <w:spacing w:before="0"/>
              <w:jc w:val="center"/>
              <w:rPr>
                <w:sz w:val="22"/>
                <w:szCs w:val="22"/>
              </w:rPr>
            </w:pPr>
            <w:r>
              <w:rPr>
                <w:sz w:val="22"/>
                <w:szCs w:val="22"/>
              </w:rPr>
              <w:t>Model explanatory power improved significantly post-COVID.</w:t>
            </w:r>
          </w:p>
        </w:tc>
      </w:tr>
    </w:tbl>
    <w:p w14:paraId="62D279AB" w14:textId="77777777" w:rsidR="000A53A2" w:rsidRDefault="000A53A2" w:rsidP="000A53A2">
      <w:pPr>
        <w:spacing w:before="0" w:after="0" w:line="240" w:lineRule="auto"/>
        <w:jc w:val="left"/>
      </w:pPr>
      <w:r>
        <w:rPr>
          <w:b/>
          <w:bCs/>
        </w:rPr>
        <w:t>Source:</w:t>
      </w:r>
      <w:r>
        <w:t xml:space="preserve"> Author’s computation using Stata 17</w:t>
      </w:r>
      <w:bookmarkEnd w:id="24"/>
      <w:r>
        <w:t xml:space="preserve">. </w:t>
      </w:r>
      <w:r>
        <w:rPr>
          <w:b/>
          <w:bCs/>
        </w:rPr>
        <w:t>Notes:</w:t>
      </w:r>
      <w:r>
        <w:t>(ns) indicates statistically insignificant coefficients (</w:t>
      </w:r>
      <w:r>
        <w:rPr>
          <w:i/>
          <w:iCs/>
        </w:rPr>
        <w:t>p</w:t>
      </w:r>
      <w:r>
        <w:t xml:space="preserve"> &gt; 0.10). </w:t>
      </w:r>
      <w:r w:rsidRPr="0040044A">
        <w:t>Pre-COVID:</w:t>
      </w:r>
      <w:r>
        <w:t xml:space="preserve"> 2015–2019, Post-COVID: 2020–2024.</w:t>
      </w:r>
      <w:bookmarkStart w:id="25" w:name="_st41uz1hpxsv" w:colFirst="0" w:colLast="0"/>
      <w:bookmarkEnd w:id="25"/>
    </w:p>
    <w:p w14:paraId="1D3D36B4" w14:textId="77777777" w:rsidR="008B4B73" w:rsidRDefault="008B4B73" w:rsidP="000A53A2">
      <w:pPr>
        <w:spacing w:before="0" w:after="0" w:line="240" w:lineRule="auto"/>
        <w:jc w:val="left"/>
      </w:pPr>
    </w:p>
    <w:p w14:paraId="4B85DE66" w14:textId="77777777" w:rsidR="008B4B73" w:rsidRDefault="008B4B73" w:rsidP="000A53A2">
      <w:pPr>
        <w:spacing w:before="0" w:after="0" w:line="240" w:lineRule="auto"/>
        <w:jc w:val="left"/>
      </w:pPr>
    </w:p>
    <w:p w14:paraId="3F9289A3" w14:textId="77777777" w:rsidR="000A53A2" w:rsidRPr="0040044A" w:rsidRDefault="000A53A2" w:rsidP="000A53A2">
      <w:pPr>
        <w:spacing w:before="0" w:after="0" w:line="240" w:lineRule="auto"/>
        <w:jc w:val="left"/>
      </w:pPr>
      <w:r w:rsidRPr="0040044A">
        <w:rPr>
          <w:b/>
          <w:bCs/>
          <w:sz w:val="26"/>
          <w:szCs w:val="26"/>
        </w:rPr>
        <w:lastRenderedPageBreak/>
        <w:t>5. Discussion</w:t>
      </w:r>
    </w:p>
    <w:p w14:paraId="73B6F6FF" w14:textId="2E6EDA0F" w:rsidR="000A53A2" w:rsidRPr="0040044A" w:rsidRDefault="000A53A2" w:rsidP="000A53A2">
      <w:pPr>
        <w:spacing w:before="0" w:after="0" w:line="276" w:lineRule="auto"/>
        <w:rPr>
          <w:b/>
          <w:bCs/>
          <w:sz w:val="26"/>
          <w:szCs w:val="26"/>
        </w:rPr>
      </w:pPr>
      <w:r>
        <w:t xml:space="preserve">The findings suggest that the decision of capital structure in Bangladeshi pharmaceutical and chemical sector is majorly guided by the firm size, liquidity, and leverage persistence, with minimum contribution of asset tangibility, profitability, and growth opportunities. The positive and significant coefficient of lagged leverage in all the models proves the strong persistence of capital structure and in support of the dynamic trade-off theory, it indicates a slow change in the capital structure to the target one through the presence of adjustment costs and financial factors (Myers, 1984; </w:t>
      </w:r>
      <w:proofErr w:type="spellStart"/>
      <w:r>
        <w:t>Baltagi</w:t>
      </w:r>
      <w:proofErr w:type="spellEnd"/>
      <w:r>
        <w:t>, 2021).</w:t>
      </w:r>
      <w:r>
        <w:rPr>
          <w:b/>
          <w:bCs/>
          <w:sz w:val="26"/>
          <w:szCs w:val="26"/>
        </w:rPr>
        <w:t xml:space="preserve"> </w:t>
      </w:r>
      <w:r>
        <w:t xml:space="preserve">The size of the firm has a constantly positive and significant effect on leverage, and this means that large firms will have better access to credit and reduced perceived risk of bankruptcy. This outcome intensifies in the aftermath of Covid, which signifies that uncertainty of the economy had an unfavourable impact on the ability of smaller businesses to access debt finance (Rajan </w:t>
      </w:r>
      <w:r w:rsidR="00322C12">
        <w:t>and</w:t>
      </w:r>
      <w:r>
        <w:t xml:space="preserve"> Zingales, 1995; Dawar, 2014). Conversely, asset tangibility is not important enough, which is attributed to the small portion of firm value is comprised of non-physical property like regulatory licence and intellectual property in an industry (Titman </w:t>
      </w:r>
      <w:r w:rsidR="00322C12">
        <w:t>and</w:t>
      </w:r>
      <w:r>
        <w:t xml:space="preserve"> Wessels, 1988).</w:t>
      </w:r>
      <w:r>
        <w:rPr>
          <w:b/>
          <w:bCs/>
          <w:sz w:val="26"/>
          <w:szCs w:val="26"/>
        </w:rPr>
        <w:t xml:space="preserve"> </w:t>
      </w:r>
      <w:r>
        <w:t xml:space="preserve">The leverage has a negative non-significant relationship with profitability which partially supports the hypothesis of pecking order that profitable companies use internal sources of funds (Myers </w:t>
      </w:r>
      <w:r w:rsidR="00322C12">
        <w:t>and</w:t>
      </w:r>
      <w:r>
        <w:t xml:space="preserve"> Majluf, 1984; Frank </w:t>
      </w:r>
      <w:r w:rsidR="00322C12">
        <w:t>and</w:t>
      </w:r>
      <w:r>
        <w:t xml:space="preserve"> Goyal, 2009). The implication of liquidity however has a large negative impact on leverage and in particular short-term debt, thus indicating that those companies that have higher internal liquidity do not need to borrow externally to ensure financial flexibility (Jensen, 1986; Opler </w:t>
      </w:r>
      <w:r w:rsidRPr="00322C12">
        <w:rPr>
          <w:i/>
          <w:iCs/>
        </w:rPr>
        <w:t>et al.,</w:t>
      </w:r>
      <w:r>
        <w:t xml:space="preserve"> 1999).</w:t>
      </w:r>
    </w:p>
    <w:p w14:paraId="4D2E8B19" w14:textId="4DFDB530" w:rsidR="000A53A2" w:rsidRDefault="000A53A2" w:rsidP="000A53A2">
      <w:pPr>
        <w:spacing w:before="0" w:after="0" w:line="276" w:lineRule="auto"/>
      </w:pPr>
      <w:r>
        <w:t xml:space="preserve">The COVID-19 dummy is negative and not very significant to both short- and long-term leverage, and it shows that the pandemic was financed cautiously. This result can be compared to the evidence regarding crisis-related effects, which indicates that in the case of increased uncertainty, firms in the emerging markets embrace conservative capital structures (Proença </w:t>
      </w:r>
      <w:r w:rsidRPr="00322C12">
        <w:rPr>
          <w:i/>
          <w:iCs/>
        </w:rPr>
        <w:t>et al.,</w:t>
      </w:r>
      <w:r>
        <w:t xml:space="preserve"> 2014; Shen </w:t>
      </w:r>
      <w:r w:rsidRPr="00322C12">
        <w:rPr>
          <w:i/>
          <w:iCs/>
        </w:rPr>
        <w:t>et al.,</w:t>
      </w:r>
      <w:r>
        <w:t xml:space="preserve"> 2020; Prakash </w:t>
      </w:r>
      <w:r w:rsidRPr="00322C12">
        <w:rPr>
          <w:i/>
          <w:iCs/>
        </w:rPr>
        <w:t>et al.,</w:t>
      </w:r>
      <w:r>
        <w:t xml:space="preserve"> 2023). In general, the findings underscore the prevalence of institutional restrictions and risk-aversion as compared to traditional firm-level factors in the economic stresses.</w:t>
      </w:r>
      <w:bookmarkStart w:id="26" w:name="_mqth5ihpi6mc" w:colFirst="0" w:colLast="0"/>
      <w:bookmarkEnd w:id="26"/>
      <w:r>
        <w:t xml:space="preserve"> The results have some policy implications on the emerging economies like Bangladesh. To begin with, high reliance on leverage by firm size underscores the incessant financing limitations experienced by small firms especially in the time of crisis. Credit disparities in terms of size could be decreased by strengthening credit guarantee schemes and enhancing access of SME to long-term finance (Bhaduri, 2002; </w:t>
      </w:r>
      <w:r w:rsidRPr="009F1A6B">
        <w:t xml:space="preserve">Shahzad </w:t>
      </w:r>
      <w:r w:rsidR="00322C12">
        <w:t>and</w:t>
      </w:r>
      <w:r w:rsidRPr="009F1A6B">
        <w:t xml:space="preserve"> Azeem, 2020</w:t>
      </w:r>
      <w:r>
        <w:t xml:space="preserve">). Second, the low importance of the tangibility of assets highlights the necessity to modernise the lending processes through the increased consideration of intangible assets and reputation of firms during the credit evaluation (Rajan </w:t>
      </w:r>
      <w:r w:rsidR="00322C12">
        <w:t>and</w:t>
      </w:r>
      <w:r>
        <w:t xml:space="preserve"> Zingales, 1995). Lastly, the leverage decreases that were observed during the COVID-19 indicate a risk aversion to corporate risk that might hinder investment. The recovery can be facilitated with the help of counter-cyclical credit support and more active corporate bond markets, which will help to be more resilient to future shocks (Proença </w:t>
      </w:r>
      <w:r w:rsidRPr="00322C12">
        <w:rPr>
          <w:i/>
          <w:iCs/>
        </w:rPr>
        <w:t>et al.,</w:t>
      </w:r>
      <w:r>
        <w:t xml:space="preserve"> 2014; Prakash </w:t>
      </w:r>
      <w:r w:rsidRPr="00322C12">
        <w:rPr>
          <w:i/>
          <w:iCs/>
        </w:rPr>
        <w:t>et al.,</w:t>
      </w:r>
      <w:r>
        <w:t xml:space="preserve"> 2023).</w:t>
      </w:r>
      <w:bookmarkStart w:id="27" w:name="_7bhk555oso39" w:colFirst="0" w:colLast="0"/>
      <w:bookmarkEnd w:id="27"/>
    </w:p>
    <w:p w14:paraId="0D9B1EAB" w14:textId="77777777" w:rsidR="000A53A2" w:rsidRPr="0040044A" w:rsidRDefault="000A53A2" w:rsidP="000A53A2">
      <w:pPr>
        <w:spacing w:before="0" w:after="0" w:line="276" w:lineRule="auto"/>
        <w:rPr>
          <w:b/>
          <w:bCs/>
        </w:rPr>
      </w:pPr>
      <w:r w:rsidRPr="0040044A">
        <w:rPr>
          <w:b/>
          <w:bCs/>
        </w:rPr>
        <w:t>6. Conclusion and Future Research Directions</w:t>
      </w:r>
    </w:p>
    <w:p w14:paraId="12F43EC5" w14:textId="00FDCFA9" w:rsidR="000A53A2" w:rsidRDefault="000A53A2" w:rsidP="000A53A2">
      <w:pPr>
        <w:spacing w:before="0" w:after="0" w:line="276" w:lineRule="auto"/>
      </w:pPr>
      <w:r>
        <w:t xml:space="preserve">The proposed research analyses both the effects of firm-specific variables and the effects of the COVID-19 pandemic on capital structure choices in the Bangladeshi pharmaceutical and chemical sector based on a dynamic panel data model. The results show a great deal of </w:t>
      </w:r>
      <w:r>
        <w:lastRenderedPageBreak/>
        <w:t xml:space="preserve">persistence in leverage, which implies that the company alters its capital structure slowly toward its target level consistent with the dynamic trade-off theory (Myers, 1984; </w:t>
      </w:r>
      <w:proofErr w:type="spellStart"/>
      <w:r>
        <w:t>Baltagi</w:t>
      </w:r>
      <w:proofErr w:type="spellEnd"/>
      <w:r>
        <w:t xml:space="preserve">, 2021). The firm size turns out to be a major factor of leverage especially during the post-COVID era, due to the relevance of creditworthiness and market power in gaining access to external finance in the emerging economies (Rajan </w:t>
      </w:r>
      <w:r w:rsidR="00322C12">
        <w:t>and</w:t>
      </w:r>
      <w:r>
        <w:t xml:space="preserve"> Zingales, 1995; Dawar, 2014). Liquidity is also discovered to affect leverage negatively with a considerable impact meaning that internal financing and flexibility of finances is preferred instead of asset tangibility, profitability and expansion prospects being of limited importance. COVID-19 and the associated decrease in leverage represent the conservative financing behaviour and increased risk aversion in the periods of economic uncertainty (Proença </w:t>
      </w:r>
      <w:r w:rsidRPr="007B206A">
        <w:rPr>
          <w:i/>
          <w:iCs/>
        </w:rPr>
        <w:t>et al.,</w:t>
      </w:r>
      <w:r>
        <w:t xml:space="preserve"> 2014; Shen </w:t>
      </w:r>
      <w:r w:rsidRPr="007B206A">
        <w:rPr>
          <w:i/>
          <w:iCs/>
        </w:rPr>
        <w:t>et al.,</w:t>
      </w:r>
      <w:r>
        <w:t xml:space="preserve"> 2020; Prakash </w:t>
      </w:r>
      <w:r w:rsidRPr="007B206A">
        <w:rPr>
          <w:i/>
          <w:iCs/>
        </w:rPr>
        <w:t>et al.,</w:t>
      </w:r>
      <w:r>
        <w:t xml:space="preserve"> 2023).</w:t>
      </w:r>
    </w:p>
    <w:p w14:paraId="3F18CB55" w14:textId="77777777" w:rsidR="000A53A2" w:rsidRDefault="000A53A2" w:rsidP="000A53A2">
      <w:pPr>
        <w:spacing w:before="0" w:after="0" w:line="276" w:lineRule="auto"/>
      </w:pPr>
      <w:r w:rsidRPr="009D5844">
        <w:t xml:space="preserve">The </w:t>
      </w:r>
      <w:r>
        <w:t>study</w:t>
      </w:r>
      <w:r w:rsidRPr="009D5844">
        <w:t xml:space="preserve"> narrows down the research to the pharmaceutical sector and the determinants at the firm level. The future studies may go as far as cross-sector comparisons, incorporating the macroeconomic and institutional factors (such as interest rates, quality of governance), and might use system GMM estimators to have a more in-depth analysis. </w:t>
      </w:r>
      <w:r>
        <w:t>Future studies might include macroeconomic factors, proprietorship, and other sources of funds, and also cross-country comparison to further determine the external validity of the capital structure theories in cases of systemic shocks.</w:t>
      </w:r>
      <w:bookmarkStart w:id="28" w:name="_746b3lsv5uxa" w:colFirst="0" w:colLast="0"/>
      <w:bookmarkEnd w:id="28"/>
    </w:p>
    <w:p w14:paraId="353D4576" w14:textId="77777777" w:rsidR="000A53A2" w:rsidRDefault="000A53A2" w:rsidP="000A53A2">
      <w:pPr>
        <w:spacing w:before="0" w:after="0" w:line="276" w:lineRule="auto"/>
      </w:pPr>
    </w:p>
    <w:p w14:paraId="7BC61B54" w14:textId="126774F4" w:rsidR="000A53A2" w:rsidRPr="00D47ADE" w:rsidRDefault="000A53A2" w:rsidP="00D47ADE">
      <w:pPr>
        <w:spacing w:before="0" w:after="0" w:line="276" w:lineRule="auto"/>
        <w:rPr>
          <w:b/>
          <w:bCs/>
          <w:sz w:val="26"/>
          <w:szCs w:val="26"/>
        </w:rPr>
      </w:pPr>
      <w:r w:rsidRPr="00D46DB6">
        <w:rPr>
          <w:b/>
          <w:bCs/>
          <w:sz w:val="26"/>
          <w:szCs w:val="26"/>
        </w:rPr>
        <w:t>References</w:t>
      </w:r>
    </w:p>
    <w:p w14:paraId="30E94FF8"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Afroze, S. and Khan, S.A. (2022) ‘Impact of capital structure on firm performance: Evidence from the pharmaceuticals and chemicals sector in Bangladesh’, </w:t>
      </w:r>
      <w:r w:rsidRPr="000A53A2">
        <w:rPr>
          <w:i/>
          <w:iCs/>
          <w:lang w:val="en-US"/>
        </w:rPr>
        <w:t>The Cost and Management</w:t>
      </w:r>
      <w:r w:rsidRPr="000A53A2">
        <w:rPr>
          <w:lang w:val="en-US"/>
        </w:rPr>
        <w:t>, 50(1), pp. 27–40.</w:t>
      </w:r>
    </w:p>
    <w:p w14:paraId="01ADAC4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Ahmed, A. and </w:t>
      </w:r>
      <w:proofErr w:type="spellStart"/>
      <w:r w:rsidRPr="000A53A2">
        <w:rPr>
          <w:lang w:val="en-US"/>
        </w:rPr>
        <w:t>Nugraha</w:t>
      </w:r>
      <w:proofErr w:type="spellEnd"/>
      <w:r w:rsidRPr="000A53A2">
        <w:rPr>
          <w:lang w:val="en-US"/>
        </w:rPr>
        <w:t xml:space="preserve">, N. (2024) ‘Assessing the impact of COVID-19 on capital structure dynamics: Evidence from GCC economies’, </w:t>
      </w:r>
      <w:r w:rsidRPr="000A53A2">
        <w:rPr>
          <w:i/>
          <w:iCs/>
          <w:lang w:val="en-US"/>
        </w:rPr>
        <w:t>Economies</w:t>
      </w:r>
      <w:r w:rsidRPr="000A53A2">
        <w:rPr>
          <w:lang w:val="en-US"/>
        </w:rPr>
        <w:t xml:space="preserve">, 12(5), Article 103. </w:t>
      </w:r>
      <w:hyperlink r:id="rId8" w:tgtFrame="_new" w:history="1">
        <w:r w:rsidRPr="000A53A2">
          <w:rPr>
            <w:rStyle w:val="Hyperlink"/>
            <w:lang w:val="en-US"/>
          </w:rPr>
          <w:t>https://doi.org/10.3390/economies12050103</w:t>
        </w:r>
      </w:hyperlink>
    </w:p>
    <w:p w14:paraId="7EB792DB"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Baker, M. and Wurgler, J. (2002) ‘Market timing and capital structure’, </w:t>
      </w:r>
      <w:r w:rsidRPr="000A53A2">
        <w:rPr>
          <w:i/>
          <w:iCs/>
          <w:lang w:val="en-US"/>
        </w:rPr>
        <w:t>The Journal of Finance</w:t>
      </w:r>
      <w:r w:rsidRPr="000A53A2">
        <w:rPr>
          <w:lang w:val="en-US"/>
        </w:rPr>
        <w:t xml:space="preserve">, 57(1), pp. 1–32. </w:t>
      </w:r>
      <w:hyperlink r:id="rId9" w:tgtFrame="_new" w:history="1">
        <w:r w:rsidRPr="000A53A2">
          <w:rPr>
            <w:rStyle w:val="Hyperlink"/>
            <w:lang w:val="en-US"/>
          </w:rPr>
          <w:t>https://doi.org/10.1111/1540-6261.00414</w:t>
        </w:r>
      </w:hyperlink>
    </w:p>
    <w:p w14:paraId="6389E50D"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Baltagi</w:t>
      </w:r>
      <w:proofErr w:type="spellEnd"/>
      <w:r w:rsidRPr="000A53A2">
        <w:rPr>
          <w:lang w:val="en-US"/>
        </w:rPr>
        <w:t xml:space="preserve">, B.H. (2021) </w:t>
      </w:r>
      <w:r w:rsidRPr="000A53A2">
        <w:rPr>
          <w:i/>
          <w:iCs/>
          <w:lang w:val="en-US"/>
        </w:rPr>
        <w:t>Econometric analysis of panel data</w:t>
      </w:r>
      <w:r w:rsidRPr="000A53A2">
        <w:rPr>
          <w:lang w:val="en-US"/>
        </w:rPr>
        <w:t xml:space="preserve">. Available at: </w:t>
      </w:r>
      <w:hyperlink r:id="rId10" w:tgtFrame="_new" w:history="1">
        <w:r w:rsidRPr="000A53A2">
          <w:rPr>
            <w:rStyle w:val="Hyperlink"/>
            <w:lang w:val="en-US"/>
          </w:rPr>
          <w:t>http://www.gbv.de/dms/hebis-darmstadt/toc/118556681</w:t>
        </w:r>
      </w:hyperlink>
      <w:r w:rsidRPr="000A53A2">
        <w:rPr>
          <w:lang w:val="en-US"/>
        </w:rPr>
        <w:t xml:space="preserve"> (Accessed: day month year).</w:t>
      </w:r>
    </w:p>
    <w:p w14:paraId="3C25207B"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Bhaduri, S.N. (2002) ‘Determinants of capital structure choice: A study of the Indian corporate sector’, </w:t>
      </w:r>
      <w:r w:rsidRPr="000A53A2">
        <w:rPr>
          <w:i/>
          <w:iCs/>
          <w:lang w:val="en-US"/>
        </w:rPr>
        <w:t>Applied Financial Economics</w:t>
      </w:r>
      <w:r w:rsidRPr="000A53A2">
        <w:rPr>
          <w:lang w:val="en-US"/>
        </w:rPr>
        <w:t xml:space="preserve">, 12(9), pp. 655–665. </w:t>
      </w:r>
      <w:hyperlink r:id="rId11" w:tgtFrame="_new" w:history="1">
        <w:r w:rsidRPr="000A53A2">
          <w:rPr>
            <w:rStyle w:val="Hyperlink"/>
            <w:lang w:val="en-US"/>
          </w:rPr>
          <w:t>https://doi.org/10.1080/09603100010017705</w:t>
        </w:r>
      </w:hyperlink>
    </w:p>
    <w:p w14:paraId="775BD2B7"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Booth, L., Aivazian, V., Demirgüç-Kunt, A. and Maksimovic, V. (2001) ‘Capital structures in developing countries’, </w:t>
      </w:r>
      <w:r w:rsidRPr="000A53A2">
        <w:rPr>
          <w:i/>
          <w:iCs/>
          <w:lang w:val="en-US"/>
        </w:rPr>
        <w:t>The Journal of Finance</w:t>
      </w:r>
      <w:r w:rsidRPr="000A53A2">
        <w:rPr>
          <w:lang w:val="en-US"/>
        </w:rPr>
        <w:t xml:space="preserve">, 56(1), pp. 87–130. </w:t>
      </w:r>
      <w:hyperlink r:id="rId12" w:tgtFrame="_new" w:history="1">
        <w:r w:rsidRPr="000A53A2">
          <w:rPr>
            <w:rStyle w:val="Hyperlink"/>
            <w:lang w:val="en-US"/>
          </w:rPr>
          <w:t>https://doi.org/10.1111/0022-1082.00320</w:t>
        </w:r>
      </w:hyperlink>
    </w:p>
    <w:p w14:paraId="18AFB3F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Chen, J.J. (2004) ‘Determinants of capital structure of Chinese-listed companies’, </w:t>
      </w:r>
      <w:r w:rsidRPr="000A53A2">
        <w:rPr>
          <w:i/>
          <w:iCs/>
          <w:lang w:val="en-US"/>
        </w:rPr>
        <w:t>Journal of Business Research</w:t>
      </w:r>
      <w:r w:rsidRPr="000A53A2">
        <w:rPr>
          <w:lang w:val="en-US"/>
        </w:rPr>
        <w:t xml:space="preserve">, 57(12), pp. 1341–1351. </w:t>
      </w:r>
      <w:hyperlink r:id="rId13" w:tgtFrame="_new" w:history="1">
        <w:r w:rsidRPr="000A53A2">
          <w:rPr>
            <w:rStyle w:val="Hyperlink"/>
            <w:lang w:val="en-US"/>
          </w:rPr>
          <w:t>https://doi.org/10.1016/S0148-2963(03)00070-5</w:t>
        </w:r>
      </w:hyperlink>
    </w:p>
    <w:p w14:paraId="2798ADFB"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Çolak, G. and Öztekin, Ö. (2021) ‘The impact of the COVID-19 pandemic on bank lending around the world’, </w:t>
      </w:r>
      <w:r w:rsidRPr="000A53A2">
        <w:rPr>
          <w:i/>
          <w:iCs/>
          <w:lang w:val="en-US"/>
        </w:rPr>
        <w:t>Journal of Banking &amp; Finance</w:t>
      </w:r>
      <w:r w:rsidRPr="000A53A2">
        <w:rPr>
          <w:lang w:val="en-US"/>
        </w:rPr>
        <w:t xml:space="preserve">, 133, 106207. </w:t>
      </w:r>
      <w:hyperlink r:id="rId14" w:tgtFrame="_new" w:history="1">
        <w:r w:rsidRPr="000A53A2">
          <w:rPr>
            <w:rStyle w:val="Hyperlink"/>
            <w:lang w:val="en-US"/>
          </w:rPr>
          <w:t>https://doi.org/10.2139/ssrn.3712668</w:t>
        </w:r>
      </w:hyperlink>
    </w:p>
    <w:p w14:paraId="27572B16" w14:textId="77777777" w:rsidR="000A53A2" w:rsidRPr="000A53A2" w:rsidRDefault="000A53A2" w:rsidP="000A53A2">
      <w:pPr>
        <w:pStyle w:val="ListParagraph"/>
        <w:numPr>
          <w:ilvl w:val="0"/>
          <w:numId w:val="3"/>
        </w:numPr>
        <w:spacing w:line="276" w:lineRule="auto"/>
        <w:rPr>
          <w:lang w:val="en-US"/>
        </w:rPr>
      </w:pPr>
      <w:r w:rsidRPr="000A53A2">
        <w:rPr>
          <w:lang w:val="en-US"/>
        </w:rPr>
        <w:lastRenderedPageBreak/>
        <w:t xml:space="preserve">Dawar, V. (2014) ‘Agency theory, capital structure and firm performance: Some Indian evidence’, </w:t>
      </w:r>
      <w:r w:rsidRPr="000A53A2">
        <w:rPr>
          <w:i/>
          <w:iCs/>
          <w:lang w:val="en-US"/>
        </w:rPr>
        <w:t>Managerial Finance</w:t>
      </w:r>
      <w:r w:rsidRPr="000A53A2">
        <w:rPr>
          <w:lang w:val="en-US"/>
        </w:rPr>
        <w:t xml:space="preserve">, 40(12), pp. 1190–1206. </w:t>
      </w:r>
      <w:hyperlink r:id="rId15" w:tgtFrame="_new" w:history="1">
        <w:r w:rsidRPr="000A53A2">
          <w:rPr>
            <w:rStyle w:val="Hyperlink"/>
            <w:lang w:val="en-US"/>
          </w:rPr>
          <w:t>https://doi.org/10.1108/MF-10-2013-0275</w:t>
        </w:r>
      </w:hyperlink>
    </w:p>
    <w:p w14:paraId="561CA79C" w14:textId="77777777" w:rsidR="000A53A2" w:rsidRPr="000A53A2" w:rsidRDefault="000A53A2" w:rsidP="000A53A2">
      <w:pPr>
        <w:pStyle w:val="ListParagraph"/>
        <w:numPr>
          <w:ilvl w:val="0"/>
          <w:numId w:val="3"/>
        </w:numPr>
        <w:spacing w:line="276" w:lineRule="auto"/>
        <w:rPr>
          <w:lang w:val="en-US"/>
        </w:rPr>
      </w:pPr>
      <w:proofErr w:type="spellStart"/>
      <w:r w:rsidRPr="000A53A2">
        <w:rPr>
          <w:lang w:val="en-US"/>
        </w:rPr>
        <w:t>Demirgüç-Kunt</w:t>
      </w:r>
      <w:proofErr w:type="spellEnd"/>
      <w:r w:rsidRPr="000A53A2">
        <w:rPr>
          <w:lang w:val="en-US"/>
        </w:rPr>
        <w:t xml:space="preserve">, A., Martínez Pería, M.S. and Tressel, T. (2020) ‘The global financial crisis and the capital structure of firms: Was the impact more severe among SMEs and non-listed firms?’, </w:t>
      </w:r>
      <w:r w:rsidRPr="000A53A2">
        <w:rPr>
          <w:i/>
          <w:iCs/>
          <w:lang w:val="en-US"/>
        </w:rPr>
        <w:t>Journal of Corporate Finance</w:t>
      </w:r>
      <w:r w:rsidRPr="000A53A2">
        <w:rPr>
          <w:lang w:val="en-US"/>
        </w:rPr>
        <w:t xml:space="preserve">, 60, 101514. </w:t>
      </w:r>
      <w:hyperlink r:id="rId16" w:tgtFrame="_new" w:history="1">
        <w:r w:rsidRPr="000A53A2">
          <w:rPr>
            <w:rStyle w:val="Hyperlink"/>
            <w:lang w:val="en-US"/>
          </w:rPr>
          <w:t>https://doi.org/10.1016/j.jcorpfin.2019.101514</w:t>
        </w:r>
      </w:hyperlink>
    </w:p>
    <w:p w14:paraId="2456E37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Frank, M.Z. and Goyal, V.K. (2009) ‘Capital structure decisions: Which factors are reliably important?’, </w:t>
      </w:r>
      <w:r w:rsidRPr="000A53A2">
        <w:rPr>
          <w:i/>
          <w:iCs/>
          <w:lang w:val="en-US"/>
        </w:rPr>
        <w:t>Financial Management</w:t>
      </w:r>
      <w:r w:rsidRPr="000A53A2">
        <w:rPr>
          <w:lang w:val="en-US"/>
        </w:rPr>
        <w:t xml:space="preserve">, 38(1), pp. 1–37. </w:t>
      </w:r>
      <w:hyperlink r:id="rId17" w:tgtFrame="_new" w:history="1">
        <w:r w:rsidRPr="000A53A2">
          <w:rPr>
            <w:rStyle w:val="Hyperlink"/>
            <w:lang w:val="en-US"/>
          </w:rPr>
          <w:t>https://doi.org/10.1111/j.1755-053X.2009.01026.x</w:t>
        </w:r>
      </w:hyperlink>
    </w:p>
    <w:p w14:paraId="346207C1"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Harris, M. and Raviv, A. (1991) ‘The theory of capital structure’, </w:t>
      </w:r>
      <w:r w:rsidRPr="000A53A2">
        <w:rPr>
          <w:i/>
          <w:iCs/>
          <w:lang w:val="en-US"/>
        </w:rPr>
        <w:t>The Journal of Finance</w:t>
      </w:r>
      <w:r w:rsidRPr="000A53A2">
        <w:rPr>
          <w:lang w:val="en-US"/>
        </w:rPr>
        <w:t xml:space="preserve">, 46(1), pp. 297–355. </w:t>
      </w:r>
      <w:hyperlink r:id="rId18" w:tgtFrame="_new" w:history="1">
        <w:r w:rsidRPr="000A53A2">
          <w:rPr>
            <w:rStyle w:val="Hyperlink"/>
            <w:lang w:val="en-US"/>
          </w:rPr>
          <w:t>https://doi.org/10.1111/j.1540-6261.1991.tb03753.x</w:t>
        </w:r>
      </w:hyperlink>
    </w:p>
    <w:p w14:paraId="2FD04CAF" w14:textId="7B7A84D5" w:rsidR="000A53A2" w:rsidRPr="000A53A2" w:rsidRDefault="000A53A2" w:rsidP="000A53A2">
      <w:pPr>
        <w:pStyle w:val="ListParagraph"/>
        <w:numPr>
          <w:ilvl w:val="0"/>
          <w:numId w:val="3"/>
        </w:numPr>
        <w:spacing w:line="276" w:lineRule="auto"/>
        <w:rPr>
          <w:lang w:val="en-US"/>
        </w:rPr>
      </w:pPr>
      <w:r w:rsidRPr="000A53A2">
        <w:rPr>
          <w:lang w:val="en-US"/>
        </w:rPr>
        <w:t xml:space="preserve">Hausman, J.A. (1978) ‘Specification tests in econometrics’, </w:t>
      </w:r>
      <w:proofErr w:type="spellStart"/>
      <w:r w:rsidRPr="000A53A2">
        <w:rPr>
          <w:i/>
          <w:iCs/>
          <w:lang w:val="en-US"/>
        </w:rPr>
        <w:t>Econometrica</w:t>
      </w:r>
      <w:proofErr w:type="spellEnd"/>
      <w:r w:rsidRPr="000A53A2">
        <w:rPr>
          <w:lang w:val="en-US"/>
        </w:rPr>
        <w:t xml:space="preserve">, 46(6), pp. 1251–1271. Available at: </w:t>
      </w:r>
      <w:hyperlink r:id="rId19" w:tgtFrame="_new" w:history="1">
        <w:r w:rsidRPr="000A53A2">
          <w:rPr>
            <w:rStyle w:val="Hyperlink"/>
            <w:lang w:val="en-US"/>
          </w:rPr>
          <w:t>https://EconPapers.repec.org/RePEc:ecm:emetrp:v:46:y:1978:i:6:p:1251-71</w:t>
        </w:r>
      </w:hyperlink>
      <w:r w:rsidRPr="000A53A2">
        <w:rPr>
          <w:lang w:val="en-US"/>
        </w:rPr>
        <w:t xml:space="preserve"> </w:t>
      </w:r>
    </w:p>
    <w:p w14:paraId="651A99AF"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Huang, G. (2006) ‘The determinants of capital structure: Evidence from China’, </w:t>
      </w:r>
      <w:r w:rsidRPr="000A53A2">
        <w:rPr>
          <w:i/>
          <w:iCs/>
          <w:lang w:val="en-US"/>
        </w:rPr>
        <w:t>China Economic Review</w:t>
      </w:r>
      <w:r w:rsidRPr="000A53A2">
        <w:rPr>
          <w:lang w:val="en-US"/>
        </w:rPr>
        <w:t xml:space="preserve">, 17(1), pp. 14–36. </w:t>
      </w:r>
      <w:hyperlink r:id="rId20" w:tgtFrame="_new" w:history="1">
        <w:r w:rsidRPr="000A53A2">
          <w:rPr>
            <w:rStyle w:val="Hyperlink"/>
            <w:lang w:val="en-US"/>
          </w:rPr>
          <w:t>https://doi.org/10.1016/j.chieco.2005.02.007</w:t>
        </w:r>
      </w:hyperlink>
    </w:p>
    <w:p w14:paraId="4886ACAF"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Imtiaz, F., Mahmud, K. and Mallik, A. (2016) ‘Determinants of capital structure and testing of applicable theories: Evidence from pharmaceutical firms of Bangladesh’, </w:t>
      </w:r>
      <w:r w:rsidRPr="000A53A2">
        <w:rPr>
          <w:i/>
          <w:iCs/>
          <w:lang w:val="en-US"/>
        </w:rPr>
        <w:t>International Journal of Economics and Finance</w:t>
      </w:r>
      <w:r w:rsidRPr="000A53A2">
        <w:rPr>
          <w:lang w:val="en-US"/>
        </w:rPr>
        <w:t xml:space="preserve">, 8(3), pp. 23–32. </w:t>
      </w:r>
      <w:hyperlink r:id="rId21" w:tgtFrame="_new" w:history="1">
        <w:r w:rsidRPr="000A53A2">
          <w:rPr>
            <w:rStyle w:val="Hyperlink"/>
            <w:lang w:val="en-US"/>
          </w:rPr>
          <w:t>https://doi.org/10.5539/ijef.v8n3p23</w:t>
        </w:r>
      </w:hyperlink>
    </w:p>
    <w:p w14:paraId="719B94C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Islam, M.S. and Hossain, M.E. (2025) ‘Effect of capital structure on economic success of DSE-listed firms in Bangladesh: The moderating role of the COVID-19 pandemic’, </w:t>
      </w:r>
      <w:r w:rsidRPr="000A53A2">
        <w:rPr>
          <w:i/>
          <w:iCs/>
          <w:lang w:val="en-US"/>
        </w:rPr>
        <w:t>Asian Development Policy Review</w:t>
      </w:r>
      <w:r w:rsidRPr="000A53A2">
        <w:rPr>
          <w:lang w:val="en-US"/>
        </w:rPr>
        <w:t xml:space="preserve">, 13(1), pp. 1–15. </w:t>
      </w:r>
      <w:hyperlink r:id="rId22" w:tgtFrame="_new" w:history="1">
        <w:r w:rsidRPr="000A53A2">
          <w:rPr>
            <w:rStyle w:val="Hyperlink"/>
            <w:lang w:val="en-US"/>
          </w:rPr>
          <w:t>https://doi.org/10.55493/5008.v13i1.5269</w:t>
        </w:r>
      </w:hyperlink>
    </w:p>
    <w:p w14:paraId="78A89DD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Jensen, M.C. (1986) ‘Agency costs of free cash flow, corporate finance, and takeovers’, </w:t>
      </w:r>
      <w:r w:rsidRPr="000A53A2">
        <w:rPr>
          <w:i/>
          <w:iCs/>
          <w:lang w:val="en-US"/>
        </w:rPr>
        <w:t>The American Economic Review</w:t>
      </w:r>
      <w:r w:rsidRPr="000A53A2">
        <w:rPr>
          <w:lang w:val="en-US"/>
        </w:rPr>
        <w:t xml:space="preserve">, 76(2), pp. 323–329. Available at: </w:t>
      </w:r>
      <w:hyperlink r:id="rId23" w:tgtFrame="_new" w:history="1">
        <w:r w:rsidRPr="000A53A2">
          <w:rPr>
            <w:rStyle w:val="Hyperlink"/>
            <w:lang w:val="en-US"/>
          </w:rPr>
          <w:t>https://www.jstor.org/stable/1818789</w:t>
        </w:r>
      </w:hyperlink>
      <w:r w:rsidRPr="000A53A2">
        <w:rPr>
          <w:lang w:val="en-US"/>
        </w:rPr>
        <w:t xml:space="preserve"> (Accessed: day month year).</w:t>
      </w:r>
    </w:p>
    <w:p w14:paraId="77BD3160"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Jensen, M.C. and Meckling, W.H. (1976) ‘Theory of the firm: Managerial behavior, agency costs and ownership structure’, </w:t>
      </w:r>
      <w:r w:rsidRPr="000A53A2">
        <w:rPr>
          <w:i/>
          <w:iCs/>
          <w:lang w:val="en-US"/>
        </w:rPr>
        <w:t>Journal of Financial Economics</w:t>
      </w:r>
      <w:r w:rsidRPr="000A53A2">
        <w:rPr>
          <w:lang w:val="en-US"/>
        </w:rPr>
        <w:t xml:space="preserve">, 3(4), pp. 305–360. </w:t>
      </w:r>
      <w:hyperlink r:id="rId24" w:tgtFrame="_new" w:history="1">
        <w:r w:rsidRPr="000A53A2">
          <w:rPr>
            <w:rStyle w:val="Hyperlink"/>
            <w:lang w:val="en-US"/>
          </w:rPr>
          <w:t>https://doi.org/10.1016/0304-405X(76)90026-X</w:t>
        </w:r>
      </w:hyperlink>
    </w:p>
    <w:p w14:paraId="301C2716"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Kraus, A. and Litzenberger, R.H. (1973) ‘A state-preference model of optimal financial leverage’, </w:t>
      </w:r>
      <w:r w:rsidRPr="000A53A2">
        <w:rPr>
          <w:i/>
          <w:iCs/>
          <w:lang w:val="en-US"/>
        </w:rPr>
        <w:t>The Journal of Finance</w:t>
      </w:r>
      <w:r w:rsidRPr="000A53A2">
        <w:rPr>
          <w:lang w:val="en-US"/>
        </w:rPr>
        <w:t xml:space="preserve">, 28(4), pp. 911–922. </w:t>
      </w:r>
      <w:hyperlink r:id="rId25" w:tgtFrame="_new" w:history="1">
        <w:r w:rsidRPr="000A53A2">
          <w:rPr>
            <w:rStyle w:val="Hyperlink"/>
            <w:lang w:val="en-US"/>
          </w:rPr>
          <w:t>https://doi.org/10.2307/2978343</w:t>
        </w:r>
      </w:hyperlink>
    </w:p>
    <w:p w14:paraId="43145088"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Maddala, G.S. and Wu, S. (1999) ‘A comparative study of unit root tests with panel data and a new simple test’, </w:t>
      </w:r>
      <w:r w:rsidRPr="000A53A2">
        <w:rPr>
          <w:i/>
          <w:iCs/>
          <w:lang w:val="en-US"/>
        </w:rPr>
        <w:t>Oxford Bulletin of Economics and Statistics</w:t>
      </w:r>
      <w:r w:rsidRPr="000A53A2">
        <w:rPr>
          <w:lang w:val="en-US"/>
        </w:rPr>
        <w:t xml:space="preserve">, 61(S1), pp. 631–652. </w:t>
      </w:r>
      <w:hyperlink r:id="rId26" w:tgtFrame="_new" w:history="1">
        <w:r w:rsidRPr="000A53A2">
          <w:rPr>
            <w:rStyle w:val="Hyperlink"/>
            <w:lang w:val="en-US"/>
          </w:rPr>
          <w:t>https://doi.org/10.1111/1468-0084.0610s1631</w:t>
        </w:r>
      </w:hyperlink>
    </w:p>
    <w:p w14:paraId="7D624D91"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Modigliani, F. and Miller, M.H. (1958) ‘The cost of capital, corporation finance and the theory of investment’, </w:t>
      </w:r>
      <w:r w:rsidRPr="000A53A2">
        <w:rPr>
          <w:i/>
          <w:iCs/>
          <w:lang w:val="en-US"/>
        </w:rPr>
        <w:t>American Economic Review</w:t>
      </w:r>
      <w:r w:rsidRPr="000A53A2">
        <w:rPr>
          <w:lang w:val="en-US"/>
        </w:rPr>
        <w:t xml:space="preserve">, 48(3), pp. 261–297. Available at: </w:t>
      </w:r>
      <w:hyperlink r:id="rId27" w:tgtFrame="_new" w:history="1">
        <w:r w:rsidRPr="000A53A2">
          <w:rPr>
            <w:rStyle w:val="Hyperlink"/>
            <w:lang w:val="en-US"/>
          </w:rPr>
          <w:t>https://www.jstor.org/stable/1809766</w:t>
        </w:r>
      </w:hyperlink>
      <w:r w:rsidRPr="000A53A2">
        <w:rPr>
          <w:lang w:val="en-US"/>
        </w:rPr>
        <w:t xml:space="preserve"> (Accessed: day month year).</w:t>
      </w:r>
    </w:p>
    <w:p w14:paraId="3F469D8D"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Myers, S.C. (1984) ‘The capital structure puzzle’, </w:t>
      </w:r>
      <w:r w:rsidRPr="000A53A2">
        <w:rPr>
          <w:i/>
          <w:iCs/>
          <w:lang w:val="en-US"/>
        </w:rPr>
        <w:t>The Journal of Finance</w:t>
      </w:r>
      <w:r w:rsidRPr="000A53A2">
        <w:rPr>
          <w:lang w:val="en-US"/>
        </w:rPr>
        <w:t xml:space="preserve">, 39(3), pp. 575–592. </w:t>
      </w:r>
      <w:hyperlink r:id="rId28" w:tgtFrame="_new" w:history="1">
        <w:r w:rsidRPr="000A53A2">
          <w:rPr>
            <w:rStyle w:val="Hyperlink"/>
            <w:lang w:val="en-US"/>
          </w:rPr>
          <w:t>https://doi.org/10.2307/2327916</w:t>
        </w:r>
      </w:hyperlink>
    </w:p>
    <w:p w14:paraId="1316F707" w14:textId="77777777" w:rsidR="000A53A2" w:rsidRPr="000A53A2" w:rsidRDefault="000A53A2" w:rsidP="000A53A2">
      <w:pPr>
        <w:pStyle w:val="ListParagraph"/>
        <w:numPr>
          <w:ilvl w:val="0"/>
          <w:numId w:val="3"/>
        </w:numPr>
        <w:spacing w:line="276" w:lineRule="auto"/>
        <w:rPr>
          <w:lang w:val="en-US"/>
        </w:rPr>
      </w:pPr>
      <w:r w:rsidRPr="000A53A2">
        <w:rPr>
          <w:lang w:val="en-US"/>
        </w:rPr>
        <w:lastRenderedPageBreak/>
        <w:t xml:space="preserve">Opler, T., </w:t>
      </w:r>
      <w:proofErr w:type="spellStart"/>
      <w:r w:rsidRPr="000A53A2">
        <w:rPr>
          <w:lang w:val="en-US"/>
        </w:rPr>
        <w:t>Pinkowitz</w:t>
      </w:r>
      <w:proofErr w:type="spellEnd"/>
      <w:r w:rsidRPr="000A53A2">
        <w:rPr>
          <w:lang w:val="en-US"/>
        </w:rPr>
        <w:t xml:space="preserve">, L., Stulz, R. and Williamson, R. (1999) ‘The determinants and implications of corporate cash holdings’, </w:t>
      </w:r>
      <w:r w:rsidRPr="000A53A2">
        <w:rPr>
          <w:i/>
          <w:iCs/>
          <w:lang w:val="en-US"/>
        </w:rPr>
        <w:t>Journal of Financial Economics</w:t>
      </w:r>
      <w:r w:rsidRPr="000A53A2">
        <w:rPr>
          <w:lang w:val="en-US"/>
        </w:rPr>
        <w:t xml:space="preserve">, 52(1), pp. 3–46. </w:t>
      </w:r>
      <w:hyperlink r:id="rId29" w:tgtFrame="_new" w:history="1">
        <w:r w:rsidRPr="000A53A2">
          <w:rPr>
            <w:rStyle w:val="Hyperlink"/>
            <w:lang w:val="en-US"/>
          </w:rPr>
          <w:t>https://doi.org/10.1016/S0304-405X(99)00003-3</w:t>
        </w:r>
      </w:hyperlink>
    </w:p>
    <w:p w14:paraId="730F81F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Prakash, N., Maheshwari, A. and </w:t>
      </w:r>
      <w:proofErr w:type="spellStart"/>
      <w:r w:rsidRPr="000A53A2">
        <w:rPr>
          <w:lang w:val="en-US"/>
        </w:rPr>
        <w:t>Hawaldar</w:t>
      </w:r>
      <w:proofErr w:type="spellEnd"/>
      <w:r w:rsidRPr="000A53A2">
        <w:rPr>
          <w:lang w:val="en-US"/>
        </w:rPr>
        <w:t xml:space="preserve">, A. (2023) ‘The impact of COVID-19 on capital structure in emerging economies: Evidence from India’, </w:t>
      </w:r>
      <w:r w:rsidRPr="000A53A2">
        <w:rPr>
          <w:i/>
          <w:iCs/>
          <w:lang w:val="en-US"/>
        </w:rPr>
        <w:t>Asian Journal of Accounting Research</w:t>
      </w:r>
      <w:r w:rsidRPr="000A53A2">
        <w:rPr>
          <w:lang w:val="en-US"/>
        </w:rPr>
        <w:t xml:space="preserve">, 8(3), pp. 236–249. </w:t>
      </w:r>
      <w:hyperlink r:id="rId30" w:tgtFrame="_new" w:history="1">
        <w:r w:rsidRPr="000A53A2">
          <w:rPr>
            <w:rStyle w:val="Hyperlink"/>
            <w:lang w:val="en-US"/>
          </w:rPr>
          <w:t>https://doi.org/10.1108/AJAR-05-2022-0144</w:t>
        </w:r>
      </w:hyperlink>
    </w:p>
    <w:p w14:paraId="34FA9476" w14:textId="77777777" w:rsidR="000A53A2" w:rsidRPr="00D47ADE" w:rsidRDefault="000A53A2" w:rsidP="000A53A2">
      <w:pPr>
        <w:pStyle w:val="ListParagraph"/>
        <w:numPr>
          <w:ilvl w:val="0"/>
          <w:numId w:val="3"/>
        </w:numPr>
        <w:spacing w:line="276" w:lineRule="auto"/>
        <w:rPr>
          <w:lang w:val="en-US"/>
        </w:rPr>
      </w:pPr>
      <w:r w:rsidRPr="000A53A2">
        <w:rPr>
          <w:lang w:val="en-US"/>
        </w:rPr>
        <w:t xml:space="preserve">Proença, I., Laureano, R.M.S. and Laureano, L.M.S. (2014) ‘Determinants of capital structure and the 2008 financial crisis: Evidence from Portuguese SMEs’, </w:t>
      </w:r>
      <w:r w:rsidRPr="000A53A2">
        <w:rPr>
          <w:i/>
          <w:iCs/>
          <w:lang w:val="en-US"/>
        </w:rPr>
        <w:t>Procedia – Social and Behavioral Sciences</w:t>
      </w:r>
      <w:r w:rsidRPr="000A53A2">
        <w:rPr>
          <w:lang w:val="en-US"/>
        </w:rPr>
        <w:t xml:space="preserve">, 150, pp. 182–191. </w:t>
      </w:r>
      <w:hyperlink r:id="rId31" w:tgtFrame="_new" w:history="1">
        <w:r w:rsidRPr="000A53A2">
          <w:rPr>
            <w:rStyle w:val="Hyperlink"/>
            <w:lang w:val="en-US"/>
          </w:rPr>
          <w:t>https://doi.org/10.1016/j.sbspro.2014.09.027</w:t>
        </w:r>
      </w:hyperlink>
    </w:p>
    <w:p w14:paraId="76B9BED6" w14:textId="23E5D877" w:rsidR="00D47ADE" w:rsidRPr="000A53A2" w:rsidRDefault="00D47ADE" w:rsidP="000A53A2">
      <w:pPr>
        <w:pStyle w:val="ListParagraph"/>
        <w:numPr>
          <w:ilvl w:val="0"/>
          <w:numId w:val="3"/>
        </w:numPr>
        <w:spacing w:line="276" w:lineRule="auto"/>
        <w:rPr>
          <w:lang w:val="en-US"/>
        </w:rPr>
      </w:pPr>
      <w:r w:rsidRPr="00D47ADE">
        <w:t xml:space="preserve">Rahman, M. and Sarker, R. (2019) ‘The impact of capital structure on the profitability of publicly traded manufacturing firms in Bangladesh’, </w:t>
      </w:r>
      <w:r w:rsidRPr="00D47ADE">
        <w:rPr>
          <w:i/>
          <w:iCs/>
        </w:rPr>
        <w:t>Applied Economics and Finance</w:t>
      </w:r>
      <w:r w:rsidRPr="00D47ADE">
        <w:t xml:space="preserve">, 6(2), pp. 104–112. </w:t>
      </w:r>
      <w:hyperlink r:id="rId32" w:tgtFrame="_new" w:history="1">
        <w:r w:rsidRPr="00D47ADE">
          <w:rPr>
            <w:rStyle w:val="Hyperlink"/>
          </w:rPr>
          <w:t>https://doi.org/10.11114/aef.v6i2.3867</w:t>
        </w:r>
      </w:hyperlink>
    </w:p>
    <w:p w14:paraId="0C1E4CB6"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Rajan, R.G. and Zingales, L. (1995) ‘What do we know about capital structure? Some evidence from international data’, </w:t>
      </w:r>
      <w:r w:rsidRPr="000A53A2">
        <w:rPr>
          <w:i/>
          <w:iCs/>
          <w:lang w:val="en-US"/>
        </w:rPr>
        <w:t>The Journal of Finance</w:t>
      </w:r>
      <w:r w:rsidRPr="000A53A2">
        <w:rPr>
          <w:lang w:val="en-US"/>
        </w:rPr>
        <w:t xml:space="preserve">, 50(5), pp. 1421–1460. </w:t>
      </w:r>
      <w:hyperlink r:id="rId33" w:tgtFrame="_new" w:history="1">
        <w:r w:rsidRPr="000A53A2">
          <w:rPr>
            <w:rStyle w:val="Hyperlink"/>
            <w:lang w:val="en-US"/>
          </w:rPr>
          <w:t>https://doi.org/10.1111/j.1540-6261.1995.tb05184.x</w:t>
        </w:r>
      </w:hyperlink>
    </w:p>
    <w:p w14:paraId="01718D6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Shahzad, A. and Azeem, M. (2020) ‘The determinants of capital structure: Evidence from SAARC countries’, </w:t>
      </w:r>
      <w:r w:rsidRPr="000A53A2">
        <w:rPr>
          <w:i/>
          <w:iCs/>
          <w:lang w:val="en-US"/>
        </w:rPr>
        <w:t>International Journal of Finance &amp; Economics</w:t>
      </w:r>
      <w:r w:rsidRPr="000A53A2">
        <w:rPr>
          <w:lang w:val="en-US"/>
        </w:rPr>
        <w:t xml:space="preserve">. </w:t>
      </w:r>
      <w:hyperlink r:id="rId34" w:tgtFrame="_new" w:history="1">
        <w:r w:rsidRPr="000A53A2">
          <w:rPr>
            <w:rStyle w:val="Hyperlink"/>
            <w:lang w:val="en-US"/>
          </w:rPr>
          <w:t>https://doi.org/10.1002/ijfe.2132</w:t>
        </w:r>
      </w:hyperlink>
    </w:p>
    <w:p w14:paraId="7C4B67FC"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Shen, H., Fu, M., Pan, H., Yu, Z. and Chen, Y. (2020) ‘The impact of the COVID-19 pandemic on firm performance’, </w:t>
      </w:r>
      <w:r w:rsidRPr="000A53A2">
        <w:rPr>
          <w:i/>
          <w:iCs/>
          <w:lang w:val="en-US"/>
        </w:rPr>
        <w:t>Emerging Markets Finance and Trade</w:t>
      </w:r>
      <w:r w:rsidRPr="000A53A2">
        <w:rPr>
          <w:lang w:val="en-US"/>
        </w:rPr>
        <w:t xml:space="preserve">, 56(10), pp. 2213–2230. </w:t>
      </w:r>
      <w:hyperlink r:id="rId35" w:tgtFrame="_new" w:history="1">
        <w:r w:rsidRPr="000A53A2">
          <w:rPr>
            <w:rStyle w:val="Hyperlink"/>
            <w:lang w:val="en-US"/>
          </w:rPr>
          <w:t>https://doi.org/10.1080/1540496X.2020.1785863</w:t>
        </w:r>
      </w:hyperlink>
    </w:p>
    <w:p w14:paraId="73E12322"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Stulz, R. (1990) ‘Managerial discretion and optimal financing policies’, </w:t>
      </w:r>
      <w:r w:rsidRPr="000A53A2">
        <w:rPr>
          <w:i/>
          <w:iCs/>
          <w:lang w:val="en-US"/>
        </w:rPr>
        <w:t>Journal of Financial Economics</w:t>
      </w:r>
      <w:r w:rsidRPr="000A53A2">
        <w:rPr>
          <w:lang w:val="en-US"/>
        </w:rPr>
        <w:t xml:space="preserve">, 26(1), pp. 3–27. </w:t>
      </w:r>
      <w:hyperlink r:id="rId36" w:tgtFrame="_new" w:history="1">
        <w:r w:rsidRPr="000A53A2">
          <w:rPr>
            <w:rStyle w:val="Hyperlink"/>
            <w:lang w:val="en-US"/>
          </w:rPr>
          <w:t>https://doi.org/10.1016/0304-405X(90)90011-N</w:t>
        </w:r>
      </w:hyperlink>
    </w:p>
    <w:p w14:paraId="1F0DCD02"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Titman, S. and Wessels, R. (1988) ‘The determinants of capital structure choice’, </w:t>
      </w:r>
      <w:r w:rsidRPr="000A53A2">
        <w:rPr>
          <w:i/>
          <w:iCs/>
          <w:lang w:val="en-US"/>
        </w:rPr>
        <w:t>The Journal of Finance</w:t>
      </w:r>
      <w:r w:rsidRPr="000A53A2">
        <w:rPr>
          <w:lang w:val="en-US"/>
        </w:rPr>
        <w:t xml:space="preserve">, 43(1), pp. 1–19. </w:t>
      </w:r>
      <w:hyperlink r:id="rId37" w:tgtFrame="_new" w:history="1">
        <w:r w:rsidRPr="000A53A2">
          <w:rPr>
            <w:rStyle w:val="Hyperlink"/>
            <w:lang w:val="en-US"/>
          </w:rPr>
          <w:t>https://doi.org/10.1111/j.1540-6261.1988.tb02585.x</w:t>
        </w:r>
      </w:hyperlink>
    </w:p>
    <w:p w14:paraId="6F7E90BA"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Vo, X.V. (2017) ‘Determinants of capital structure in emerging markets: Evidence from Vietnam’, </w:t>
      </w:r>
      <w:r w:rsidRPr="000A53A2">
        <w:rPr>
          <w:i/>
          <w:iCs/>
          <w:lang w:val="en-US"/>
        </w:rPr>
        <w:t>Research in International Business and Finance</w:t>
      </w:r>
      <w:r w:rsidRPr="000A53A2">
        <w:rPr>
          <w:lang w:val="en-US"/>
        </w:rPr>
        <w:t xml:space="preserve">, 40, pp. 105–113. </w:t>
      </w:r>
      <w:hyperlink r:id="rId38" w:tgtFrame="_new" w:history="1">
        <w:r w:rsidRPr="000A53A2">
          <w:rPr>
            <w:rStyle w:val="Hyperlink"/>
            <w:lang w:val="en-US"/>
          </w:rPr>
          <w:t>https://doi.org/10.1016/j.ribaf.2016.12.001</w:t>
        </w:r>
      </w:hyperlink>
    </w:p>
    <w:p w14:paraId="658328F4"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Wooldridge, J.M. (2010) </w:t>
      </w:r>
      <w:r w:rsidRPr="000A53A2">
        <w:rPr>
          <w:i/>
          <w:iCs/>
          <w:lang w:val="en-US"/>
        </w:rPr>
        <w:t>Econometric analysis of cross section and panel data</w:t>
      </w:r>
      <w:r w:rsidRPr="000A53A2">
        <w:rPr>
          <w:lang w:val="en-US"/>
        </w:rPr>
        <w:t xml:space="preserve">. 2nd </w:t>
      </w:r>
      <w:proofErr w:type="spellStart"/>
      <w:r w:rsidRPr="000A53A2">
        <w:rPr>
          <w:lang w:val="en-US"/>
        </w:rPr>
        <w:t>edn</w:t>
      </w:r>
      <w:proofErr w:type="spellEnd"/>
      <w:r w:rsidRPr="000A53A2">
        <w:rPr>
          <w:lang w:val="en-US"/>
        </w:rPr>
        <w:t>. Cambridge, MA: MIT Press.</w:t>
      </w:r>
    </w:p>
    <w:p w14:paraId="73C6FC5E" w14:textId="77777777" w:rsidR="000A53A2" w:rsidRPr="000A53A2" w:rsidRDefault="000A53A2" w:rsidP="000A53A2">
      <w:pPr>
        <w:pStyle w:val="ListParagraph"/>
        <w:numPr>
          <w:ilvl w:val="0"/>
          <w:numId w:val="3"/>
        </w:numPr>
        <w:spacing w:line="276" w:lineRule="auto"/>
        <w:rPr>
          <w:lang w:val="en-US"/>
        </w:rPr>
      </w:pPr>
      <w:r w:rsidRPr="000A53A2">
        <w:rPr>
          <w:lang w:val="en-US"/>
        </w:rPr>
        <w:t xml:space="preserve">Xia, Y., Qiao, Z. and Xie, G. (2022) ‘Corporate resilience to the COVID-19 pandemic: The role of digital finance’, </w:t>
      </w:r>
      <w:r w:rsidRPr="000A53A2">
        <w:rPr>
          <w:i/>
          <w:iCs/>
          <w:lang w:val="en-US"/>
        </w:rPr>
        <w:t>Pacific-Basin Finance Journal</w:t>
      </w:r>
      <w:r w:rsidRPr="000A53A2">
        <w:rPr>
          <w:lang w:val="en-US"/>
        </w:rPr>
        <w:t xml:space="preserve">, 74, 101791. </w:t>
      </w:r>
      <w:hyperlink r:id="rId39" w:tgtFrame="_new" w:history="1">
        <w:r w:rsidRPr="000A53A2">
          <w:rPr>
            <w:rStyle w:val="Hyperlink"/>
            <w:lang w:val="en-US"/>
          </w:rPr>
          <w:t>https://doi.org/10.1016/j.pacfin.2022.101791</w:t>
        </w:r>
      </w:hyperlink>
    </w:p>
    <w:p w14:paraId="7A13589A" w14:textId="77777777" w:rsidR="000A53A2" w:rsidRPr="00D46DB6" w:rsidRDefault="000A53A2" w:rsidP="000A53A2">
      <w:pPr>
        <w:spacing w:line="276" w:lineRule="auto"/>
      </w:pPr>
    </w:p>
    <w:p w14:paraId="1C7E9E95" w14:textId="77777777" w:rsidR="00415DF3" w:rsidRDefault="00415DF3" w:rsidP="000A53A2">
      <w:pPr>
        <w:spacing w:line="276" w:lineRule="auto"/>
      </w:pPr>
    </w:p>
    <w:sectPr w:rsidR="00415DF3" w:rsidSect="000A53A2">
      <w:headerReference w:type="even" r:id="rId40"/>
      <w:headerReference w:type="default" r:id="rId41"/>
      <w:footerReference w:type="even" r:id="rId42"/>
      <w:footerReference w:type="default" r:id="rId43"/>
      <w:headerReference w:type="first" r:id="rId44"/>
      <w:footerReference w:type="first" r:id="rId45"/>
      <w:pgSz w:w="11909" w:h="16834"/>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20855" w14:textId="77777777" w:rsidR="00FD16D6" w:rsidRDefault="00FD16D6">
      <w:pPr>
        <w:spacing w:before="0" w:after="0" w:line="240" w:lineRule="auto"/>
      </w:pPr>
      <w:r>
        <w:separator/>
      </w:r>
    </w:p>
  </w:endnote>
  <w:endnote w:type="continuationSeparator" w:id="0">
    <w:p w14:paraId="285912B9" w14:textId="77777777" w:rsidR="00FD16D6" w:rsidRDefault="00FD16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6EE2" w14:textId="77777777" w:rsidR="000F7893" w:rsidRDefault="000F7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0495" w14:textId="77777777" w:rsidR="000A53A2" w:rsidRDefault="000A53A2">
    <w:pPr>
      <w:jc w:val="right"/>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FF94" w14:textId="77777777" w:rsidR="000F7893" w:rsidRDefault="000F7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AE06" w14:textId="77777777" w:rsidR="00FD16D6" w:rsidRDefault="00FD16D6">
      <w:pPr>
        <w:spacing w:before="0" w:after="0" w:line="240" w:lineRule="auto"/>
      </w:pPr>
      <w:r>
        <w:separator/>
      </w:r>
    </w:p>
  </w:footnote>
  <w:footnote w:type="continuationSeparator" w:id="0">
    <w:p w14:paraId="161589E0" w14:textId="77777777" w:rsidR="00FD16D6" w:rsidRDefault="00FD16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5FC6" w14:textId="7D41D324" w:rsidR="000F7893" w:rsidRDefault="000F7893">
    <w:pPr>
      <w:pStyle w:val="Header"/>
    </w:pPr>
    <w:r>
      <w:rPr>
        <w:noProof/>
      </w:rPr>
      <w:pict w14:anchorId="15B5D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2"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0C26" w14:textId="767C6954" w:rsidR="000A53A2" w:rsidRDefault="000F7893">
    <w:r>
      <w:rPr>
        <w:noProof/>
      </w:rPr>
      <w:pict w14:anchorId="1DFC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3"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66EB" w14:textId="1F319F46" w:rsidR="000F7893" w:rsidRDefault="000F7893">
    <w:pPr>
      <w:pStyle w:val="Header"/>
    </w:pPr>
    <w:r>
      <w:rPr>
        <w:noProof/>
      </w:rPr>
      <w:pict w14:anchorId="78A6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899671"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63258"/>
    <w:multiLevelType w:val="hybridMultilevel"/>
    <w:tmpl w:val="3A44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DE5D22"/>
    <w:multiLevelType w:val="hybridMultilevel"/>
    <w:tmpl w:val="B18CC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24A59"/>
    <w:multiLevelType w:val="hybridMultilevel"/>
    <w:tmpl w:val="178CB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A2"/>
    <w:rsid w:val="000042AE"/>
    <w:rsid w:val="000A53A2"/>
    <w:rsid w:val="000F7893"/>
    <w:rsid w:val="00140958"/>
    <w:rsid w:val="00302164"/>
    <w:rsid w:val="00322C12"/>
    <w:rsid w:val="00415DF3"/>
    <w:rsid w:val="004F5EFF"/>
    <w:rsid w:val="00524616"/>
    <w:rsid w:val="00554C12"/>
    <w:rsid w:val="00645BD0"/>
    <w:rsid w:val="007519E1"/>
    <w:rsid w:val="007B206A"/>
    <w:rsid w:val="008231B4"/>
    <w:rsid w:val="008B4B73"/>
    <w:rsid w:val="008B6DE8"/>
    <w:rsid w:val="00A4053A"/>
    <w:rsid w:val="00AF6E3E"/>
    <w:rsid w:val="00B263F1"/>
    <w:rsid w:val="00BD1D2D"/>
    <w:rsid w:val="00D47ADE"/>
    <w:rsid w:val="00F532F5"/>
    <w:rsid w:val="00FD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0F059"/>
  <w15:chartTrackingRefBased/>
  <w15:docId w15:val="{58DACC86-4DFA-418A-8A5C-4D14C8CB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3A2"/>
    <w:pPr>
      <w:spacing w:before="240" w:after="240" w:line="360" w:lineRule="auto"/>
      <w:jc w:val="both"/>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0A5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5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5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5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5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A2"/>
    <w:rPr>
      <w:rFonts w:eastAsiaTheme="majorEastAsia" w:cstheme="majorBidi"/>
      <w:color w:val="272727" w:themeColor="text1" w:themeTint="D8"/>
    </w:rPr>
  </w:style>
  <w:style w:type="paragraph" w:styleId="Title">
    <w:name w:val="Title"/>
    <w:basedOn w:val="Normal"/>
    <w:next w:val="Normal"/>
    <w:link w:val="TitleChar"/>
    <w:uiPriority w:val="10"/>
    <w:qFormat/>
    <w:rsid w:val="000A5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A2"/>
    <w:pPr>
      <w:spacing w:before="160"/>
      <w:jc w:val="center"/>
    </w:pPr>
    <w:rPr>
      <w:i/>
      <w:iCs/>
      <w:color w:val="404040" w:themeColor="text1" w:themeTint="BF"/>
    </w:rPr>
  </w:style>
  <w:style w:type="character" w:customStyle="1" w:styleId="QuoteChar">
    <w:name w:val="Quote Char"/>
    <w:basedOn w:val="DefaultParagraphFont"/>
    <w:link w:val="Quote"/>
    <w:uiPriority w:val="29"/>
    <w:rsid w:val="000A53A2"/>
    <w:rPr>
      <w:i/>
      <w:iCs/>
      <w:color w:val="404040" w:themeColor="text1" w:themeTint="BF"/>
    </w:rPr>
  </w:style>
  <w:style w:type="paragraph" w:styleId="ListParagraph">
    <w:name w:val="List Paragraph"/>
    <w:basedOn w:val="Normal"/>
    <w:uiPriority w:val="34"/>
    <w:qFormat/>
    <w:rsid w:val="000A53A2"/>
    <w:pPr>
      <w:ind w:left="720"/>
      <w:contextualSpacing/>
    </w:pPr>
  </w:style>
  <w:style w:type="character" w:styleId="IntenseEmphasis">
    <w:name w:val="Intense Emphasis"/>
    <w:basedOn w:val="DefaultParagraphFont"/>
    <w:uiPriority w:val="21"/>
    <w:qFormat/>
    <w:rsid w:val="000A53A2"/>
    <w:rPr>
      <w:i/>
      <w:iCs/>
      <w:color w:val="2F5496" w:themeColor="accent1" w:themeShade="BF"/>
    </w:rPr>
  </w:style>
  <w:style w:type="paragraph" w:styleId="IntenseQuote">
    <w:name w:val="Intense Quote"/>
    <w:basedOn w:val="Normal"/>
    <w:next w:val="Normal"/>
    <w:link w:val="IntenseQuoteChar"/>
    <w:uiPriority w:val="30"/>
    <w:qFormat/>
    <w:rsid w:val="000A5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3A2"/>
    <w:rPr>
      <w:i/>
      <w:iCs/>
      <w:color w:val="2F5496" w:themeColor="accent1" w:themeShade="BF"/>
    </w:rPr>
  </w:style>
  <w:style w:type="character" w:styleId="IntenseReference">
    <w:name w:val="Intense Reference"/>
    <w:basedOn w:val="DefaultParagraphFont"/>
    <w:uiPriority w:val="32"/>
    <w:qFormat/>
    <w:rsid w:val="000A53A2"/>
    <w:rPr>
      <w:b/>
      <w:bCs/>
      <w:smallCaps/>
      <w:color w:val="2F5496" w:themeColor="accent1" w:themeShade="BF"/>
      <w:spacing w:val="5"/>
    </w:rPr>
  </w:style>
  <w:style w:type="paragraph" w:styleId="BodyText">
    <w:name w:val="Body Text"/>
    <w:basedOn w:val="Normal"/>
    <w:link w:val="BodyTextChar"/>
    <w:uiPriority w:val="1"/>
    <w:qFormat/>
    <w:rsid w:val="000A53A2"/>
    <w:pPr>
      <w:widowControl w:val="0"/>
      <w:autoSpaceDE w:val="0"/>
      <w:autoSpaceDN w:val="0"/>
      <w:spacing w:after="0" w:line="240" w:lineRule="auto"/>
      <w:ind w:left="165"/>
      <w:jc w:val="left"/>
    </w:pPr>
    <w:rPr>
      <w:lang w:val="en-US"/>
    </w:rPr>
  </w:style>
  <w:style w:type="character" w:customStyle="1" w:styleId="BodyTextChar">
    <w:name w:val="Body Text Char"/>
    <w:basedOn w:val="DefaultParagraphFont"/>
    <w:link w:val="BodyText"/>
    <w:uiPriority w:val="1"/>
    <w:rsid w:val="000A53A2"/>
    <w:rPr>
      <w:rFonts w:ascii="Times New Roman" w:eastAsia="Times New Roman" w:hAnsi="Times New Roman" w:cs="Times New Roman"/>
      <w:kern w:val="0"/>
      <w14:ligatures w14:val="none"/>
    </w:rPr>
  </w:style>
  <w:style w:type="table" w:styleId="GridTable5Dark-Accent1">
    <w:name w:val="Grid Table 5 Dark Accent 1"/>
    <w:basedOn w:val="TableNormal"/>
    <w:uiPriority w:val="50"/>
    <w:rsid w:val="000A53A2"/>
    <w:pPr>
      <w:spacing w:before="240" w:after="0" w:line="240" w:lineRule="auto"/>
      <w:jc w:val="both"/>
    </w:pPr>
    <w:rPr>
      <w:rFonts w:ascii="Times New Roman" w:eastAsia="Times New Roman" w:hAnsi="Times New Roman" w:cs="Times New Roman"/>
      <w:kern w:val="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unhideWhenUsed/>
    <w:rsid w:val="000A53A2"/>
    <w:rPr>
      <w:color w:val="0563C1" w:themeColor="hyperlink"/>
      <w:u w:val="single"/>
    </w:rPr>
  </w:style>
  <w:style w:type="character" w:styleId="UnresolvedMention">
    <w:name w:val="Unresolved Mention"/>
    <w:basedOn w:val="DefaultParagraphFont"/>
    <w:uiPriority w:val="99"/>
    <w:semiHidden/>
    <w:unhideWhenUsed/>
    <w:rsid w:val="000A53A2"/>
    <w:rPr>
      <w:color w:val="605E5C"/>
      <w:shd w:val="clear" w:color="auto" w:fill="E1DFDD"/>
    </w:rPr>
  </w:style>
  <w:style w:type="table" w:styleId="TableGrid">
    <w:name w:val="Table Grid"/>
    <w:basedOn w:val="TableNormal"/>
    <w:uiPriority w:val="39"/>
    <w:rsid w:val="008B6DE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8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F7893"/>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unhideWhenUsed/>
    <w:rsid w:val="000F78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F7893"/>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148-2963(03)00070-5" TargetMode="External"/><Relationship Id="rId18" Type="http://schemas.openxmlformats.org/officeDocument/2006/relationships/hyperlink" Target="https://doi.org/10.1111/j.1540-6261.1991.tb03753.x" TargetMode="External"/><Relationship Id="rId26" Type="http://schemas.openxmlformats.org/officeDocument/2006/relationships/hyperlink" Target="https://doi.org/10.1111/1468-0084.0610s1631" TargetMode="External"/><Relationship Id="rId39" Type="http://schemas.openxmlformats.org/officeDocument/2006/relationships/hyperlink" Target="https://doi.org/10.1016/j.pacfin.2022.101791" TargetMode="External"/><Relationship Id="rId21" Type="http://schemas.openxmlformats.org/officeDocument/2006/relationships/hyperlink" Target="https://doi.org/10.5539/ijef.v8n3p23" TargetMode="External"/><Relationship Id="rId34" Type="http://schemas.openxmlformats.org/officeDocument/2006/relationships/hyperlink" Target="https://doi.org/10.1002/ijfe.213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corpfin.2019.101514" TargetMode="External"/><Relationship Id="rId29" Type="http://schemas.openxmlformats.org/officeDocument/2006/relationships/hyperlink" Target="https://doi.org/10.1016/S0304-405X(99)000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03100010017705" TargetMode="External"/><Relationship Id="rId24" Type="http://schemas.openxmlformats.org/officeDocument/2006/relationships/hyperlink" Target="https://doi.org/10.1016/0304-405X(76)90026-X" TargetMode="External"/><Relationship Id="rId32" Type="http://schemas.openxmlformats.org/officeDocument/2006/relationships/hyperlink" Target="https://doi.org/10.11114/aef.v6i2.3867" TargetMode="External"/><Relationship Id="rId37" Type="http://schemas.openxmlformats.org/officeDocument/2006/relationships/hyperlink" Target="https://doi.org/10.1111/j.1540-6261.1988.tb02585.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08/MF-10-2013-0275" TargetMode="External"/><Relationship Id="rId23" Type="http://schemas.openxmlformats.org/officeDocument/2006/relationships/hyperlink" Target="https://www.jstor.org/stable/1818789" TargetMode="External"/><Relationship Id="rId28" Type="http://schemas.openxmlformats.org/officeDocument/2006/relationships/hyperlink" Target="https://doi.org/10.2307/2327916" TargetMode="External"/><Relationship Id="rId36" Type="http://schemas.openxmlformats.org/officeDocument/2006/relationships/hyperlink" Target="https://doi.org/10.1016/0304-405X(90)90011-N" TargetMode="External"/><Relationship Id="rId10" Type="http://schemas.openxmlformats.org/officeDocument/2006/relationships/hyperlink" Target="http://www.gbv.de/dms/hebis-darmstadt/toc/118556681" TargetMode="External"/><Relationship Id="rId19" Type="http://schemas.openxmlformats.org/officeDocument/2006/relationships/hyperlink" Target="https://EconPapers.repec.org/RePEc:ecm:emetrp:v:46:y:1978:i:6:p:1251-71" TargetMode="External"/><Relationship Id="rId31" Type="http://schemas.openxmlformats.org/officeDocument/2006/relationships/hyperlink" Target="https://doi.org/10.1016/j.sbspro.2014.09.02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11/1540-6261.00414" TargetMode="External"/><Relationship Id="rId14" Type="http://schemas.openxmlformats.org/officeDocument/2006/relationships/hyperlink" Target="https://doi.org/10.2139/ssrn.3712668" TargetMode="External"/><Relationship Id="rId22" Type="http://schemas.openxmlformats.org/officeDocument/2006/relationships/hyperlink" Target="https://doi.org/10.55493/5008.v13i1.5269" TargetMode="External"/><Relationship Id="rId27" Type="http://schemas.openxmlformats.org/officeDocument/2006/relationships/hyperlink" Target="https://www.jstor.org/stable/1809766" TargetMode="External"/><Relationship Id="rId30" Type="http://schemas.openxmlformats.org/officeDocument/2006/relationships/hyperlink" Target="https://doi.org/10.1108/AJAR-05-2022-0144" TargetMode="External"/><Relationship Id="rId35" Type="http://schemas.openxmlformats.org/officeDocument/2006/relationships/hyperlink" Target="https://doi.org/10.1080/1540496X.2020.1785863" TargetMode="External"/><Relationship Id="rId43" Type="http://schemas.openxmlformats.org/officeDocument/2006/relationships/footer" Target="footer2.xml"/><Relationship Id="rId8" Type="http://schemas.openxmlformats.org/officeDocument/2006/relationships/hyperlink" Target="https://doi.org/10.3390/economies12050103" TargetMode="External"/><Relationship Id="rId3" Type="http://schemas.openxmlformats.org/officeDocument/2006/relationships/styles" Target="styles.xml"/><Relationship Id="rId12" Type="http://schemas.openxmlformats.org/officeDocument/2006/relationships/hyperlink" Target="https://doi.org/10.1111/0022-1082.00320" TargetMode="External"/><Relationship Id="rId17" Type="http://schemas.openxmlformats.org/officeDocument/2006/relationships/hyperlink" Target="https://doi.org/10.1111/j.1755-053X.2009.01026.x" TargetMode="External"/><Relationship Id="rId25" Type="http://schemas.openxmlformats.org/officeDocument/2006/relationships/hyperlink" Target="https://doi.org/10.2307/2978343" TargetMode="External"/><Relationship Id="rId33" Type="http://schemas.openxmlformats.org/officeDocument/2006/relationships/hyperlink" Target="https://doi.org/10.1111/j.1540-6261.1995.tb05184.x" TargetMode="External"/><Relationship Id="rId38" Type="http://schemas.openxmlformats.org/officeDocument/2006/relationships/hyperlink" Target="https://doi.org/10.1016/j.ribaf.2016.12.001" TargetMode="External"/><Relationship Id="rId46" Type="http://schemas.openxmlformats.org/officeDocument/2006/relationships/fontTable" Target="fontTable.xml"/><Relationship Id="rId20" Type="http://schemas.openxmlformats.org/officeDocument/2006/relationships/hyperlink" Target="https://doi.org/10.1016/j.chieco.2005.02.00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D22E73-D958-497B-8399-09407C7E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17</Pages>
  <Words>7617</Words>
  <Characters>43420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cp:revision>
  <dcterms:created xsi:type="dcterms:W3CDTF">2026-01-11T13:21:00Z</dcterms:created>
  <dcterms:modified xsi:type="dcterms:W3CDTF">2026-01-12T08:10:00Z</dcterms:modified>
</cp:coreProperties>
</file>