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C7A0B" w14:textId="56B44C56" w:rsidR="007F76E5" w:rsidRDefault="000364A5">
      <w:pPr>
        <w:pStyle w:val="Title"/>
        <w:spacing w:after="0"/>
        <w:jc w:val="both"/>
        <w:rPr>
          <w:rFonts w:ascii="Arial" w:eastAsia="Arial" w:hAnsi="Arial" w:cs="Arial"/>
        </w:rPr>
      </w:pPr>
      <w:r w:rsidRPr="000364A5">
        <w:rPr>
          <w:rFonts w:ascii="Arial" w:eastAsia="Arial" w:hAnsi="Arial" w:cs="Arial"/>
        </w:rPr>
        <w:t>Original Research Article</w:t>
      </w:r>
    </w:p>
    <w:p w14:paraId="6E3784C7" w14:textId="77777777" w:rsidR="000364A5" w:rsidRDefault="000364A5" w:rsidP="000364A5"/>
    <w:p w14:paraId="2EA8C13A" w14:textId="77777777" w:rsidR="000364A5" w:rsidRPr="000364A5" w:rsidRDefault="000364A5" w:rsidP="000364A5"/>
    <w:p w14:paraId="1452AD93" w14:textId="77777777" w:rsidR="007F76E5" w:rsidRDefault="0037067E">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THE IMPACT OF NATURAL DISASTERS ON ECONOMIC GROWTH IN INDONESIA: ANALYSIS OF TIME-SERIES DATA FROM 1960 TO 2024</w:t>
      </w:r>
      <w:r>
        <w:rPr>
          <w:rFonts w:ascii="Arial" w:eastAsia="Arial" w:hAnsi="Arial" w:cs="Arial"/>
          <w:b/>
          <w:bCs/>
          <w:sz w:val="36"/>
          <w:szCs w:val="36"/>
        </w:rPr>
        <w:tab/>
      </w:r>
      <w:r>
        <w:rPr>
          <w:rFonts w:ascii="Times New Roman" w:eastAsia="Times New Roman" w:hAnsi="Times New Roman" w:cs="Times New Roman"/>
          <w:sz w:val="24"/>
          <w:szCs w:val="24"/>
        </w:rPr>
        <w:tab/>
      </w:r>
    </w:p>
    <w:p w14:paraId="42D98F02" w14:textId="77777777" w:rsidR="007F76E5" w:rsidRDefault="007F76E5">
      <w:pPr>
        <w:pBdr>
          <w:top w:val="nil"/>
          <w:left w:val="nil"/>
          <w:bottom w:val="nil"/>
          <w:right w:val="nil"/>
          <w:between w:val="nil"/>
        </w:pBdr>
        <w:jc w:val="both"/>
        <w:rPr>
          <w:rFonts w:ascii="Arial" w:eastAsia="Arial" w:hAnsi="Arial" w:cs="Arial"/>
          <w:b/>
          <w:bCs/>
          <w:color w:val="000000"/>
          <w:sz w:val="36"/>
          <w:szCs w:val="36"/>
        </w:rPr>
      </w:pPr>
    </w:p>
    <w:p w14:paraId="43C536A3" w14:textId="77777777" w:rsidR="007F76E5" w:rsidRDefault="007F76E5">
      <w:pPr>
        <w:pBdr>
          <w:top w:val="nil"/>
          <w:left w:val="nil"/>
          <w:bottom w:val="nil"/>
          <w:right w:val="nil"/>
          <w:between w:val="nil"/>
        </w:pBdr>
        <w:jc w:val="both"/>
        <w:rPr>
          <w:rFonts w:ascii="Arial" w:eastAsia="Arial" w:hAnsi="Arial" w:cs="Arial"/>
          <w:color w:val="000000"/>
        </w:rPr>
      </w:pPr>
    </w:p>
    <w:p w14:paraId="7FCDEBB8" w14:textId="77777777" w:rsidR="007F76E5" w:rsidRDefault="0037067E">
      <w:pPr>
        <w:pBdr>
          <w:top w:val="nil"/>
          <w:left w:val="nil"/>
          <w:bottom w:val="nil"/>
          <w:right w:val="nil"/>
          <w:between w:val="nil"/>
        </w:pBdr>
        <w:jc w:val="both"/>
        <w:rPr>
          <w:rFonts w:ascii="Arial" w:eastAsia="Arial" w:hAnsi="Arial" w:cs="Arial"/>
          <w:color w:val="000000"/>
          <w:sz w:val="16"/>
          <w:szCs w:val="16"/>
        </w:rPr>
        <w:sectPr w:rsidR="007F76E5" w:rsidSect="0056078E">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1F5D7F5A" wp14:editId="60EB6FB8">
                <wp:extent cx="5341620" cy="571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41620" cy="57150"/>
                <wp:effectExtent b="0" l="0" r="0" t="0"/>
                <wp:docPr id="1" name="image1.png"/>
                <a:graphic>
                  <a:graphicData uri="http://schemas.openxmlformats.org/drawingml/2006/picture">
                    <pic:pic>
                      <pic:nvPicPr>
                        <pic:cNvPr id="0" name="image1.png"/>
                        <pic:cNvPicPr preferRelativeResize="0"/>
                      </pic:nvPicPr>
                      <pic:blipFill>
                        <a:blip r:embed="rId16"/>
                        <a:srcRect/>
                        <a:stretch>
                          <a:fillRect/>
                        </a:stretch>
                      </pic:blipFill>
                      <pic:spPr>
                        <a:xfrm>
                          <a:off x="0" y="0"/>
                          <a:ext cx="5341620" cy="57150"/>
                        </a:xfrm>
                        <a:prstGeom prst="rect"/>
                        <a:ln/>
                      </pic:spPr>
                    </pic:pic>
                  </a:graphicData>
                </a:graphic>
              </wp:inline>
            </w:drawing>
          </mc:Fallback>
        </mc:AlternateContent>
      </w:r>
      <w:r>
        <w:rPr>
          <w:rFonts w:ascii="Arial" w:eastAsia="Arial" w:hAnsi="Arial" w:cs="Arial"/>
          <w:color w:val="000000"/>
          <w:sz w:val="16"/>
          <w:szCs w:val="16"/>
        </w:rPr>
        <w:t>.</w:t>
      </w:r>
    </w:p>
    <w:p w14:paraId="19D8F040" w14:textId="78B86AAD" w:rsidR="007F76E5" w:rsidRDefault="0037067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32858B36" w14:textId="77777777" w:rsidR="007F76E5" w:rsidRDefault="007F76E5">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71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15"/>
      </w:tblGrid>
      <w:tr w:rsidR="007F76E5" w14:paraId="74095EEC" w14:textId="77777777">
        <w:tc>
          <w:tcPr>
            <w:tcW w:w="8715" w:type="dxa"/>
            <w:shd w:val="clear" w:color="auto" w:fill="F2F2F2"/>
          </w:tcPr>
          <w:p w14:paraId="483A66CA" w14:textId="77777777" w:rsidR="007F76E5" w:rsidRDefault="007F76E5">
            <w:pPr>
              <w:pBdr>
                <w:top w:val="nil"/>
                <w:left w:val="nil"/>
                <w:bottom w:val="nil"/>
                <w:right w:val="nil"/>
                <w:between w:val="nil"/>
              </w:pBdr>
              <w:jc w:val="both"/>
              <w:rPr>
                <w:rFonts w:ascii="Arial" w:eastAsia="Arial" w:hAnsi="Arial" w:cs="Arial"/>
                <w:b/>
                <w:bCs/>
                <w:color w:val="000000"/>
              </w:rPr>
            </w:pPr>
          </w:p>
          <w:p w14:paraId="03863ADD" w14:textId="77777777" w:rsidR="007F76E5" w:rsidRDefault="0037067E">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Aims: </w:t>
            </w:r>
            <w:r>
              <w:rPr>
                <w:rFonts w:ascii="Arial" w:eastAsia="Arial" w:hAnsi="Arial" w:cs="Arial"/>
                <w:color w:val="000000"/>
              </w:rPr>
              <w:t xml:space="preserve">This study examines the long-run and short-run effects of natural disasters on </w:t>
            </w:r>
            <w:r>
              <w:rPr>
                <w:rFonts w:ascii="Arial" w:eastAsia="Arial" w:hAnsi="Arial" w:cs="Arial"/>
                <w:color w:val="000000"/>
              </w:rPr>
              <w:t>economic growth in Indonesia and assesses whether natural disasters impose persistent constraints on long-term economic performance through macroeconomic transmission channels.</w:t>
            </w:r>
          </w:p>
          <w:p w14:paraId="4F8CDDD7" w14:textId="77777777" w:rsidR="007F76E5" w:rsidRDefault="0037067E">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Study design:</w:t>
            </w:r>
            <w:r>
              <w:rPr>
                <w:rFonts w:ascii="Arial" w:eastAsia="Arial" w:hAnsi="Arial" w:cs="Arial"/>
              </w:rPr>
              <w:t xml:space="preserve"> </w:t>
            </w:r>
            <w:r>
              <w:rPr>
                <w:rFonts w:ascii="Arial" w:eastAsia="Arial" w:hAnsi="Arial" w:cs="Arial"/>
                <w:color w:val="000000"/>
              </w:rPr>
              <w:t>This study adopts a quantitative time-series econometric design u</w:t>
            </w:r>
            <w:r>
              <w:rPr>
                <w:rFonts w:ascii="Arial" w:eastAsia="Arial" w:hAnsi="Arial" w:cs="Arial"/>
                <w:color w:val="000000"/>
              </w:rPr>
              <w:t>sing a Vector Error Correction Model (VECM)</w:t>
            </w:r>
            <w:r>
              <w:rPr>
                <w:rFonts w:ascii="Arial" w:eastAsia="Arial" w:hAnsi="Arial" w:cs="Arial"/>
              </w:rPr>
              <w:t>.</w:t>
            </w:r>
          </w:p>
          <w:p w14:paraId="6A276BBA" w14:textId="77777777" w:rsidR="007F76E5" w:rsidRDefault="0037067E">
            <w:pPr>
              <w:pBdr>
                <w:top w:val="nil"/>
                <w:left w:val="nil"/>
                <w:bottom w:val="nil"/>
                <w:right w:val="nil"/>
                <w:between w:val="nil"/>
              </w:pBdr>
              <w:jc w:val="both"/>
              <w:rPr>
                <w:rFonts w:ascii="Arial" w:eastAsia="Arial" w:hAnsi="Arial" w:cs="Arial"/>
              </w:rPr>
            </w:pPr>
            <w:r>
              <w:rPr>
                <w:rFonts w:ascii="Arial" w:eastAsia="Arial" w:hAnsi="Arial" w:cs="Arial"/>
                <w:b/>
                <w:bCs/>
                <w:color w:val="000000"/>
              </w:rPr>
              <w:t>Place and Duration of Study:</w:t>
            </w:r>
            <w:r>
              <w:rPr>
                <w:rFonts w:ascii="Arial" w:eastAsia="Arial" w:hAnsi="Arial" w:cs="Arial"/>
                <w:color w:val="000000"/>
              </w:rPr>
              <w:t xml:space="preserve"> </w:t>
            </w:r>
            <w:r>
              <w:rPr>
                <w:rFonts w:ascii="Arial" w:eastAsia="Arial" w:hAnsi="Arial" w:cs="Arial"/>
              </w:rPr>
              <w:t>The study focuses on Indonesia and utilizes annual macroeconomic data covering the period from 1960 to 2024.</w:t>
            </w:r>
          </w:p>
          <w:p w14:paraId="055CAA9F" w14:textId="77777777" w:rsidR="007F76E5" w:rsidRDefault="0037067E">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Methodology:</w:t>
            </w:r>
            <w:r>
              <w:rPr>
                <w:rFonts w:ascii="Arial" w:eastAsia="Arial" w:hAnsi="Arial" w:cs="Arial"/>
                <w:color w:val="000000"/>
              </w:rPr>
              <w:t xml:space="preserve"> Annual time-series data were obtained from the World Bank’s </w:t>
            </w:r>
            <w:r>
              <w:rPr>
                <w:rFonts w:ascii="Arial" w:eastAsia="Arial" w:hAnsi="Arial" w:cs="Arial"/>
                <w:color w:val="000000"/>
              </w:rPr>
              <w:t>World Development Indicators. Economic growth is measured using real GDP, while natural disasters are proxied by the number of people affected by disaster events. Control variables include capital formation, labor force, foreign direct investment, trade op</w:t>
            </w:r>
            <w:r>
              <w:rPr>
                <w:rFonts w:ascii="Arial" w:eastAsia="Arial" w:hAnsi="Arial" w:cs="Arial"/>
                <w:color w:val="000000"/>
              </w:rPr>
              <w:t>enness, government expenditure, and population. Unit root tests were conducted to examine the stationarity properties of the variables, followed by Johansen cointegration tests to determine the existence of long-run equilibrium relationships. A Vector Erro</w:t>
            </w:r>
            <w:r>
              <w:rPr>
                <w:rFonts w:ascii="Arial" w:eastAsia="Arial" w:hAnsi="Arial" w:cs="Arial"/>
                <w:color w:val="000000"/>
              </w:rPr>
              <w:t>r Correction Model was then estimated to analyze both long-run relationships and short-run dynamics among the variable</w:t>
            </w:r>
            <w:r>
              <w:rPr>
                <w:rFonts w:ascii="Arial" w:eastAsia="Arial" w:hAnsi="Arial" w:cs="Arial"/>
              </w:rPr>
              <w:t>s.</w:t>
            </w:r>
          </w:p>
          <w:p w14:paraId="4F0A4664" w14:textId="77777777" w:rsidR="007F76E5" w:rsidRDefault="0037067E">
            <w:pPr>
              <w:pBdr>
                <w:top w:val="nil"/>
                <w:left w:val="nil"/>
                <w:bottom w:val="nil"/>
                <w:right w:val="nil"/>
                <w:between w:val="nil"/>
              </w:pBdr>
              <w:jc w:val="both"/>
              <w:rPr>
                <w:rFonts w:ascii="Arial" w:eastAsia="Arial" w:hAnsi="Arial" w:cs="Arial"/>
              </w:rPr>
            </w:pPr>
            <w:r>
              <w:rPr>
                <w:rFonts w:ascii="Arial" w:eastAsia="Arial" w:hAnsi="Arial" w:cs="Arial"/>
                <w:b/>
                <w:bCs/>
                <w:color w:val="000000"/>
              </w:rPr>
              <w:t>Results:</w:t>
            </w:r>
            <w:r>
              <w:rPr>
                <w:rFonts w:ascii="Arial" w:eastAsia="Arial" w:hAnsi="Arial" w:cs="Arial"/>
                <w:color w:val="000000"/>
              </w:rPr>
              <w:t xml:space="preserve"> All variables are integrated of order one and cointegrated, indicating a stable long-run relationship. Natural disasters have </w:t>
            </w:r>
            <w:r>
              <w:rPr>
                <w:rFonts w:ascii="Arial" w:eastAsia="Arial" w:hAnsi="Arial" w:cs="Arial"/>
                <w:color w:val="000000"/>
              </w:rPr>
              <w:t>a statistically significant negative effect on long-term economic growth, while short-run effects are insignificant. Capital formation, government expenditure, trade openness, and population growth positively influence long-run economic performance, and th</w:t>
            </w:r>
            <w:r>
              <w:rPr>
                <w:rFonts w:ascii="Arial" w:eastAsia="Arial" w:hAnsi="Arial" w:cs="Arial"/>
                <w:color w:val="000000"/>
              </w:rPr>
              <w:t>e significant negative error correction term confirms gradual adjustment toward long-run equilibrium.</w:t>
            </w:r>
          </w:p>
          <w:p w14:paraId="583B3FBF" w14:textId="77777777" w:rsidR="007F76E5" w:rsidRDefault="0037067E">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color w:val="000000"/>
              </w:rPr>
              <w:t xml:space="preserve"> Natural disasters impose a significant long-run constraint on economic growth in Indonesia, despite having no statistically significant short-</w:t>
            </w:r>
            <w:r>
              <w:rPr>
                <w:rFonts w:ascii="Arial" w:eastAsia="Arial" w:hAnsi="Arial" w:cs="Arial"/>
                <w:color w:val="000000"/>
              </w:rPr>
              <w:t>run effects. Strengthening disaster risk reduction and macroeconomic resilience is therefore essential to reduce long-term economic losses.</w:t>
            </w:r>
          </w:p>
        </w:tc>
      </w:tr>
    </w:tbl>
    <w:p w14:paraId="268B6A17" w14:textId="77777777" w:rsidR="007F76E5" w:rsidRDefault="007F76E5">
      <w:pPr>
        <w:pBdr>
          <w:top w:val="nil"/>
          <w:left w:val="nil"/>
          <w:bottom w:val="nil"/>
          <w:right w:val="nil"/>
          <w:between w:val="nil"/>
        </w:pBdr>
        <w:jc w:val="both"/>
        <w:rPr>
          <w:rFonts w:ascii="Arial" w:eastAsia="Arial" w:hAnsi="Arial" w:cs="Arial"/>
          <w:i/>
          <w:iCs/>
          <w:color w:val="000000"/>
        </w:rPr>
      </w:pPr>
    </w:p>
    <w:p w14:paraId="4D71ACA0" w14:textId="77777777" w:rsidR="007F76E5" w:rsidRDefault="0037067E">
      <w:pPr>
        <w:pBdr>
          <w:top w:val="nil"/>
          <w:left w:val="nil"/>
          <w:bottom w:val="nil"/>
          <w:right w:val="nil"/>
          <w:between w:val="nil"/>
        </w:pBdr>
        <w:jc w:val="both"/>
        <w:rPr>
          <w:rFonts w:ascii="Arial" w:eastAsia="Arial" w:hAnsi="Arial" w:cs="Arial"/>
          <w:i/>
          <w:iCs/>
        </w:rPr>
      </w:pPr>
      <w:r>
        <w:rPr>
          <w:rFonts w:ascii="Arial" w:eastAsia="Arial" w:hAnsi="Arial" w:cs="Arial"/>
          <w:i/>
          <w:iCs/>
          <w:color w:val="000000"/>
        </w:rPr>
        <w:t xml:space="preserve">Keywords: </w:t>
      </w:r>
      <w:r>
        <w:rPr>
          <w:rFonts w:ascii="Arial" w:eastAsia="Arial" w:hAnsi="Arial" w:cs="Arial"/>
          <w:i/>
          <w:iCs/>
        </w:rPr>
        <w:t xml:space="preserve">Cointegration; Dynamics; Indonesia; Growth; Natural disasters </w:t>
      </w:r>
    </w:p>
    <w:p w14:paraId="1CF85FC7" w14:textId="77777777" w:rsidR="007F76E5" w:rsidRDefault="007F76E5">
      <w:pPr>
        <w:pBdr>
          <w:top w:val="nil"/>
          <w:left w:val="nil"/>
          <w:bottom w:val="nil"/>
          <w:right w:val="nil"/>
          <w:between w:val="nil"/>
        </w:pBdr>
        <w:jc w:val="both"/>
        <w:rPr>
          <w:rFonts w:ascii="Arial" w:eastAsia="Arial" w:hAnsi="Arial" w:cs="Arial"/>
          <w:i/>
          <w:iCs/>
        </w:rPr>
      </w:pPr>
    </w:p>
    <w:p w14:paraId="7F7F0D1C" w14:textId="77777777" w:rsidR="007F76E5" w:rsidRDefault="0037067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4826F7BD" w14:textId="77777777" w:rsidR="007F76E5" w:rsidRDefault="0037067E">
      <w:pPr>
        <w:pBdr>
          <w:top w:val="nil"/>
          <w:left w:val="nil"/>
          <w:bottom w:val="nil"/>
          <w:right w:val="nil"/>
          <w:between w:val="nil"/>
        </w:pBdr>
        <w:jc w:val="both"/>
        <w:rPr>
          <w:rFonts w:ascii="Arial" w:eastAsia="Arial" w:hAnsi="Arial" w:cs="Arial"/>
        </w:rPr>
      </w:pPr>
      <w:r>
        <w:rPr>
          <w:rFonts w:ascii="Arial" w:eastAsia="Arial" w:hAnsi="Arial" w:cs="Arial"/>
        </w:rPr>
        <w:t xml:space="preserve">Indonesia is one of the most disaster-prone countries in the world due to its geographical location along the Pacific Ring of Fire and its vast archipelagic structure </w:t>
      </w:r>
      <w:hyperlink r:id="rId17">
        <w:r>
          <w:rPr>
            <w:rFonts w:ascii="Arial" w:eastAsia="Arial" w:hAnsi="Arial" w:cs="Arial"/>
          </w:rPr>
          <w:t>(</w:t>
        </w:r>
        <w:proofErr w:type="spellStart"/>
        <w:r>
          <w:rPr>
            <w:rFonts w:ascii="Arial" w:eastAsia="Arial" w:hAnsi="Arial" w:cs="Arial"/>
          </w:rPr>
          <w:t>Prasojo</w:t>
        </w:r>
        <w:proofErr w:type="spellEnd"/>
        <w:r>
          <w:rPr>
            <w:rFonts w:ascii="Arial" w:eastAsia="Arial" w:hAnsi="Arial" w:cs="Arial"/>
          </w:rPr>
          <w:t xml:space="preserve"> et al., 202</w:t>
        </w:r>
        <w:r>
          <w:rPr>
            <w:rFonts w:ascii="Arial" w:eastAsia="Arial" w:hAnsi="Arial" w:cs="Arial"/>
          </w:rPr>
          <w:t>1)</w:t>
        </w:r>
      </w:hyperlink>
      <w:r>
        <w:rPr>
          <w:rFonts w:ascii="Arial" w:eastAsia="Arial" w:hAnsi="Arial" w:cs="Arial"/>
        </w:rPr>
        <w:t>. Indonesia experiences frequent earthquakes, volcanic eruptions, floods, and extreme weather events. While these natural hazards are often discussed in terms of humanitarian loss and environmental damage, their broader and more persistent implications f</w:t>
      </w:r>
      <w:r>
        <w:rPr>
          <w:rFonts w:ascii="Arial" w:eastAsia="Arial" w:hAnsi="Arial" w:cs="Arial"/>
        </w:rPr>
        <w:t xml:space="preserve">or economic </w:t>
      </w:r>
      <w:r>
        <w:rPr>
          <w:rFonts w:ascii="Arial" w:eastAsia="Arial" w:hAnsi="Arial" w:cs="Arial"/>
        </w:rPr>
        <w:lastRenderedPageBreak/>
        <w:t xml:space="preserve">development remain a critical concern. </w:t>
      </w:r>
      <w:hyperlink r:id="rId18">
        <w:r>
          <w:rPr>
            <w:rFonts w:ascii="Arial" w:eastAsia="Arial" w:hAnsi="Arial" w:cs="Arial"/>
          </w:rPr>
          <w:t>(</w:t>
        </w:r>
        <w:proofErr w:type="spellStart"/>
        <w:r>
          <w:rPr>
            <w:rFonts w:ascii="Arial" w:eastAsia="Arial" w:hAnsi="Arial" w:cs="Arial"/>
          </w:rPr>
          <w:t>Ashgaf</w:t>
        </w:r>
        <w:proofErr w:type="spellEnd"/>
        <w:r>
          <w:rPr>
            <w:rFonts w:ascii="Arial" w:eastAsia="Arial" w:hAnsi="Arial" w:cs="Arial"/>
          </w:rPr>
          <w:t xml:space="preserve"> et al., 2024)</w:t>
        </w:r>
      </w:hyperlink>
      <w:r>
        <w:rPr>
          <w:rFonts w:ascii="Arial" w:eastAsia="Arial" w:hAnsi="Arial" w:cs="Arial"/>
        </w:rPr>
        <w:t>. For a rapidly developing economy such as Indonesia, repeated exposure to natural disasters poses significant chal</w:t>
      </w:r>
      <w:r>
        <w:rPr>
          <w:rFonts w:ascii="Arial" w:eastAsia="Arial" w:hAnsi="Arial" w:cs="Arial"/>
        </w:rPr>
        <w:t>lenges to sustaining long-term economic growth, reducing poverty, and maintaining macroeconomic stability.</w:t>
      </w:r>
    </w:p>
    <w:p w14:paraId="19FADE36" w14:textId="77777777" w:rsidR="007F76E5" w:rsidRDefault="0037067E">
      <w:pPr>
        <w:jc w:val="both"/>
        <w:rPr>
          <w:rFonts w:ascii="Arial" w:eastAsia="Arial" w:hAnsi="Arial" w:cs="Arial"/>
        </w:rPr>
      </w:pPr>
      <w:r>
        <w:rPr>
          <w:rFonts w:ascii="Arial" w:eastAsia="Arial" w:hAnsi="Arial" w:cs="Arial"/>
        </w:rPr>
        <w:t xml:space="preserve">Natural disasters directly disrupt economic activity by destroying physical infrastructure, production facilities, housing, and public services </w:t>
      </w:r>
      <w:hyperlink r:id="rId19">
        <w:r>
          <w:rPr>
            <w:rFonts w:ascii="Arial" w:eastAsia="Arial" w:hAnsi="Arial" w:cs="Arial"/>
          </w:rPr>
          <w:t>(</w:t>
        </w:r>
        <w:proofErr w:type="spellStart"/>
        <w:r>
          <w:rPr>
            <w:rFonts w:ascii="Arial" w:eastAsia="Arial" w:hAnsi="Arial" w:cs="Arial"/>
          </w:rPr>
          <w:t>Escaleras</w:t>
        </w:r>
        <w:proofErr w:type="spellEnd"/>
        <w:r>
          <w:rPr>
            <w:rFonts w:ascii="Arial" w:eastAsia="Arial" w:hAnsi="Arial" w:cs="Arial"/>
          </w:rPr>
          <w:t xml:space="preserve"> &amp; Register, 2011)</w:t>
        </w:r>
      </w:hyperlink>
      <w:r>
        <w:rPr>
          <w:rFonts w:ascii="Arial" w:eastAsia="Arial" w:hAnsi="Arial" w:cs="Arial"/>
        </w:rPr>
        <w:t xml:space="preserve">. Damage to transport networks, utilities, and communication systems interrupts market access and supply chains, leading to immediate output losses </w:t>
      </w:r>
      <w:hyperlink r:id="rId20">
        <w:r>
          <w:rPr>
            <w:rFonts w:ascii="Arial" w:eastAsia="Arial" w:hAnsi="Arial" w:cs="Arial"/>
          </w:rPr>
          <w:t>(Lima &amp; Barbosa, 2019)</w:t>
        </w:r>
      </w:hyperlink>
      <w:r>
        <w:rPr>
          <w:rFonts w:ascii="Arial" w:eastAsia="Arial" w:hAnsi="Arial" w:cs="Arial"/>
        </w:rPr>
        <w:t>. In Indonesia, these effects are particularly pronounced in agriculture-dependent and disaster-exposed regions, where floods, landslides, and extreme weather events reduce cultivat</w:t>
      </w:r>
      <w:r>
        <w:rPr>
          <w:rFonts w:ascii="Arial" w:eastAsia="Arial" w:hAnsi="Arial" w:cs="Arial"/>
        </w:rPr>
        <w:t xml:space="preserve">ed land, lower crop yields, and increase income volatility among rural households. Beyond these direct losses, disasters also generate indirect and long-term economic consequences by weakening human capital, increasing poverty and inequality, discouraging </w:t>
      </w:r>
      <w:r>
        <w:rPr>
          <w:rFonts w:ascii="Arial" w:eastAsia="Arial" w:hAnsi="Arial" w:cs="Arial"/>
        </w:rPr>
        <w:t xml:space="preserve">investment, and straining public finances through rising reconstruction and social protection costs </w:t>
      </w:r>
      <w:hyperlink r:id="rId21">
        <w:r>
          <w:rPr>
            <w:rFonts w:ascii="Arial" w:eastAsia="Arial" w:hAnsi="Arial" w:cs="Arial"/>
          </w:rPr>
          <w:t>(Maira et al., 2024)</w:t>
        </w:r>
      </w:hyperlink>
      <w:r>
        <w:rPr>
          <w:rFonts w:ascii="Arial" w:eastAsia="Arial" w:hAnsi="Arial" w:cs="Arial"/>
        </w:rPr>
        <w:t>.</w:t>
      </w:r>
    </w:p>
    <w:p w14:paraId="482B7B35" w14:textId="77777777" w:rsidR="007F76E5" w:rsidRDefault="0037067E">
      <w:pPr>
        <w:jc w:val="both"/>
        <w:rPr>
          <w:rFonts w:ascii="Arial" w:eastAsia="Arial" w:hAnsi="Arial" w:cs="Arial"/>
        </w:rPr>
      </w:pPr>
      <w:r>
        <w:rPr>
          <w:rFonts w:ascii="Arial" w:eastAsia="Arial" w:hAnsi="Arial" w:cs="Arial"/>
        </w:rPr>
        <w:t>Despite the growing body of literature examining the economic eff</w:t>
      </w:r>
      <w:r>
        <w:rPr>
          <w:rFonts w:ascii="Arial" w:eastAsia="Arial" w:hAnsi="Arial" w:cs="Arial"/>
        </w:rPr>
        <w:t xml:space="preserve">ects of natural disasters in Indonesia, several critical gaps remain. Existing studies primarily focus on localized case studies, sector-specific impacts, or short-term effects following major disaster events. Many analyses rely on cross-sectional data or </w:t>
      </w:r>
      <w:r>
        <w:rPr>
          <w:rFonts w:ascii="Arial" w:eastAsia="Arial" w:hAnsi="Arial" w:cs="Arial"/>
        </w:rPr>
        <w:t>event-based approaches, which fail to capture the cumulative and persistent nature of disaster shocks over extended periods. Moreover, relatively few studies employ long-run macroeconomic time-series data spanning multiple decades, particularly those cover</w:t>
      </w:r>
      <w:r>
        <w:rPr>
          <w:rFonts w:ascii="Arial" w:eastAsia="Arial" w:hAnsi="Arial" w:cs="Arial"/>
        </w:rPr>
        <w:t>ing periods of institutional reform, decentralization, and evolving disaster management capacity in Indonesia. As a result, the long-term relationship between natural disasters and national economic growth remains insufficiently explored.</w:t>
      </w:r>
    </w:p>
    <w:p w14:paraId="472285EE" w14:textId="77777777" w:rsidR="007F76E5" w:rsidRDefault="0037067E">
      <w:pPr>
        <w:jc w:val="both"/>
        <w:rPr>
          <w:rFonts w:ascii="Arial" w:eastAsia="Arial" w:hAnsi="Arial" w:cs="Arial"/>
        </w:rPr>
      </w:pPr>
      <w:r>
        <w:rPr>
          <w:rFonts w:ascii="Arial" w:eastAsia="Arial" w:hAnsi="Arial" w:cs="Arial"/>
        </w:rPr>
        <w:t>Natural disasters</w:t>
      </w:r>
      <w:r>
        <w:rPr>
          <w:rFonts w:ascii="Arial" w:eastAsia="Arial" w:hAnsi="Arial" w:cs="Arial"/>
        </w:rPr>
        <w:t xml:space="preserve"> represent a critical yet underexplored determinant of economic growth in Indonesia, despite the country’s high exposure to earthquakes, floods, volcanic eruptions, and climate-related hazards. Much of the existing literature treats natural disasters as sh</w:t>
      </w:r>
      <w:r>
        <w:rPr>
          <w:rFonts w:ascii="Arial" w:eastAsia="Arial" w:hAnsi="Arial" w:cs="Arial"/>
        </w:rPr>
        <w:t>ort-term shocks or relies on cross-country analyses that obscure country-specific growth dynamics, institutional responses, and structural vulnerabilities. In the Indonesian context, economic growth studies have primarily focused on conventional drivers su</w:t>
      </w:r>
      <w:r>
        <w:rPr>
          <w:rFonts w:ascii="Arial" w:eastAsia="Arial" w:hAnsi="Arial" w:cs="Arial"/>
        </w:rPr>
        <w:t xml:space="preserve">ch as investment, trade, and population growth, with limited integration of disaster-related risks into growth frameworks. This omission is essential given that recurrent disasters often disrupt production, damage infrastructure, weaken </w:t>
      </w:r>
      <w:proofErr w:type="spellStart"/>
      <w:r>
        <w:rPr>
          <w:rFonts w:ascii="Arial" w:eastAsia="Arial" w:hAnsi="Arial" w:cs="Arial"/>
        </w:rPr>
        <w:t>labour</w:t>
      </w:r>
      <w:proofErr w:type="spellEnd"/>
      <w:r>
        <w:rPr>
          <w:rFonts w:ascii="Arial" w:eastAsia="Arial" w:hAnsi="Arial" w:cs="Arial"/>
        </w:rPr>
        <w:t xml:space="preserve"> productivity</w:t>
      </w:r>
      <w:r>
        <w:rPr>
          <w:rFonts w:ascii="Arial" w:eastAsia="Arial" w:hAnsi="Arial" w:cs="Arial"/>
        </w:rPr>
        <w:t>, and strain public finances, thereby affecting growth beyond the immediate aftermath. By explicitly examining the impact of natural disasters on economic growth in Indonesia, this study addresses a clear empirical gap. It provides country-specific evidenc</w:t>
      </w:r>
      <w:r>
        <w:rPr>
          <w:rFonts w:ascii="Arial" w:eastAsia="Arial" w:hAnsi="Arial" w:cs="Arial"/>
        </w:rPr>
        <w:t>e that is essential for understanding long-term development challenges in a disaster-prone economy.</w:t>
      </w:r>
    </w:p>
    <w:p w14:paraId="1278E7F6" w14:textId="77777777" w:rsidR="007F76E5" w:rsidRDefault="0037067E">
      <w:pPr>
        <w:jc w:val="both"/>
        <w:rPr>
          <w:rFonts w:ascii="Arial" w:eastAsia="Arial" w:hAnsi="Arial" w:cs="Arial"/>
        </w:rPr>
      </w:pPr>
      <w:r>
        <w:rPr>
          <w:rFonts w:ascii="Arial" w:eastAsia="Arial" w:hAnsi="Arial" w:cs="Arial"/>
        </w:rPr>
        <w:t>The main objective of this study is to analyze the long-run impact of natural disasters on economic development in Indonesia. Specifically, the study aims t</w:t>
      </w:r>
      <w:r>
        <w:rPr>
          <w:rFonts w:ascii="Arial" w:eastAsia="Arial" w:hAnsi="Arial" w:cs="Arial"/>
        </w:rPr>
        <w:t>o examine the long-run equilibrium relationship between economic growth and natural disasters in Indonesia as well as analyze the short-run dynamic interactions between natural disasters and key macroeconomic variables. It will also assess the role of fore</w:t>
      </w:r>
      <w:r>
        <w:rPr>
          <w:rFonts w:ascii="Arial" w:eastAsia="Arial" w:hAnsi="Arial" w:cs="Arial"/>
        </w:rPr>
        <w:t>ign direct investment, government expenditure, trade openness, capital, labor, and population in mediating the economic effects of natural disasters. Finally, the study provides policy-relevant insights for strengthening economic resilience and sustainable</w:t>
      </w:r>
      <w:r>
        <w:rPr>
          <w:rFonts w:ascii="Arial" w:eastAsia="Arial" w:hAnsi="Arial" w:cs="Arial"/>
        </w:rPr>
        <w:t xml:space="preserve"> growth in a disaster-prone economy. </w:t>
      </w:r>
    </w:p>
    <w:p w14:paraId="43677C71" w14:textId="77777777" w:rsidR="007F76E5" w:rsidRDefault="0037067E">
      <w:pPr>
        <w:jc w:val="both"/>
        <w:rPr>
          <w:rFonts w:ascii="Arial" w:eastAsia="Arial" w:hAnsi="Arial" w:cs="Arial"/>
        </w:rPr>
      </w:pPr>
      <w:r>
        <w:rPr>
          <w:rFonts w:ascii="Arial" w:eastAsia="Arial" w:hAnsi="Arial" w:cs="Arial"/>
        </w:rPr>
        <w:t>These research questions are raised in response to persistent gaps and mixed evidence in the existing literature on the relationship between natural disasters and economic growth, particularly in the Indonesian context</w:t>
      </w:r>
      <w:r>
        <w:rPr>
          <w:rFonts w:ascii="Arial" w:eastAsia="Arial" w:hAnsi="Arial" w:cs="Arial"/>
        </w:rPr>
        <w:t>. While prior studies document the immediate and localized economic impacts of disaster events, they provide limited and inconclusive evidence on whether natural disasters exert a persistent long-run influence on national economic growth. Distinguishing be</w:t>
      </w:r>
      <w:r>
        <w:rPr>
          <w:rFonts w:ascii="Arial" w:eastAsia="Arial" w:hAnsi="Arial" w:cs="Arial"/>
        </w:rPr>
        <w:t>tween short-run and long-run effects is therefore essential, as disasters often generate immediate economic disruptions. At the same time, their long-term consequences depend on recovery processes, adjustment mechanisms, and structural conditions. Moreover</w:t>
      </w:r>
      <w:r>
        <w:rPr>
          <w:rFonts w:ascii="Arial" w:eastAsia="Arial" w:hAnsi="Arial" w:cs="Arial"/>
        </w:rPr>
        <w:t xml:space="preserve">, the growth impact of natural disasters does not occur in isolation but is </w:t>
      </w:r>
      <w:r>
        <w:rPr>
          <w:rFonts w:ascii="Arial" w:eastAsia="Arial" w:hAnsi="Arial" w:cs="Arial"/>
        </w:rPr>
        <w:lastRenderedPageBreak/>
        <w:t>shaped by broader macroeconomic factors. Variables such as foreign direct investment, government expenditure, trade openness, capital formation, labor, and population influence bot</w:t>
      </w:r>
      <w:r>
        <w:rPr>
          <w:rFonts w:ascii="Arial" w:eastAsia="Arial" w:hAnsi="Arial" w:cs="Arial"/>
        </w:rPr>
        <w:t xml:space="preserve">h economic vulnerability and post-disaster recovery through investment behavior, fiscal capacity, trade integration, and demographic dynamics. Examining these channels allows for a more comprehensive understanding of whether natural disasters in Indonesia </w:t>
      </w:r>
      <w:r>
        <w:rPr>
          <w:rFonts w:ascii="Arial" w:eastAsia="Arial" w:hAnsi="Arial" w:cs="Arial"/>
        </w:rPr>
        <w:t>generate temporary shocks or impose structural constraints on long-term economic growth.</w:t>
      </w:r>
    </w:p>
    <w:p w14:paraId="741DDE1A" w14:textId="77777777" w:rsidR="007F76E5" w:rsidRDefault="0037067E">
      <w:pPr>
        <w:pBdr>
          <w:top w:val="nil"/>
          <w:left w:val="nil"/>
          <w:bottom w:val="nil"/>
          <w:right w:val="nil"/>
          <w:between w:val="nil"/>
        </w:pBdr>
        <w:jc w:val="both"/>
        <w:rPr>
          <w:rFonts w:ascii="Arial" w:eastAsia="Arial" w:hAnsi="Arial" w:cs="Arial"/>
          <w:color w:val="000000"/>
        </w:rPr>
      </w:pPr>
      <w:r>
        <w:rPr>
          <w:rFonts w:ascii="Arial" w:eastAsia="Arial" w:hAnsi="Arial" w:cs="Arial"/>
        </w:rPr>
        <w:t>This study contributes to the literature in three important ways. First, it provides one of the longest national time series analyses of natural disasters and economic</w:t>
      </w:r>
      <w:r>
        <w:rPr>
          <w:rFonts w:ascii="Arial" w:eastAsia="Arial" w:hAnsi="Arial" w:cs="Arial"/>
        </w:rPr>
        <w:t xml:space="preserve"> growth in Indonesia. Secondly, by employing a vector error correction model, the study captures both the long-run and the short-run dynamics that are often overlooked in event-based or cross-sectional analyses. Third, the findings will offer policy-releva</w:t>
      </w:r>
      <w:r>
        <w:rPr>
          <w:rFonts w:ascii="Arial" w:eastAsia="Arial" w:hAnsi="Arial" w:cs="Arial"/>
        </w:rPr>
        <w:t>nt insights into how recurrent disaster exposure shapes long-term growth in a disaster-prone economy</w:t>
      </w:r>
      <w:r>
        <w:rPr>
          <w:rFonts w:ascii="Times New Roman" w:eastAsia="Times New Roman" w:hAnsi="Times New Roman" w:cs="Times New Roman"/>
          <w:sz w:val="24"/>
          <w:szCs w:val="24"/>
        </w:rPr>
        <w:t>.</w:t>
      </w:r>
    </w:p>
    <w:p w14:paraId="38DE9098" w14:textId="77777777" w:rsidR="007F76E5" w:rsidRDefault="0037067E">
      <w:pPr>
        <w:keepNext/>
        <w:pBdr>
          <w:top w:val="nil"/>
          <w:left w:val="nil"/>
          <w:bottom w:val="nil"/>
          <w:right w:val="nil"/>
          <w:between w:val="nil"/>
        </w:pBdr>
        <w:rPr>
          <w:rFonts w:ascii="Arial" w:eastAsia="Arial" w:hAnsi="Arial" w:cs="Arial"/>
          <w:b/>
          <w:bCs/>
          <w:sz w:val="22"/>
          <w:szCs w:val="22"/>
        </w:rPr>
      </w:pPr>
      <w:r>
        <w:rPr>
          <w:rFonts w:ascii="Arial" w:eastAsia="Arial" w:hAnsi="Arial" w:cs="Arial"/>
          <w:b/>
          <w:bCs/>
          <w:smallCaps/>
          <w:color w:val="000000"/>
          <w:sz w:val="22"/>
          <w:szCs w:val="22"/>
        </w:rPr>
        <w:t>2.</w:t>
      </w:r>
      <w:r>
        <w:rPr>
          <w:rFonts w:ascii="Arial" w:eastAsia="Arial" w:hAnsi="Arial" w:cs="Arial"/>
          <w:b/>
          <w:bCs/>
          <w:smallCaps/>
          <w:sz w:val="22"/>
          <w:szCs w:val="22"/>
        </w:rPr>
        <w:t xml:space="preserve"> </w:t>
      </w:r>
      <w:r>
        <w:rPr>
          <w:rFonts w:ascii="Arial" w:eastAsia="Arial" w:hAnsi="Arial" w:cs="Arial"/>
          <w:b/>
          <w:bCs/>
          <w:sz w:val="22"/>
          <w:szCs w:val="22"/>
        </w:rPr>
        <w:t>LITERATURE REVIEW</w:t>
      </w:r>
    </w:p>
    <w:p w14:paraId="4D5DE884" w14:textId="77777777" w:rsidR="007F76E5" w:rsidRDefault="0037067E">
      <w:pPr>
        <w:spacing w:line="276" w:lineRule="auto"/>
        <w:rPr>
          <w:rFonts w:ascii="Arial" w:eastAsia="Arial" w:hAnsi="Arial" w:cs="Arial"/>
          <w:b/>
          <w:bCs/>
          <w:sz w:val="22"/>
          <w:szCs w:val="22"/>
        </w:rPr>
      </w:pPr>
      <w:r>
        <w:rPr>
          <w:rFonts w:ascii="Arial" w:eastAsia="Arial" w:hAnsi="Arial" w:cs="Arial"/>
          <w:b/>
          <w:bCs/>
          <w:sz w:val="22"/>
          <w:szCs w:val="22"/>
        </w:rPr>
        <w:t>2.1. Theoretical Framework</w:t>
      </w:r>
    </w:p>
    <w:p w14:paraId="26ADECDE" w14:textId="77777777" w:rsidR="007F76E5" w:rsidRDefault="0037067E">
      <w:pPr>
        <w:jc w:val="both"/>
        <w:rPr>
          <w:rFonts w:ascii="Arial" w:eastAsia="Arial" w:hAnsi="Arial" w:cs="Arial"/>
          <w:b/>
          <w:bCs/>
        </w:rPr>
      </w:pPr>
      <w:r>
        <w:rPr>
          <w:rFonts w:ascii="Arial" w:eastAsia="Arial" w:hAnsi="Arial" w:cs="Arial"/>
        </w:rPr>
        <w:t>This study is grounded in the neoclassical growth theory, particularly the Solow growth model, which explains long-run economic growth through capital accumulation, labor expansion, and productivity improvements (Solow, 1956). Within this framework, natura</w:t>
      </w:r>
      <w:r>
        <w:rPr>
          <w:rFonts w:ascii="Arial" w:eastAsia="Arial" w:hAnsi="Arial" w:cs="Arial"/>
        </w:rPr>
        <w:t>l disasters are conceptualized as adverse shocks to the stock of physical capital and productive capacity, as they destroy infrastructure, reduce capital efficiency, and disrupt production processes. Such shocks temporarily displace the economy from its st</w:t>
      </w:r>
      <w:r>
        <w:rPr>
          <w:rFonts w:ascii="Arial" w:eastAsia="Arial" w:hAnsi="Arial" w:cs="Arial"/>
        </w:rPr>
        <w:t>eady-state growth path. Although reconstruction activities may support short-term recovery, repeated disaster exposure often slows capital accumulation and weakens long-run growth by diverting resources. In an open and disaster-prone economy like Indonesia</w:t>
      </w:r>
      <w:r>
        <w:rPr>
          <w:rFonts w:ascii="Arial" w:eastAsia="Arial" w:hAnsi="Arial" w:cs="Arial"/>
        </w:rPr>
        <w:t xml:space="preserve">, the growth effects of disasters are further shaped by government expenditure, trade, population dynamics, and investment flows, which influence the speed of adjustment and the ability to restore long-run equilibrium. </w:t>
      </w:r>
      <w:r>
        <w:rPr>
          <w:rFonts w:ascii="Arial" w:eastAsia="Arial" w:hAnsi="Arial" w:cs="Arial"/>
          <w:b/>
          <w:bCs/>
        </w:rPr>
        <w:tab/>
      </w:r>
      <w:r>
        <w:rPr>
          <w:rFonts w:ascii="Arial" w:eastAsia="Arial" w:hAnsi="Arial" w:cs="Arial"/>
          <w:b/>
          <w:bCs/>
        </w:rPr>
        <w:tab/>
      </w:r>
      <w:r>
        <w:rPr>
          <w:rFonts w:ascii="Arial" w:eastAsia="Arial" w:hAnsi="Arial" w:cs="Arial"/>
          <w:b/>
          <w:bCs/>
        </w:rPr>
        <w:tab/>
      </w:r>
    </w:p>
    <w:p w14:paraId="7964BD1D" w14:textId="77777777" w:rsidR="007F76E5" w:rsidRDefault="0037067E">
      <w:pPr>
        <w:jc w:val="both"/>
        <w:rPr>
          <w:rFonts w:ascii="Arial" w:eastAsia="Arial" w:hAnsi="Arial" w:cs="Arial"/>
          <w:b/>
          <w:bCs/>
        </w:rPr>
      </w:pPr>
      <w:r>
        <w:rPr>
          <w:rFonts w:ascii="Arial" w:eastAsia="Arial" w:hAnsi="Arial" w:cs="Arial"/>
          <w:b/>
          <w:bCs/>
        </w:rPr>
        <w:t>2.2 Empirical literature</w:t>
      </w:r>
    </w:p>
    <w:p w14:paraId="28B7F1C8" w14:textId="77777777" w:rsidR="007F76E5" w:rsidRDefault="0037067E">
      <w:pPr>
        <w:jc w:val="both"/>
        <w:rPr>
          <w:rFonts w:ascii="Arial" w:eastAsia="Arial" w:hAnsi="Arial" w:cs="Arial"/>
          <w:b/>
          <w:bCs/>
        </w:rPr>
      </w:pPr>
      <w:r>
        <w:rPr>
          <w:rFonts w:ascii="Arial" w:eastAsia="Arial" w:hAnsi="Arial" w:cs="Arial"/>
          <w:b/>
          <w:bCs/>
        </w:rPr>
        <w:t xml:space="preserve">2.2.1 </w:t>
      </w:r>
      <w:r>
        <w:rPr>
          <w:rFonts w:ascii="Arial" w:eastAsia="Arial" w:hAnsi="Arial" w:cs="Arial"/>
          <w:b/>
          <w:bCs/>
        </w:rPr>
        <w:t>Direct Economic Consequences of Disasters</w:t>
      </w:r>
    </w:p>
    <w:p w14:paraId="33C33D08" w14:textId="77777777" w:rsidR="007F76E5" w:rsidRDefault="0037067E">
      <w:pPr>
        <w:jc w:val="both"/>
        <w:rPr>
          <w:rFonts w:ascii="Arial" w:eastAsia="Arial" w:hAnsi="Arial" w:cs="Arial"/>
        </w:rPr>
      </w:pPr>
      <w:r>
        <w:rPr>
          <w:rFonts w:ascii="Arial" w:eastAsia="Arial" w:hAnsi="Arial" w:cs="Arial"/>
        </w:rPr>
        <w:t xml:space="preserve">Earthquakes, floods, volcanic eruptions, and landslides frequently disrupt economic activity and alter the course of development across regions </w:t>
      </w:r>
      <w:hyperlink r:id="rId22">
        <w:r>
          <w:rPr>
            <w:rFonts w:ascii="Arial" w:eastAsia="Arial" w:hAnsi="Arial" w:cs="Arial"/>
          </w:rPr>
          <w:t>(</w:t>
        </w:r>
        <w:r>
          <w:rPr>
            <w:rFonts w:ascii="Arial" w:eastAsia="Arial" w:hAnsi="Arial" w:cs="Arial"/>
          </w:rPr>
          <w:t>World Bank, 2024)</w:t>
        </w:r>
      </w:hyperlink>
      <w:r>
        <w:rPr>
          <w:rFonts w:ascii="Arial" w:eastAsia="Arial" w:hAnsi="Arial" w:cs="Arial"/>
        </w:rPr>
        <w:t xml:space="preserve">. Among the most immediate and quantifiable consequences is damage to critical infrastructure. Losses affecting transportation networks, public facilities, utilities, and residential structures consistently emerge as the primary source of </w:t>
      </w:r>
      <w:r>
        <w:rPr>
          <w:rFonts w:ascii="Arial" w:eastAsia="Arial" w:hAnsi="Arial" w:cs="Arial"/>
        </w:rPr>
        <w:t xml:space="preserve">output decline, as such damage interrupts mobility, logistics, government operations, and market access </w:t>
      </w:r>
      <w:hyperlink r:id="rId23">
        <w:r>
          <w:rPr>
            <w:rFonts w:ascii="Arial" w:eastAsia="Arial" w:hAnsi="Arial" w:cs="Arial"/>
          </w:rPr>
          <w:t>(Rasyid et al., 2022)</w:t>
        </w:r>
      </w:hyperlink>
      <w:r>
        <w:rPr>
          <w:rFonts w:ascii="Arial" w:eastAsia="Arial" w:hAnsi="Arial" w:cs="Arial"/>
        </w:rPr>
        <w:t xml:space="preserve">. Disruptions to distribution channels and production facilities can </w:t>
      </w:r>
      <w:r>
        <w:rPr>
          <w:rFonts w:ascii="Arial" w:eastAsia="Arial" w:hAnsi="Arial" w:cs="Arial"/>
        </w:rPr>
        <w:t>halt economic activity not only in affected locations but across interconnected supply chains.</w:t>
      </w:r>
    </w:p>
    <w:p w14:paraId="6409184C" w14:textId="77777777" w:rsidR="007F76E5" w:rsidRDefault="0037067E">
      <w:pPr>
        <w:jc w:val="both"/>
        <w:rPr>
          <w:rFonts w:ascii="Arial" w:eastAsia="Arial" w:hAnsi="Arial" w:cs="Arial"/>
        </w:rPr>
      </w:pPr>
      <w:r>
        <w:rPr>
          <w:rFonts w:ascii="Arial" w:eastAsia="Arial" w:hAnsi="Arial" w:cs="Arial"/>
        </w:rPr>
        <w:t>The agricultural sector remains one of the most vulnerable sectors of Indonesia’s economy. Flooding, landslides, and extreme weather events reduce cultivated lan</w:t>
      </w:r>
      <w:r>
        <w:rPr>
          <w:rFonts w:ascii="Arial" w:eastAsia="Arial" w:hAnsi="Arial" w:cs="Arial"/>
        </w:rPr>
        <w:t xml:space="preserve">d area and crop yields, thereby lowering rural household incomes and amplifying income volatility in farming regions </w:t>
      </w:r>
      <w:hyperlink r:id="rId24">
        <w:r>
          <w:rPr>
            <w:rFonts w:ascii="Arial" w:eastAsia="Arial" w:hAnsi="Arial" w:cs="Arial"/>
          </w:rPr>
          <w:t>(</w:t>
        </w:r>
        <w:proofErr w:type="spellStart"/>
        <w:r>
          <w:rPr>
            <w:rFonts w:ascii="Arial" w:eastAsia="Arial" w:hAnsi="Arial" w:cs="Arial"/>
          </w:rPr>
          <w:t>Purwandari</w:t>
        </w:r>
        <w:proofErr w:type="spellEnd"/>
        <w:r>
          <w:rPr>
            <w:rFonts w:ascii="Arial" w:eastAsia="Arial" w:hAnsi="Arial" w:cs="Arial"/>
          </w:rPr>
          <w:t xml:space="preserve"> et al., 2024)</w:t>
        </w:r>
      </w:hyperlink>
      <w:r>
        <w:rPr>
          <w:rFonts w:ascii="Arial" w:eastAsia="Arial" w:hAnsi="Arial" w:cs="Arial"/>
        </w:rPr>
        <w:t>. Evidence from other developing economies su</w:t>
      </w:r>
      <w:r>
        <w:rPr>
          <w:rFonts w:ascii="Arial" w:eastAsia="Arial" w:hAnsi="Arial" w:cs="Arial"/>
        </w:rPr>
        <w:t xml:space="preserve">pports this pattern. In Brazil, municipalities hit by flash floods saw GDP per capita decline by 7.6% in the disaster year, with most sectors recovering within three years except for agriculture, which suffered prolonged output losses </w:t>
      </w:r>
      <w:hyperlink r:id="rId25">
        <w:r>
          <w:rPr>
            <w:rFonts w:ascii="Arial" w:eastAsia="Arial" w:hAnsi="Arial" w:cs="Arial"/>
          </w:rPr>
          <w:t>(Lima &amp; Barbosa, 2019)</w:t>
        </w:r>
      </w:hyperlink>
      <w:r>
        <w:rPr>
          <w:rFonts w:ascii="Arial" w:eastAsia="Arial" w:hAnsi="Arial" w:cs="Arial"/>
        </w:rPr>
        <w:t xml:space="preserve"> </w:t>
      </w:r>
    </w:p>
    <w:p w14:paraId="4BF604E2" w14:textId="77777777" w:rsidR="007F76E5" w:rsidRDefault="0037067E">
      <w:pPr>
        <w:jc w:val="both"/>
        <w:rPr>
          <w:rFonts w:ascii="Arial" w:eastAsia="Arial" w:hAnsi="Arial" w:cs="Arial"/>
        </w:rPr>
      </w:pPr>
      <w:r>
        <w:rPr>
          <w:rFonts w:ascii="Arial" w:eastAsia="Arial" w:hAnsi="Arial" w:cs="Arial"/>
        </w:rPr>
        <w:t xml:space="preserve">Regions with higher disaster frequency face higher insurance premiums, reflecting differentiated risk levels across regions </w:t>
      </w:r>
      <w:hyperlink r:id="rId26">
        <w:r>
          <w:rPr>
            <w:rFonts w:ascii="Arial" w:eastAsia="Arial" w:hAnsi="Arial" w:cs="Arial"/>
          </w:rPr>
          <w:t>(Smolka, 2006)</w:t>
        </w:r>
      </w:hyperlink>
      <w:r>
        <w:rPr>
          <w:rFonts w:ascii="Arial" w:eastAsia="Arial" w:hAnsi="Arial" w:cs="Arial"/>
        </w:rPr>
        <w:t>. Higher premiums increase financial burdens on households and firms, crowding out productive investment and constraining the capacity to cope with future shocks. Large-scale disasters illustrate how localized events can generate national r</w:t>
      </w:r>
      <w:r>
        <w:rPr>
          <w:rFonts w:ascii="Arial" w:eastAsia="Arial" w:hAnsi="Arial" w:cs="Arial"/>
        </w:rPr>
        <w:t>epercussions. The 2018 Central Sulawesi earthquake, tsunami, and liquefaction caused extensive damage to infrastructure, housing, and productive sectors. This resulted in severe regional output losses and spillover effects on the national economy through d</w:t>
      </w:r>
      <w:r>
        <w:rPr>
          <w:rFonts w:ascii="Arial" w:eastAsia="Arial" w:hAnsi="Arial" w:cs="Arial"/>
        </w:rPr>
        <w:t xml:space="preserve">isrupted chains, increased fiscal burdens, and reconstruction demands </w:t>
      </w:r>
      <w:hyperlink r:id="rId27">
        <w:r>
          <w:rPr>
            <w:rFonts w:ascii="Arial" w:eastAsia="Arial" w:hAnsi="Arial" w:cs="Arial"/>
          </w:rPr>
          <w:t>(Asian Development Bank 2019; World Bank, 2019)</w:t>
        </w:r>
      </w:hyperlink>
      <w:r>
        <w:rPr>
          <w:rFonts w:ascii="Arial" w:eastAsia="Arial" w:hAnsi="Arial" w:cs="Arial"/>
        </w:rPr>
        <w:t xml:space="preserve">. </w:t>
      </w:r>
    </w:p>
    <w:p w14:paraId="382633CF" w14:textId="77777777" w:rsidR="007F76E5" w:rsidRDefault="0037067E">
      <w:pPr>
        <w:jc w:val="both"/>
        <w:rPr>
          <w:rFonts w:ascii="Arial" w:eastAsia="Arial" w:hAnsi="Arial" w:cs="Arial"/>
          <w:b/>
          <w:bCs/>
        </w:rPr>
      </w:pPr>
      <w:r>
        <w:rPr>
          <w:rFonts w:ascii="Arial" w:eastAsia="Arial" w:hAnsi="Arial" w:cs="Arial"/>
        </w:rPr>
        <w:t xml:space="preserve"> </w:t>
      </w:r>
      <w:r>
        <w:rPr>
          <w:rFonts w:ascii="Arial" w:eastAsia="Arial" w:hAnsi="Arial" w:cs="Arial"/>
          <w:b/>
          <w:bCs/>
        </w:rPr>
        <w:t>2.2.2 Indirect and Long-Term Effects on Economic Growth</w:t>
      </w:r>
    </w:p>
    <w:p w14:paraId="2C9E60A5" w14:textId="77777777" w:rsidR="007F76E5" w:rsidRDefault="0037067E">
      <w:pPr>
        <w:jc w:val="both"/>
        <w:rPr>
          <w:rFonts w:ascii="Arial" w:eastAsia="Arial" w:hAnsi="Arial" w:cs="Arial"/>
        </w:rPr>
      </w:pPr>
      <w:r>
        <w:rPr>
          <w:rFonts w:ascii="Arial" w:eastAsia="Arial" w:hAnsi="Arial" w:cs="Arial"/>
        </w:rPr>
        <w:lastRenderedPageBreak/>
        <w:t xml:space="preserve">Beyond immediate </w:t>
      </w:r>
      <w:r>
        <w:rPr>
          <w:rFonts w:ascii="Arial" w:eastAsia="Arial" w:hAnsi="Arial" w:cs="Arial"/>
        </w:rPr>
        <w:t>destruction, natural disasters shape long-term growth dynamics through structural, social, and institutional channels. Human development plays a decisive role in determining vulnerability. Regions with higher HDI experience fewer casualties, more efficient</w:t>
      </w:r>
      <w:r>
        <w:rPr>
          <w:rFonts w:ascii="Arial" w:eastAsia="Arial" w:hAnsi="Arial" w:cs="Arial"/>
        </w:rPr>
        <w:t xml:space="preserve"> response mechanisms, and faster post-disaster recovery, driven by better education, health, and institutional capacity </w:t>
      </w:r>
      <w:hyperlink r:id="rId28">
        <w:r>
          <w:rPr>
            <w:rFonts w:ascii="Arial" w:eastAsia="Arial" w:hAnsi="Arial" w:cs="Arial"/>
          </w:rPr>
          <w:t>(</w:t>
        </w:r>
        <w:proofErr w:type="spellStart"/>
        <w:r>
          <w:rPr>
            <w:rFonts w:ascii="Arial" w:eastAsia="Arial" w:hAnsi="Arial" w:cs="Arial"/>
          </w:rPr>
          <w:t>Pontoh</w:t>
        </w:r>
        <w:proofErr w:type="spellEnd"/>
        <w:r>
          <w:rPr>
            <w:rFonts w:ascii="Arial" w:eastAsia="Arial" w:hAnsi="Arial" w:cs="Arial"/>
          </w:rPr>
          <w:t xml:space="preserve"> et al., 2024; </w:t>
        </w:r>
        <w:proofErr w:type="spellStart"/>
        <w:r>
          <w:rPr>
            <w:rFonts w:ascii="Arial" w:eastAsia="Arial" w:hAnsi="Arial" w:cs="Arial"/>
          </w:rPr>
          <w:t>Prasojo</w:t>
        </w:r>
        <w:proofErr w:type="spellEnd"/>
        <w:r>
          <w:rPr>
            <w:rFonts w:ascii="Arial" w:eastAsia="Arial" w:hAnsi="Arial" w:cs="Arial"/>
          </w:rPr>
          <w:t xml:space="preserve"> et al., 2021</w:t>
        </w:r>
      </w:hyperlink>
      <w:r>
        <w:rPr>
          <w:rFonts w:ascii="Arial" w:eastAsia="Arial" w:hAnsi="Arial" w:cs="Arial"/>
        </w:rPr>
        <w:t xml:space="preserve">). Conversely, low-HDI </w:t>
      </w:r>
      <w:r>
        <w:rPr>
          <w:rFonts w:ascii="Arial" w:eastAsia="Arial" w:hAnsi="Arial" w:cs="Arial"/>
        </w:rPr>
        <w:t>regions suffer deeper economic losses and face prolonged recovery periods. These patterns highlight the significance of government preparedness, welfare systems, and local institutional strength in shaping long-run resilience.</w:t>
      </w:r>
    </w:p>
    <w:p w14:paraId="52EE689E" w14:textId="77777777" w:rsidR="007F76E5" w:rsidRDefault="0037067E">
      <w:pPr>
        <w:jc w:val="both"/>
        <w:rPr>
          <w:rFonts w:ascii="Arial" w:eastAsia="Arial" w:hAnsi="Arial" w:cs="Arial"/>
        </w:rPr>
      </w:pPr>
      <w:r>
        <w:rPr>
          <w:rFonts w:ascii="Arial" w:eastAsia="Arial" w:hAnsi="Arial" w:cs="Arial"/>
        </w:rPr>
        <w:t>Spatial spillover effects fur</w:t>
      </w:r>
      <w:r>
        <w:rPr>
          <w:rFonts w:ascii="Arial" w:eastAsia="Arial" w:hAnsi="Arial" w:cs="Arial"/>
        </w:rPr>
        <w:t xml:space="preserve">ther amplify the economic burden of disasters. A shock in one province may slow growth in neighboring regions by disrupting supply chains, </w:t>
      </w:r>
      <w:proofErr w:type="spellStart"/>
      <w:r>
        <w:rPr>
          <w:rFonts w:ascii="Arial" w:eastAsia="Arial" w:hAnsi="Arial" w:cs="Arial"/>
        </w:rPr>
        <w:t>labour</w:t>
      </w:r>
      <w:proofErr w:type="spellEnd"/>
      <w:r>
        <w:rPr>
          <w:rFonts w:ascii="Arial" w:eastAsia="Arial" w:hAnsi="Arial" w:cs="Arial"/>
        </w:rPr>
        <w:t xml:space="preserve"> mobility, and interregional trade </w:t>
      </w:r>
      <w:hyperlink r:id="rId29">
        <w:r>
          <w:rPr>
            <w:rFonts w:ascii="Arial" w:eastAsia="Arial" w:hAnsi="Arial" w:cs="Arial"/>
          </w:rPr>
          <w:t>(</w:t>
        </w:r>
        <w:proofErr w:type="spellStart"/>
        <w:r>
          <w:rPr>
            <w:rFonts w:ascii="Arial" w:eastAsia="Arial" w:hAnsi="Arial" w:cs="Arial"/>
          </w:rPr>
          <w:t>Asyahi</w:t>
        </w:r>
        <w:r>
          <w:rPr>
            <w:rFonts w:ascii="Arial" w:eastAsia="Arial" w:hAnsi="Arial" w:cs="Arial"/>
          </w:rPr>
          <w:t>d</w:t>
        </w:r>
        <w:proofErr w:type="spellEnd"/>
        <w:r>
          <w:rPr>
            <w:rFonts w:ascii="Arial" w:eastAsia="Arial" w:hAnsi="Arial" w:cs="Arial"/>
          </w:rPr>
          <w:t xml:space="preserve"> &amp; </w:t>
        </w:r>
        <w:proofErr w:type="spellStart"/>
        <w:r>
          <w:rPr>
            <w:rFonts w:ascii="Arial" w:eastAsia="Arial" w:hAnsi="Arial" w:cs="Arial"/>
          </w:rPr>
          <w:t>Pekerti</w:t>
        </w:r>
        <w:proofErr w:type="spellEnd"/>
        <w:r>
          <w:rPr>
            <w:rFonts w:ascii="Arial" w:eastAsia="Arial" w:hAnsi="Arial" w:cs="Arial"/>
          </w:rPr>
          <w:t>, 2022)</w:t>
        </w:r>
      </w:hyperlink>
      <w:r>
        <w:rPr>
          <w:rFonts w:ascii="Arial" w:eastAsia="Arial" w:hAnsi="Arial" w:cs="Arial"/>
        </w:rPr>
        <w:t>.  Indonesia’s highly interconnected regional economies, particularly those dependent on inter-island transport, magnify such spillovers, spreading economic losses beyond the initial disaster site.</w:t>
      </w:r>
    </w:p>
    <w:p w14:paraId="1F30449A" w14:textId="77777777" w:rsidR="007F76E5" w:rsidRDefault="0037067E">
      <w:pPr>
        <w:jc w:val="both"/>
        <w:rPr>
          <w:rFonts w:ascii="Arial" w:eastAsia="Arial" w:hAnsi="Arial" w:cs="Arial"/>
          <w:b/>
          <w:bCs/>
        </w:rPr>
      </w:pPr>
      <w:r>
        <w:rPr>
          <w:rFonts w:ascii="Arial" w:eastAsia="Arial" w:hAnsi="Arial" w:cs="Arial"/>
        </w:rPr>
        <w:t>Poverty and inequality triggered by natu</w:t>
      </w:r>
      <w:r>
        <w:rPr>
          <w:rFonts w:ascii="Arial" w:eastAsia="Arial" w:hAnsi="Arial" w:cs="Arial"/>
        </w:rPr>
        <w:t xml:space="preserve">ral disasters intensify vulnerability. Poor households experience disproportionate income and asset losses, which reduce their ability to recover and increase their long-term exposure to future hazards </w:t>
      </w:r>
      <w:hyperlink r:id="rId30">
        <w:r>
          <w:rPr>
            <w:rFonts w:ascii="Arial" w:eastAsia="Arial" w:hAnsi="Arial" w:cs="Arial"/>
          </w:rPr>
          <w:t>(</w:t>
        </w:r>
        <w:proofErr w:type="spellStart"/>
        <w:r>
          <w:rPr>
            <w:rFonts w:ascii="Arial" w:eastAsia="Arial" w:hAnsi="Arial" w:cs="Arial"/>
          </w:rPr>
          <w:t>Mardalena</w:t>
        </w:r>
        <w:proofErr w:type="spellEnd"/>
        <w:r>
          <w:rPr>
            <w:rFonts w:ascii="Arial" w:eastAsia="Arial" w:hAnsi="Arial" w:cs="Arial"/>
          </w:rPr>
          <w:t xml:space="preserve"> et al., 2024; </w:t>
        </w:r>
        <w:proofErr w:type="spellStart"/>
        <w:r>
          <w:rPr>
            <w:rFonts w:ascii="Arial" w:eastAsia="Arial" w:hAnsi="Arial" w:cs="Arial"/>
          </w:rPr>
          <w:t>Tasri</w:t>
        </w:r>
        <w:proofErr w:type="spellEnd"/>
        <w:r>
          <w:rPr>
            <w:rFonts w:ascii="Arial" w:eastAsia="Arial" w:hAnsi="Arial" w:cs="Arial"/>
          </w:rPr>
          <w:t xml:space="preserve"> et al., 2022)</w:t>
        </w:r>
      </w:hyperlink>
      <w:r>
        <w:rPr>
          <w:rFonts w:ascii="Arial" w:eastAsia="Arial" w:hAnsi="Arial" w:cs="Arial"/>
        </w:rPr>
        <w:t xml:space="preserve">. These feedback loops reinforce vulnerability and prolong recovery, thus increasing the exposure to future hazards. Long-run studies reinforce this interpretation. </w:t>
      </w:r>
      <w:hyperlink r:id="rId31">
        <w:proofErr w:type="spellStart"/>
        <w:r>
          <w:rPr>
            <w:rFonts w:ascii="Arial" w:eastAsia="Arial" w:hAnsi="Arial" w:cs="Arial"/>
          </w:rPr>
          <w:t>Idroes</w:t>
        </w:r>
        <w:proofErr w:type="spellEnd"/>
        <w:r>
          <w:rPr>
            <w:rFonts w:ascii="Arial" w:eastAsia="Arial" w:hAnsi="Arial" w:cs="Arial"/>
          </w:rPr>
          <w:t xml:space="preserve"> et al. (2023)</w:t>
        </w:r>
      </w:hyperlink>
      <w:r>
        <w:rPr>
          <w:rFonts w:ascii="Arial" w:eastAsia="Arial" w:hAnsi="Arial" w:cs="Arial"/>
        </w:rPr>
        <w:t xml:space="preserve"> report a unidirectional causal relationship from disaster shocks to weaker long-term economic performance, suggesting that disasters leave durable structural scars in the absence of effective interv</w:t>
      </w:r>
      <w:r>
        <w:rPr>
          <w:rFonts w:ascii="Arial" w:eastAsia="Arial" w:hAnsi="Arial" w:cs="Arial"/>
        </w:rPr>
        <w:t>ention.</w:t>
      </w:r>
    </w:p>
    <w:p w14:paraId="19C47B33" w14:textId="77777777" w:rsidR="007F76E5" w:rsidRDefault="0037067E">
      <w:pPr>
        <w:jc w:val="both"/>
        <w:rPr>
          <w:rFonts w:ascii="Arial" w:eastAsia="Arial" w:hAnsi="Arial" w:cs="Arial"/>
          <w:b/>
          <w:bCs/>
        </w:rPr>
      </w:pPr>
      <w:r>
        <w:rPr>
          <w:rFonts w:ascii="Arial" w:eastAsia="Arial" w:hAnsi="Arial" w:cs="Arial"/>
          <w:b/>
          <w:bCs/>
        </w:rPr>
        <w:t>2.2.3 Foreign Direct Investment</w:t>
      </w:r>
    </w:p>
    <w:p w14:paraId="21B7104C" w14:textId="77777777" w:rsidR="007F76E5" w:rsidRDefault="0037067E">
      <w:pPr>
        <w:jc w:val="both"/>
        <w:rPr>
          <w:rFonts w:ascii="Arial" w:eastAsia="Arial" w:hAnsi="Arial" w:cs="Arial"/>
        </w:rPr>
      </w:pPr>
      <w:r>
        <w:rPr>
          <w:rFonts w:ascii="Arial" w:eastAsia="Arial" w:hAnsi="Arial" w:cs="Arial"/>
        </w:rPr>
        <w:t>Natural disasters also influence Indonesia’s growth through their effects on investment flows, particularly foreign direct investment. Foreign Direct Investment is a critical channel for capital formation, technologi</w:t>
      </w:r>
      <w:r>
        <w:rPr>
          <w:rFonts w:ascii="Arial" w:eastAsia="Arial" w:hAnsi="Arial" w:cs="Arial"/>
        </w:rPr>
        <w:t>cal upgrading, and integration into global production networks. However, disaster shocks tend to weaken investor confidence. Cross-country studies consistently identify a negative relationship between disaster frequency and the Foreign Direct Investment in</w:t>
      </w:r>
      <w:r>
        <w:rPr>
          <w:rFonts w:ascii="Arial" w:eastAsia="Arial" w:hAnsi="Arial" w:cs="Arial"/>
        </w:rPr>
        <w:t xml:space="preserve">flows </w:t>
      </w:r>
      <w:hyperlink r:id="rId32">
        <w:r>
          <w:rPr>
            <w:rFonts w:ascii="Arial" w:eastAsia="Arial" w:hAnsi="Arial" w:cs="Arial"/>
          </w:rPr>
          <w:t>(</w:t>
        </w:r>
        <w:proofErr w:type="spellStart"/>
        <w:r>
          <w:rPr>
            <w:rFonts w:ascii="Arial" w:eastAsia="Arial" w:hAnsi="Arial" w:cs="Arial"/>
          </w:rPr>
          <w:t>Escaleras</w:t>
        </w:r>
        <w:proofErr w:type="spellEnd"/>
        <w:r>
          <w:rPr>
            <w:rFonts w:ascii="Arial" w:eastAsia="Arial" w:hAnsi="Arial" w:cs="Arial"/>
          </w:rPr>
          <w:t xml:space="preserve"> &amp; Register, 2011)</w:t>
        </w:r>
      </w:hyperlink>
      <w:r>
        <w:rPr>
          <w:rFonts w:ascii="Arial" w:eastAsia="Arial" w:hAnsi="Arial" w:cs="Arial"/>
        </w:rPr>
        <w:t xml:space="preserve">. Regional analyses show that structural constraints, such as those observed in parts of Sub-Saharan Africa, can amplify this negative response </w:t>
      </w:r>
      <w:hyperlink r:id="rId33">
        <w:r>
          <w:rPr>
            <w:rFonts w:ascii="Arial" w:eastAsia="Arial" w:hAnsi="Arial" w:cs="Arial"/>
          </w:rPr>
          <w:t>(Katoka, 2021)</w:t>
        </w:r>
      </w:hyperlink>
      <w:r>
        <w:rPr>
          <w:rFonts w:ascii="Arial" w:eastAsia="Arial" w:hAnsi="Arial" w:cs="Arial"/>
        </w:rPr>
        <w:t xml:space="preserve">. </w:t>
      </w:r>
    </w:p>
    <w:p w14:paraId="06F8F301" w14:textId="77777777" w:rsidR="007F76E5" w:rsidRDefault="0037067E">
      <w:pPr>
        <w:jc w:val="both"/>
        <w:rPr>
          <w:rFonts w:ascii="Arial" w:eastAsia="Arial" w:hAnsi="Arial" w:cs="Arial"/>
          <w:b/>
          <w:bCs/>
        </w:rPr>
      </w:pPr>
      <w:r>
        <w:rPr>
          <w:rFonts w:ascii="Arial" w:eastAsia="Arial" w:hAnsi="Arial" w:cs="Arial"/>
        </w:rPr>
        <w:t>Sectoral studies indicate that medium-term rebounds often occur as reconstruction creates new investment opportunities. Manufacturing FDI, in particular, tends to increase three t</w:t>
      </w:r>
      <w:r>
        <w:rPr>
          <w:rFonts w:ascii="Arial" w:eastAsia="Arial" w:hAnsi="Arial" w:cs="Arial"/>
        </w:rPr>
        <w:t xml:space="preserve">o five years after major shocks, driven by infrastructure rebuilding and industrial upgrading </w:t>
      </w:r>
      <w:hyperlink r:id="rId34">
        <w:r>
          <w:rPr>
            <w:rFonts w:ascii="Arial" w:eastAsia="Arial" w:hAnsi="Arial" w:cs="Arial"/>
          </w:rPr>
          <w:t>(</w:t>
        </w:r>
        <w:proofErr w:type="spellStart"/>
        <w:r>
          <w:rPr>
            <w:rFonts w:ascii="Arial" w:eastAsia="Arial" w:hAnsi="Arial" w:cs="Arial"/>
          </w:rPr>
          <w:t>Doytch</w:t>
        </w:r>
        <w:proofErr w:type="spellEnd"/>
        <w:r>
          <w:rPr>
            <w:rFonts w:ascii="Arial" w:eastAsia="Arial" w:hAnsi="Arial" w:cs="Arial"/>
          </w:rPr>
          <w:t>, 2019; Neise et al., 2022)</w:t>
        </w:r>
      </w:hyperlink>
      <w:r>
        <w:rPr>
          <w:rFonts w:ascii="Arial" w:eastAsia="Arial" w:hAnsi="Arial" w:cs="Arial"/>
        </w:rPr>
        <w:t>. This pattern aligns with the concept of creative destruct</w:t>
      </w:r>
      <w:r>
        <w:rPr>
          <w:rFonts w:ascii="Arial" w:eastAsia="Arial" w:hAnsi="Arial" w:cs="Arial"/>
        </w:rPr>
        <w:t xml:space="preserve">ion, where technological improvements and renewed capital flows follow initial losses. Nevertheless, the recovery is uneven. The service sector often exhibits persistent declines, especially after climate-related disasters. </w:t>
      </w:r>
      <w:hyperlink r:id="rId35">
        <w:r>
          <w:rPr>
            <w:rFonts w:ascii="Arial" w:eastAsia="Arial" w:hAnsi="Arial" w:cs="Arial"/>
          </w:rPr>
          <w:t>Shin &amp; Park (2024)</w:t>
        </w:r>
      </w:hyperlink>
      <w:r>
        <w:rPr>
          <w:rFonts w:ascii="Arial" w:eastAsia="Arial" w:hAnsi="Arial" w:cs="Arial"/>
        </w:rPr>
        <w:t xml:space="preserve"> emphasize the role of gender-responsive institutions in sustaining investor confidence after disasters.</w:t>
      </w:r>
    </w:p>
    <w:p w14:paraId="178F141B" w14:textId="77777777" w:rsidR="007F76E5" w:rsidRDefault="007F76E5">
      <w:pPr>
        <w:jc w:val="both"/>
        <w:rPr>
          <w:rFonts w:ascii="Arial" w:eastAsia="Arial" w:hAnsi="Arial" w:cs="Arial"/>
          <w:b/>
          <w:bCs/>
        </w:rPr>
      </w:pPr>
    </w:p>
    <w:p w14:paraId="6702FFC3" w14:textId="77777777" w:rsidR="007F76E5" w:rsidRDefault="0037067E">
      <w:pPr>
        <w:jc w:val="both"/>
        <w:rPr>
          <w:rFonts w:ascii="Arial" w:eastAsia="Arial" w:hAnsi="Arial" w:cs="Arial"/>
          <w:b/>
          <w:bCs/>
        </w:rPr>
      </w:pPr>
      <w:r>
        <w:rPr>
          <w:rFonts w:ascii="Arial" w:eastAsia="Arial" w:hAnsi="Arial" w:cs="Arial"/>
          <w:b/>
          <w:bCs/>
        </w:rPr>
        <w:t>2.2.4 Governance, Policy Preparedness, and Resilience</w:t>
      </w:r>
    </w:p>
    <w:p w14:paraId="791ABF44" w14:textId="77777777" w:rsidR="007F76E5" w:rsidRDefault="0037067E">
      <w:pPr>
        <w:jc w:val="both"/>
        <w:rPr>
          <w:rFonts w:ascii="Arial" w:eastAsia="Arial" w:hAnsi="Arial" w:cs="Arial"/>
        </w:rPr>
      </w:pPr>
      <w:r>
        <w:rPr>
          <w:rFonts w:ascii="Arial" w:eastAsia="Arial" w:hAnsi="Arial" w:cs="Arial"/>
        </w:rPr>
        <w:t>Effective disaster risk reduction through</w:t>
      </w:r>
      <w:r>
        <w:rPr>
          <w:rFonts w:ascii="Arial" w:eastAsia="Arial" w:hAnsi="Arial" w:cs="Arial"/>
        </w:rPr>
        <w:t xml:space="preserve"> resilient infrastructure, early-warning systems, efficient evacuation procedures, and coordinated emergency responses substantially mitigates economic disruption </w:t>
      </w:r>
      <w:hyperlink r:id="rId36">
        <w:r>
          <w:rPr>
            <w:rFonts w:ascii="Arial" w:eastAsia="Arial" w:hAnsi="Arial" w:cs="Arial"/>
          </w:rPr>
          <w:t>(</w:t>
        </w:r>
        <w:proofErr w:type="spellStart"/>
        <w:r>
          <w:rPr>
            <w:rFonts w:ascii="Arial" w:eastAsia="Arial" w:hAnsi="Arial" w:cs="Arial"/>
          </w:rPr>
          <w:t>Mardalena</w:t>
        </w:r>
        <w:proofErr w:type="spellEnd"/>
        <w:r>
          <w:rPr>
            <w:rFonts w:ascii="Arial" w:eastAsia="Arial" w:hAnsi="Arial" w:cs="Arial"/>
          </w:rPr>
          <w:t xml:space="preserve"> et al., 2024;</w:t>
        </w:r>
        <w:r>
          <w:rPr>
            <w:rFonts w:ascii="Arial" w:eastAsia="Arial" w:hAnsi="Arial" w:cs="Arial"/>
          </w:rPr>
          <w:t xml:space="preserve"> </w:t>
        </w:r>
        <w:proofErr w:type="spellStart"/>
        <w:r>
          <w:rPr>
            <w:rFonts w:ascii="Arial" w:eastAsia="Arial" w:hAnsi="Arial" w:cs="Arial"/>
          </w:rPr>
          <w:t>Pontoh</w:t>
        </w:r>
        <w:proofErr w:type="spellEnd"/>
        <w:r>
          <w:rPr>
            <w:rFonts w:ascii="Arial" w:eastAsia="Arial" w:hAnsi="Arial" w:cs="Arial"/>
          </w:rPr>
          <w:t xml:space="preserve"> et al., 2024)</w:t>
        </w:r>
      </w:hyperlink>
      <w:r>
        <w:rPr>
          <w:rFonts w:ascii="Arial" w:eastAsia="Arial" w:hAnsi="Arial" w:cs="Arial"/>
        </w:rPr>
        <w:t xml:space="preserve">. </w:t>
      </w:r>
      <w:hyperlink r:id="rId37">
        <w:r>
          <w:rPr>
            <w:rFonts w:ascii="Arial" w:eastAsia="Arial" w:hAnsi="Arial" w:cs="Arial"/>
          </w:rPr>
          <w:t>Maira et al. (2024)</w:t>
        </w:r>
      </w:hyperlink>
      <w:r>
        <w:rPr>
          <w:rFonts w:ascii="Arial" w:eastAsia="Arial" w:hAnsi="Arial" w:cs="Arial"/>
        </w:rPr>
        <w:t xml:space="preserve"> find that mitigation spending lowers unemployment and poverty, thus accelerating economic stabilization in affected regions.</w:t>
      </w:r>
    </w:p>
    <w:p w14:paraId="12289555" w14:textId="77777777" w:rsidR="007F76E5" w:rsidRDefault="0037067E">
      <w:pPr>
        <w:jc w:val="both"/>
        <w:rPr>
          <w:rFonts w:ascii="Arial" w:eastAsia="Arial" w:hAnsi="Arial" w:cs="Arial"/>
        </w:rPr>
      </w:pPr>
      <w:r>
        <w:rPr>
          <w:rFonts w:ascii="Arial" w:eastAsia="Arial" w:hAnsi="Arial" w:cs="Arial"/>
        </w:rPr>
        <w:t xml:space="preserve">Government support </w:t>
      </w:r>
      <w:r>
        <w:rPr>
          <w:rFonts w:ascii="Arial" w:eastAsia="Arial" w:hAnsi="Arial" w:cs="Arial"/>
        </w:rPr>
        <w:t xml:space="preserve">for small and medium enterprises (SMEs), transparent reconstruction programs, and long-term development planning are essential components of building economic resilience </w:t>
      </w:r>
      <w:hyperlink r:id="rId38">
        <w:r>
          <w:rPr>
            <w:rFonts w:ascii="Arial" w:eastAsia="Arial" w:hAnsi="Arial" w:cs="Arial"/>
          </w:rPr>
          <w:t>(</w:t>
        </w:r>
        <w:proofErr w:type="spellStart"/>
        <w:r>
          <w:rPr>
            <w:rFonts w:ascii="Arial" w:eastAsia="Arial" w:hAnsi="Arial" w:cs="Arial"/>
          </w:rPr>
          <w:t>Idroes</w:t>
        </w:r>
        <w:proofErr w:type="spellEnd"/>
        <w:r>
          <w:rPr>
            <w:rFonts w:ascii="Arial" w:eastAsia="Arial" w:hAnsi="Arial" w:cs="Arial"/>
          </w:rPr>
          <w:t xml:space="preserve"> et al., 2</w:t>
        </w:r>
        <w:r>
          <w:rPr>
            <w:rFonts w:ascii="Arial" w:eastAsia="Arial" w:hAnsi="Arial" w:cs="Arial"/>
          </w:rPr>
          <w:t>023)</w:t>
        </w:r>
      </w:hyperlink>
      <w:r>
        <w:rPr>
          <w:rFonts w:ascii="Arial" w:eastAsia="Arial" w:hAnsi="Arial" w:cs="Arial"/>
        </w:rPr>
        <w:t xml:space="preserve">. At the same time, rapid urbanization and industrial expansion can heighten exposure to disaster risks. Evidence from the upper </w:t>
      </w:r>
      <w:proofErr w:type="spellStart"/>
      <w:r>
        <w:rPr>
          <w:rFonts w:ascii="Arial" w:eastAsia="Arial" w:hAnsi="Arial" w:cs="Arial"/>
        </w:rPr>
        <w:t>Citarum</w:t>
      </w:r>
      <w:proofErr w:type="spellEnd"/>
      <w:r>
        <w:rPr>
          <w:rFonts w:ascii="Arial" w:eastAsia="Arial" w:hAnsi="Arial" w:cs="Arial"/>
        </w:rPr>
        <w:t xml:space="preserve"> River basin shows a clear link between environmental degradation and land-use change, which increases disaster vuln</w:t>
      </w:r>
      <w:r>
        <w:rPr>
          <w:rFonts w:ascii="Arial" w:eastAsia="Arial" w:hAnsi="Arial" w:cs="Arial"/>
        </w:rPr>
        <w:t xml:space="preserve">erability and undermines sustainable economic growth </w:t>
      </w:r>
      <w:hyperlink r:id="rId39">
        <w:r>
          <w:rPr>
            <w:rFonts w:ascii="Arial" w:eastAsia="Arial" w:hAnsi="Arial" w:cs="Arial"/>
          </w:rPr>
          <w:t>(</w:t>
        </w:r>
        <w:proofErr w:type="spellStart"/>
        <w:r>
          <w:rPr>
            <w:rFonts w:ascii="Arial" w:eastAsia="Arial" w:hAnsi="Arial" w:cs="Arial"/>
          </w:rPr>
          <w:t>Ashgaf</w:t>
        </w:r>
        <w:proofErr w:type="spellEnd"/>
        <w:r>
          <w:rPr>
            <w:rFonts w:ascii="Arial" w:eastAsia="Arial" w:hAnsi="Arial" w:cs="Arial"/>
          </w:rPr>
          <w:t xml:space="preserve"> et al., 2024; Noda et al., 2017)</w:t>
        </w:r>
      </w:hyperlink>
      <w:r>
        <w:rPr>
          <w:rFonts w:ascii="Arial" w:eastAsia="Arial" w:hAnsi="Arial" w:cs="Arial"/>
        </w:rPr>
        <w:t>.</w:t>
      </w:r>
    </w:p>
    <w:p w14:paraId="39F59AA5" w14:textId="77777777" w:rsidR="007F76E5" w:rsidRDefault="0037067E">
      <w:pPr>
        <w:jc w:val="both"/>
        <w:rPr>
          <w:rFonts w:ascii="Arial" w:eastAsia="Arial" w:hAnsi="Arial" w:cs="Arial"/>
        </w:rPr>
      </w:pPr>
      <w:r>
        <w:rPr>
          <w:rFonts w:ascii="Arial" w:eastAsia="Arial" w:hAnsi="Arial" w:cs="Arial"/>
        </w:rPr>
        <w:lastRenderedPageBreak/>
        <w:t>Although prior studies have advanced the understanding of how natural disasters affect secto</w:t>
      </w:r>
      <w:r>
        <w:rPr>
          <w:rFonts w:ascii="Arial" w:eastAsia="Arial" w:hAnsi="Arial" w:cs="Arial"/>
        </w:rPr>
        <w:t>ral performance, regional vulnerability, and short-term economic outcomes in Indonesia, the literature still shows notable limitations. Existing work is heavily concentrated on localized case studies, short-run effects, and sector-specific assessments, lea</w:t>
      </w:r>
      <w:r>
        <w:rPr>
          <w:rFonts w:ascii="Arial" w:eastAsia="Arial" w:hAnsi="Arial" w:cs="Arial"/>
        </w:rPr>
        <w:t>ving the long-term macroeconomic relationship between disasters and national economic growth comparatively underexplored. Moreover, many empirical studies rely on cross-sectional or disaster-event data that do not capture the cumulative and persistent natu</w:t>
      </w:r>
      <w:r>
        <w:rPr>
          <w:rFonts w:ascii="Arial" w:eastAsia="Arial" w:hAnsi="Arial" w:cs="Arial"/>
        </w:rPr>
        <w:t>re of disaster shocks over multiple decades.</w:t>
      </w:r>
    </w:p>
    <w:p w14:paraId="1E3A91B2" w14:textId="77777777" w:rsidR="007F76E5" w:rsidRDefault="0037067E">
      <w:pPr>
        <w:jc w:val="both"/>
        <w:rPr>
          <w:rFonts w:ascii="Arial" w:eastAsia="Arial" w:hAnsi="Arial" w:cs="Arial"/>
        </w:rPr>
      </w:pPr>
      <w:r>
        <w:rPr>
          <w:rFonts w:ascii="Arial" w:eastAsia="Arial" w:hAnsi="Arial" w:cs="Arial"/>
        </w:rPr>
        <w:t>Few studies employ a comprehensive annual time-series dataset, which extends beyond the early 2000s, and even fewer analyze the period after Indonesia experienced significant institutional reforms, decentralizat</w:t>
      </w:r>
      <w:r>
        <w:rPr>
          <w:rFonts w:ascii="Arial" w:eastAsia="Arial" w:hAnsi="Arial" w:cs="Arial"/>
        </w:rPr>
        <w:t>ion, and increased disaster management capacity. As a result, current evidence does not fully capture how repeated, increasingly intense disasters shape disaster-prone emerging economies. This study addresses these gaps by examining the long-term relations</w:t>
      </w:r>
      <w:r>
        <w:rPr>
          <w:rFonts w:ascii="Arial" w:eastAsia="Arial" w:hAnsi="Arial" w:cs="Arial"/>
        </w:rPr>
        <w:t>hip between natural disasters and economic growth using annual national data from 1960 to 2024.</w:t>
      </w:r>
    </w:p>
    <w:p w14:paraId="47F426C4" w14:textId="77777777" w:rsidR="007F76E5" w:rsidRDefault="0037067E">
      <w:pPr>
        <w:spacing w:line="360" w:lineRule="auto"/>
        <w:rPr>
          <w:rFonts w:ascii="Arial" w:eastAsia="Arial" w:hAnsi="Arial" w:cs="Arial"/>
          <w:b/>
          <w:bCs/>
          <w:sz w:val="22"/>
          <w:szCs w:val="22"/>
        </w:rPr>
      </w:pPr>
      <w:r>
        <w:rPr>
          <w:rFonts w:ascii="Arial" w:eastAsia="Arial" w:hAnsi="Arial" w:cs="Arial"/>
          <w:b/>
          <w:bCs/>
          <w:sz w:val="22"/>
          <w:szCs w:val="22"/>
        </w:rPr>
        <w:t xml:space="preserve">3. </w:t>
      </w:r>
      <w:r>
        <w:rPr>
          <w:rFonts w:ascii="Arial" w:eastAsia="Arial" w:hAnsi="Arial" w:cs="Arial"/>
          <w:b/>
          <w:bCs/>
          <w:smallCaps/>
          <w:sz w:val="22"/>
          <w:szCs w:val="22"/>
        </w:rPr>
        <w:t>Methodology</w:t>
      </w:r>
    </w:p>
    <w:p w14:paraId="7C800384" w14:textId="77777777" w:rsidR="007F76E5" w:rsidRDefault="0037067E">
      <w:pPr>
        <w:jc w:val="both"/>
        <w:rPr>
          <w:rFonts w:ascii="Arial" w:eastAsia="Arial" w:hAnsi="Arial" w:cs="Arial"/>
        </w:rPr>
      </w:pPr>
      <w:r>
        <w:rPr>
          <w:rFonts w:ascii="Arial" w:eastAsia="Arial" w:hAnsi="Arial" w:cs="Arial"/>
        </w:rPr>
        <w:t>To examine the long-run equilibrium relationships and short-run dynamic interactions among economic growth, natural disasters, and macroeconomic variables in Indonesia, this study adopts the Vector Error Correction Model (VECM). The data used in this study</w:t>
      </w:r>
      <w:r>
        <w:rPr>
          <w:rFonts w:ascii="Arial" w:eastAsia="Arial" w:hAnsi="Arial" w:cs="Arial"/>
        </w:rPr>
        <w:t xml:space="preserve"> are sourced primarily from the World Development Indicators (WDI) database of the World Bank for the years 1960 to 2024. This ensures consistency, reliability, and international comparability of the macroeconomic variables. </w:t>
      </w:r>
    </w:p>
    <w:p w14:paraId="5613E8BF" w14:textId="77777777" w:rsidR="007F76E5" w:rsidRDefault="0037067E">
      <w:pPr>
        <w:jc w:val="both"/>
        <w:rPr>
          <w:rFonts w:ascii="Arial" w:eastAsia="Arial" w:hAnsi="Arial" w:cs="Arial"/>
        </w:rPr>
      </w:pPr>
      <w:r>
        <w:rPr>
          <w:rFonts w:ascii="Arial" w:eastAsia="Arial" w:hAnsi="Arial" w:cs="Arial"/>
        </w:rPr>
        <w:t>The use of VECM is justified b</w:t>
      </w:r>
      <w:r>
        <w:rPr>
          <w:rFonts w:ascii="Arial" w:eastAsia="Arial" w:hAnsi="Arial" w:cs="Arial"/>
        </w:rPr>
        <w:t>y the non-stationary nature of the time-series variables, as estimating relationships among such variables using conventional regression techniques can yield spurious regression results. To address this issue, the concept of cointegration is introduced, wh</w:t>
      </w:r>
      <w:r>
        <w:rPr>
          <w:rFonts w:ascii="Arial" w:eastAsia="Arial" w:hAnsi="Arial" w:cs="Arial"/>
        </w:rPr>
        <w:t xml:space="preserve">ich implies the existence of a stable long-run equilibrium relationship among economic variables despite short-run deviations.  </w:t>
      </w:r>
    </w:p>
    <w:p w14:paraId="54D4C2B9" w14:textId="77777777" w:rsidR="007F76E5" w:rsidRDefault="0037067E">
      <w:pPr>
        <w:jc w:val="both"/>
        <w:rPr>
          <w:rFonts w:ascii="Arial" w:eastAsia="Arial" w:hAnsi="Arial" w:cs="Arial"/>
        </w:rPr>
      </w:pPr>
      <w:r>
        <w:rPr>
          <w:rFonts w:ascii="Arial" w:eastAsia="Arial" w:hAnsi="Arial" w:cs="Arial"/>
        </w:rPr>
        <w:t>Within the VECM framework, short-run causality is evaluated through the statistical significance of lagged changes in the expla</w:t>
      </w:r>
      <w:r>
        <w:rPr>
          <w:rFonts w:ascii="Arial" w:eastAsia="Arial" w:hAnsi="Arial" w:cs="Arial"/>
        </w:rPr>
        <w:t>natory variables. In contrast, long-run causality is inferred from the importance of the error correction term. A statistically significant error correction term indicates that deviations from the long-run equilibrium are corrected over time, confirming th</w:t>
      </w:r>
      <w:r>
        <w:rPr>
          <w:rFonts w:ascii="Arial" w:eastAsia="Arial" w:hAnsi="Arial" w:cs="Arial"/>
        </w:rPr>
        <w:t>e presence of long-run causal relationships.</w:t>
      </w:r>
    </w:p>
    <w:p w14:paraId="013F1D29" w14:textId="77777777" w:rsidR="007F76E5" w:rsidRDefault="007F76E5">
      <w:pPr>
        <w:rPr>
          <w:rFonts w:ascii="Arial" w:eastAsia="Arial" w:hAnsi="Arial" w:cs="Arial"/>
          <w:b/>
          <w:bCs/>
        </w:rPr>
      </w:pPr>
    </w:p>
    <w:p w14:paraId="6D4E5B39" w14:textId="77777777" w:rsidR="007F76E5" w:rsidRDefault="007F76E5">
      <w:pPr>
        <w:rPr>
          <w:rFonts w:ascii="Arial" w:eastAsia="Arial" w:hAnsi="Arial" w:cs="Arial"/>
          <w:b/>
          <w:bCs/>
        </w:rPr>
      </w:pPr>
    </w:p>
    <w:p w14:paraId="720E95C9" w14:textId="77777777" w:rsidR="007F76E5" w:rsidRDefault="007F76E5">
      <w:pPr>
        <w:rPr>
          <w:rFonts w:ascii="Arial" w:eastAsia="Arial" w:hAnsi="Arial" w:cs="Arial"/>
          <w:b/>
          <w:bCs/>
        </w:rPr>
      </w:pPr>
    </w:p>
    <w:p w14:paraId="349543F8" w14:textId="77777777" w:rsidR="007F76E5" w:rsidRDefault="007F76E5">
      <w:pPr>
        <w:rPr>
          <w:rFonts w:ascii="Arial" w:eastAsia="Arial" w:hAnsi="Arial" w:cs="Arial"/>
          <w:b/>
          <w:bCs/>
        </w:rPr>
      </w:pPr>
    </w:p>
    <w:p w14:paraId="5D5D55FC" w14:textId="77777777" w:rsidR="007F76E5" w:rsidRDefault="007F76E5">
      <w:pPr>
        <w:rPr>
          <w:rFonts w:ascii="Arial" w:eastAsia="Arial" w:hAnsi="Arial" w:cs="Arial"/>
          <w:b/>
          <w:bCs/>
        </w:rPr>
      </w:pPr>
    </w:p>
    <w:p w14:paraId="60B89D08" w14:textId="77777777" w:rsidR="007F76E5" w:rsidRDefault="007F76E5">
      <w:pPr>
        <w:rPr>
          <w:rFonts w:ascii="Arial" w:eastAsia="Arial" w:hAnsi="Arial" w:cs="Arial"/>
          <w:b/>
          <w:bCs/>
        </w:rPr>
      </w:pPr>
    </w:p>
    <w:p w14:paraId="256D18BF" w14:textId="77777777" w:rsidR="007F76E5" w:rsidRDefault="007F76E5">
      <w:pPr>
        <w:rPr>
          <w:rFonts w:ascii="Arial" w:eastAsia="Arial" w:hAnsi="Arial" w:cs="Arial"/>
          <w:b/>
          <w:bCs/>
        </w:rPr>
      </w:pPr>
    </w:p>
    <w:p w14:paraId="655B0CE2" w14:textId="77777777" w:rsidR="007F76E5" w:rsidRDefault="007F76E5">
      <w:pPr>
        <w:rPr>
          <w:rFonts w:ascii="Arial" w:eastAsia="Arial" w:hAnsi="Arial" w:cs="Arial"/>
          <w:b/>
          <w:bCs/>
        </w:rPr>
      </w:pPr>
    </w:p>
    <w:p w14:paraId="710A2E76" w14:textId="77777777" w:rsidR="007F76E5" w:rsidRDefault="007F76E5">
      <w:pPr>
        <w:rPr>
          <w:rFonts w:ascii="Arial" w:eastAsia="Arial" w:hAnsi="Arial" w:cs="Arial"/>
          <w:b/>
          <w:bCs/>
        </w:rPr>
      </w:pPr>
    </w:p>
    <w:p w14:paraId="2EA56871" w14:textId="77777777" w:rsidR="007F76E5" w:rsidRDefault="0037067E">
      <w:pPr>
        <w:rPr>
          <w:rFonts w:ascii="Arial" w:eastAsia="Arial" w:hAnsi="Arial" w:cs="Arial"/>
        </w:rPr>
      </w:pPr>
      <w:r>
        <w:rPr>
          <w:rFonts w:ascii="Arial" w:eastAsia="Arial" w:hAnsi="Arial" w:cs="Arial"/>
          <w:b/>
          <w:bCs/>
        </w:rPr>
        <w:t>3.1 Econometric Model</w:t>
      </w:r>
    </w:p>
    <w:p w14:paraId="1AA48F65" w14:textId="77777777" w:rsidR="007F76E5" w:rsidRDefault="0037067E">
      <w:pPr>
        <w:spacing w:after="160"/>
        <w:rPr>
          <w:rFonts w:ascii="Arial" w:eastAsia="Arial" w:hAnsi="Arial" w:cs="Arial"/>
          <w:b/>
          <w:bCs/>
        </w:rPr>
      </w:pPr>
      <w:r>
        <w:rPr>
          <w:rFonts w:ascii="Arial" w:eastAsia="Arial" w:hAnsi="Arial" w:cs="Arial"/>
          <w:b/>
          <w:bCs/>
        </w:rPr>
        <w:t>3.1.1 Operation Variables</w:t>
      </w:r>
    </w:p>
    <w:p w14:paraId="361DCF16" w14:textId="77777777" w:rsidR="007F76E5" w:rsidRDefault="0037067E">
      <w:pPr>
        <w:spacing w:before="240" w:after="240"/>
        <w:rPr>
          <w:rFonts w:ascii="Arial" w:eastAsia="Arial" w:hAnsi="Arial" w:cs="Arial"/>
        </w:rPr>
      </w:pPr>
      <w:r>
        <w:rPr>
          <w:rFonts w:ascii="Arial" w:eastAsia="Arial" w:hAnsi="Arial" w:cs="Arial"/>
        </w:rPr>
        <w:t>Table 1. Variables and Data Sources (N = 65)</w:t>
      </w:r>
    </w:p>
    <w:tbl>
      <w:tblPr>
        <w:tblStyle w:val="a0"/>
        <w:tblW w:w="9290" w:type="dxa"/>
        <w:tblInd w:w="0" w:type="dxa"/>
        <w:tblLayout w:type="fixed"/>
        <w:tblLook w:val="0400" w:firstRow="0" w:lastRow="0" w:firstColumn="0" w:lastColumn="0" w:noHBand="0" w:noVBand="1"/>
      </w:tblPr>
      <w:tblGrid>
        <w:gridCol w:w="1569"/>
        <w:gridCol w:w="2607"/>
        <w:gridCol w:w="2557"/>
        <w:gridCol w:w="2557"/>
      </w:tblGrid>
      <w:tr w:rsidR="007F76E5" w14:paraId="54736B6C" w14:textId="77777777">
        <w:trPr>
          <w:trHeight w:val="405"/>
        </w:trPr>
        <w:tc>
          <w:tcPr>
            <w:tcW w:w="1569" w:type="dxa"/>
            <w:tcBorders>
              <w:top w:val="single" w:sz="4" w:space="0" w:color="000000"/>
              <w:left w:val="single" w:sz="4" w:space="0" w:color="000000"/>
              <w:bottom w:val="single" w:sz="4" w:space="0" w:color="000000"/>
              <w:right w:val="single" w:sz="4" w:space="0" w:color="000000"/>
            </w:tcBorders>
            <w:vAlign w:val="center"/>
          </w:tcPr>
          <w:p w14:paraId="309E5E14" w14:textId="77777777" w:rsidR="007F76E5" w:rsidRDefault="0037067E">
            <w:pPr>
              <w:rPr>
                <w:rFonts w:ascii="Arial" w:eastAsia="Arial" w:hAnsi="Arial" w:cs="Arial"/>
                <w:b/>
                <w:bCs/>
              </w:rPr>
            </w:pPr>
            <w:r>
              <w:rPr>
                <w:rFonts w:ascii="Arial" w:eastAsia="Arial" w:hAnsi="Arial" w:cs="Arial"/>
                <w:b/>
                <w:bCs/>
              </w:rPr>
              <w:t>Variable</w:t>
            </w:r>
          </w:p>
        </w:tc>
        <w:tc>
          <w:tcPr>
            <w:tcW w:w="2607" w:type="dxa"/>
            <w:tcBorders>
              <w:top w:val="single" w:sz="4" w:space="0" w:color="000000"/>
              <w:left w:val="nil"/>
              <w:bottom w:val="single" w:sz="4" w:space="0" w:color="000000"/>
              <w:right w:val="single" w:sz="4" w:space="0" w:color="000000"/>
            </w:tcBorders>
            <w:vAlign w:val="center"/>
          </w:tcPr>
          <w:p w14:paraId="468BEBFF" w14:textId="77777777" w:rsidR="007F76E5" w:rsidRDefault="0037067E">
            <w:pPr>
              <w:rPr>
                <w:rFonts w:ascii="Arial" w:eastAsia="Arial" w:hAnsi="Arial" w:cs="Arial"/>
                <w:b/>
                <w:bCs/>
              </w:rPr>
            </w:pPr>
            <w:r>
              <w:rPr>
                <w:rFonts w:ascii="Arial" w:eastAsia="Arial" w:hAnsi="Arial" w:cs="Arial"/>
                <w:b/>
                <w:bCs/>
              </w:rPr>
              <w:t>Description</w:t>
            </w:r>
          </w:p>
        </w:tc>
        <w:tc>
          <w:tcPr>
            <w:tcW w:w="2557" w:type="dxa"/>
            <w:tcBorders>
              <w:top w:val="single" w:sz="4" w:space="0" w:color="000000"/>
              <w:left w:val="nil"/>
              <w:bottom w:val="single" w:sz="4" w:space="0" w:color="000000"/>
              <w:right w:val="single" w:sz="4" w:space="0" w:color="000000"/>
            </w:tcBorders>
            <w:vAlign w:val="center"/>
          </w:tcPr>
          <w:p w14:paraId="00E98176" w14:textId="77777777" w:rsidR="007F76E5" w:rsidRDefault="0037067E">
            <w:pPr>
              <w:rPr>
                <w:rFonts w:ascii="Arial" w:eastAsia="Arial" w:hAnsi="Arial" w:cs="Arial"/>
                <w:b/>
                <w:bCs/>
              </w:rPr>
            </w:pPr>
            <w:r>
              <w:rPr>
                <w:rFonts w:ascii="Arial" w:eastAsia="Arial" w:hAnsi="Arial" w:cs="Arial"/>
                <w:b/>
                <w:bCs/>
              </w:rPr>
              <w:t>Unit</w:t>
            </w:r>
          </w:p>
        </w:tc>
        <w:tc>
          <w:tcPr>
            <w:tcW w:w="2557" w:type="dxa"/>
            <w:tcBorders>
              <w:top w:val="single" w:sz="4" w:space="0" w:color="000000"/>
              <w:left w:val="nil"/>
              <w:bottom w:val="single" w:sz="4" w:space="0" w:color="000000"/>
              <w:right w:val="single" w:sz="4" w:space="0" w:color="000000"/>
            </w:tcBorders>
            <w:vAlign w:val="center"/>
          </w:tcPr>
          <w:p w14:paraId="19184DF5" w14:textId="77777777" w:rsidR="007F76E5" w:rsidRDefault="0037067E">
            <w:pPr>
              <w:rPr>
                <w:rFonts w:ascii="Arial" w:eastAsia="Arial" w:hAnsi="Arial" w:cs="Arial"/>
                <w:b/>
                <w:bCs/>
              </w:rPr>
            </w:pPr>
            <w:r>
              <w:rPr>
                <w:rFonts w:ascii="Arial" w:eastAsia="Arial" w:hAnsi="Arial" w:cs="Arial"/>
                <w:b/>
                <w:bCs/>
              </w:rPr>
              <w:t>Source</w:t>
            </w:r>
          </w:p>
        </w:tc>
      </w:tr>
      <w:tr w:rsidR="007F76E5" w14:paraId="3086E4C8" w14:textId="77777777">
        <w:trPr>
          <w:trHeight w:val="420"/>
        </w:trPr>
        <w:tc>
          <w:tcPr>
            <w:tcW w:w="1569" w:type="dxa"/>
            <w:tcBorders>
              <w:top w:val="nil"/>
              <w:left w:val="single" w:sz="4" w:space="0" w:color="000000"/>
              <w:bottom w:val="single" w:sz="4" w:space="0" w:color="000000"/>
              <w:right w:val="single" w:sz="4" w:space="0" w:color="000000"/>
            </w:tcBorders>
            <w:vAlign w:val="center"/>
          </w:tcPr>
          <w:p w14:paraId="6AECF525" w14:textId="77777777" w:rsidR="007F76E5" w:rsidRDefault="0037067E">
            <w:pPr>
              <w:rPr>
                <w:rFonts w:ascii="Arial" w:eastAsia="Arial" w:hAnsi="Arial" w:cs="Arial"/>
                <w:b/>
                <w:bCs/>
              </w:rPr>
            </w:pPr>
            <w:r>
              <w:rPr>
                <w:rFonts w:ascii="Arial" w:eastAsia="Arial" w:hAnsi="Arial" w:cs="Arial"/>
                <w:b/>
                <w:bCs/>
              </w:rPr>
              <w:t>GDP</w:t>
            </w:r>
          </w:p>
        </w:tc>
        <w:tc>
          <w:tcPr>
            <w:tcW w:w="2607" w:type="dxa"/>
            <w:tcBorders>
              <w:top w:val="nil"/>
              <w:left w:val="nil"/>
              <w:bottom w:val="single" w:sz="4" w:space="0" w:color="000000"/>
              <w:right w:val="single" w:sz="4" w:space="0" w:color="000000"/>
            </w:tcBorders>
            <w:vAlign w:val="center"/>
          </w:tcPr>
          <w:p w14:paraId="1F858BF9" w14:textId="77777777" w:rsidR="007F76E5" w:rsidRDefault="0037067E">
            <w:pPr>
              <w:rPr>
                <w:rFonts w:ascii="Arial" w:eastAsia="Arial" w:hAnsi="Arial" w:cs="Arial"/>
              </w:rPr>
            </w:pPr>
            <w:r>
              <w:rPr>
                <w:rFonts w:ascii="Arial" w:eastAsia="Arial" w:hAnsi="Arial" w:cs="Arial"/>
              </w:rPr>
              <w:t>Economic Growth</w:t>
            </w:r>
          </w:p>
        </w:tc>
        <w:tc>
          <w:tcPr>
            <w:tcW w:w="2557" w:type="dxa"/>
            <w:tcBorders>
              <w:top w:val="nil"/>
              <w:left w:val="nil"/>
              <w:bottom w:val="single" w:sz="4" w:space="0" w:color="000000"/>
              <w:right w:val="single" w:sz="4" w:space="0" w:color="000000"/>
            </w:tcBorders>
            <w:vAlign w:val="center"/>
          </w:tcPr>
          <w:p w14:paraId="615788ED" w14:textId="77777777" w:rsidR="007F76E5" w:rsidRDefault="0037067E">
            <w:pPr>
              <w:rPr>
                <w:rFonts w:ascii="Arial" w:eastAsia="Arial" w:hAnsi="Arial" w:cs="Arial"/>
              </w:rPr>
            </w:pPr>
            <w:r>
              <w:rPr>
                <w:rFonts w:ascii="Arial" w:eastAsia="Arial" w:hAnsi="Arial" w:cs="Arial"/>
              </w:rPr>
              <w:t>Constant 2015 USD</w:t>
            </w:r>
          </w:p>
        </w:tc>
        <w:tc>
          <w:tcPr>
            <w:tcW w:w="2557" w:type="dxa"/>
            <w:tcBorders>
              <w:top w:val="nil"/>
              <w:left w:val="nil"/>
              <w:bottom w:val="single" w:sz="4" w:space="0" w:color="000000"/>
              <w:right w:val="single" w:sz="4" w:space="0" w:color="000000"/>
            </w:tcBorders>
            <w:vAlign w:val="center"/>
          </w:tcPr>
          <w:p w14:paraId="762CD226" w14:textId="77777777" w:rsidR="007F76E5" w:rsidRDefault="0037067E">
            <w:pPr>
              <w:rPr>
                <w:rFonts w:ascii="Arial" w:eastAsia="Arial" w:hAnsi="Arial" w:cs="Arial"/>
              </w:rPr>
            </w:pPr>
            <w:r>
              <w:rPr>
                <w:rFonts w:ascii="Arial" w:eastAsia="Arial" w:hAnsi="Arial" w:cs="Arial"/>
              </w:rPr>
              <w:t>World Bank</w:t>
            </w:r>
          </w:p>
        </w:tc>
      </w:tr>
      <w:tr w:rsidR="007F76E5" w14:paraId="118C8D62" w14:textId="77777777">
        <w:trPr>
          <w:trHeight w:val="386"/>
        </w:trPr>
        <w:tc>
          <w:tcPr>
            <w:tcW w:w="1569" w:type="dxa"/>
            <w:tcBorders>
              <w:top w:val="nil"/>
              <w:left w:val="single" w:sz="4" w:space="0" w:color="000000"/>
              <w:bottom w:val="single" w:sz="4" w:space="0" w:color="000000"/>
              <w:right w:val="single" w:sz="4" w:space="0" w:color="000000"/>
            </w:tcBorders>
            <w:vAlign w:val="center"/>
          </w:tcPr>
          <w:p w14:paraId="42039291" w14:textId="77777777" w:rsidR="007F76E5" w:rsidRDefault="0037067E">
            <w:pPr>
              <w:rPr>
                <w:rFonts w:ascii="Arial" w:eastAsia="Arial" w:hAnsi="Arial" w:cs="Arial"/>
                <w:b/>
                <w:bCs/>
              </w:rPr>
            </w:pPr>
            <w:r>
              <w:rPr>
                <w:rFonts w:ascii="Arial" w:eastAsia="Arial" w:hAnsi="Arial" w:cs="Arial"/>
                <w:b/>
                <w:bCs/>
              </w:rPr>
              <w:t>K</w:t>
            </w:r>
          </w:p>
        </w:tc>
        <w:tc>
          <w:tcPr>
            <w:tcW w:w="2607" w:type="dxa"/>
            <w:tcBorders>
              <w:top w:val="nil"/>
              <w:left w:val="nil"/>
              <w:bottom w:val="single" w:sz="4" w:space="0" w:color="000000"/>
              <w:right w:val="single" w:sz="4" w:space="0" w:color="000000"/>
            </w:tcBorders>
            <w:vAlign w:val="center"/>
          </w:tcPr>
          <w:p w14:paraId="1E1A8A36" w14:textId="77777777" w:rsidR="007F76E5" w:rsidRDefault="0037067E">
            <w:pPr>
              <w:rPr>
                <w:rFonts w:ascii="Arial" w:eastAsia="Arial" w:hAnsi="Arial" w:cs="Arial"/>
              </w:rPr>
            </w:pPr>
            <w:r>
              <w:rPr>
                <w:rFonts w:ascii="Arial" w:eastAsia="Arial" w:hAnsi="Arial" w:cs="Arial"/>
              </w:rPr>
              <w:t xml:space="preserve">Gross Fixed Capital </w:t>
            </w:r>
            <w:r>
              <w:rPr>
                <w:rFonts w:ascii="Arial" w:eastAsia="Arial" w:hAnsi="Arial" w:cs="Arial"/>
              </w:rPr>
              <w:t>Formation</w:t>
            </w:r>
          </w:p>
        </w:tc>
        <w:tc>
          <w:tcPr>
            <w:tcW w:w="2557" w:type="dxa"/>
            <w:tcBorders>
              <w:top w:val="nil"/>
              <w:left w:val="nil"/>
              <w:bottom w:val="single" w:sz="4" w:space="0" w:color="000000"/>
              <w:right w:val="single" w:sz="4" w:space="0" w:color="000000"/>
            </w:tcBorders>
            <w:vAlign w:val="center"/>
          </w:tcPr>
          <w:p w14:paraId="7B3502AB" w14:textId="77777777" w:rsidR="007F76E5" w:rsidRDefault="0037067E">
            <w:pPr>
              <w:rPr>
                <w:rFonts w:ascii="Arial" w:eastAsia="Arial" w:hAnsi="Arial" w:cs="Arial"/>
              </w:rPr>
            </w:pPr>
            <w:r>
              <w:rPr>
                <w:rFonts w:ascii="Arial" w:eastAsia="Arial" w:hAnsi="Arial" w:cs="Arial"/>
              </w:rPr>
              <w:t>Constant 2015 USD</w:t>
            </w:r>
          </w:p>
        </w:tc>
        <w:tc>
          <w:tcPr>
            <w:tcW w:w="2557" w:type="dxa"/>
            <w:tcBorders>
              <w:top w:val="nil"/>
              <w:left w:val="nil"/>
              <w:bottom w:val="single" w:sz="4" w:space="0" w:color="000000"/>
              <w:right w:val="single" w:sz="4" w:space="0" w:color="000000"/>
            </w:tcBorders>
            <w:vAlign w:val="center"/>
          </w:tcPr>
          <w:p w14:paraId="3BB45E25" w14:textId="77777777" w:rsidR="007F76E5" w:rsidRDefault="0037067E">
            <w:pPr>
              <w:rPr>
                <w:rFonts w:ascii="Arial" w:eastAsia="Arial" w:hAnsi="Arial" w:cs="Arial"/>
              </w:rPr>
            </w:pPr>
            <w:r>
              <w:rPr>
                <w:rFonts w:ascii="Arial" w:eastAsia="Arial" w:hAnsi="Arial" w:cs="Arial"/>
              </w:rPr>
              <w:t>World Bank</w:t>
            </w:r>
          </w:p>
        </w:tc>
      </w:tr>
      <w:tr w:rsidR="007F76E5" w14:paraId="30E1180B" w14:textId="77777777">
        <w:trPr>
          <w:trHeight w:val="315"/>
        </w:trPr>
        <w:tc>
          <w:tcPr>
            <w:tcW w:w="1569" w:type="dxa"/>
            <w:tcBorders>
              <w:top w:val="nil"/>
              <w:left w:val="single" w:sz="4" w:space="0" w:color="000000"/>
              <w:bottom w:val="single" w:sz="4" w:space="0" w:color="000000"/>
              <w:right w:val="single" w:sz="4" w:space="0" w:color="000000"/>
            </w:tcBorders>
            <w:vAlign w:val="center"/>
          </w:tcPr>
          <w:p w14:paraId="58189735" w14:textId="77777777" w:rsidR="007F76E5" w:rsidRDefault="0037067E">
            <w:pPr>
              <w:rPr>
                <w:rFonts w:ascii="Arial" w:eastAsia="Arial" w:hAnsi="Arial" w:cs="Arial"/>
                <w:b/>
                <w:bCs/>
              </w:rPr>
            </w:pPr>
            <w:r>
              <w:rPr>
                <w:rFonts w:ascii="Arial" w:eastAsia="Arial" w:hAnsi="Arial" w:cs="Arial"/>
                <w:b/>
                <w:bCs/>
              </w:rPr>
              <w:lastRenderedPageBreak/>
              <w:t>L</w:t>
            </w:r>
          </w:p>
        </w:tc>
        <w:tc>
          <w:tcPr>
            <w:tcW w:w="2607" w:type="dxa"/>
            <w:tcBorders>
              <w:top w:val="nil"/>
              <w:left w:val="nil"/>
              <w:bottom w:val="single" w:sz="4" w:space="0" w:color="000000"/>
              <w:right w:val="single" w:sz="4" w:space="0" w:color="000000"/>
            </w:tcBorders>
            <w:vAlign w:val="center"/>
          </w:tcPr>
          <w:p w14:paraId="426DA558" w14:textId="77777777" w:rsidR="007F76E5" w:rsidRDefault="0037067E">
            <w:pPr>
              <w:rPr>
                <w:rFonts w:ascii="Arial" w:eastAsia="Arial" w:hAnsi="Arial" w:cs="Arial"/>
              </w:rPr>
            </w:pPr>
            <w:r>
              <w:rPr>
                <w:rFonts w:ascii="Arial" w:eastAsia="Arial" w:hAnsi="Arial" w:cs="Arial"/>
              </w:rPr>
              <w:t>Total labor force</w:t>
            </w:r>
          </w:p>
        </w:tc>
        <w:tc>
          <w:tcPr>
            <w:tcW w:w="2557" w:type="dxa"/>
            <w:tcBorders>
              <w:top w:val="nil"/>
              <w:left w:val="nil"/>
              <w:bottom w:val="single" w:sz="4" w:space="0" w:color="000000"/>
              <w:right w:val="single" w:sz="4" w:space="0" w:color="000000"/>
            </w:tcBorders>
            <w:vAlign w:val="center"/>
          </w:tcPr>
          <w:p w14:paraId="036CF9B0" w14:textId="77777777" w:rsidR="007F76E5" w:rsidRDefault="0037067E">
            <w:pPr>
              <w:rPr>
                <w:rFonts w:ascii="Arial" w:eastAsia="Arial" w:hAnsi="Arial" w:cs="Arial"/>
              </w:rPr>
            </w:pPr>
            <w:r>
              <w:rPr>
                <w:rFonts w:ascii="Arial" w:eastAsia="Arial" w:hAnsi="Arial" w:cs="Arial"/>
              </w:rPr>
              <w:t>Number of persons</w:t>
            </w:r>
          </w:p>
        </w:tc>
        <w:tc>
          <w:tcPr>
            <w:tcW w:w="2557" w:type="dxa"/>
            <w:tcBorders>
              <w:top w:val="nil"/>
              <w:left w:val="nil"/>
              <w:bottom w:val="single" w:sz="4" w:space="0" w:color="000000"/>
              <w:right w:val="single" w:sz="4" w:space="0" w:color="000000"/>
            </w:tcBorders>
            <w:vAlign w:val="center"/>
          </w:tcPr>
          <w:p w14:paraId="06B38AD1" w14:textId="77777777" w:rsidR="007F76E5" w:rsidRDefault="0037067E">
            <w:pPr>
              <w:rPr>
                <w:rFonts w:ascii="Arial" w:eastAsia="Arial" w:hAnsi="Arial" w:cs="Arial"/>
              </w:rPr>
            </w:pPr>
            <w:r>
              <w:rPr>
                <w:rFonts w:ascii="Arial" w:eastAsia="Arial" w:hAnsi="Arial" w:cs="Arial"/>
              </w:rPr>
              <w:t>World Bank</w:t>
            </w:r>
          </w:p>
        </w:tc>
      </w:tr>
      <w:tr w:rsidR="007F76E5" w14:paraId="6BDB7F8A" w14:textId="77777777">
        <w:trPr>
          <w:trHeight w:val="570"/>
        </w:trPr>
        <w:tc>
          <w:tcPr>
            <w:tcW w:w="1569" w:type="dxa"/>
            <w:tcBorders>
              <w:top w:val="nil"/>
              <w:left w:val="single" w:sz="4" w:space="0" w:color="000000"/>
              <w:bottom w:val="single" w:sz="4" w:space="0" w:color="000000"/>
              <w:right w:val="single" w:sz="4" w:space="0" w:color="000000"/>
            </w:tcBorders>
            <w:vAlign w:val="center"/>
          </w:tcPr>
          <w:p w14:paraId="4664269A" w14:textId="77777777" w:rsidR="007F76E5" w:rsidRDefault="0037067E">
            <w:pPr>
              <w:rPr>
                <w:rFonts w:ascii="Arial" w:eastAsia="Arial" w:hAnsi="Arial" w:cs="Arial"/>
                <w:b/>
                <w:bCs/>
              </w:rPr>
            </w:pPr>
            <w:r>
              <w:rPr>
                <w:rFonts w:ascii="Arial" w:eastAsia="Arial" w:hAnsi="Arial" w:cs="Arial"/>
                <w:b/>
                <w:bCs/>
              </w:rPr>
              <w:t>ND</w:t>
            </w:r>
          </w:p>
        </w:tc>
        <w:tc>
          <w:tcPr>
            <w:tcW w:w="2607" w:type="dxa"/>
            <w:tcBorders>
              <w:top w:val="nil"/>
              <w:left w:val="nil"/>
              <w:bottom w:val="single" w:sz="4" w:space="0" w:color="000000"/>
              <w:right w:val="single" w:sz="4" w:space="0" w:color="000000"/>
            </w:tcBorders>
            <w:vAlign w:val="center"/>
          </w:tcPr>
          <w:p w14:paraId="0B29BC2A" w14:textId="77777777" w:rsidR="007F76E5" w:rsidRDefault="0037067E">
            <w:pPr>
              <w:rPr>
                <w:rFonts w:ascii="Arial" w:eastAsia="Arial" w:hAnsi="Arial" w:cs="Arial"/>
              </w:rPr>
            </w:pPr>
            <w:r>
              <w:rPr>
                <w:rFonts w:ascii="Arial" w:eastAsia="Arial" w:hAnsi="Arial" w:cs="Arial"/>
              </w:rPr>
              <w:t>Number of people affected by disasters</w:t>
            </w:r>
          </w:p>
        </w:tc>
        <w:tc>
          <w:tcPr>
            <w:tcW w:w="2557" w:type="dxa"/>
            <w:tcBorders>
              <w:top w:val="nil"/>
              <w:left w:val="nil"/>
              <w:bottom w:val="single" w:sz="4" w:space="0" w:color="000000"/>
              <w:right w:val="single" w:sz="4" w:space="0" w:color="000000"/>
            </w:tcBorders>
            <w:vAlign w:val="center"/>
          </w:tcPr>
          <w:p w14:paraId="5B243F0B" w14:textId="77777777" w:rsidR="007F76E5" w:rsidRDefault="0037067E">
            <w:pPr>
              <w:rPr>
                <w:rFonts w:ascii="Arial" w:eastAsia="Arial" w:hAnsi="Arial" w:cs="Arial"/>
              </w:rPr>
            </w:pPr>
            <w:r>
              <w:rPr>
                <w:rFonts w:ascii="Arial" w:eastAsia="Arial" w:hAnsi="Arial" w:cs="Arial"/>
              </w:rPr>
              <w:t>Number of persons</w:t>
            </w:r>
          </w:p>
        </w:tc>
        <w:tc>
          <w:tcPr>
            <w:tcW w:w="2557" w:type="dxa"/>
            <w:tcBorders>
              <w:top w:val="nil"/>
              <w:left w:val="nil"/>
              <w:bottom w:val="single" w:sz="4" w:space="0" w:color="000000"/>
              <w:right w:val="single" w:sz="4" w:space="0" w:color="000000"/>
            </w:tcBorders>
            <w:vAlign w:val="center"/>
          </w:tcPr>
          <w:p w14:paraId="18937425" w14:textId="77777777" w:rsidR="007F76E5" w:rsidRDefault="0037067E">
            <w:pPr>
              <w:rPr>
                <w:rFonts w:ascii="Arial" w:eastAsia="Arial" w:hAnsi="Arial" w:cs="Arial"/>
              </w:rPr>
            </w:pPr>
            <w:r>
              <w:rPr>
                <w:rFonts w:ascii="Arial" w:eastAsia="Arial" w:hAnsi="Arial" w:cs="Arial"/>
              </w:rPr>
              <w:t>World Bank</w:t>
            </w:r>
          </w:p>
        </w:tc>
      </w:tr>
      <w:tr w:rsidR="007F76E5" w14:paraId="4372B291" w14:textId="77777777">
        <w:trPr>
          <w:trHeight w:val="450"/>
        </w:trPr>
        <w:tc>
          <w:tcPr>
            <w:tcW w:w="1569" w:type="dxa"/>
            <w:tcBorders>
              <w:top w:val="nil"/>
              <w:left w:val="single" w:sz="4" w:space="0" w:color="000000"/>
              <w:bottom w:val="single" w:sz="4" w:space="0" w:color="000000"/>
              <w:right w:val="single" w:sz="4" w:space="0" w:color="000000"/>
            </w:tcBorders>
            <w:vAlign w:val="center"/>
          </w:tcPr>
          <w:p w14:paraId="5EB8B1A4" w14:textId="77777777" w:rsidR="007F76E5" w:rsidRDefault="0037067E">
            <w:pPr>
              <w:rPr>
                <w:rFonts w:ascii="Arial" w:eastAsia="Arial" w:hAnsi="Arial" w:cs="Arial"/>
                <w:b/>
                <w:bCs/>
              </w:rPr>
            </w:pPr>
            <w:r>
              <w:rPr>
                <w:rFonts w:ascii="Arial" w:eastAsia="Arial" w:hAnsi="Arial" w:cs="Arial"/>
                <w:b/>
                <w:bCs/>
              </w:rPr>
              <w:t>FDI</w:t>
            </w:r>
          </w:p>
        </w:tc>
        <w:tc>
          <w:tcPr>
            <w:tcW w:w="2607" w:type="dxa"/>
            <w:tcBorders>
              <w:top w:val="nil"/>
              <w:left w:val="nil"/>
              <w:bottom w:val="single" w:sz="4" w:space="0" w:color="000000"/>
              <w:right w:val="single" w:sz="4" w:space="0" w:color="000000"/>
            </w:tcBorders>
            <w:vAlign w:val="center"/>
          </w:tcPr>
          <w:p w14:paraId="6E83B89E" w14:textId="77777777" w:rsidR="007F76E5" w:rsidRDefault="0037067E">
            <w:pPr>
              <w:rPr>
                <w:rFonts w:ascii="Arial" w:eastAsia="Arial" w:hAnsi="Arial" w:cs="Arial"/>
              </w:rPr>
            </w:pPr>
            <w:r>
              <w:rPr>
                <w:rFonts w:ascii="Arial" w:eastAsia="Arial" w:hAnsi="Arial" w:cs="Arial"/>
              </w:rPr>
              <w:t>Foreign Direct Investment (% of GDP)</w:t>
            </w:r>
          </w:p>
        </w:tc>
        <w:tc>
          <w:tcPr>
            <w:tcW w:w="2557" w:type="dxa"/>
            <w:tcBorders>
              <w:top w:val="nil"/>
              <w:left w:val="nil"/>
              <w:bottom w:val="single" w:sz="4" w:space="0" w:color="000000"/>
              <w:right w:val="single" w:sz="4" w:space="0" w:color="000000"/>
            </w:tcBorders>
            <w:vAlign w:val="center"/>
          </w:tcPr>
          <w:p w14:paraId="4E4E6FA5" w14:textId="77777777" w:rsidR="007F76E5" w:rsidRDefault="0037067E">
            <w:pPr>
              <w:rPr>
                <w:rFonts w:ascii="Arial" w:eastAsia="Arial" w:hAnsi="Arial" w:cs="Arial"/>
              </w:rPr>
            </w:pPr>
            <w:r>
              <w:rPr>
                <w:rFonts w:ascii="Arial" w:eastAsia="Arial" w:hAnsi="Arial" w:cs="Arial"/>
              </w:rPr>
              <w:t>Percentage</w:t>
            </w:r>
          </w:p>
        </w:tc>
        <w:tc>
          <w:tcPr>
            <w:tcW w:w="2557" w:type="dxa"/>
            <w:tcBorders>
              <w:top w:val="nil"/>
              <w:left w:val="nil"/>
              <w:bottom w:val="single" w:sz="4" w:space="0" w:color="000000"/>
              <w:right w:val="single" w:sz="4" w:space="0" w:color="000000"/>
            </w:tcBorders>
            <w:vAlign w:val="center"/>
          </w:tcPr>
          <w:p w14:paraId="321DFCA9" w14:textId="77777777" w:rsidR="007F76E5" w:rsidRDefault="0037067E">
            <w:pPr>
              <w:rPr>
                <w:rFonts w:ascii="Arial" w:eastAsia="Arial" w:hAnsi="Arial" w:cs="Arial"/>
              </w:rPr>
            </w:pPr>
            <w:r>
              <w:rPr>
                <w:rFonts w:ascii="Arial" w:eastAsia="Arial" w:hAnsi="Arial" w:cs="Arial"/>
              </w:rPr>
              <w:t>World Bank</w:t>
            </w:r>
          </w:p>
        </w:tc>
      </w:tr>
      <w:tr w:rsidR="007F76E5" w14:paraId="05D43EE2" w14:textId="77777777">
        <w:trPr>
          <w:trHeight w:val="315"/>
        </w:trPr>
        <w:tc>
          <w:tcPr>
            <w:tcW w:w="1569" w:type="dxa"/>
            <w:tcBorders>
              <w:top w:val="nil"/>
              <w:left w:val="single" w:sz="4" w:space="0" w:color="000000"/>
              <w:bottom w:val="single" w:sz="4" w:space="0" w:color="000000"/>
              <w:right w:val="single" w:sz="4" w:space="0" w:color="000000"/>
            </w:tcBorders>
            <w:vAlign w:val="center"/>
          </w:tcPr>
          <w:p w14:paraId="22392FFB" w14:textId="77777777" w:rsidR="007F76E5" w:rsidRDefault="0037067E">
            <w:pPr>
              <w:rPr>
                <w:rFonts w:ascii="Arial" w:eastAsia="Arial" w:hAnsi="Arial" w:cs="Arial"/>
                <w:b/>
                <w:bCs/>
              </w:rPr>
            </w:pPr>
            <w:r>
              <w:rPr>
                <w:rFonts w:ascii="Arial" w:eastAsia="Arial" w:hAnsi="Arial" w:cs="Arial"/>
                <w:b/>
                <w:bCs/>
              </w:rPr>
              <w:t>POP</w:t>
            </w:r>
          </w:p>
        </w:tc>
        <w:tc>
          <w:tcPr>
            <w:tcW w:w="2607" w:type="dxa"/>
            <w:tcBorders>
              <w:top w:val="nil"/>
              <w:left w:val="nil"/>
              <w:bottom w:val="single" w:sz="4" w:space="0" w:color="000000"/>
              <w:right w:val="single" w:sz="4" w:space="0" w:color="000000"/>
            </w:tcBorders>
            <w:vAlign w:val="center"/>
          </w:tcPr>
          <w:p w14:paraId="06F278B8" w14:textId="77777777" w:rsidR="007F76E5" w:rsidRDefault="0037067E">
            <w:pPr>
              <w:rPr>
                <w:rFonts w:ascii="Arial" w:eastAsia="Arial" w:hAnsi="Arial" w:cs="Arial"/>
              </w:rPr>
            </w:pPr>
            <w:r>
              <w:rPr>
                <w:rFonts w:ascii="Arial" w:eastAsia="Arial" w:hAnsi="Arial" w:cs="Arial"/>
              </w:rPr>
              <w:t>Total population</w:t>
            </w:r>
          </w:p>
        </w:tc>
        <w:tc>
          <w:tcPr>
            <w:tcW w:w="2557" w:type="dxa"/>
            <w:tcBorders>
              <w:top w:val="nil"/>
              <w:left w:val="nil"/>
              <w:bottom w:val="single" w:sz="4" w:space="0" w:color="000000"/>
              <w:right w:val="single" w:sz="4" w:space="0" w:color="000000"/>
            </w:tcBorders>
            <w:vAlign w:val="center"/>
          </w:tcPr>
          <w:p w14:paraId="1F0DD7BA" w14:textId="77777777" w:rsidR="007F76E5" w:rsidRDefault="0037067E">
            <w:pPr>
              <w:rPr>
                <w:rFonts w:ascii="Arial" w:eastAsia="Arial" w:hAnsi="Arial" w:cs="Arial"/>
              </w:rPr>
            </w:pPr>
            <w:r>
              <w:rPr>
                <w:rFonts w:ascii="Arial" w:eastAsia="Arial" w:hAnsi="Arial" w:cs="Arial"/>
              </w:rPr>
              <w:t>Number of</w:t>
            </w:r>
            <w:r>
              <w:rPr>
                <w:rFonts w:ascii="Arial" w:eastAsia="Arial" w:hAnsi="Arial" w:cs="Arial"/>
              </w:rPr>
              <w:t xml:space="preserve"> persons</w:t>
            </w:r>
          </w:p>
        </w:tc>
        <w:tc>
          <w:tcPr>
            <w:tcW w:w="2557" w:type="dxa"/>
            <w:tcBorders>
              <w:top w:val="nil"/>
              <w:left w:val="nil"/>
              <w:bottom w:val="single" w:sz="4" w:space="0" w:color="000000"/>
              <w:right w:val="single" w:sz="4" w:space="0" w:color="000000"/>
            </w:tcBorders>
            <w:vAlign w:val="center"/>
          </w:tcPr>
          <w:p w14:paraId="7119CCD7" w14:textId="77777777" w:rsidR="007F76E5" w:rsidRDefault="0037067E">
            <w:pPr>
              <w:rPr>
                <w:rFonts w:ascii="Arial" w:eastAsia="Arial" w:hAnsi="Arial" w:cs="Arial"/>
              </w:rPr>
            </w:pPr>
            <w:r>
              <w:rPr>
                <w:rFonts w:ascii="Arial" w:eastAsia="Arial" w:hAnsi="Arial" w:cs="Arial"/>
              </w:rPr>
              <w:t>World Bank</w:t>
            </w:r>
          </w:p>
        </w:tc>
      </w:tr>
      <w:tr w:rsidR="007F76E5" w14:paraId="31EEFE24" w14:textId="77777777">
        <w:trPr>
          <w:trHeight w:val="600"/>
        </w:trPr>
        <w:tc>
          <w:tcPr>
            <w:tcW w:w="1569" w:type="dxa"/>
            <w:tcBorders>
              <w:top w:val="nil"/>
              <w:left w:val="single" w:sz="4" w:space="0" w:color="000000"/>
              <w:bottom w:val="single" w:sz="4" w:space="0" w:color="000000"/>
              <w:right w:val="single" w:sz="4" w:space="0" w:color="000000"/>
            </w:tcBorders>
            <w:vAlign w:val="center"/>
          </w:tcPr>
          <w:p w14:paraId="3A7D116F" w14:textId="77777777" w:rsidR="007F76E5" w:rsidRDefault="0037067E">
            <w:pPr>
              <w:rPr>
                <w:rFonts w:ascii="Arial" w:eastAsia="Arial" w:hAnsi="Arial" w:cs="Arial"/>
                <w:b/>
                <w:bCs/>
              </w:rPr>
            </w:pPr>
            <w:r>
              <w:rPr>
                <w:rFonts w:ascii="Arial" w:eastAsia="Arial" w:hAnsi="Arial" w:cs="Arial"/>
                <w:b/>
                <w:bCs/>
              </w:rPr>
              <w:t>G</w:t>
            </w:r>
          </w:p>
        </w:tc>
        <w:tc>
          <w:tcPr>
            <w:tcW w:w="2607" w:type="dxa"/>
            <w:tcBorders>
              <w:top w:val="nil"/>
              <w:left w:val="nil"/>
              <w:bottom w:val="single" w:sz="4" w:space="0" w:color="000000"/>
              <w:right w:val="single" w:sz="4" w:space="0" w:color="000000"/>
            </w:tcBorders>
            <w:vAlign w:val="center"/>
          </w:tcPr>
          <w:p w14:paraId="6B12A50A" w14:textId="77777777" w:rsidR="007F76E5" w:rsidRDefault="0037067E">
            <w:pPr>
              <w:rPr>
                <w:rFonts w:ascii="Arial" w:eastAsia="Arial" w:hAnsi="Arial" w:cs="Arial"/>
              </w:rPr>
            </w:pPr>
            <w:r>
              <w:rPr>
                <w:rFonts w:ascii="Arial" w:eastAsia="Arial" w:hAnsi="Arial" w:cs="Arial"/>
              </w:rPr>
              <w:t>Government Expenditure (% GDP)</w:t>
            </w:r>
          </w:p>
        </w:tc>
        <w:tc>
          <w:tcPr>
            <w:tcW w:w="2557" w:type="dxa"/>
            <w:tcBorders>
              <w:top w:val="nil"/>
              <w:left w:val="nil"/>
              <w:bottom w:val="single" w:sz="4" w:space="0" w:color="000000"/>
              <w:right w:val="single" w:sz="4" w:space="0" w:color="000000"/>
            </w:tcBorders>
            <w:vAlign w:val="center"/>
          </w:tcPr>
          <w:p w14:paraId="4552690B" w14:textId="77777777" w:rsidR="007F76E5" w:rsidRDefault="0037067E">
            <w:pPr>
              <w:rPr>
                <w:rFonts w:ascii="Arial" w:eastAsia="Arial" w:hAnsi="Arial" w:cs="Arial"/>
              </w:rPr>
            </w:pPr>
            <w:r>
              <w:rPr>
                <w:rFonts w:ascii="Arial" w:eastAsia="Arial" w:hAnsi="Arial" w:cs="Arial"/>
              </w:rPr>
              <w:t>Percentage</w:t>
            </w:r>
          </w:p>
        </w:tc>
        <w:tc>
          <w:tcPr>
            <w:tcW w:w="2557" w:type="dxa"/>
            <w:tcBorders>
              <w:top w:val="nil"/>
              <w:left w:val="nil"/>
              <w:bottom w:val="single" w:sz="4" w:space="0" w:color="000000"/>
              <w:right w:val="single" w:sz="4" w:space="0" w:color="000000"/>
            </w:tcBorders>
            <w:vAlign w:val="center"/>
          </w:tcPr>
          <w:p w14:paraId="0594A0F1" w14:textId="77777777" w:rsidR="007F76E5" w:rsidRDefault="0037067E">
            <w:pPr>
              <w:rPr>
                <w:rFonts w:ascii="Arial" w:eastAsia="Arial" w:hAnsi="Arial" w:cs="Arial"/>
              </w:rPr>
            </w:pPr>
            <w:r>
              <w:rPr>
                <w:rFonts w:ascii="Arial" w:eastAsia="Arial" w:hAnsi="Arial" w:cs="Arial"/>
              </w:rPr>
              <w:t>World Bank</w:t>
            </w:r>
          </w:p>
        </w:tc>
      </w:tr>
      <w:tr w:rsidR="007F76E5" w14:paraId="283BF91D" w14:textId="77777777">
        <w:trPr>
          <w:trHeight w:val="465"/>
        </w:trPr>
        <w:tc>
          <w:tcPr>
            <w:tcW w:w="1569" w:type="dxa"/>
            <w:tcBorders>
              <w:top w:val="nil"/>
              <w:left w:val="single" w:sz="4" w:space="0" w:color="000000"/>
              <w:bottom w:val="single" w:sz="4" w:space="0" w:color="000000"/>
              <w:right w:val="single" w:sz="4" w:space="0" w:color="000000"/>
            </w:tcBorders>
            <w:vAlign w:val="center"/>
          </w:tcPr>
          <w:p w14:paraId="38987495" w14:textId="77777777" w:rsidR="007F76E5" w:rsidRDefault="0037067E">
            <w:pPr>
              <w:rPr>
                <w:rFonts w:ascii="Arial" w:eastAsia="Arial" w:hAnsi="Arial" w:cs="Arial"/>
                <w:b/>
                <w:bCs/>
              </w:rPr>
            </w:pPr>
            <w:r>
              <w:rPr>
                <w:rFonts w:ascii="Arial" w:eastAsia="Arial" w:hAnsi="Arial" w:cs="Arial"/>
                <w:b/>
                <w:bCs/>
              </w:rPr>
              <w:t>T</w:t>
            </w:r>
          </w:p>
        </w:tc>
        <w:tc>
          <w:tcPr>
            <w:tcW w:w="2607" w:type="dxa"/>
            <w:tcBorders>
              <w:top w:val="nil"/>
              <w:left w:val="nil"/>
              <w:bottom w:val="single" w:sz="4" w:space="0" w:color="000000"/>
              <w:right w:val="single" w:sz="4" w:space="0" w:color="000000"/>
            </w:tcBorders>
            <w:vAlign w:val="center"/>
          </w:tcPr>
          <w:p w14:paraId="4BBD593C" w14:textId="77777777" w:rsidR="007F76E5" w:rsidRDefault="0037067E">
            <w:pPr>
              <w:rPr>
                <w:rFonts w:ascii="Arial" w:eastAsia="Arial" w:hAnsi="Arial" w:cs="Arial"/>
              </w:rPr>
            </w:pPr>
            <w:r>
              <w:rPr>
                <w:rFonts w:ascii="Arial" w:eastAsia="Arial" w:hAnsi="Arial" w:cs="Arial"/>
              </w:rPr>
              <w:t>Trade (% GDP)</w:t>
            </w:r>
          </w:p>
        </w:tc>
        <w:tc>
          <w:tcPr>
            <w:tcW w:w="2557" w:type="dxa"/>
            <w:tcBorders>
              <w:top w:val="nil"/>
              <w:left w:val="nil"/>
              <w:bottom w:val="single" w:sz="4" w:space="0" w:color="000000"/>
              <w:right w:val="single" w:sz="4" w:space="0" w:color="000000"/>
            </w:tcBorders>
            <w:vAlign w:val="center"/>
          </w:tcPr>
          <w:p w14:paraId="3A153C39" w14:textId="77777777" w:rsidR="007F76E5" w:rsidRDefault="0037067E">
            <w:pPr>
              <w:rPr>
                <w:rFonts w:ascii="Arial" w:eastAsia="Arial" w:hAnsi="Arial" w:cs="Arial"/>
              </w:rPr>
            </w:pPr>
            <w:r>
              <w:rPr>
                <w:rFonts w:ascii="Arial" w:eastAsia="Arial" w:hAnsi="Arial" w:cs="Arial"/>
              </w:rPr>
              <w:t>Percentage</w:t>
            </w:r>
          </w:p>
        </w:tc>
        <w:tc>
          <w:tcPr>
            <w:tcW w:w="2557" w:type="dxa"/>
            <w:tcBorders>
              <w:top w:val="nil"/>
              <w:left w:val="nil"/>
              <w:bottom w:val="single" w:sz="4" w:space="0" w:color="000000"/>
              <w:right w:val="single" w:sz="4" w:space="0" w:color="000000"/>
            </w:tcBorders>
            <w:vAlign w:val="center"/>
          </w:tcPr>
          <w:p w14:paraId="5BB41FFC" w14:textId="77777777" w:rsidR="007F76E5" w:rsidRDefault="0037067E">
            <w:pPr>
              <w:rPr>
                <w:rFonts w:ascii="Arial" w:eastAsia="Arial" w:hAnsi="Arial" w:cs="Arial"/>
              </w:rPr>
            </w:pPr>
            <w:r>
              <w:rPr>
                <w:rFonts w:ascii="Arial" w:eastAsia="Arial" w:hAnsi="Arial" w:cs="Arial"/>
              </w:rPr>
              <w:t>World Bank</w:t>
            </w:r>
          </w:p>
        </w:tc>
      </w:tr>
    </w:tbl>
    <w:p w14:paraId="1FD09CF6" w14:textId="77777777" w:rsidR="007F76E5" w:rsidRDefault="0037067E">
      <w:pPr>
        <w:spacing w:after="160"/>
        <w:jc w:val="both"/>
        <w:rPr>
          <w:rFonts w:ascii="Arial" w:eastAsia="Arial" w:hAnsi="Arial" w:cs="Arial"/>
        </w:rPr>
      </w:pPr>
      <w:r>
        <w:rPr>
          <w:rFonts w:ascii="Arial" w:eastAsia="Arial" w:hAnsi="Arial" w:cs="Arial"/>
        </w:rPr>
        <w:t>Although trade, government expenditure, and foreign direct investment are expressed as percentages of GDP, they are transformed into natural</w:t>
      </w:r>
      <w:r>
        <w:rPr>
          <w:rFonts w:ascii="Arial" w:eastAsia="Arial" w:hAnsi="Arial" w:cs="Arial"/>
        </w:rPr>
        <w:t xml:space="preserve"> logarithms because the series are strictly positive over the sample period. This transformation allows the coefficients to be interpreted as elasticities and improves the statistical properties of the model.</w:t>
      </w:r>
      <w:r>
        <w:rPr>
          <w:rFonts w:ascii="Arial" w:eastAsia="Arial" w:hAnsi="Arial" w:cs="Arial"/>
        </w:rPr>
        <w:tab/>
      </w:r>
    </w:p>
    <w:p w14:paraId="21225186" w14:textId="77777777" w:rsidR="007F76E5" w:rsidRDefault="0037067E">
      <w:pPr>
        <w:spacing w:after="160"/>
        <w:jc w:val="both"/>
        <w:rPr>
          <w:rFonts w:ascii="Arial" w:eastAsia="Arial" w:hAnsi="Arial" w:cs="Arial"/>
        </w:rPr>
      </w:pPr>
      <w:r>
        <w:rPr>
          <w:rFonts w:ascii="Arial" w:eastAsia="Arial" w:hAnsi="Arial" w:cs="Arial"/>
          <w:b/>
          <w:bCs/>
        </w:rPr>
        <w:t>3.1.2 Model specification</w:t>
      </w:r>
      <w:r>
        <w:rPr>
          <w:rFonts w:ascii="Arial" w:eastAsia="Arial" w:hAnsi="Arial" w:cs="Arial"/>
          <w:b/>
          <w:bCs/>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3C9E5872" w14:textId="77777777" w:rsidR="007F76E5" w:rsidRDefault="0037067E">
      <w:pPr>
        <w:jc w:val="both"/>
        <w:rPr>
          <w:rFonts w:ascii="Arial" w:eastAsia="Arial" w:hAnsi="Arial" w:cs="Arial"/>
        </w:rPr>
      </w:pPr>
      <w:r>
        <w:rPr>
          <w:rFonts w:ascii="Arial" w:eastAsia="Arial" w:hAnsi="Arial" w:cs="Arial"/>
        </w:rPr>
        <w:t>To measure t</w:t>
      </w:r>
      <w:r>
        <w:rPr>
          <w:rFonts w:ascii="Arial" w:eastAsia="Arial" w:hAnsi="Arial" w:cs="Arial"/>
        </w:rPr>
        <w:t xml:space="preserve">he relationship between GDP and the main explanatory variables, this study describes GDP as a function of capital, labor, natural disaster, population, FDI, trade, and Government Expenditure. Therefore, the GDP function can be expressed as: </w:t>
      </w:r>
    </w:p>
    <w:p w14:paraId="21B3F44B" w14:textId="77777777" w:rsidR="007F76E5" w:rsidRDefault="0037067E">
      <w:pPr>
        <w:jc w:val="both"/>
        <w:rPr>
          <w:rFonts w:ascii="Arial" w:eastAsia="Arial" w:hAnsi="Arial" w:cs="Arial"/>
        </w:rPr>
      </w:pPr>
      <w:proofErr w:type="spellStart"/>
      <w:r>
        <w:rPr>
          <w:rFonts w:ascii="Arial" w:eastAsia="Arial" w:hAnsi="Arial" w:cs="Arial"/>
        </w:rPr>
        <w:t>GDP</w:t>
      </w:r>
      <w:r>
        <w:rPr>
          <w:rFonts w:ascii="Arial" w:eastAsia="Arial" w:hAnsi="Arial" w:cs="Arial"/>
          <w:vertAlign w:val="subscript"/>
        </w:rPr>
        <w:t>t</w:t>
      </w:r>
      <w:proofErr w:type="spellEnd"/>
      <w:r>
        <w:rPr>
          <w:rFonts w:ascii="Arial" w:eastAsia="Arial" w:hAnsi="Arial" w:cs="Arial"/>
        </w:rPr>
        <w:t xml:space="preserve"> = </w:t>
      </w:r>
      <w:r>
        <w:rPr>
          <w:rFonts w:ascii="Arial" w:eastAsia="Arial" w:hAnsi="Arial" w:cs="Arial"/>
        </w:rPr>
        <w:t>𝑓</w:t>
      </w:r>
      <w:r>
        <w:rPr>
          <w:rFonts w:ascii="Arial" w:eastAsia="Arial" w:hAnsi="Arial" w:cs="Arial"/>
        </w:rPr>
        <w:t xml:space="preserve"> (</w:t>
      </w:r>
      <w:proofErr w:type="spellStart"/>
      <w:r>
        <w:rPr>
          <w:rFonts w:ascii="Arial" w:eastAsia="Arial" w:hAnsi="Arial" w:cs="Arial"/>
        </w:rPr>
        <w:t>K</w:t>
      </w:r>
      <w:r>
        <w:rPr>
          <w:rFonts w:ascii="Arial" w:eastAsia="Arial" w:hAnsi="Arial" w:cs="Arial"/>
          <w:vertAlign w:val="subscript"/>
        </w:rPr>
        <w:t>t</w:t>
      </w:r>
      <w:proofErr w:type="spellEnd"/>
      <w:r>
        <w:rPr>
          <w:rFonts w:ascii="Arial" w:eastAsia="Arial" w:hAnsi="Arial" w:cs="Arial"/>
        </w:rPr>
        <w:t>,</w:t>
      </w:r>
      <w:r>
        <w:rPr>
          <w:rFonts w:ascii="Arial" w:eastAsia="Arial" w:hAnsi="Arial" w:cs="Arial"/>
        </w:rPr>
        <w:t xml:space="preserve"> L</w:t>
      </w:r>
      <w:r>
        <w:rPr>
          <w:rFonts w:ascii="Arial" w:eastAsia="Arial" w:hAnsi="Arial" w:cs="Arial"/>
          <w:vertAlign w:val="subscript"/>
        </w:rPr>
        <w:t>t</w:t>
      </w:r>
      <w:r>
        <w:rPr>
          <w:rFonts w:ascii="Arial" w:eastAsia="Arial" w:hAnsi="Arial" w:cs="Arial"/>
        </w:rPr>
        <w:t xml:space="preserve">, </w:t>
      </w:r>
      <w:proofErr w:type="spellStart"/>
      <w:r>
        <w:rPr>
          <w:rFonts w:ascii="Arial" w:eastAsia="Arial" w:hAnsi="Arial" w:cs="Arial"/>
        </w:rPr>
        <w:t>ND</w:t>
      </w:r>
      <w:r>
        <w:rPr>
          <w:rFonts w:ascii="Arial" w:eastAsia="Arial" w:hAnsi="Arial" w:cs="Arial"/>
          <w:vertAlign w:val="subscript"/>
        </w:rPr>
        <w:t>t</w:t>
      </w:r>
      <w:proofErr w:type="spellEnd"/>
      <w:r>
        <w:rPr>
          <w:rFonts w:ascii="Arial" w:eastAsia="Arial" w:hAnsi="Arial" w:cs="Arial"/>
        </w:rPr>
        <w:t>, T</w:t>
      </w:r>
      <w:r>
        <w:rPr>
          <w:rFonts w:ascii="Arial" w:eastAsia="Arial" w:hAnsi="Arial" w:cs="Arial"/>
          <w:vertAlign w:val="subscript"/>
        </w:rPr>
        <w:t>t</w:t>
      </w:r>
      <w:r>
        <w:rPr>
          <w:rFonts w:ascii="Arial" w:eastAsia="Arial" w:hAnsi="Arial" w:cs="Arial"/>
        </w:rPr>
        <w:t>, G</w:t>
      </w:r>
      <w:r>
        <w:rPr>
          <w:rFonts w:ascii="Arial" w:eastAsia="Arial" w:hAnsi="Arial" w:cs="Arial"/>
          <w:vertAlign w:val="subscript"/>
        </w:rPr>
        <w:t>t</w:t>
      </w:r>
      <w:r>
        <w:rPr>
          <w:rFonts w:ascii="Arial" w:eastAsia="Arial" w:hAnsi="Arial" w:cs="Arial"/>
        </w:rPr>
        <w:t xml:space="preserve">, </w:t>
      </w:r>
      <w:proofErr w:type="spellStart"/>
      <w:r>
        <w:rPr>
          <w:rFonts w:ascii="Arial" w:eastAsia="Arial" w:hAnsi="Arial" w:cs="Arial"/>
        </w:rPr>
        <w:t>FDI</w:t>
      </w:r>
      <w:r>
        <w:rPr>
          <w:rFonts w:ascii="Arial" w:eastAsia="Arial" w:hAnsi="Arial" w:cs="Arial"/>
          <w:vertAlign w:val="subscript"/>
        </w:rPr>
        <w:t>t</w:t>
      </w:r>
      <w:proofErr w:type="spellEnd"/>
      <w:r>
        <w:rPr>
          <w:rFonts w:ascii="Arial" w:eastAsia="Arial" w:hAnsi="Arial" w:cs="Arial"/>
        </w:rPr>
        <w:t xml:space="preserve">, </w:t>
      </w:r>
      <w:proofErr w:type="spellStart"/>
      <w:r>
        <w:rPr>
          <w:rFonts w:ascii="Arial" w:eastAsia="Arial" w:hAnsi="Arial" w:cs="Arial"/>
        </w:rPr>
        <w:t>POP</w:t>
      </w:r>
      <w:r>
        <w:rPr>
          <w:rFonts w:ascii="Arial" w:eastAsia="Arial" w:hAnsi="Arial" w:cs="Arial"/>
          <w:vertAlign w:val="subscript"/>
        </w:rPr>
        <w:t>t</w:t>
      </w:r>
      <w:proofErr w:type="spellEnd"/>
      <w:r>
        <w:rPr>
          <w:rFonts w:ascii="Arial" w:eastAsia="Arial" w:hAnsi="Arial" w:cs="Arial"/>
        </w:rPr>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0FAFA3C9" w14:textId="77777777" w:rsidR="007F76E5" w:rsidRDefault="0037067E">
      <w:pPr>
        <w:jc w:val="both"/>
        <w:rPr>
          <w:rFonts w:ascii="Arial" w:eastAsia="Arial" w:hAnsi="Arial" w:cs="Arial"/>
        </w:rPr>
      </w:pPr>
      <w:r>
        <w:rPr>
          <w:rFonts w:ascii="Arial" w:eastAsia="Arial" w:hAnsi="Arial" w:cs="Arial"/>
        </w:rPr>
        <w:t xml:space="preserve">where GDP is the gross domestic product, </w:t>
      </w:r>
    </w:p>
    <w:p w14:paraId="602B14E2" w14:textId="77777777" w:rsidR="007F76E5" w:rsidRDefault="0037067E">
      <w:pPr>
        <w:jc w:val="both"/>
        <w:rPr>
          <w:rFonts w:ascii="Arial" w:eastAsia="Arial" w:hAnsi="Arial" w:cs="Arial"/>
        </w:rPr>
      </w:pPr>
      <w:r>
        <w:rPr>
          <w:rFonts w:ascii="Arial" w:eastAsia="Arial" w:hAnsi="Arial" w:cs="Arial"/>
        </w:rPr>
        <w:t xml:space="preserve">K is the capital, L is the labor, </w:t>
      </w:r>
    </w:p>
    <w:p w14:paraId="6FCD0B26" w14:textId="77777777" w:rsidR="007F76E5" w:rsidRDefault="0037067E">
      <w:pPr>
        <w:jc w:val="both"/>
        <w:rPr>
          <w:rFonts w:ascii="Arial" w:eastAsia="Arial" w:hAnsi="Arial" w:cs="Arial"/>
        </w:rPr>
      </w:pPr>
      <w:r>
        <w:rPr>
          <w:rFonts w:ascii="Arial" w:eastAsia="Arial" w:hAnsi="Arial" w:cs="Arial"/>
        </w:rPr>
        <w:t xml:space="preserve"> ND is the number of people affected by natural disaster</w:t>
      </w:r>
    </w:p>
    <w:p w14:paraId="2831A3F9" w14:textId="77777777" w:rsidR="007F76E5" w:rsidRDefault="0037067E">
      <w:pPr>
        <w:jc w:val="both"/>
        <w:rPr>
          <w:rFonts w:ascii="Arial" w:eastAsia="Arial" w:hAnsi="Arial" w:cs="Arial"/>
        </w:rPr>
      </w:pPr>
      <w:r>
        <w:rPr>
          <w:rFonts w:ascii="Arial" w:eastAsia="Arial" w:hAnsi="Arial" w:cs="Arial"/>
        </w:rPr>
        <w:t>T is trade</w:t>
      </w:r>
    </w:p>
    <w:p w14:paraId="136C41FB" w14:textId="77777777" w:rsidR="007F76E5" w:rsidRDefault="0037067E">
      <w:pPr>
        <w:jc w:val="both"/>
        <w:rPr>
          <w:rFonts w:ascii="Arial" w:eastAsia="Arial" w:hAnsi="Arial" w:cs="Arial"/>
        </w:rPr>
      </w:pPr>
      <w:r>
        <w:rPr>
          <w:rFonts w:ascii="Arial" w:eastAsia="Arial" w:hAnsi="Arial" w:cs="Arial"/>
        </w:rPr>
        <w:t>G is government expenditure</w:t>
      </w:r>
    </w:p>
    <w:p w14:paraId="3B2BE857" w14:textId="77777777" w:rsidR="007F76E5" w:rsidRDefault="0037067E">
      <w:pPr>
        <w:jc w:val="both"/>
        <w:rPr>
          <w:rFonts w:ascii="Arial" w:eastAsia="Arial" w:hAnsi="Arial" w:cs="Arial"/>
        </w:rPr>
      </w:pPr>
      <w:r>
        <w:rPr>
          <w:rFonts w:ascii="Arial" w:eastAsia="Arial" w:hAnsi="Arial" w:cs="Arial"/>
        </w:rPr>
        <w:t xml:space="preserve">FDI is Foreign Direct Investment </w:t>
      </w:r>
    </w:p>
    <w:p w14:paraId="1E7D2740" w14:textId="77777777" w:rsidR="007F76E5" w:rsidRDefault="0037067E">
      <w:pPr>
        <w:jc w:val="both"/>
        <w:rPr>
          <w:rFonts w:ascii="Arial" w:eastAsia="Arial" w:hAnsi="Arial" w:cs="Arial"/>
        </w:rPr>
      </w:pPr>
      <w:r>
        <w:rPr>
          <w:rFonts w:ascii="Arial" w:eastAsia="Arial" w:hAnsi="Arial" w:cs="Arial"/>
        </w:rPr>
        <w:t>POP is the to</w:t>
      </w:r>
      <w:r>
        <w:rPr>
          <w:rFonts w:ascii="Arial" w:eastAsia="Arial" w:hAnsi="Arial" w:cs="Arial"/>
        </w:rPr>
        <w:t>tal population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42578D54" w14:textId="77777777" w:rsidR="007F76E5" w:rsidRDefault="0037067E">
      <w:pPr>
        <w:jc w:val="both"/>
        <w:rPr>
          <w:rFonts w:ascii="Arial" w:eastAsia="Arial" w:hAnsi="Arial" w:cs="Arial"/>
        </w:rPr>
      </w:pPr>
      <w:r>
        <w:rPr>
          <w:rFonts w:ascii="Arial" w:eastAsia="Arial" w:hAnsi="Arial" w:cs="Arial"/>
        </w:rPr>
        <w:t>The econometric model representing the relationship is given as follows;</w:t>
      </w:r>
      <w:r>
        <w:rPr>
          <w:rFonts w:ascii="Arial" w:eastAsia="Arial" w:hAnsi="Arial" w:cs="Arial"/>
        </w:rPr>
        <w:tab/>
      </w:r>
      <w:r>
        <w:rPr>
          <w:rFonts w:ascii="Arial" w:eastAsia="Arial" w:hAnsi="Arial" w:cs="Arial"/>
        </w:rPr>
        <w:tab/>
      </w:r>
      <w:r>
        <w:rPr>
          <w:rFonts w:ascii="Arial" w:eastAsia="Arial" w:hAnsi="Arial" w:cs="Arial"/>
        </w:rPr>
        <w:tab/>
      </w:r>
    </w:p>
    <w:p w14:paraId="33D5A981" w14:textId="77777777" w:rsidR="007F76E5" w:rsidRDefault="0037067E">
      <w:pPr>
        <w:jc w:val="center"/>
        <w:rPr>
          <w:rFonts w:ascii="Arial" w:eastAsia="Arial" w:hAnsi="Arial" w:cs="Arial"/>
        </w:rPr>
      </w:pPr>
      <m:oMathPara>
        <m:oMath>
          <m:r>
            <w:rPr>
              <w:rFonts w:ascii="Arial" w:eastAsia="Arial" w:hAnsi="Arial" w:cs="Arial"/>
            </w:rPr>
            <m:t>LnGDP</m:t>
          </m:r>
          <m:r>
            <w:rPr>
              <w:rFonts w:ascii="Arial" w:eastAsia="Arial" w:hAnsi="Arial" w:cs="Arial"/>
              <w:vertAlign w:val="subscript"/>
            </w:rPr>
            <m:t>t</m:t>
          </m:r>
          <m:r>
            <w:rPr>
              <w:rFonts w:ascii="Arial" w:eastAsia="Arial" w:hAnsi="Arial" w:cs="Arial"/>
            </w:rPr>
            <m:t xml:space="preserve"> =</m:t>
          </m:r>
          <m:r>
            <w:rPr>
              <w:rFonts w:ascii="Arial" w:eastAsia="Arial" w:hAnsi="Arial" w:cs="Arial"/>
            </w:rPr>
            <m:t>β</m:t>
          </m:r>
          <m:r>
            <w:rPr>
              <w:rFonts w:ascii="Arial" w:eastAsia="Arial" w:hAnsi="Arial" w:cs="Arial"/>
              <w:vertAlign w:val="subscript"/>
            </w:rPr>
            <m:t>0</m:t>
          </m:r>
          <m:r>
            <w:rPr>
              <w:rFonts w:ascii="Arial" w:eastAsia="Arial" w:hAnsi="Arial" w:cs="Arial"/>
            </w:rPr>
            <m:t xml:space="preserve"> +</m:t>
          </m:r>
          <m:r>
            <w:rPr>
              <w:rFonts w:ascii="Arial" w:eastAsia="Arial" w:hAnsi="Arial" w:cs="Arial"/>
            </w:rPr>
            <m:t>β</m:t>
          </m:r>
          <m:r>
            <w:rPr>
              <w:rFonts w:ascii="Arial" w:eastAsia="Arial" w:hAnsi="Arial" w:cs="Arial"/>
              <w:vertAlign w:val="subscript"/>
            </w:rPr>
            <m:t>1</m:t>
          </m:r>
          <m:r>
            <w:rPr>
              <w:rFonts w:ascii="Arial" w:eastAsia="Arial" w:hAnsi="Arial" w:cs="Arial"/>
            </w:rPr>
            <m:t xml:space="preserve"> </m:t>
          </m:r>
          <m:r>
            <w:rPr>
              <w:rFonts w:ascii="Arial" w:eastAsia="Arial" w:hAnsi="Arial" w:cs="Arial"/>
            </w:rPr>
            <m:t>LnK</m:t>
          </m:r>
          <m:r>
            <w:rPr>
              <w:rFonts w:ascii="Arial" w:eastAsia="Arial" w:hAnsi="Arial" w:cs="Arial"/>
              <w:vertAlign w:val="subscript"/>
            </w:rPr>
            <m:t>t</m:t>
          </m:r>
          <m:r>
            <w:rPr>
              <w:rFonts w:ascii="Arial" w:eastAsia="Arial" w:hAnsi="Arial" w:cs="Arial"/>
            </w:rPr>
            <m:t xml:space="preserve"> +</m:t>
          </m:r>
          <m:r>
            <w:rPr>
              <w:rFonts w:ascii="Arial" w:eastAsia="Arial" w:hAnsi="Arial" w:cs="Arial"/>
            </w:rPr>
            <m:t>β</m:t>
          </m:r>
          <m:r>
            <w:rPr>
              <w:rFonts w:ascii="Arial" w:eastAsia="Arial" w:hAnsi="Arial" w:cs="Arial"/>
              <w:vertAlign w:val="subscript"/>
            </w:rPr>
            <m:t>2</m:t>
          </m:r>
          <m:r>
            <w:rPr>
              <w:rFonts w:ascii="Arial" w:eastAsia="Arial" w:hAnsi="Arial" w:cs="Arial"/>
            </w:rPr>
            <m:t xml:space="preserve"> </m:t>
          </m:r>
          <m:r>
            <w:rPr>
              <w:rFonts w:ascii="Arial" w:eastAsia="Arial" w:hAnsi="Arial" w:cs="Arial"/>
            </w:rPr>
            <m:t>LnL</m:t>
          </m:r>
          <m:r>
            <w:rPr>
              <w:rFonts w:ascii="Arial" w:eastAsia="Arial" w:hAnsi="Arial" w:cs="Arial"/>
              <w:vertAlign w:val="subscript"/>
            </w:rPr>
            <m:t>t</m:t>
          </m:r>
          <m:r>
            <w:rPr>
              <w:rFonts w:ascii="Arial" w:eastAsia="Arial" w:hAnsi="Arial" w:cs="Arial"/>
            </w:rPr>
            <m:t xml:space="preserve"> +</m:t>
          </m:r>
          <m:r>
            <w:rPr>
              <w:rFonts w:ascii="Arial" w:eastAsia="Arial" w:hAnsi="Arial" w:cs="Arial"/>
            </w:rPr>
            <m:t>β</m:t>
          </m:r>
          <m:r>
            <w:rPr>
              <w:rFonts w:ascii="Arial" w:eastAsia="Arial" w:hAnsi="Arial" w:cs="Arial"/>
              <w:vertAlign w:val="subscript"/>
            </w:rPr>
            <m:t>3</m:t>
          </m:r>
          <m:r>
            <w:rPr>
              <w:rFonts w:ascii="Arial" w:eastAsia="Arial" w:hAnsi="Arial" w:cs="Arial"/>
            </w:rPr>
            <m:t xml:space="preserve"> </m:t>
          </m:r>
          <m:r>
            <w:rPr>
              <w:rFonts w:ascii="Arial" w:eastAsia="Arial" w:hAnsi="Arial" w:cs="Arial"/>
            </w:rPr>
            <m:t>LnND</m:t>
          </m:r>
          <m:r>
            <w:rPr>
              <w:rFonts w:ascii="Arial" w:eastAsia="Arial" w:hAnsi="Arial" w:cs="Arial"/>
              <w:vertAlign w:val="subscript"/>
            </w:rPr>
            <m:t>t</m:t>
          </m:r>
          <m:r>
            <w:rPr>
              <w:rFonts w:ascii="Arial" w:eastAsia="Arial" w:hAnsi="Arial" w:cs="Arial"/>
            </w:rPr>
            <m:t xml:space="preserve"> + </m:t>
          </m:r>
          <m:r>
            <w:rPr>
              <w:rFonts w:ascii="Arial" w:eastAsia="Arial" w:hAnsi="Arial" w:cs="Arial"/>
            </w:rPr>
            <m:t>β</m:t>
          </m:r>
          <m:r>
            <w:rPr>
              <w:rFonts w:ascii="Arial" w:eastAsia="Arial" w:hAnsi="Arial" w:cs="Arial"/>
              <w:vertAlign w:val="subscript"/>
            </w:rPr>
            <m:t>4</m:t>
          </m:r>
          <m:r>
            <w:rPr>
              <w:rFonts w:ascii="Arial" w:eastAsia="Arial" w:hAnsi="Arial" w:cs="Arial"/>
            </w:rPr>
            <m:t xml:space="preserve"> </m:t>
          </m:r>
          <m:r>
            <w:rPr>
              <w:rFonts w:ascii="Arial" w:eastAsia="Arial" w:hAnsi="Arial" w:cs="Arial"/>
            </w:rPr>
            <m:t>LnT</m:t>
          </m:r>
          <m:r>
            <w:rPr>
              <w:rFonts w:ascii="Arial" w:eastAsia="Arial" w:hAnsi="Arial" w:cs="Arial"/>
              <w:vertAlign w:val="subscript"/>
            </w:rPr>
            <m:t>t</m:t>
          </m:r>
          <m:r>
            <w:rPr>
              <w:rFonts w:ascii="Arial" w:eastAsia="Arial" w:hAnsi="Arial" w:cs="Arial"/>
            </w:rPr>
            <m:t xml:space="preserve">+ </m:t>
          </m:r>
          <m:r>
            <w:rPr>
              <w:rFonts w:ascii="Arial" w:eastAsia="Arial" w:hAnsi="Arial" w:cs="Arial"/>
            </w:rPr>
            <m:t>β</m:t>
          </m:r>
          <m:r>
            <w:rPr>
              <w:rFonts w:ascii="Arial" w:eastAsia="Arial" w:hAnsi="Arial" w:cs="Arial"/>
              <w:vertAlign w:val="subscript"/>
            </w:rPr>
            <m:t>5</m:t>
          </m:r>
          <m:r>
            <w:rPr>
              <w:rFonts w:ascii="Arial" w:eastAsia="Arial" w:hAnsi="Arial" w:cs="Arial"/>
            </w:rPr>
            <m:t xml:space="preserve"> </m:t>
          </m:r>
          <m:r>
            <w:rPr>
              <w:rFonts w:ascii="Arial" w:eastAsia="Arial" w:hAnsi="Arial" w:cs="Arial"/>
            </w:rPr>
            <m:t>LnG</m:t>
          </m:r>
          <m:r>
            <w:rPr>
              <w:rFonts w:ascii="Arial" w:eastAsia="Arial" w:hAnsi="Arial" w:cs="Arial"/>
              <w:vertAlign w:val="subscript"/>
            </w:rPr>
            <m:t>t</m:t>
          </m:r>
          <m:r>
            <w:rPr>
              <w:rFonts w:ascii="Arial" w:eastAsia="Arial" w:hAnsi="Arial" w:cs="Arial"/>
            </w:rPr>
            <m:t>+</m:t>
          </m:r>
          <m:r>
            <w:rPr>
              <w:rFonts w:ascii="Arial" w:eastAsia="Arial" w:hAnsi="Arial" w:cs="Arial"/>
            </w:rPr>
            <m:t>β</m:t>
          </m:r>
          <m:r>
            <w:rPr>
              <w:rFonts w:ascii="Arial" w:eastAsia="Arial" w:hAnsi="Arial" w:cs="Arial"/>
              <w:vertAlign w:val="subscript"/>
            </w:rPr>
            <m:t>6</m:t>
          </m:r>
          <m:r>
            <w:rPr>
              <w:rFonts w:ascii="Arial" w:eastAsia="Arial" w:hAnsi="Arial" w:cs="Arial"/>
            </w:rPr>
            <m:t xml:space="preserve"> </m:t>
          </m:r>
          <m:r>
            <w:rPr>
              <w:rFonts w:ascii="Arial" w:eastAsia="Arial" w:hAnsi="Arial" w:cs="Arial"/>
            </w:rPr>
            <m:t>LnFDI</m:t>
          </m:r>
          <m:r>
            <w:rPr>
              <w:rFonts w:ascii="Arial" w:eastAsia="Arial" w:hAnsi="Arial" w:cs="Arial"/>
              <w:vertAlign w:val="subscript"/>
            </w:rPr>
            <m:t>t</m:t>
          </m:r>
          <m:r>
            <w:rPr>
              <w:rFonts w:ascii="Arial" w:eastAsia="Arial" w:hAnsi="Arial" w:cs="Arial"/>
            </w:rPr>
            <m:t>+</m:t>
          </m:r>
          <m:r>
            <w:rPr>
              <w:rFonts w:ascii="Arial" w:eastAsia="Arial" w:hAnsi="Arial" w:cs="Arial"/>
            </w:rPr>
            <m:t>β</m:t>
          </m:r>
          <m:r>
            <w:rPr>
              <w:rFonts w:ascii="Arial" w:eastAsia="Arial" w:hAnsi="Arial" w:cs="Arial"/>
              <w:vertAlign w:val="subscript"/>
            </w:rPr>
            <m:t>7</m:t>
          </m:r>
          <m:r>
            <w:rPr>
              <w:rFonts w:ascii="Arial" w:eastAsia="Arial" w:hAnsi="Arial" w:cs="Arial"/>
            </w:rPr>
            <m:t xml:space="preserve"> </m:t>
          </m:r>
          <m:r>
            <w:rPr>
              <w:rFonts w:ascii="Arial" w:eastAsia="Arial" w:hAnsi="Arial" w:cs="Arial"/>
            </w:rPr>
            <m:t>LnPOP</m:t>
          </m:r>
          <m:r>
            <w:rPr>
              <w:rFonts w:ascii="Arial" w:eastAsia="Arial" w:hAnsi="Arial" w:cs="Arial"/>
              <w:vertAlign w:val="subscript"/>
            </w:rPr>
            <m:t>t</m:t>
          </m:r>
          <m:r>
            <w:rPr>
              <w:rFonts w:ascii="Arial" w:eastAsia="Arial" w:hAnsi="Arial" w:cs="Arial"/>
            </w:rPr>
            <m:t>+</m:t>
          </m:r>
          <m:r>
            <w:rPr>
              <w:rFonts w:ascii="Arial" w:eastAsia="Arial" w:hAnsi="Arial" w:cs="Arial"/>
            </w:rPr>
            <m:t>ε</m:t>
          </m:r>
          <m:r>
            <w:rPr>
              <w:rFonts w:ascii="Arial" w:eastAsia="Arial" w:hAnsi="Arial" w:cs="Arial"/>
              <w:vertAlign w:val="subscript"/>
            </w:rPr>
            <m:t>t</m:t>
          </m:r>
          <m:r>
            <w:rPr>
              <w:rFonts w:ascii="Arial" w:eastAsia="Arial" w:hAnsi="Arial" w:cs="Arial"/>
            </w:rPr>
            <m:t xml:space="preserve"> </m:t>
          </m:r>
        </m:oMath>
      </m:oMathPara>
    </w:p>
    <w:p w14:paraId="26D49979" w14:textId="77777777" w:rsidR="007F76E5" w:rsidRDefault="0037067E">
      <w:pPr>
        <w:jc w:val="both"/>
        <w:rPr>
          <w:rFonts w:ascii="Arial" w:eastAsia="Arial" w:hAnsi="Arial" w:cs="Arial"/>
        </w:rPr>
      </w:pPr>
      <w:r>
        <w:rPr>
          <w:rFonts w:ascii="Arial" w:eastAsia="Arial" w:hAnsi="Arial" w:cs="Arial"/>
        </w:rPr>
        <w:t>Where</w:t>
      </w:r>
    </w:p>
    <w:p w14:paraId="4510881B" w14:textId="77777777" w:rsidR="007F76E5" w:rsidRDefault="0037067E">
      <w:pPr>
        <w:jc w:val="both"/>
        <w:rPr>
          <w:rFonts w:ascii="Arial" w:eastAsia="Arial" w:hAnsi="Arial" w:cs="Arial"/>
        </w:rPr>
      </w:pPr>
      <w:r>
        <w:rPr>
          <w:rFonts w:ascii="Arial" w:eastAsia="Arial" w:hAnsi="Arial" w:cs="Arial"/>
        </w:rPr>
        <w:t xml:space="preserve">where </w:t>
      </w:r>
      <w:proofErr w:type="spellStart"/>
      <w:r>
        <w:rPr>
          <w:rFonts w:ascii="Arial" w:eastAsia="Arial" w:hAnsi="Arial" w:cs="Arial"/>
        </w:rPr>
        <w:t>lnGDP</w:t>
      </w:r>
      <w:r>
        <w:rPr>
          <w:rFonts w:ascii="Arial" w:eastAsia="Arial" w:hAnsi="Arial" w:cs="Arial"/>
          <w:vertAlign w:val="subscript"/>
        </w:rPr>
        <w:t>t</w:t>
      </w:r>
      <w:proofErr w:type="spellEnd"/>
      <w:r>
        <w:rPr>
          <w:rFonts w:ascii="Arial" w:eastAsia="Arial" w:hAnsi="Arial" w:cs="Arial"/>
        </w:rPr>
        <w:t>​</w:t>
      </w:r>
      <w:r>
        <w:rPr>
          <w:rFonts w:ascii="Arial" w:eastAsia="Arial" w:hAnsi="Arial" w:cs="Arial"/>
        </w:rPr>
        <w:t xml:space="preserve"> denotes real economic output, </w:t>
      </w:r>
      <w:proofErr w:type="spellStart"/>
      <w:r>
        <w:rPr>
          <w:rFonts w:ascii="Arial" w:eastAsia="Arial" w:hAnsi="Arial" w:cs="Arial"/>
        </w:rPr>
        <w:t>lnK</w:t>
      </w:r>
      <w:r>
        <w:rPr>
          <w:rFonts w:ascii="Arial" w:eastAsia="Arial" w:hAnsi="Arial" w:cs="Arial"/>
          <w:vertAlign w:val="subscript"/>
        </w:rPr>
        <w:t>t</w:t>
      </w:r>
      <w:proofErr w:type="spellEnd"/>
      <w:r>
        <w:rPr>
          <w:rFonts w:ascii="Arial" w:eastAsia="Arial" w:hAnsi="Arial" w:cs="Arial"/>
          <w:vertAlign w:val="subscript"/>
        </w:rPr>
        <w:t>​</w:t>
      </w:r>
      <w:r>
        <w:rPr>
          <w:rFonts w:ascii="Arial" w:eastAsia="Arial" w:hAnsi="Arial" w:cs="Arial"/>
        </w:rPr>
        <w:t xml:space="preserve"> represents gross fixed capital formation, and </w:t>
      </w:r>
      <w:proofErr w:type="spellStart"/>
      <w:r>
        <w:rPr>
          <w:rFonts w:ascii="Arial" w:eastAsia="Arial" w:hAnsi="Arial" w:cs="Arial"/>
        </w:rPr>
        <w:t>lnL</w:t>
      </w:r>
      <w:r>
        <w:rPr>
          <w:rFonts w:ascii="Arial" w:eastAsia="Arial" w:hAnsi="Arial" w:cs="Arial"/>
          <w:vertAlign w:val="subscript"/>
        </w:rPr>
        <w:t>t</w:t>
      </w:r>
      <w:proofErr w:type="spellEnd"/>
      <w:r>
        <w:rPr>
          <w:rFonts w:ascii="Arial" w:eastAsia="Arial" w:hAnsi="Arial" w:cs="Arial"/>
        </w:rPr>
        <w:t>​</w:t>
      </w:r>
      <w:r>
        <w:rPr>
          <w:rFonts w:ascii="Arial" w:eastAsia="Arial" w:hAnsi="Arial" w:cs="Arial"/>
        </w:rPr>
        <w:t xml:space="preserve"> denotes the total labor force. Natural disasters (</w:t>
      </w:r>
      <w:proofErr w:type="spellStart"/>
      <w:r>
        <w:rPr>
          <w:rFonts w:ascii="Arial" w:eastAsia="Arial" w:hAnsi="Arial" w:cs="Arial"/>
        </w:rPr>
        <w:t>lnND</w:t>
      </w:r>
      <w:r>
        <w:rPr>
          <w:rFonts w:ascii="Arial" w:eastAsia="Arial" w:hAnsi="Arial" w:cs="Arial"/>
          <w:vertAlign w:val="subscript"/>
        </w:rPr>
        <w:t>t</w:t>
      </w:r>
      <w:proofErr w:type="spellEnd"/>
      <w:r>
        <w:rPr>
          <w:rFonts w:ascii="Arial" w:eastAsia="Arial" w:hAnsi="Arial" w:cs="Arial"/>
        </w:rPr>
        <w:t>​</w:t>
      </w:r>
      <w:r>
        <w:rPr>
          <w:rFonts w:ascii="Arial" w:eastAsia="Arial" w:hAnsi="Arial" w:cs="Arial"/>
        </w:rPr>
        <w:t xml:space="preserve">) are measured by the number of people affected, while </w:t>
      </w:r>
      <w:proofErr w:type="spellStart"/>
      <w:r>
        <w:rPr>
          <w:rFonts w:ascii="Arial" w:eastAsia="Arial" w:hAnsi="Arial" w:cs="Arial"/>
        </w:rPr>
        <w:t>lnT</w:t>
      </w:r>
      <w:r>
        <w:rPr>
          <w:rFonts w:ascii="Arial" w:eastAsia="Arial" w:hAnsi="Arial" w:cs="Arial"/>
          <w:vertAlign w:val="subscript"/>
        </w:rPr>
        <w:t>t</w:t>
      </w:r>
      <w:proofErr w:type="spellEnd"/>
      <w:r>
        <w:rPr>
          <w:rFonts w:ascii="Arial" w:eastAsia="Arial" w:hAnsi="Arial" w:cs="Arial"/>
        </w:rPr>
        <w:t>​</w:t>
      </w:r>
      <w:r>
        <w:rPr>
          <w:rFonts w:ascii="Arial" w:eastAsia="Arial" w:hAnsi="Arial" w:cs="Arial"/>
        </w:rPr>
        <w:t xml:space="preserve">, </w:t>
      </w:r>
      <w:proofErr w:type="spellStart"/>
      <w:r>
        <w:rPr>
          <w:rFonts w:ascii="Arial" w:eastAsia="Arial" w:hAnsi="Arial" w:cs="Arial"/>
        </w:rPr>
        <w:t>lnG</w:t>
      </w:r>
      <w:r>
        <w:rPr>
          <w:rFonts w:ascii="Arial" w:eastAsia="Arial" w:hAnsi="Arial" w:cs="Arial"/>
          <w:vertAlign w:val="subscript"/>
        </w:rPr>
        <w:t>t</w:t>
      </w:r>
      <w:proofErr w:type="spellEnd"/>
      <w:r>
        <w:rPr>
          <w:rFonts w:ascii="Arial" w:eastAsia="Arial" w:hAnsi="Arial" w:cs="Arial"/>
        </w:rPr>
        <w:t>​</w:t>
      </w:r>
      <w:r>
        <w:rPr>
          <w:rFonts w:ascii="Arial" w:eastAsia="Arial" w:hAnsi="Arial" w:cs="Arial"/>
        </w:rPr>
        <w:t xml:space="preserve">, </w:t>
      </w:r>
      <w:proofErr w:type="spellStart"/>
      <w:r>
        <w:rPr>
          <w:rFonts w:ascii="Arial" w:eastAsia="Arial" w:hAnsi="Arial" w:cs="Arial"/>
        </w:rPr>
        <w:t>lnFDI</w:t>
      </w:r>
      <w:r>
        <w:rPr>
          <w:rFonts w:ascii="Arial" w:eastAsia="Arial" w:hAnsi="Arial" w:cs="Arial"/>
          <w:vertAlign w:val="subscript"/>
        </w:rPr>
        <w:t>t</w:t>
      </w:r>
      <w:proofErr w:type="spellEnd"/>
      <w:r>
        <w:rPr>
          <w:rFonts w:ascii="Arial" w:eastAsia="Arial" w:hAnsi="Arial" w:cs="Arial"/>
          <w:vertAlign w:val="subscript"/>
        </w:rPr>
        <w:t>​</w:t>
      </w:r>
      <w:r>
        <w:rPr>
          <w:rFonts w:ascii="Arial" w:eastAsia="Arial" w:hAnsi="Arial" w:cs="Arial"/>
        </w:rPr>
        <w:t xml:space="preserve">, and </w:t>
      </w:r>
      <w:proofErr w:type="spellStart"/>
      <w:r>
        <w:rPr>
          <w:rFonts w:ascii="Arial" w:eastAsia="Arial" w:hAnsi="Arial" w:cs="Arial"/>
        </w:rPr>
        <w:t>lnPOP</w:t>
      </w:r>
      <w:r>
        <w:rPr>
          <w:rFonts w:ascii="Arial" w:eastAsia="Arial" w:hAnsi="Arial" w:cs="Arial"/>
          <w:vertAlign w:val="subscript"/>
        </w:rPr>
        <w:t>t</w:t>
      </w:r>
      <w:proofErr w:type="spellEnd"/>
      <w:r>
        <w:rPr>
          <w:rFonts w:ascii="Arial" w:eastAsia="Arial" w:hAnsi="Arial" w:cs="Arial"/>
        </w:rPr>
        <w:t>​</w:t>
      </w:r>
      <w:r>
        <w:rPr>
          <w:rFonts w:ascii="Arial" w:eastAsia="Arial" w:hAnsi="Arial" w:cs="Arial"/>
        </w:rPr>
        <w:t xml:space="preserve"> represent trade open</w:t>
      </w:r>
      <w:r>
        <w:rPr>
          <w:rFonts w:ascii="Arial" w:eastAsia="Arial" w:hAnsi="Arial" w:cs="Arial"/>
        </w:rPr>
        <w:t>ness, government expenditure, foreign direct investment, and population, respectively</w:t>
      </w:r>
    </w:p>
    <w:p w14:paraId="264242C9" w14:textId="77777777" w:rsidR="007F76E5" w:rsidRDefault="0037067E">
      <w:pPr>
        <w:jc w:val="both"/>
        <w:rPr>
          <w:rFonts w:ascii="Arial" w:eastAsia="Arial" w:hAnsi="Arial" w:cs="Arial"/>
        </w:rPr>
      </w:pPr>
      <w:r>
        <w:rPr>
          <w:rFonts w:ascii="Arial" w:eastAsia="Arial" w:hAnsi="Arial" w:cs="Arial"/>
        </w:rPr>
        <w:t xml:space="preserve"> </w:t>
      </w:r>
      <m:oMath>
        <m:r>
          <w:rPr>
            <w:rFonts w:ascii="Cambria Math" w:hAnsi="Cambria Math"/>
          </w:rPr>
          <m:t>β</m:t>
        </m:r>
        <m:r>
          <w:rPr>
            <w:rFonts w:ascii="Arial" w:eastAsia="Arial" w:hAnsi="Arial" w:cs="Arial"/>
            <w:vertAlign w:val="subscript"/>
          </w:rPr>
          <m:t>0</m:t>
        </m:r>
      </m:oMath>
      <w:r>
        <w:rPr>
          <w:rFonts w:ascii="Arial" w:eastAsia="Arial" w:hAnsi="Arial" w:cs="Arial"/>
        </w:rPr>
        <w:t xml:space="preserve"> is an intercept, </w:t>
      </w:r>
    </w:p>
    <w:p w14:paraId="5708DDBA" w14:textId="77777777" w:rsidR="007F76E5" w:rsidRDefault="0037067E">
      <w:pPr>
        <w:jc w:val="both"/>
        <w:rPr>
          <w:rFonts w:ascii="Arial" w:eastAsia="Arial" w:hAnsi="Arial" w:cs="Arial"/>
        </w:rPr>
      </w:pPr>
      <m:oMath>
        <m:r>
          <w:rPr>
            <w:rFonts w:ascii="Cambria Math" w:hAnsi="Cambria Math"/>
          </w:rPr>
          <m:t>β</m:t>
        </m:r>
        <m:r>
          <w:rPr>
            <w:rFonts w:ascii="Arial" w:eastAsia="Arial" w:hAnsi="Arial" w:cs="Arial"/>
            <w:vertAlign w:val="subscript"/>
          </w:rPr>
          <m:t>1</m:t>
        </m:r>
      </m:oMath>
      <w:r>
        <w:rPr>
          <w:rFonts w:ascii="Arial" w:eastAsia="Arial" w:hAnsi="Arial" w:cs="Arial"/>
        </w:rPr>
        <w:t xml:space="preserve">, </w:t>
      </w:r>
      <m:oMath>
        <m:r>
          <w:rPr>
            <w:rFonts w:ascii="Cambria Math" w:hAnsi="Cambria Math"/>
          </w:rPr>
          <m:t>β</m:t>
        </m:r>
        <m:r>
          <w:rPr>
            <w:rFonts w:ascii="Arial" w:eastAsia="Arial" w:hAnsi="Arial" w:cs="Arial"/>
            <w:vertAlign w:val="subscript"/>
          </w:rPr>
          <m:t>2</m:t>
        </m:r>
      </m:oMath>
      <w:r>
        <w:rPr>
          <w:rFonts w:ascii="Arial" w:eastAsia="Arial" w:hAnsi="Arial" w:cs="Arial"/>
        </w:rPr>
        <w:t xml:space="preserve">, </w:t>
      </w:r>
      <m:oMath>
        <m:r>
          <w:rPr>
            <w:rFonts w:ascii="Cambria Math" w:hAnsi="Cambria Math"/>
          </w:rPr>
          <m:t>β</m:t>
        </m:r>
        <m:r>
          <w:rPr>
            <w:rFonts w:ascii="Arial" w:eastAsia="Arial" w:hAnsi="Arial" w:cs="Arial"/>
            <w:vertAlign w:val="subscript"/>
          </w:rPr>
          <m:t>3</m:t>
        </m:r>
      </m:oMath>
      <w:r>
        <w:rPr>
          <w:rFonts w:ascii="Arial" w:eastAsia="Arial" w:hAnsi="Arial" w:cs="Arial"/>
        </w:rPr>
        <w:t>,</w:t>
      </w:r>
      <m:oMath>
        <m:r>
          <w:rPr>
            <w:rFonts w:ascii="Arial" w:eastAsia="Arial" w:hAnsi="Arial" w:cs="Arial"/>
          </w:rPr>
          <m:t xml:space="preserve"> </m:t>
        </m:r>
        <m:r>
          <w:rPr>
            <w:rFonts w:ascii="Arial" w:eastAsia="Arial" w:hAnsi="Arial" w:cs="Arial"/>
          </w:rPr>
          <m:t>β</m:t>
        </m:r>
        <m:r>
          <w:rPr>
            <w:rFonts w:ascii="Arial" w:eastAsia="Arial" w:hAnsi="Arial" w:cs="Arial"/>
            <w:vertAlign w:val="subscript"/>
          </w:rPr>
          <m:t>4</m:t>
        </m:r>
      </m:oMath>
      <w:r>
        <w:rPr>
          <w:rFonts w:ascii="Arial" w:eastAsia="Arial" w:hAnsi="Arial" w:cs="Arial"/>
        </w:rPr>
        <w:t>,</w:t>
      </w:r>
      <m:oMath>
        <m:r>
          <w:rPr>
            <w:rFonts w:ascii="Arial" w:eastAsia="Arial" w:hAnsi="Arial" w:cs="Arial"/>
          </w:rPr>
          <m:t xml:space="preserve"> </m:t>
        </m:r>
        <m:r>
          <w:rPr>
            <w:rFonts w:ascii="Arial" w:eastAsia="Arial" w:hAnsi="Arial" w:cs="Arial"/>
          </w:rPr>
          <m:t>β</m:t>
        </m:r>
        <m:r>
          <w:rPr>
            <w:rFonts w:ascii="Arial" w:eastAsia="Arial" w:hAnsi="Arial" w:cs="Arial"/>
            <w:vertAlign w:val="subscript"/>
          </w:rPr>
          <m:t>5</m:t>
        </m:r>
      </m:oMath>
      <w:r>
        <w:rPr>
          <w:rFonts w:ascii="Arial" w:eastAsia="Arial" w:hAnsi="Arial" w:cs="Arial"/>
        </w:rPr>
        <w:t xml:space="preserve">, </w:t>
      </w:r>
      <m:oMath>
        <m:r>
          <w:rPr>
            <w:rFonts w:ascii="Cambria Math" w:hAnsi="Cambria Math"/>
          </w:rPr>
          <m:t>β</m:t>
        </m:r>
        <m:r>
          <w:rPr>
            <w:rFonts w:ascii="Arial" w:eastAsia="Arial" w:hAnsi="Arial" w:cs="Arial"/>
            <w:vertAlign w:val="subscript"/>
          </w:rPr>
          <m:t>6</m:t>
        </m:r>
      </m:oMath>
      <w:r>
        <w:rPr>
          <w:rFonts w:ascii="Arial" w:eastAsia="Arial" w:hAnsi="Arial" w:cs="Arial"/>
        </w:rPr>
        <w:t xml:space="preserve">, and </w:t>
      </w:r>
      <m:oMath>
        <m:r>
          <w:rPr>
            <w:rFonts w:ascii="Cambria Math" w:hAnsi="Cambria Math"/>
          </w:rPr>
          <m:t>β</m:t>
        </m:r>
        <m:r>
          <w:rPr>
            <w:rFonts w:ascii="Arial" w:eastAsia="Arial" w:hAnsi="Arial" w:cs="Arial"/>
            <w:vertAlign w:val="subscript"/>
          </w:rPr>
          <m:t>7</m:t>
        </m:r>
      </m:oMath>
      <w:r>
        <w:rPr>
          <w:rFonts w:ascii="Arial" w:eastAsia="Arial" w:hAnsi="Arial" w:cs="Arial"/>
        </w:rPr>
        <w:t xml:space="preserve">are the coefficients, </w:t>
      </w:r>
    </w:p>
    <w:p w14:paraId="0A2F1811" w14:textId="77777777" w:rsidR="007F76E5" w:rsidRDefault="0037067E">
      <w:pPr>
        <w:jc w:val="both"/>
        <w:rPr>
          <w:rFonts w:ascii="Arial" w:eastAsia="Arial" w:hAnsi="Arial" w:cs="Arial"/>
        </w:rPr>
      </w:pPr>
      <m:oMath>
        <m:r>
          <w:rPr>
            <w:rFonts w:ascii="Cambria Math" w:hAnsi="Cambria Math"/>
          </w:rPr>
          <m:t>ε</m:t>
        </m:r>
      </m:oMath>
      <w:r>
        <w:rPr>
          <w:rFonts w:ascii="Arial" w:eastAsia="Arial" w:hAnsi="Arial" w:cs="Arial"/>
        </w:rPr>
        <w:t xml:space="preserve"> represents the error term, which captures the unobserved factors that affect economic growth.</w:t>
      </w:r>
    </w:p>
    <w:p w14:paraId="4BBB0271" w14:textId="77777777" w:rsidR="007F76E5" w:rsidRDefault="0037067E">
      <w:pPr>
        <w:jc w:val="both"/>
        <w:rPr>
          <w:rFonts w:ascii="Arial" w:eastAsia="Arial" w:hAnsi="Arial" w:cs="Arial"/>
          <w:color w:val="000000"/>
        </w:rPr>
      </w:pPr>
      <w:r>
        <w:rPr>
          <w:rFonts w:ascii="Arial" w:eastAsia="Arial" w:hAnsi="Arial" w:cs="Arial"/>
        </w:rPr>
        <w:t>All variables are transformed into natural logarithms to ensure linearity and interpret coefficients as elasticities</w:t>
      </w:r>
    </w:p>
    <w:p w14:paraId="605980B7" w14:textId="77777777" w:rsidR="007F76E5" w:rsidRDefault="0037067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4</w:t>
      </w:r>
      <w:r>
        <w:rPr>
          <w:rFonts w:ascii="Arial" w:eastAsia="Arial" w:hAnsi="Arial" w:cs="Arial"/>
          <w:b/>
          <w:bCs/>
          <w:smallCaps/>
          <w:color w:val="000000"/>
          <w:sz w:val="22"/>
          <w:szCs w:val="22"/>
        </w:rPr>
        <w:t>. results and discussion</w:t>
      </w:r>
    </w:p>
    <w:p w14:paraId="64ABDA40" w14:textId="77777777" w:rsidR="007F76E5" w:rsidRDefault="0037067E">
      <w:pPr>
        <w:pBdr>
          <w:top w:val="nil"/>
          <w:left w:val="nil"/>
          <w:bottom w:val="nil"/>
          <w:right w:val="nil"/>
          <w:between w:val="nil"/>
        </w:pBdr>
        <w:jc w:val="both"/>
        <w:rPr>
          <w:rFonts w:ascii="Arial" w:eastAsia="Arial" w:hAnsi="Arial" w:cs="Arial"/>
        </w:rPr>
      </w:pPr>
      <w:r>
        <w:rPr>
          <w:rFonts w:ascii="Arial" w:eastAsia="Arial" w:hAnsi="Arial" w:cs="Arial"/>
        </w:rPr>
        <w:t xml:space="preserve">This section </w:t>
      </w:r>
      <w:r>
        <w:rPr>
          <w:rFonts w:ascii="Arial" w:eastAsia="Arial" w:hAnsi="Arial" w:cs="Arial"/>
        </w:rPr>
        <w:t>presents and discusses the empirical findings on the relationship between natural disasters and economic growth in Indonesia. Before estimating the Vector Error Correction Model, a series of diagnostic and preliminary tests are conducted to ensure the reli</w:t>
      </w:r>
      <w:r>
        <w:rPr>
          <w:rFonts w:ascii="Arial" w:eastAsia="Arial" w:hAnsi="Arial" w:cs="Arial"/>
        </w:rPr>
        <w:t>ability and suitability of the econometric model. These tests include unit root tests to assess the stationarity properties of the variables, and cointegration tests to determine the existence of long-run equilibrium relationships among them.</w:t>
      </w:r>
    </w:p>
    <w:p w14:paraId="2FE0A710" w14:textId="77777777" w:rsidR="007F76E5" w:rsidRDefault="0037067E">
      <w:pPr>
        <w:spacing w:before="240" w:after="240"/>
        <w:rPr>
          <w:rFonts w:ascii="Arial" w:eastAsia="Arial" w:hAnsi="Arial" w:cs="Arial"/>
        </w:rPr>
      </w:pPr>
      <w:r>
        <w:rPr>
          <w:rFonts w:ascii="Arial" w:eastAsia="Arial" w:hAnsi="Arial" w:cs="Arial"/>
        </w:rPr>
        <w:t>Table 2. Resu</w:t>
      </w:r>
      <w:r>
        <w:rPr>
          <w:rFonts w:ascii="Arial" w:eastAsia="Arial" w:hAnsi="Arial" w:cs="Arial"/>
        </w:rPr>
        <w:t xml:space="preserve">lts of the ADF unit root test </w:t>
      </w:r>
    </w:p>
    <w:tbl>
      <w:tblPr>
        <w:tblStyle w:val="a1"/>
        <w:tblpPr w:leftFromText="180" w:rightFromText="180" w:vertAnchor="text"/>
        <w:tblW w:w="6945" w:type="dxa"/>
        <w:tblInd w:w="0" w:type="dxa"/>
        <w:tblBorders>
          <w:top w:val="single" w:sz="4" w:space="0" w:color="000000"/>
          <w:bottom w:val="single" w:sz="4" w:space="0" w:color="000000"/>
        </w:tblBorders>
        <w:tblLayout w:type="fixed"/>
        <w:tblLook w:val="0400" w:firstRow="0" w:lastRow="0" w:firstColumn="0" w:lastColumn="0" w:noHBand="0" w:noVBand="1"/>
      </w:tblPr>
      <w:tblGrid>
        <w:gridCol w:w="1997"/>
        <w:gridCol w:w="121"/>
        <w:gridCol w:w="1220"/>
        <w:gridCol w:w="3607"/>
      </w:tblGrid>
      <w:tr w:rsidR="007F76E5" w14:paraId="55E5AF57" w14:textId="77777777">
        <w:trPr>
          <w:tblHeader/>
        </w:trPr>
        <w:tc>
          <w:tcPr>
            <w:tcW w:w="1997" w:type="dxa"/>
            <w:vAlign w:val="center"/>
          </w:tcPr>
          <w:p w14:paraId="5875D42C" w14:textId="77777777" w:rsidR="007F76E5" w:rsidRDefault="0037067E">
            <w:pPr>
              <w:jc w:val="center"/>
              <w:rPr>
                <w:rFonts w:ascii="Arial" w:eastAsia="Arial" w:hAnsi="Arial" w:cs="Arial"/>
                <w:b/>
                <w:bCs/>
              </w:rPr>
            </w:pPr>
            <w:r>
              <w:rPr>
                <w:rFonts w:ascii="Arial" w:eastAsia="Arial" w:hAnsi="Arial" w:cs="Arial"/>
                <w:b/>
                <w:bCs/>
              </w:rPr>
              <w:lastRenderedPageBreak/>
              <w:t>Variable</w:t>
            </w:r>
          </w:p>
        </w:tc>
        <w:tc>
          <w:tcPr>
            <w:tcW w:w="121" w:type="dxa"/>
          </w:tcPr>
          <w:p w14:paraId="3B598123" w14:textId="77777777" w:rsidR="007F76E5" w:rsidRDefault="007F76E5">
            <w:pPr>
              <w:jc w:val="center"/>
              <w:rPr>
                <w:rFonts w:ascii="Arial" w:eastAsia="Arial" w:hAnsi="Arial" w:cs="Arial"/>
                <w:b/>
                <w:bCs/>
              </w:rPr>
            </w:pPr>
          </w:p>
        </w:tc>
        <w:tc>
          <w:tcPr>
            <w:tcW w:w="1220" w:type="dxa"/>
            <w:vAlign w:val="center"/>
          </w:tcPr>
          <w:p w14:paraId="73BBFDCB" w14:textId="77777777" w:rsidR="007F76E5" w:rsidRDefault="0037067E">
            <w:pPr>
              <w:jc w:val="center"/>
              <w:rPr>
                <w:rFonts w:ascii="Arial" w:eastAsia="Arial" w:hAnsi="Arial" w:cs="Arial"/>
                <w:b/>
                <w:bCs/>
              </w:rPr>
            </w:pPr>
            <w:r>
              <w:rPr>
                <w:rFonts w:ascii="Arial" w:eastAsia="Arial" w:hAnsi="Arial" w:cs="Arial"/>
                <w:b/>
                <w:bCs/>
              </w:rPr>
              <w:t>p-value</w:t>
            </w:r>
          </w:p>
        </w:tc>
        <w:tc>
          <w:tcPr>
            <w:tcW w:w="3607" w:type="dxa"/>
          </w:tcPr>
          <w:p w14:paraId="0E044C09" w14:textId="77777777" w:rsidR="007F76E5" w:rsidRDefault="0037067E">
            <w:pPr>
              <w:jc w:val="center"/>
              <w:rPr>
                <w:rFonts w:ascii="Arial" w:eastAsia="Arial" w:hAnsi="Arial" w:cs="Arial"/>
                <w:b/>
                <w:bCs/>
              </w:rPr>
            </w:pPr>
            <w:r>
              <w:rPr>
                <w:rFonts w:ascii="Arial" w:eastAsia="Arial" w:hAnsi="Arial" w:cs="Arial"/>
                <w:b/>
                <w:bCs/>
              </w:rPr>
              <w:t>Order of integration</w:t>
            </w:r>
          </w:p>
        </w:tc>
      </w:tr>
      <w:tr w:rsidR="007F76E5" w14:paraId="1EDE7199" w14:textId="77777777">
        <w:tc>
          <w:tcPr>
            <w:tcW w:w="1997" w:type="dxa"/>
            <w:tcBorders>
              <w:top w:val="single" w:sz="4" w:space="0" w:color="000000"/>
              <w:bottom w:val="nil"/>
            </w:tcBorders>
            <w:vAlign w:val="center"/>
          </w:tcPr>
          <w:p w14:paraId="67846DAD" w14:textId="77777777" w:rsidR="007F76E5" w:rsidRDefault="0037067E">
            <w:pPr>
              <w:jc w:val="center"/>
              <w:rPr>
                <w:rFonts w:ascii="Arial" w:eastAsia="Arial" w:hAnsi="Arial" w:cs="Arial"/>
              </w:rPr>
            </w:pPr>
            <w:r>
              <w:rPr>
                <w:rFonts w:ascii="Arial" w:eastAsia="Arial" w:hAnsi="Arial" w:cs="Arial"/>
              </w:rPr>
              <w:t>Ln GDP</w:t>
            </w:r>
          </w:p>
        </w:tc>
        <w:tc>
          <w:tcPr>
            <w:tcW w:w="121" w:type="dxa"/>
            <w:tcBorders>
              <w:top w:val="single" w:sz="4" w:space="0" w:color="000000"/>
              <w:bottom w:val="nil"/>
            </w:tcBorders>
          </w:tcPr>
          <w:p w14:paraId="5E707437" w14:textId="77777777" w:rsidR="007F76E5" w:rsidRDefault="007F76E5">
            <w:pPr>
              <w:jc w:val="center"/>
              <w:rPr>
                <w:rFonts w:ascii="Arial" w:eastAsia="Arial" w:hAnsi="Arial" w:cs="Arial"/>
              </w:rPr>
            </w:pPr>
          </w:p>
        </w:tc>
        <w:tc>
          <w:tcPr>
            <w:tcW w:w="1220" w:type="dxa"/>
            <w:tcBorders>
              <w:top w:val="single" w:sz="4" w:space="0" w:color="000000"/>
              <w:bottom w:val="nil"/>
            </w:tcBorders>
            <w:vAlign w:val="center"/>
          </w:tcPr>
          <w:p w14:paraId="1B27512D" w14:textId="77777777" w:rsidR="007F76E5" w:rsidRDefault="0037067E">
            <w:pPr>
              <w:jc w:val="center"/>
              <w:rPr>
                <w:rFonts w:ascii="Arial" w:eastAsia="Arial" w:hAnsi="Arial" w:cs="Arial"/>
              </w:rPr>
            </w:pPr>
            <w:r>
              <w:rPr>
                <w:rFonts w:ascii="Arial" w:eastAsia="Arial" w:hAnsi="Arial" w:cs="Arial"/>
              </w:rPr>
              <w:t>0.0066</w:t>
            </w:r>
          </w:p>
        </w:tc>
        <w:tc>
          <w:tcPr>
            <w:tcW w:w="3607" w:type="dxa"/>
            <w:tcBorders>
              <w:top w:val="single" w:sz="4" w:space="0" w:color="000000"/>
              <w:bottom w:val="nil"/>
            </w:tcBorders>
          </w:tcPr>
          <w:p w14:paraId="4E61F41A" w14:textId="77777777" w:rsidR="007F76E5" w:rsidRDefault="0037067E">
            <w:pPr>
              <w:jc w:val="center"/>
              <w:rPr>
                <w:rFonts w:ascii="Arial" w:eastAsia="Arial" w:hAnsi="Arial" w:cs="Arial"/>
              </w:rPr>
            </w:pPr>
            <w:r>
              <w:rPr>
                <w:rFonts w:ascii="Arial" w:eastAsia="Arial" w:hAnsi="Arial" w:cs="Arial"/>
              </w:rPr>
              <w:t>I (1)</w:t>
            </w:r>
          </w:p>
        </w:tc>
      </w:tr>
      <w:tr w:rsidR="007F76E5" w14:paraId="4B1166B7" w14:textId="77777777">
        <w:tc>
          <w:tcPr>
            <w:tcW w:w="1997" w:type="dxa"/>
            <w:vAlign w:val="center"/>
          </w:tcPr>
          <w:p w14:paraId="56B8C07D" w14:textId="77777777" w:rsidR="007F76E5" w:rsidRDefault="0037067E">
            <w:pPr>
              <w:jc w:val="center"/>
              <w:rPr>
                <w:rFonts w:ascii="Arial" w:eastAsia="Arial" w:hAnsi="Arial" w:cs="Arial"/>
              </w:rPr>
            </w:pPr>
            <w:r>
              <w:rPr>
                <w:rFonts w:ascii="Arial" w:eastAsia="Arial" w:hAnsi="Arial" w:cs="Arial"/>
              </w:rPr>
              <w:t>Ln ND</w:t>
            </w:r>
          </w:p>
        </w:tc>
        <w:tc>
          <w:tcPr>
            <w:tcW w:w="121" w:type="dxa"/>
          </w:tcPr>
          <w:p w14:paraId="08BD6750" w14:textId="77777777" w:rsidR="007F76E5" w:rsidRDefault="007F76E5">
            <w:pPr>
              <w:jc w:val="center"/>
              <w:rPr>
                <w:rFonts w:ascii="Arial" w:eastAsia="Arial" w:hAnsi="Arial" w:cs="Arial"/>
              </w:rPr>
            </w:pPr>
          </w:p>
        </w:tc>
        <w:tc>
          <w:tcPr>
            <w:tcW w:w="1220" w:type="dxa"/>
            <w:vAlign w:val="center"/>
          </w:tcPr>
          <w:p w14:paraId="65310AC1" w14:textId="77777777" w:rsidR="007F76E5" w:rsidRDefault="0037067E">
            <w:pPr>
              <w:jc w:val="center"/>
              <w:rPr>
                <w:rFonts w:ascii="Arial" w:eastAsia="Arial" w:hAnsi="Arial" w:cs="Arial"/>
              </w:rPr>
            </w:pPr>
            <w:r>
              <w:rPr>
                <w:rFonts w:ascii="Arial" w:eastAsia="Arial" w:hAnsi="Arial" w:cs="Arial"/>
              </w:rPr>
              <w:t>0.0000</w:t>
            </w:r>
          </w:p>
        </w:tc>
        <w:tc>
          <w:tcPr>
            <w:tcW w:w="3607" w:type="dxa"/>
          </w:tcPr>
          <w:p w14:paraId="25766BC7" w14:textId="77777777" w:rsidR="007F76E5" w:rsidRDefault="0037067E">
            <w:pPr>
              <w:jc w:val="center"/>
              <w:rPr>
                <w:rFonts w:ascii="Arial" w:eastAsia="Arial" w:hAnsi="Arial" w:cs="Arial"/>
              </w:rPr>
            </w:pPr>
            <w:r>
              <w:rPr>
                <w:rFonts w:ascii="Arial" w:eastAsia="Arial" w:hAnsi="Arial" w:cs="Arial"/>
              </w:rPr>
              <w:t>I (1)</w:t>
            </w:r>
          </w:p>
        </w:tc>
      </w:tr>
      <w:tr w:rsidR="007F76E5" w14:paraId="6E0620D7" w14:textId="77777777">
        <w:tc>
          <w:tcPr>
            <w:tcW w:w="1997" w:type="dxa"/>
            <w:vAlign w:val="center"/>
          </w:tcPr>
          <w:p w14:paraId="759E67DF" w14:textId="77777777" w:rsidR="007F76E5" w:rsidRDefault="0037067E">
            <w:pPr>
              <w:jc w:val="center"/>
              <w:rPr>
                <w:rFonts w:ascii="Arial" w:eastAsia="Arial" w:hAnsi="Arial" w:cs="Arial"/>
              </w:rPr>
            </w:pPr>
            <w:r>
              <w:rPr>
                <w:rFonts w:ascii="Arial" w:eastAsia="Arial" w:hAnsi="Arial" w:cs="Arial"/>
              </w:rPr>
              <w:t>Ln K</w:t>
            </w:r>
          </w:p>
        </w:tc>
        <w:tc>
          <w:tcPr>
            <w:tcW w:w="121" w:type="dxa"/>
          </w:tcPr>
          <w:p w14:paraId="5903DDB5" w14:textId="77777777" w:rsidR="007F76E5" w:rsidRDefault="007F76E5">
            <w:pPr>
              <w:jc w:val="center"/>
              <w:rPr>
                <w:rFonts w:ascii="Arial" w:eastAsia="Arial" w:hAnsi="Arial" w:cs="Arial"/>
              </w:rPr>
            </w:pPr>
          </w:p>
        </w:tc>
        <w:tc>
          <w:tcPr>
            <w:tcW w:w="1220" w:type="dxa"/>
            <w:vAlign w:val="center"/>
          </w:tcPr>
          <w:p w14:paraId="045D40CC" w14:textId="77777777" w:rsidR="007F76E5" w:rsidRDefault="0037067E">
            <w:pPr>
              <w:jc w:val="center"/>
              <w:rPr>
                <w:rFonts w:ascii="Arial" w:eastAsia="Arial" w:hAnsi="Arial" w:cs="Arial"/>
              </w:rPr>
            </w:pPr>
            <w:r>
              <w:rPr>
                <w:rFonts w:ascii="Arial" w:eastAsia="Arial" w:hAnsi="Arial" w:cs="Arial"/>
              </w:rPr>
              <w:t>0.0000</w:t>
            </w:r>
          </w:p>
        </w:tc>
        <w:tc>
          <w:tcPr>
            <w:tcW w:w="3607" w:type="dxa"/>
          </w:tcPr>
          <w:p w14:paraId="088B9600" w14:textId="77777777" w:rsidR="007F76E5" w:rsidRDefault="0037067E">
            <w:pPr>
              <w:jc w:val="center"/>
              <w:rPr>
                <w:rFonts w:ascii="Arial" w:eastAsia="Arial" w:hAnsi="Arial" w:cs="Arial"/>
              </w:rPr>
            </w:pPr>
            <w:r>
              <w:rPr>
                <w:rFonts w:ascii="Arial" w:eastAsia="Arial" w:hAnsi="Arial" w:cs="Arial"/>
              </w:rPr>
              <w:t>I (1)</w:t>
            </w:r>
          </w:p>
        </w:tc>
      </w:tr>
      <w:tr w:rsidR="007F76E5" w14:paraId="05F49F8F" w14:textId="77777777">
        <w:tc>
          <w:tcPr>
            <w:tcW w:w="1997" w:type="dxa"/>
            <w:vAlign w:val="center"/>
          </w:tcPr>
          <w:p w14:paraId="7C26C3B3" w14:textId="77777777" w:rsidR="007F76E5" w:rsidRDefault="0037067E">
            <w:pPr>
              <w:jc w:val="center"/>
              <w:rPr>
                <w:rFonts w:ascii="Arial" w:eastAsia="Arial" w:hAnsi="Arial" w:cs="Arial"/>
              </w:rPr>
            </w:pPr>
            <w:r>
              <w:rPr>
                <w:rFonts w:ascii="Arial" w:eastAsia="Arial" w:hAnsi="Arial" w:cs="Arial"/>
              </w:rPr>
              <w:t>Ln L</w:t>
            </w:r>
          </w:p>
        </w:tc>
        <w:tc>
          <w:tcPr>
            <w:tcW w:w="121" w:type="dxa"/>
          </w:tcPr>
          <w:p w14:paraId="762EA3EF" w14:textId="77777777" w:rsidR="007F76E5" w:rsidRDefault="007F76E5">
            <w:pPr>
              <w:jc w:val="center"/>
              <w:rPr>
                <w:rFonts w:ascii="Arial" w:eastAsia="Arial" w:hAnsi="Arial" w:cs="Arial"/>
              </w:rPr>
            </w:pPr>
          </w:p>
        </w:tc>
        <w:tc>
          <w:tcPr>
            <w:tcW w:w="1220" w:type="dxa"/>
            <w:vAlign w:val="center"/>
          </w:tcPr>
          <w:p w14:paraId="7653F60A" w14:textId="77777777" w:rsidR="007F76E5" w:rsidRDefault="0037067E">
            <w:pPr>
              <w:jc w:val="center"/>
              <w:rPr>
                <w:rFonts w:ascii="Arial" w:eastAsia="Arial" w:hAnsi="Arial" w:cs="Arial"/>
              </w:rPr>
            </w:pPr>
            <w:r>
              <w:rPr>
                <w:rFonts w:ascii="Arial" w:eastAsia="Arial" w:hAnsi="Arial" w:cs="Arial"/>
              </w:rPr>
              <w:t>0.0188</w:t>
            </w:r>
          </w:p>
        </w:tc>
        <w:tc>
          <w:tcPr>
            <w:tcW w:w="3607" w:type="dxa"/>
          </w:tcPr>
          <w:p w14:paraId="0E12E555" w14:textId="77777777" w:rsidR="007F76E5" w:rsidRDefault="0037067E">
            <w:pPr>
              <w:jc w:val="center"/>
              <w:rPr>
                <w:rFonts w:ascii="Arial" w:eastAsia="Arial" w:hAnsi="Arial" w:cs="Arial"/>
              </w:rPr>
            </w:pPr>
            <w:r>
              <w:rPr>
                <w:rFonts w:ascii="Arial" w:eastAsia="Arial" w:hAnsi="Arial" w:cs="Arial"/>
              </w:rPr>
              <w:t>I (1)</w:t>
            </w:r>
          </w:p>
        </w:tc>
      </w:tr>
      <w:tr w:rsidR="007F76E5" w14:paraId="0497E480" w14:textId="77777777">
        <w:tc>
          <w:tcPr>
            <w:tcW w:w="1997" w:type="dxa"/>
            <w:vAlign w:val="center"/>
          </w:tcPr>
          <w:p w14:paraId="1499F4D6" w14:textId="77777777" w:rsidR="007F76E5" w:rsidRDefault="0037067E">
            <w:pPr>
              <w:jc w:val="center"/>
              <w:rPr>
                <w:rFonts w:ascii="Arial" w:eastAsia="Arial" w:hAnsi="Arial" w:cs="Arial"/>
              </w:rPr>
            </w:pPr>
            <w:r>
              <w:rPr>
                <w:rFonts w:ascii="Arial" w:eastAsia="Arial" w:hAnsi="Arial" w:cs="Arial"/>
              </w:rPr>
              <w:t>Ln FDI</w:t>
            </w:r>
          </w:p>
        </w:tc>
        <w:tc>
          <w:tcPr>
            <w:tcW w:w="121" w:type="dxa"/>
          </w:tcPr>
          <w:p w14:paraId="71527EF2" w14:textId="77777777" w:rsidR="007F76E5" w:rsidRDefault="007F76E5">
            <w:pPr>
              <w:jc w:val="center"/>
              <w:rPr>
                <w:rFonts w:ascii="Arial" w:eastAsia="Arial" w:hAnsi="Arial" w:cs="Arial"/>
              </w:rPr>
            </w:pPr>
          </w:p>
        </w:tc>
        <w:tc>
          <w:tcPr>
            <w:tcW w:w="1220" w:type="dxa"/>
            <w:vAlign w:val="center"/>
          </w:tcPr>
          <w:p w14:paraId="04DCF584" w14:textId="77777777" w:rsidR="007F76E5" w:rsidRDefault="0037067E">
            <w:pPr>
              <w:jc w:val="center"/>
              <w:rPr>
                <w:rFonts w:ascii="Arial" w:eastAsia="Arial" w:hAnsi="Arial" w:cs="Arial"/>
              </w:rPr>
            </w:pPr>
            <w:r>
              <w:rPr>
                <w:rFonts w:ascii="Arial" w:eastAsia="Arial" w:hAnsi="Arial" w:cs="Arial"/>
              </w:rPr>
              <w:t>0.0000</w:t>
            </w:r>
          </w:p>
        </w:tc>
        <w:tc>
          <w:tcPr>
            <w:tcW w:w="3607" w:type="dxa"/>
          </w:tcPr>
          <w:p w14:paraId="2BC37623" w14:textId="77777777" w:rsidR="007F76E5" w:rsidRDefault="0037067E">
            <w:pPr>
              <w:jc w:val="center"/>
              <w:rPr>
                <w:rFonts w:ascii="Arial" w:eastAsia="Arial" w:hAnsi="Arial" w:cs="Arial"/>
              </w:rPr>
            </w:pPr>
            <w:r>
              <w:rPr>
                <w:rFonts w:ascii="Arial" w:eastAsia="Arial" w:hAnsi="Arial" w:cs="Arial"/>
              </w:rPr>
              <w:t>I (1)</w:t>
            </w:r>
          </w:p>
        </w:tc>
      </w:tr>
      <w:tr w:rsidR="007F76E5" w14:paraId="315A8204" w14:textId="77777777">
        <w:tc>
          <w:tcPr>
            <w:tcW w:w="1997" w:type="dxa"/>
            <w:vAlign w:val="center"/>
          </w:tcPr>
          <w:p w14:paraId="5225B66D" w14:textId="77777777" w:rsidR="007F76E5" w:rsidRDefault="0037067E">
            <w:pPr>
              <w:jc w:val="center"/>
              <w:rPr>
                <w:rFonts w:ascii="Arial" w:eastAsia="Arial" w:hAnsi="Arial" w:cs="Arial"/>
              </w:rPr>
            </w:pPr>
            <w:r>
              <w:rPr>
                <w:rFonts w:ascii="Arial" w:eastAsia="Arial" w:hAnsi="Arial" w:cs="Arial"/>
              </w:rPr>
              <w:t>Ln POP</w:t>
            </w:r>
          </w:p>
        </w:tc>
        <w:tc>
          <w:tcPr>
            <w:tcW w:w="121" w:type="dxa"/>
          </w:tcPr>
          <w:p w14:paraId="0BD448B8" w14:textId="77777777" w:rsidR="007F76E5" w:rsidRDefault="007F76E5">
            <w:pPr>
              <w:jc w:val="center"/>
              <w:rPr>
                <w:rFonts w:ascii="Arial" w:eastAsia="Arial" w:hAnsi="Arial" w:cs="Arial"/>
              </w:rPr>
            </w:pPr>
          </w:p>
        </w:tc>
        <w:tc>
          <w:tcPr>
            <w:tcW w:w="1220" w:type="dxa"/>
            <w:vAlign w:val="center"/>
          </w:tcPr>
          <w:p w14:paraId="69F67B81" w14:textId="77777777" w:rsidR="007F76E5" w:rsidRDefault="0037067E">
            <w:pPr>
              <w:jc w:val="center"/>
              <w:rPr>
                <w:rFonts w:ascii="Arial" w:eastAsia="Arial" w:hAnsi="Arial" w:cs="Arial"/>
              </w:rPr>
            </w:pPr>
            <w:r>
              <w:rPr>
                <w:rFonts w:ascii="Arial" w:eastAsia="Arial" w:hAnsi="Arial" w:cs="Arial"/>
              </w:rPr>
              <w:t>0.0009</w:t>
            </w:r>
          </w:p>
        </w:tc>
        <w:tc>
          <w:tcPr>
            <w:tcW w:w="3607" w:type="dxa"/>
          </w:tcPr>
          <w:p w14:paraId="2FECFAB3" w14:textId="77777777" w:rsidR="007F76E5" w:rsidRDefault="0037067E">
            <w:pPr>
              <w:jc w:val="center"/>
              <w:rPr>
                <w:rFonts w:ascii="Arial" w:eastAsia="Arial" w:hAnsi="Arial" w:cs="Arial"/>
              </w:rPr>
            </w:pPr>
            <w:r>
              <w:rPr>
                <w:rFonts w:ascii="Arial" w:eastAsia="Arial" w:hAnsi="Arial" w:cs="Arial"/>
              </w:rPr>
              <w:t>I (1)</w:t>
            </w:r>
          </w:p>
        </w:tc>
      </w:tr>
      <w:tr w:rsidR="007F76E5" w14:paraId="6B42B45C" w14:textId="77777777">
        <w:tc>
          <w:tcPr>
            <w:tcW w:w="1997" w:type="dxa"/>
            <w:vAlign w:val="center"/>
          </w:tcPr>
          <w:p w14:paraId="783A96E3" w14:textId="77777777" w:rsidR="007F76E5" w:rsidRDefault="0037067E">
            <w:pPr>
              <w:jc w:val="center"/>
              <w:rPr>
                <w:rFonts w:ascii="Arial" w:eastAsia="Arial" w:hAnsi="Arial" w:cs="Arial"/>
              </w:rPr>
            </w:pPr>
            <w:r>
              <w:rPr>
                <w:rFonts w:ascii="Arial" w:eastAsia="Arial" w:hAnsi="Arial" w:cs="Arial"/>
              </w:rPr>
              <w:t>Ln G</w:t>
            </w:r>
          </w:p>
        </w:tc>
        <w:tc>
          <w:tcPr>
            <w:tcW w:w="121" w:type="dxa"/>
          </w:tcPr>
          <w:p w14:paraId="7ABB6E95" w14:textId="77777777" w:rsidR="007F76E5" w:rsidRDefault="007F76E5">
            <w:pPr>
              <w:jc w:val="center"/>
              <w:rPr>
                <w:rFonts w:ascii="Arial" w:eastAsia="Arial" w:hAnsi="Arial" w:cs="Arial"/>
              </w:rPr>
            </w:pPr>
          </w:p>
        </w:tc>
        <w:tc>
          <w:tcPr>
            <w:tcW w:w="1220" w:type="dxa"/>
            <w:vAlign w:val="center"/>
          </w:tcPr>
          <w:p w14:paraId="038E4E88" w14:textId="77777777" w:rsidR="007F76E5" w:rsidRDefault="0037067E">
            <w:pPr>
              <w:jc w:val="center"/>
              <w:rPr>
                <w:rFonts w:ascii="Arial" w:eastAsia="Arial" w:hAnsi="Arial" w:cs="Arial"/>
              </w:rPr>
            </w:pPr>
            <w:r>
              <w:rPr>
                <w:rFonts w:ascii="Arial" w:eastAsia="Arial" w:hAnsi="Arial" w:cs="Arial"/>
              </w:rPr>
              <w:t>0.0000</w:t>
            </w:r>
          </w:p>
        </w:tc>
        <w:tc>
          <w:tcPr>
            <w:tcW w:w="3607" w:type="dxa"/>
          </w:tcPr>
          <w:p w14:paraId="05676963" w14:textId="77777777" w:rsidR="007F76E5" w:rsidRDefault="0037067E">
            <w:pPr>
              <w:jc w:val="center"/>
              <w:rPr>
                <w:rFonts w:ascii="Arial" w:eastAsia="Arial" w:hAnsi="Arial" w:cs="Arial"/>
              </w:rPr>
            </w:pPr>
            <w:r>
              <w:rPr>
                <w:rFonts w:ascii="Arial" w:eastAsia="Arial" w:hAnsi="Arial" w:cs="Arial"/>
              </w:rPr>
              <w:t>I (1)</w:t>
            </w:r>
          </w:p>
        </w:tc>
      </w:tr>
      <w:tr w:rsidR="007F76E5" w14:paraId="2D21CF52" w14:textId="77777777">
        <w:tc>
          <w:tcPr>
            <w:tcW w:w="1997" w:type="dxa"/>
            <w:vAlign w:val="center"/>
          </w:tcPr>
          <w:p w14:paraId="790E0C81" w14:textId="77777777" w:rsidR="007F76E5" w:rsidRDefault="0037067E">
            <w:pPr>
              <w:jc w:val="center"/>
              <w:rPr>
                <w:rFonts w:ascii="Arial" w:eastAsia="Arial" w:hAnsi="Arial" w:cs="Arial"/>
              </w:rPr>
            </w:pPr>
            <w:r>
              <w:rPr>
                <w:rFonts w:ascii="Arial" w:eastAsia="Arial" w:hAnsi="Arial" w:cs="Arial"/>
              </w:rPr>
              <w:t>Ln T</w:t>
            </w:r>
          </w:p>
        </w:tc>
        <w:tc>
          <w:tcPr>
            <w:tcW w:w="121" w:type="dxa"/>
          </w:tcPr>
          <w:p w14:paraId="2B029E09" w14:textId="77777777" w:rsidR="007F76E5" w:rsidRDefault="007F76E5">
            <w:pPr>
              <w:jc w:val="center"/>
              <w:rPr>
                <w:rFonts w:ascii="Arial" w:eastAsia="Arial" w:hAnsi="Arial" w:cs="Arial"/>
              </w:rPr>
            </w:pPr>
          </w:p>
        </w:tc>
        <w:tc>
          <w:tcPr>
            <w:tcW w:w="1220" w:type="dxa"/>
            <w:vAlign w:val="center"/>
          </w:tcPr>
          <w:p w14:paraId="1E758BC6" w14:textId="77777777" w:rsidR="007F76E5" w:rsidRDefault="0037067E">
            <w:pPr>
              <w:jc w:val="center"/>
              <w:rPr>
                <w:rFonts w:ascii="Arial" w:eastAsia="Arial" w:hAnsi="Arial" w:cs="Arial"/>
              </w:rPr>
            </w:pPr>
            <w:r>
              <w:rPr>
                <w:rFonts w:ascii="Arial" w:eastAsia="Arial" w:hAnsi="Arial" w:cs="Arial"/>
              </w:rPr>
              <w:t>0.0000</w:t>
            </w:r>
          </w:p>
        </w:tc>
        <w:tc>
          <w:tcPr>
            <w:tcW w:w="3607" w:type="dxa"/>
          </w:tcPr>
          <w:p w14:paraId="1E7FEFDE" w14:textId="77777777" w:rsidR="007F76E5" w:rsidRDefault="0037067E">
            <w:pPr>
              <w:jc w:val="center"/>
              <w:rPr>
                <w:rFonts w:ascii="Arial" w:eastAsia="Arial" w:hAnsi="Arial" w:cs="Arial"/>
              </w:rPr>
            </w:pPr>
            <w:r>
              <w:rPr>
                <w:rFonts w:ascii="Arial" w:eastAsia="Arial" w:hAnsi="Arial" w:cs="Arial"/>
              </w:rPr>
              <w:t>I (1)</w:t>
            </w:r>
          </w:p>
        </w:tc>
      </w:tr>
    </w:tbl>
    <w:p w14:paraId="051B550F" w14:textId="77777777" w:rsidR="007F76E5" w:rsidRDefault="0037067E">
      <w:pPr>
        <w:pBdr>
          <w:top w:val="nil"/>
          <w:left w:val="nil"/>
          <w:bottom w:val="nil"/>
          <w:right w:val="nil"/>
          <w:between w:val="nil"/>
        </w:pBdr>
        <w:jc w:val="both"/>
        <w:rPr>
          <w:rFonts w:ascii="Arial" w:eastAsia="Arial" w:hAnsi="Arial" w:cs="Arial"/>
        </w:rPr>
      </w:pPr>
      <w:r>
        <w:rPr>
          <w:rFonts w:ascii="Arial" w:eastAsia="Arial" w:hAnsi="Arial" w:cs="Arial"/>
        </w:rPr>
        <w:tab/>
      </w:r>
    </w:p>
    <w:p w14:paraId="049AD2E1" w14:textId="77777777" w:rsidR="007F76E5" w:rsidRDefault="007F76E5">
      <w:pPr>
        <w:pBdr>
          <w:top w:val="nil"/>
          <w:left w:val="nil"/>
          <w:bottom w:val="nil"/>
          <w:right w:val="nil"/>
          <w:between w:val="nil"/>
        </w:pBdr>
        <w:jc w:val="both"/>
        <w:rPr>
          <w:rFonts w:ascii="Arial" w:eastAsia="Arial" w:hAnsi="Arial" w:cs="Arial"/>
        </w:rPr>
      </w:pPr>
    </w:p>
    <w:p w14:paraId="4298BE95" w14:textId="77777777" w:rsidR="007F76E5" w:rsidRDefault="007F76E5">
      <w:pPr>
        <w:pBdr>
          <w:top w:val="nil"/>
          <w:left w:val="nil"/>
          <w:bottom w:val="nil"/>
          <w:right w:val="nil"/>
          <w:between w:val="nil"/>
        </w:pBdr>
        <w:jc w:val="both"/>
        <w:rPr>
          <w:rFonts w:ascii="Arial" w:eastAsia="Arial" w:hAnsi="Arial" w:cs="Arial"/>
        </w:rPr>
      </w:pPr>
    </w:p>
    <w:p w14:paraId="78D4207C" w14:textId="77777777" w:rsidR="007F76E5" w:rsidRDefault="007F76E5">
      <w:pPr>
        <w:pBdr>
          <w:top w:val="nil"/>
          <w:left w:val="nil"/>
          <w:bottom w:val="nil"/>
          <w:right w:val="nil"/>
          <w:between w:val="nil"/>
        </w:pBdr>
        <w:jc w:val="both"/>
        <w:rPr>
          <w:rFonts w:ascii="Arial" w:eastAsia="Arial" w:hAnsi="Arial" w:cs="Arial"/>
        </w:rPr>
      </w:pPr>
    </w:p>
    <w:p w14:paraId="7CEF2463" w14:textId="77777777" w:rsidR="007F76E5" w:rsidRDefault="007F76E5">
      <w:pPr>
        <w:pBdr>
          <w:top w:val="nil"/>
          <w:left w:val="nil"/>
          <w:bottom w:val="nil"/>
          <w:right w:val="nil"/>
          <w:between w:val="nil"/>
        </w:pBdr>
        <w:jc w:val="both"/>
        <w:rPr>
          <w:rFonts w:ascii="Arial" w:eastAsia="Arial" w:hAnsi="Arial" w:cs="Arial"/>
        </w:rPr>
      </w:pPr>
    </w:p>
    <w:p w14:paraId="7D53E72B" w14:textId="77777777" w:rsidR="007F76E5" w:rsidRDefault="007F76E5">
      <w:pPr>
        <w:pBdr>
          <w:top w:val="nil"/>
          <w:left w:val="nil"/>
          <w:bottom w:val="nil"/>
          <w:right w:val="nil"/>
          <w:between w:val="nil"/>
        </w:pBdr>
        <w:jc w:val="both"/>
        <w:rPr>
          <w:rFonts w:ascii="Arial" w:eastAsia="Arial" w:hAnsi="Arial" w:cs="Arial"/>
        </w:rPr>
      </w:pPr>
    </w:p>
    <w:p w14:paraId="16D84A8B" w14:textId="77777777" w:rsidR="007F76E5" w:rsidRDefault="007F76E5">
      <w:pPr>
        <w:pBdr>
          <w:top w:val="nil"/>
          <w:left w:val="nil"/>
          <w:bottom w:val="nil"/>
          <w:right w:val="nil"/>
          <w:between w:val="nil"/>
        </w:pBdr>
        <w:jc w:val="both"/>
        <w:rPr>
          <w:rFonts w:ascii="Arial" w:eastAsia="Arial" w:hAnsi="Arial" w:cs="Arial"/>
        </w:rPr>
      </w:pPr>
    </w:p>
    <w:p w14:paraId="02B07BF5" w14:textId="77777777" w:rsidR="007F76E5" w:rsidRDefault="007F76E5">
      <w:pPr>
        <w:pBdr>
          <w:top w:val="nil"/>
          <w:left w:val="nil"/>
          <w:bottom w:val="nil"/>
          <w:right w:val="nil"/>
          <w:between w:val="nil"/>
        </w:pBdr>
        <w:jc w:val="both"/>
        <w:rPr>
          <w:rFonts w:ascii="Arial" w:eastAsia="Arial" w:hAnsi="Arial" w:cs="Arial"/>
        </w:rPr>
      </w:pPr>
    </w:p>
    <w:p w14:paraId="47902817" w14:textId="77777777" w:rsidR="007F76E5" w:rsidRDefault="007F76E5">
      <w:pPr>
        <w:pBdr>
          <w:top w:val="nil"/>
          <w:left w:val="nil"/>
          <w:bottom w:val="nil"/>
          <w:right w:val="nil"/>
          <w:between w:val="nil"/>
        </w:pBdr>
        <w:jc w:val="both"/>
        <w:rPr>
          <w:rFonts w:ascii="Arial" w:eastAsia="Arial" w:hAnsi="Arial" w:cs="Arial"/>
        </w:rPr>
      </w:pPr>
    </w:p>
    <w:p w14:paraId="005EDC25" w14:textId="77777777" w:rsidR="007F76E5" w:rsidRDefault="007F76E5">
      <w:pPr>
        <w:pBdr>
          <w:top w:val="nil"/>
          <w:left w:val="nil"/>
          <w:bottom w:val="nil"/>
          <w:right w:val="nil"/>
          <w:between w:val="nil"/>
        </w:pBdr>
        <w:jc w:val="both"/>
        <w:rPr>
          <w:rFonts w:ascii="Arial" w:eastAsia="Arial" w:hAnsi="Arial" w:cs="Arial"/>
        </w:rPr>
      </w:pPr>
    </w:p>
    <w:p w14:paraId="52301D21" w14:textId="77777777" w:rsidR="007F76E5" w:rsidRDefault="007F76E5">
      <w:pPr>
        <w:pBdr>
          <w:top w:val="nil"/>
          <w:left w:val="nil"/>
          <w:bottom w:val="nil"/>
          <w:right w:val="nil"/>
          <w:between w:val="nil"/>
        </w:pBdr>
        <w:jc w:val="both"/>
        <w:rPr>
          <w:rFonts w:ascii="Arial" w:eastAsia="Arial" w:hAnsi="Arial" w:cs="Arial"/>
        </w:rPr>
      </w:pPr>
    </w:p>
    <w:p w14:paraId="1ADA62D8" w14:textId="77777777" w:rsidR="007F76E5" w:rsidRDefault="0037067E">
      <w:pPr>
        <w:pBdr>
          <w:top w:val="nil"/>
          <w:left w:val="nil"/>
          <w:bottom w:val="nil"/>
          <w:right w:val="nil"/>
          <w:between w:val="nil"/>
        </w:pBdr>
        <w:jc w:val="both"/>
        <w:rPr>
          <w:rFonts w:ascii="Arial" w:eastAsia="Arial" w:hAnsi="Arial" w:cs="Arial"/>
        </w:rPr>
      </w:pPr>
      <w:r>
        <w:rPr>
          <w:rFonts w:ascii="Arial" w:eastAsia="Arial" w:hAnsi="Arial" w:cs="Arial"/>
        </w:rPr>
        <w:t xml:space="preserve">Table 2 above presents the results of the unit root test, indicating that all variables in the model are non-stationary at levels but become stationary after first differencing. All variables are integrated of order one, </w:t>
      </w:r>
      <w:proofErr w:type="gramStart"/>
      <w:r>
        <w:rPr>
          <w:rFonts w:ascii="Arial" w:eastAsia="Arial" w:hAnsi="Arial" w:cs="Arial"/>
        </w:rPr>
        <w:t>I(</w:t>
      </w:r>
      <w:proofErr w:type="gramEnd"/>
      <w:r>
        <w:rPr>
          <w:rFonts w:ascii="Arial" w:eastAsia="Arial" w:hAnsi="Arial" w:cs="Arial"/>
        </w:rPr>
        <w:t>1), and therefore suitable for co</w:t>
      </w:r>
      <w:r>
        <w:rPr>
          <w:rFonts w:ascii="Arial" w:eastAsia="Arial" w:hAnsi="Arial" w:cs="Arial"/>
        </w:rPr>
        <w:t xml:space="preserve">integration analysis. The presence of non-stationary variables necessitates the use of a VECM to avoid inaccurate regression and effectively capture both short-run dynamics and long-term equilibrium relationships. The cointegration between economic growth </w:t>
      </w:r>
      <w:r>
        <w:rPr>
          <w:rFonts w:ascii="Arial" w:eastAsia="Arial" w:hAnsi="Arial" w:cs="Arial"/>
        </w:rPr>
        <w:t xml:space="preserve">and its determinants, including natural disasters, move together in the long run.  </w:t>
      </w:r>
    </w:p>
    <w:p w14:paraId="470EB0E4" w14:textId="77777777" w:rsidR="007F76E5" w:rsidRDefault="007F76E5">
      <w:pPr>
        <w:rPr>
          <w:rFonts w:ascii="Arial" w:eastAsia="Arial" w:hAnsi="Arial" w:cs="Arial"/>
        </w:rPr>
      </w:pPr>
    </w:p>
    <w:p w14:paraId="19A4EC0E" w14:textId="77777777" w:rsidR="007F76E5" w:rsidRDefault="0037067E">
      <w:r>
        <w:rPr>
          <w:rFonts w:ascii="Arial" w:eastAsia="Arial" w:hAnsi="Arial" w:cs="Arial"/>
        </w:rPr>
        <w:t>Table 3. Long-run VECM Estimation Results: The Impact of Natural Disasters on Economic Growth in Indonesia</w:t>
      </w:r>
    </w:p>
    <w:tbl>
      <w:tblPr>
        <w:tblStyle w:val="a2"/>
        <w:tblW w:w="820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19"/>
        <w:gridCol w:w="1673"/>
        <w:gridCol w:w="1634"/>
        <w:gridCol w:w="1608"/>
        <w:gridCol w:w="1674"/>
      </w:tblGrid>
      <w:tr w:rsidR="007F76E5" w14:paraId="4A3E8B2F" w14:textId="77777777">
        <w:tc>
          <w:tcPr>
            <w:tcW w:w="1619" w:type="dxa"/>
            <w:tcBorders>
              <w:top w:val="single" w:sz="4" w:space="0" w:color="000000"/>
              <w:bottom w:val="single" w:sz="4" w:space="0" w:color="000000"/>
            </w:tcBorders>
          </w:tcPr>
          <w:p w14:paraId="670084AA" w14:textId="77777777" w:rsidR="007F76E5" w:rsidRDefault="0037067E">
            <w:pPr>
              <w:jc w:val="center"/>
              <w:rPr>
                <w:rFonts w:ascii="Arial" w:eastAsia="Arial" w:hAnsi="Arial" w:cs="Arial"/>
                <w:b/>
                <w:bCs/>
                <w:sz w:val="20"/>
                <w:szCs w:val="20"/>
              </w:rPr>
            </w:pPr>
            <w:r>
              <w:rPr>
                <w:rFonts w:ascii="Arial" w:eastAsia="Arial" w:hAnsi="Arial" w:cs="Arial"/>
                <w:b/>
                <w:bCs/>
                <w:sz w:val="20"/>
                <w:szCs w:val="20"/>
              </w:rPr>
              <w:t>Variable</w:t>
            </w:r>
          </w:p>
        </w:tc>
        <w:tc>
          <w:tcPr>
            <w:tcW w:w="1673" w:type="dxa"/>
            <w:tcBorders>
              <w:top w:val="single" w:sz="4" w:space="0" w:color="000000"/>
              <w:bottom w:val="single" w:sz="4" w:space="0" w:color="000000"/>
            </w:tcBorders>
          </w:tcPr>
          <w:p w14:paraId="19EE54B6" w14:textId="77777777" w:rsidR="007F76E5" w:rsidRDefault="0037067E">
            <w:pPr>
              <w:jc w:val="center"/>
              <w:rPr>
                <w:rFonts w:ascii="Arial" w:eastAsia="Arial" w:hAnsi="Arial" w:cs="Arial"/>
                <w:b/>
                <w:bCs/>
                <w:sz w:val="20"/>
                <w:szCs w:val="20"/>
              </w:rPr>
            </w:pPr>
            <w:r>
              <w:rPr>
                <w:rFonts w:ascii="Arial" w:eastAsia="Arial" w:hAnsi="Arial" w:cs="Arial"/>
                <w:b/>
                <w:bCs/>
                <w:sz w:val="20"/>
                <w:szCs w:val="20"/>
              </w:rPr>
              <w:t>Coefficient</w:t>
            </w:r>
          </w:p>
        </w:tc>
        <w:tc>
          <w:tcPr>
            <w:tcW w:w="1634" w:type="dxa"/>
            <w:tcBorders>
              <w:top w:val="single" w:sz="4" w:space="0" w:color="000000"/>
              <w:bottom w:val="single" w:sz="4" w:space="0" w:color="000000"/>
            </w:tcBorders>
          </w:tcPr>
          <w:p w14:paraId="6734939F" w14:textId="77777777" w:rsidR="007F76E5" w:rsidRDefault="0037067E">
            <w:pPr>
              <w:jc w:val="center"/>
              <w:rPr>
                <w:rFonts w:ascii="Arial" w:eastAsia="Arial" w:hAnsi="Arial" w:cs="Arial"/>
                <w:b/>
                <w:bCs/>
                <w:sz w:val="20"/>
                <w:szCs w:val="20"/>
              </w:rPr>
            </w:pPr>
            <w:r>
              <w:rPr>
                <w:rFonts w:ascii="Arial" w:eastAsia="Arial" w:hAnsi="Arial" w:cs="Arial"/>
                <w:b/>
                <w:bCs/>
                <w:sz w:val="20"/>
                <w:szCs w:val="20"/>
              </w:rPr>
              <w:t>Standard error</w:t>
            </w:r>
          </w:p>
        </w:tc>
        <w:tc>
          <w:tcPr>
            <w:tcW w:w="1608" w:type="dxa"/>
            <w:tcBorders>
              <w:top w:val="single" w:sz="4" w:space="0" w:color="000000"/>
              <w:bottom w:val="single" w:sz="4" w:space="0" w:color="000000"/>
            </w:tcBorders>
          </w:tcPr>
          <w:p w14:paraId="67101BDE" w14:textId="77777777" w:rsidR="007F76E5" w:rsidRDefault="0037067E">
            <w:pPr>
              <w:jc w:val="center"/>
              <w:rPr>
                <w:rFonts w:ascii="Arial" w:eastAsia="Arial" w:hAnsi="Arial" w:cs="Arial"/>
                <w:b/>
                <w:bCs/>
                <w:sz w:val="20"/>
                <w:szCs w:val="20"/>
              </w:rPr>
            </w:pPr>
            <w:r>
              <w:rPr>
                <w:rFonts w:ascii="Arial" w:eastAsia="Arial" w:hAnsi="Arial" w:cs="Arial"/>
                <w:b/>
                <w:bCs/>
                <w:sz w:val="20"/>
                <w:szCs w:val="20"/>
              </w:rPr>
              <w:t>T-statistic</w:t>
            </w:r>
          </w:p>
        </w:tc>
        <w:tc>
          <w:tcPr>
            <w:tcW w:w="1674" w:type="dxa"/>
            <w:tcBorders>
              <w:top w:val="single" w:sz="4" w:space="0" w:color="000000"/>
              <w:bottom w:val="single" w:sz="4" w:space="0" w:color="000000"/>
            </w:tcBorders>
          </w:tcPr>
          <w:p w14:paraId="7009FD12" w14:textId="77777777" w:rsidR="007F76E5" w:rsidRDefault="0037067E">
            <w:pPr>
              <w:jc w:val="center"/>
              <w:rPr>
                <w:rFonts w:ascii="Arial" w:eastAsia="Arial" w:hAnsi="Arial" w:cs="Arial"/>
                <w:b/>
                <w:bCs/>
                <w:sz w:val="20"/>
                <w:szCs w:val="20"/>
              </w:rPr>
            </w:pPr>
            <w:r>
              <w:rPr>
                <w:rFonts w:ascii="Arial" w:eastAsia="Arial" w:hAnsi="Arial" w:cs="Arial"/>
                <w:b/>
                <w:bCs/>
                <w:sz w:val="20"/>
                <w:szCs w:val="20"/>
              </w:rPr>
              <w:t>Probability</w:t>
            </w:r>
          </w:p>
        </w:tc>
      </w:tr>
      <w:tr w:rsidR="007F76E5" w14:paraId="6C13417A" w14:textId="77777777">
        <w:tc>
          <w:tcPr>
            <w:tcW w:w="1619" w:type="dxa"/>
            <w:tcBorders>
              <w:top w:val="single" w:sz="4" w:space="0" w:color="000000"/>
            </w:tcBorders>
          </w:tcPr>
          <w:p w14:paraId="5C6E566D" w14:textId="77777777" w:rsidR="007F76E5" w:rsidRDefault="0037067E">
            <w:pPr>
              <w:jc w:val="center"/>
              <w:rPr>
                <w:rFonts w:ascii="Arial" w:eastAsia="Arial" w:hAnsi="Arial" w:cs="Arial"/>
                <w:sz w:val="20"/>
                <w:szCs w:val="20"/>
              </w:rPr>
            </w:pPr>
            <w:r>
              <w:rPr>
                <w:rFonts w:ascii="Arial" w:eastAsia="Arial" w:hAnsi="Arial" w:cs="Arial"/>
                <w:sz w:val="20"/>
                <w:szCs w:val="20"/>
              </w:rPr>
              <w:t xml:space="preserve">Ln </w:t>
            </w:r>
            <w:r>
              <w:rPr>
                <w:rFonts w:ascii="Arial" w:eastAsia="Arial" w:hAnsi="Arial" w:cs="Arial"/>
                <w:sz w:val="20"/>
                <w:szCs w:val="20"/>
              </w:rPr>
              <w:t>ND</w:t>
            </w:r>
          </w:p>
        </w:tc>
        <w:tc>
          <w:tcPr>
            <w:tcW w:w="1673" w:type="dxa"/>
            <w:tcBorders>
              <w:top w:val="single" w:sz="4" w:space="0" w:color="000000"/>
            </w:tcBorders>
          </w:tcPr>
          <w:p w14:paraId="0FF670F6" w14:textId="77777777" w:rsidR="007F76E5" w:rsidRDefault="0037067E">
            <w:pPr>
              <w:jc w:val="center"/>
              <w:rPr>
                <w:rFonts w:ascii="Arial" w:eastAsia="Arial" w:hAnsi="Arial" w:cs="Arial"/>
                <w:sz w:val="20"/>
                <w:szCs w:val="20"/>
              </w:rPr>
            </w:pPr>
            <w:r>
              <w:rPr>
                <w:rFonts w:ascii="Arial" w:eastAsia="Arial" w:hAnsi="Arial" w:cs="Arial"/>
                <w:sz w:val="20"/>
                <w:szCs w:val="20"/>
              </w:rPr>
              <w:t>-0.0837***</w:t>
            </w:r>
          </w:p>
        </w:tc>
        <w:tc>
          <w:tcPr>
            <w:tcW w:w="1634" w:type="dxa"/>
            <w:tcBorders>
              <w:top w:val="single" w:sz="4" w:space="0" w:color="000000"/>
            </w:tcBorders>
          </w:tcPr>
          <w:p w14:paraId="7C584D47" w14:textId="77777777" w:rsidR="007F76E5" w:rsidRDefault="0037067E">
            <w:pPr>
              <w:jc w:val="center"/>
              <w:rPr>
                <w:rFonts w:ascii="Arial" w:eastAsia="Arial" w:hAnsi="Arial" w:cs="Arial"/>
                <w:sz w:val="20"/>
                <w:szCs w:val="20"/>
              </w:rPr>
            </w:pPr>
            <w:r>
              <w:rPr>
                <w:rFonts w:ascii="Arial" w:eastAsia="Arial" w:hAnsi="Arial" w:cs="Arial"/>
                <w:sz w:val="20"/>
                <w:szCs w:val="20"/>
              </w:rPr>
              <w:t>0.0311</w:t>
            </w:r>
          </w:p>
        </w:tc>
        <w:tc>
          <w:tcPr>
            <w:tcW w:w="1608" w:type="dxa"/>
            <w:tcBorders>
              <w:top w:val="single" w:sz="4" w:space="0" w:color="000000"/>
            </w:tcBorders>
          </w:tcPr>
          <w:p w14:paraId="62999AAC" w14:textId="77777777" w:rsidR="007F76E5" w:rsidRDefault="0037067E">
            <w:pPr>
              <w:jc w:val="center"/>
              <w:rPr>
                <w:rFonts w:ascii="Arial" w:eastAsia="Arial" w:hAnsi="Arial" w:cs="Arial"/>
                <w:sz w:val="20"/>
                <w:szCs w:val="20"/>
              </w:rPr>
            </w:pPr>
            <w:r>
              <w:rPr>
                <w:rFonts w:ascii="Arial" w:eastAsia="Arial" w:hAnsi="Arial" w:cs="Arial"/>
                <w:sz w:val="20"/>
                <w:szCs w:val="20"/>
              </w:rPr>
              <w:t>-2.69</w:t>
            </w:r>
          </w:p>
        </w:tc>
        <w:tc>
          <w:tcPr>
            <w:tcW w:w="1674" w:type="dxa"/>
            <w:tcBorders>
              <w:top w:val="single" w:sz="4" w:space="0" w:color="000000"/>
            </w:tcBorders>
          </w:tcPr>
          <w:p w14:paraId="39CF9852" w14:textId="77777777" w:rsidR="007F76E5" w:rsidRDefault="0037067E">
            <w:pPr>
              <w:jc w:val="center"/>
              <w:rPr>
                <w:rFonts w:ascii="Arial" w:eastAsia="Arial" w:hAnsi="Arial" w:cs="Arial"/>
                <w:sz w:val="20"/>
                <w:szCs w:val="20"/>
              </w:rPr>
            </w:pPr>
            <w:r>
              <w:rPr>
                <w:rFonts w:ascii="Arial" w:eastAsia="Arial" w:hAnsi="Arial" w:cs="Arial"/>
                <w:sz w:val="20"/>
                <w:szCs w:val="20"/>
              </w:rPr>
              <w:t>0.008</w:t>
            </w:r>
          </w:p>
        </w:tc>
      </w:tr>
      <w:tr w:rsidR="007F76E5" w14:paraId="1625AC6F" w14:textId="77777777">
        <w:tc>
          <w:tcPr>
            <w:tcW w:w="1619" w:type="dxa"/>
          </w:tcPr>
          <w:p w14:paraId="39C3CE4C" w14:textId="77777777" w:rsidR="007F76E5" w:rsidRDefault="0037067E">
            <w:pPr>
              <w:jc w:val="center"/>
              <w:rPr>
                <w:rFonts w:ascii="Arial" w:eastAsia="Arial" w:hAnsi="Arial" w:cs="Arial"/>
                <w:sz w:val="20"/>
                <w:szCs w:val="20"/>
              </w:rPr>
            </w:pPr>
            <w:r>
              <w:rPr>
                <w:rFonts w:ascii="Arial" w:eastAsia="Arial" w:hAnsi="Arial" w:cs="Arial"/>
                <w:sz w:val="20"/>
                <w:szCs w:val="20"/>
              </w:rPr>
              <w:t>Ln K</w:t>
            </w:r>
          </w:p>
        </w:tc>
        <w:tc>
          <w:tcPr>
            <w:tcW w:w="1673" w:type="dxa"/>
          </w:tcPr>
          <w:p w14:paraId="27CDFF85" w14:textId="77777777" w:rsidR="007F76E5" w:rsidRDefault="0037067E">
            <w:pPr>
              <w:jc w:val="center"/>
              <w:rPr>
                <w:rFonts w:ascii="Arial" w:eastAsia="Arial" w:hAnsi="Arial" w:cs="Arial"/>
                <w:sz w:val="20"/>
                <w:szCs w:val="20"/>
              </w:rPr>
            </w:pPr>
            <w:r>
              <w:rPr>
                <w:rFonts w:ascii="Arial" w:eastAsia="Arial" w:hAnsi="Arial" w:cs="Arial"/>
                <w:sz w:val="20"/>
                <w:szCs w:val="20"/>
              </w:rPr>
              <w:t>0.4598***</w:t>
            </w:r>
          </w:p>
        </w:tc>
        <w:tc>
          <w:tcPr>
            <w:tcW w:w="1634" w:type="dxa"/>
          </w:tcPr>
          <w:p w14:paraId="24D056DA" w14:textId="77777777" w:rsidR="007F76E5" w:rsidRDefault="0037067E">
            <w:pPr>
              <w:jc w:val="center"/>
              <w:rPr>
                <w:rFonts w:ascii="Arial" w:eastAsia="Arial" w:hAnsi="Arial" w:cs="Arial"/>
                <w:sz w:val="20"/>
                <w:szCs w:val="20"/>
              </w:rPr>
            </w:pPr>
            <w:r>
              <w:rPr>
                <w:rFonts w:ascii="Arial" w:eastAsia="Arial" w:hAnsi="Arial" w:cs="Arial"/>
                <w:sz w:val="20"/>
                <w:szCs w:val="20"/>
              </w:rPr>
              <w:t>0.0735</w:t>
            </w:r>
          </w:p>
        </w:tc>
        <w:tc>
          <w:tcPr>
            <w:tcW w:w="1608" w:type="dxa"/>
          </w:tcPr>
          <w:p w14:paraId="67A0B240" w14:textId="77777777" w:rsidR="007F76E5" w:rsidRDefault="0037067E">
            <w:pPr>
              <w:jc w:val="center"/>
              <w:rPr>
                <w:rFonts w:ascii="Arial" w:eastAsia="Arial" w:hAnsi="Arial" w:cs="Arial"/>
                <w:sz w:val="20"/>
                <w:szCs w:val="20"/>
              </w:rPr>
            </w:pPr>
            <w:r>
              <w:rPr>
                <w:rFonts w:ascii="Arial" w:eastAsia="Arial" w:hAnsi="Arial" w:cs="Arial"/>
                <w:sz w:val="20"/>
                <w:szCs w:val="20"/>
              </w:rPr>
              <w:t>6.26</w:t>
            </w:r>
          </w:p>
        </w:tc>
        <w:tc>
          <w:tcPr>
            <w:tcW w:w="1674" w:type="dxa"/>
          </w:tcPr>
          <w:p w14:paraId="1AE31EEA" w14:textId="77777777" w:rsidR="007F76E5" w:rsidRDefault="0037067E">
            <w:pPr>
              <w:jc w:val="center"/>
              <w:rPr>
                <w:rFonts w:ascii="Arial" w:eastAsia="Arial" w:hAnsi="Arial" w:cs="Arial"/>
                <w:sz w:val="20"/>
                <w:szCs w:val="20"/>
              </w:rPr>
            </w:pPr>
            <w:r>
              <w:rPr>
                <w:rFonts w:ascii="Arial" w:eastAsia="Arial" w:hAnsi="Arial" w:cs="Arial"/>
                <w:sz w:val="20"/>
                <w:szCs w:val="20"/>
              </w:rPr>
              <w:t>0.000</w:t>
            </w:r>
          </w:p>
        </w:tc>
      </w:tr>
      <w:tr w:rsidR="007F76E5" w14:paraId="528CF25F" w14:textId="77777777">
        <w:tc>
          <w:tcPr>
            <w:tcW w:w="1619" w:type="dxa"/>
          </w:tcPr>
          <w:p w14:paraId="3E54E55B" w14:textId="77777777" w:rsidR="007F76E5" w:rsidRDefault="0037067E">
            <w:pPr>
              <w:jc w:val="center"/>
              <w:rPr>
                <w:rFonts w:ascii="Arial" w:eastAsia="Arial" w:hAnsi="Arial" w:cs="Arial"/>
                <w:sz w:val="20"/>
                <w:szCs w:val="20"/>
              </w:rPr>
            </w:pPr>
            <w:r>
              <w:rPr>
                <w:rFonts w:ascii="Arial" w:eastAsia="Arial" w:hAnsi="Arial" w:cs="Arial"/>
                <w:sz w:val="20"/>
                <w:szCs w:val="20"/>
              </w:rPr>
              <w:t>Ln L</w:t>
            </w:r>
          </w:p>
        </w:tc>
        <w:tc>
          <w:tcPr>
            <w:tcW w:w="1673" w:type="dxa"/>
          </w:tcPr>
          <w:p w14:paraId="59EFB564" w14:textId="77777777" w:rsidR="007F76E5" w:rsidRDefault="0037067E">
            <w:pPr>
              <w:jc w:val="center"/>
              <w:rPr>
                <w:rFonts w:ascii="Arial" w:eastAsia="Arial" w:hAnsi="Arial" w:cs="Arial"/>
                <w:sz w:val="20"/>
                <w:szCs w:val="20"/>
              </w:rPr>
            </w:pPr>
            <w:r>
              <w:rPr>
                <w:rFonts w:ascii="Arial" w:eastAsia="Arial" w:hAnsi="Arial" w:cs="Arial"/>
                <w:sz w:val="20"/>
                <w:szCs w:val="20"/>
              </w:rPr>
              <w:t>0.1214</w:t>
            </w:r>
          </w:p>
        </w:tc>
        <w:tc>
          <w:tcPr>
            <w:tcW w:w="1634" w:type="dxa"/>
          </w:tcPr>
          <w:p w14:paraId="5C0E954B" w14:textId="77777777" w:rsidR="007F76E5" w:rsidRDefault="0037067E">
            <w:pPr>
              <w:jc w:val="center"/>
              <w:rPr>
                <w:rFonts w:ascii="Arial" w:eastAsia="Arial" w:hAnsi="Arial" w:cs="Arial"/>
                <w:sz w:val="20"/>
                <w:szCs w:val="20"/>
              </w:rPr>
            </w:pPr>
            <w:r>
              <w:rPr>
                <w:rFonts w:ascii="Arial" w:eastAsia="Arial" w:hAnsi="Arial" w:cs="Arial"/>
                <w:sz w:val="20"/>
                <w:szCs w:val="20"/>
              </w:rPr>
              <w:t>0.1896</w:t>
            </w:r>
          </w:p>
        </w:tc>
        <w:tc>
          <w:tcPr>
            <w:tcW w:w="1608" w:type="dxa"/>
          </w:tcPr>
          <w:p w14:paraId="36824187" w14:textId="77777777" w:rsidR="007F76E5" w:rsidRDefault="0037067E">
            <w:pPr>
              <w:jc w:val="center"/>
              <w:rPr>
                <w:rFonts w:ascii="Arial" w:eastAsia="Arial" w:hAnsi="Arial" w:cs="Arial"/>
                <w:sz w:val="20"/>
                <w:szCs w:val="20"/>
              </w:rPr>
            </w:pPr>
            <w:r>
              <w:rPr>
                <w:rFonts w:ascii="Arial" w:eastAsia="Arial" w:hAnsi="Arial" w:cs="Arial"/>
                <w:sz w:val="20"/>
                <w:szCs w:val="20"/>
              </w:rPr>
              <w:t>0.64</w:t>
            </w:r>
          </w:p>
        </w:tc>
        <w:tc>
          <w:tcPr>
            <w:tcW w:w="1674" w:type="dxa"/>
          </w:tcPr>
          <w:p w14:paraId="3E18A55F" w14:textId="77777777" w:rsidR="007F76E5" w:rsidRDefault="0037067E">
            <w:pPr>
              <w:jc w:val="center"/>
              <w:rPr>
                <w:rFonts w:ascii="Arial" w:eastAsia="Arial" w:hAnsi="Arial" w:cs="Arial"/>
                <w:sz w:val="20"/>
                <w:szCs w:val="20"/>
              </w:rPr>
            </w:pPr>
            <w:r>
              <w:rPr>
                <w:rFonts w:ascii="Arial" w:eastAsia="Arial" w:hAnsi="Arial" w:cs="Arial"/>
                <w:sz w:val="20"/>
                <w:szCs w:val="20"/>
              </w:rPr>
              <w:t>0.524</w:t>
            </w:r>
          </w:p>
        </w:tc>
      </w:tr>
      <w:tr w:rsidR="007F76E5" w14:paraId="3CA1B4CA" w14:textId="77777777">
        <w:tc>
          <w:tcPr>
            <w:tcW w:w="1619" w:type="dxa"/>
          </w:tcPr>
          <w:p w14:paraId="043AFD95" w14:textId="77777777" w:rsidR="007F76E5" w:rsidRDefault="0037067E">
            <w:pPr>
              <w:jc w:val="center"/>
              <w:rPr>
                <w:rFonts w:ascii="Arial" w:eastAsia="Arial" w:hAnsi="Arial" w:cs="Arial"/>
                <w:sz w:val="20"/>
                <w:szCs w:val="20"/>
              </w:rPr>
            </w:pPr>
            <w:r>
              <w:rPr>
                <w:rFonts w:ascii="Arial" w:eastAsia="Arial" w:hAnsi="Arial" w:cs="Arial"/>
                <w:sz w:val="20"/>
                <w:szCs w:val="20"/>
              </w:rPr>
              <w:t>LN FDI</w:t>
            </w:r>
          </w:p>
        </w:tc>
        <w:tc>
          <w:tcPr>
            <w:tcW w:w="1673" w:type="dxa"/>
          </w:tcPr>
          <w:p w14:paraId="661EF326" w14:textId="77777777" w:rsidR="007F76E5" w:rsidRDefault="0037067E">
            <w:pPr>
              <w:jc w:val="center"/>
              <w:rPr>
                <w:rFonts w:ascii="Arial" w:eastAsia="Arial" w:hAnsi="Arial" w:cs="Arial"/>
                <w:sz w:val="20"/>
                <w:szCs w:val="20"/>
              </w:rPr>
            </w:pPr>
            <w:r>
              <w:rPr>
                <w:rFonts w:ascii="Arial" w:eastAsia="Arial" w:hAnsi="Arial" w:cs="Arial"/>
                <w:sz w:val="20"/>
                <w:szCs w:val="20"/>
              </w:rPr>
              <w:t>0.0063</w:t>
            </w:r>
          </w:p>
        </w:tc>
        <w:tc>
          <w:tcPr>
            <w:tcW w:w="1634" w:type="dxa"/>
          </w:tcPr>
          <w:p w14:paraId="4C62F795" w14:textId="77777777" w:rsidR="007F76E5" w:rsidRDefault="0037067E">
            <w:pPr>
              <w:jc w:val="center"/>
              <w:rPr>
                <w:rFonts w:ascii="Arial" w:eastAsia="Arial" w:hAnsi="Arial" w:cs="Arial"/>
                <w:sz w:val="20"/>
                <w:szCs w:val="20"/>
              </w:rPr>
            </w:pPr>
            <w:r>
              <w:rPr>
                <w:rFonts w:ascii="Arial" w:eastAsia="Arial" w:hAnsi="Arial" w:cs="Arial"/>
                <w:sz w:val="20"/>
                <w:szCs w:val="20"/>
              </w:rPr>
              <w:t>0.0044</w:t>
            </w:r>
          </w:p>
        </w:tc>
        <w:tc>
          <w:tcPr>
            <w:tcW w:w="1608" w:type="dxa"/>
          </w:tcPr>
          <w:p w14:paraId="0BC0F5DC" w14:textId="77777777" w:rsidR="007F76E5" w:rsidRDefault="0037067E">
            <w:pPr>
              <w:jc w:val="center"/>
              <w:rPr>
                <w:rFonts w:ascii="Arial" w:eastAsia="Arial" w:hAnsi="Arial" w:cs="Arial"/>
                <w:sz w:val="20"/>
                <w:szCs w:val="20"/>
              </w:rPr>
            </w:pPr>
            <w:r>
              <w:rPr>
                <w:rFonts w:ascii="Arial" w:eastAsia="Arial" w:hAnsi="Arial" w:cs="Arial"/>
                <w:sz w:val="20"/>
                <w:szCs w:val="20"/>
              </w:rPr>
              <w:t>1.43</w:t>
            </w:r>
          </w:p>
        </w:tc>
        <w:tc>
          <w:tcPr>
            <w:tcW w:w="1674" w:type="dxa"/>
          </w:tcPr>
          <w:p w14:paraId="04A4AD87" w14:textId="77777777" w:rsidR="007F76E5" w:rsidRDefault="0037067E">
            <w:pPr>
              <w:jc w:val="center"/>
              <w:rPr>
                <w:rFonts w:ascii="Arial" w:eastAsia="Arial" w:hAnsi="Arial" w:cs="Arial"/>
                <w:sz w:val="20"/>
                <w:szCs w:val="20"/>
              </w:rPr>
            </w:pPr>
            <w:r>
              <w:rPr>
                <w:rFonts w:ascii="Arial" w:eastAsia="Arial" w:hAnsi="Arial" w:cs="Arial"/>
                <w:sz w:val="20"/>
                <w:szCs w:val="20"/>
              </w:rPr>
              <w:t>0.155</w:t>
            </w:r>
          </w:p>
        </w:tc>
      </w:tr>
      <w:tr w:rsidR="007F76E5" w14:paraId="7B90ED9E" w14:textId="77777777">
        <w:tc>
          <w:tcPr>
            <w:tcW w:w="1619" w:type="dxa"/>
          </w:tcPr>
          <w:p w14:paraId="22A16B52" w14:textId="77777777" w:rsidR="007F76E5" w:rsidRDefault="0037067E">
            <w:pPr>
              <w:jc w:val="center"/>
              <w:rPr>
                <w:rFonts w:ascii="Arial" w:eastAsia="Arial" w:hAnsi="Arial" w:cs="Arial"/>
                <w:sz w:val="20"/>
                <w:szCs w:val="20"/>
              </w:rPr>
            </w:pPr>
            <w:r>
              <w:rPr>
                <w:rFonts w:ascii="Arial" w:eastAsia="Arial" w:hAnsi="Arial" w:cs="Arial"/>
                <w:sz w:val="20"/>
                <w:szCs w:val="20"/>
              </w:rPr>
              <w:t>Ln POP</w:t>
            </w:r>
          </w:p>
        </w:tc>
        <w:tc>
          <w:tcPr>
            <w:tcW w:w="1673" w:type="dxa"/>
          </w:tcPr>
          <w:p w14:paraId="259EFCA3" w14:textId="77777777" w:rsidR="007F76E5" w:rsidRDefault="0037067E">
            <w:pPr>
              <w:jc w:val="center"/>
              <w:rPr>
                <w:rFonts w:ascii="Arial" w:eastAsia="Arial" w:hAnsi="Arial" w:cs="Arial"/>
                <w:sz w:val="20"/>
                <w:szCs w:val="20"/>
              </w:rPr>
            </w:pPr>
            <w:r>
              <w:rPr>
                <w:rFonts w:ascii="Arial" w:eastAsia="Arial" w:hAnsi="Arial" w:cs="Arial"/>
                <w:sz w:val="20"/>
                <w:szCs w:val="20"/>
              </w:rPr>
              <w:t>1.8672***</w:t>
            </w:r>
          </w:p>
        </w:tc>
        <w:tc>
          <w:tcPr>
            <w:tcW w:w="1634" w:type="dxa"/>
          </w:tcPr>
          <w:p w14:paraId="5F4EB681" w14:textId="77777777" w:rsidR="007F76E5" w:rsidRDefault="0037067E">
            <w:pPr>
              <w:jc w:val="center"/>
              <w:rPr>
                <w:rFonts w:ascii="Arial" w:eastAsia="Arial" w:hAnsi="Arial" w:cs="Arial"/>
                <w:sz w:val="20"/>
                <w:szCs w:val="20"/>
              </w:rPr>
            </w:pPr>
            <w:r>
              <w:rPr>
                <w:rFonts w:ascii="Arial" w:eastAsia="Arial" w:hAnsi="Arial" w:cs="Arial"/>
                <w:sz w:val="20"/>
                <w:szCs w:val="20"/>
              </w:rPr>
              <w:t>0.4951</w:t>
            </w:r>
          </w:p>
        </w:tc>
        <w:tc>
          <w:tcPr>
            <w:tcW w:w="1608" w:type="dxa"/>
          </w:tcPr>
          <w:p w14:paraId="69BC6307" w14:textId="77777777" w:rsidR="007F76E5" w:rsidRDefault="0037067E">
            <w:pPr>
              <w:jc w:val="center"/>
              <w:rPr>
                <w:rFonts w:ascii="Arial" w:eastAsia="Arial" w:hAnsi="Arial" w:cs="Arial"/>
                <w:sz w:val="20"/>
                <w:szCs w:val="20"/>
              </w:rPr>
            </w:pPr>
            <w:r>
              <w:rPr>
                <w:rFonts w:ascii="Arial" w:eastAsia="Arial" w:hAnsi="Arial" w:cs="Arial"/>
                <w:sz w:val="20"/>
                <w:szCs w:val="20"/>
              </w:rPr>
              <w:t>3.77</w:t>
            </w:r>
          </w:p>
        </w:tc>
        <w:tc>
          <w:tcPr>
            <w:tcW w:w="1674" w:type="dxa"/>
          </w:tcPr>
          <w:p w14:paraId="7B300085" w14:textId="77777777" w:rsidR="007F76E5" w:rsidRDefault="0037067E">
            <w:pPr>
              <w:jc w:val="center"/>
              <w:rPr>
                <w:rFonts w:ascii="Arial" w:eastAsia="Arial" w:hAnsi="Arial" w:cs="Arial"/>
                <w:sz w:val="20"/>
                <w:szCs w:val="20"/>
              </w:rPr>
            </w:pPr>
            <w:r>
              <w:rPr>
                <w:rFonts w:ascii="Arial" w:eastAsia="Arial" w:hAnsi="Arial" w:cs="Arial"/>
                <w:sz w:val="20"/>
                <w:szCs w:val="20"/>
              </w:rPr>
              <w:t>0.000</w:t>
            </w:r>
          </w:p>
        </w:tc>
      </w:tr>
      <w:tr w:rsidR="007F76E5" w14:paraId="2E5E782A" w14:textId="77777777">
        <w:tc>
          <w:tcPr>
            <w:tcW w:w="1619" w:type="dxa"/>
          </w:tcPr>
          <w:p w14:paraId="01F8B79F" w14:textId="77777777" w:rsidR="007F76E5" w:rsidRDefault="0037067E">
            <w:pPr>
              <w:jc w:val="center"/>
              <w:rPr>
                <w:rFonts w:ascii="Arial" w:eastAsia="Arial" w:hAnsi="Arial" w:cs="Arial"/>
                <w:sz w:val="20"/>
                <w:szCs w:val="20"/>
              </w:rPr>
            </w:pPr>
            <w:r>
              <w:rPr>
                <w:rFonts w:ascii="Arial" w:eastAsia="Arial" w:hAnsi="Arial" w:cs="Arial"/>
                <w:sz w:val="20"/>
                <w:szCs w:val="20"/>
              </w:rPr>
              <w:t>Ln G</w:t>
            </w:r>
          </w:p>
        </w:tc>
        <w:tc>
          <w:tcPr>
            <w:tcW w:w="1673" w:type="dxa"/>
          </w:tcPr>
          <w:p w14:paraId="3DA8ED8F" w14:textId="77777777" w:rsidR="007F76E5" w:rsidRDefault="0037067E">
            <w:pPr>
              <w:jc w:val="center"/>
              <w:rPr>
                <w:rFonts w:ascii="Arial" w:eastAsia="Arial" w:hAnsi="Arial" w:cs="Arial"/>
                <w:sz w:val="20"/>
                <w:szCs w:val="20"/>
              </w:rPr>
            </w:pPr>
            <w:r>
              <w:rPr>
                <w:rFonts w:ascii="Arial" w:eastAsia="Arial" w:hAnsi="Arial" w:cs="Arial"/>
                <w:sz w:val="20"/>
                <w:szCs w:val="20"/>
              </w:rPr>
              <w:t>0.0209**</w:t>
            </w:r>
          </w:p>
        </w:tc>
        <w:tc>
          <w:tcPr>
            <w:tcW w:w="1634" w:type="dxa"/>
          </w:tcPr>
          <w:p w14:paraId="14AE5388" w14:textId="77777777" w:rsidR="007F76E5" w:rsidRDefault="0037067E">
            <w:pPr>
              <w:jc w:val="center"/>
              <w:rPr>
                <w:rFonts w:ascii="Arial" w:eastAsia="Arial" w:hAnsi="Arial" w:cs="Arial"/>
                <w:sz w:val="20"/>
                <w:szCs w:val="20"/>
              </w:rPr>
            </w:pPr>
            <w:r>
              <w:rPr>
                <w:rFonts w:ascii="Arial" w:eastAsia="Arial" w:hAnsi="Arial" w:cs="Arial"/>
                <w:sz w:val="20"/>
                <w:szCs w:val="20"/>
              </w:rPr>
              <w:t>0.0090</w:t>
            </w:r>
          </w:p>
        </w:tc>
        <w:tc>
          <w:tcPr>
            <w:tcW w:w="1608" w:type="dxa"/>
          </w:tcPr>
          <w:p w14:paraId="7EC744F2" w14:textId="77777777" w:rsidR="007F76E5" w:rsidRDefault="0037067E">
            <w:pPr>
              <w:jc w:val="center"/>
              <w:rPr>
                <w:rFonts w:ascii="Arial" w:eastAsia="Arial" w:hAnsi="Arial" w:cs="Arial"/>
                <w:sz w:val="20"/>
                <w:szCs w:val="20"/>
              </w:rPr>
            </w:pPr>
            <w:r>
              <w:rPr>
                <w:rFonts w:ascii="Arial" w:eastAsia="Arial" w:hAnsi="Arial" w:cs="Arial"/>
                <w:sz w:val="20"/>
                <w:szCs w:val="20"/>
              </w:rPr>
              <w:t>2.32</w:t>
            </w:r>
          </w:p>
        </w:tc>
        <w:tc>
          <w:tcPr>
            <w:tcW w:w="1674" w:type="dxa"/>
          </w:tcPr>
          <w:p w14:paraId="3DACEF20" w14:textId="77777777" w:rsidR="007F76E5" w:rsidRDefault="0037067E">
            <w:pPr>
              <w:jc w:val="center"/>
              <w:rPr>
                <w:rFonts w:ascii="Arial" w:eastAsia="Arial" w:hAnsi="Arial" w:cs="Arial"/>
                <w:sz w:val="20"/>
                <w:szCs w:val="20"/>
              </w:rPr>
            </w:pPr>
            <w:r>
              <w:rPr>
                <w:rFonts w:ascii="Arial" w:eastAsia="Arial" w:hAnsi="Arial" w:cs="Arial"/>
                <w:sz w:val="20"/>
                <w:szCs w:val="20"/>
              </w:rPr>
              <w:t>0.021</w:t>
            </w:r>
          </w:p>
        </w:tc>
      </w:tr>
      <w:tr w:rsidR="007F76E5" w14:paraId="64003557" w14:textId="77777777">
        <w:tc>
          <w:tcPr>
            <w:tcW w:w="1619" w:type="dxa"/>
          </w:tcPr>
          <w:p w14:paraId="7934BF6B" w14:textId="77777777" w:rsidR="007F76E5" w:rsidRDefault="0037067E">
            <w:pPr>
              <w:jc w:val="center"/>
              <w:rPr>
                <w:rFonts w:ascii="Arial" w:eastAsia="Arial" w:hAnsi="Arial" w:cs="Arial"/>
                <w:sz w:val="20"/>
                <w:szCs w:val="20"/>
              </w:rPr>
            </w:pPr>
            <w:r>
              <w:rPr>
                <w:rFonts w:ascii="Arial" w:eastAsia="Arial" w:hAnsi="Arial" w:cs="Arial"/>
                <w:sz w:val="20"/>
                <w:szCs w:val="20"/>
              </w:rPr>
              <w:t>Ln T</w:t>
            </w:r>
          </w:p>
        </w:tc>
        <w:tc>
          <w:tcPr>
            <w:tcW w:w="1673" w:type="dxa"/>
          </w:tcPr>
          <w:p w14:paraId="77A055BE" w14:textId="77777777" w:rsidR="007F76E5" w:rsidRDefault="0037067E">
            <w:pPr>
              <w:jc w:val="center"/>
              <w:rPr>
                <w:rFonts w:ascii="Arial" w:eastAsia="Arial" w:hAnsi="Arial" w:cs="Arial"/>
                <w:sz w:val="20"/>
                <w:szCs w:val="20"/>
              </w:rPr>
            </w:pPr>
            <w:r>
              <w:rPr>
                <w:rFonts w:ascii="Arial" w:eastAsia="Arial" w:hAnsi="Arial" w:cs="Arial"/>
                <w:sz w:val="20"/>
                <w:szCs w:val="20"/>
              </w:rPr>
              <w:t>0.0118**</w:t>
            </w:r>
          </w:p>
        </w:tc>
        <w:tc>
          <w:tcPr>
            <w:tcW w:w="1634" w:type="dxa"/>
          </w:tcPr>
          <w:p w14:paraId="5D064D30" w14:textId="77777777" w:rsidR="007F76E5" w:rsidRDefault="0037067E">
            <w:pPr>
              <w:jc w:val="center"/>
              <w:rPr>
                <w:rFonts w:ascii="Arial" w:eastAsia="Arial" w:hAnsi="Arial" w:cs="Arial"/>
                <w:sz w:val="20"/>
                <w:szCs w:val="20"/>
              </w:rPr>
            </w:pPr>
            <w:r>
              <w:rPr>
                <w:rFonts w:ascii="Arial" w:eastAsia="Arial" w:hAnsi="Arial" w:cs="Arial"/>
                <w:sz w:val="20"/>
                <w:szCs w:val="20"/>
              </w:rPr>
              <w:t>0.0049</w:t>
            </w:r>
          </w:p>
        </w:tc>
        <w:tc>
          <w:tcPr>
            <w:tcW w:w="1608" w:type="dxa"/>
          </w:tcPr>
          <w:p w14:paraId="55CC0B52" w14:textId="77777777" w:rsidR="007F76E5" w:rsidRDefault="0037067E">
            <w:pPr>
              <w:jc w:val="center"/>
              <w:rPr>
                <w:rFonts w:ascii="Arial" w:eastAsia="Arial" w:hAnsi="Arial" w:cs="Arial"/>
                <w:sz w:val="20"/>
                <w:szCs w:val="20"/>
              </w:rPr>
            </w:pPr>
            <w:r>
              <w:rPr>
                <w:rFonts w:ascii="Arial" w:eastAsia="Arial" w:hAnsi="Arial" w:cs="Arial"/>
                <w:sz w:val="20"/>
                <w:szCs w:val="20"/>
              </w:rPr>
              <w:t>2.41</w:t>
            </w:r>
          </w:p>
        </w:tc>
        <w:tc>
          <w:tcPr>
            <w:tcW w:w="1674" w:type="dxa"/>
          </w:tcPr>
          <w:p w14:paraId="0FDB1D50" w14:textId="77777777" w:rsidR="007F76E5" w:rsidRDefault="0037067E">
            <w:pPr>
              <w:jc w:val="center"/>
              <w:rPr>
                <w:rFonts w:ascii="Arial" w:eastAsia="Arial" w:hAnsi="Arial" w:cs="Arial"/>
                <w:sz w:val="20"/>
                <w:szCs w:val="20"/>
              </w:rPr>
            </w:pPr>
            <w:r>
              <w:rPr>
                <w:rFonts w:ascii="Arial" w:eastAsia="Arial" w:hAnsi="Arial" w:cs="Arial"/>
                <w:sz w:val="20"/>
                <w:szCs w:val="20"/>
              </w:rPr>
              <w:t>0.017</w:t>
            </w:r>
          </w:p>
        </w:tc>
      </w:tr>
      <w:tr w:rsidR="007F76E5" w14:paraId="120D0E47" w14:textId="77777777">
        <w:tc>
          <w:tcPr>
            <w:tcW w:w="1619" w:type="dxa"/>
            <w:tcBorders>
              <w:bottom w:val="single" w:sz="4" w:space="0" w:color="000000"/>
            </w:tcBorders>
          </w:tcPr>
          <w:p w14:paraId="770B3C0B" w14:textId="77777777" w:rsidR="007F76E5" w:rsidRDefault="0037067E">
            <w:pPr>
              <w:jc w:val="center"/>
              <w:rPr>
                <w:rFonts w:ascii="Arial" w:eastAsia="Arial" w:hAnsi="Arial" w:cs="Arial"/>
                <w:sz w:val="20"/>
                <w:szCs w:val="20"/>
              </w:rPr>
            </w:pPr>
            <w:r>
              <w:rPr>
                <w:rFonts w:ascii="Arial" w:eastAsia="Arial" w:hAnsi="Arial" w:cs="Arial"/>
                <w:sz w:val="20"/>
                <w:szCs w:val="20"/>
              </w:rPr>
              <w:t>Constant</w:t>
            </w:r>
          </w:p>
        </w:tc>
        <w:tc>
          <w:tcPr>
            <w:tcW w:w="1673" w:type="dxa"/>
            <w:tcBorders>
              <w:bottom w:val="single" w:sz="4" w:space="0" w:color="000000"/>
            </w:tcBorders>
          </w:tcPr>
          <w:p w14:paraId="050B725A" w14:textId="77777777" w:rsidR="007F76E5" w:rsidRDefault="0037067E">
            <w:pPr>
              <w:jc w:val="center"/>
              <w:rPr>
                <w:rFonts w:ascii="Arial" w:eastAsia="Arial" w:hAnsi="Arial" w:cs="Arial"/>
                <w:sz w:val="20"/>
                <w:szCs w:val="20"/>
              </w:rPr>
            </w:pPr>
            <w:r>
              <w:rPr>
                <w:rFonts w:ascii="Arial" w:eastAsia="Arial" w:hAnsi="Arial" w:cs="Arial"/>
                <w:sz w:val="20"/>
                <w:szCs w:val="20"/>
              </w:rPr>
              <w:t>-5.2018***</w:t>
            </w:r>
          </w:p>
        </w:tc>
        <w:tc>
          <w:tcPr>
            <w:tcW w:w="1634" w:type="dxa"/>
            <w:tcBorders>
              <w:bottom w:val="single" w:sz="4" w:space="0" w:color="000000"/>
            </w:tcBorders>
          </w:tcPr>
          <w:p w14:paraId="232EA004" w14:textId="77777777" w:rsidR="007F76E5" w:rsidRDefault="0037067E">
            <w:pPr>
              <w:jc w:val="center"/>
              <w:rPr>
                <w:rFonts w:ascii="Arial" w:eastAsia="Arial" w:hAnsi="Arial" w:cs="Arial"/>
                <w:sz w:val="20"/>
                <w:szCs w:val="20"/>
              </w:rPr>
            </w:pPr>
            <w:r>
              <w:rPr>
                <w:rFonts w:ascii="Arial" w:eastAsia="Arial" w:hAnsi="Arial" w:cs="Arial"/>
                <w:sz w:val="20"/>
                <w:szCs w:val="20"/>
              </w:rPr>
              <w:t>1.771</w:t>
            </w:r>
          </w:p>
        </w:tc>
        <w:tc>
          <w:tcPr>
            <w:tcW w:w="1608" w:type="dxa"/>
            <w:tcBorders>
              <w:bottom w:val="single" w:sz="4" w:space="0" w:color="000000"/>
            </w:tcBorders>
          </w:tcPr>
          <w:p w14:paraId="4EBD9191" w14:textId="77777777" w:rsidR="007F76E5" w:rsidRDefault="0037067E">
            <w:pPr>
              <w:jc w:val="center"/>
              <w:rPr>
                <w:rFonts w:ascii="Arial" w:eastAsia="Arial" w:hAnsi="Arial" w:cs="Arial"/>
                <w:sz w:val="20"/>
                <w:szCs w:val="20"/>
              </w:rPr>
            </w:pPr>
            <w:r>
              <w:rPr>
                <w:rFonts w:ascii="Arial" w:eastAsia="Arial" w:hAnsi="Arial" w:cs="Arial"/>
                <w:sz w:val="20"/>
                <w:szCs w:val="20"/>
              </w:rPr>
              <w:t>-2.94</w:t>
            </w:r>
          </w:p>
        </w:tc>
        <w:tc>
          <w:tcPr>
            <w:tcW w:w="1674" w:type="dxa"/>
            <w:tcBorders>
              <w:bottom w:val="single" w:sz="4" w:space="0" w:color="000000"/>
            </w:tcBorders>
          </w:tcPr>
          <w:p w14:paraId="598658E4" w14:textId="77777777" w:rsidR="007F76E5" w:rsidRDefault="0037067E">
            <w:pPr>
              <w:jc w:val="center"/>
              <w:rPr>
                <w:rFonts w:ascii="Arial" w:eastAsia="Arial" w:hAnsi="Arial" w:cs="Arial"/>
                <w:sz w:val="20"/>
                <w:szCs w:val="20"/>
              </w:rPr>
            </w:pPr>
            <w:r>
              <w:rPr>
                <w:rFonts w:ascii="Arial" w:eastAsia="Arial" w:hAnsi="Arial" w:cs="Arial"/>
                <w:sz w:val="20"/>
                <w:szCs w:val="20"/>
              </w:rPr>
              <w:t>0.004</w:t>
            </w:r>
          </w:p>
        </w:tc>
      </w:tr>
    </w:tbl>
    <w:p w14:paraId="19E97F67" w14:textId="77777777" w:rsidR="007F76E5" w:rsidRDefault="0037067E">
      <w:pPr>
        <w:jc w:val="both"/>
        <w:rPr>
          <w:rFonts w:ascii="Arial" w:eastAsia="Arial" w:hAnsi="Arial" w:cs="Arial"/>
        </w:rPr>
      </w:pPr>
      <w:r>
        <w:rPr>
          <w:rFonts w:ascii="Arial" w:eastAsia="Arial" w:hAnsi="Arial" w:cs="Arial"/>
        </w:rPr>
        <w:t>Note: ***, **, and * denote statistical significance at the 1%, 5%, and 10% levels, respectively.</w:t>
      </w:r>
    </w:p>
    <w:p w14:paraId="2DC96271" w14:textId="77777777" w:rsidR="007F76E5" w:rsidRDefault="0037067E">
      <w:pPr>
        <w:jc w:val="both"/>
        <w:rPr>
          <w:rFonts w:ascii="Arial" w:eastAsia="Arial" w:hAnsi="Arial" w:cs="Arial"/>
        </w:rPr>
      </w:pPr>
      <w:r>
        <w:rPr>
          <w:rFonts w:ascii="Arial" w:eastAsia="Arial" w:hAnsi="Arial" w:cs="Arial"/>
        </w:rPr>
        <w:t>The long-run results show that natural disasters significantly reduce economic growth,</w:t>
      </w:r>
    </w:p>
    <w:p w14:paraId="21D26298" w14:textId="77777777" w:rsidR="007F76E5" w:rsidRDefault="0037067E">
      <w:pPr>
        <w:jc w:val="both"/>
        <w:rPr>
          <w:rFonts w:ascii="Arial" w:eastAsia="Arial" w:hAnsi="Arial" w:cs="Arial"/>
        </w:rPr>
      </w:pPr>
      <w:r>
        <w:rPr>
          <w:rFonts w:ascii="Arial" w:eastAsia="Arial" w:hAnsi="Arial" w:cs="Arial"/>
        </w:rPr>
        <w:t xml:space="preserve"> highlighting their lasting impact on productive capacity, infrastructure, human capital, and fiscal stability. These results suggest that without enhanced resilience mechanisms, natural disasters will continue to pose a structural constraint on Indonesia’</w:t>
      </w:r>
      <w:r>
        <w:rPr>
          <w:rFonts w:ascii="Arial" w:eastAsia="Arial" w:hAnsi="Arial" w:cs="Arial"/>
        </w:rPr>
        <w:t>s long-term economic development.</w:t>
      </w:r>
    </w:p>
    <w:p w14:paraId="1F1D1705" w14:textId="77777777" w:rsidR="007F76E5" w:rsidRDefault="0037067E">
      <w:pPr>
        <w:rPr>
          <w:rFonts w:ascii="Arial" w:eastAsia="Arial" w:hAnsi="Arial" w:cs="Arial"/>
          <w:b/>
          <w:bCs/>
        </w:rPr>
      </w:pPr>
      <w:r>
        <w:rPr>
          <w:rFonts w:ascii="Arial" w:eastAsia="Arial" w:hAnsi="Arial" w:cs="Arial"/>
          <w:b/>
          <w:bCs/>
          <w:smallCaps/>
          <w:sz w:val="22"/>
          <w:szCs w:val="22"/>
        </w:rPr>
        <w:t>discussion</w:t>
      </w:r>
    </w:p>
    <w:p w14:paraId="3A08DE54" w14:textId="77777777" w:rsidR="007F76E5" w:rsidRDefault="0037067E">
      <w:pPr>
        <w:widowControl w:val="0"/>
        <w:ind w:right="359"/>
        <w:jc w:val="both"/>
        <w:rPr>
          <w:rFonts w:ascii="Arial" w:eastAsia="Arial" w:hAnsi="Arial" w:cs="Arial"/>
        </w:rPr>
      </w:pPr>
      <w:r>
        <w:rPr>
          <w:rFonts w:ascii="Arial" w:eastAsia="Arial" w:hAnsi="Arial" w:cs="Arial"/>
        </w:rPr>
        <w:t>The long-run results confirm the existence of a stable equilibrium relationship between economic growth, natural disasters, and the selected control variables. This finding is consistent with prior studies, whic</w:t>
      </w:r>
      <w:r>
        <w:rPr>
          <w:rFonts w:ascii="Arial" w:eastAsia="Arial" w:hAnsi="Arial" w:cs="Arial"/>
        </w:rPr>
        <w:t xml:space="preserve">h document that macroeconomic variables and disaster exposure evolve together over time due to persistent structural linkages rather than short-term fluctuations </w:t>
      </w:r>
      <w:hyperlink r:id="rId40">
        <w:r>
          <w:rPr>
            <w:rFonts w:ascii="Arial" w:eastAsia="Arial" w:hAnsi="Arial" w:cs="Arial"/>
          </w:rPr>
          <w:t>(</w:t>
        </w:r>
        <w:proofErr w:type="spellStart"/>
        <w:r>
          <w:rPr>
            <w:rFonts w:ascii="Arial" w:eastAsia="Arial" w:hAnsi="Arial" w:cs="Arial"/>
          </w:rPr>
          <w:t>Idroes</w:t>
        </w:r>
        <w:proofErr w:type="spellEnd"/>
        <w:r>
          <w:rPr>
            <w:rFonts w:ascii="Arial" w:eastAsia="Arial" w:hAnsi="Arial" w:cs="Arial"/>
          </w:rPr>
          <w:t xml:space="preserve"> et al., 2023; </w:t>
        </w:r>
        <w:proofErr w:type="spellStart"/>
        <w:r>
          <w:rPr>
            <w:rFonts w:ascii="Arial" w:eastAsia="Arial" w:hAnsi="Arial" w:cs="Arial"/>
          </w:rPr>
          <w:t>Tas</w:t>
        </w:r>
        <w:r>
          <w:rPr>
            <w:rFonts w:ascii="Arial" w:eastAsia="Arial" w:hAnsi="Arial" w:cs="Arial"/>
          </w:rPr>
          <w:t>ri</w:t>
        </w:r>
        <w:proofErr w:type="spellEnd"/>
        <w:r>
          <w:rPr>
            <w:rFonts w:ascii="Arial" w:eastAsia="Arial" w:hAnsi="Arial" w:cs="Arial"/>
          </w:rPr>
          <w:t xml:space="preserve"> et al., 2022)</w:t>
        </w:r>
      </w:hyperlink>
      <w:r>
        <w:rPr>
          <w:rFonts w:ascii="Arial" w:eastAsia="Arial" w:hAnsi="Arial" w:cs="Arial"/>
        </w:rPr>
        <w:t>. The long-run estimates reveal a negative and statistically significant relationship between natural disasters and economic growth, supporting the view that repeated disaster exposure generates durable economic losses. Similar long-run adv</w:t>
      </w:r>
      <w:r>
        <w:rPr>
          <w:rFonts w:ascii="Arial" w:eastAsia="Arial" w:hAnsi="Arial" w:cs="Arial"/>
        </w:rPr>
        <w:t xml:space="preserve">erse effects have been reported in studies focusing on Indonesia and other disaster-prone economies, where recurrent disasters reduce output by damaging infrastructure, disrupting production, and weakening fiscal capacity </w:t>
      </w:r>
      <w:hyperlink r:id="rId41">
        <w:r>
          <w:rPr>
            <w:rFonts w:ascii="Arial" w:eastAsia="Arial" w:hAnsi="Arial" w:cs="Arial"/>
          </w:rPr>
          <w:t>(</w:t>
        </w:r>
        <w:proofErr w:type="spellStart"/>
        <w:r>
          <w:rPr>
            <w:rFonts w:ascii="Arial" w:eastAsia="Arial" w:hAnsi="Arial" w:cs="Arial"/>
          </w:rPr>
          <w:t>Asyahid</w:t>
        </w:r>
        <w:proofErr w:type="spellEnd"/>
        <w:r>
          <w:rPr>
            <w:rFonts w:ascii="Arial" w:eastAsia="Arial" w:hAnsi="Arial" w:cs="Arial"/>
          </w:rPr>
          <w:t xml:space="preserve"> &amp; </w:t>
        </w:r>
        <w:proofErr w:type="spellStart"/>
        <w:r>
          <w:rPr>
            <w:rFonts w:ascii="Arial" w:eastAsia="Arial" w:hAnsi="Arial" w:cs="Arial"/>
          </w:rPr>
          <w:t>Pekerti</w:t>
        </w:r>
        <w:proofErr w:type="spellEnd"/>
        <w:r>
          <w:rPr>
            <w:rFonts w:ascii="Arial" w:eastAsia="Arial" w:hAnsi="Arial" w:cs="Arial"/>
          </w:rPr>
          <w:t>, 2022; Lima &amp; Barbosa, 2019)</w:t>
        </w:r>
      </w:hyperlink>
      <w:r>
        <w:rPr>
          <w:rFonts w:ascii="Arial" w:eastAsia="Arial" w:hAnsi="Arial" w:cs="Arial"/>
        </w:rPr>
        <w:t>. Although the estimated magnitude is moderate, it is economically meaningful in the Indonesian context, where disaster shocks recur frequently and accumulate over long perio</w:t>
      </w:r>
      <w:r>
        <w:rPr>
          <w:rFonts w:ascii="Arial" w:eastAsia="Arial" w:hAnsi="Arial" w:cs="Arial"/>
        </w:rPr>
        <w:t>ds.</w:t>
      </w:r>
    </w:p>
    <w:p w14:paraId="0146093F" w14:textId="77777777" w:rsidR="007F76E5" w:rsidRDefault="0037067E">
      <w:pPr>
        <w:widowControl w:val="0"/>
        <w:ind w:right="359"/>
        <w:jc w:val="both"/>
        <w:rPr>
          <w:rFonts w:ascii="Arial" w:eastAsia="Arial" w:hAnsi="Arial" w:cs="Arial"/>
        </w:rPr>
      </w:pPr>
      <w:r>
        <w:rPr>
          <w:rFonts w:ascii="Arial" w:eastAsia="Arial" w:hAnsi="Arial" w:cs="Arial"/>
        </w:rPr>
        <w:t>Capital formation emerges as a key driver of long-run economic growth, underscoring the central role of investment in expanding productive capacity and supporting recovery following disaster-related disruptions. This result is consistent with growth th</w:t>
      </w:r>
      <w:r>
        <w:rPr>
          <w:rFonts w:ascii="Arial" w:eastAsia="Arial" w:hAnsi="Arial" w:cs="Arial"/>
        </w:rPr>
        <w:t xml:space="preserve">eory, where </w:t>
      </w:r>
      <w:r>
        <w:rPr>
          <w:rFonts w:ascii="Arial" w:eastAsia="Arial" w:hAnsi="Arial" w:cs="Arial"/>
        </w:rPr>
        <w:lastRenderedPageBreak/>
        <w:t xml:space="preserve">sustained capital accumulation underpins long-term output expansion (Solow, 1956). Empirical evidence from Indonesia supports this mechanism, as regions with stronger investment and reconstruction capacity tend to recover faster and experience </w:t>
      </w:r>
      <w:r>
        <w:rPr>
          <w:rFonts w:ascii="Arial" w:eastAsia="Arial" w:hAnsi="Arial" w:cs="Arial"/>
        </w:rPr>
        <w:t xml:space="preserve">lower long-term economic losses after disasters </w:t>
      </w:r>
      <w:hyperlink r:id="rId42">
        <w:r>
          <w:rPr>
            <w:rFonts w:ascii="Arial" w:eastAsia="Arial" w:hAnsi="Arial" w:cs="Arial"/>
          </w:rPr>
          <w:t>(Maira et al., 2024)</w:t>
        </w:r>
      </w:hyperlink>
      <w:r>
        <w:rPr>
          <w:rFonts w:ascii="Arial" w:eastAsia="Arial" w:hAnsi="Arial" w:cs="Arial"/>
        </w:rPr>
        <w:t>. Population growth also exhibits a strong positive association with GDP in the long run, suggesting that demographic d</w:t>
      </w:r>
      <w:r>
        <w:rPr>
          <w:rFonts w:ascii="Arial" w:eastAsia="Arial" w:hAnsi="Arial" w:cs="Arial"/>
        </w:rPr>
        <w:t xml:space="preserve">ynamics contribute to labor supply expansion, market size, and aggregate demand, reinforcing economic growth over time in disaster-prone settings. </w:t>
      </w:r>
    </w:p>
    <w:p w14:paraId="76DD695C" w14:textId="77777777" w:rsidR="007F76E5" w:rsidRDefault="0037067E">
      <w:pPr>
        <w:widowControl w:val="0"/>
        <w:ind w:right="359"/>
        <w:jc w:val="both"/>
        <w:rPr>
          <w:rFonts w:ascii="Arial" w:eastAsia="Arial" w:hAnsi="Arial" w:cs="Arial"/>
        </w:rPr>
      </w:pPr>
      <w:r>
        <w:rPr>
          <w:rFonts w:ascii="Arial" w:eastAsia="Arial" w:hAnsi="Arial" w:cs="Arial"/>
        </w:rPr>
        <w:t>Trade and government expenditure play stabilizing roles in the long run. Greater trade integration likely fa</w:t>
      </w:r>
      <w:r>
        <w:rPr>
          <w:rFonts w:ascii="Arial" w:eastAsia="Arial" w:hAnsi="Arial" w:cs="Arial"/>
        </w:rPr>
        <w:t>cilitates access to external markets, technology transfer, and production diversification, which can help offset disaster-related disruptions. This finding is consistent with evidence showing that interconnected regional economies are better able to absorb</w:t>
      </w:r>
      <w:r>
        <w:rPr>
          <w:rFonts w:ascii="Arial" w:eastAsia="Arial" w:hAnsi="Arial" w:cs="Arial"/>
        </w:rPr>
        <w:t xml:space="preserve"> shocks through interregional trade and supply-chain linkages </w:t>
      </w:r>
      <w:hyperlink r:id="rId43">
        <w:r>
          <w:rPr>
            <w:rFonts w:ascii="Arial" w:eastAsia="Arial" w:hAnsi="Arial" w:cs="Arial"/>
          </w:rPr>
          <w:t>(Lima &amp; Barbosa, 2019)</w:t>
        </w:r>
      </w:hyperlink>
      <w:r>
        <w:rPr>
          <w:rFonts w:ascii="Arial" w:eastAsia="Arial" w:hAnsi="Arial" w:cs="Arial"/>
        </w:rPr>
        <w:t xml:space="preserve">. Government expenditure also contributes positively, reflecting the importance of fiscal intervention </w:t>
      </w:r>
      <w:r>
        <w:rPr>
          <w:rFonts w:ascii="Arial" w:eastAsia="Arial" w:hAnsi="Arial" w:cs="Arial"/>
        </w:rPr>
        <w:t xml:space="preserve">in financing reconstruction, public infrastructure, and social protection. Prior studies show that mitigation spending and post-disaster public investment reduce unemployment and poverty while accelerating stabilization in affected regions </w:t>
      </w:r>
      <w:hyperlink r:id="rId44">
        <w:r>
          <w:rPr>
            <w:rFonts w:ascii="Arial" w:eastAsia="Arial" w:hAnsi="Arial" w:cs="Arial"/>
          </w:rPr>
          <w:t>(</w:t>
        </w:r>
        <w:proofErr w:type="spellStart"/>
        <w:r>
          <w:rPr>
            <w:rFonts w:ascii="Arial" w:eastAsia="Arial" w:hAnsi="Arial" w:cs="Arial"/>
          </w:rPr>
          <w:t>Pontoh</w:t>
        </w:r>
        <w:proofErr w:type="spellEnd"/>
        <w:r>
          <w:rPr>
            <w:rFonts w:ascii="Arial" w:eastAsia="Arial" w:hAnsi="Arial" w:cs="Arial"/>
          </w:rPr>
          <w:t xml:space="preserve"> et al., 2024)</w:t>
        </w:r>
      </w:hyperlink>
      <w:r>
        <w:rPr>
          <w:rFonts w:ascii="Arial" w:eastAsia="Arial" w:hAnsi="Arial" w:cs="Arial"/>
        </w:rPr>
        <w:t>.</w:t>
      </w:r>
    </w:p>
    <w:p w14:paraId="271FE676" w14:textId="77777777" w:rsidR="007F76E5" w:rsidRDefault="0037067E">
      <w:pPr>
        <w:widowControl w:val="0"/>
        <w:ind w:right="359"/>
        <w:jc w:val="both"/>
        <w:rPr>
          <w:rFonts w:ascii="Arial" w:eastAsia="Arial" w:hAnsi="Arial" w:cs="Arial"/>
        </w:rPr>
      </w:pPr>
      <w:r>
        <w:rPr>
          <w:rFonts w:ascii="Arial" w:eastAsia="Arial" w:hAnsi="Arial" w:cs="Arial"/>
        </w:rPr>
        <w:t>In contrast, labor and foreign direct investment do not exhibit statistically significant long-run effects. The weak contribution of labor suggests that increases in labor quantity</w:t>
      </w:r>
      <w:r>
        <w:rPr>
          <w:rFonts w:ascii="Arial" w:eastAsia="Arial" w:hAnsi="Arial" w:cs="Arial"/>
        </w:rPr>
        <w:t xml:space="preserve"> alone do not translate into sustained growth without corresponding improvements in productivity and skills, particularly in disaster-affected regions </w:t>
      </w:r>
      <w:hyperlink r:id="rId45">
        <w:r>
          <w:rPr>
            <w:rFonts w:ascii="Arial" w:eastAsia="Arial" w:hAnsi="Arial" w:cs="Arial"/>
          </w:rPr>
          <w:t>(</w:t>
        </w:r>
        <w:proofErr w:type="spellStart"/>
        <w:r>
          <w:rPr>
            <w:rFonts w:ascii="Arial" w:eastAsia="Arial" w:hAnsi="Arial" w:cs="Arial"/>
          </w:rPr>
          <w:t>Prasojo</w:t>
        </w:r>
        <w:proofErr w:type="spellEnd"/>
        <w:r>
          <w:rPr>
            <w:rFonts w:ascii="Arial" w:eastAsia="Arial" w:hAnsi="Arial" w:cs="Arial"/>
          </w:rPr>
          <w:t xml:space="preserve"> et al., 2021)</w:t>
        </w:r>
      </w:hyperlink>
      <w:r>
        <w:rPr>
          <w:rFonts w:ascii="Arial" w:eastAsia="Arial" w:hAnsi="Arial" w:cs="Arial"/>
        </w:rPr>
        <w:t>. Similarly, t</w:t>
      </w:r>
      <w:r>
        <w:rPr>
          <w:rFonts w:ascii="Arial" w:eastAsia="Arial" w:hAnsi="Arial" w:cs="Arial"/>
        </w:rPr>
        <w:t xml:space="preserve">he insignificance of foreign direct investment indicates that inflows may be volatile, </w:t>
      </w:r>
      <w:proofErr w:type="spellStart"/>
      <w:r>
        <w:rPr>
          <w:rFonts w:ascii="Arial" w:eastAsia="Arial" w:hAnsi="Arial" w:cs="Arial"/>
        </w:rPr>
        <w:t>sectorally</w:t>
      </w:r>
      <w:proofErr w:type="spellEnd"/>
      <w:r>
        <w:rPr>
          <w:rFonts w:ascii="Arial" w:eastAsia="Arial" w:hAnsi="Arial" w:cs="Arial"/>
        </w:rPr>
        <w:t xml:space="preserve"> concentrated, or weakly integrated into domestic production networks, limiting their long-term growth impact. This interpretation aligns with studies showing </w:t>
      </w:r>
      <w:r>
        <w:rPr>
          <w:rFonts w:ascii="Arial" w:eastAsia="Arial" w:hAnsi="Arial" w:cs="Arial"/>
        </w:rPr>
        <w:t xml:space="preserve">that disaster risk can discourage FDI or reduce its effectiveness in supporting long-run growth </w:t>
      </w:r>
      <w:hyperlink r:id="rId46">
        <w:r>
          <w:rPr>
            <w:rFonts w:ascii="Arial" w:eastAsia="Arial" w:hAnsi="Arial" w:cs="Arial"/>
          </w:rPr>
          <w:t>(</w:t>
        </w:r>
        <w:proofErr w:type="spellStart"/>
        <w:r>
          <w:rPr>
            <w:rFonts w:ascii="Arial" w:eastAsia="Arial" w:hAnsi="Arial" w:cs="Arial"/>
          </w:rPr>
          <w:t>Escaleras</w:t>
        </w:r>
        <w:proofErr w:type="spellEnd"/>
        <w:r>
          <w:rPr>
            <w:rFonts w:ascii="Arial" w:eastAsia="Arial" w:hAnsi="Arial" w:cs="Arial"/>
          </w:rPr>
          <w:t xml:space="preserve"> &amp; Register, 2011)</w:t>
        </w:r>
      </w:hyperlink>
      <w:r>
        <w:rPr>
          <w:rFonts w:ascii="Arial" w:eastAsia="Arial" w:hAnsi="Arial" w:cs="Arial"/>
        </w:rPr>
        <w:t>.</w:t>
      </w:r>
    </w:p>
    <w:p w14:paraId="0DD8FB70" w14:textId="77777777" w:rsidR="007F76E5" w:rsidRDefault="0037067E">
      <w:pPr>
        <w:widowControl w:val="0"/>
        <w:ind w:right="359"/>
        <w:jc w:val="both"/>
        <w:rPr>
          <w:rFonts w:ascii="Arial" w:eastAsia="Arial" w:hAnsi="Arial" w:cs="Arial"/>
        </w:rPr>
      </w:pPr>
      <w:r>
        <w:rPr>
          <w:rFonts w:ascii="Arial" w:eastAsia="Arial" w:hAnsi="Arial" w:cs="Arial"/>
        </w:rPr>
        <w:t>The error correction term is negative and statistically signi</w:t>
      </w:r>
      <w:r>
        <w:rPr>
          <w:rFonts w:ascii="Arial" w:eastAsia="Arial" w:hAnsi="Arial" w:cs="Arial"/>
        </w:rPr>
        <w:t>ficant, indicating a moderate speed of adjustment toward the long-run equilibrium, with approximately 31 percent of disequilibrium corrected annually. This finding suggests that Indonesia possesses institutional and policy mechanisms capable of restoring l</w:t>
      </w:r>
      <w:r>
        <w:rPr>
          <w:rFonts w:ascii="Arial" w:eastAsia="Arial" w:hAnsi="Arial" w:cs="Arial"/>
        </w:rPr>
        <w:t xml:space="preserve">ong-run balance </w:t>
      </w:r>
      <w:proofErr w:type="spellStart"/>
      <w:r>
        <w:rPr>
          <w:rFonts w:ascii="Arial" w:eastAsia="Arial" w:hAnsi="Arial" w:cs="Arial"/>
        </w:rPr>
        <w:t>after shocks</w:t>
      </w:r>
      <w:proofErr w:type="spellEnd"/>
      <w:r>
        <w:rPr>
          <w:rFonts w:ascii="Arial" w:eastAsia="Arial" w:hAnsi="Arial" w:cs="Arial"/>
        </w:rPr>
        <w:t>. However, the gradual adjustment process reflects the persistence of disaster-related disruptions and the time required for rebuilding infrastructure, restoring investor confidence, and reallocating resources, particularly in r</w:t>
      </w:r>
      <w:r>
        <w:rPr>
          <w:rFonts w:ascii="Arial" w:eastAsia="Arial" w:hAnsi="Arial" w:cs="Arial"/>
        </w:rPr>
        <w:t xml:space="preserve">egions with limited institutional capacity </w:t>
      </w:r>
      <w:hyperlink r:id="rId47">
        <w:r>
          <w:rPr>
            <w:rFonts w:ascii="Arial" w:eastAsia="Arial" w:hAnsi="Arial" w:cs="Arial"/>
          </w:rPr>
          <w:t>(</w:t>
        </w:r>
        <w:proofErr w:type="spellStart"/>
        <w:r>
          <w:rPr>
            <w:rFonts w:ascii="Arial" w:eastAsia="Arial" w:hAnsi="Arial" w:cs="Arial"/>
          </w:rPr>
          <w:t>Idroes</w:t>
        </w:r>
        <w:proofErr w:type="spellEnd"/>
        <w:r>
          <w:rPr>
            <w:rFonts w:ascii="Arial" w:eastAsia="Arial" w:hAnsi="Arial" w:cs="Arial"/>
          </w:rPr>
          <w:t xml:space="preserve"> et al., 2023)</w:t>
        </w:r>
      </w:hyperlink>
      <w:r>
        <w:rPr>
          <w:rFonts w:ascii="Arial" w:eastAsia="Arial" w:hAnsi="Arial" w:cs="Arial"/>
        </w:rPr>
        <w:t>.</w:t>
      </w:r>
    </w:p>
    <w:p w14:paraId="58329E80" w14:textId="77777777" w:rsidR="007F76E5" w:rsidRDefault="0037067E">
      <w:pPr>
        <w:widowControl w:val="0"/>
        <w:ind w:right="359"/>
        <w:jc w:val="both"/>
        <w:rPr>
          <w:rFonts w:ascii="Arial" w:eastAsia="Arial" w:hAnsi="Arial" w:cs="Arial"/>
        </w:rPr>
      </w:pPr>
      <w:r>
        <w:rPr>
          <w:rFonts w:ascii="Arial" w:eastAsia="Arial" w:hAnsi="Arial" w:cs="Arial"/>
        </w:rPr>
        <w:t>Short-run dynamics provide further insights into the nature of disaster impacts. The absence of statistically significant</w:t>
      </w:r>
      <w:r>
        <w:rPr>
          <w:rFonts w:ascii="Arial" w:eastAsia="Arial" w:hAnsi="Arial" w:cs="Arial"/>
        </w:rPr>
        <w:t xml:space="preserve"> short-run effects of natural disasters on GDP suggests that their economic consequences materialize through lagged and cumulative channels rather than immediate output contractions. Emergency assistance, reconstruction spending, and interregional redistri</w:t>
      </w:r>
      <w:r>
        <w:rPr>
          <w:rFonts w:ascii="Arial" w:eastAsia="Arial" w:hAnsi="Arial" w:cs="Arial"/>
        </w:rPr>
        <w:t xml:space="preserve">bution may initially buffer national output, masking localized losses </w:t>
      </w:r>
      <w:hyperlink r:id="rId48">
        <w:r>
          <w:rPr>
            <w:rFonts w:ascii="Arial" w:eastAsia="Arial" w:hAnsi="Arial" w:cs="Arial"/>
          </w:rPr>
          <w:t>(</w:t>
        </w:r>
        <w:proofErr w:type="spellStart"/>
        <w:r>
          <w:rPr>
            <w:rFonts w:ascii="Arial" w:eastAsia="Arial" w:hAnsi="Arial" w:cs="Arial"/>
          </w:rPr>
          <w:t>Mardalena</w:t>
        </w:r>
        <w:proofErr w:type="spellEnd"/>
        <w:r>
          <w:rPr>
            <w:rFonts w:ascii="Arial" w:eastAsia="Arial" w:hAnsi="Arial" w:cs="Arial"/>
          </w:rPr>
          <w:t xml:space="preserve"> et al., 2024; </w:t>
        </w:r>
        <w:proofErr w:type="spellStart"/>
        <w:r>
          <w:rPr>
            <w:rFonts w:ascii="Arial" w:eastAsia="Arial" w:hAnsi="Arial" w:cs="Arial"/>
          </w:rPr>
          <w:t>Tasri</w:t>
        </w:r>
        <w:proofErr w:type="spellEnd"/>
        <w:r>
          <w:rPr>
            <w:rFonts w:ascii="Arial" w:eastAsia="Arial" w:hAnsi="Arial" w:cs="Arial"/>
          </w:rPr>
          <w:t xml:space="preserve"> et al., 2022)</w:t>
        </w:r>
      </w:hyperlink>
      <w:r>
        <w:rPr>
          <w:rFonts w:ascii="Arial" w:eastAsia="Arial" w:hAnsi="Arial" w:cs="Arial"/>
        </w:rPr>
        <w:t>. Granger causality results further support this interpretation by indica</w:t>
      </w:r>
      <w:r>
        <w:rPr>
          <w:rFonts w:ascii="Arial" w:eastAsia="Arial" w:hAnsi="Arial" w:cs="Arial"/>
        </w:rPr>
        <w:t>ting that economic growth does not respond instantaneously to disaster shocks, reinforcing the view that disasters affect growth indirectly through investment behavior, fiscal pressures, and structural transformation rather than short-term volatility.</w:t>
      </w:r>
    </w:p>
    <w:p w14:paraId="28F771CA" w14:textId="77777777" w:rsidR="007F76E5" w:rsidRDefault="0037067E">
      <w:pPr>
        <w:pBdr>
          <w:top w:val="nil"/>
          <w:left w:val="nil"/>
          <w:bottom w:val="nil"/>
          <w:right w:val="nil"/>
          <w:between w:val="nil"/>
        </w:pBdr>
        <w:jc w:val="both"/>
        <w:rPr>
          <w:rFonts w:ascii="Arial" w:eastAsia="Arial" w:hAnsi="Arial" w:cs="Arial"/>
          <w:color w:val="000000"/>
        </w:rPr>
      </w:pPr>
      <w:r>
        <w:rPr>
          <w:rFonts w:ascii="Arial" w:eastAsia="Arial" w:hAnsi="Arial" w:cs="Arial"/>
        </w:rPr>
        <w:t>Overall, the findings highlight a fundamental policy trade-off. While Indonesia demonstrates an ability to manage disaster shocks and gradually restore long-run equilibrium, resilience does not eliminate long-term growth losses. Consistent with existing ev</w:t>
      </w:r>
      <w:r>
        <w:rPr>
          <w:rFonts w:ascii="Arial" w:eastAsia="Arial" w:hAnsi="Arial" w:cs="Arial"/>
        </w:rPr>
        <w:t xml:space="preserve">idence, reactive reconstruction alone is insufficient to prevent cumulative growth erosion without proactive disaster risk reduction, climate-resilient infrastructure, and productivity-enhancing investment </w:t>
      </w:r>
      <w:hyperlink r:id="rId49">
        <w:r>
          <w:rPr>
            <w:rFonts w:ascii="Arial" w:eastAsia="Arial" w:hAnsi="Arial" w:cs="Arial"/>
          </w:rPr>
          <w:t>(Khan et al., 2023)</w:t>
        </w:r>
      </w:hyperlink>
      <w:r>
        <w:rPr>
          <w:rFonts w:ascii="Arial" w:eastAsia="Arial" w:hAnsi="Arial" w:cs="Arial"/>
        </w:rPr>
        <w:t>.</w:t>
      </w:r>
    </w:p>
    <w:p w14:paraId="37D50B54" w14:textId="77777777" w:rsidR="007F76E5" w:rsidRDefault="0037067E">
      <w:pPr>
        <w:keepNext/>
        <w:pBdr>
          <w:top w:val="nil"/>
          <w:left w:val="nil"/>
          <w:bottom w:val="nil"/>
          <w:right w:val="nil"/>
          <w:between w:val="nil"/>
        </w:pBdr>
        <w:rPr>
          <w:rFonts w:ascii="Arial" w:eastAsia="Arial" w:hAnsi="Arial" w:cs="Arial"/>
          <w:b/>
          <w:bCs/>
          <w:smallCaps/>
          <w:sz w:val="22"/>
          <w:szCs w:val="22"/>
        </w:rPr>
      </w:pPr>
      <w:r>
        <w:rPr>
          <w:rFonts w:ascii="Arial" w:eastAsia="Arial" w:hAnsi="Arial" w:cs="Arial"/>
          <w:b/>
          <w:bCs/>
          <w:smallCaps/>
          <w:color w:val="000000"/>
          <w:sz w:val="22"/>
          <w:szCs w:val="22"/>
        </w:rPr>
        <w:lastRenderedPageBreak/>
        <w:t xml:space="preserve">4. </w:t>
      </w:r>
      <w:r>
        <w:rPr>
          <w:rFonts w:ascii="Arial" w:eastAsia="Arial" w:hAnsi="Arial" w:cs="Arial"/>
          <w:b/>
          <w:bCs/>
          <w:smallCaps/>
          <w:sz w:val="22"/>
          <w:szCs w:val="22"/>
        </w:rPr>
        <w:t>Policy Recommendation and Conclusion</w:t>
      </w:r>
    </w:p>
    <w:p w14:paraId="03207128" w14:textId="77777777" w:rsidR="007F76E5" w:rsidRDefault="0037067E">
      <w:pPr>
        <w:keepNext/>
        <w:pBdr>
          <w:top w:val="nil"/>
          <w:left w:val="nil"/>
          <w:bottom w:val="nil"/>
          <w:right w:val="nil"/>
          <w:between w:val="nil"/>
        </w:pBdr>
        <w:rPr>
          <w:rFonts w:ascii="Arial" w:eastAsia="Arial" w:hAnsi="Arial" w:cs="Arial"/>
          <w:b/>
          <w:bCs/>
          <w:smallCaps/>
          <w:sz w:val="22"/>
          <w:szCs w:val="22"/>
        </w:rPr>
      </w:pPr>
      <w:r>
        <w:rPr>
          <w:rFonts w:ascii="Arial" w:eastAsia="Arial" w:hAnsi="Arial" w:cs="Arial"/>
          <w:b/>
          <w:bCs/>
          <w:smallCaps/>
          <w:sz w:val="22"/>
          <w:szCs w:val="22"/>
        </w:rPr>
        <w:t xml:space="preserve">4.1 Policy recommendations </w:t>
      </w:r>
    </w:p>
    <w:p w14:paraId="0EA1C4A1" w14:textId="77777777" w:rsidR="007F76E5" w:rsidRDefault="0037067E">
      <w:pPr>
        <w:jc w:val="both"/>
        <w:rPr>
          <w:rFonts w:ascii="Arial" w:eastAsia="Arial" w:hAnsi="Arial" w:cs="Arial"/>
        </w:rPr>
      </w:pPr>
      <w:r>
        <w:rPr>
          <w:rFonts w:ascii="Arial" w:eastAsia="Arial" w:hAnsi="Arial" w:cs="Arial"/>
        </w:rPr>
        <w:t xml:space="preserve">The findings of this study, which show that natural disasters exert persistent negative effects on Indonesia’s long-term economic growth, are consistent with previous evidence highlighting the cumulative macroeconomic costs of recurrent disaster exposure </w:t>
      </w:r>
      <w:hyperlink r:id="rId50">
        <w:r>
          <w:rPr>
            <w:rFonts w:ascii="Arial" w:eastAsia="Arial" w:hAnsi="Arial" w:cs="Arial"/>
          </w:rPr>
          <w:t>(</w:t>
        </w:r>
        <w:proofErr w:type="spellStart"/>
        <w:r>
          <w:rPr>
            <w:rFonts w:ascii="Arial" w:eastAsia="Arial" w:hAnsi="Arial" w:cs="Arial"/>
          </w:rPr>
          <w:t>Botzen</w:t>
        </w:r>
        <w:proofErr w:type="spellEnd"/>
        <w:r>
          <w:rPr>
            <w:rFonts w:ascii="Arial" w:eastAsia="Arial" w:hAnsi="Arial" w:cs="Arial"/>
          </w:rPr>
          <w:t xml:space="preserve"> et al., 2019; </w:t>
        </w:r>
        <w:proofErr w:type="spellStart"/>
        <w:r>
          <w:rPr>
            <w:rFonts w:ascii="Arial" w:eastAsia="Arial" w:hAnsi="Arial" w:cs="Arial"/>
          </w:rPr>
          <w:t>Idroes</w:t>
        </w:r>
        <w:proofErr w:type="spellEnd"/>
        <w:r>
          <w:rPr>
            <w:rFonts w:ascii="Arial" w:eastAsia="Arial" w:hAnsi="Arial" w:cs="Arial"/>
          </w:rPr>
          <w:t xml:space="preserve"> et al., 2023; Lima &amp; Barbosa, 2019)</w:t>
        </w:r>
      </w:hyperlink>
      <w:r>
        <w:rPr>
          <w:rFonts w:ascii="Arial" w:eastAsia="Arial" w:hAnsi="Arial" w:cs="Arial"/>
        </w:rPr>
        <w:t>. Prior studies and expert assessments emphasize that disaster risk reduction should be treated as a core component of long-term de</w:t>
      </w:r>
      <w:r>
        <w:rPr>
          <w:rFonts w:ascii="Arial" w:eastAsia="Arial" w:hAnsi="Arial" w:cs="Arial"/>
        </w:rPr>
        <w:t>velopment policy rather than as a post-disaster response. Investments in resilient infrastructure, climate-adaptive land-use planning, and early warning systems have been shown to significantly reduce long-run economic losses and accelerate recovery in dis</w:t>
      </w:r>
      <w:r>
        <w:rPr>
          <w:rFonts w:ascii="Arial" w:eastAsia="Arial" w:hAnsi="Arial" w:cs="Arial"/>
        </w:rPr>
        <w:t xml:space="preserve">aster-prone economies </w:t>
      </w:r>
      <w:hyperlink r:id="rId51">
        <w:r>
          <w:rPr>
            <w:rFonts w:ascii="Arial" w:eastAsia="Arial" w:hAnsi="Arial" w:cs="Arial"/>
          </w:rPr>
          <w:t xml:space="preserve">(Maira et al., 2024; </w:t>
        </w:r>
        <w:proofErr w:type="spellStart"/>
        <w:r>
          <w:rPr>
            <w:rFonts w:ascii="Arial" w:eastAsia="Arial" w:hAnsi="Arial" w:cs="Arial"/>
          </w:rPr>
          <w:t>Pontoh</w:t>
        </w:r>
        <w:proofErr w:type="spellEnd"/>
        <w:r>
          <w:rPr>
            <w:rFonts w:ascii="Arial" w:eastAsia="Arial" w:hAnsi="Arial" w:cs="Arial"/>
          </w:rPr>
          <w:t xml:space="preserve"> et al., 2024)</w:t>
        </w:r>
      </w:hyperlink>
      <w:r>
        <w:rPr>
          <w:rFonts w:ascii="Arial" w:eastAsia="Arial" w:hAnsi="Arial" w:cs="Arial"/>
        </w:rPr>
        <w:t xml:space="preserve">. From the perspective of policymakers and disaster management authorities, integrating disaster risk considerations into national </w:t>
      </w:r>
      <w:r>
        <w:rPr>
          <w:rFonts w:ascii="Arial" w:eastAsia="Arial" w:hAnsi="Arial" w:cs="Arial"/>
        </w:rPr>
        <w:t>and regional development plans is essential for limiting the cumulative growth constraints identified in this study.</w:t>
      </w:r>
    </w:p>
    <w:p w14:paraId="6F0117B3" w14:textId="77777777" w:rsidR="007F76E5" w:rsidRDefault="0037067E">
      <w:pPr>
        <w:jc w:val="both"/>
        <w:rPr>
          <w:rFonts w:ascii="Arial" w:eastAsia="Arial" w:hAnsi="Arial" w:cs="Arial"/>
          <w:b/>
          <w:bCs/>
          <w:smallCaps/>
          <w:sz w:val="22"/>
          <w:szCs w:val="22"/>
        </w:rPr>
      </w:pPr>
      <w:r>
        <w:rPr>
          <w:rFonts w:ascii="Arial" w:eastAsia="Arial" w:hAnsi="Arial" w:cs="Arial"/>
        </w:rPr>
        <w:t>Additionally, the literature highlights the importance of strengthening institutional capacity, human capital, and investment resilience to</w:t>
      </w:r>
      <w:r>
        <w:rPr>
          <w:rFonts w:ascii="Arial" w:eastAsia="Arial" w:hAnsi="Arial" w:cs="Arial"/>
        </w:rPr>
        <w:t xml:space="preserve"> mitigate the long-term economic impacts of natural disasters. Studies focusing on Indonesia indicate that regions with stronger governance, higher human development, and effective inter-agency coordination experience faster recovery and lower output losse</w:t>
      </w:r>
      <w:r>
        <w:rPr>
          <w:rFonts w:ascii="Arial" w:eastAsia="Arial" w:hAnsi="Arial" w:cs="Arial"/>
        </w:rPr>
        <w:t xml:space="preserve">s following disasters </w:t>
      </w:r>
      <w:hyperlink r:id="rId52">
        <w:r>
          <w:rPr>
            <w:rFonts w:ascii="Arial" w:eastAsia="Arial" w:hAnsi="Arial" w:cs="Arial"/>
          </w:rPr>
          <w:t>(</w:t>
        </w:r>
        <w:proofErr w:type="spellStart"/>
        <w:r>
          <w:rPr>
            <w:rFonts w:ascii="Arial" w:eastAsia="Arial" w:hAnsi="Arial" w:cs="Arial"/>
          </w:rPr>
          <w:t>Asyahid</w:t>
        </w:r>
        <w:proofErr w:type="spellEnd"/>
        <w:r>
          <w:rPr>
            <w:rFonts w:ascii="Arial" w:eastAsia="Arial" w:hAnsi="Arial" w:cs="Arial"/>
          </w:rPr>
          <w:t xml:space="preserve"> &amp; </w:t>
        </w:r>
        <w:proofErr w:type="spellStart"/>
        <w:r>
          <w:rPr>
            <w:rFonts w:ascii="Arial" w:eastAsia="Arial" w:hAnsi="Arial" w:cs="Arial"/>
          </w:rPr>
          <w:t>Pekerti</w:t>
        </w:r>
        <w:proofErr w:type="spellEnd"/>
        <w:r>
          <w:rPr>
            <w:rFonts w:ascii="Arial" w:eastAsia="Arial" w:hAnsi="Arial" w:cs="Arial"/>
          </w:rPr>
          <w:t xml:space="preserve">, 2022; </w:t>
        </w:r>
        <w:proofErr w:type="spellStart"/>
        <w:r>
          <w:rPr>
            <w:rFonts w:ascii="Arial" w:eastAsia="Arial" w:hAnsi="Arial" w:cs="Arial"/>
          </w:rPr>
          <w:t>Prasojo</w:t>
        </w:r>
        <w:proofErr w:type="spellEnd"/>
        <w:r>
          <w:rPr>
            <w:rFonts w:ascii="Arial" w:eastAsia="Arial" w:hAnsi="Arial" w:cs="Arial"/>
          </w:rPr>
          <w:t xml:space="preserve"> et al., 2021)</w:t>
        </w:r>
      </w:hyperlink>
      <w:r>
        <w:rPr>
          <w:rFonts w:ascii="Arial" w:eastAsia="Arial" w:hAnsi="Arial" w:cs="Arial"/>
        </w:rPr>
        <w:t>. Experts in development and investment policy further argue that improving labor productivity through education and skills d</w:t>
      </w:r>
      <w:r>
        <w:rPr>
          <w:rFonts w:ascii="Arial" w:eastAsia="Arial" w:hAnsi="Arial" w:cs="Arial"/>
        </w:rPr>
        <w:t xml:space="preserve">evelopment, alongside promoting risk-sensitive foreign direct investment, can support sustained growth in disaster-prone contexts </w:t>
      </w:r>
      <w:hyperlink r:id="rId53">
        <w:r>
          <w:rPr>
            <w:rFonts w:ascii="Arial" w:eastAsia="Arial" w:hAnsi="Arial" w:cs="Arial"/>
          </w:rPr>
          <w:t>(</w:t>
        </w:r>
        <w:proofErr w:type="spellStart"/>
        <w:r>
          <w:rPr>
            <w:rFonts w:ascii="Arial" w:eastAsia="Arial" w:hAnsi="Arial" w:cs="Arial"/>
          </w:rPr>
          <w:t>Doytch</w:t>
        </w:r>
        <w:proofErr w:type="spellEnd"/>
        <w:r>
          <w:rPr>
            <w:rFonts w:ascii="Arial" w:eastAsia="Arial" w:hAnsi="Arial" w:cs="Arial"/>
          </w:rPr>
          <w:t>, 2019; Neise et al., 2022)</w:t>
        </w:r>
      </w:hyperlink>
      <w:r>
        <w:rPr>
          <w:rFonts w:ascii="Arial" w:eastAsia="Arial" w:hAnsi="Arial" w:cs="Arial"/>
        </w:rPr>
        <w:t>. Spatial analyses also sugges</w:t>
      </w:r>
      <w:r>
        <w:rPr>
          <w:rFonts w:ascii="Arial" w:eastAsia="Arial" w:hAnsi="Arial" w:cs="Arial"/>
        </w:rPr>
        <w:t xml:space="preserve">t that coordinated regional planning is necessary to prevent localized disaster shocks from generating wider economic spillovers </w:t>
      </w:r>
      <w:hyperlink r:id="rId54">
        <w:r>
          <w:rPr>
            <w:rFonts w:ascii="Arial" w:eastAsia="Arial" w:hAnsi="Arial" w:cs="Arial"/>
          </w:rPr>
          <w:t>(Lima &amp; Barbosa, 2019)</w:t>
        </w:r>
      </w:hyperlink>
      <w:r>
        <w:rPr>
          <w:rFonts w:ascii="Arial" w:eastAsia="Arial" w:hAnsi="Arial" w:cs="Arial"/>
        </w:rPr>
        <w:t>. Together, these perspectives underscore t</w:t>
      </w:r>
      <w:r>
        <w:rPr>
          <w:rFonts w:ascii="Arial" w:eastAsia="Arial" w:hAnsi="Arial" w:cs="Arial"/>
        </w:rPr>
        <w:t>he need for a resilience-oriented development strategy that addresses both immediate vulnerabilities and long-term sustainable growth.</w:t>
      </w:r>
    </w:p>
    <w:p w14:paraId="17F71C40" w14:textId="77777777" w:rsidR="007F76E5" w:rsidRDefault="0037067E">
      <w:pPr>
        <w:keepNext/>
        <w:pBdr>
          <w:top w:val="nil"/>
          <w:left w:val="nil"/>
          <w:bottom w:val="nil"/>
          <w:right w:val="nil"/>
          <w:between w:val="nil"/>
        </w:pBdr>
        <w:rPr>
          <w:rFonts w:ascii="Arial" w:eastAsia="Arial" w:hAnsi="Arial" w:cs="Arial"/>
          <w:b/>
          <w:bCs/>
          <w:smallCaps/>
          <w:sz w:val="22"/>
          <w:szCs w:val="22"/>
        </w:rPr>
      </w:pPr>
      <w:proofErr w:type="gramStart"/>
      <w:r>
        <w:rPr>
          <w:rFonts w:ascii="Arial" w:eastAsia="Arial" w:hAnsi="Arial" w:cs="Arial"/>
          <w:b/>
          <w:bCs/>
          <w:smallCaps/>
          <w:sz w:val="22"/>
          <w:szCs w:val="22"/>
        </w:rPr>
        <w:t xml:space="preserve">4.1.2  </w:t>
      </w:r>
      <w:r>
        <w:rPr>
          <w:rFonts w:ascii="Arial" w:eastAsia="Arial" w:hAnsi="Arial" w:cs="Arial"/>
          <w:b/>
          <w:bCs/>
          <w:smallCaps/>
          <w:color w:val="000000"/>
          <w:sz w:val="22"/>
          <w:szCs w:val="22"/>
        </w:rPr>
        <w:t>Conclusion</w:t>
      </w:r>
      <w:proofErr w:type="gramEnd"/>
    </w:p>
    <w:p w14:paraId="7E037E37" w14:textId="77777777" w:rsidR="007F76E5" w:rsidRDefault="0037067E">
      <w:pPr>
        <w:pBdr>
          <w:top w:val="nil"/>
          <w:left w:val="nil"/>
          <w:bottom w:val="nil"/>
          <w:right w:val="nil"/>
          <w:between w:val="nil"/>
        </w:pBdr>
        <w:jc w:val="both"/>
      </w:pPr>
      <w:r>
        <w:rPr>
          <w:rFonts w:ascii="Arial" w:eastAsia="Arial" w:hAnsi="Arial" w:cs="Arial"/>
        </w:rPr>
        <w:t>This study examined the long-run and short-run relationship between natural disasters and economic grow</w:t>
      </w:r>
      <w:r>
        <w:rPr>
          <w:rFonts w:ascii="Arial" w:eastAsia="Arial" w:hAnsi="Arial" w:cs="Arial"/>
        </w:rPr>
        <w:t>th in Indonesia. The findings confirm the existence of a stable long-run relationship between natural disasters and economic growth. The results show that natural disasters have a statistically significant negative effect on economic growth in the long-run</w:t>
      </w:r>
      <w:r>
        <w:rPr>
          <w:rFonts w:ascii="Arial" w:eastAsia="Arial" w:hAnsi="Arial" w:cs="Arial"/>
        </w:rPr>
        <w:t>, indicating that repeated disaster exposure constrains Indonesia’s long-term economic performance. In contrast, the short-run effects of natural disasters on economic growth are not statistically significant. These findings suggest that while short-term a</w:t>
      </w:r>
      <w:r>
        <w:rPr>
          <w:rFonts w:ascii="Arial" w:eastAsia="Arial" w:hAnsi="Arial" w:cs="Arial"/>
        </w:rPr>
        <w:t>djustment mechanisms may buffer immediate economic impacts, natural disasters impose persistent long-term growth costs on the Indonesian economy.</w:t>
      </w:r>
    </w:p>
    <w:p w14:paraId="5E22F140" w14:textId="06C7DCB5" w:rsidR="007F76E5" w:rsidRDefault="007F76E5">
      <w:pPr>
        <w:keepNext/>
        <w:pBdr>
          <w:top w:val="nil"/>
          <w:left w:val="nil"/>
          <w:bottom w:val="nil"/>
          <w:right w:val="nil"/>
          <w:between w:val="nil"/>
        </w:pBdr>
        <w:jc w:val="both"/>
        <w:rPr>
          <w:rFonts w:ascii="Arial" w:eastAsia="Arial" w:hAnsi="Arial" w:cs="Arial"/>
          <w:b/>
          <w:bCs/>
          <w:smallCaps/>
          <w:sz w:val="22"/>
          <w:szCs w:val="22"/>
        </w:rPr>
      </w:pPr>
    </w:p>
    <w:p w14:paraId="3C6AD1D0" w14:textId="77777777" w:rsidR="0056078E" w:rsidRDefault="0056078E">
      <w:pPr>
        <w:keepNext/>
        <w:pBdr>
          <w:top w:val="nil"/>
          <w:left w:val="nil"/>
          <w:bottom w:val="nil"/>
          <w:right w:val="nil"/>
          <w:between w:val="nil"/>
        </w:pBdr>
        <w:jc w:val="both"/>
        <w:rPr>
          <w:rFonts w:ascii="Arial" w:eastAsia="Arial" w:hAnsi="Arial" w:cs="Arial"/>
          <w:b/>
          <w:bCs/>
          <w:smallCaps/>
          <w:sz w:val="22"/>
          <w:szCs w:val="22"/>
        </w:rPr>
      </w:pPr>
    </w:p>
    <w:p w14:paraId="7D8E073A" w14:textId="77777777" w:rsidR="007F76E5" w:rsidRDefault="0037067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 xml:space="preserve">5. </w:t>
      </w:r>
      <w:r>
        <w:rPr>
          <w:rFonts w:ascii="Arial" w:eastAsia="Arial" w:hAnsi="Arial" w:cs="Arial"/>
          <w:b/>
          <w:bCs/>
          <w:smallCaps/>
          <w:color w:val="000000"/>
          <w:sz w:val="22"/>
          <w:szCs w:val="22"/>
        </w:rPr>
        <w:t>Ref</w:t>
      </w:r>
      <w:r>
        <w:rPr>
          <w:rFonts w:ascii="Arial" w:eastAsia="Arial" w:hAnsi="Arial" w:cs="Arial"/>
          <w:b/>
          <w:bCs/>
          <w:smallCaps/>
          <w:color w:val="000000"/>
          <w:sz w:val="22"/>
          <w:szCs w:val="22"/>
        </w:rPr>
        <w:t>erences</w:t>
      </w:r>
    </w:p>
    <w:p w14:paraId="4CB83A40" w14:textId="77777777" w:rsidR="007F76E5" w:rsidRDefault="0037067E">
      <w:pPr>
        <w:ind w:left="720" w:hanging="720"/>
        <w:jc w:val="both"/>
        <w:rPr>
          <w:rFonts w:ascii="Arial" w:eastAsia="Arial" w:hAnsi="Arial" w:cs="Arial"/>
        </w:rPr>
      </w:pPr>
      <w:hyperlink r:id="rId55">
        <w:r>
          <w:rPr>
            <w:rFonts w:ascii="Arial" w:eastAsia="Arial" w:hAnsi="Arial" w:cs="Arial"/>
          </w:rPr>
          <w:t>Ashgaf, I. M., Utomo, D. A. B., &amp; Kusdiwanggo, S. (2024). The Linkage Between Economic Growth and Ecology of Urban Area Development in Indonesia: A Systematic Review. IOP Conference Series: Earth and Environmental Science, 1324(1), 012086. https://doi.org/</w:t>
        </w:r>
        <w:r>
          <w:rPr>
            <w:rFonts w:ascii="Arial" w:eastAsia="Arial" w:hAnsi="Arial" w:cs="Arial"/>
          </w:rPr>
          <w:t xml:space="preserve">10.1088/1755-1315/1324/1/012086 </w:t>
        </w:r>
      </w:hyperlink>
    </w:p>
    <w:p w14:paraId="529F7E98" w14:textId="77777777" w:rsidR="007F76E5" w:rsidRDefault="0037067E">
      <w:pPr>
        <w:ind w:left="720" w:hanging="720"/>
        <w:jc w:val="both"/>
        <w:rPr>
          <w:rFonts w:ascii="Arial" w:eastAsia="Arial" w:hAnsi="Arial" w:cs="Arial"/>
        </w:rPr>
      </w:pPr>
      <w:r>
        <w:rPr>
          <w:rFonts w:ascii="Arial" w:eastAsia="Arial" w:hAnsi="Arial" w:cs="Arial"/>
        </w:rPr>
        <w:t xml:space="preserve">Asian Development Bank. (2019). </w:t>
      </w:r>
      <w:r>
        <w:rPr>
          <w:rFonts w:ascii="Arial" w:eastAsia="Arial" w:hAnsi="Arial" w:cs="Arial"/>
          <w:i/>
          <w:iCs/>
        </w:rPr>
        <w:t>Asian Development Outlook 2019: Strengthening disaster resilience</w:t>
      </w:r>
      <w:r>
        <w:rPr>
          <w:rFonts w:ascii="Arial" w:eastAsia="Arial" w:hAnsi="Arial" w:cs="Arial"/>
        </w:rPr>
        <w:t>. Asian Development Bank.</w:t>
      </w:r>
    </w:p>
    <w:p w14:paraId="4BC862C9" w14:textId="77777777" w:rsidR="007F76E5" w:rsidRDefault="0037067E">
      <w:pPr>
        <w:ind w:left="720" w:hanging="720"/>
        <w:jc w:val="both"/>
        <w:rPr>
          <w:rFonts w:ascii="Arial" w:eastAsia="Arial" w:hAnsi="Arial" w:cs="Arial"/>
        </w:rPr>
      </w:pPr>
      <w:hyperlink r:id="rId56">
        <w:r>
          <w:rPr>
            <w:rFonts w:ascii="Arial" w:eastAsia="Arial" w:hAnsi="Arial" w:cs="Arial"/>
          </w:rPr>
          <w:t xml:space="preserve">Asyahid, E. A., &amp; Pekerti, I. S. (2022). Economic impact of natural disasters, spillovers, and role of human development: Case of Indonesia. Letters in Spatial and Resource Sciences, 15(3), 493–506. https://doi.org/10.1007/s12076-022-00307-7 </w:t>
        </w:r>
      </w:hyperlink>
    </w:p>
    <w:p w14:paraId="6182A37E" w14:textId="77777777" w:rsidR="007F76E5" w:rsidRDefault="0037067E">
      <w:pPr>
        <w:ind w:left="720" w:hanging="720"/>
        <w:jc w:val="both"/>
        <w:rPr>
          <w:rFonts w:ascii="Arial" w:eastAsia="Arial" w:hAnsi="Arial" w:cs="Arial"/>
        </w:rPr>
      </w:pPr>
      <w:hyperlink r:id="rId57">
        <w:r>
          <w:rPr>
            <w:rFonts w:ascii="Arial" w:eastAsia="Arial" w:hAnsi="Arial" w:cs="Arial"/>
          </w:rPr>
          <w:t>Botzen, W. J. W., Deschenes, O., &amp; Sanders, M. (2019). The Economic Impacts of Natural Disasters: A Review of Models and Empirical Studies. Review of Environmental Economics and Policy, 13(2), 167–188</w:t>
        </w:r>
        <w:r>
          <w:rPr>
            <w:rFonts w:ascii="Arial" w:eastAsia="Arial" w:hAnsi="Arial" w:cs="Arial"/>
          </w:rPr>
          <w:t xml:space="preserve">. https://doi.org/10.1093/reep/rez004 </w:t>
        </w:r>
      </w:hyperlink>
    </w:p>
    <w:p w14:paraId="6BC6F6E2" w14:textId="77777777" w:rsidR="007F76E5" w:rsidRDefault="0037067E">
      <w:pPr>
        <w:ind w:left="720" w:hanging="720"/>
        <w:jc w:val="both"/>
        <w:rPr>
          <w:rFonts w:ascii="Arial" w:eastAsia="Arial" w:hAnsi="Arial" w:cs="Arial"/>
        </w:rPr>
      </w:pPr>
      <w:hyperlink r:id="rId58">
        <w:r>
          <w:rPr>
            <w:rFonts w:ascii="Arial" w:eastAsia="Arial" w:hAnsi="Arial" w:cs="Arial"/>
          </w:rPr>
          <w:t>Doytch, N. (2019). Upgrading destruction?: How do climate-related and geophysical natural disasters impact sectoral FDI. International Journal of Cl</w:t>
        </w:r>
        <w:r>
          <w:rPr>
            <w:rFonts w:ascii="Arial" w:eastAsia="Arial" w:hAnsi="Arial" w:cs="Arial"/>
          </w:rPr>
          <w:t xml:space="preserve">imate Change Strategies and Management, 12(2), 182–200. https://doi.org/10.1108/IJCCSM-07-2019-0044 </w:t>
        </w:r>
      </w:hyperlink>
    </w:p>
    <w:p w14:paraId="4AFA1B56" w14:textId="77777777" w:rsidR="007F76E5" w:rsidRDefault="0037067E">
      <w:pPr>
        <w:ind w:left="720" w:hanging="720"/>
        <w:jc w:val="both"/>
        <w:rPr>
          <w:rFonts w:ascii="Arial" w:eastAsia="Arial" w:hAnsi="Arial" w:cs="Arial"/>
        </w:rPr>
      </w:pPr>
      <w:hyperlink r:id="rId59">
        <w:r>
          <w:rPr>
            <w:rFonts w:ascii="Arial" w:eastAsia="Arial" w:hAnsi="Arial" w:cs="Arial"/>
          </w:rPr>
          <w:t>Escaleras, M., &amp; Register, C. A. (2011). Natural Disasters and Foreign Direct Investme</w:t>
        </w:r>
        <w:r>
          <w:rPr>
            <w:rFonts w:ascii="Arial" w:eastAsia="Arial" w:hAnsi="Arial" w:cs="Arial"/>
          </w:rPr>
          <w:t xml:space="preserve">nt. Land Economics, 87(2), 346–363. https://doi.org/10.3368/le.87.2.346 </w:t>
        </w:r>
      </w:hyperlink>
    </w:p>
    <w:p w14:paraId="77F786FC" w14:textId="77777777" w:rsidR="007F76E5" w:rsidRDefault="0037067E">
      <w:pPr>
        <w:ind w:left="720" w:hanging="720"/>
        <w:jc w:val="both"/>
        <w:rPr>
          <w:rFonts w:ascii="Arial" w:eastAsia="Arial" w:hAnsi="Arial" w:cs="Arial"/>
        </w:rPr>
      </w:pPr>
      <w:hyperlink r:id="rId60">
        <w:r>
          <w:rPr>
            <w:rFonts w:ascii="Arial" w:eastAsia="Arial" w:hAnsi="Arial" w:cs="Arial"/>
          </w:rPr>
          <w:t xml:space="preserve">Group, W. B. (2024). Global Economic Prospects, June 2024. World Bank Publications. </w:t>
        </w:r>
      </w:hyperlink>
    </w:p>
    <w:p w14:paraId="6E025C18" w14:textId="77777777" w:rsidR="007F76E5" w:rsidRDefault="0037067E">
      <w:pPr>
        <w:ind w:left="720" w:hanging="720"/>
        <w:jc w:val="both"/>
        <w:rPr>
          <w:rFonts w:ascii="Arial" w:eastAsia="Arial" w:hAnsi="Arial" w:cs="Arial"/>
        </w:rPr>
      </w:pPr>
      <w:hyperlink r:id="rId61">
        <w:r>
          <w:rPr>
            <w:rFonts w:ascii="Arial" w:eastAsia="Arial" w:hAnsi="Arial" w:cs="Arial"/>
          </w:rPr>
          <w:t>Idroes, G. M., Hardi, I., Nasir, M., Gunawan, E., Maulidar, P., &amp; Maulana, A. R. R. (2023). Natural Disasters and Economic Growth in Indonesia. Ekonomikalia Journal of Economics, 1(1), 33–39. https://doi.org/10.60084</w:t>
        </w:r>
        <w:r>
          <w:rPr>
            <w:rFonts w:ascii="Arial" w:eastAsia="Arial" w:hAnsi="Arial" w:cs="Arial"/>
          </w:rPr>
          <w:t xml:space="preserve">/eje.v1i1.55 </w:t>
        </w:r>
      </w:hyperlink>
    </w:p>
    <w:p w14:paraId="6B93E9F2" w14:textId="77777777" w:rsidR="007F76E5" w:rsidRDefault="0037067E">
      <w:pPr>
        <w:ind w:left="720" w:hanging="720"/>
        <w:jc w:val="both"/>
        <w:rPr>
          <w:rFonts w:ascii="Arial" w:eastAsia="Arial" w:hAnsi="Arial" w:cs="Arial"/>
        </w:rPr>
      </w:pPr>
      <w:hyperlink r:id="rId62">
        <w:r>
          <w:rPr>
            <w:rFonts w:ascii="Arial" w:eastAsia="Arial" w:hAnsi="Arial" w:cs="Arial"/>
          </w:rPr>
          <w:t>Katoka, B. (2021). Do Natural Disasters Reduce Foreign Direct Investment in Sub-Saharan Africa? In Economic Effects of Natural Disasters (pp. 529–546). Elsevier. https://doi</w:t>
        </w:r>
        <w:r>
          <w:rPr>
            <w:rFonts w:ascii="Arial" w:eastAsia="Arial" w:hAnsi="Arial" w:cs="Arial"/>
          </w:rPr>
          <w:t xml:space="preserve">.org/10.1016/B978-0-12-817465-4.00031-5 </w:t>
        </w:r>
      </w:hyperlink>
    </w:p>
    <w:p w14:paraId="2482D20A" w14:textId="77777777" w:rsidR="007F76E5" w:rsidRDefault="0037067E">
      <w:pPr>
        <w:ind w:left="720" w:hanging="720"/>
        <w:jc w:val="both"/>
        <w:rPr>
          <w:rFonts w:ascii="Arial" w:eastAsia="Arial" w:hAnsi="Arial" w:cs="Arial"/>
        </w:rPr>
      </w:pPr>
      <w:hyperlink r:id="rId63">
        <w:r>
          <w:rPr>
            <w:rFonts w:ascii="Arial" w:eastAsia="Arial" w:hAnsi="Arial" w:cs="Arial"/>
          </w:rPr>
          <w:t xml:space="preserve">Khan, M. T. I., Anwar, S., Sarkodie, S. A., Yaseen, M. R., &amp; Nadeem, A. M. (2023). Do natural disasters affect economic growth? The role of human </w:t>
        </w:r>
        <w:r>
          <w:rPr>
            <w:rFonts w:ascii="Arial" w:eastAsia="Arial" w:hAnsi="Arial" w:cs="Arial"/>
          </w:rPr>
          <w:t xml:space="preserve">capital, foreign direct investment, and infrastructure dynamics. Heliyon, 9(1), e12911. https://doi.org/10.1016/j.heliyon.2023.e12911 </w:t>
        </w:r>
      </w:hyperlink>
    </w:p>
    <w:p w14:paraId="49C09D7A" w14:textId="77777777" w:rsidR="007F76E5" w:rsidRDefault="0037067E">
      <w:pPr>
        <w:ind w:left="720" w:hanging="720"/>
        <w:jc w:val="both"/>
        <w:rPr>
          <w:rFonts w:ascii="Arial" w:eastAsia="Arial" w:hAnsi="Arial" w:cs="Arial"/>
        </w:rPr>
      </w:pPr>
      <w:hyperlink r:id="rId64">
        <w:r>
          <w:rPr>
            <w:rFonts w:ascii="Arial" w:eastAsia="Arial" w:hAnsi="Arial" w:cs="Arial"/>
          </w:rPr>
          <w:t>Lima, R. C. D. A., &amp; Barbosa, A. V. B. (2019). Natur</w:t>
        </w:r>
        <w:r>
          <w:rPr>
            <w:rFonts w:ascii="Arial" w:eastAsia="Arial" w:hAnsi="Arial" w:cs="Arial"/>
          </w:rPr>
          <w:t xml:space="preserve">al disasters, economic growth and spatial spillovers: Evidence from a flash flood in Brazil. Papers in Regional Science, 98(2), 905–925. https://doi.org/10.1111/pirs.12380 </w:t>
        </w:r>
      </w:hyperlink>
    </w:p>
    <w:p w14:paraId="7D6634F9" w14:textId="77777777" w:rsidR="007F76E5" w:rsidRDefault="0037067E">
      <w:pPr>
        <w:ind w:left="720" w:hanging="720"/>
        <w:jc w:val="both"/>
        <w:rPr>
          <w:rFonts w:ascii="Arial" w:eastAsia="Arial" w:hAnsi="Arial" w:cs="Arial"/>
        </w:rPr>
      </w:pPr>
      <w:hyperlink r:id="rId65">
        <w:r>
          <w:rPr>
            <w:rFonts w:ascii="Arial" w:eastAsia="Arial" w:hAnsi="Arial" w:cs="Arial"/>
          </w:rPr>
          <w:t>Maira, H., Zul</w:t>
        </w:r>
        <w:r>
          <w:rPr>
            <w:rFonts w:ascii="Arial" w:eastAsia="Arial" w:hAnsi="Arial" w:cs="Arial"/>
          </w:rPr>
          <w:t xml:space="preserve">ham, T., Ernawati, E., &amp; Silvia, V. (2024). Examining the Relationship Between Disaster Mitigation Spending, Unemployment, and Poverty: The Mediating Role of Economic Growth in Aceh Province, Indonesia. International Journal of Advances in Social Sciences </w:t>
        </w:r>
        <w:r>
          <w:rPr>
            <w:rFonts w:ascii="Arial" w:eastAsia="Arial" w:hAnsi="Arial" w:cs="Arial"/>
          </w:rPr>
          <w:t xml:space="preserve">and Humanities, 3(3), 169–176. https://doi.org/10.56225/ijassh.v3i3.334 </w:t>
        </w:r>
      </w:hyperlink>
    </w:p>
    <w:p w14:paraId="550B24A0" w14:textId="77777777" w:rsidR="007F76E5" w:rsidRDefault="0037067E">
      <w:pPr>
        <w:ind w:left="720" w:hanging="720"/>
        <w:jc w:val="both"/>
        <w:rPr>
          <w:rFonts w:ascii="Arial" w:eastAsia="Arial" w:hAnsi="Arial" w:cs="Arial"/>
        </w:rPr>
      </w:pPr>
      <w:hyperlink r:id="rId66">
        <w:r>
          <w:rPr>
            <w:rFonts w:ascii="Arial" w:eastAsia="Arial" w:hAnsi="Arial" w:cs="Arial"/>
          </w:rPr>
          <w:t>Mardalena, S., Sofyan, H., Kruba, R., &amp; Rahayu, L. (2024). Spatial pattern analysis of disaster and its relation t</w:t>
        </w:r>
        <w:r>
          <w:rPr>
            <w:rFonts w:ascii="Arial" w:eastAsia="Arial" w:hAnsi="Arial" w:cs="Arial"/>
          </w:rPr>
          <w:t xml:space="preserve">o poverty in Indonesia. AIP Conference Proceedings, 3123(1), 020020. https://doi.org/10.1063/5.0225266 </w:t>
        </w:r>
      </w:hyperlink>
    </w:p>
    <w:p w14:paraId="2788E4D2" w14:textId="77777777" w:rsidR="007F76E5" w:rsidRDefault="0037067E">
      <w:pPr>
        <w:ind w:left="720" w:hanging="720"/>
        <w:jc w:val="both"/>
        <w:rPr>
          <w:rFonts w:ascii="Arial" w:eastAsia="Arial" w:hAnsi="Arial" w:cs="Arial"/>
        </w:rPr>
      </w:pPr>
      <w:hyperlink r:id="rId67">
        <w:r>
          <w:rPr>
            <w:rFonts w:ascii="Arial" w:eastAsia="Arial" w:hAnsi="Arial" w:cs="Arial"/>
          </w:rPr>
          <w:t>Neise, T., Sohns, F., Breul, M., &amp; Revilla Diez, J. (2022). The effect of natural d</w:t>
        </w:r>
        <w:r>
          <w:rPr>
            <w:rFonts w:ascii="Arial" w:eastAsia="Arial" w:hAnsi="Arial" w:cs="Arial"/>
          </w:rPr>
          <w:t xml:space="preserve">isasters on FDI attraction: A sector-based analysis over time and space. Natural Hazards, 110(2), 999–1023. https://doi.org/10.1007/s11069-021-04976-3 </w:t>
        </w:r>
      </w:hyperlink>
    </w:p>
    <w:p w14:paraId="49BF05D5" w14:textId="77777777" w:rsidR="007F76E5" w:rsidRDefault="0037067E">
      <w:pPr>
        <w:ind w:left="720" w:hanging="720"/>
        <w:jc w:val="both"/>
        <w:rPr>
          <w:rFonts w:ascii="Arial" w:eastAsia="Arial" w:hAnsi="Arial" w:cs="Arial"/>
        </w:rPr>
      </w:pPr>
      <w:hyperlink r:id="rId68">
        <w:r>
          <w:rPr>
            <w:rFonts w:ascii="Arial" w:eastAsia="Arial" w:hAnsi="Arial" w:cs="Arial"/>
          </w:rPr>
          <w:t>Noda, K., Yoshida, K., Shirakawa, H</w:t>
        </w:r>
        <w:r>
          <w:rPr>
            <w:rFonts w:ascii="Arial" w:eastAsia="Arial" w:hAnsi="Arial" w:cs="Arial"/>
          </w:rPr>
          <w:t>., Surahman, U., &amp; Oki, K. (2017). Effect of Land Use Change Driven by Economic Growth on Sedimentation in River Reach in Southeast Asia: ―A Case Study in Upper Citarum River Basin―. Journal of Agricultural Meteorology, 73(1), 22–30. https://doi.org/10.248</w:t>
        </w:r>
        <w:r>
          <w:rPr>
            <w:rFonts w:ascii="Arial" w:eastAsia="Arial" w:hAnsi="Arial" w:cs="Arial"/>
          </w:rPr>
          <w:t xml:space="preserve">0/agrmet.D-15-00021 </w:t>
        </w:r>
      </w:hyperlink>
    </w:p>
    <w:p w14:paraId="404FA966" w14:textId="77777777" w:rsidR="007F76E5" w:rsidRDefault="0037067E">
      <w:pPr>
        <w:ind w:left="720" w:hanging="720"/>
        <w:jc w:val="both"/>
        <w:rPr>
          <w:rFonts w:ascii="Arial" w:eastAsia="Arial" w:hAnsi="Arial" w:cs="Arial"/>
        </w:rPr>
      </w:pPr>
      <w:hyperlink r:id="rId69">
        <w:r>
          <w:rPr>
            <w:rFonts w:ascii="Arial" w:eastAsia="Arial" w:hAnsi="Arial" w:cs="Arial"/>
          </w:rPr>
          <w:t>Pontoh, R. S., Yang, V. V., Laura, G. Y., Riantika, R. A., Arisanti, R., Winarni, S., &amp; Gumelar, F. (2024). Assessing Sustainable Development in Community Welfare and</w:t>
        </w:r>
        <w:r>
          <w:rPr>
            <w:rFonts w:ascii="Arial" w:eastAsia="Arial" w:hAnsi="Arial" w:cs="Arial"/>
          </w:rPr>
          <w:t xml:space="preserve"> Economic Resilience to Extreme Weather in Indonesia. Sustainability, 16(15), 6693. https://doi.org/10.3390/su16156693 </w:t>
        </w:r>
      </w:hyperlink>
    </w:p>
    <w:p w14:paraId="4B2292E8" w14:textId="77777777" w:rsidR="007F76E5" w:rsidRDefault="0037067E">
      <w:pPr>
        <w:ind w:left="720" w:hanging="720"/>
        <w:jc w:val="both"/>
        <w:rPr>
          <w:rFonts w:ascii="Arial" w:eastAsia="Arial" w:hAnsi="Arial" w:cs="Arial"/>
        </w:rPr>
      </w:pPr>
      <w:hyperlink r:id="rId70">
        <w:r>
          <w:rPr>
            <w:rFonts w:ascii="Arial" w:eastAsia="Arial" w:hAnsi="Arial" w:cs="Arial"/>
          </w:rPr>
          <w:t xml:space="preserve">Prasojo, A. P. S., Surtiari, G. A. K., &amp; Prasetyoputra, P. (2021). </w:t>
        </w:r>
        <w:r>
          <w:rPr>
            <w:rFonts w:ascii="Arial" w:eastAsia="Arial" w:hAnsi="Arial" w:cs="Arial"/>
          </w:rPr>
          <w:t xml:space="preserve">The impact of natural disasters in Indonesia: How does welfare accentuate and attenuate the loss of people? Journal of Physics: Conference Series, 1869(1), 012148. https://doi.org/10.1088/1742-6596/1869/1/012148 </w:t>
        </w:r>
      </w:hyperlink>
    </w:p>
    <w:p w14:paraId="086ABADB" w14:textId="77777777" w:rsidR="007F76E5" w:rsidRDefault="0037067E">
      <w:pPr>
        <w:ind w:left="720" w:hanging="720"/>
        <w:jc w:val="both"/>
        <w:rPr>
          <w:rFonts w:ascii="Arial" w:eastAsia="Arial" w:hAnsi="Arial" w:cs="Arial"/>
        </w:rPr>
      </w:pPr>
      <w:hyperlink r:id="rId71">
        <w:r>
          <w:rPr>
            <w:rFonts w:ascii="Arial" w:eastAsia="Arial" w:hAnsi="Arial" w:cs="Arial"/>
          </w:rPr>
          <w:t>Purwandari, T., Hidayat, Y., Sukono, Kalfin, Ibrahim, R. A., Subiyanto, Purwandari, T., Hidayat, Y., Sukono, Kalfin, Ibrahim, R. A., &amp; Subiyanto. (2024). Development of the Black–Scholes Model for Determining Insurance Premiums to</w:t>
        </w:r>
        <w:r>
          <w:rPr>
            <w:rFonts w:ascii="Arial" w:eastAsia="Arial" w:hAnsi="Arial" w:cs="Arial"/>
          </w:rPr>
          <w:t xml:space="preserve"> Mitigate the Risk of Disaster Losses Using the Principles of Mutual Cooperation and Regional Economic Growth. Risks, 12(7). https://doi.org/10.3390/risks12070110 </w:t>
        </w:r>
      </w:hyperlink>
    </w:p>
    <w:p w14:paraId="018F1E9B" w14:textId="77777777" w:rsidR="007F76E5" w:rsidRDefault="0037067E">
      <w:pPr>
        <w:ind w:left="720" w:hanging="720"/>
        <w:jc w:val="both"/>
        <w:rPr>
          <w:rFonts w:ascii="Arial" w:eastAsia="Arial" w:hAnsi="Arial" w:cs="Arial"/>
        </w:rPr>
      </w:pPr>
      <w:hyperlink r:id="rId72">
        <w:r>
          <w:rPr>
            <w:rFonts w:ascii="Arial" w:eastAsia="Arial" w:hAnsi="Arial" w:cs="Arial"/>
          </w:rPr>
          <w:t xml:space="preserve">Rasyid, E., Artana, K. B., &amp; Sambodho, K. (2022). Development of the Hub and Spoke network model in natural disaster management. IOP Conference Series: Earth and Environmental Science, 1081(1), 012032. https://doi.org/10.1088/1755-1315/1081/1/012032 </w:t>
        </w:r>
      </w:hyperlink>
    </w:p>
    <w:p w14:paraId="6A95D8E1" w14:textId="77777777" w:rsidR="007F76E5" w:rsidRDefault="0037067E">
      <w:pPr>
        <w:ind w:left="720" w:hanging="720"/>
        <w:jc w:val="both"/>
        <w:rPr>
          <w:rFonts w:ascii="Arial" w:eastAsia="Arial" w:hAnsi="Arial" w:cs="Arial"/>
        </w:rPr>
      </w:pPr>
      <w:hyperlink r:id="rId73">
        <w:r>
          <w:rPr>
            <w:rFonts w:ascii="Arial" w:eastAsia="Arial" w:hAnsi="Arial" w:cs="Arial"/>
          </w:rPr>
          <w:t>Shin, M. J., &amp; Park, S. (2024). Natural disasters, foreign direct investment, and women’s rights in developing countries. Social Science Research, 117, 102937. https://doi.org/10.1016/j.ssrese</w:t>
        </w:r>
        <w:r>
          <w:rPr>
            <w:rFonts w:ascii="Arial" w:eastAsia="Arial" w:hAnsi="Arial" w:cs="Arial"/>
          </w:rPr>
          <w:t xml:space="preserve">arch.2023.102937 </w:t>
        </w:r>
      </w:hyperlink>
    </w:p>
    <w:p w14:paraId="11AE0EE7" w14:textId="77777777" w:rsidR="007F76E5" w:rsidRDefault="0037067E">
      <w:pPr>
        <w:ind w:left="720" w:hanging="720"/>
        <w:jc w:val="both"/>
        <w:rPr>
          <w:rFonts w:ascii="Arial" w:eastAsia="Arial" w:hAnsi="Arial" w:cs="Arial"/>
        </w:rPr>
      </w:pPr>
      <w:r>
        <w:fldChar w:fldCharType="begin"/>
      </w:r>
      <w:r>
        <w:instrText xml:space="preserve"> HYPERLINK "https://www.zotero.org/google-docs/?broken=88nFg7" </w:instrText>
      </w:r>
      <w:r>
        <w:fldChar w:fldCharType="separate"/>
      </w:r>
      <w:r>
        <w:rPr>
          <w:rFonts w:ascii="Arial" w:eastAsia="Arial" w:hAnsi="Arial" w:cs="Arial"/>
        </w:rPr>
        <w:t>Smolka, A. (2006). Natural disasters and the challenge of extreme events: Risk management from an insurance perspective. Philosophical Transactions of the Royal Society A: Mat</w:t>
      </w:r>
      <w:r>
        <w:rPr>
          <w:rFonts w:ascii="Arial" w:eastAsia="Arial" w:hAnsi="Arial" w:cs="Arial"/>
        </w:rPr>
        <w:t xml:space="preserve">hematical, Physical and Engineering Sciences, 364(1845), 2147–2165. https://doi.org/10.1098/rsta.2006.1818 </w:t>
      </w:r>
    </w:p>
    <w:p w14:paraId="5D7E66B8" w14:textId="77777777" w:rsidR="007F76E5" w:rsidRDefault="0037067E">
      <w:pPr>
        <w:ind w:left="720" w:hanging="720"/>
        <w:jc w:val="both"/>
        <w:rPr>
          <w:rFonts w:ascii="Arial" w:eastAsia="Arial" w:hAnsi="Arial" w:cs="Arial"/>
        </w:rPr>
      </w:pPr>
      <w:r>
        <w:fldChar w:fldCharType="end"/>
      </w:r>
      <w:hyperlink r:id="rId74">
        <w:r>
          <w:rPr>
            <w:rFonts w:ascii="Arial" w:eastAsia="Arial" w:hAnsi="Arial" w:cs="Arial"/>
          </w:rPr>
          <w:t>Sitepu, R. K. K., Mahesa, R., Maulana, A., &amp; Asaad, M. (2023). How Central S</w:t>
        </w:r>
        <w:r>
          <w:rPr>
            <w:rFonts w:ascii="Arial" w:eastAsia="Arial" w:hAnsi="Arial" w:cs="Arial"/>
          </w:rPr>
          <w:t xml:space="preserve">ulawesi Province’s Natural Disasters Affect Economic Growth? Jurnal Ekonomi Pembangunan, 21(2), 200–210. https://doi.org/10.29259/jep.v21i2.23005 </w:t>
        </w:r>
      </w:hyperlink>
    </w:p>
    <w:p w14:paraId="55378087" w14:textId="77777777" w:rsidR="007F76E5" w:rsidRDefault="0037067E">
      <w:pPr>
        <w:ind w:left="720" w:hanging="720"/>
        <w:jc w:val="both"/>
        <w:rPr>
          <w:rFonts w:ascii="Arial" w:eastAsia="Arial" w:hAnsi="Arial" w:cs="Arial"/>
        </w:rPr>
      </w:pPr>
      <w:hyperlink r:id="rId75">
        <w:r>
          <w:rPr>
            <w:rFonts w:ascii="Arial" w:eastAsia="Arial" w:hAnsi="Arial" w:cs="Arial"/>
          </w:rPr>
          <w:t>Tasri, E. S., Karimi, K., &amp; Muslim, I. (</w:t>
        </w:r>
        <w:r>
          <w:rPr>
            <w:rFonts w:ascii="Arial" w:eastAsia="Arial" w:hAnsi="Arial" w:cs="Arial"/>
          </w:rPr>
          <w:t xml:space="preserve">2022). The effect of economic variables on natural disasters and the impact of disasters on economic variables. Heliyon, 8(1), e08678. https://doi.org/10.1016/j.heliyon.2021.e08678 Ado2019. </w:t>
        </w:r>
      </w:hyperlink>
    </w:p>
    <w:p w14:paraId="4D4A9328" w14:textId="77777777" w:rsidR="007F76E5" w:rsidRDefault="0037067E">
      <w:pPr>
        <w:ind w:left="720" w:hanging="720"/>
        <w:jc w:val="both"/>
        <w:rPr>
          <w:rFonts w:ascii="Arial" w:eastAsia="Arial" w:hAnsi="Arial" w:cs="Arial"/>
        </w:rPr>
      </w:pPr>
      <w:r>
        <w:rPr>
          <w:rFonts w:ascii="Arial" w:eastAsia="Arial" w:hAnsi="Arial" w:cs="Arial"/>
        </w:rPr>
        <w:t xml:space="preserve">World Bank. (2018). </w:t>
      </w:r>
      <w:r>
        <w:rPr>
          <w:rFonts w:ascii="Arial" w:eastAsia="Arial" w:hAnsi="Arial" w:cs="Arial"/>
          <w:i/>
          <w:iCs/>
        </w:rPr>
        <w:t>Strengthening the disaster resilience of Indo</w:t>
      </w:r>
      <w:r>
        <w:rPr>
          <w:rFonts w:ascii="Arial" w:eastAsia="Arial" w:hAnsi="Arial" w:cs="Arial"/>
          <w:i/>
          <w:iCs/>
        </w:rPr>
        <w:t>nesian cities: A policy note</w:t>
      </w:r>
      <w:r>
        <w:rPr>
          <w:rFonts w:ascii="Arial" w:eastAsia="Arial" w:hAnsi="Arial" w:cs="Arial"/>
        </w:rPr>
        <w:t>. Washington, DC: World Bank.</w:t>
      </w:r>
    </w:p>
    <w:p w14:paraId="40FC56C0" w14:textId="77777777" w:rsidR="007F76E5" w:rsidRDefault="007F76E5">
      <w:pPr>
        <w:pBdr>
          <w:top w:val="nil"/>
          <w:left w:val="nil"/>
          <w:bottom w:val="nil"/>
          <w:right w:val="nil"/>
          <w:between w:val="nil"/>
        </w:pBdr>
        <w:jc w:val="both"/>
        <w:rPr>
          <w:rFonts w:ascii="Arial" w:eastAsia="Arial" w:hAnsi="Arial" w:cs="Arial"/>
          <w:color w:val="000000"/>
        </w:rPr>
        <w:sectPr w:rsidR="007F76E5" w:rsidSect="0056078E">
          <w:headerReference w:type="even" r:id="rId76"/>
          <w:headerReference w:type="default" r:id="rId77"/>
          <w:footerReference w:type="default" r:id="rId78"/>
          <w:headerReference w:type="first" r:id="rId79"/>
          <w:type w:val="continuous"/>
          <w:pgSz w:w="12240" w:h="15840"/>
          <w:pgMar w:top="1440" w:right="2016" w:bottom="2016" w:left="2016" w:header="720" w:footer="1123" w:gutter="0"/>
          <w:cols w:space="720"/>
          <w:docGrid w:linePitch="272"/>
        </w:sectPr>
      </w:pPr>
    </w:p>
    <w:p w14:paraId="2B98C8D6" w14:textId="77777777" w:rsidR="007F76E5" w:rsidRDefault="007F76E5">
      <w:pPr>
        <w:keepNext/>
        <w:pBdr>
          <w:top w:val="nil"/>
          <w:left w:val="nil"/>
          <w:bottom w:val="nil"/>
          <w:right w:val="nil"/>
          <w:between w:val="nil"/>
        </w:pBdr>
        <w:jc w:val="both"/>
        <w:rPr>
          <w:rFonts w:ascii="Arial" w:eastAsia="Arial" w:hAnsi="Arial" w:cs="Arial"/>
          <w:smallCaps/>
          <w:color w:val="000000"/>
          <w:sz w:val="22"/>
          <w:szCs w:val="22"/>
        </w:rPr>
      </w:pPr>
    </w:p>
    <w:sectPr w:rsidR="007F76E5" w:rsidSect="0056078E">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B2EB37" w14:textId="77777777" w:rsidR="0037067E" w:rsidRDefault="0037067E">
      <w:r>
        <w:separator/>
      </w:r>
    </w:p>
  </w:endnote>
  <w:endnote w:type="continuationSeparator" w:id="0">
    <w:p w14:paraId="7003D1FD" w14:textId="77777777" w:rsidR="0037067E" w:rsidRDefault="00370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6CF241E4-637C-4240-AA76-F8531219C3FB}"/>
    <w:embedBold r:id="rId2" w:fontKey="{E862B247-3455-4765-8D8D-B63104CB477E}"/>
    <w:embedItalic r:id="rId3" w:fontKey="{964A4AED-097D-4761-9D28-8651B2FE9EA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5865300-E101-4571-AA62-A483F783BE5C}"/>
  </w:font>
  <w:font w:name="Cambria">
    <w:panose1 w:val="02040503050406030204"/>
    <w:charset w:val="00"/>
    <w:family w:val="roman"/>
    <w:pitch w:val="variable"/>
    <w:sig w:usb0="E00006FF" w:usb1="420024FF" w:usb2="02000000" w:usb3="00000000" w:csb0="0000019F" w:csb1="00000000"/>
    <w:embedRegular r:id="rId5" w:fontKey="{EF6E7088-FB23-4741-9DD3-E94762D39BDC}"/>
  </w:font>
  <w:font w:name="Cambria Math">
    <w:panose1 w:val="02040503050406030204"/>
    <w:charset w:val="00"/>
    <w:family w:val="roman"/>
    <w:pitch w:val="variable"/>
    <w:sig w:usb0="E00006FF" w:usb1="420024FF" w:usb2="02000000" w:usb3="00000000" w:csb0="0000019F" w:csb1="00000000"/>
    <w:embedItalic r:id="rId6" w:fontKey="{195E7D07-EDBB-41CF-AE38-A5DC35C6EFDA}"/>
  </w:font>
  <w:font w:name="Calibri">
    <w:panose1 w:val="020F0502020204030204"/>
    <w:charset w:val="00"/>
    <w:family w:val="swiss"/>
    <w:pitch w:val="variable"/>
    <w:sig w:usb0="E4002EFF" w:usb1="C000247B" w:usb2="00000009" w:usb3="00000000" w:csb0="000001FF" w:csb1="00000000"/>
    <w:embedRegular r:id="rId7" w:fontKey="{973C8A59-107A-4941-B776-E3BFC29B9B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FEFC3" w14:textId="77777777" w:rsidR="007F76E5" w:rsidRDefault="007F76E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ED615" w14:textId="77777777" w:rsidR="0056078E" w:rsidRDefault="005607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812A1" w14:textId="4ECC6606" w:rsidR="007F76E5" w:rsidRPr="00BD3419" w:rsidRDefault="007F76E5" w:rsidP="00BD3419">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1AC13" w14:textId="77777777" w:rsidR="007F76E5" w:rsidRDefault="007F76E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C6434C" w14:textId="77777777" w:rsidR="0037067E" w:rsidRDefault="0037067E">
      <w:r>
        <w:separator/>
      </w:r>
    </w:p>
  </w:footnote>
  <w:footnote w:type="continuationSeparator" w:id="0">
    <w:p w14:paraId="0D86AF33" w14:textId="77777777" w:rsidR="0037067E" w:rsidRDefault="003706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6A34D" w14:textId="7F9AA923" w:rsidR="007F76E5" w:rsidRDefault="0056078E">
    <w:pPr>
      <w:pBdr>
        <w:top w:val="nil"/>
        <w:left w:val="nil"/>
        <w:bottom w:val="nil"/>
        <w:right w:val="nil"/>
        <w:between w:val="nil"/>
      </w:pBdr>
      <w:tabs>
        <w:tab w:val="center" w:pos="4320"/>
        <w:tab w:val="right" w:pos="8640"/>
      </w:tabs>
      <w:rPr>
        <w:color w:val="000000"/>
      </w:rPr>
    </w:pPr>
    <w:r>
      <w:rPr>
        <w:noProof/>
      </w:rPr>
      <w:pict w14:anchorId="2B4B37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4161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0B944" w14:textId="43DAE40D" w:rsidR="007F76E5" w:rsidRDefault="0056078E">
    <w:pPr>
      <w:pBdr>
        <w:top w:val="nil"/>
        <w:left w:val="nil"/>
        <w:bottom w:val="nil"/>
        <w:right w:val="nil"/>
        <w:between w:val="nil"/>
      </w:pBdr>
      <w:tabs>
        <w:tab w:val="center" w:pos="4320"/>
        <w:tab w:val="right" w:pos="8640"/>
      </w:tabs>
      <w:rPr>
        <w:color w:val="000000"/>
      </w:rPr>
    </w:pPr>
    <w:r>
      <w:rPr>
        <w:noProof/>
      </w:rPr>
      <w:pict w14:anchorId="2C408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4161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0171F" w14:textId="721D3776" w:rsidR="007F76E5" w:rsidRDefault="0056078E">
    <w:pPr>
      <w:ind w:left="2160"/>
      <w:jc w:val="center"/>
      <w:rPr>
        <w:rFonts w:ascii="Times New Roman" w:eastAsia="Times New Roman" w:hAnsi="Times New Roman" w:cs="Times New Roman"/>
        <w:i/>
        <w:iCs/>
        <w:sz w:val="18"/>
        <w:szCs w:val="18"/>
      </w:rPr>
    </w:pPr>
    <w:r>
      <w:rPr>
        <w:noProof/>
      </w:rPr>
      <w:pict w14:anchorId="1A20A9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4160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6803F419" w14:textId="77777777" w:rsidR="007F76E5" w:rsidRDefault="0037067E">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AB85C3D" w14:textId="77777777" w:rsidR="007F76E5" w:rsidRDefault="0037067E">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0DB7855A" w14:textId="77777777" w:rsidR="007F76E5" w:rsidRDefault="0037067E">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54838478" w14:textId="77777777" w:rsidR="007F76E5" w:rsidRDefault="0037067E">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547DC0F7" w14:textId="77777777" w:rsidR="007F76E5" w:rsidRDefault="0037067E">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7760A79B" w14:textId="77777777" w:rsidR="007F76E5" w:rsidRDefault="0037067E">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057C8" w14:textId="2131D26E" w:rsidR="0056078E" w:rsidRDefault="0056078E">
    <w:pPr>
      <w:pStyle w:val="Header"/>
    </w:pPr>
    <w:r>
      <w:rPr>
        <w:noProof/>
      </w:rPr>
      <w:pict w14:anchorId="385EA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4161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00164" w14:textId="4A7D60A1" w:rsidR="0056078E" w:rsidRDefault="0056078E">
    <w:pPr>
      <w:pStyle w:val="Header"/>
    </w:pPr>
    <w:r>
      <w:rPr>
        <w:noProof/>
      </w:rPr>
      <w:pict w14:anchorId="424E22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4161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082E2" w14:textId="4BCC6666" w:rsidR="0056078E" w:rsidRDefault="0056078E">
    <w:pPr>
      <w:pStyle w:val="Header"/>
    </w:pPr>
    <w:r>
      <w:rPr>
        <w:noProof/>
      </w:rPr>
      <w:pict w14:anchorId="2AF9C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4161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6E5"/>
    <w:rsid w:val="00011771"/>
    <w:rsid w:val="000364A5"/>
    <w:rsid w:val="000E0849"/>
    <w:rsid w:val="0037067E"/>
    <w:rsid w:val="004F45A1"/>
    <w:rsid w:val="0056078E"/>
    <w:rsid w:val="007F76E5"/>
    <w:rsid w:val="00BD34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061005F"/>
  <w15:docId w15:val="{8901EF54-3A4A-4E62-8F14-566D597C5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character" w:styleId="LineNumber">
    <w:name w:val="line number"/>
    <w:basedOn w:val="DefaultParagraphFont"/>
    <w:uiPriority w:val="99"/>
    <w:semiHidden/>
    <w:unhideWhenUsed/>
    <w:rsid w:val="000364A5"/>
  </w:style>
  <w:style w:type="character" w:styleId="Hyperlink">
    <w:name w:val="Hyperlink"/>
    <w:basedOn w:val="DefaultParagraphFont"/>
    <w:uiPriority w:val="99"/>
    <w:unhideWhenUsed/>
    <w:rsid w:val="000364A5"/>
    <w:rPr>
      <w:color w:val="0000FF" w:themeColor="hyperlink"/>
      <w:u w:val="single"/>
    </w:rPr>
  </w:style>
  <w:style w:type="character" w:styleId="UnresolvedMention">
    <w:name w:val="Unresolved Mention"/>
    <w:basedOn w:val="DefaultParagraphFont"/>
    <w:uiPriority w:val="99"/>
    <w:semiHidden/>
    <w:unhideWhenUsed/>
    <w:rsid w:val="000364A5"/>
    <w:rPr>
      <w:color w:val="605E5C"/>
      <w:shd w:val="clear" w:color="auto" w:fill="E1DFDD"/>
    </w:rPr>
  </w:style>
  <w:style w:type="paragraph" w:styleId="Footer">
    <w:name w:val="footer"/>
    <w:basedOn w:val="Normal"/>
    <w:link w:val="FooterChar"/>
    <w:uiPriority w:val="99"/>
    <w:unhideWhenUsed/>
    <w:rsid w:val="004F45A1"/>
    <w:pPr>
      <w:tabs>
        <w:tab w:val="center" w:pos="4513"/>
        <w:tab w:val="right" w:pos="9026"/>
      </w:tabs>
    </w:pPr>
  </w:style>
  <w:style w:type="character" w:customStyle="1" w:styleId="FooterChar">
    <w:name w:val="Footer Char"/>
    <w:basedOn w:val="DefaultParagraphFont"/>
    <w:link w:val="Footer"/>
    <w:uiPriority w:val="99"/>
    <w:rsid w:val="004F45A1"/>
  </w:style>
  <w:style w:type="paragraph" w:styleId="Header">
    <w:name w:val="header"/>
    <w:basedOn w:val="Normal"/>
    <w:link w:val="HeaderChar"/>
    <w:uiPriority w:val="99"/>
    <w:unhideWhenUsed/>
    <w:rsid w:val="0056078E"/>
    <w:pPr>
      <w:tabs>
        <w:tab w:val="center" w:pos="4680"/>
        <w:tab w:val="right" w:pos="9360"/>
      </w:tabs>
    </w:pPr>
  </w:style>
  <w:style w:type="character" w:customStyle="1" w:styleId="HeaderChar">
    <w:name w:val="Header Char"/>
    <w:basedOn w:val="DefaultParagraphFont"/>
    <w:link w:val="Header"/>
    <w:uiPriority w:val="99"/>
    <w:rsid w:val="00560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zotero.org/google-docs/?mhqUBd" TargetMode="External"/><Relationship Id="rId21" Type="http://schemas.openxmlformats.org/officeDocument/2006/relationships/hyperlink" Target="https://www.zotero.org/google-docs/?broken=QCh6Gs" TargetMode="External"/><Relationship Id="rId42" Type="http://schemas.openxmlformats.org/officeDocument/2006/relationships/hyperlink" Target="https://www.zotero.org/google-docs/?broken=LRqUqB" TargetMode="External"/><Relationship Id="rId47" Type="http://schemas.openxmlformats.org/officeDocument/2006/relationships/hyperlink" Target="https://www.zotero.org/google-docs/?broken=0IZihk" TargetMode="External"/><Relationship Id="rId63" Type="http://schemas.openxmlformats.org/officeDocument/2006/relationships/hyperlink" Target="https://www.zotero.org/google-docs/?broken=88nFg7" TargetMode="External"/><Relationship Id="rId68" Type="http://schemas.openxmlformats.org/officeDocument/2006/relationships/hyperlink" Target="https://www.zotero.org/google-docs/?broken=TQdau7" TargetMode="External"/><Relationship Id="rId16" Type="http://schemas.openxmlformats.org/officeDocument/2006/relationships/image" Target="media/image1.png"/><Relationship Id="rId11" Type="http://schemas.openxmlformats.org/officeDocument/2006/relationships/footer" Target="footer3.xml"/><Relationship Id="rId24" Type="http://schemas.openxmlformats.org/officeDocument/2006/relationships/hyperlink" Target="https://www.zotero.org/google-docs/?broken=TCATtn" TargetMode="External"/><Relationship Id="rId32" Type="http://schemas.openxmlformats.org/officeDocument/2006/relationships/hyperlink" Target="https://www.zotero.org/google-docs/?broken=Z6fsSb" TargetMode="External"/><Relationship Id="rId37" Type="http://schemas.openxmlformats.org/officeDocument/2006/relationships/hyperlink" Target="https://www.zotero.org/google-docs/?broken=LYuYpY" TargetMode="External"/><Relationship Id="rId40" Type="http://schemas.openxmlformats.org/officeDocument/2006/relationships/hyperlink" Target="https://www.zotero.org/google-docs/?broken=q0EtJh" TargetMode="External"/><Relationship Id="rId45" Type="http://schemas.openxmlformats.org/officeDocument/2006/relationships/hyperlink" Target="https://www.zotero.org/google-docs/?broken=PRv1Bj" TargetMode="External"/><Relationship Id="rId53" Type="http://schemas.openxmlformats.org/officeDocument/2006/relationships/hyperlink" Target="https://www.zotero.org/google-docs/?ZCwP15" TargetMode="External"/><Relationship Id="rId58" Type="http://schemas.openxmlformats.org/officeDocument/2006/relationships/hyperlink" Target="https://www.zotero.org/google-docs/?broken=qEn0ef" TargetMode="External"/><Relationship Id="rId66" Type="http://schemas.openxmlformats.org/officeDocument/2006/relationships/hyperlink" Target="https://www.zotero.org/google-docs/?broken=OxxYrG" TargetMode="External"/><Relationship Id="rId74" Type="http://schemas.openxmlformats.org/officeDocument/2006/relationships/hyperlink" Target="https://www.zotero.org/google-docs/?broken=n503bi" TargetMode="External"/><Relationship Id="rId79" Type="http://schemas.openxmlformats.org/officeDocument/2006/relationships/header" Target="header6.xml"/><Relationship Id="rId5" Type="http://schemas.openxmlformats.org/officeDocument/2006/relationships/endnotes" Target="endnotes.xml"/><Relationship Id="rId61" Type="http://schemas.openxmlformats.org/officeDocument/2006/relationships/hyperlink" Target="https://www.zotero.org/google-docs/?broken=F2ITMT" TargetMode="External"/><Relationship Id="rId19" Type="http://schemas.openxmlformats.org/officeDocument/2006/relationships/hyperlink" Target="https://www.zotero.org/google-docs/?broken=ZfzJhg" TargetMode="External"/><Relationship Id="rId22" Type="http://schemas.openxmlformats.org/officeDocument/2006/relationships/hyperlink" Target="https://www.zotero.org/google-docs/?broken=W0wFNC" TargetMode="External"/><Relationship Id="rId27" Type="http://schemas.openxmlformats.org/officeDocument/2006/relationships/hyperlink" Target="https://www.zotero.org/google-docs/?1h0sMi" TargetMode="External"/><Relationship Id="rId30" Type="http://schemas.openxmlformats.org/officeDocument/2006/relationships/hyperlink" Target="https://www.zotero.org/google-docs/?broken=HGFQEg" TargetMode="External"/><Relationship Id="rId35" Type="http://schemas.openxmlformats.org/officeDocument/2006/relationships/hyperlink" Target="https://www.zotero.org/google-docs/?broken=kYPLj2" TargetMode="External"/><Relationship Id="rId43" Type="http://schemas.openxmlformats.org/officeDocument/2006/relationships/hyperlink" Target="https://www.zotero.org/google-docs/?broken=Nytj5O" TargetMode="External"/><Relationship Id="rId48" Type="http://schemas.openxmlformats.org/officeDocument/2006/relationships/hyperlink" Target="https://www.zotero.org/google-docs/?broken=KWRJRV" TargetMode="External"/><Relationship Id="rId56" Type="http://schemas.openxmlformats.org/officeDocument/2006/relationships/hyperlink" Target="https://www.zotero.org/google-docs/?broken=pt7lJV" TargetMode="External"/><Relationship Id="rId64" Type="http://schemas.openxmlformats.org/officeDocument/2006/relationships/hyperlink" Target="https://www.zotero.org/google-docs/?broken=oNLUGF" TargetMode="External"/><Relationship Id="rId69" Type="http://schemas.openxmlformats.org/officeDocument/2006/relationships/hyperlink" Target="https://www.zotero.org/google-docs/?broken=LvePKS" TargetMode="External"/><Relationship Id="rId77" Type="http://schemas.openxmlformats.org/officeDocument/2006/relationships/header" Target="header5.xml"/><Relationship Id="rId8" Type="http://schemas.openxmlformats.org/officeDocument/2006/relationships/footer" Target="footer1.xml"/><Relationship Id="rId51" Type="http://schemas.openxmlformats.org/officeDocument/2006/relationships/hyperlink" Target="https://www.zotero.org/google-docs/?Q0mXob" TargetMode="External"/><Relationship Id="rId72" Type="http://schemas.openxmlformats.org/officeDocument/2006/relationships/hyperlink" Target="https://www.zotero.org/google-docs/?broken=phLfA6" TargetMode="External"/><Relationship Id="rId80" Type="http://schemas.openxmlformats.org/officeDocument/2006/relationships/fontTable" Target="fontTable.xml"/><Relationship Id="rId3" Type="http://schemas.openxmlformats.org/officeDocument/2006/relationships/webSettings" Target="webSettings.xml"/><Relationship Id="rId17" Type="http://schemas.openxmlformats.org/officeDocument/2006/relationships/hyperlink" Target="https://www.zotero.org/google-docs/?broken=cu4Q34" TargetMode="External"/><Relationship Id="rId25" Type="http://schemas.openxmlformats.org/officeDocument/2006/relationships/hyperlink" Target="https://www.zotero.org/google-docs/?broken=4OIJgw" TargetMode="External"/><Relationship Id="rId33" Type="http://schemas.openxmlformats.org/officeDocument/2006/relationships/hyperlink" Target="https://www.zotero.org/google-docs/?broken=WAYUaO" TargetMode="External"/><Relationship Id="rId38" Type="http://schemas.openxmlformats.org/officeDocument/2006/relationships/hyperlink" Target="https://www.zotero.org/google-docs/?broken=XAiqPT" TargetMode="External"/><Relationship Id="rId46" Type="http://schemas.openxmlformats.org/officeDocument/2006/relationships/hyperlink" Target="https://www.zotero.org/google-docs/?broken=bmn7KM" TargetMode="External"/><Relationship Id="rId59" Type="http://schemas.openxmlformats.org/officeDocument/2006/relationships/hyperlink" Target="https://www.zotero.org/google-docs/?broken=vC1wyO" TargetMode="External"/><Relationship Id="rId67" Type="http://schemas.openxmlformats.org/officeDocument/2006/relationships/hyperlink" Target="https://www.zotero.org/google-docs/?broken=nOHcpk" TargetMode="External"/><Relationship Id="rId20" Type="http://schemas.openxmlformats.org/officeDocument/2006/relationships/hyperlink" Target="https://www.zotero.org/google-docs/?broken=5MONxd" TargetMode="External"/><Relationship Id="rId41" Type="http://schemas.openxmlformats.org/officeDocument/2006/relationships/hyperlink" Target="https://www.zotero.org/google-docs/?broken=ulCmdJ" TargetMode="External"/><Relationship Id="rId54" Type="http://schemas.openxmlformats.org/officeDocument/2006/relationships/hyperlink" Target="https://www.zotero.org/google-docs/?5rLuUA" TargetMode="External"/><Relationship Id="rId62" Type="http://schemas.openxmlformats.org/officeDocument/2006/relationships/hyperlink" Target="https://www.zotero.org/google-docs/?broken=JGTWu3" TargetMode="External"/><Relationship Id="rId70" Type="http://schemas.openxmlformats.org/officeDocument/2006/relationships/hyperlink" Target="https://www.zotero.org/google-docs/?broken=js7WOL" TargetMode="External"/><Relationship Id="rId75" Type="http://schemas.openxmlformats.org/officeDocument/2006/relationships/hyperlink" Target="https://www.zotero.org/google-docs/?broken=88nFg7" TargetMode="External"/><Relationship Id="rId1" Type="http://schemas.openxmlformats.org/officeDocument/2006/relationships/styles" Target="styles.xml"/><Relationship Id="rId6" Type="http://schemas.openxmlformats.org/officeDocument/2006/relationships/header" Target="header1.xml"/><Relationship Id="rId23" Type="http://schemas.openxmlformats.org/officeDocument/2006/relationships/hyperlink" Target="https://www.zotero.org/google-docs/?pfwEKH" TargetMode="External"/><Relationship Id="rId28" Type="http://schemas.openxmlformats.org/officeDocument/2006/relationships/hyperlink" Target="https://www.zotero.org/google-docs/?broken=kobJhz" TargetMode="External"/><Relationship Id="rId36" Type="http://schemas.openxmlformats.org/officeDocument/2006/relationships/hyperlink" Target="https://www.zotero.org/google-docs/?broken=8wzHhg" TargetMode="External"/><Relationship Id="rId49" Type="http://schemas.openxmlformats.org/officeDocument/2006/relationships/hyperlink" Target="https://www.zotero.org/google-docs/?XETyWx" TargetMode="External"/><Relationship Id="rId57" Type="http://schemas.openxmlformats.org/officeDocument/2006/relationships/hyperlink" Target="https://www.zotero.org/google-docs/?broken=88nFg7" TargetMode="External"/><Relationship Id="rId10" Type="http://schemas.openxmlformats.org/officeDocument/2006/relationships/header" Target="header3.xml"/><Relationship Id="rId31" Type="http://schemas.openxmlformats.org/officeDocument/2006/relationships/hyperlink" Target="https://www.zotero.org/google-docs/?broken=f1JPAm" TargetMode="External"/><Relationship Id="rId44" Type="http://schemas.openxmlformats.org/officeDocument/2006/relationships/hyperlink" Target="https://www.zotero.org/google-docs/?broken=Tv2vQB" TargetMode="External"/><Relationship Id="rId52" Type="http://schemas.openxmlformats.org/officeDocument/2006/relationships/hyperlink" Target="https://www.zotero.org/google-docs/?oviqxj" TargetMode="External"/><Relationship Id="rId60" Type="http://schemas.openxmlformats.org/officeDocument/2006/relationships/hyperlink" Target="https://www.zotero.org/google-docs/?broken=6bYbbb" TargetMode="External"/><Relationship Id="rId65" Type="http://schemas.openxmlformats.org/officeDocument/2006/relationships/hyperlink" Target="https://www.zotero.org/google-docs/?broken=SwGJvb" TargetMode="External"/><Relationship Id="rId73" Type="http://schemas.openxmlformats.org/officeDocument/2006/relationships/hyperlink" Target="https://www.zotero.org/google-docs/?broken=RgBaZn" TargetMode="External"/><Relationship Id="rId78" Type="http://schemas.openxmlformats.org/officeDocument/2006/relationships/footer" Target="footer4.xml"/><Relationship Id="rId8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8" Type="http://schemas.openxmlformats.org/officeDocument/2006/relationships/hyperlink" Target="https://www.zotero.org/google-docs/?broken=Amp1T5" TargetMode="External"/><Relationship Id="rId39" Type="http://schemas.openxmlformats.org/officeDocument/2006/relationships/hyperlink" Target="https://www.zotero.org/google-docs/?broken=9V70oV" TargetMode="External"/><Relationship Id="rId34" Type="http://schemas.openxmlformats.org/officeDocument/2006/relationships/hyperlink" Target="https://www.zotero.org/google-docs/?broken=g1fhW1" TargetMode="External"/><Relationship Id="rId50" Type="http://schemas.openxmlformats.org/officeDocument/2006/relationships/hyperlink" Target="https://www.zotero.org/google-docs/?5IkoCN" TargetMode="External"/><Relationship Id="rId55" Type="http://schemas.openxmlformats.org/officeDocument/2006/relationships/hyperlink" Target="https://www.zotero.org/google-docs/?broken=aRAwZg" TargetMode="External"/><Relationship Id="rId76" Type="http://schemas.openxmlformats.org/officeDocument/2006/relationships/header" Target="header4.xml"/><Relationship Id="rId7" Type="http://schemas.openxmlformats.org/officeDocument/2006/relationships/header" Target="header2.xml"/><Relationship Id="rId71" Type="http://schemas.openxmlformats.org/officeDocument/2006/relationships/hyperlink" Target="https://www.zotero.org/google-docs/?broken=QZu5XR" TargetMode="External"/><Relationship Id="rId2" Type="http://schemas.openxmlformats.org/officeDocument/2006/relationships/settings" Target="settings.xml"/><Relationship Id="rId29" Type="http://schemas.openxmlformats.org/officeDocument/2006/relationships/hyperlink" Target="https://www.zotero.org/google-docs/?broken=iDuwh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6171</Words>
  <Characters>35181</Characters>
  <Application>Microsoft Office Word</Application>
  <DocSecurity>0</DocSecurity>
  <Lines>293</Lines>
  <Paragraphs>82</Paragraphs>
  <ScaleCrop>false</ScaleCrop>
  <Company/>
  <LinksUpToDate>false</LinksUpToDate>
  <CharactersWithSpaces>41270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cp:revision>
  <dcterms:created xsi:type="dcterms:W3CDTF">2026-01-09T10:40:00Z</dcterms:created>
  <dcterms:modified xsi:type="dcterms:W3CDTF">2026-01-09T13:18:00Z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c423f060-c4c5-49e3-ae0c-b73ccbeb0eea</vt:lpwstr>
  </property>
</Properties>
</file>