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004CE" w14:textId="107E66D5" w:rsidR="00754C9A" w:rsidRDefault="00B66436" w:rsidP="00441B6F">
      <w:pPr>
        <w:pStyle w:val="Title"/>
        <w:spacing w:after="0"/>
        <w:jc w:val="both"/>
        <w:rPr>
          <w:rFonts w:ascii="Arial" w:hAnsi="Arial" w:cs="Arial"/>
        </w:rPr>
      </w:pPr>
      <w:r w:rsidRPr="00B66436">
        <w:rPr>
          <w:rFonts w:ascii="Arial" w:hAnsi="Arial" w:cs="Arial"/>
        </w:rPr>
        <w:t>Original Research Article</w:t>
      </w:r>
    </w:p>
    <w:p w14:paraId="278BD3D9" w14:textId="77777777" w:rsidR="00B66436" w:rsidRDefault="00B66436" w:rsidP="00441B6F">
      <w:pPr>
        <w:pStyle w:val="Title"/>
        <w:spacing w:after="0"/>
        <w:jc w:val="both"/>
        <w:rPr>
          <w:rFonts w:ascii="Arial" w:hAnsi="Arial" w:cs="Arial"/>
        </w:rPr>
      </w:pPr>
    </w:p>
    <w:p w14:paraId="2493BCB8" w14:textId="77777777" w:rsidR="00B66436" w:rsidRDefault="00B66436" w:rsidP="00441B6F">
      <w:pPr>
        <w:pStyle w:val="Title"/>
        <w:spacing w:after="0"/>
        <w:jc w:val="both"/>
        <w:rPr>
          <w:rFonts w:ascii="Arial" w:hAnsi="Arial" w:cs="Arial"/>
        </w:rPr>
      </w:pPr>
    </w:p>
    <w:p w14:paraId="65D0CB54" w14:textId="384EC26B" w:rsidR="009A28B1" w:rsidRPr="009A28B1" w:rsidRDefault="009A28B1" w:rsidP="009A28B1">
      <w:pPr>
        <w:jc w:val="right"/>
        <w:rPr>
          <w:rFonts w:ascii="Arial" w:hAnsi="Arial" w:cs="Arial"/>
          <w:b/>
          <w:kern w:val="24"/>
          <w:sz w:val="36"/>
          <w:szCs w:val="36"/>
        </w:rPr>
      </w:pPr>
      <w:r w:rsidRPr="009A28B1">
        <w:rPr>
          <w:rFonts w:ascii="Arial" w:hAnsi="Arial" w:cs="Arial"/>
          <w:b/>
          <w:kern w:val="24"/>
          <w:sz w:val="36"/>
          <w:szCs w:val="36"/>
        </w:rPr>
        <w:t>Environmental, Social and Governance Disclosure: Determinants and Its Impact on Financial Performance of Agroindustry Companies and Polluting Companies in Indonesia</w:t>
      </w:r>
    </w:p>
    <w:p w14:paraId="16154E3A" w14:textId="77777777" w:rsidR="009A28B1" w:rsidRPr="009A28B1" w:rsidRDefault="009A28B1" w:rsidP="009A28B1">
      <w:pPr>
        <w:jc w:val="right"/>
        <w:rPr>
          <w:rFonts w:ascii="Arial" w:hAnsi="Arial" w:cs="Arial"/>
          <w:b/>
          <w:kern w:val="24"/>
          <w:sz w:val="36"/>
          <w:szCs w:val="36"/>
        </w:rPr>
      </w:pPr>
    </w:p>
    <w:p w14:paraId="22282A5F" w14:textId="77777777" w:rsidR="00A258C3" w:rsidRPr="00790ADA" w:rsidRDefault="00A258C3" w:rsidP="00441B6F">
      <w:pPr>
        <w:pStyle w:val="Author"/>
        <w:spacing w:line="240" w:lineRule="auto"/>
        <w:jc w:val="both"/>
        <w:rPr>
          <w:rFonts w:ascii="Arial" w:hAnsi="Arial" w:cs="Arial"/>
          <w:sz w:val="36"/>
        </w:rPr>
      </w:pPr>
    </w:p>
    <w:p w14:paraId="4B2A4488" w14:textId="77777777" w:rsidR="00142A02" w:rsidRPr="00474E36" w:rsidRDefault="00142A02" w:rsidP="00C42B28">
      <w:pPr>
        <w:widowControl w:val="0"/>
        <w:spacing w:before="120" w:after="120"/>
        <w:ind w:left="-115"/>
        <w:jc w:val="right"/>
      </w:pPr>
    </w:p>
    <w:p w14:paraId="38BE4D0D" w14:textId="77777777" w:rsidR="00790ADA" w:rsidRDefault="00790ADA" w:rsidP="006B6FC7">
      <w:pPr>
        <w:pStyle w:val="Affiliation"/>
        <w:spacing w:after="0" w:line="240" w:lineRule="auto"/>
        <w:rPr>
          <w:rFonts w:ascii="Arial" w:hAnsi="Arial" w:cs="Arial"/>
        </w:rPr>
      </w:pPr>
    </w:p>
    <w:p w14:paraId="1E6D5540" w14:textId="7A0384F9" w:rsidR="00B01FCD" w:rsidRPr="00FB3A86" w:rsidRDefault="00B01FCD" w:rsidP="00441B6F">
      <w:pPr>
        <w:pStyle w:val="Copyright"/>
        <w:spacing w:after="0" w:line="240" w:lineRule="auto"/>
        <w:jc w:val="both"/>
        <w:rPr>
          <w:rFonts w:ascii="Arial" w:hAnsi="Arial" w:cs="Arial"/>
        </w:rPr>
        <w:sectPr w:rsidR="00B01FCD" w:rsidRPr="00FB3A86" w:rsidSect="00404295">
          <w:headerReference w:type="first" r:id="rId8"/>
          <w:footerReference w:type="first" r:id="rId9"/>
          <w:pgSz w:w="12240" w:h="15840" w:code="1"/>
          <w:pgMar w:top="1440" w:right="2016" w:bottom="2016" w:left="2016" w:header="720" w:footer="1296" w:gutter="0"/>
          <w:cols w:space="720"/>
          <w:docGrid w:linePitch="272"/>
        </w:sectPr>
      </w:pPr>
    </w:p>
    <w:p w14:paraId="488E47F7" w14:textId="060E9250"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771D338" w14:textId="77777777" w:rsidTr="001E44FE">
        <w:tc>
          <w:tcPr>
            <w:tcW w:w="9576" w:type="dxa"/>
            <w:shd w:val="clear" w:color="auto" w:fill="F2F2F2"/>
          </w:tcPr>
          <w:p w14:paraId="4E3964BE" w14:textId="0D93CC87" w:rsidR="00BA1B01" w:rsidRPr="006B6FC7" w:rsidRDefault="00BA1B01" w:rsidP="00441B6F">
            <w:pPr>
              <w:pStyle w:val="Body"/>
              <w:spacing w:after="0"/>
              <w:rPr>
                <w:rFonts w:ascii="Arial" w:eastAsia="Calibri" w:hAnsi="Arial" w:cs="Arial"/>
              </w:rPr>
            </w:pPr>
            <w:r w:rsidRPr="006B6FC7">
              <w:rPr>
                <w:rFonts w:ascii="Arial" w:eastAsia="Calibri" w:hAnsi="Arial" w:cs="Arial"/>
                <w:b/>
              </w:rPr>
              <w:t xml:space="preserve">Aims: </w:t>
            </w:r>
            <w:r w:rsidR="009A28B1" w:rsidRPr="006B6FC7">
              <w:rPr>
                <w:rFonts w:ascii="Arial" w:hAnsi="Arial" w:cs="Arial"/>
                <w:color w:val="000000"/>
              </w:rPr>
              <w:t>This study examines the determinants of Environmental, Social, and Governance (ESG) disclosure and analyzes its impact on financial performance in companies operating in Indonesia’s agroindustry and high-pollution sectors.</w:t>
            </w:r>
          </w:p>
          <w:p w14:paraId="725DF86B" w14:textId="77777777" w:rsidR="009A28B1" w:rsidRPr="006B6FC7" w:rsidRDefault="00BA1B01" w:rsidP="00441B6F">
            <w:pPr>
              <w:pStyle w:val="Body"/>
              <w:spacing w:after="0"/>
              <w:rPr>
                <w:rFonts w:ascii="Arial" w:hAnsi="Arial" w:cs="Arial"/>
                <w:color w:val="000000"/>
              </w:rPr>
            </w:pPr>
            <w:r w:rsidRPr="006B6FC7">
              <w:rPr>
                <w:rFonts w:ascii="Arial" w:eastAsia="Calibri" w:hAnsi="Arial" w:cs="Arial"/>
                <w:b/>
              </w:rPr>
              <w:t>Study design:</w:t>
            </w:r>
            <w:r w:rsidRPr="006B6FC7">
              <w:rPr>
                <w:rFonts w:ascii="Arial" w:eastAsia="Calibri" w:hAnsi="Arial" w:cs="Arial"/>
              </w:rPr>
              <w:t xml:space="preserve">  </w:t>
            </w:r>
            <w:r w:rsidR="009A28B1" w:rsidRPr="006B6FC7">
              <w:rPr>
                <w:rFonts w:ascii="Arial" w:hAnsi="Arial" w:cs="Arial"/>
                <w:color w:val="000000"/>
              </w:rPr>
              <w:t>This research uses a quantitative explanatory research design.</w:t>
            </w:r>
          </w:p>
          <w:p w14:paraId="36D83BB6" w14:textId="77777777" w:rsidR="009A28B1" w:rsidRPr="006B6FC7" w:rsidRDefault="00BA1B01" w:rsidP="00441B6F">
            <w:pPr>
              <w:pStyle w:val="Body"/>
              <w:spacing w:after="0"/>
              <w:rPr>
                <w:rFonts w:ascii="Arial" w:hAnsi="Arial" w:cs="Arial"/>
                <w:color w:val="000000"/>
              </w:rPr>
            </w:pPr>
            <w:r w:rsidRPr="006B6FC7">
              <w:rPr>
                <w:rFonts w:ascii="Arial" w:eastAsia="Calibri" w:hAnsi="Arial" w:cs="Arial"/>
                <w:b/>
              </w:rPr>
              <w:t>Place and Duration of Study:</w:t>
            </w:r>
            <w:r w:rsidRPr="006B6FC7">
              <w:rPr>
                <w:rFonts w:ascii="Arial" w:eastAsia="Calibri" w:hAnsi="Arial" w:cs="Arial"/>
              </w:rPr>
              <w:t xml:space="preserve"> </w:t>
            </w:r>
            <w:r w:rsidR="009A28B1" w:rsidRPr="006B6FC7">
              <w:rPr>
                <w:rFonts w:ascii="Arial" w:hAnsi="Arial" w:cs="Arial"/>
                <w:color w:val="000000"/>
              </w:rPr>
              <w:t>The study covers companies listed on the Indonesia Stock Exchange (IDX), using secondary data from financial reports, annual reports, and sustainability reports published through company websites. The observation period follows the availability of ESG and financial disclosure data during the study timeframe.</w:t>
            </w:r>
          </w:p>
          <w:p w14:paraId="1230ED61" w14:textId="77777777" w:rsidR="009A28B1" w:rsidRPr="006B6FC7" w:rsidRDefault="00BA1B01" w:rsidP="00441B6F">
            <w:pPr>
              <w:pStyle w:val="Body"/>
              <w:spacing w:after="0"/>
              <w:rPr>
                <w:rFonts w:ascii="Arial" w:hAnsi="Arial" w:cs="Arial"/>
                <w:color w:val="000000"/>
              </w:rPr>
            </w:pPr>
            <w:r w:rsidRPr="006B6FC7">
              <w:rPr>
                <w:rFonts w:ascii="Arial" w:eastAsia="Calibri" w:hAnsi="Arial" w:cs="Arial"/>
                <w:b/>
                <w:bCs/>
              </w:rPr>
              <w:t>Methodology:</w:t>
            </w:r>
            <w:r w:rsidRPr="006B6FC7">
              <w:rPr>
                <w:rFonts w:ascii="Arial" w:eastAsia="Calibri" w:hAnsi="Arial" w:cs="Arial"/>
              </w:rPr>
              <w:t xml:space="preserve"> </w:t>
            </w:r>
            <w:r w:rsidR="009A28B1" w:rsidRPr="006B6FC7">
              <w:rPr>
                <w:rFonts w:ascii="Arial" w:hAnsi="Arial" w:cs="Arial"/>
                <w:color w:val="000000"/>
              </w:rPr>
              <w:t>The study applies a quantitative approach using secondary data. The sample consists of 234 companies from agroindustry and other high-pollution sectors, including mining, fossil fuels, fashion, food retail, transportation, and construction. ESG disclosure is measured using an ESG Score. Three regression models are estimated. The first model analyzes determinants of ESG disclosure. The second and third models test the impact of ESG disclosure on financial performance. Multiple linear regression is used to examine the relationships between ESG disclosure, company age, sales growth, and financial performance measured by Return on Assets (ROA).</w:t>
            </w:r>
          </w:p>
          <w:p w14:paraId="6BBACEB7" w14:textId="77777777" w:rsidR="009A28B1" w:rsidRPr="006B6FC7" w:rsidRDefault="00BA1B01" w:rsidP="00441B6F">
            <w:pPr>
              <w:pStyle w:val="Body"/>
              <w:spacing w:after="0"/>
              <w:rPr>
                <w:rFonts w:ascii="Arial" w:hAnsi="Arial" w:cs="Arial"/>
                <w:color w:val="000000"/>
              </w:rPr>
            </w:pPr>
            <w:r w:rsidRPr="006B6FC7">
              <w:rPr>
                <w:rFonts w:ascii="Arial" w:eastAsia="Calibri" w:hAnsi="Arial" w:cs="Arial"/>
                <w:b/>
                <w:bCs/>
              </w:rPr>
              <w:t>Results:</w:t>
            </w:r>
            <w:r w:rsidRPr="006B6FC7">
              <w:rPr>
                <w:rFonts w:ascii="Arial" w:eastAsia="Calibri" w:hAnsi="Arial" w:cs="Arial"/>
              </w:rPr>
              <w:t xml:space="preserve"> </w:t>
            </w:r>
            <w:r w:rsidR="009A28B1" w:rsidRPr="006B6FC7">
              <w:rPr>
                <w:rFonts w:ascii="Arial" w:hAnsi="Arial" w:cs="Arial"/>
                <w:color w:val="000000"/>
              </w:rPr>
              <w:t>The results show that ESG disclosure has a significant positive effect on ROA. Company age also shows a significant positive relationship with ROA, indicating that firms with longer operational histories tend to have better financial performance. Sales growth does not have a statistically significant effect on ROA. Overall, the findings indicate that higher ESG disclosure is associated with stronger financial performance, particularly among firms in high-pollution sectors.</w:t>
            </w:r>
          </w:p>
          <w:p w14:paraId="21BA0391" w14:textId="77777777" w:rsidR="009A28B1" w:rsidRPr="006B6FC7" w:rsidRDefault="00BA1B01" w:rsidP="00441B6F">
            <w:pPr>
              <w:pStyle w:val="Body"/>
              <w:spacing w:after="0"/>
              <w:rPr>
                <w:rFonts w:ascii="-webkit-standard" w:hAnsi="-webkit-standard"/>
                <w:color w:val="000000"/>
                <w:sz w:val="25"/>
                <w:szCs w:val="25"/>
              </w:rPr>
            </w:pPr>
            <w:r w:rsidRPr="006B6FC7">
              <w:rPr>
                <w:rFonts w:ascii="Arial" w:eastAsia="Calibri" w:hAnsi="Arial" w:cs="Arial"/>
                <w:b/>
                <w:bCs/>
              </w:rPr>
              <w:t>Conclusion:</w:t>
            </w:r>
            <w:r w:rsidRPr="006B6FC7">
              <w:rPr>
                <w:rFonts w:ascii="Arial" w:eastAsia="Calibri" w:hAnsi="Arial" w:cs="Arial"/>
              </w:rPr>
              <w:t xml:space="preserve"> </w:t>
            </w:r>
            <w:r w:rsidR="009A28B1" w:rsidRPr="006B6FC7">
              <w:rPr>
                <w:rFonts w:ascii="Arial" w:hAnsi="Arial" w:cs="Arial"/>
                <w:color w:val="000000"/>
              </w:rPr>
              <w:t>The study concludes that ESG disclosure plays an important role in enhancing financial performance in Indonesian agroindustry and high-pollution companies. Integrating ESG considerations into corporate strategy can support both sustainability objectives and financial outcomes. These findings highlight the relevance of ESG practices for companies facing higher environmental and social risks.</w:t>
            </w:r>
          </w:p>
          <w:p w14:paraId="48740F0A" w14:textId="109E0B09" w:rsidR="00505F06" w:rsidRPr="00BA1B01" w:rsidRDefault="00505F06" w:rsidP="00441B6F">
            <w:pPr>
              <w:pStyle w:val="Body"/>
              <w:spacing w:after="0"/>
              <w:rPr>
                <w:rFonts w:ascii="Arial" w:eastAsia="Calibri" w:hAnsi="Arial" w:cs="Arial"/>
                <w:szCs w:val="22"/>
              </w:rPr>
            </w:pPr>
          </w:p>
        </w:tc>
      </w:tr>
    </w:tbl>
    <w:p w14:paraId="54C0C3FD" w14:textId="77777777" w:rsidR="00636EB2" w:rsidRDefault="00636EB2" w:rsidP="00441B6F">
      <w:pPr>
        <w:pStyle w:val="Body"/>
        <w:spacing w:after="0"/>
        <w:rPr>
          <w:rFonts w:ascii="Arial" w:hAnsi="Arial" w:cs="Arial"/>
          <w:i/>
        </w:rPr>
      </w:pPr>
    </w:p>
    <w:p w14:paraId="5FB3F436" w14:textId="29D1B305" w:rsidR="00790ADA" w:rsidRDefault="00A24E7E" w:rsidP="00441B6F">
      <w:pPr>
        <w:pStyle w:val="Body"/>
        <w:spacing w:after="0"/>
      </w:pPr>
      <w:r>
        <w:rPr>
          <w:rFonts w:ascii="Arial" w:hAnsi="Arial" w:cs="Arial"/>
          <w:i/>
        </w:rPr>
        <w:t xml:space="preserve">Keywords: </w:t>
      </w:r>
      <w:r w:rsidR="009A28B1">
        <w:t xml:space="preserve">ESG, financial performance, determinants </w:t>
      </w:r>
      <w:proofErr w:type="gramStart"/>
      <w:r w:rsidR="009A28B1">
        <w:t>impacts</w:t>
      </w:r>
      <w:proofErr w:type="gramEnd"/>
      <w:r w:rsidR="009A28B1">
        <w:t>, agroindustry</w:t>
      </w:r>
    </w:p>
    <w:p w14:paraId="52E0737D" w14:textId="77777777" w:rsidR="009A28B1" w:rsidRDefault="009A28B1" w:rsidP="00441B6F">
      <w:pPr>
        <w:pStyle w:val="Body"/>
        <w:spacing w:after="0"/>
        <w:rPr>
          <w:rFonts w:ascii="Arial" w:hAnsi="Arial" w:cs="Arial"/>
          <w:i/>
        </w:rPr>
      </w:pPr>
    </w:p>
    <w:p w14:paraId="7F37D40E" w14:textId="6C0F3706" w:rsidR="00790ADA" w:rsidRPr="00FB3A86"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79EDB84" w14:textId="77777777" w:rsidR="006B6FC7" w:rsidRPr="006B6FC7" w:rsidRDefault="006B6FC7" w:rsidP="006B6FC7">
      <w:pPr>
        <w:ind w:firstLine="720"/>
        <w:jc w:val="both"/>
        <w:rPr>
          <w:rFonts w:ascii="Arial" w:hAnsi="Arial" w:cs="Arial"/>
        </w:rPr>
      </w:pPr>
      <w:r w:rsidRPr="006B6FC7">
        <w:rPr>
          <w:rFonts w:ascii="Arial" w:hAnsi="Arial" w:cs="Arial"/>
        </w:rPr>
        <w:t xml:space="preserve">In the era of globalization and increasing environmental awareness, the concept of Environmental, Social and Governance (ESG) has become the center of attention of corporate stakeholders around the world. ESG is a framework comprehensively designed to assist companies in identifying, measuring, and managing various risks and opportunities related to environmental, social, and governance aspects. In this regard, ESG disclosure is not only an important tool for companies to meet global regulations and standards, but also a strategy to build a good reputation, increase stakeholder trust, and ensure the long-term sustainability of their business. By implementing robust ESG practices, companies can become more proactive in the face of global challenges such as climate change, social inequality, and poor corporate governance, while demonstrating their commitment to sustainability and social responsibility [1].  </w:t>
      </w:r>
    </w:p>
    <w:p w14:paraId="3458216F" w14:textId="77777777" w:rsidR="006B6FC7" w:rsidRPr="006B6FC7" w:rsidRDefault="006B6FC7" w:rsidP="006B6FC7">
      <w:pPr>
        <w:ind w:firstLine="720"/>
        <w:jc w:val="both"/>
        <w:rPr>
          <w:rFonts w:ascii="Arial" w:hAnsi="Arial" w:cs="Arial"/>
          <w:color w:val="000000"/>
          <w:lang w:val="en-ID"/>
        </w:rPr>
      </w:pPr>
      <w:proofErr w:type="spellStart"/>
      <w:r w:rsidRPr="006B6FC7">
        <w:rPr>
          <w:rFonts w:ascii="Arial" w:hAnsi="Arial" w:cs="Arial"/>
          <w:color w:val="000000"/>
          <w:lang w:val="en-ID"/>
        </w:rPr>
        <w:t>Agro</w:t>
      </w:r>
      <w:proofErr w:type="spellEnd"/>
      <w:r w:rsidRPr="006B6FC7">
        <w:rPr>
          <w:rFonts w:ascii="Arial" w:hAnsi="Arial" w:cs="Arial"/>
          <w:color w:val="000000"/>
          <w:lang w:val="en-ID"/>
        </w:rPr>
        <w:t>-industrial and industrial companies, including those in high-pollution sectors such as mining, fossil fuel combustion, fashion, food retail, transportation, and construction, play a crucial role in Indonesia's national economy. These industries contribute significantly to state revenue, job creation, infrastructure development, and technological advancements. However, their substantial economic contributions are often accompanied by negative environmental impacts, including greenhouse gas emissions, water and air pollution, and ecosystem degradation. As major contributors to environmental degradation, companies in these sectors face increasing pressure to adopt more responsible and sustainable business practices.</w:t>
      </w:r>
    </w:p>
    <w:p w14:paraId="340767EE" w14:textId="77777777" w:rsidR="006B6FC7" w:rsidRPr="006B6FC7" w:rsidRDefault="006B6FC7" w:rsidP="006B6FC7">
      <w:pPr>
        <w:ind w:firstLine="720"/>
        <w:jc w:val="both"/>
        <w:rPr>
          <w:rFonts w:ascii="Arial" w:hAnsi="Arial" w:cs="Arial"/>
        </w:rPr>
      </w:pPr>
      <w:r w:rsidRPr="006B6FC7">
        <w:rPr>
          <w:rFonts w:ascii="Arial" w:hAnsi="Arial" w:cs="Arial"/>
          <w:color w:val="000000"/>
          <w:lang w:val="en-ID"/>
        </w:rPr>
        <w:t xml:space="preserve">In this context, Environmental, Social, and Governance (ESG) disclosure has become highly relevant and essential. Through ESG disclosure, companies can demonstrate their commitment to reducing negative environmental impacts and improving social and governance practices. ESG reporting also enables companies to transparently communicate their sustainability practices, which can enhance their reputation among key stakeholders, including investors, consumers, and regulators. Furthermore, ESG disclosure assists companies in identifying environmental and social risks that may not have been previously apparent, allowing them to implement more effective and strategic preventive measures </w:t>
      </w:r>
      <w:r w:rsidRPr="006B6FC7">
        <w:rPr>
          <w:rFonts w:ascii="Arial" w:hAnsi="Arial" w:cs="Arial"/>
        </w:rPr>
        <w:t xml:space="preserve">[2]. </w:t>
      </w:r>
      <w:r w:rsidRPr="006B6FC7">
        <w:rPr>
          <w:rFonts w:ascii="Arial" w:hAnsi="Arial" w:cs="Arial"/>
          <w:color w:val="000000"/>
          <w:lang w:val="en-ID"/>
        </w:rPr>
        <w:t>Despite the growing body of research on ESG and financial performance, critical challenges remain in understanding the nuanced and contextualized dynamics of ESG implementation. One notable issue is the lack of a standardized framework for ESG disclosure, which creates inconsistencies in reporting and challenges in comparing data across companies and industries. This inconsistency is particularly pronounced in developing countries like Indonesia, where ESG regulations are still evolving, and enforcement mechanisms may be less stringent. Additionally, while ESG practices are often portrayed as universally beneficial, their actual impact may vary depending on industry-specific characteristics, regional contexts, and the maturity of the regulatory environment. For instance, in high-pollution industries, companies may face significant trade-offs between achieving short-term financial goals and investing in sustainable practices, which could influence their ESG performance.</w:t>
      </w:r>
    </w:p>
    <w:p w14:paraId="1B2AEFAD" w14:textId="77777777" w:rsidR="006B6FC7" w:rsidRPr="006B6FC7" w:rsidRDefault="006B6FC7" w:rsidP="006B6FC7">
      <w:pPr>
        <w:ind w:firstLine="720"/>
        <w:jc w:val="both"/>
        <w:rPr>
          <w:rFonts w:ascii="Arial" w:hAnsi="Arial" w:cs="Arial"/>
        </w:rPr>
      </w:pPr>
      <w:r w:rsidRPr="006B6FC7">
        <w:rPr>
          <w:rFonts w:ascii="Arial" w:hAnsi="Arial" w:cs="Arial"/>
        </w:rPr>
        <w:t>Previous studies have shown that ESG disclosure can influence a company's financial performance. Companies with higher levels of ESG disclosure tend to exhibit better financial performance due to their ability to manage environmental and social risks effectively while enhancing their reputation among investors and consumers [3]. Additionally, the age of a company is often considered a factor affecting financial performance. Older companies typically possess more experience and stronger resources to manage their businesses, which ultimately can improve their financial performance [4]. However, the impact of sales growth on financial performance remains a subject of debate. Some studies suggest that sales growth does not always have a significant impact on financial performance due to factors such as operational efficiency and cost structure [5].</w:t>
      </w:r>
    </w:p>
    <w:p w14:paraId="59398DFF" w14:textId="77777777" w:rsidR="006B6FC7" w:rsidRPr="006B6FC7" w:rsidRDefault="006B6FC7" w:rsidP="006B6FC7">
      <w:pPr>
        <w:ind w:firstLine="720"/>
        <w:jc w:val="both"/>
        <w:rPr>
          <w:rFonts w:ascii="Arial" w:hAnsi="Arial" w:cs="Arial"/>
        </w:rPr>
      </w:pPr>
      <w:r w:rsidRPr="006B6FC7">
        <w:rPr>
          <w:rFonts w:ascii="Arial" w:hAnsi="Arial" w:cs="Arial"/>
        </w:rPr>
        <w:t xml:space="preserve">Although considerable research has explored the relationship between ESG and financial performance, several research gaps still require further investigation. First, most prior studies have predominantly focused on companies in developed countries, with limited </w:t>
      </w:r>
      <w:r w:rsidRPr="006B6FC7">
        <w:rPr>
          <w:rFonts w:ascii="Arial" w:hAnsi="Arial" w:cs="Arial"/>
        </w:rPr>
        <w:lastRenderedPageBreak/>
        <w:t>attention to the context of developing countries like Indonesia. Second, there is a scarcity of research specifically examining the impact of ESG on highly polluting industries, particularly in Indonesia. Third, previous studies often overlook the role of other factors, such as company age and sales growth, in the relationship between ESG and financial performance.</w:t>
      </w:r>
    </w:p>
    <w:p w14:paraId="10095ACA" w14:textId="77777777" w:rsidR="006B6FC7" w:rsidRPr="006B6FC7" w:rsidRDefault="006B6FC7" w:rsidP="006B6FC7">
      <w:pPr>
        <w:ind w:firstLine="720"/>
        <w:jc w:val="both"/>
        <w:rPr>
          <w:rFonts w:ascii="Arial" w:hAnsi="Arial" w:cs="Arial"/>
        </w:rPr>
      </w:pPr>
      <w:r w:rsidRPr="006B6FC7">
        <w:rPr>
          <w:rFonts w:ascii="Arial" w:hAnsi="Arial" w:cs="Arial"/>
        </w:rPr>
        <w:t xml:space="preserve">This study offers several significant contributions. First, it is conducted in the context of Indonesia, a developing country with complex environmental issues, providing a new perspective relevant to local conditions. Second, the study focuses on companies operating in high-pollution industries, such as </w:t>
      </w:r>
      <w:proofErr w:type="spellStart"/>
      <w:r w:rsidRPr="006B6FC7">
        <w:rPr>
          <w:rFonts w:ascii="Arial" w:hAnsi="Arial" w:cs="Arial"/>
        </w:rPr>
        <w:t>agro</w:t>
      </w:r>
      <w:proofErr w:type="spellEnd"/>
      <w:r w:rsidRPr="006B6FC7">
        <w:rPr>
          <w:rFonts w:ascii="Arial" w:hAnsi="Arial" w:cs="Arial"/>
        </w:rPr>
        <w:t>-industry, mining, fossil fuel combustion, fashion, food retail, transportation, and construction. This focus contributes to understanding ESG dynamics in industries that are major contributors to pollution. Third, the study not only examines the impact of ESG but also considers the roles of company age and sales growth, offering a more comprehensive understanding of the factors influencing corporate financial performance.</w:t>
      </w:r>
    </w:p>
    <w:p w14:paraId="7B10CEFE" w14:textId="77777777" w:rsidR="006B6FC7" w:rsidRDefault="006B6FC7" w:rsidP="00441B6F">
      <w:pPr>
        <w:pStyle w:val="AbstHead"/>
        <w:spacing w:after="0"/>
        <w:jc w:val="both"/>
        <w:rPr>
          <w:rFonts w:ascii="Arial" w:hAnsi="Arial" w:cs="Arial"/>
        </w:rPr>
      </w:pPr>
    </w:p>
    <w:p w14:paraId="68FD20C8" w14:textId="59B9A5A1" w:rsidR="007F7B32" w:rsidRDefault="00902823" w:rsidP="00441B6F">
      <w:pPr>
        <w:pStyle w:val="AbstHead"/>
        <w:spacing w:after="0"/>
        <w:jc w:val="both"/>
        <w:rPr>
          <w:rFonts w:ascii="Arial" w:hAnsi="Arial" w:cs="Arial"/>
        </w:rPr>
      </w:pPr>
      <w:r>
        <w:rPr>
          <w:rFonts w:ascii="Arial" w:hAnsi="Arial" w:cs="Arial"/>
        </w:rPr>
        <w:t xml:space="preserve">2. </w:t>
      </w:r>
      <w:r w:rsidR="006B6FC7">
        <w:rPr>
          <w:rFonts w:ascii="Arial" w:hAnsi="Arial" w:cs="Arial"/>
        </w:rPr>
        <w:t>Literature review</w:t>
      </w:r>
    </w:p>
    <w:p w14:paraId="194D1E61" w14:textId="34757615" w:rsidR="006B6FC7" w:rsidRPr="006B6FC7" w:rsidRDefault="006B6FC7" w:rsidP="006B6FC7">
      <w:pPr>
        <w:widowControl w:val="0"/>
        <w:tabs>
          <w:tab w:val="left" w:pos="360"/>
        </w:tabs>
        <w:spacing w:line="240" w:lineRule="atLeast"/>
        <w:jc w:val="both"/>
        <w:rPr>
          <w:rFonts w:ascii="Arial" w:hAnsi="Arial" w:cs="Arial"/>
          <w:b/>
          <w:sz w:val="22"/>
          <w:szCs w:val="22"/>
        </w:rPr>
      </w:pPr>
      <w:r w:rsidRPr="006B6FC7">
        <w:rPr>
          <w:rFonts w:ascii="Arial" w:hAnsi="Arial" w:cs="Arial"/>
          <w:b/>
          <w:sz w:val="22"/>
          <w:szCs w:val="22"/>
        </w:rPr>
        <w:t>Legitimacy Theory</w:t>
      </w:r>
    </w:p>
    <w:p w14:paraId="3AB9ACFB" w14:textId="77777777"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Davis (1973) stated that "society grants legitimacy and power to business. In the long run, those who do not use power in a manner which society considers responsible will tend to lose it" [6]. This underscores the concept that businesses operate under a social contract with the public, requiring them to align their activities with the principles of fairness and justice. The way a company addresses the interests of various stakeholders through legitimate actions determines its social acceptance. Essentially, a company’s social contract mandates it to conduct its operations ethically and responsibly, adhering to values that uphold justice.</w:t>
      </w:r>
    </w:p>
    <w:p w14:paraId="002DE324" w14:textId="77777777"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ab/>
        <w:t xml:space="preserve">Aligned with the legitimacy theory, companies are not only accountable for safeguarding the legitimacy granted by society but must also actively maintain it. Legitimacy can be seen as a form of social license to operate, and businesses that fail to wield their power responsibly risk losing public support and legitimacy. This highlights the critical role of ethics and corporate social responsibility (CSR) in fostering trust and social approval. Companies are thus expected to engage in business practices that not only ensure profitability but also contribute to social welfare and environmental sustainability. </w:t>
      </w:r>
    </w:p>
    <w:p w14:paraId="7B6F9A44" w14:textId="77777777"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ab/>
        <w:t>Within the framework of this social contract, it is essential for companies to not only comply with existing laws and regulations but also proactively understand and respond to societal expectations. Growing awareness of social and environmental issues has heightened the importance of this approach. Companies that successfully build and sustain their social legitimacy through responsible actions can create long-term value for all stakeholders. Consequently, the social contract concept strengthens the argument that companies operating ethically and responsibly are more likely to gain and retain public support, ultimately enhancing their resilience, reputation, and sustainability in the long term.</w:t>
      </w:r>
    </w:p>
    <w:p w14:paraId="037E19C5" w14:textId="77777777" w:rsidR="006B6FC7" w:rsidRPr="006B6FC7" w:rsidRDefault="006B6FC7" w:rsidP="006B6FC7">
      <w:pPr>
        <w:widowControl w:val="0"/>
        <w:tabs>
          <w:tab w:val="left" w:pos="360"/>
        </w:tabs>
        <w:spacing w:line="240" w:lineRule="atLeast"/>
        <w:jc w:val="both"/>
        <w:rPr>
          <w:rFonts w:ascii="Arial" w:hAnsi="Arial" w:cs="Arial"/>
          <w:bCs/>
        </w:rPr>
      </w:pPr>
    </w:p>
    <w:p w14:paraId="17AF4E0C" w14:textId="77777777" w:rsidR="006B6FC7" w:rsidRPr="006B6FC7" w:rsidRDefault="006B6FC7" w:rsidP="006B6FC7">
      <w:pPr>
        <w:jc w:val="both"/>
        <w:rPr>
          <w:rFonts w:ascii="Arial" w:hAnsi="Arial" w:cs="Arial"/>
          <w:b/>
          <w:bCs/>
          <w:color w:val="000000"/>
          <w:sz w:val="22"/>
          <w:szCs w:val="22"/>
          <w:lang w:val="en-ID"/>
        </w:rPr>
      </w:pPr>
      <w:r w:rsidRPr="006B6FC7">
        <w:rPr>
          <w:rFonts w:ascii="Arial" w:hAnsi="Arial" w:cs="Arial"/>
          <w:b/>
          <w:bCs/>
          <w:color w:val="000000"/>
          <w:sz w:val="22"/>
          <w:szCs w:val="22"/>
          <w:lang w:val="en-ID"/>
        </w:rPr>
        <w:t>Stakeholder Theory</w:t>
      </w:r>
    </w:p>
    <w:p w14:paraId="3B51CDAB" w14:textId="77777777" w:rsidR="006B6FC7" w:rsidRPr="006B6FC7" w:rsidRDefault="006B6FC7" w:rsidP="006B6FC7">
      <w:pPr>
        <w:jc w:val="both"/>
        <w:rPr>
          <w:rFonts w:ascii="Arial" w:hAnsi="Arial" w:cs="Arial"/>
          <w:b/>
          <w:bCs/>
          <w:color w:val="000000"/>
          <w:lang w:val="en-ID"/>
        </w:rPr>
      </w:pPr>
      <w:r w:rsidRPr="006B6FC7">
        <w:rPr>
          <w:rFonts w:ascii="Arial" w:hAnsi="Arial" w:cs="Arial"/>
          <w:color w:val="000000"/>
          <w:lang w:val="en-ID"/>
        </w:rPr>
        <w:t>Stakeholders are defined by Freeman (1984) as "any group or individual who can affect or is affected by the achievements of an organisation's objectives" [7]. Stakeholder theory provides a framework for understanding the fundamental nature of a company (Brenner and Cochran, 1991, in Donaldson et al., 1995) [8] and the manner in which it is managed. The theory emphasizes the importance of identifying and addressing the needs and interests of various stakeholder groups that are impacted by, or have an impact on, the company’s activities. Stakeholders may include shareholders, employees, customers, suppliers, local communities, governments, and other parties connected to the company’s operations.</w:t>
      </w:r>
    </w:p>
    <w:p w14:paraId="4C4BF283" w14:textId="77777777" w:rsidR="006B6FC7" w:rsidRPr="006B6FC7" w:rsidRDefault="006B6FC7" w:rsidP="006B6FC7">
      <w:pPr>
        <w:ind w:firstLine="720"/>
        <w:jc w:val="both"/>
        <w:rPr>
          <w:rFonts w:ascii="Arial" w:hAnsi="Arial" w:cs="Arial"/>
          <w:color w:val="000000"/>
          <w:lang w:val="en-ID"/>
        </w:rPr>
      </w:pPr>
      <w:r w:rsidRPr="006B6FC7">
        <w:rPr>
          <w:rFonts w:ascii="Arial" w:hAnsi="Arial" w:cs="Arial"/>
          <w:color w:val="000000"/>
          <w:lang w:val="en-ID"/>
        </w:rPr>
        <w:t xml:space="preserve">One of the central premises of stakeholder theory is the interdependence between a company and its stakeholders. Companies are not solely focused on maximizing shareholder wealth but must also account for the broader interests of all stakeholders. This perspective positions the company as a vital component of the larger societal ecosystem, with success measured not only in financial terms but also through social and environmental contributions. </w:t>
      </w:r>
      <w:r w:rsidRPr="006B6FC7">
        <w:rPr>
          <w:rFonts w:ascii="Arial" w:hAnsi="Arial" w:cs="Arial"/>
          <w:color w:val="000000"/>
          <w:lang w:val="en-ID"/>
        </w:rPr>
        <w:lastRenderedPageBreak/>
        <w:t>By actively engaging stakeholders in decision-making, companies can build positive relationships, reduce reputational risks, and create long-term value. As such, stakeholder theory serves as a vital framework for promoting responsible and sustainable corporate management practices.</w:t>
      </w:r>
    </w:p>
    <w:p w14:paraId="18A359D1" w14:textId="77777777" w:rsidR="006B6FC7" w:rsidRPr="006B6FC7" w:rsidRDefault="006B6FC7" w:rsidP="006B6FC7">
      <w:pPr>
        <w:widowControl w:val="0"/>
        <w:tabs>
          <w:tab w:val="left" w:pos="360"/>
        </w:tabs>
        <w:jc w:val="both"/>
        <w:rPr>
          <w:rFonts w:ascii="Arial" w:hAnsi="Arial" w:cs="Arial"/>
          <w:bCs/>
        </w:rPr>
      </w:pPr>
    </w:p>
    <w:p w14:paraId="4DB972AE" w14:textId="77777777" w:rsidR="006B6FC7" w:rsidRPr="006B6FC7" w:rsidRDefault="006B6FC7" w:rsidP="006B6FC7">
      <w:pPr>
        <w:jc w:val="both"/>
        <w:rPr>
          <w:rFonts w:ascii="Arial" w:hAnsi="Arial" w:cs="Arial"/>
          <w:b/>
          <w:bCs/>
          <w:color w:val="000000"/>
          <w:sz w:val="22"/>
          <w:szCs w:val="22"/>
          <w:lang w:val="en-ID"/>
        </w:rPr>
      </w:pPr>
      <w:proofErr w:type="spellStart"/>
      <w:r w:rsidRPr="006B6FC7">
        <w:rPr>
          <w:rFonts w:ascii="Arial" w:hAnsi="Arial" w:cs="Arial"/>
          <w:b/>
          <w:bCs/>
          <w:color w:val="000000"/>
          <w:sz w:val="22"/>
          <w:szCs w:val="22"/>
          <w:lang w:val="en-ID"/>
        </w:rPr>
        <w:t>Signaling</w:t>
      </w:r>
      <w:proofErr w:type="spellEnd"/>
      <w:r w:rsidRPr="006B6FC7">
        <w:rPr>
          <w:rFonts w:ascii="Arial" w:hAnsi="Arial" w:cs="Arial"/>
          <w:b/>
          <w:bCs/>
          <w:color w:val="000000"/>
          <w:sz w:val="22"/>
          <w:szCs w:val="22"/>
          <w:lang w:val="en-ID"/>
        </w:rPr>
        <w:t xml:space="preserve"> Theory</w:t>
      </w:r>
    </w:p>
    <w:p w14:paraId="5E714930" w14:textId="77777777" w:rsidR="006B6FC7" w:rsidRPr="006B6FC7" w:rsidRDefault="006B6FC7" w:rsidP="006B6FC7">
      <w:pPr>
        <w:jc w:val="both"/>
        <w:rPr>
          <w:rFonts w:ascii="Arial" w:hAnsi="Arial" w:cs="Arial"/>
          <w:color w:val="000000"/>
          <w:lang w:val="en-ID"/>
        </w:rPr>
      </w:pPr>
      <w:proofErr w:type="spellStart"/>
      <w:r w:rsidRPr="006B6FC7">
        <w:rPr>
          <w:rFonts w:ascii="Arial" w:hAnsi="Arial" w:cs="Arial"/>
          <w:color w:val="000000"/>
          <w:lang w:val="en-ID"/>
        </w:rPr>
        <w:t>Signaling</w:t>
      </w:r>
      <w:proofErr w:type="spellEnd"/>
      <w:r w:rsidRPr="006B6FC7">
        <w:rPr>
          <w:rFonts w:ascii="Arial" w:hAnsi="Arial" w:cs="Arial"/>
          <w:color w:val="000000"/>
          <w:lang w:val="en-ID"/>
        </w:rPr>
        <w:t xml:space="preserve"> theory, introduced by Spencer (1973) [9], posits that the party possessing information (e.g., a company) conveys signals, such as financial reports, that reflect its condition and performance to relevant stakeholders [</w:t>
      </w:r>
      <w:proofErr w:type="gramStart"/>
      <w:r w:rsidRPr="006B6FC7">
        <w:rPr>
          <w:rFonts w:ascii="Arial" w:hAnsi="Arial" w:cs="Arial"/>
          <w:color w:val="000000"/>
          <w:lang w:val="en-ID"/>
        </w:rPr>
        <w:t>10][</w:t>
      </w:r>
      <w:proofErr w:type="gramEnd"/>
      <w:r w:rsidRPr="006B6FC7">
        <w:rPr>
          <w:rFonts w:ascii="Arial" w:hAnsi="Arial" w:cs="Arial"/>
          <w:color w:val="000000"/>
          <w:lang w:val="en-ID"/>
        </w:rPr>
        <w:t>11]. This theory operates on the principle that information shared by companies is not only a factual representation of performance but also serves as a strategic communication tool to shape stakeholder perceptions and attitudes. Financial reports, for instance, are used by companies to signal their financial health and operational achievements to stakeholders such as investors, analysts, and creditors.</w:t>
      </w:r>
    </w:p>
    <w:p w14:paraId="3B119752" w14:textId="77777777" w:rsidR="006B6FC7" w:rsidRPr="006B6FC7" w:rsidRDefault="006B6FC7" w:rsidP="006B6FC7">
      <w:pPr>
        <w:jc w:val="both"/>
        <w:rPr>
          <w:rFonts w:ascii="Arial" w:hAnsi="Arial" w:cs="Arial"/>
          <w:color w:val="000000"/>
          <w:lang w:val="en-ID"/>
        </w:rPr>
      </w:pPr>
      <w:r w:rsidRPr="006B6FC7">
        <w:rPr>
          <w:rFonts w:ascii="Arial" w:hAnsi="Arial" w:cs="Arial"/>
          <w:color w:val="000000"/>
          <w:lang w:val="en-ID"/>
        </w:rPr>
        <w:t xml:space="preserve">The effectiveness of </w:t>
      </w:r>
      <w:proofErr w:type="spellStart"/>
      <w:r w:rsidRPr="006B6FC7">
        <w:rPr>
          <w:rFonts w:ascii="Arial" w:hAnsi="Arial" w:cs="Arial"/>
          <w:color w:val="000000"/>
          <w:lang w:val="en-ID"/>
        </w:rPr>
        <w:t>signaling</w:t>
      </w:r>
      <w:proofErr w:type="spellEnd"/>
      <w:r w:rsidRPr="006B6FC7">
        <w:rPr>
          <w:rFonts w:ascii="Arial" w:hAnsi="Arial" w:cs="Arial"/>
          <w:color w:val="000000"/>
          <w:lang w:val="en-ID"/>
        </w:rPr>
        <w:t xml:space="preserve"> relies heavily on how stakeholders perceive and interpret the information conveyed. These perceptions are influenced by factors such as a company’s reputation, transparency, communication strategies, and long-term performance. Companies must ensure that the signals they send are both clear and credible to provide an accurate representation of their condition and future direction. In an era characterized by the rapid dissemination of information and increasing complexity in stakeholder relationships, </w:t>
      </w:r>
      <w:proofErr w:type="spellStart"/>
      <w:r w:rsidRPr="006B6FC7">
        <w:rPr>
          <w:rFonts w:ascii="Arial" w:hAnsi="Arial" w:cs="Arial"/>
          <w:color w:val="000000"/>
          <w:lang w:val="en-ID"/>
        </w:rPr>
        <w:t>signaling</w:t>
      </w:r>
      <w:proofErr w:type="spellEnd"/>
      <w:r w:rsidRPr="006B6FC7">
        <w:rPr>
          <w:rFonts w:ascii="Arial" w:hAnsi="Arial" w:cs="Arial"/>
          <w:color w:val="000000"/>
          <w:lang w:val="en-ID"/>
        </w:rPr>
        <w:t xml:space="preserve"> theory remains a critical conceptual framework for </w:t>
      </w:r>
      <w:proofErr w:type="spellStart"/>
      <w:r w:rsidRPr="006B6FC7">
        <w:rPr>
          <w:rFonts w:ascii="Arial" w:hAnsi="Arial" w:cs="Arial"/>
          <w:color w:val="000000"/>
          <w:lang w:val="en-ID"/>
        </w:rPr>
        <w:t>analyzing</w:t>
      </w:r>
      <w:proofErr w:type="spellEnd"/>
      <w:r w:rsidRPr="006B6FC7">
        <w:rPr>
          <w:rFonts w:ascii="Arial" w:hAnsi="Arial" w:cs="Arial"/>
          <w:color w:val="000000"/>
          <w:lang w:val="en-ID"/>
        </w:rPr>
        <w:t xml:space="preserve"> the interplay between corporate communication and stakeholder engagement.</w:t>
      </w:r>
    </w:p>
    <w:p w14:paraId="2AC6F80C" w14:textId="77777777" w:rsidR="006B6FC7" w:rsidRPr="006B6FC7" w:rsidRDefault="006B6FC7" w:rsidP="006B6FC7">
      <w:pPr>
        <w:widowControl w:val="0"/>
        <w:tabs>
          <w:tab w:val="left" w:pos="360"/>
        </w:tabs>
        <w:spacing w:line="240" w:lineRule="atLeast"/>
        <w:jc w:val="both"/>
        <w:rPr>
          <w:rFonts w:ascii="Arial" w:hAnsi="Arial" w:cs="Arial"/>
          <w:b/>
        </w:rPr>
      </w:pPr>
    </w:p>
    <w:p w14:paraId="2E26BE5A" w14:textId="77777777" w:rsidR="006B6FC7" w:rsidRPr="006B6FC7" w:rsidRDefault="006B6FC7" w:rsidP="006B6FC7">
      <w:pPr>
        <w:widowControl w:val="0"/>
        <w:tabs>
          <w:tab w:val="left" w:pos="360"/>
        </w:tabs>
        <w:spacing w:line="240" w:lineRule="atLeast"/>
        <w:jc w:val="both"/>
        <w:rPr>
          <w:rFonts w:ascii="Arial" w:hAnsi="Arial" w:cs="Arial"/>
          <w:b/>
          <w:sz w:val="22"/>
          <w:szCs w:val="22"/>
        </w:rPr>
      </w:pPr>
      <w:r w:rsidRPr="006B6FC7">
        <w:rPr>
          <w:rFonts w:ascii="Arial" w:hAnsi="Arial" w:cs="Arial"/>
          <w:b/>
          <w:sz w:val="22"/>
          <w:szCs w:val="22"/>
        </w:rPr>
        <w:t>POJK 51 of 2017 and SE OJK Number 16 of 2021</w:t>
      </w:r>
    </w:p>
    <w:p w14:paraId="1F613BF1" w14:textId="1F273E8A"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The Financial Services Authority Regulation (POJK) No. 51 of 2017 concerning the Implementation of Sustainable Finance for Financial Services Institutions, Issuers, and Public Companies aims to achieve sustainable development by maintaining economic stability and promoting inclusivity. This regulation emphasizes the importance of a national economic system that prioritizes the harmony between economic, social, and environmental aspects [12]. The implementation of POJK No. 51/2017 is further detailed in the Financial Services Authority Circular (SE OJK) Number 16 of 2021, which specifies the form and content of annual reports for issuers and public companies.</w:t>
      </w:r>
    </w:p>
    <w:p w14:paraId="7F1F95E3" w14:textId="77777777" w:rsid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increasing demand for financial and non-financial information has driven the development of integrated reporting in Indonesia, as reflected in OJK's regulations. POJK No. 51/2017 establishes guidelines for sustainable finance practices for financial services institutions, issuers, and public companies. Empirical evidence from Anita and </w:t>
      </w:r>
      <w:proofErr w:type="spellStart"/>
      <w:r w:rsidRPr="006B6FC7">
        <w:rPr>
          <w:rFonts w:ascii="Arial" w:hAnsi="Arial" w:cs="Arial"/>
          <w:bCs/>
        </w:rPr>
        <w:t>Eren</w:t>
      </w:r>
      <w:proofErr w:type="spellEnd"/>
      <w:r w:rsidRPr="006B6FC7">
        <w:rPr>
          <w:rFonts w:ascii="Arial" w:hAnsi="Arial" w:cs="Arial"/>
          <w:bCs/>
        </w:rPr>
        <w:t xml:space="preserve"> (2022) suggests that board attributes significantly influence the extent of corporate social responsibility (CSR) disclosure [13]. Furthermore, </w:t>
      </w:r>
      <w:proofErr w:type="spellStart"/>
      <w:r w:rsidRPr="006B6FC7">
        <w:rPr>
          <w:rFonts w:ascii="Arial" w:hAnsi="Arial" w:cs="Arial"/>
          <w:bCs/>
        </w:rPr>
        <w:t>Wulandari's</w:t>
      </w:r>
      <w:proofErr w:type="spellEnd"/>
      <w:r w:rsidRPr="006B6FC7">
        <w:rPr>
          <w:rFonts w:ascii="Arial" w:hAnsi="Arial" w:cs="Arial"/>
          <w:bCs/>
        </w:rPr>
        <w:t xml:space="preserve"> (2020) research on the impact of CSR disclosure on profitability—proxied by Return on Assets (ROA), Return on Equity (ROE), and Net Profit Margin (NPM)—reveals that CSR disclosure has a significant positive effect on all three metrics [14]. However, a study by </w:t>
      </w:r>
      <w:proofErr w:type="spellStart"/>
      <w:r w:rsidRPr="006B6FC7">
        <w:rPr>
          <w:rFonts w:ascii="Arial" w:hAnsi="Arial" w:cs="Arial"/>
          <w:bCs/>
        </w:rPr>
        <w:t>Bimantara</w:t>
      </w:r>
      <w:proofErr w:type="spellEnd"/>
      <w:r w:rsidRPr="006B6FC7">
        <w:rPr>
          <w:rFonts w:ascii="Arial" w:hAnsi="Arial" w:cs="Arial"/>
          <w:bCs/>
        </w:rPr>
        <w:t xml:space="preserve"> et al. (2022) found that sustainability report disclosure and company ratings do not influence value relevance, as proxied by the Earnings Response Coefficient, in companies participating in the Asia Sustainability Reporting Rating (ASRRAT) and listed on the Indonesia Stock Exchange [15].</w:t>
      </w:r>
    </w:p>
    <w:p w14:paraId="22D3C230" w14:textId="77777777" w:rsidR="006B6FC7" w:rsidRDefault="006B6FC7" w:rsidP="006B6FC7">
      <w:pPr>
        <w:widowControl w:val="0"/>
        <w:tabs>
          <w:tab w:val="left" w:pos="360"/>
        </w:tabs>
        <w:spacing w:line="240" w:lineRule="atLeast"/>
        <w:jc w:val="both"/>
        <w:rPr>
          <w:rFonts w:ascii="Arial" w:hAnsi="Arial" w:cs="Arial"/>
          <w:bCs/>
        </w:rPr>
      </w:pPr>
    </w:p>
    <w:p w14:paraId="56BAD88D" w14:textId="124E8ACA"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
          <w:sz w:val="22"/>
          <w:szCs w:val="22"/>
        </w:rPr>
        <w:t>RESEARCH METHODOLOGY</w:t>
      </w:r>
    </w:p>
    <w:p w14:paraId="59127F93" w14:textId="77777777" w:rsidR="006B6FC7" w:rsidRPr="006B6FC7" w:rsidRDefault="006B6FC7" w:rsidP="006B6FC7">
      <w:pPr>
        <w:jc w:val="both"/>
        <w:rPr>
          <w:rFonts w:ascii="Arial" w:hAnsi="Arial" w:cs="Arial"/>
          <w:color w:val="000000"/>
          <w:lang w:val="en-ID"/>
        </w:rPr>
      </w:pPr>
      <w:r w:rsidRPr="006B6FC7">
        <w:rPr>
          <w:rFonts w:ascii="Arial" w:hAnsi="Arial" w:cs="Arial"/>
          <w:color w:val="000000"/>
          <w:lang w:val="en-ID"/>
        </w:rPr>
        <w:t xml:space="preserve">This study employs a quantitative approach to examine the determinants of Environmental, Social, and Governance (ESG) disclosure levels and to </w:t>
      </w:r>
      <w:proofErr w:type="spellStart"/>
      <w:r w:rsidRPr="006B6FC7">
        <w:rPr>
          <w:rFonts w:ascii="Arial" w:hAnsi="Arial" w:cs="Arial"/>
          <w:color w:val="000000"/>
          <w:lang w:val="en-ID"/>
        </w:rPr>
        <w:t>analyze</w:t>
      </w:r>
      <w:proofErr w:type="spellEnd"/>
      <w:r w:rsidRPr="006B6FC7">
        <w:rPr>
          <w:rFonts w:ascii="Arial" w:hAnsi="Arial" w:cs="Arial"/>
          <w:color w:val="000000"/>
          <w:lang w:val="en-ID"/>
        </w:rPr>
        <w:t xml:space="preserve"> its impact on financial performance, as measured by firm value and profitability. A quantitative methodology is chosen because it enables systematic and objective analysis of data. By utilizing measurable numerical data, this approach allows for a more accurate identification of relationships between the studied variables.</w:t>
      </w:r>
    </w:p>
    <w:p w14:paraId="35B508E3" w14:textId="77777777" w:rsidR="006B6FC7" w:rsidRPr="006B6FC7" w:rsidRDefault="006B6FC7" w:rsidP="006B6FC7">
      <w:pPr>
        <w:jc w:val="both"/>
        <w:rPr>
          <w:rFonts w:ascii="Arial" w:hAnsi="Arial" w:cs="Arial"/>
          <w:color w:val="000000"/>
          <w:lang w:val="en-ID"/>
        </w:rPr>
      </w:pPr>
      <w:r w:rsidRPr="006B6FC7">
        <w:rPr>
          <w:rFonts w:ascii="Arial" w:hAnsi="Arial" w:cs="Arial"/>
          <w:color w:val="000000"/>
          <w:lang w:val="en-ID"/>
        </w:rPr>
        <w:lastRenderedPageBreak/>
        <w:t xml:space="preserve">The population for this study consists of </w:t>
      </w:r>
      <w:proofErr w:type="spellStart"/>
      <w:r w:rsidRPr="006B6FC7">
        <w:rPr>
          <w:rFonts w:ascii="Arial" w:hAnsi="Arial" w:cs="Arial"/>
          <w:color w:val="000000"/>
          <w:lang w:val="en-ID"/>
        </w:rPr>
        <w:t>agro</w:t>
      </w:r>
      <w:proofErr w:type="spellEnd"/>
      <w:r w:rsidRPr="006B6FC7">
        <w:rPr>
          <w:rFonts w:ascii="Arial" w:hAnsi="Arial" w:cs="Arial"/>
          <w:color w:val="000000"/>
          <w:lang w:val="en-ID"/>
        </w:rPr>
        <w:t xml:space="preserve">-industrial and polluting companies listed on the Indonesia Stock Exchange (IDX) during the period 2018-2022. This population includes companies that operate in the </w:t>
      </w:r>
      <w:proofErr w:type="spellStart"/>
      <w:r w:rsidRPr="006B6FC7">
        <w:rPr>
          <w:rFonts w:ascii="Arial" w:hAnsi="Arial" w:cs="Arial"/>
          <w:color w:val="000000"/>
          <w:lang w:val="en-ID"/>
        </w:rPr>
        <w:t>agro</w:t>
      </w:r>
      <w:proofErr w:type="spellEnd"/>
      <w:r w:rsidRPr="006B6FC7">
        <w:rPr>
          <w:rFonts w:ascii="Arial" w:hAnsi="Arial" w:cs="Arial"/>
          <w:color w:val="000000"/>
          <w:lang w:val="en-ID"/>
        </w:rPr>
        <w:t>-industrial sector and/or generate significant pollution impacts in Indonesia. The sample selection method used is purposive sampling, with the following criteria:</w:t>
      </w:r>
    </w:p>
    <w:p w14:paraId="7D22C82C" w14:textId="77777777" w:rsidR="006B6FC7" w:rsidRPr="006B6FC7" w:rsidRDefault="006B6FC7" w:rsidP="006B6FC7">
      <w:pPr>
        <w:numPr>
          <w:ilvl w:val="0"/>
          <w:numId w:val="32"/>
        </w:numPr>
        <w:jc w:val="both"/>
        <w:rPr>
          <w:rFonts w:ascii="Arial" w:hAnsi="Arial" w:cs="Arial"/>
          <w:color w:val="000000"/>
          <w:lang w:val="en-ID"/>
        </w:rPr>
      </w:pPr>
      <w:proofErr w:type="spellStart"/>
      <w:r w:rsidRPr="006B6FC7">
        <w:rPr>
          <w:rFonts w:ascii="Arial" w:hAnsi="Arial" w:cs="Arial"/>
          <w:color w:val="000000"/>
          <w:lang w:val="en-ID"/>
        </w:rPr>
        <w:t>Agro</w:t>
      </w:r>
      <w:proofErr w:type="spellEnd"/>
      <w:r w:rsidRPr="006B6FC7">
        <w:rPr>
          <w:rFonts w:ascii="Arial" w:hAnsi="Arial" w:cs="Arial"/>
          <w:color w:val="000000"/>
          <w:lang w:val="en-ID"/>
        </w:rPr>
        <w:t>-industrial and polluting companies in Indonesia, listed on the Indonesia Stock Exchange during the period 2018-2022.</w:t>
      </w:r>
    </w:p>
    <w:p w14:paraId="3A664CC6" w14:textId="77777777" w:rsidR="006B6FC7" w:rsidRPr="006B6FC7" w:rsidRDefault="006B6FC7" w:rsidP="006B6FC7">
      <w:pPr>
        <w:numPr>
          <w:ilvl w:val="0"/>
          <w:numId w:val="32"/>
        </w:numPr>
        <w:jc w:val="both"/>
        <w:rPr>
          <w:rFonts w:ascii="Arial" w:hAnsi="Arial" w:cs="Arial"/>
          <w:color w:val="000000"/>
          <w:lang w:val="en-ID"/>
        </w:rPr>
      </w:pPr>
      <w:proofErr w:type="spellStart"/>
      <w:r w:rsidRPr="006B6FC7">
        <w:rPr>
          <w:rFonts w:ascii="Arial" w:hAnsi="Arial" w:cs="Arial"/>
          <w:color w:val="000000"/>
          <w:lang w:val="en-ID"/>
        </w:rPr>
        <w:t>Agro</w:t>
      </w:r>
      <w:proofErr w:type="spellEnd"/>
      <w:r w:rsidRPr="006B6FC7">
        <w:rPr>
          <w:rFonts w:ascii="Arial" w:hAnsi="Arial" w:cs="Arial"/>
          <w:color w:val="000000"/>
          <w:lang w:val="en-ID"/>
        </w:rPr>
        <w:t>-industrial and polluting companies in Indonesia that published annual reports for the years 2018-2022.</w:t>
      </w:r>
    </w:p>
    <w:p w14:paraId="019C2D76" w14:textId="77777777" w:rsidR="006B6FC7" w:rsidRPr="006B6FC7" w:rsidRDefault="006B6FC7" w:rsidP="006B6FC7">
      <w:pPr>
        <w:numPr>
          <w:ilvl w:val="0"/>
          <w:numId w:val="32"/>
        </w:numPr>
        <w:jc w:val="both"/>
        <w:rPr>
          <w:rFonts w:ascii="Arial" w:hAnsi="Arial" w:cs="Arial"/>
          <w:color w:val="000000"/>
          <w:lang w:val="en-ID"/>
        </w:rPr>
      </w:pPr>
      <w:r w:rsidRPr="006B6FC7">
        <w:rPr>
          <w:rFonts w:ascii="Arial" w:hAnsi="Arial" w:cs="Arial"/>
          <w:color w:val="000000"/>
          <w:lang w:val="en-ID"/>
        </w:rPr>
        <w:t>Companies that have complete data required for the analysis.</w:t>
      </w:r>
    </w:p>
    <w:p w14:paraId="5F88C010" w14:textId="77777777" w:rsidR="006B6FC7" w:rsidRPr="006B6FC7" w:rsidRDefault="006B6FC7" w:rsidP="006B6FC7">
      <w:pPr>
        <w:ind w:firstLine="720"/>
        <w:jc w:val="both"/>
        <w:rPr>
          <w:rFonts w:ascii="Arial" w:hAnsi="Arial" w:cs="Arial"/>
          <w:color w:val="000000"/>
          <w:lang w:val="en-ID"/>
        </w:rPr>
      </w:pPr>
      <w:r w:rsidRPr="006B6FC7">
        <w:rPr>
          <w:rFonts w:ascii="Arial" w:hAnsi="Arial" w:cs="Arial"/>
          <w:color w:val="000000"/>
          <w:lang w:val="en-ID"/>
        </w:rPr>
        <w:t xml:space="preserve">Purposive sampling is selected because it allows the researchers to choose specific samples that align with the research objectives, particularly in examining the relationship between ESG disclosure levels and financial performance in </w:t>
      </w:r>
      <w:proofErr w:type="spellStart"/>
      <w:r w:rsidRPr="006B6FC7">
        <w:rPr>
          <w:rFonts w:ascii="Arial" w:hAnsi="Arial" w:cs="Arial"/>
          <w:color w:val="000000"/>
          <w:lang w:val="en-ID"/>
        </w:rPr>
        <w:t>agro</w:t>
      </w:r>
      <w:proofErr w:type="spellEnd"/>
      <w:r w:rsidRPr="006B6FC7">
        <w:rPr>
          <w:rFonts w:ascii="Arial" w:hAnsi="Arial" w:cs="Arial"/>
          <w:color w:val="000000"/>
          <w:lang w:val="en-ID"/>
        </w:rPr>
        <w:t>-industrial and high-pollution companies in Indonesia.</w:t>
      </w:r>
    </w:p>
    <w:p w14:paraId="1C3D087F" w14:textId="77777777" w:rsidR="006B6FC7" w:rsidRPr="006B6FC7" w:rsidRDefault="006B6FC7" w:rsidP="006B6FC7">
      <w:pPr>
        <w:ind w:firstLine="720"/>
        <w:jc w:val="both"/>
        <w:rPr>
          <w:rFonts w:ascii="Arial" w:hAnsi="Arial" w:cs="Arial"/>
          <w:color w:val="000000"/>
          <w:lang w:val="en-ID"/>
        </w:rPr>
      </w:pPr>
      <w:r w:rsidRPr="006B6FC7">
        <w:rPr>
          <w:rFonts w:ascii="Arial" w:hAnsi="Arial" w:cs="Arial"/>
          <w:color w:val="000000"/>
          <w:lang w:val="en-ID"/>
        </w:rPr>
        <w:t>For testing hypotheses H1, H2, and H3, the following regression equation (1) will be estimated using Ordinary Least Squares (OLS) regression:</w:t>
      </w:r>
    </w:p>
    <w:p w14:paraId="6C7BB78A" w14:textId="77777777" w:rsidR="006B6FC7" w:rsidRPr="006B6FC7" w:rsidRDefault="006B6FC7" w:rsidP="006B6FC7">
      <w:pPr>
        <w:widowControl w:val="0"/>
        <w:tabs>
          <w:tab w:val="left" w:pos="180"/>
        </w:tabs>
        <w:spacing w:line="240" w:lineRule="atLeast"/>
        <w:jc w:val="both"/>
        <w:rPr>
          <w:rFonts w:ascii="Arial" w:hAnsi="Arial" w:cs="Arial"/>
          <w:b/>
        </w:rPr>
      </w:pPr>
    </w:p>
    <w:p w14:paraId="613D2D4E" w14:textId="47E773A3"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ab/>
      </w:r>
      <w:proofErr w:type="spellStart"/>
      <w:r w:rsidRPr="006B6FC7">
        <w:rPr>
          <w:rFonts w:ascii="Arial" w:hAnsi="Arial" w:cs="Arial"/>
          <w:b/>
        </w:rPr>
        <w:t>ESG</w:t>
      </w:r>
      <w:r w:rsidRPr="006B6FC7">
        <w:rPr>
          <w:rFonts w:ascii="Arial" w:hAnsi="Arial" w:cs="Arial"/>
          <w:b/>
          <w:vertAlign w:val="subscript"/>
        </w:rPr>
        <w:t>jt</w:t>
      </w:r>
      <w:proofErr w:type="spellEnd"/>
      <w:r w:rsidRPr="006B6FC7">
        <w:rPr>
          <w:rFonts w:ascii="Arial" w:hAnsi="Arial" w:cs="Arial"/>
          <w:b/>
        </w:rPr>
        <w:t xml:space="preserve"> </w:t>
      </w:r>
      <w:r w:rsidRPr="006B6FC7">
        <w:rPr>
          <w:rFonts w:ascii="Arial" w:hAnsi="Arial" w:cs="Arial"/>
          <w:b/>
        </w:rPr>
        <w:tab/>
        <w:t>= α + β</w:t>
      </w:r>
      <w:r w:rsidRPr="006B6FC7">
        <w:rPr>
          <w:rFonts w:ascii="Arial" w:hAnsi="Arial" w:cs="Arial"/>
          <w:b/>
          <w:vertAlign w:val="subscript"/>
        </w:rPr>
        <w:t>1</w:t>
      </w:r>
      <w:r w:rsidRPr="006B6FC7">
        <w:rPr>
          <w:rFonts w:ascii="Arial" w:hAnsi="Arial" w:cs="Arial"/>
          <w:b/>
        </w:rPr>
        <w:t>KI</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2</w:t>
      </w:r>
      <w:r w:rsidRPr="006B6FC7">
        <w:rPr>
          <w:rFonts w:ascii="Arial" w:hAnsi="Arial" w:cs="Arial"/>
          <w:b/>
        </w:rPr>
        <w:t>DER</w:t>
      </w:r>
      <w:r w:rsidRPr="006B6FC7">
        <w:rPr>
          <w:rFonts w:ascii="Arial" w:hAnsi="Arial" w:cs="Arial"/>
          <w:b/>
          <w:vertAlign w:val="subscript"/>
        </w:rPr>
        <w:t>jt</w:t>
      </w:r>
      <w:r w:rsidRPr="006B6FC7">
        <w:rPr>
          <w:rFonts w:ascii="Arial" w:hAnsi="Arial" w:cs="Arial"/>
          <w:b/>
        </w:rPr>
        <w:t xml:space="preserve"> + β</w:t>
      </w:r>
      <w:r w:rsidRPr="006B6FC7">
        <w:rPr>
          <w:rFonts w:ascii="Arial" w:hAnsi="Arial" w:cs="Arial"/>
          <w:b/>
          <w:vertAlign w:val="subscript"/>
        </w:rPr>
        <w:t>3</w:t>
      </w:r>
      <w:r w:rsidRPr="006B6FC7">
        <w:rPr>
          <w:rFonts w:ascii="Arial" w:hAnsi="Arial" w:cs="Arial"/>
          <w:b/>
        </w:rPr>
        <w:t>KD</w:t>
      </w:r>
      <w:r w:rsidRPr="006B6FC7">
        <w:rPr>
          <w:rFonts w:ascii="Arial" w:hAnsi="Arial" w:cs="Arial"/>
          <w:b/>
          <w:vertAlign w:val="subscript"/>
        </w:rPr>
        <w:t>jt</w:t>
      </w:r>
      <w:r w:rsidRPr="006B6FC7">
        <w:rPr>
          <w:rFonts w:ascii="Arial" w:hAnsi="Arial" w:cs="Arial"/>
          <w:b/>
        </w:rPr>
        <w:t xml:space="preserve"> + β</w:t>
      </w:r>
      <w:r w:rsidRPr="006B6FC7">
        <w:rPr>
          <w:rFonts w:ascii="Arial" w:hAnsi="Arial" w:cs="Arial"/>
          <w:b/>
          <w:vertAlign w:val="subscript"/>
        </w:rPr>
        <w:t>4</w:t>
      </w:r>
      <w:r w:rsidRPr="006B6FC7">
        <w:rPr>
          <w:rFonts w:ascii="Arial" w:hAnsi="Arial" w:cs="Arial"/>
          <w:b/>
        </w:rPr>
        <w:t xml:space="preserve"> </w:t>
      </w:r>
      <w:proofErr w:type="spellStart"/>
      <w:r w:rsidRPr="006B6FC7">
        <w:rPr>
          <w:rFonts w:ascii="Arial" w:hAnsi="Arial" w:cs="Arial"/>
          <w:b/>
        </w:rPr>
        <w:t>FS</w:t>
      </w:r>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5</w:t>
      </w:r>
      <w:r w:rsidRPr="006B6FC7">
        <w:rPr>
          <w:rFonts w:ascii="Arial" w:hAnsi="Arial" w:cs="Arial"/>
          <w:b/>
        </w:rPr>
        <w:t>Age</w:t>
      </w:r>
      <w:r w:rsidRPr="006B6FC7">
        <w:rPr>
          <w:rFonts w:ascii="Arial" w:hAnsi="Arial" w:cs="Arial"/>
          <w:b/>
          <w:vertAlign w:val="subscript"/>
        </w:rPr>
        <w:t>jt</w:t>
      </w:r>
      <w:r w:rsidRPr="006B6FC7">
        <w:rPr>
          <w:rFonts w:ascii="Arial" w:hAnsi="Arial" w:cs="Arial"/>
          <w:b/>
        </w:rPr>
        <w:t xml:space="preserve"> + </w:t>
      </w:r>
      <w:proofErr w:type="spellStart"/>
      <w:r w:rsidRPr="006B6FC7">
        <w:rPr>
          <w:rFonts w:ascii="Arial" w:hAnsi="Arial" w:cs="Arial"/>
          <w:b/>
        </w:rPr>
        <w:t>ε</w:t>
      </w:r>
      <w:r w:rsidRPr="006B6FC7">
        <w:rPr>
          <w:rFonts w:ascii="Arial" w:hAnsi="Arial" w:cs="Arial"/>
          <w:b/>
          <w:vertAlign w:val="subscript"/>
        </w:rPr>
        <w:t>jt</w:t>
      </w:r>
      <w:proofErr w:type="spellEnd"/>
      <w:r w:rsidRPr="006B6FC7">
        <w:rPr>
          <w:rFonts w:ascii="Arial" w:hAnsi="Arial" w:cs="Arial"/>
          <w:b/>
          <w:vertAlign w:val="subscript"/>
        </w:rPr>
        <w:tab/>
      </w:r>
      <w:r w:rsidRPr="006B6FC7">
        <w:rPr>
          <w:rFonts w:ascii="Arial" w:hAnsi="Arial" w:cs="Arial"/>
          <w:b/>
        </w:rPr>
        <w:t xml:space="preserve">   </w:t>
      </w:r>
      <w:r w:rsidRPr="006B6FC7">
        <w:rPr>
          <w:rFonts w:ascii="Arial" w:hAnsi="Arial" w:cs="Arial"/>
          <w:bCs/>
        </w:rPr>
        <w:t>Equation (1)</w:t>
      </w:r>
    </w:p>
    <w:p w14:paraId="78DE9FD0" w14:textId="77777777" w:rsid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r>
    </w:p>
    <w:p w14:paraId="301C6B9B" w14:textId="3B103C1B"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color w:val="000000"/>
          <w:lang w:val="en-ID"/>
        </w:rPr>
        <w:t xml:space="preserve">For testing hypotheses </w:t>
      </w:r>
      <w:r w:rsidRPr="006B6FC7">
        <w:rPr>
          <w:rFonts w:ascii="Arial" w:hAnsi="Arial" w:cs="Arial"/>
          <w:bCs/>
        </w:rPr>
        <w:t xml:space="preserve">H4a and H4b, </w:t>
      </w:r>
      <w:r w:rsidRPr="006B6FC7">
        <w:rPr>
          <w:rFonts w:ascii="Arial" w:hAnsi="Arial" w:cs="Arial"/>
          <w:color w:val="000000"/>
          <w:lang w:val="en-ID"/>
        </w:rPr>
        <w:t>the following regression equation (2</w:t>
      </w:r>
      <w:proofErr w:type="gramStart"/>
      <w:r w:rsidRPr="006B6FC7">
        <w:rPr>
          <w:rFonts w:ascii="Arial" w:hAnsi="Arial" w:cs="Arial"/>
          <w:color w:val="000000"/>
          <w:lang w:val="en-ID"/>
        </w:rPr>
        <w:t xml:space="preserve">) </w:t>
      </w:r>
      <w:r w:rsidRPr="006B6FC7">
        <w:rPr>
          <w:rFonts w:ascii="Arial" w:hAnsi="Arial" w:cs="Arial"/>
          <w:bCs/>
        </w:rPr>
        <w:t xml:space="preserve"> and</w:t>
      </w:r>
      <w:proofErr w:type="gramEnd"/>
      <w:r w:rsidRPr="006B6FC7">
        <w:rPr>
          <w:rFonts w:ascii="Arial" w:hAnsi="Arial" w:cs="Arial"/>
          <w:bCs/>
        </w:rPr>
        <w:t xml:space="preserve"> (3) </w:t>
      </w:r>
      <w:r w:rsidRPr="006B6FC7">
        <w:rPr>
          <w:rFonts w:ascii="Arial" w:hAnsi="Arial" w:cs="Arial"/>
          <w:color w:val="000000"/>
          <w:lang w:val="en-ID"/>
        </w:rPr>
        <w:t>will be estimated using Ordinary Least Squares (OLS) regression:</w:t>
      </w:r>
    </w:p>
    <w:p w14:paraId="4D58D507" w14:textId="77777777" w:rsidR="006B6FC7" w:rsidRPr="006B6FC7" w:rsidRDefault="006B6FC7" w:rsidP="006B6FC7">
      <w:pPr>
        <w:widowControl w:val="0"/>
        <w:tabs>
          <w:tab w:val="left" w:pos="180"/>
        </w:tabs>
        <w:spacing w:line="240" w:lineRule="atLeast"/>
        <w:jc w:val="both"/>
        <w:rPr>
          <w:rFonts w:ascii="Arial" w:hAnsi="Arial" w:cs="Arial"/>
          <w:b/>
        </w:rPr>
      </w:pPr>
    </w:p>
    <w:p w14:paraId="63F15577" w14:textId="0E779B5D" w:rsidR="006B6FC7" w:rsidRPr="006B6FC7" w:rsidRDefault="006B6FC7" w:rsidP="006B6FC7">
      <w:pPr>
        <w:widowControl w:val="0"/>
        <w:tabs>
          <w:tab w:val="left" w:pos="180"/>
        </w:tabs>
        <w:spacing w:line="240" w:lineRule="atLeast"/>
        <w:jc w:val="both"/>
        <w:rPr>
          <w:rFonts w:ascii="Arial" w:hAnsi="Arial" w:cs="Arial"/>
          <w:b/>
        </w:rPr>
      </w:pPr>
      <w:proofErr w:type="spellStart"/>
      <w:r w:rsidRPr="006B6FC7">
        <w:rPr>
          <w:rFonts w:ascii="Arial" w:hAnsi="Arial" w:cs="Arial"/>
          <w:b/>
        </w:rPr>
        <w:t>Tobins'Q</w:t>
      </w:r>
      <w:proofErr w:type="spellEnd"/>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w:t>
      </w:r>
      <w:r w:rsidRPr="006B6FC7">
        <w:rPr>
          <w:rFonts w:ascii="Arial" w:hAnsi="Arial" w:cs="Arial"/>
          <w:b/>
        </w:rPr>
        <w:tab/>
        <w:t>= α + β</w:t>
      </w:r>
      <w:r w:rsidRPr="006B6FC7">
        <w:rPr>
          <w:rFonts w:ascii="Arial" w:hAnsi="Arial" w:cs="Arial"/>
          <w:b/>
          <w:vertAlign w:val="subscript"/>
        </w:rPr>
        <w:t>1</w:t>
      </w:r>
      <w:r w:rsidRPr="006B6FC7">
        <w:rPr>
          <w:rFonts w:ascii="Arial" w:hAnsi="Arial" w:cs="Arial"/>
          <w:b/>
        </w:rPr>
        <w:t xml:space="preserve"> ESG</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2</w:t>
      </w:r>
      <w:r w:rsidRPr="006B6FC7">
        <w:rPr>
          <w:rFonts w:ascii="Arial" w:hAnsi="Arial" w:cs="Arial"/>
          <w:b/>
        </w:rPr>
        <w:t xml:space="preserve"> Growth</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3</w:t>
      </w:r>
      <w:r w:rsidRPr="006B6FC7">
        <w:rPr>
          <w:rFonts w:ascii="Arial" w:hAnsi="Arial" w:cs="Arial"/>
          <w:b/>
        </w:rPr>
        <w:t xml:space="preserve"> Age</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vertAlign w:val="subscript"/>
        </w:rPr>
        <w:t xml:space="preserve"> </w:t>
      </w:r>
      <w:r w:rsidRPr="006B6FC7">
        <w:rPr>
          <w:rFonts w:ascii="Arial" w:hAnsi="Arial" w:cs="Arial"/>
          <w:b/>
        </w:rPr>
        <w:t>+ ε</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w:t>
      </w:r>
      <w:r w:rsidRPr="006B6FC7">
        <w:rPr>
          <w:rFonts w:ascii="Arial" w:hAnsi="Arial" w:cs="Arial"/>
          <w:b/>
        </w:rPr>
        <w:tab/>
      </w:r>
      <w:r w:rsidRPr="006B6FC7">
        <w:rPr>
          <w:rFonts w:ascii="Arial" w:hAnsi="Arial" w:cs="Arial"/>
          <w:b/>
        </w:rPr>
        <w:tab/>
      </w:r>
      <w:r w:rsidRPr="006B6FC7">
        <w:rPr>
          <w:rFonts w:ascii="Arial" w:hAnsi="Arial" w:cs="Arial"/>
          <w:bCs/>
        </w:rPr>
        <w:t>Equation (2a)</w:t>
      </w:r>
    </w:p>
    <w:p w14:paraId="3C68B3F6" w14:textId="77777777" w:rsidR="006B6FC7" w:rsidRPr="006B6FC7" w:rsidRDefault="006B6FC7" w:rsidP="006B6FC7">
      <w:pPr>
        <w:widowControl w:val="0"/>
        <w:tabs>
          <w:tab w:val="left" w:pos="180"/>
        </w:tabs>
        <w:spacing w:line="240" w:lineRule="atLeast"/>
        <w:ind w:left="180"/>
        <w:jc w:val="both"/>
        <w:rPr>
          <w:rFonts w:ascii="Arial" w:hAnsi="Arial" w:cs="Arial"/>
          <w:b/>
        </w:rPr>
      </w:pPr>
    </w:p>
    <w:p w14:paraId="17CCB644" w14:textId="67FCA919" w:rsidR="006B6FC7" w:rsidRPr="006B6FC7" w:rsidRDefault="006B6FC7" w:rsidP="006B6FC7">
      <w:pPr>
        <w:widowControl w:val="0"/>
        <w:tabs>
          <w:tab w:val="left" w:pos="180"/>
        </w:tabs>
        <w:spacing w:line="240" w:lineRule="atLeast"/>
        <w:ind w:left="180"/>
        <w:jc w:val="both"/>
        <w:rPr>
          <w:rFonts w:ascii="Arial" w:hAnsi="Arial" w:cs="Arial"/>
          <w:b/>
        </w:rPr>
      </w:pPr>
      <w:proofErr w:type="spellStart"/>
      <w:r w:rsidRPr="006B6FC7">
        <w:rPr>
          <w:rFonts w:ascii="Arial" w:hAnsi="Arial" w:cs="Arial"/>
          <w:b/>
        </w:rPr>
        <w:t>PBV</w:t>
      </w:r>
      <w:r w:rsidRPr="006B6FC7">
        <w:rPr>
          <w:rFonts w:ascii="Arial" w:hAnsi="Arial" w:cs="Arial"/>
          <w:b/>
          <w:vertAlign w:val="subscript"/>
        </w:rPr>
        <w:t>jt</w:t>
      </w:r>
      <w:proofErr w:type="spellEnd"/>
      <w:r w:rsidRPr="006B6FC7">
        <w:rPr>
          <w:rFonts w:ascii="Arial" w:hAnsi="Arial" w:cs="Arial"/>
          <w:b/>
        </w:rPr>
        <w:t xml:space="preserve"> </w:t>
      </w:r>
      <w:r w:rsidRPr="006B6FC7">
        <w:rPr>
          <w:rFonts w:ascii="Arial" w:hAnsi="Arial" w:cs="Arial"/>
          <w:b/>
        </w:rPr>
        <w:tab/>
        <w:t>= α + β</w:t>
      </w:r>
      <w:r w:rsidRPr="006B6FC7">
        <w:rPr>
          <w:rFonts w:ascii="Arial" w:hAnsi="Arial" w:cs="Arial"/>
          <w:b/>
          <w:vertAlign w:val="subscript"/>
        </w:rPr>
        <w:t>1</w:t>
      </w:r>
      <w:r w:rsidRPr="006B6FC7">
        <w:rPr>
          <w:rFonts w:ascii="Arial" w:hAnsi="Arial" w:cs="Arial"/>
          <w:b/>
        </w:rPr>
        <w:t xml:space="preserve"> ESG</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2</w:t>
      </w:r>
      <w:r w:rsidRPr="006B6FC7">
        <w:rPr>
          <w:rFonts w:ascii="Arial" w:hAnsi="Arial" w:cs="Arial"/>
          <w:b/>
        </w:rPr>
        <w:t xml:space="preserve"> Growth</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3</w:t>
      </w:r>
      <w:r w:rsidRPr="006B6FC7">
        <w:rPr>
          <w:rFonts w:ascii="Arial" w:hAnsi="Arial" w:cs="Arial"/>
          <w:b/>
        </w:rPr>
        <w:t xml:space="preserve"> Age</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vertAlign w:val="subscript"/>
        </w:rPr>
        <w:t xml:space="preserve"> </w:t>
      </w:r>
      <w:r w:rsidRPr="006B6FC7">
        <w:rPr>
          <w:rFonts w:ascii="Arial" w:hAnsi="Arial" w:cs="Arial"/>
          <w:b/>
        </w:rPr>
        <w:t>+ ε</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vertAlign w:val="subscript"/>
        </w:rPr>
        <w:t xml:space="preserve">   </w:t>
      </w:r>
      <w:r w:rsidRPr="006B6FC7">
        <w:rPr>
          <w:rFonts w:ascii="Arial" w:hAnsi="Arial" w:cs="Arial"/>
          <w:b/>
        </w:rPr>
        <w:t xml:space="preserve">        </w:t>
      </w:r>
      <w:r w:rsidRPr="006B6FC7">
        <w:rPr>
          <w:rFonts w:ascii="Arial" w:hAnsi="Arial" w:cs="Arial"/>
          <w:b/>
        </w:rPr>
        <w:tab/>
      </w:r>
      <w:r w:rsidRPr="006B6FC7">
        <w:rPr>
          <w:rFonts w:ascii="Arial" w:hAnsi="Arial" w:cs="Arial"/>
          <w:bCs/>
        </w:rPr>
        <w:t>Equation (2b)</w:t>
      </w:r>
    </w:p>
    <w:p w14:paraId="237916A3" w14:textId="77777777" w:rsidR="006B6FC7" w:rsidRPr="006B6FC7" w:rsidRDefault="006B6FC7" w:rsidP="006B6FC7">
      <w:pPr>
        <w:widowControl w:val="0"/>
        <w:tabs>
          <w:tab w:val="left" w:pos="180"/>
        </w:tabs>
        <w:spacing w:line="240" w:lineRule="atLeast"/>
        <w:ind w:left="180"/>
        <w:jc w:val="both"/>
        <w:rPr>
          <w:rFonts w:ascii="Arial" w:hAnsi="Arial" w:cs="Arial"/>
          <w:b/>
        </w:rPr>
      </w:pPr>
    </w:p>
    <w:p w14:paraId="77662D13" w14:textId="0B3C21F8" w:rsidR="006B6FC7" w:rsidRPr="006B6FC7" w:rsidRDefault="006B6FC7" w:rsidP="006B6FC7">
      <w:pPr>
        <w:widowControl w:val="0"/>
        <w:tabs>
          <w:tab w:val="left" w:pos="180"/>
        </w:tabs>
        <w:spacing w:line="240" w:lineRule="atLeast"/>
        <w:ind w:left="180"/>
        <w:jc w:val="both"/>
        <w:rPr>
          <w:rFonts w:ascii="Arial" w:hAnsi="Arial" w:cs="Arial"/>
          <w:bCs/>
        </w:rPr>
      </w:pPr>
      <w:r w:rsidRPr="006B6FC7">
        <w:rPr>
          <w:rFonts w:ascii="Arial" w:hAnsi="Arial" w:cs="Arial"/>
          <w:b/>
        </w:rPr>
        <w:t xml:space="preserve">ROA </w:t>
      </w:r>
      <w:proofErr w:type="spellStart"/>
      <w:r w:rsidRPr="006B6FC7">
        <w:rPr>
          <w:rFonts w:ascii="Arial" w:hAnsi="Arial" w:cs="Arial"/>
          <w:b/>
        </w:rPr>
        <w:t>jt</w:t>
      </w:r>
      <w:proofErr w:type="spellEnd"/>
      <w:r w:rsidRPr="006B6FC7">
        <w:rPr>
          <w:rFonts w:ascii="Arial" w:hAnsi="Arial" w:cs="Arial"/>
          <w:b/>
        </w:rPr>
        <w:t xml:space="preserve"> </w:t>
      </w:r>
      <w:r w:rsidRPr="006B6FC7">
        <w:rPr>
          <w:rFonts w:ascii="Arial" w:hAnsi="Arial" w:cs="Arial"/>
          <w:b/>
        </w:rPr>
        <w:tab/>
        <w:t>= α + β</w:t>
      </w:r>
      <w:r w:rsidRPr="006B6FC7">
        <w:rPr>
          <w:rFonts w:ascii="Arial" w:hAnsi="Arial" w:cs="Arial"/>
          <w:b/>
          <w:vertAlign w:val="subscript"/>
        </w:rPr>
        <w:t>1</w:t>
      </w:r>
      <w:r w:rsidRPr="006B6FC7">
        <w:rPr>
          <w:rFonts w:ascii="Arial" w:hAnsi="Arial" w:cs="Arial"/>
          <w:b/>
        </w:rPr>
        <w:t xml:space="preserve"> ESG</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2</w:t>
      </w:r>
      <w:r w:rsidRPr="006B6FC7">
        <w:rPr>
          <w:rFonts w:ascii="Arial" w:hAnsi="Arial" w:cs="Arial"/>
          <w:b/>
        </w:rPr>
        <w:t xml:space="preserve"> Growth</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3</w:t>
      </w:r>
      <w:r w:rsidRPr="006B6FC7">
        <w:rPr>
          <w:rFonts w:ascii="Arial" w:hAnsi="Arial" w:cs="Arial"/>
          <w:b/>
        </w:rPr>
        <w:t xml:space="preserve"> Age</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vertAlign w:val="subscript"/>
        </w:rPr>
        <w:t xml:space="preserve"> </w:t>
      </w:r>
      <w:r w:rsidRPr="006B6FC7">
        <w:rPr>
          <w:rFonts w:ascii="Arial" w:hAnsi="Arial" w:cs="Arial"/>
          <w:b/>
        </w:rPr>
        <w:t>+ ε</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w:t>
      </w:r>
      <w:r w:rsidRPr="006B6FC7">
        <w:rPr>
          <w:rFonts w:ascii="Arial" w:hAnsi="Arial" w:cs="Arial"/>
          <w:b/>
        </w:rPr>
        <w:tab/>
      </w:r>
      <w:r w:rsidRPr="006B6FC7">
        <w:rPr>
          <w:rFonts w:ascii="Arial" w:hAnsi="Arial" w:cs="Arial"/>
          <w:b/>
        </w:rPr>
        <w:tab/>
      </w:r>
      <w:r w:rsidRPr="006B6FC7">
        <w:rPr>
          <w:rFonts w:ascii="Arial" w:hAnsi="Arial" w:cs="Arial"/>
          <w:bCs/>
        </w:rPr>
        <w:t>Equation (3)</w:t>
      </w:r>
    </w:p>
    <w:p w14:paraId="25DC2525" w14:textId="77777777" w:rsidR="006B6FC7" w:rsidRPr="006B6FC7" w:rsidRDefault="006B6FC7" w:rsidP="006B6FC7">
      <w:pPr>
        <w:widowControl w:val="0"/>
        <w:tabs>
          <w:tab w:val="left" w:pos="180"/>
        </w:tabs>
        <w:spacing w:line="240" w:lineRule="atLeast"/>
        <w:jc w:val="both"/>
        <w:rPr>
          <w:rFonts w:ascii="Arial" w:hAnsi="Arial" w:cs="Arial"/>
          <w:bCs/>
        </w:rPr>
      </w:pPr>
    </w:p>
    <w:p w14:paraId="0989BDDC" w14:textId="247F9F18"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In this study, several variables are used to examine the relationship between Environmental, Social, and Governance (ESG) disclosure and financial performance. Tobin’s Q (PBV) is employed as a proxy for firm value, representing the market value of a company’s assets relative to their replacement cost. A higher Tobin’s Q indicates a higher market valuation relative to the cost of replacing the company’s assets. The variable ESG refers to the level of ESG disclosure, capturing how comprehensively companies report on their sustainability practices in the environmental, social, and governance dimensions. KI (Institutional Ownership) measures the proportion of a company’s shares held by institutional investors, which can reflect investor confidence and influence corporate governance. DER (Debt to Equity Ratio) is used to assess a company's financial leverage by comparing its total liabilities to its shareholders' equity, highlighting the company’s reliance on debt to finance its operations. KD (Board of Directors Ownership) refers to the ownership stake of the board of directors, which indicates their level of commitment and alignment with the company’s long-term objectives. FS (Firm Size) is measured by total assets or market capitalization, and it reflects the scale of the company, with larger firms typically having greater resources and capabilities. Age represents the number of years a company has been operating, with older companies often possessing more experience and stability in managing risks and opportunities. Growth, typically measured by sales growth, indicates the company's ability to expand its market presence and increase revenue over time.</w:t>
      </w:r>
    </w:p>
    <w:p w14:paraId="79D78392" w14:textId="77777777" w:rsidR="006B6FC7" w:rsidRPr="00FB3A86" w:rsidRDefault="006B6FC7" w:rsidP="00441B6F">
      <w:pPr>
        <w:pStyle w:val="Body"/>
        <w:spacing w:after="0"/>
        <w:rPr>
          <w:rFonts w:ascii="Arial" w:hAnsi="Arial" w:cs="Arial"/>
        </w:rPr>
      </w:pPr>
    </w:p>
    <w:p w14:paraId="4EF8AB86" w14:textId="0F8EDDE6"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201CE10" w14:textId="22A4043C"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Results</w:t>
      </w:r>
    </w:p>
    <w:p w14:paraId="3A4AF881" w14:textId="77777777" w:rsidR="006B6FC7" w:rsidRPr="006B6FC7" w:rsidRDefault="006B6FC7" w:rsidP="006B6FC7">
      <w:pPr>
        <w:jc w:val="both"/>
        <w:rPr>
          <w:rFonts w:ascii="Arial" w:hAnsi="Arial" w:cs="Arial"/>
          <w:color w:val="000000"/>
          <w:lang w:val="en-ID"/>
        </w:rPr>
      </w:pPr>
      <w:r w:rsidRPr="006B6FC7">
        <w:rPr>
          <w:rFonts w:ascii="Arial" w:hAnsi="Arial" w:cs="Arial"/>
          <w:bCs/>
        </w:rPr>
        <w:tab/>
      </w:r>
      <w:r w:rsidRPr="006B6FC7">
        <w:rPr>
          <w:rFonts w:ascii="Arial" w:hAnsi="Arial" w:cs="Arial"/>
          <w:color w:val="000000"/>
          <w:lang w:val="en-ID"/>
        </w:rPr>
        <w:t xml:space="preserve">The population in this study consists of 640 data points. Based on the sampling criteria previously established, 406 data points, or approximately 63.44%, did not meet the criteria set </w:t>
      </w:r>
      <w:r w:rsidRPr="006B6FC7">
        <w:rPr>
          <w:rFonts w:ascii="Arial" w:hAnsi="Arial" w:cs="Arial"/>
          <w:color w:val="000000"/>
          <w:lang w:val="en-ID"/>
        </w:rPr>
        <w:lastRenderedPageBreak/>
        <w:t xml:space="preserve">forth. As a result, a total of 234 data points </w:t>
      </w:r>
      <w:proofErr w:type="gramStart"/>
      <w:r w:rsidRPr="006B6FC7">
        <w:rPr>
          <w:rFonts w:ascii="Arial" w:hAnsi="Arial" w:cs="Arial"/>
          <w:color w:val="000000"/>
          <w:lang w:val="en-ID"/>
        </w:rPr>
        <w:t>were</w:t>
      </w:r>
      <w:proofErr w:type="gramEnd"/>
      <w:r w:rsidRPr="006B6FC7">
        <w:rPr>
          <w:rFonts w:ascii="Arial" w:hAnsi="Arial" w:cs="Arial"/>
          <w:color w:val="000000"/>
          <w:lang w:val="en-ID"/>
        </w:rPr>
        <w:t xml:space="preserve"> selected as the sample. Of these, 60 data points (25.64%) represent </w:t>
      </w:r>
      <w:proofErr w:type="spellStart"/>
      <w:r w:rsidRPr="006B6FC7">
        <w:rPr>
          <w:rFonts w:ascii="Arial" w:hAnsi="Arial" w:cs="Arial"/>
          <w:color w:val="000000"/>
          <w:lang w:val="en-ID"/>
        </w:rPr>
        <w:t>agro</w:t>
      </w:r>
      <w:proofErr w:type="spellEnd"/>
      <w:r w:rsidRPr="006B6FC7">
        <w:rPr>
          <w:rFonts w:ascii="Arial" w:hAnsi="Arial" w:cs="Arial"/>
          <w:color w:val="000000"/>
          <w:lang w:val="en-ID"/>
        </w:rPr>
        <w:t>-industrial companies, while the remaining 174 data points (74.36%) correspond to companies in highly polluting sectors, such as fossil fuel burning industries, transportation, and construction.</w:t>
      </w:r>
    </w:p>
    <w:p w14:paraId="43060E24" w14:textId="64A70F93"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 xml:space="preserve">Influence Ownership </w:t>
      </w:r>
      <w:proofErr w:type="gramStart"/>
      <w:r w:rsidRPr="006B6FC7">
        <w:rPr>
          <w:rFonts w:ascii="Arial" w:hAnsi="Arial" w:cs="Arial"/>
          <w:b/>
        </w:rPr>
        <w:t>Institutional ,</w:t>
      </w:r>
      <w:proofErr w:type="gramEnd"/>
      <w:r w:rsidRPr="006B6FC7">
        <w:rPr>
          <w:rFonts w:ascii="Arial" w:hAnsi="Arial" w:cs="Arial"/>
          <w:b/>
        </w:rPr>
        <w:t xml:space="preserve"> Debt to Equity Ratio, and Ownership Board of Directors to level ESG disclosure</w:t>
      </w:r>
    </w:p>
    <w:p w14:paraId="635EF086" w14:textId="77777777" w:rsidR="006B6FC7" w:rsidRPr="006B6FC7" w:rsidRDefault="006B6FC7" w:rsidP="006B6FC7">
      <w:pPr>
        <w:widowControl w:val="0"/>
        <w:tabs>
          <w:tab w:val="left" w:pos="180"/>
        </w:tabs>
        <w:spacing w:line="240" w:lineRule="atLeast"/>
        <w:jc w:val="both"/>
        <w:rPr>
          <w:rFonts w:ascii="Arial" w:hAnsi="Arial" w:cs="Arial"/>
          <w:bCs/>
          <w:lang w:val="en"/>
        </w:rPr>
      </w:pPr>
      <w:r w:rsidRPr="006B6FC7">
        <w:rPr>
          <w:rFonts w:ascii="Arial" w:hAnsi="Arial" w:cs="Arial"/>
          <w:bCs/>
          <w:lang w:val="en"/>
        </w:rPr>
        <w:t>Table 1. Statistics Descriptive</w:t>
      </w:r>
    </w:p>
    <w:tbl>
      <w:tblPr>
        <w:tblW w:w="8222"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1134"/>
        <w:gridCol w:w="1276"/>
        <w:gridCol w:w="1134"/>
        <w:gridCol w:w="1276"/>
        <w:gridCol w:w="1134"/>
        <w:gridCol w:w="2268"/>
      </w:tblGrid>
      <w:tr w:rsidR="006B6FC7" w:rsidRPr="006B6FC7" w14:paraId="17125A49" w14:textId="77777777" w:rsidTr="006B6FC7">
        <w:trPr>
          <w:trHeight w:val="345"/>
        </w:trPr>
        <w:tc>
          <w:tcPr>
            <w:tcW w:w="1134" w:type="dxa"/>
          </w:tcPr>
          <w:p w14:paraId="4C3E40FC" w14:textId="77777777" w:rsidR="006B6FC7" w:rsidRPr="006B6FC7" w:rsidRDefault="006B6FC7" w:rsidP="00F54FCC">
            <w:pPr>
              <w:widowControl w:val="0"/>
              <w:tabs>
                <w:tab w:val="left" w:pos="180"/>
              </w:tabs>
              <w:spacing w:line="240" w:lineRule="atLeast"/>
              <w:jc w:val="both"/>
              <w:rPr>
                <w:rFonts w:ascii="Arial" w:hAnsi="Arial" w:cs="Arial"/>
                <w:bCs/>
                <w:lang w:val="en"/>
              </w:rPr>
            </w:pPr>
          </w:p>
        </w:tc>
        <w:tc>
          <w:tcPr>
            <w:tcW w:w="1276" w:type="dxa"/>
            <w:hideMark/>
          </w:tcPr>
          <w:p w14:paraId="0B4FEA80"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N</w:t>
            </w:r>
          </w:p>
        </w:tc>
        <w:tc>
          <w:tcPr>
            <w:tcW w:w="1134" w:type="dxa"/>
            <w:hideMark/>
          </w:tcPr>
          <w:p w14:paraId="13E3FA02"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Minimum</w:t>
            </w:r>
          </w:p>
        </w:tc>
        <w:tc>
          <w:tcPr>
            <w:tcW w:w="1276" w:type="dxa"/>
            <w:hideMark/>
          </w:tcPr>
          <w:p w14:paraId="2BFAD979" w14:textId="77777777" w:rsidR="006B6FC7" w:rsidRPr="006B6FC7" w:rsidRDefault="006B6FC7" w:rsidP="00F54FCC">
            <w:pPr>
              <w:widowControl w:val="0"/>
              <w:tabs>
                <w:tab w:val="left" w:pos="180"/>
              </w:tabs>
              <w:spacing w:line="0" w:lineRule="atLeast"/>
              <w:jc w:val="center"/>
              <w:rPr>
                <w:rFonts w:ascii="Arial" w:hAnsi="Arial" w:cs="Arial"/>
                <w:b/>
                <w:lang w:val="en"/>
              </w:rPr>
            </w:pPr>
            <w:r w:rsidRPr="006B6FC7">
              <w:rPr>
                <w:rFonts w:ascii="Arial" w:hAnsi="Arial" w:cs="Arial"/>
                <w:b/>
                <w:lang w:val="en"/>
              </w:rPr>
              <w:t>Maximum</w:t>
            </w:r>
          </w:p>
        </w:tc>
        <w:tc>
          <w:tcPr>
            <w:tcW w:w="1134" w:type="dxa"/>
            <w:hideMark/>
          </w:tcPr>
          <w:p w14:paraId="5175BA04"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Mean</w:t>
            </w:r>
          </w:p>
        </w:tc>
        <w:tc>
          <w:tcPr>
            <w:tcW w:w="2268" w:type="dxa"/>
            <w:hideMark/>
          </w:tcPr>
          <w:p w14:paraId="2C6E1B19"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Std. Deviation</w:t>
            </w:r>
          </w:p>
        </w:tc>
      </w:tr>
      <w:tr w:rsidR="006B6FC7" w:rsidRPr="006B6FC7" w14:paraId="515F97C2" w14:textId="77777777" w:rsidTr="006B6FC7">
        <w:trPr>
          <w:trHeight w:val="264"/>
        </w:trPr>
        <w:tc>
          <w:tcPr>
            <w:tcW w:w="1134" w:type="dxa"/>
            <w:hideMark/>
          </w:tcPr>
          <w:p w14:paraId="361E71F2" w14:textId="77777777" w:rsidR="006B6FC7" w:rsidRPr="006B6FC7" w:rsidRDefault="006B6FC7" w:rsidP="00F54FCC">
            <w:pPr>
              <w:widowControl w:val="0"/>
              <w:tabs>
                <w:tab w:val="left" w:pos="180"/>
              </w:tabs>
              <w:spacing w:line="240" w:lineRule="atLeast"/>
              <w:jc w:val="both"/>
              <w:rPr>
                <w:rFonts w:ascii="Arial" w:hAnsi="Arial" w:cs="Arial"/>
                <w:bCs/>
                <w:lang w:val="en"/>
              </w:rPr>
            </w:pPr>
            <w:proofErr w:type="spellStart"/>
            <w:r w:rsidRPr="006B6FC7">
              <w:rPr>
                <w:rFonts w:ascii="Arial" w:hAnsi="Arial" w:cs="Arial"/>
                <w:bCs/>
                <w:lang w:val="en"/>
              </w:rPr>
              <w:t>esgscore</w:t>
            </w:r>
            <w:proofErr w:type="spellEnd"/>
          </w:p>
        </w:tc>
        <w:tc>
          <w:tcPr>
            <w:tcW w:w="1276" w:type="dxa"/>
            <w:hideMark/>
          </w:tcPr>
          <w:p w14:paraId="49061912" w14:textId="77777777" w:rsidR="006B6FC7" w:rsidRPr="006B6FC7" w:rsidRDefault="006B6FC7" w:rsidP="00F54FCC">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09FC9E4F"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0.00</w:t>
            </w:r>
          </w:p>
        </w:tc>
        <w:tc>
          <w:tcPr>
            <w:tcW w:w="1276" w:type="dxa"/>
            <w:hideMark/>
          </w:tcPr>
          <w:p w14:paraId="3B51FD37"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1.00</w:t>
            </w:r>
          </w:p>
        </w:tc>
        <w:tc>
          <w:tcPr>
            <w:tcW w:w="1134" w:type="dxa"/>
            <w:hideMark/>
          </w:tcPr>
          <w:p w14:paraId="536BE984"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,4808</w:t>
            </w:r>
          </w:p>
        </w:tc>
        <w:tc>
          <w:tcPr>
            <w:tcW w:w="2268" w:type="dxa"/>
            <w:hideMark/>
          </w:tcPr>
          <w:p w14:paraId="6DEA522E"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,21478</w:t>
            </w:r>
          </w:p>
        </w:tc>
      </w:tr>
      <w:tr w:rsidR="006B6FC7" w:rsidRPr="006B6FC7" w14:paraId="62D8035C" w14:textId="77777777" w:rsidTr="006B6FC7">
        <w:trPr>
          <w:trHeight w:val="264"/>
        </w:trPr>
        <w:tc>
          <w:tcPr>
            <w:tcW w:w="1134" w:type="dxa"/>
            <w:hideMark/>
          </w:tcPr>
          <w:p w14:paraId="5B4DE0A4"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age</w:t>
            </w:r>
          </w:p>
        </w:tc>
        <w:tc>
          <w:tcPr>
            <w:tcW w:w="1276" w:type="dxa"/>
            <w:hideMark/>
          </w:tcPr>
          <w:p w14:paraId="55AFD462" w14:textId="77777777" w:rsidR="006B6FC7" w:rsidRPr="006B6FC7" w:rsidRDefault="006B6FC7" w:rsidP="00F54FCC">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5573A784"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0</w:t>
            </w:r>
          </w:p>
        </w:tc>
        <w:tc>
          <w:tcPr>
            <w:tcW w:w="1276" w:type="dxa"/>
            <w:hideMark/>
          </w:tcPr>
          <w:p w14:paraId="50EE4CB7"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32</w:t>
            </w:r>
          </w:p>
        </w:tc>
        <w:tc>
          <w:tcPr>
            <w:tcW w:w="1134" w:type="dxa"/>
            <w:hideMark/>
          </w:tcPr>
          <w:p w14:paraId="6101F98C"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12.33</w:t>
            </w:r>
          </w:p>
        </w:tc>
        <w:tc>
          <w:tcPr>
            <w:tcW w:w="2268" w:type="dxa"/>
            <w:hideMark/>
          </w:tcPr>
          <w:p w14:paraId="23CF4D5F"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9,102</w:t>
            </w:r>
          </w:p>
        </w:tc>
      </w:tr>
      <w:tr w:rsidR="006B6FC7" w:rsidRPr="006B6FC7" w14:paraId="4F9A2217" w14:textId="77777777" w:rsidTr="006B6FC7">
        <w:trPr>
          <w:trHeight w:val="264"/>
        </w:trPr>
        <w:tc>
          <w:tcPr>
            <w:tcW w:w="1134" w:type="dxa"/>
            <w:hideMark/>
          </w:tcPr>
          <w:p w14:paraId="1405D610" w14:textId="77777777" w:rsidR="006B6FC7" w:rsidRPr="006B6FC7" w:rsidRDefault="006B6FC7" w:rsidP="00F54FCC">
            <w:pPr>
              <w:widowControl w:val="0"/>
              <w:tabs>
                <w:tab w:val="left" w:pos="180"/>
              </w:tabs>
              <w:spacing w:line="240" w:lineRule="atLeast"/>
              <w:jc w:val="both"/>
              <w:rPr>
                <w:rFonts w:ascii="Arial" w:hAnsi="Arial" w:cs="Arial"/>
                <w:bCs/>
                <w:lang w:val="en"/>
              </w:rPr>
            </w:pPr>
            <w:proofErr w:type="spellStart"/>
            <w:r w:rsidRPr="006B6FC7">
              <w:rPr>
                <w:rFonts w:ascii="Arial" w:hAnsi="Arial" w:cs="Arial"/>
                <w:bCs/>
                <w:lang w:val="en"/>
              </w:rPr>
              <w:t>ki</w:t>
            </w:r>
            <w:proofErr w:type="spellEnd"/>
          </w:p>
        </w:tc>
        <w:tc>
          <w:tcPr>
            <w:tcW w:w="1276" w:type="dxa"/>
            <w:hideMark/>
          </w:tcPr>
          <w:p w14:paraId="3EF1DE08" w14:textId="77777777" w:rsidR="006B6FC7" w:rsidRPr="006B6FC7" w:rsidRDefault="006B6FC7" w:rsidP="00F54FCC">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5FDFB7EA"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0.00</w:t>
            </w:r>
          </w:p>
        </w:tc>
        <w:tc>
          <w:tcPr>
            <w:tcW w:w="1276" w:type="dxa"/>
            <w:hideMark/>
          </w:tcPr>
          <w:p w14:paraId="249F7223"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99.76</w:t>
            </w:r>
          </w:p>
        </w:tc>
        <w:tc>
          <w:tcPr>
            <w:tcW w:w="1134" w:type="dxa"/>
            <w:hideMark/>
          </w:tcPr>
          <w:p w14:paraId="13EA724C"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49,9626</w:t>
            </w:r>
          </w:p>
        </w:tc>
        <w:tc>
          <w:tcPr>
            <w:tcW w:w="2268" w:type="dxa"/>
            <w:hideMark/>
          </w:tcPr>
          <w:p w14:paraId="242F8F53"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31.68714</w:t>
            </w:r>
          </w:p>
        </w:tc>
      </w:tr>
      <w:tr w:rsidR="006B6FC7" w:rsidRPr="006B6FC7" w14:paraId="646E10D9" w14:textId="77777777" w:rsidTr="006B6FC7">
        <w:trPr>
          <w:trHeight w:val="264"/>
        </w:trPr>
        <w:tc>
          <w:tcPr>
            <w:tcW w:w="1134" w:type="dxa"/>
            <w:hideMark/>
          </w:tcPr>
          <w:p w14:paraId="671ABC5F"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from</w:t>
            </w:r>
          </w:p>
        </w:tc>
        <w:tc>
          <w:tcPr>
            <w:tcW w:w="1276" w:type="dxa"/>
            <w:hideMark/>
          </w:tcPr>
          <w:p w14:paraId="07B9778F" w14:textId="77777777" w:rsidR="006B6FC7" w:rsidRPr="006B6FC7" w:rsidRDefault="006B6FC7" w:rsidP="00F54FCC">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712C63C4"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-10.31</w:t>
            </w:r>
          </w:p>
        </w:tc>
        <w:tc>
          <w:tcPr>
            <w:tcW w:w="1276" w:type="dxa"/>
            <w:hideMark/>
          </w:tcPr>
          <w:p w14:paraId="4EFC4698"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45.52</w:t>
            </w:r>
          </w:p>
        </w:tc>
        <w:tc>
          <w:tcPr>
            <w:tcW w:w="1134" w:type="dxa"/>
            <w:hideMark/>
          </w:tcPr>
          <w:p w14:paraId="3F2D20BE"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1.5540</w:t>
            </w:r>
          </w:p>
        </w:tc>
        <w:tc>
          <w:tcPr>
            <w:tcW w:w="2268" w:type="dxa"/>
            <w:hideMark/>
          </w:tcPr>
          <w:p w14:paraId="414DE59A"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3,37110</w:t>
            </w:r>
          </w:p>
        </w:tc>
      </w:tr>
      <w:tr w:rsidR="006B6FC7" w:rsidRPr="006B6FC7" w14:paraId="2535EE91" w14:textId="77777777" w:rsidTr="006B6FC7">
        <w:trPr>
          <w:trHeight w:val="264"/>
        </w:trPr>
        <w:tc>
          <w:tcPr>
            <w:tcW w:w="1134" w:type="dxa"/>
            <w:hideMark/>
          </w:tcPr>
          <w:p w14:paraId="6D892EBE" w14:textId="77777777" w:rsidR="006B6FC7" w:rsidRPr="006B6FC7" w:rsidRDefault="006B6FC7" w:rsidP="00F54FCC">
            <w:pPr>
              <w:widowControl w:val="0"/>
              <w:tabs>
                <w:tab w:val="left" w:pos="180"/>
              </w:tabs>
              <w:spacing w:line="240" w:lineRule="atLeast"/>
              <w:jc w:val="both"/>
              <w:rPr>
                <w:rFonts w:ascii="Arial" w:hAnsi="Arial" w:cs="Arial"/>
                <w:bCs/>
                <w:lang w:val="en"/>
              </w:rPr>
            </w:pPr>
            <w:proofErr w:type="spellStart"/>
            <w:r w:rsidRPr="006B6FC7">
              <w:rPr>
                <w:rFonts w:ascii="Arial" w:hAnsi="Arial" w:cs="Arial"/>
                <w:bCs/>
                <w:lang w:val="en"/>
              </w:rPr>
              <w:t>kd</w:t>
            </w:r>
            <w:proofErr w:type="spellEnd"/>
          </w:p>
        </w:tc>
        <w:tc>
          <w:tcPr>
            <w:tcW w:w="1276" w:type="dxa"/>
            <w:hideMark/>
          </w:tcPr>
          <w:p w14:paraId="42D32E07" w14:textId="77777777" w:rsidR="006B6FC7" w:rsidRPr="006B6FC7" w:rsidRDefault="006B6FC7" w:rsidP="00F54FCC">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3A9997E3"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0.00</w:t>
            </w:r>
          </w:p>
        </w:tc>
        <w:tc>
          <w:tcPr>
            <w:tcW w:w="1276" w:type="dxa"/>
            <w:hideMark/>
          </w:tcPr>
          <w:p w14:paraId="3164B509"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4.42</w:t>
            </w:r>
          </w:p>
        </w:tc>
        <w:tc>
          <w:tcPr>
            <w:tcW w:w="1134" w:type="dxa"/>
            <w:hideMark/>
          </w:tcPr>
          <w:p w14:paraId="7F81DE60"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,0508</w:t>
            </w:r>
          </w:p>
        </w:tc>
        <w:tc>
          <w:tcPr>
            <w:tcW w:w="2268" w:type="dxa"/>
            <w:hideMark/>
          </w:tcPr>
          <w:p w14:paraId="343D0D59"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,32915</w:t>
            </w:r>
          </w:p>
        </w:tc>
      </w:tr>
      <w:tr w:rsidR="006B6FC7" w:rsidRPr="006B6FC7" w14:paraId="48B9848E" w14:textId="77777777" w:rsidTr="006B6FC7">
        <w:trPr>
          <w:trHeight w:val="264"/>
        </w:trPr>
        <w:tc>
          <w:tcPr>
            <w:tcW w:w="1134" w:type="dxa"/>
            <w:hideMark/>
          </w:tcPr>
          <w:p w14:paraId="210E0559"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employee</w:t>
            </w:r>
          </w:p>
        </w:tc>
        <w:tc>
          <w:tcPr>
            <w:tcW w:w="1276" w:type="dxa"/>
            <w:hideMark/>
          </w:tcPr>
          <w:p w14:paraId="31EFE48D" w14:textId="77777777" w:rsidR="006B6FC7" w:rsidRPr="006B6FC7" w:rsidRDefault="006B6FC7" w:rsidP="00F54FCC">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5B1FB80F"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8.00</w:t>
            </w:r>
          </w:p>
        </w:tc>
        <w:tc>
          <w:tcPr>
            <w:tcW w:w="1276" w:type="dxa"/>
            <w:hideMark/>
          </w:tcPr>
          <w:p w14:paraId="6AE4F22F"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54940.00</w:t>
            </w:r>
          </w:p>
        </w:tc>
        <w:tc>
          <w:tcPr>
            <w:tcW w:w="1134" w:type="dxa"/>
            <w:hideMark/>
          </w:tcPr>
          <w:p w14:paraId="6C2BF400"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5119,9060</w:t>
            </w:r>
          </w:p>
        </w:tc>
        <w:tc>
          <w:tcPr>
            <w:tcW w:w="2268" w:type="dxa"/>
            <w:hideMark/>
          </w:tcPr>
          <w:p w14:paraId="6D3C98A9"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8961.75256</w:t>
            </w:r>
          </w:p>
        </w:tc>
      </w:tr>
      <w:tr w:rsidR="006B6FC7" w:rsidRPr="006B6FC7" w14:paraId="4C101957" w14:textId="77777777" w:rsidTr="006B6FC7">
        <w:trPr>
          <w:trHeight w:val="264"/>
        </w:trPr>
        <w:tc>
          <w:tcPr>
            <w:tcW w:w="1134" w:type="dxa"/>
            <w:hideMark/>
          </w:tcPr>
          <w:p w14:paraId="101F0A7D"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industry</w:t>
            </w:r>
          </w:p>
        </w:tc>
        <w:tc>
          <w:tcPr>
            <w:tcW w:w="1276" w:type="dxa"/>
            <w:hideMark/>
          </w:tcPr>
          <w:p w14:paraId="11E21B27" w14:textId="77777777" w:rsidR="006B6FC7" w:rsidRPr="006B6FC7" w:rsidRDefault="006B6FC7" w:rsidP="00F54FCC">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2A38746C"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0</w:t>
            </w:r>
          </w:p>
        </w:tc>
        <w:tc>
          <w:tcPr>
            <w:tcW w:w="1276" w:type="dxa"/>
            <w:hideMark/>
          </w:tcPr>
          <w:p w14:paraId="52D71120"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w:t>
            </w:r>
          </w:p>
        </w:tc>
        <w:tc>
          <w:tcPr>
            <w:tcW w:w="1134" w:type="dxa"/>
            <w:hideMark/>
          </w:tcPr>
          <w:p w14:paraId="1FB8D3D1"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,26</w:t>
            </w:r>
          </w:p>
        </w:tc>
        <w:tc>
          <w:tcPr>
            <w:tcW w:w="2268" w:type="dxa"/>
            <w:hideMark/>
          </w:tcPr>
          <w:p w14:paraId="10A2AE94"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,438</w:t>
            </w:r>
          </w:p>
        </w:tc>
      </w:tr>
      <w:tr w:rsidR="006B6FC7" w:rsidRPr="006B6FC7" w14:paraId="51252157" w14:textId="77777777" w:rsidTr="006B6FC7">
        <w:trPr>
          <w:trHeight w:val="529"/>
        </w:trPr>
        <w:tc>
          <w:tcPr>
            <w:tcW w:w="1134" w:type="dxa"/>
            <w:hideMark/>
          </w:tcPr>
          <w:p w14:paraId="20A8F394"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Valid N (listwise)</w:t>
            </w:r>
          </w:p>
        </w:tc>
        <w:tc>
          <w:tcPr>
            <w:tcW w:w="1276" w:type="dxa"/>
            <w:hideMark/>
          </w:tcPr>
          <w:p w14:paraId="0C95277F" w14:textId="77777777" w:rsidR="006B6FC7" w:rsidRPr="006B6FC7" w:rsidRDefault="006B6FC7" w:rsidP="00F54FCC">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5118E57D" w14:textId="77777777" w:rsidR="006B6FC7" w:rsidRPr="006B6FC7" w:rsidRDefault="006B6FC7" w:rsidP="00F54FCC">
            <w:pPr>
              <w:widowControl w:val="0"/>
              <w:tabs>
                <w:tab w:val="left" w:pos="180"/>
              </w:tabs>
              <w:spacing w:line="240" w:lineRule="atLeast"/>
              <w:jc w:val="right"/>
              <w:rPr>
                <w:rFonts w:ascii="Arial" w:hAnsi="Arial" w:cs="Arial"/>
                <w:bCs/>
                <w:lang w:val="en"/>
              </w:rPr>
            </w:pPr>
          </w:p>
        </w:tc>
        <w:tc>
          <w:tcPr>
            <w:tcW w:w="1276" w:type="dxa"/>
            <w:hideMark/>
          </w:tcPr>
          <w:p w14:paraId="4328C8A6" w14:textId="77777777" w:rsidR="006B6FC7" w:rsidRPr="006B6FC7" w:rsidRDefault="006B6FC7" w:rsidP="00F54FCC">
            <w:pPr>
              <w:widowControl w:val="0"/>
              <w:tabs>
                <w:tab w:val="left" w:pos="180"/>
              </w:tabs>
              <w:spacing w:line="240" w:lineRule="atLeast"/>
              <w:jc w:val="right"/>
              <w:rPr>
                <w:rFonts w:ascii="Arial" w:hAnsi="Arial" w:cs="Arial"/>
                <w:bCs/>
                <w:lang w:val="en"/>
              </w:rPr>
            </w:pPr>
          </w:p>
        </w:tc>
        <w:tc>
          <w:tcPr>
            <w:tcW w:w="1134" w:type="dxa"/>
            <w:hideMark/>
          </w:tcPr>
          <w:p w14:paraId="0EA652C9" w14:textId="77777777" w:rsidR="006B6FC7" w:rsidRPr="006B6FC7" w:rsidRDefault="006B6FC7" w:rsidP="00F54FCC">
            <w:pPr>
              <w:widowControl w:val="0"/>
              <w:tabs>
                <w:tab w:val="left" w:pos="180"/>
              </w:tabs>
              <w:spacing w:line="240" w:lineRule="atLeast"/>
              <w:jc w:val="right"/>
              <w:rPr>
                <w:rFonts w:ascii="Arial" w:hAnsi="Arial" w:cs="Arial"/>
                <w:bCs/>
                <w:lang w:val="en"/>
              </w:rPr>
            </w:pPr>
          </w:p>
        </w:tc>
        <w:tc>
          <w:tcPr>
            <w:tcW w:w="2268" w:type="dxa"/>
            <w:hideMark/>
          </w:tcPr>
          <w:p w14:paraId="1DC2B1A1" w14:textId="77777777" w:rsidR="006B6FC7" w:rsidRPr="006B6FC7" w:rsidRDefault="006B6FC7" w:rsidP="00F54FCC">
            <w:pPr>
              <w:widowControl w:val="0"/>
              <w:tabs>
                <w:tab w:val="left" w:pos="180"/>
              </w:tabs>
              <w:spacing w:line="240" w:lineRule="atLeast"/>
              <w:jc w:val="right"/>
              <w:rPr>
                <w:rFonts w:ascii="Arial" w:hAnsi="Arial" w:cs="Arial"/>
                <w:bCs/>
                <w:lang w:val="en"/>
              </w:rPr>
            </w:pPr>
          </w:p>
        </w:tc>
      </w:tr>
    </w:tbl>
    <w:p w14:paraId="187CD4C2" w14:textId="77777777" w:rsidR="006B6FC7" w:rsidRPr="006B6FC7" w:rsidRDefault="006B6FC7" w:rsidP="006B6FC7">
      <w:pPr>
        <w:widowControl w:val="0"/>
        <w:tabs>
          <w:tab w:val="left" w:pos="180"/>
        </w:tabs>
        <w:spacing w:line="240" w:lineRule="atLeast"/>
        <w:jc w:val="both"/>
        <w:rPr>
          <w:rFonts w:ascii="Arial" w:hAnsi="Arial" w:cs="Arial"/>
          <w:b/>
          <w:i/>
          <w:iCs/>
          <w:lang w:val="nb-NO"/>
        </w:rPr>
      </w:pPr>
      <w:r w:rsidRPr="006B6FC7">
        <w:rPr>
          <w:rFonts w:ascii="Arial" w:hAnsi="Arial" w:cs="Arial"/>
          <w:b/>
          <w:i/>
          <w:iCs/>
          <w:lang w:val="nb-NO"/>
        </w:rPr>
        <w:t>Source: Processed Secondary Data, 2024</w:t>
      </w:r>
    </w:p>
    <w:p w14:paraId="3DBA6970" w14:textId="301A5199" w:rsidR="006B6FC7" w:rsidRPr="006B6FC7" w:rsidRDefault="006B6FC7" w:rsidP="006B6FC7">
      <w:pPr>
        <w:widowControl w:val="0"/>
        <w:tabs>
          <w:tab w:val="left" w:pos="180"/>
        </w:tabs>
        <w:spacing w:line="240" w:lineRule="atLeast"/>
        <w:ind w:left="720"/>
        <w:jc w:val="both"/>
        <w:rPr>
          <w:rFonts w:ascii="Arial" w:hAnsi="Arial" w:cs="Arial"/>
          <w:bCs/>
        </w:rPr>
      </w:pPr>
      <w:r w:rsidRPr="006B6FC7">
        <w:rPr>
          <w:rFonts w:ascii="Arial" w:hAnsi="Arial" w:cs="Arial"/>
          <w:bCs/>
        </w:rPr>
        <w:tab/>
      </w:r>
    </w:p>
    <w:p w14:paraId="336BCE32"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 xml:space="preserve">This information shows the level of ESG disclosure of companies in the </w:t>
      </w:r>
      <w:proofErr w:type="spellStart"/>
      <w:r w:rsidRPr="006B6FC7">
        <w:rPr>
          <w:rFonts w:ascii="Arial" w:hAnsi="Arial" w:cs="Arial"/>
          <w:bCs/>
        </w:rPr>
        <w:t>agro</w:t>
      </w:r>
      <w:proofErr w:type="spellEnd"/>
      <w:r w:rsidRPr="006B6FC7">
        <w:rPr>
          <w:rFonts w:ascii="Arial" w:hAnsi="Arial" w:cs="Arial"/>
          <w:bCs/>
        </w:rPr>
        <w:t xml:space="preserve">-industrial sector and other industries such as mining, construction, oil, gas, and coal. The results of the descriptive analysis show that PT Adhi </w:t>
      </w:r>
      <w:proofErr w:type="spellStart"/>
      <w:r w:rsidRPr="006B6FC7">
        <w:rPr>
          <w:rFonts w:ascii="Arial" w:hAnsi="Arial" w:cs="Arial"/>
          <w:bCs/>
        </w:rPr>
        <w:t>Karya</w:t>
      </w:r>
      <w:proofErr w:type="spellEnd"/>
      <w:r w:rsidRPr="006B6FC7">
        <w:rPr>
          <w:rFonts w:ascii="Arial" w:hAnsi="Arial" w:cs="Arial"/>
          <w:bCs/>
        </w:rPr>
        <w:t xml:space="preserve"> and PT Medco </w:t>
      </w:r>
      <w:proofErr w:type="spellStart"/>
      <w:r w:rsidRPr="006B6FC7">
        <w:rPr>
          <w:rFonts w:ascii="Arial" w:hAnsi="Arial" w:cs="Arial"/>
          <w:bCs/>
        </w:rPr>
        <w:t>Energi</w:t>
      </w:r>
      <w:proofErr w:type="spellEnd"/>
      <w:r w:rsidRPr="006B6FC7">
        <w:rPr>
          <w:rFonts w:ascii="Arial" w:hAnsi="Arial" w:cs="Arial"/>
          <w:bCs/>
        </w:rPr>
        <w:t xml:space="preserve"> have the lowest ESG Score (0) in 2021, indicating the need to improve social and environmental responsibility. In contrast, PT Bukit </w:t>
      </w:r>
      <w:proofErr w:type="spellStart"/>
      <w:r w:rsidRPr="006B6FC7">
        <w:rPr>
          <w:rFonts w:ascii="Arial" w:hAnsi="Arial" w:cs="Arial"/>
          <w:bCs/>
        </w:rPr>
        <w:t>Asam</w:t>
      </w:r>
      <w:proofErr w:type="spellEnd"/>
      <w:r w:rsidRPr="006B6FC7">
        <w:rPr>
          <w:rFonts w:ascii="Arial" w:hAnsi="Arial" w:cs="Arial"/>
          <w:bCs/>
        </w:rPr>
        <w:t xml:space="preserve">, PT </w:t>
      </w:r>
      <w:proofErr w:type="spellStart"/>
      <w:r w:rsidRPr="006B6FC7">
        <w:rPr>
          <w:rFonts w:ascii="Arial" w:hAnsi="Arial" w:cs="Arial"/>
          <w:bCs/>
        </w:rPr>
        <w:t>Timah</w:t>
      </w:r>
      <w:proofErr w:type="spellEnd"/>
      <w:r w:rsidRPr="006B6FC7">
        <w:rPr>
          <w:rFonts w:ascii="Arial" w:hAnsi="Arial" w:cs="Arial"/>
          <w:bCs/>
        </w:rPr>
        <w:t xml:space="preserve">, and PT Wijaya </w:t>
      </w:r>
      <w:proofErr w:type="spellStart"/>
      <w:r w:rsidRPr="006B6FC7">
        <w:rPr>
          <w:rFonts w:ascii="Arial" w:hAnsi="Arial" w:cs="Arial"/>
          <w:bCs/>
        </w:rPr>
        <w:t>Karya</w:t>
      </w:r>
      <w:proofErr w:type="spellEnd"/>
      <w:r w:rsidRPr="006B6FC7">
        <w:rPr>
          <w:rFonts w:ascii="Arial" w:hAnsi="Arial" w:cs="Arial"/>
          <w:bCs/>
        </w:rPr>
        <w:t xml:space="preserve"> achieved the highest ESG Score (1), reflecting a strong commitment to good ESG practices.</w:t>
      </w:r>
    </w:p>
    <w:p w14:paraId="49D22C34" w14:textId="77777777" w:rsidR="006B6FC7" w:rsidRPr="006B6FC7" w:rsidRDefault="006B6FC7" w:rsidP="006B6FC7">
      <w:pPr>
        <w:widowControl w:val="0"/>
        <w:tabs>
          <w:tab w:val="left" w:pos="180"/>
        </w:tabs>
        <w:spacing w:line="240" w:lineRule="atLeast"/>
        <w:jc w:val="both"/>
        <w:rPr>
          <w:rFonts w:ascii="Arial" w:hAnsi="Arial" w:cs="Arial"/>
          <w:bCs/>
        </w:rPr>
      </w:pPr>
    </w:p>
    <w:tbl>
      <w:tblPr>
        <w:tblW w:w="8222"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664"/>
        <w:gridCol w:w="664"/>
        <w:gridCol w:w="1233"/>
        <w:gridCol w:w="954"/>
        <w:gridCol w:w="1488"/>
        <w:gridCol w:w="3219"/>
      </w:tblGrid>
      <w:tr w:rsidR="006B6FC7" w:rsidRPr="006B6FC7" w14:paraId="78F67B48" w14:textId="77777777" w:rsidTr="006B6FC7">
        <w:trPr>
          <w:trHeight w:val="300"/>
        </w:trPr>
        <w:tc>
          <w:tcPr>
            <w:tcW w:w="8222" w:type="dxa"/>
            <w:gridSpan w:val="6"/>
            <w:tcBorders>
              <w:bottom w:val="single" w:sz="12" w:space="0" w:color="000000"/>
            </w:tcBorders>
            <w:hideMark/>
          </w:tcPr>
          <w:p w14:paraId="1EF6B124" w14:textId="77777777" w:rsidR="006B6FC7" w:rsidRPr="006B6FC7" w:rsidRDefault="006B6FC7" w:rsidP="00F54FCC">
            <w:pPr>
              <w:widowControl w:val="0"/>
              <w:tabs>
                <w:tab w:val="left" w:pos="180"/>
              </w:tabs>
              <w:spacing w:line="240" w:lineRule="atLeast"/>
              <w:rPr>
                <w:rFonts w:ascii="Arial" w:hAnsi="Arial" w:cs="Arial"/>
                <w:b/>
                <w:color w:val="000000"/>
              </w:rPr>
            </w:pPr>
            <w:r w:rsidRPr="006B6FC7">
              <w:rPr>
                <w:rFonts w:ascii="Arial" w:hAnsi="Arial" w:cs="Arial"/>
                <w:b/>
                <w:color w:val="000000"/>
              </w:rPr>
              <w:t>Table 2. Results of the Industrial Frequency Method Test</w:t>
            </w:r>
          </w:p>
        </w:tc>
      </w:tr>
      <w:tr w:rsidR="006B6FC7" w:rsidRPr="006B6FC7" w14:paraId="06ADFFE9" w14:textId="77777777" w:rsidTr="006B6FC7">
        <w:trPr>
          <w:trHeight w:val="300"/>
        </w:trPr>
        <w:tc>
          <w:tcPr>
            <w:tcW w:w="0" w:type="auto"/>
            <w:gridSpan w:val="2"/>
            <w:hideMark/>
          </w:tcPr>
          <w:p w14:paraId="22E464C1" w14:textId="77777777" w:rsidR="006B6FC7" w:rsidRPr="006B6FC7" w:rsidRDefault="006B6FC7" w:rsidP="00F54FCC">
            <w:pPr>
              <w:widowControl w:val="0"/>
              <w:tabs>
                <w:tab w:val="left" w:pos="180"/>
              </w:tabs>
              <w:spacing w:line="240" w:lineRule="atLeast"/>
              <w:jc w:val="both"/>
              <w:rPr>
                <w:rFonts w:ascii="Arial" w:hAnsi="Arial" w:cs="Arial"/>
                <w:bCs/>
              </w:rPr>
            </w:pPr>
          </w:p>
        </w:tc>
        <w:tc>
          <w:tcPr>
            <w:tcW w:w="0" w:type="auto"/>
            <w:hideMark/>
          </w:tcPr>
          <w:p w14:paraId="2EFA13A9" w14:textId="77777777" w:rsidR="006B6FC7" w:rsidRPr="006B6FC7" w:rsidRDefault="006B6FC7" w:rsidP="00F54FCC">
            <w:pPr>
              <w:widowControl w:val="0"/>
              <w:tabs>
                <w:tab w:val="left" w:pos="180"/>
              </w:tabs>
              <w:spacing w:line="240" w:lineRule="atLeast"/>
              <w:jc w:val="both"/>
              <w:rPr>
                <w:rFonts w:ascii="Arial" w:hAnsi="Arial" w:cs="Arial"/>
                <w:b/>
                <w:lang w:val="en"/>
              </w:rPr>
            </w:pPr>
            <w:r w:rsidRPr="006B6FC7">
              <w:rPr>
                <w:rFonts w:ascii="Arial" w:hAnsi="Arial" w:cs="Arial"/>
                <w:b/>
                <w:lang w:val="en"/>
              </w:rPr>
              <w:t>Frequency</w:t>
            </w:r>
          </w:p>
        </w:tc>
        <w:tc>
          <w:tcPr>
            <w:tcW w:w="0" w:type="auto"/>
            <w:hideMark/>
          </w:tcPr>
          <w:p w14:paraId="4AD1022D" w14:textId="77777777" w:rsidR="006B6FC7" w:rsidRPr="006B6FC7" w:rsidRDefault="006B6FC7" w:rsidP="00F54FCC">
            <w:pPr>
              <w:widowControl w:val="0"/>
              <w:tabs>
                <w:tab w:val="left" w:pos="180"/>
              </w:tabs>
              <w:spacing w:line="240" w:lineRule="atLeast"/>
              <w:jc w:val="both"/>
              <w:rPr>
                <w:rFonts w:ascii="Arial" w:hAnsi="Arial" w:cs="Arial"/>
                <w:b/>
                <w:lang w:val="en"/>
              </w:rPr>
            </w:pPr>
            <w:r w:rsidRPr="006B6FC7">
              <w:rPr>
                <w:rFonts w:ascii="Arial" w:hAnsi="Arial" w:cs="Arial"/>
                <w:b/>
                <w:lang w:val="en"/>
              </w:rPr>
              <w:t>Percent</w:t>
            </w:r>
          </w:p>
        </w:tc>
        <w:tc>
          <w:tcPr>
            <w:tcW w:w="0" w:type="auto"/>
            <w:hideMark/>
          </w:tcPr>
          <w:p w14:paraId="4F4D52A3" w14:textId="77777777" w:rsidR="006B6FC7" w:rsidRPr="006B6FC7" w:rsidRDefault="006B6FC7" w:rsidP="00F54FCC">
            <w:pPr>
              <w:widowControl w:val="0"/>
              <w:tabs>
                <w:tab w:val="left" w:pos="180"/>
              </w:tabs>
              <w:spacing w:line="240" w:lineRule="atLeast"/>
              <w:jc w:val="both"/>
              <w:rPr>
                <w:rFonts w:ascii="Arial" w:hAnsi="Arial" w:cs="Arial"/>
                <w:b/>
                <w:lang w:val="en"/>
              </w:rPr>
            </w:pPr>
            <w:r w:rsidRPr="006B6FC7">
              <w:rPr>
                <w:rFonts w:ascii="Arial" w:hAnsi="Arial" w:cs="Arial"/>
                <w:b/>
                <w:lang w:val="en"/>
              </w:rPr>
              <w:t>Valid Percent</w:t>
            </w:r>
          </w:p>
        </w:tc>
        <w:tc>
          <w:tcPr>
            <w:tcW w:w="3206" w:type="dxa"/>
            <w:hideMark/>
          </w:tcPr>
          <w:p w14:paraId="64680C55" w14:textId="77777777" w:rsidR="006B6FC7" w:rsidRPr="006B6FC7" w:rsidRDefault="006B6FC7" w:rsidP="00F54FCC">
            <w:pPr>
              <w:widowControl w:val="0"/>
              <w:tabs>
                <w:tab w:val="left" w:pos="180"/>
              </w:tabs>
              <w:spacing w:line="240" w:lineRule="atLeast"/>
              <w:jc w:val="both"/>
              <w:rPr>
                <w:rFonts w:ascii="Arial" w:hAnsi="Arial" w:cs="Arial"/>
                <w:b/>
                <w:lang w:val="en"/>
              </w:rPr>
            </w:pPr>
            <w:r w:rsidRPr="006B6FC7">
              <w:rPr>
                <w:rFonts w:ascii="Arial" w:hAnsi="Arial" w:cs="Arial"/>
                <w:b/>
                <w:lang w:val="en"/>
              </w:rPr>
              <w:t>Cumulative Percent</w:t>
            </w:r>
          </w:p>
        </w:tc>
      </w:tr>
      <w:tr w:rsidR="006B6FC7" w:rsidRPr="006B6FC7" w14:paraId="37B22BF9" w14:textId="77777777" w:rsidTr="006B6FC7">
        <w:trPr>
          <w:trHeight w:val="300"/>
        </w:trPr>
        <w:tc>
          <w:tcPr>
            <w:tcW w:w="0" w:type="auto"/>
            <w:vMerge w:val="restart"/>
            <w:hideMark/>
          </w:tcPr>
          <w:p w14:paraId="5C3F37C1"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Valid</w:t>
            </w:r>
          </w:p>
        </w:tc>
        <w:tc>
          <w:tcPr>
            <w:tcW w:w="0" w:type="auto"/>
            <w:hideMark/>
          </w:tcPr>
          <w:p w14:paraId="004AC41A"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0</w:t>
            </w:r>
          </w:p>
        </w:tc>
        <w:tc>
          <w:tcPr>
            <w:tcW w:w="0" w:type="auto"/>
            <w:hideMark/>
          </w:tcPr>
          <w:p w14:paraId="4F51DCE1"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174</w:t>
            </w:r>
          </w:p>
        </w:tc>
        <w:tc>
          <w:tcPr>
            <w:tcW w:w="0" w:type="auto"/>
            <w:hideMark/>
          </w:tcPr>
          <w:p w14:paraId="12938FDD"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74.4</w:t>
            </w:r>
          </w:p>
        </w:tc>
        <w:tc>
          <w:tcPr>
            <w:tcW w:w="0" w:type="auto"/>
            <w:hideMark/>
          </w:tcPr>
          <w:p w14:paraId="4202D745"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74.4</w:t>
            </w:r>
          </w:p>
        </w:tc>
        <w:tc>
          <w:tcPr>
            <w:tcW w:w="3206" w:type="dxa"/>
            <w:hideMark/>
          </w:tcPr>
          <w:p w14:paraId="02093E93"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74.4</w:t>
            </w:r>
          </w:p>
        </w:tc>
      </w:tr>
      <w:tr w:rsidR="006B6FC7" w:rsidRPr="006B6FC7" w14:paraId="6BA1B598" w14:textId="77777777" w:rsidTr="006B6FC7">
        <w:trPr>
          <w:trHeight w:val="300"/>
        </w:trPr>
        <w:tc>
          <w:tcPr>
            <w:tcW w:w="0" w:type="auto"/>
            <w:vMerge/>
            <w:hideMark/>
          </w:tcPr>
          <w:p w14:paraId="494DCD7E" w14:textId="77777777" w:rsidR="006B6FC7" w:rsidRPr="006B6FC7" w:rsidRDefault="006B6FC7" w:rsidP="00F54FCC">
            <w:pPr>
              <w:widowControl w:val="0"/>
              <w:tabs>
                <w:tab w:val="left" w:pos="180"/>
              </w:tabs>
              <w:spacing w:line="240" w:lineRule="atLeast"/>
              <w:jc w:val="both"/>
              <w:rPr>
                <w:rFonts w:ascii="Arial" w:hAnsi="Arial" w:cs="Arial"/>
                <w:bCs/>
                <w:lang w:val="en"/>
              </w:rPr>
            </w:pPr>
          </w:p>
        </w:tc>
        <w:tc>
          <w:tcPr>
            <w:tcW w:w="0" w:type="auto"/>
            <w:hideMark/>
          </w:tcPr>
          <w:p w14:paraId="48D14A0B"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1</w:t>
            </w:r>
          </w:p>
        </w:tc>
        <w:tc>
          <w:tcPr>
            <w:tcW w:w="0" w:type="auto"/>
            <w:hideMark/>
          </w:tcPr>
          <w:p w14:paraId="201257B9"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60</w:t>
            </w:r>
          </w:p>
        </w:tc>
        <w:tc>
          <w:tcPr>
            <w:tcW w:w="0" w:type="auto"/>
            <w:hideMark/>
          </w:tcPr>
          <w:p w14:paraId="7ABC11DF"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25.6</w:t>
            </w:r>
          </w:p>
        </w:tc>
        <w:tc>
          <w:tcPr>
            <w:tcW w:w="0" w:type="auto"/>
            <w:hideMark/>
          </w:tcPr>
          <w:p w14:paraId="1C0684A9"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25.6</w:t>
            </w:r>
          </w:p>
        </w:tc>
        <w:tc>
          <w:tcPr>
            <w:tcW w:w="3206" w:type="dxa"/>
            <w:hideMark/>
          </w:tcPr>
          <w:p w14:paraId="411C0968"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100.0</w:t>
            </w:r>
          </w:p>
        </w:tc>
      </w:tr>
      <w:tr w:rsidR="006B6FC7" w:rsidRPr="006B6FC7" w14:paraId="73A31A5A" w14:textId="77777777" w:rsidTr="006B6FC7">
        <w:trPr>
          <w:trHeight w:val="300"/>
        </w:trPr>
        <w:tc>
          <w:tcPr>
            <w:tcW w:w="0" w:type="auto"/>
            <w:vMerge/>
            <w:hideMark/>
          </w:tcPr>
          <w:p w14:paraId="35C067C1" w14:textId="77777777" w:rsidR="006B6FC7" w:rsidRPr="006B6FC7" w:rsidRDefault="006B6FC7" w:rsidP="00F54FCC">
            <w:pPr>
              <w:widowControl w:val="0"/>
              <w:tabs>
                <w:tab w:val="left" w:pos="180"/>
              </w:tabs>
              <w:spacing w:line="240" w:lineRule="atLeast"/>
              <w:jc w:val="both"/>
              <w:rPr>
                <w:rFonts w:ascii="Arial" w:hAnsi="Arial" w:cs="Arial"/>
                <w:bCs/>
                <w:lang w:val="en"/>
              </w:rPr>
            </w:pPr>
          </w:p>
        </w:tc>
        <w:tc>
          <w:tcPr>
            <w:tcW w:w="0" w:type="auto"/>
            <w:hideMark/>
          </w:tcPr>
          <w:p w14:paraId="3159215E"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Total</w:t>
            </w:r>
          </w:p>
        </w:tc>
        <w:tc>
          <w:tcPr>
            <w:tcW w:w="0" w:type="auto"/>
            <w:hideMark/>
          </w:tcPr>
          <w:p w14:paraId="4361ED36"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234</w:t>
            </w:r>
          </w:p>
        </w:tc>
        <w:tc>
          <w:tcPr>
            <w:tcW w:w="0" w:type="auto"/>
            <w:hideMark/>
          </w:tcPr>
          <w:p w14:paraId="1ED61732"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100.0</w:t>
            </w:r>
          </w:p>
        </w:tc>
        <w:tc>
          <w:tcPr>
            <w:tcW w:w="0" w:type="auto"/>
            <w:hideMark/>
          </w:tcPr>
          <w:p w14:paraId="1644A631"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100.0</w:t>
            </w:r>
          </w:p>
        </w:tc>
        <w:tc>
          <w:tcPr>
            <w:tcW w:w="3206" w:type="dxa"/>
            <w:hideMark/>
          </w:tcPr>
          <w:p w14:paraId="62A87526" w14:textId="77777777" w:rsidR="006B6FC7" w:rsidRPr="006B6FC7" w:rsidRDefault="006B6FC7" w:rsidP="00F54FCC">
            <w:pPr>
              <w:widowControl w:val="0"/>
              <w:tabs>
                <w:tab w:val="left" w:pos="180"/>
              </w:tabs>
              <w:spacing w:line="240" w:lineRule="atLeast"/>
              <w:jc w:val="right"/>
              <w:rPr>
                <w:rFonts w:ascii="Arial" w:hAnsi="Arial" w:cs="Arial"/>
                <w:bCs/>
                <w:lang w:val="en"/>
              </w:rPr>
            </w:pPr>
          </w:p>
        </w:tc>
      </w:tr>
    </w:tbl>
    <w:p w14:paraId="5336EFF2" w14:textId="77777777" w:rsidR="006B6FC7" w:rsidRPr="006B6FC7" w:rsidRDefault="006B6FC7" w:rsidP="006B6FC7">
      <w:pPr>
        <w:widowControl w:val="0"/>
        <w:tabs>
          <w:tab w:val="left" w:pos="180"/>
          <w:tab w:val="left" w:pos="810"/>
        </w:tabs>
        <w:spacing w:line="240" w:lineRule="atLeast"/>
        <w:jc w:val="both"/>
        <w:rPr>
          <w:rFonts w:ascii="Arial" w:hAnsi="Arial" w:cs="Arial"/>
          <w:b/>
          <w:i/>
          <w:iCs/>
          <w:lang w:val="nb-NO"/>
        </w:rPr>
      </w:pPr>
      <w:r w:rsidRPr="006B6FC7">
        <w:rPr>
          <w:rFonts w:ascii="Arial" w:hAnsi="Arial" w:cs="Arial"/>
          <w:b/>
          <w:i/>
          <w:iCs/>
          <w:lang w:val="nb-NO"/>
        </w:rPr>
        <w:t>Source: Processed Secondary Data, 2024</w:t>
      </w:r>
    </w:p>
    <w:p w14:paraId="7D9FFD7D" w14:textId="77777777" w:rsidR="006B6FC7" w:rsidRPr="006B6FC7" w:rsidRDefault="006B6FC7" w:rsidP="006B6FC7">
      <w:pPr>
        <w:widowControl w:val="0"/>
        <w:tabs>
          <w:tab w:val="left" w:pos="180"/>
        </w:tabs>
        <w:spacing w:line="240" w:lineRule="atLeast"/>
        <w:jc w:val="both"/>
        <w:rPr>
          <w:rFonts w:ascii="Arial" w:hAnsi="Arial" w:cs="Arial"/>
          <w:bCs/>
        </w:rPr>
      </w:pPr>
    </w:p>
    <w:p w14:paraId="7DCC97CC"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industry variable in this study is used to describe the distribution of the sample, which consists of 234 observations. Of these, 74.4% (174 samples) belong to Category 0, representing various industrial sectors, while 25.6% (60 samples) are classified under Category 1, representing </w:t>
      </w:r>
      <w:proofErr w:type="spellStart"/>
      <w:r w:rsidRPr="006B6FC7">
        <w:rPr>
          <w:rFonts w:ascii="Arial" w:hAnsi="Arial" w:cs="Arial"/>
          <w:bCs/>
        </w:rPr>
        <w:t>agro</w:t>
      </w:r>
      <w:proofErr w:type="spellEnd"/>
      <w:r w:rsidRPr="006B6FC7">
        <w:rPr>
          <w:rFonts w:ascii="Arial" w:hAnsi="Arial" w:cs="Arial"/>
          <w:bCs/>
        </w:rPr>
        <w:t xml:space="preserve">-industrial companies. This distribution indicates that the majority of the sample is comprised of companies from sectors other than </w:t>
      </w:r>
      <w:proofErr w:type="spellStart"/>
      <w:r w:rsidRPr="006B6FC7">
        <w:rPr>
          <w:rFonts w:ascii="Arial" w:hAnsi="Arial" w:cs="Arial"/>
          <w:bCs/>
        </w:rPr>
        <w:t>agro</w:t>
      </w:r>
      <w:proofErr w:type="spellEnd"/>
      <w:r w:rsidRPr="006B6FC7">
        <w:rPr>
          <w:rFonts w:ascii="Arial" w:hAnsi="Arial" w:cs="Arial"/>
          <w:bCs/>
        </w:rPr>
        <w:t>-industry.</w:t>
      </w:r>
    </w:p>
    <w:p w14:paraId="2CE862D3"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1) Assumption Testing (Classical Assumptions)</w:t>
      </w:r>
    </w:p>
    <w:p w14:paraId="013767DE" w14:textId="083966A5" w:rsid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Classical assumption tests were performed in this study, including the Normality Test, Heteroscedasticity Test, and Multicollinearity Test, to ensure the validity of the regression analysis. The results indicate that all the classical assumptions for linear regression are satisfied. The Normality Test, conducted using the Kolmogorov-Smirnov method, yielded a significant value of 0.026, suggesting a deviation from normality at the 5% significance level. However, due to the large sample size (n = 234), the data is still considered approximately normal, as the Central Limit Theorem asserts that the distribution of the sample mean </w:t>
      </w:r>
      <w:r w:rsidRPr="006B6FC7">
        <w:rPr>
          <w:rFonts w:ascii="Arial" w:hAnsi="Arial" w:cs="Arial"/>
          <w:bCs/>
        </w:rPr>
        <w:lastRenderedPageBreak/>
        <w:t>approximates normality with large samples. The Heteroscedasticity Test showed that the data fulfilled the assumption of homoscedasticity, with the scatterplot of residuals displaying a random distribution around the zero line, indicating no signs of unequal variance. Finally, the Multicollinearity Test revealed no serious multicollinearity issues. Tolerance values exceeded 0.10, and Variance Inflation Factor (VIF) values were less than 5, suggesting that the independent variables are not highly correlated with each other, thus minimizing the potential for multicollinearity to distort the results.</w:t>
      </w:r>
    </w:p>
    <w:p w14:paraId="7B4011B5" w14:textId="77777777" w:rsidR="006B6FC7" w:rsidRPr="006B6FC7" w:rsidRDefault="006B6FC7" w:rsidP="006B6FC7">
      <w:pPr>
        <w:widowControl w:val="0"/>
        <w:tabs>
          <w:tab w:val="left" w:pos="180"/>
        </w:tabs>
        <w:spacing w:line="240" w:lineRule="atLeast"/>
        <w:jc w:val="both"/>
        <w:rPr>
          <w:rFonts w:ascii="Arial" w:hAnsi="Arial" w:cs="Arial"/>
          <w:bCs/>
        </w:rPr>
      </w:pPr>
    </w:p>
    <w:p w14:paraId="45986BAA"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2) Hypothesis Testing</w:t>
      </w:r>
    </w:p>
    <w:p w14:paraId="0367458F" w14:textId="77777777" w:rsidR="006B6FC7" w:rsidRPr="006B6FC7" w:rsidRDefault="006B6FC7" w:rsidP="006B6FC7">
      <w:pPr>
        <w:widowControl w:val="0"/>
        <w:tabs>
          <w:tab w:val="left" w:pos="180"/>
        </w:tabs>
        <w:spacing w:line="240" w:lineRule="atLeast"/>
        <w:jc w:val="both"/>
        <w:rPr>
          <w:rFonts w:ascii="Arial" w:hAnsi="Arial" w:cs="Arial"/>
          <w:bCs/>
          <w:lang w:val="nb-NO"/>
        </w:rPr>
      </w:pPr>
      <w:r w:rsidRPr="006B6FC7">
        <w:rPr>
          <w:rFonts w:ascii="Arial" w:hAnsi="Arial" w:cs="Arial"/>
          <w:bCs/>
        </w:rPr>
        <w:tab/>
      </w:r>
      <w:r w:rsidRPr="006B6FC7">
        <w:rPr>
          <w:rFonts w:ascii="Arial" w:hAnsi="Arial" w:cs="Arial"/>
          <w:bCs/>
        </w:rPr>
        <w:tab/>
        <w:t xml:space="preserve">Hypothesis testing was conducted to examine the relationships between ESG disclosure levels and key financial performance indicators, including firm value and profitability. This analysis aims to determine how factors such as institutional ownership, debt-to-equity ratio, and board of directors’ ownership influence the extent of ESG disclosure and the financial performance of </w:t>
      </w:r>
      <w:proofErr w:type="spellStart"/>
      <w:r w:rsidRPr="006B6FC7">
        <w:rPr>
          <w:rFonts w:ascii="Arial" w:hAnsi="Arial" w:cs="Arial"/>
          <w:bCs/>
        </w:rPr>
        <w:t>agro</w:t>
      </w:r>
      <w:proofErr w:type="spellEnd"/>
      <w:r w:rsidRPr="006B6FC7">
        <w:rPr>
          <w:rFonts w:ascii="Arial" w:hAnsi="Arial" w:cs="Arial"/>
          <w:bCs/>
        </w:rPr>
        <w:t>-industrial and high-pollution companies. The results from these tests will offer valuable insights into the role of corporate governance structures and financial practices in shaping both the sustainability and economic outcomes of firms in these industries.</w:t>
      </w:r>
      <w:r w:rsidRPr="006B6FC7">
        <w:rPr>
          <w:rFonts w:ascii="Arial" w:hAnsi="Arial" w:cs="Arial"/>
          <w:bCs/>
          <w:lang w:val="nb-NO"/>
        </w:rPr>
        <w:t xml:space="preserve"> </w:t>
      </w:r>
    </w:p>
    <w:p w14:paraId="2BE43400" w14:textId="77777777" w:rsidR="006B6FC7" w:rsidRPr="006B6FC7" w:rsidRDefault="006B6FC7" w:rsidP="006B6FC7">
      <w:pPr>
        <w:widowControl w:val="0"/>
        <w:tabs>
          <w:tab w:val="left" w:pos="180"/>
        </w:tabs>
        <w:spacing w:line="240" w:lineRule="atLeast"/>
        <w:jc w:val="both"/>
        <w:rPr>
          <w:rFonts w:ascii="Arial" w:hAnsi="Arial" w:cs="Arial"/>
          <w:bCs/>
          <w:lang w:val="en"/>
        </w:rPr>
      </w:pPr>
      <w:r w:rsidRPr="006B6FC7">
        <w:rPr>
          <w:rFonts w:ascii="Arial" w:hAnsi="Arial" w:cs="Arial"/>
          <w:bCs/>
          <w:lang w:val="en"/>
        </w:rPr>
        <w:tab/>
      </w:r>
      <w:r w:rsidRPr="006B6FC7">
        <w:rPr>
          <w:rFonts w:ascii="Arial" w:hAnsi="Arial" w:cs="Arial"/>
          <w:bCs/>
          <w:lang w:val="en"/>
        </w:rPr>
        <w:tab/>
        <w:t>The F-value of 4.289 indicates that the regression model is relatively effective in explaining the variation in ESG scores. The significance value of 0.000, which is less than the 0.05 threshold, suggests that the independent variables (number of employees, board of directors' ownership, debt-to-equity ratio, company age, and institutional ownership) collectively have a statistically significant impact on ESG disclosure. This implies that these factors, when considered together, contribute meaningfully to understanding the variations in ESG scores across the sample.</w:t>
      </w:r>
    </w:p>
    <w:p w14:paraId="4D9E4CBB" w14:textId="77777777" w:rsidR="006B6FC7" w:rsidRPr="006B6FC7" w:rsidRDefault="006B6FC7" w:rsidP="006B6FC7">
      <w:pPr>
        <w:widowControl w:val="0"/>
        <w:tabs>
          <w:tab w:val="left" w:pos="180"/>
        </w:tabs>
        <w:spacing w:line="240" w:lineRule="atLeast"/>
        <w:jc w:val="both"/>
        <w:rPr>
          <w:rFonts w:ascii="Arial" w:hAnsi="Arial" w:cs="Arial"/>
          <w:bCs/>
          <w:lang w:val="nb-NO"/>
        </w:rPr>
      </w:pPr>
    </w:p>
    <w:tbl>
      <w:tblPr>
        <w:tblW w:w="8222"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440"/>
        <w:gridCol w:w="1687"/>
        <w:gridCol w:w="1134"/>
        <w:gridCol w:w="1082"/>
        <w:gridCol w:w="1138"/>
        <w:gridCol w:w="1607"/>
        <w:gridCol w:w="1134"/>
      </w:tblGrid>
      <w:tr w:rsidR="006B6FC7" w:rsidRPr="006B6FC7" w14:paraId="0C07BDAD" w14:textId="77777777" w:rsidTr="006B6FC7">
        <w:trPr>
          <w:trHeight w:val="300"/>
        </w:trPr>
        <w:tc>
          <w:tcPr>
            <w:tcW w:w="8222" w:type="dxa"/>
            <w:gridSpan w:val="7"/>
            <w:tcBorders>
              <w:bottom w:val="single" w:sz="12" w:space="0" w:color="000000"/>
            </w:tcBorders>
            <w:hideMark/>
          </w:tcPr>
          <w:p w14:paraId="4CF271E2" w14:textId="77777777" w:rsidR="006B6FC7" w:rsidRPr="006B6FC7" w:rsidRDefault="006B6FC7" w:rsidP="00F54FCC">
            <w:pPr>
              <w:widowControl w:val="0"/>
              <w:tabs>
                <w:tab w:val="left" w:pos="180"/>
              </w:tabs>
              <w:spacing w:line="240" w:lineRule="atLeast"/>
              <w:rPr>
                <w:rFonts w:ascii="Arial" w:hAnsi="Arial" w:cs="Arial"/>
                <w:b/>
                <w:color w:val="000000"/>
                <w:lang w:val="en"/>
              </w:rPr>
            </w:pPr>
            <w:r w:rsidRPr="006B6FC7">
              <w:rPr>
                <w:rFonts w:ascii="Arial" w:hAnsi="Arial" w:cs="Arial"/>
                <w:b/>
                <w:color w:val="000000"/>
                <w:lang w:val="en"/>
              </w:rPr>
              <w:t>Table 3. F Test</w:t>
            </w:r>
          </w:p>
        </w:tc>
      </w:tr>
      <w:tr w:rsidR="006B6FC7" w:rsidRPr="006B6FC7" w14:paraId="6074FBB3" w14:textId="77777777" w:rsidTr="006B6FC7">
        <w:trPr>
          <w:trHeight w:val="300"/>
        </w:trPr>
        <w:tc>
          <w:tcPr>
            <w:tcW w:w="8222" w:type="dxa"/>
            <w:gridSpan w:val="7"/>
            <w:hideMark/>
          </w:tcPr>
          <w:p w14:paraId="20044FC5" w14:textId="77777777" w:rsidR="006B6FC7" w:rsidRPr="006B6FC7" w:rsidRDefault="006B6FC7" w:rsidP="00F54FCC">
            <w:pPr>
              <w:widowControl w:val="0"/>
              <w:tabs>
                <w:tab w:val="left" w:pos="180"/>
              </w:tabs>
              <w:spacing w:line="240" w:lineRule="atLeast"/>
              <w:jc w:val="center"/>
              <w:rPr>
                <w:rFonts w:ascii="Arial" w:hAnsi="Arial" w:cs="Arial"/>
                <w:bCs/>
                <w:color w:val="000000"/>
                <w:lang w:val="en"/>
              </w:rPr>
            </w:pPr>
            <w:r w:rsidRPr="006B6FC7">
              <w:rPr>
                <w:rFonts w:ascii="Arial" w:hAnsi="Arial" w:cs="Arial"/>
                <w:bCs/>
                <w:color w:val="000000"/>
                <w:lang w:val="en"/>
              </w:rPr>
              <w:t xml:space="preserve">ANOVA </w:t>
            </w:r>
            <w:r w:rsidRPr="006B6FC7">
              <w:rPr>
                <w:rFonts w:ascii="Arial" w:hAnsi="Arial" w:cs="Arial"/>
                <w:bCs/>
                <w:color w:val="000000"/>
                <w:vertAlign w:val="superscript"/>
                <w:lang w:val="en"/>
              </w:rPr>
              <w:t>a</w:t>
            </w:r>
          </w:p>
        </w:tc>
      </w:tr>
      <w:tr w:rsidR="006B6FC7" w:rsidRPr="006B6FC7" w14:paraId="5D2F4A7C" w14:textId="77777777" w:rsidTr="006B6FC7">
        <w:trPr>
          <w:trHeight w:val="300"/>
        </w:trPr>
        <w:tc>
          <w:tcPr>
            <w:tcW w:w="2127" w:type="dxa"/>
            <w:gridSpan w:val="2"/>
            <w:hideMark/>
          </w:tcPr>
          <w:p w14:paraId="02E8F8A5"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Model</w:t>
            </w:r>
          </w:p>
        </w:tc>
        <w:tc>
          <w:tcPr>
            <w:tcW w:w="1134" w:type="dxa"/>
            <w:hideMark/>
          </w:tcPr>
          <w:p w14:paraId="3E9773A9"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Sum of Squares</w:t>
            </w:r>
          </w:p>
        </w:tc>
        <w:tc>
          <w:tcPr>
            <w:tcW w:w="1082" w:type="dxa"/>
            <w:hideMark/>
          </w:tcPr>
          <w:p w14:paraId="533CEA32"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df</w:t>
            </w:r>
          </w:p>
        </w:tc>
        <w:tc>
          <w:tcPr>
            <w:tcW w:w="1138" w:type="dxa"/>
            <w:hideMark/>
          </w:tcPr>
          <w:p w14:paraId="62F15BCD"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Mean Square</w:t>
            </w:r>
          </w:p>
        </w:tc>
        <w:tc>
          <w:tcPr>
            <w:tcW w:w="1607" w:type="dxa"/>
            <w:hideMark/>
          </w:tcPr>
          <w:p w14:paraId="605BA6EE"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F</w:t>
            </w:r>
          </w:p>
        </w:tc>
        <w:tc>
          <w:tcPr>
            <w:tcW w:w="1134" w:type="dxa"/>
            <w:hideMark/>
          </w:tcPr>
          <w:p w14:paraId="371FE209"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Sig.</w:t>
            </w:r>
          </w:p>
        </w:tc>
      </w:tr>
      <w:tr w:rsidR="006B6FC7" w:rsidRPr="006B6FC7" w14:paraId="56862F59" w14:textId="77777777" w:rsidTr="006B6FC7">
        <w:trPr>
          <w:trHeight w:val="300"/>
        </w:trPr>
        <w:tc>
          <w:tcPr>
            <w:tcW w:w="440" w:type="dxa"/>
            <w:vMerge w:val="restart"/>
            <w:hideMark/>
          </w:tcPr>
          <w:p w14:paraId="7A49615E"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1</w:t>
            </w:r>
          </w:p>
        </w:tc>
        <w:tc>
          <w:tcPr>
            <w:tcW w:w="1687" w:type="dxa"/>
            <w:hideMark/>
          </w:tcPr>
          <w:p w14:paraId="6C2949AF"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Regression</w:t>
            </w:r>
          </w:p>
        </w:tc>
        <w:tc>
          <w:tcPr>
            <w:tcW w:w="1134" w:type="dxa"/>
            <w:hideMark/>
          </w:tcPr>
          <w:p w14:paraId="06FCA60E"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1,094</w:t>
            </w:r>
          </w:p>
        </w:tc>
        <w:tc>
          <w:tcPr>
            <w:tcW w:w="1082" w:type="dxa"/>
            <w:hideMark/>
          </w:tcPr>
          <w:p w14:paraId="257B14B8"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6</w:t>
            </w:r>
          </w:p>
        </w:tc>
        <w:tc>
          <w:tcPr>
            <w:tcW w:w="1138" w:type="dxa"/>
            <w:hideMark/>
          </w:tcPr>
          <w:p w14:paraId="7DD6A211"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0.182</w:t>
            </w:r>
          </w:p>
        </w:tc>
        <w:tc>
          <w:tcPr>
            <w:tcW w:w="1607" w:type="dxa"/>
            <w:hideMark/>
          </w:tcPr>
          <w:p w14:paraId="2E147477"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4,289</w:t>
            </w:r>
          </w:p>
        </w:tc>
        <w:tc>
          <w:tcPr>
            <w:tcW w:w="1134" w:type="dxa"/>
            <w:hideMark/>
          </w:tcPr>
          <w:p w14:paraId="61C4D0AC"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.000b</w:t>
            </w:r>
          </w:p>
        </w:tc>
      </w:tr>
      <w:tr w:rsidR="006B6FC7" w:rsidRPr="006B6FC7" w14:paraId="2E588541" w14:textId="77777777" w:rsidTr="006B6FC7">
        <w:trPr>
          <w:trHeight w:val="300"/>
        </w:trPr>
        <w:tc>
          <w:tcPr>
            <w:tcW w:w="0" w:type="auto"/>
            <w:vMerge/>
            <w:hideMark/>
          </w:tcPr>
          <w:p w14:paraId="74D35381"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687" w:type="dxa"/>
            <w:hideMark/>
          </w:tcPr>
          <w:p w14:paraId="6A376476"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Residual</w:t>
            </w:r>
          </w:p>
        </w:tc>
        <w:tc>
          <w:tcPr>
            <w:tcW w:w="1134" w:type="dxa"/>
            <w:hideMark/>
          </w:tcPr>
          <w:p w14:paraId="6A15F295"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9,654</w:t>
            </w:r>
          </w:p>
        </w:tc>
        <w:tc>
          <w:tcPr>
            <w:tcW w:w="1082" w:type="dxa"/>
            <w:hideMark/>
          </w:tcPr>
          <w:p w14:paraId="670837A9"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227</w:t>
            </w:r>
          </w:p>
        </w:tc>
        <w:tc>
          <w:tcPr>
            <w:tcW w:w="1138" w:type="dxa"/>
            <w:hideMark/>
          </w:tcPr>
          <w:p w14:paraId="414C4010"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0.043</w:t>
            </w:r>
          </w:p>
        </w:tc>
        <w:tc>
          <w:tcPr>
            <w:tcW w:w="1607" w:type="dxa"/>
            <w:hideMark/>
          </w:tcPr>
          <w:p w14:paraId="25426E58"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p>
        </w:tc>
        <w:tc>
          <w:tcPr>
            <w:tcW w:w="1134" w:type="dxa"/>
            <w:hideMark/>
          </w:tcPr>
          <w:p w14:paraId="008FF938" w14:textId="77777777" w:rsidR="006B6FC7" w:rsidRPr="006B6FC7" w:rsidRDefault="006B6FC7" w:rsidP="00F54FCC">
            <w:pPr>
              <w:widowControl w:val="0"/>
              <w:tabs>
                <w:tab w:val="left" w:pos="180"/>
              </w:tabs>
              <w:spacing w:line="240" w:lineRule="atLeast"/>
              <w:jc w:val="right"/>
              <w:rPr>
                <w:rFonts w:ascii="Arial" w:hAnsi="Arial" w:cs="Arial"/>
                <w:bCs/>
                <w:color w:val="000000"/>
              </w:rPr>
            </w:pPr>
          </w:p>
        </w:tc>
      </w:tr>
      <w:tr w:rsidR="006B6FC7" w:rsidRPr="006B6FC7" w14:paraId="61297E4E" w14:textId="77777777" w:rsidTr="006B6FC7">
        <w:trPr>
          <w:trHeight w:val="300"/>
        </w:trPr>
        <w:tc>
          <w:tcPr>
            <w:tcW w:w="0" w:type="auto"/>
            <w:vMerge/>
            <w:hideMark/>
          </w:tcPr>
          <w:p w14:paraId="14FCD307"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687" w:type="dxa"/>
            <w:hideMark/>
          </w:tcPr>
          <w:p w14:paraId="42386C4D"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Total</w:t>
            </w:r>
          </w:p>
        </w:tc>
        <w:tc>
          <w:tcPr>
            <w:tcW w:w="1134" w:type="dxa"/>
            <w:hideMark/>
          </w:tcPr>
          <w:p w14:paraId="099FA360"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10,749</w:t>
            </w:r>
          </w:p>
        </w:tc>
        <w:tc>
          <w:tcPr>
            <w:tcW w:w="1082" w:type="dxa"/>
            <w:hideMark/>
          </w:tcPr>
          <w:p w14:paraId="4C4B4A21"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233</w:t>
            </w:r>
          </w:p>
        </w:tc>
        <w:tc>
          <w:tcPr>
            <w:tcW w:w="1138" w:type="dxa"/>
            <w:hideMark/>
          </w:tcPr>
          <w:p w14:paraId="7F67ACED"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p>
        </w:tc>
        <w:tc>
          <w:tcPr>
            <w:tcW w:w="1607" w:type="dxa"/>
            <w:hideMark/>
          </w:tcPr>
          <w:p w14:paraId="4761F13D" w14:textId="77777777" w:rsidR="006B6FC7" w:rsidRPr="006B6FC7" w:rsidRDefault="006B6FC7" w:rsidP="00F54FCC">
            <w:pPr>
              <w:widowControl w:val="0"/>
              <w:tabs>
                <w:tab w:val="left" w:pos="180"/>
              </w:tabs>
              <w:spacing w:line="240" w:lineRule="atLeast"/>
              <w:jc w:val="right"/>
              <w:rPr>
                <w:rFonts w:ascii="Arial" w:hAnsi="Arial" w:cs="Arial"/>
                <w:bCs/>
                <w:color w:val="000000"/>
              </w:rPr>
            </w:pPr>
          </w:p>
        </w:tc>
        <w:tc>
          <w:tcPr>
            <w:tcW w:w="1134" w:type="dxa"/>
            <w:hideMark/>
          </w:tcPr>
          <w:p w14:paraId="137095A4" w14:textId="77777777" w:rsidR="006B6FC7" w:rsidRPr="006B6FC7" w:rsidRDefault="006B6FC7" w:rsidP="00F54FCC">
            <w:pPr>
              <w:widowControl w:val="0"/>
              <w:tabs>
                <w:tab w:val="left" w:pos="180"/>
              </w:tabs>
              <w:spacing w:line="240" w:lineRule="atLeast"/>
              <w:jc w:val="right"/>
              <w:rPr>
                <w:rFonts w:ascii="Arial" w:hAnsi="Arial" w:cs="Arial"/>
                <w:bCs/>
                <w:color w:val="000000"/>
              </w:rPr>
            </w:pPr>
          </w:p>
        </w:tc>
      </w:tr>
      <w:tr w:rsidR="006B6FC7" w:rsidRPr="006B6FC7" w14:paraId="094C6F66" w14:textId="77777777" w:rsidTr="006B6FC7">
        <w:trPr>
          <w:trHeight w:val="300"/>
        </w:trPr>
        <w:tc>
          <w:tcPr>
            <w:tcW w:w="8222" w:type="dxa"/>
            <w:gridSpan w:val="7"/>
            <w:hideMark/>
          </w:tcPr>
          <w:p w14:paraId="0FDF6C5A"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 xml:space="preserve">a. Dependent Variable: </w:t>
            </w:r>
            <w:proofErr w:type="spellStart"/>
            <w:r w:rsidRPr="006B6FC7">
              <w:rPr>
                <w:rFonts w:ascii="Arial" w:hAnsi="Arial" w:cs="Arial"/>
                <w:bCs/>
                <w:color w:val="000000"/>
                <w:lang w:val="en"/>
              </w:rPr>
              <w:t>esg</w:t>
            </w:r>
            <w:proofErr w:type="spellEnd"/>
            <w:r w:rsidRPr="006B6FC7">
              <w:rPr>
                <w:rFonts w:ascii="Arial" w:hAnsi="Arial" w:cs="Arial"/>
                <w:bCs/>
                <w:color w:val="000000"/>
                <w:lang w:val="en"/>
              </w:rPr>
              <w:t xml:space="preserve"> score</w:t>
            </w:r>
          </w:p>
        </w:tc>
      </w:tr>
      <w:tr w:rsidR="006B6FC7" w:rsidRPr="006B6FC7" w14:paraId="2559C0B9" w14:textId="77777777" w:rsidTr="006B6FC7">
        <w:trPr>
          <w:trHeight w:val="300"/>
        </w:trPr>
        <w:tc>
          <w:tcPr>
            <w:tcW w:w="8222" w:type="dxa"/>
            <w:gridSpan w:val="7"/>
            <w:hideMark/>
          </w:tcPr>
          <w:p w14:paraId="545A4018"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 xml:space="preserve">b. Predictors: (Constant), </w:t>
            </w:r>
            <w:proofErr w:type="gramStart"/>
            <w:r w:rsidRPr="006B6FC7">
              <w:rPr>
                <w:rFonts w:ascii="Arial" w:hAnsi="Arial" w:cs="Arial"/>
                <w:bCs/>
                <w:color w:val="000000"/>
                <w:lang w:val="en"/>
              </w:rPr>
              <w:t>industry ,</w:t>
            </w:r>
            <w:proofErr w:type="gramEnd"/>
            <w:r w:rsidRPr="006B6FC7">
              <w:rPr>
                <w:rFonts w:ascii="Arial" w:hAnsi="Arial" w:cs="Arial"/>
                <w:bCs/>
                <w:color w:val="000000"/>
                <w:lang w:val="en"/>
              </w:rPr>
              <w:t xml:space="preserve"> age, DO , der, IO, employee</w:t>
            </w:r>
          </w:p>
        </w:tc>
      </w:tr>
    </w:tbl>
    <w:p w14:paraId="74A2F352" w14:textId="150C7050" w:rsidR="006B6FC7" w:rsidRDefault="006B6FC7" w:rsidP="006B6FC7">
      <w:pPr>
        <w:widowControl w:val="0"/>
        <w:tabs>
          <w:tab w:val="left" w:pos="180"/>
        </w:tabs>
        <w:spacing w:line="240" w:lineRule="atLeast"/>
        <w:jc w:val="both"/>
        <w:rPr>
          <w:rFonts w:ascii="Arial" w:hAnsi="Arial" w:cs="Arial"/>
          <w:b/>
          <w:i/>
          <w:iCs/>
        </w:rPr>
      </w:pPr>
      <w:r w:rsidRPr="006B6FC7">
        <w:rPr>
          <w:rFonts w:ascii="Arial" w:hAnsi="Arial" w:cs="Arial"/>
          <w:b/>
          <w:i/>
          <w:iCs/>
        </w:rPr>
        <w:t>Source: Processed Secondary Data, 2024</w:t>
      </w:r>
    </w:p>
    <w:p w14:paraId="59643886" w14:textId="77777777" w:rsidR="004E634A" w:rsidRPr="004E634A" w:rsidRDefault="004E634A" w:rsidP="006B6FC7">
      <w:pPr>
        <w:widowControl w:val="0"/>
        <w:tabs>
          <w:tab w:val="left" w:pos="180"/>
        </w:tabs>
        <w:spacing w:line="240" w:lineRule="atLeast"/>
        <w:jc w:val="both"/>
        <w:rPr>
          <w:rFonts w:ascii="Arial" w:hAnsi="Arial" w:cs="Arial"/>
          <w:b/>
          <w:i/>
          <w:iCs/>
        </w:rPr>
      </w:pPr>
    </w:p>
    <w:tbl>
      <w:tblPr>
        <w:tblW w:w="8222"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328"/>
        <w:gridCol w:w="1150"/>
        <w:gridCol w:w="1499"/>
        <w:gridCol w:w="1328"/>
        <w:gridCol w:w="34"/>
        <w:gridCol w:w="1757"/>
        <w:gridCol w:w="875"/>
        <w:gridCol w:w="193"/>
        <w:gridCol w:w="1058"/>
      </w:tblGrid>
      <w:tr w:rsidR="006B6FC7" w:rsidRPr="006B6FC7" w14:paraId="1B859F30" w14:textId="77777777" w:rsidTr="006B6FC7">
        <w:trPr>
          <w:trHeight w:val="300"/>
        </w:trPr>
        <w:tc>
          <w:tcPr>
            <w:tcW w:w="8222" w:type="dxa"/>
            <w:gridSpan w:val="9"/>
            <w:tcBorders>
              <w:bottom w:val="single" w:sz="12" w:space="0" w:color="000000"/>
            </w:tcBorders>
            <w:hideMark/>
          </w:tcPr>
          <w:p w14:paraId="73A1A6B7" w14:textId="77777777" w:rsidR="006B6FC7" w:rsidRPr="006B6FC7" w:rsidRDefault="006B6FC7" w:rsidP="00F54FCC">
            <w:pPr>
              <w:widowControl w:val="0"/>
              <w:tabs>
                <w:tab w:val="left" w:pos="180"/>
              </w:tabs>
              <w:spacing w:line="240" w:lineRule="atLeast"/>
              <w:rPr>
                <w:rFonts w:ascii="Arial" w:hAnsi="Arial" w:cs="Arial"/>
                <w:b/>
                <w:color w:val="000000"/>
                <w:lang w:val="en"/>
              </w:rPr>
            </w:pPr>
            <w:r w:rsidRPr="006B6FC7">
              <w:rPr>
                <w:rFonts w:ascii="Arial" w:hAnsi="Arial" w:cs="Arial"/>
                <w:b/>
                <w:color w:val="000000"/>
                <w:lang w:val="en"/>
              </w:rPr>
              <w:t xml:space="preserve">Table 4. T Test </w:t>
            </w:r>
            <w:r w:rsidRPr="006B6FC7">
              <w:rPr>
                <w:rFonts w:ascii="Arial" w:hAnsi="Arial" w:cs="Arial"/>
                <w:b/>
                <w:color w:val="000000"/>
                <w:lang w:val="en"/>
              </w:rPr>
              <w:br/>
              <w:t xml:space="preserve">Coefficients </w:t>
            </w:r>
            <w:r w:rsidRPr="006B6FC7">
              <w:rPr>
                <w:rFonts w:ascii="Arial" w:hAnsi="Arial" w:cs="Arial"/>
                <w:b/>
                <w:color w:val="000000"/>
                <w:vertAlign w:val="superscript"/>
                <w:lang w:val="en"/>
              </w:rPr>
              <w:t>a</w:t>
            </w:r>
          </w:p>
        </w:tc>
      </w:tr>
      <w:tr w:rsidR="006B6FC7" w:rsidRPr="006B6FC7" w14:paraId="01BBFABB" w14:textId="77777777" w:rsidTr="006B6FC7">
        <w:trPr>
          <w:trHeight w:val="300"/>
        </w:trPr>
        <w:tc>
          <w:tcPr>
            <w:tcW w:w="1478" w:type="dxa"/>
            <w:gridSpan w:val="2"/>
            <w:vMerge w:val="restart"/>
            <w:hideMark/>
          </w:tcPr>
          <w:p w14:paraId="7038ACB5"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Model</w:t>
            </w:r>
          </w:p>
        </w:tc>
        <w:tc>
          <w:tcPr>
            <w:tcW w:w="2827" w:type="dxa"/>
            <w:gridSpan w:val="2"/>
            <w:hideMark/>
          </w:tcPr>
          <w:p w14:paraId="49468567"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Unstandardized Coefficients</w:t>
            </w:r>
          </w:p>
        </w:tc>
        <w:tc>
          <w:tcPr>
            <w:tcW w:w="1791" w:type="dxa"/>
            <w:gridSpan w:val="2"/>
            <w:hideMark/>
          </w:tcPr>
          <w:p w14:paraId="31789E9B"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Standardized Coefficients</w:t>
            </w:r>
          </w:p>
        </w:tc>
        <w:tc>
          <w:tcPr>
            <w:tcW w:w="1068" w:type="dxa"/>
            <w:gridSpan w:val="2"/>
            <w:hideMark/>
          </w:tcPr>
          <w:p w14:paraId="7B696025"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t</w:t>
            </w:r>
          </w:p>
        </w:tc>
        <w:tc>
          <w:tcPr>
            <w:tcW w:w="1058" w:type="dxa"/>
            <w:hideMark/>
          </w:tcPr>
          <w:p w14:paraId="149A625B"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Sig.</w:t>
            </w:r>
          </w:p>
        </w:tc>
      </w:tr>
      <w:tr w:rsidR="006B6FC7" w:rsidRPr="006B6FC7" w14:paraId="064B5379" w14:textId="77777777" w:rsidTr="006B6FC7">
        <w:trPr>
          <w:trHeight w:val="300"/>
        </w:trPr>
        <w:tc>
          <w:tcPr>
            <w:tcW w:w="1478" w:type="dxa"/>
            <w:gridSpan w:val="2"/>
            <w:vMerge/>
            <w:hideMark/>
          </w:tcPr>
          <w:p w14:paraId="238E77DB"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499" w:type="dxa"/>
            <w:hideMark/>
          </w:tcPr>
          <w:p w14:paraId="2B98CE93"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B</w:t>
            </w:r>
          </w:p>
        </w:tc>
        <w:tc>
          <w:tcPr>
            <w:tcW w:w="1362" w:type="dxa"/>
            <w:gridSpan w:val="2"/>
            <w:hideMark/>
          </w:tcPr>
          <w:p w14:paraId="2039A8DB"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Std. Error</w:t>
            </w:r>
          </w:p>
        </w:tc>
        <w:tc>
          <w:tcPr>
            <w:tcW w:w="1757" w:type="dxa"/>
            <w:hideMark/>
          </w:tcPr>
          <w:p w14:paraId="5F0FB006"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Beta</w:t>
            </w:r>
          </w:p>
        </w:tc>
        <w:tc>
          <w:tcPr>
            <w:tcW w:w="875" w:type="dxa"/>
            <w:hideMark/>
          </w:tcPr>
          <w:p w14:paraId="77E0C78B"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251" w:type="dxa"/>
            <w:gridSpan w:val="2"/>
            <w:hideMark/>
          </w:tcPr>
          <w:p w14:paraId="055418E2"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r>
      <w:tr w:rsidR="006B6FC7" w:rsidRPr="006B6FC7" w14:paraId="6E579610" w14:textId="77777777" w:rsidTr="006B6FC7">
        <w:trPr>
          <w:trHeight w:val="300"/>
        </w:trPr>
        <w:tc>
          <w:tcPr>
            <w:tcW w:w="0" w:type="auto"/>
            <w:vMerge w:val="restart"/>
            <w:hideMark/>
          </w:tcPr>
          <w:p w14:paraId="12CDF35F"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1</w:t>
            </w:r>
          </w:p>
        </w:tc>
        <w:tc>
          <w:tcPr>
            <w:tcW w:w="1150" w:type="dxa"/>
            <w:hideMark/>
          </w:tcPr>
          <w:p w14:paraId="01FE2FA6"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(Constant)</w:t>
            </w:r>
          </w:p>
        </w:tc>
        <w:tc>
          <w:tcPr>
            <w:tcW w:w="1499" w:type="dxa"/>
            <w:hideMark/>
          </w:tcPr>
          <w:p w14:paraId="0F76A642"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0.434</w:t>
            </w:r>
          </w:p>
        </w:tc>
        <w:tc>
          <w:tcPr>
            <w:tcW w:w="1362" w:type="dxa"/>
            <w:gridSpan w:val="2"/>
            <w:hideMark/>
          </w:tcPr>
          <w:p w14:paraId="55D4F93C"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0.033</w:t>
            </w:r>
          </w:p>
        </w:tc>
        <w:tc>
          <w:tcPr>
            <w:tcW w:w="1757" w:type="dxa"/>
            <w:hideMark/>
          </w:tcPr>
          <w:p w14:paraId="666A59AC"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p>
        </w:tc>
        <w:tc>
          <w:tcPr>
            <w:tcW w:w="875" w:type="dxa"/>
            <w:hideMark/>
          </w:tcPr>
          <w:p w14:paraId="18FF0463"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13,099</w:t>
            </w:r>
          </w:p>
        </w:tc>
        <w:tc>
          <w:tcPr>
            <w:tcW w:w="1251" w:type="dxa"/>
            <w:gridSpan w:val="2"/>
            <w:hideMark/>
          </w:tcPr>
          <w:p w14:paraId="0A5808D5"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w:t>
            </w:r>
          </w:p>
        </w:tc>
      </w:tr>
      <w:tr w:rsidR="006B6FC7" w:rsidRPr="006B6FC7" w14:paraId="60C43523" w14:textId="77777777" w:rsidTr="006B6FC7">
        <w:trPr>
          <w:trHeight w:val="300"/>
        </w:trPr>
        <w:tc>
          <w:tcPr>
            <w:tcW w:w="0" w:type="auto"/>
            <w:vMerge/>
            <w:hideMark/>
          </w:tcPr>
          <w:p w14:paraId="3124D6FB"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150" w:type="dxa"/>
            <w:hideMark/>
          </w:tcPr>
          <w:p w14:paraId="6D5815B3"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Age</w:t>
            </w:r>
          </w:p>
        </w:tc>
        <w:tc>
          <w:tcPr>
            <w:tcW w:w="1499" w:type="dxa"/>
            <w:hideMark/>
          </w:tcPr>
          <w:p w14:paraId="67456EE8"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0.003</w:t>
            </w:r>
          </w:p>
        </w:tc>
        <w:tc>
          <w:tcPr>
            <w:tcW w:w="1362" w:type="dxa"/>
            <w:gridSpan w:val="2"/>
            <w:hideMark/>
          </w:tcPr>
          <w:p w14:paraId="6DBCB649"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0.002</w:t>
            </w:r>
          </w:p>
        </w:tc>
        <w:tc>
          <w:tcPr>
            <w:tcW w:w="1757" w:type="dxa"/>
            <w:hideMark/>
          </w:tcPr>
          <w:p w14:paraId="7BA9FFF5"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0.133</w:t>
            </w:r>
          </w:p>
        </w:tc>
        <w:tc>
          <w:tcPr>
            <w:tcW w:w="875" w:type="dxa"/>
            <w:hideMark/>
          </w:tcPr>
          <w:p w14:paraId="43CD5A5B"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2,022</w:t>
            </w:r>
          </w:p>
        </w:tc>
        <w:tc>
          <w:tcPr>
            <w:tcW w:w="1251" w:type="dxa"/>
            <w:gridSpan w:val="2"/>
            <w:hideMark/>
          </w:tcPr>
          <w:p w14:paraId="381034BE"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0.044</w:t>
            </w:r>
          </w:p>
        </w:tc>
      </w:tr>
      <w:tr w:rsidR="006B6FC7" w:rsidRPr="006B6FC7" w14:paraId="6B8161D2" w14:textId="77777777" w:rsidTr="006B6FC7">
        <w:trPr>
          <w:trHeight w:val="300"/>
        </w:trPr>
        <w:tc>
          <w:tcPr>
            <w:tcW w:w="0" w:type="auto"/>
            <w:vMerge/>
            <w:hideMark/>
          </w:tcPr>
          <w:p w14:paraId="623770EE"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150" w:type="dxa"/>
            <w:hideMark/>
          </w:tcPr>
          <w:p w14:paraId="03F445E9"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KI</w:t>
            </w:r>
          </w:p>
        </w:tc>
        <w:tc>
          <w:tcPr>
            <w:tcW w:w="1499" w:type="dxa"/>
            <w:hideMark/>
          </w:tcPr>
          <w:p w14:paraId="4D2AC141"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1.01E-05</w:t>
            </w:r>
          </w:p>
        </w:tc>
        <w:tc>
          <w:tcPr>
            <w:tcW w:w="1362" w:type="dxa"/>
            <w:gridSpan w:val="2"/>
            <w:hideMark/>
          </w:tcPr>
          <w:p w14:paraId="7C44AAA2"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w:t>
            </w:r>
          </w:p>
        </w:tc>
        <w:tc>
          <w:tcPr>
            <w:tcW w:w="1757" w:type="dxa"/>
            <w:hideMark/>
          </w:tcPr>
          <w:p w14:paraId="715308C0"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0.001</w:t>
            </w:r>
          </w:p>
        </w:tc>
        <w:tc>
          <w:tcPr>
            <w:tcW w:w="875" w:type="dxa"/>
            <w:hideMark/>
          </w:tcPr>
          <w:p w14:paraId="1983B05A"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0.023</w:t>
            </w:r>
          </w:p>
        </w:tc>
        <w:tc>
          <w:tcPr>
            <w:tcW w:w="1251" w:type="dxa"/>
            <w:gridSpan w:val="2"/>
            <w:hideMark/>
          </w:tcPr>
          <w:p w14:paraId="6C11373F"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0.982</w:t>
            </w:r>
          </w:p>
        </w:tc>
      </w:tr>
      <w:tr w:rsidR="006B6FC7" w:rsidRPr="006B6FC7" w14:paraId="0F4C53F3" w14:textId="77777777" w:rsidTr="006B6FC7">
        <w:trPr>
          <w:trHeight w:val="300"/>
        </w:trPr>
        <w:tc>
          <w:tcPr>
            <w:tcW w:w="0" w:type="auto"/>
            <w:vMerge/>
            <w:hideMark/>
          </w:tcPr>
          <w:p w14:paraId="5D92B1BE"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150" w:type="dxa"/>
            <w:hideMark/>
          </w:tcPr>
          <w:p w14:paraId="5FB9BAFC"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DER</w:t>
            </w:r>
          </w:p>
        </w:tc>
        <w:tc>
          <w:tcPr>
            <w:tcW w:w="1499" w:type="dxa"/>
            <w:hideMark/>
          </w:tcPr>
          <w:p w14:paraId="73474423"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-0.003</w:t>
            </w:r>
          </w:p>
        </w:tc>
        <w:tc>
          <w:tcPr>
            <w:tcW w:w="1362" w:type="dxa"/>
            <w:gridSpan w:val="2"/>
            <w:hideMark/>
          </w:tcPr>
          <w:p w14:paraId="100DF6D1"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0.004</w:t>
            </w:r>
          </w:p>
        </w:tc>
        <w:tc>
          <w:tcPr>
            <w:tcW w:w="1757" w:type="dxa"/>
            <w:hideMark/>
          </w:tcPr>
          <w:p w14:paraId="02C26C66"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-0.047</w:t>
            </w:r>
          </w:p>
        </w:tc>
        <w:tc>
          <w:tcPr>
            <w:tcW w:w="875" w:type="dxa"/>
            <w:hideMark/>
          </w:tcPr>
          <w:p w14:paraId="77C52891"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-0.738</w:t>
            </w:r>
          </w:p>
        </w:tc>
        <w:tc>
          <w:tcPr>
            <w:tcW w:w="1251" w:type="dxa"/>
            <w:gridSpan w:val="2"/>
            <w:hideMark/>
          </w:tcPr>
          <w:p w14:paraId="61B246A0"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0.461</w:t>
            </w:r>
          </w:p>
        </w:tc>
      </w:tr>
      <w:tr w:rsidR="006B6FC7" w:rsidRPr="006B6FC7" w14:paraId="5C055B26" w14:textId="77777777" w:rsidTr="006B6FC7">
        <w:trPr>
          <w:trHeight w:val="300"/>
        </w:trPr>
        <w:tc>
          <w:tcPr>
            <w:tcW w:w="0" w:type="auto"/>
            <w:vMerge/>
            <w:hideMark/>
          </w:tcPr>
          <w:p w14:paraId="7E3D535C"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150" w:type="dxa"/>
            <w:hideMark/>
          </w:tcPr>
          <w:p w14:paraId="11B3F892"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KD</w:t>
            </w:r>
          </w:p>
        </w:tc>
        <w:tc>
          <w:tcPr>
            <w:tcW w:w="1499" w:type="dxa"/>
            <w:hideMark/>
          </w:tcPr>
          <w:p w14:paraId="4053AE2A"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-0.086</w:t>
            </w:r>
          </w:p>
        </w:tc>
        <w:tc>
          <w:tcPr>
            <w:tcW w:w="1362" w:type="dxa"/>
            <w:gridSpan w:val="2"/>
            <w:hideMark/>
          </w:tcPr>
          <w:p w14:paraId="654D52C7"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0.042</w:t>
            </w:r>
          </w:p>
        </w:tc>
        <w:tc>
          <w:tcPr>
            <w:tcW w:w="1757" w:type="dxa"/>
            <w:hideMark/>
          </w:tcPr>
          <w:p w14:paraId="626D8E1B"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-0.132</w:t>
            </w:r>
          </w:p>
        </w:tc>
        <w:tc>
          <w:tcPr>
            <w:tcW w:w="875" w:type="dxa"/>
            <w:hideMark/>
          </w:tcPr>
          <w:p w14:paraId="1FF19EA4"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-2,048</w:t>
            </w:r>
          </w:p>
        </w:tc>
        <w:tc>
          <w:tcPr>
            <w:tcW w:w="1251" w:type="dxa"/>
            <w:gridSpan w:val="2"/>
            <w:hideMark/>
          </w:tcPr>
          <w:p w14:paraId="135FC496"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0.042</w:t>
            </w:r>
          </w:p>
        </w:tc>
      </w:tr>
      <w:tr w:rsidR="006B6FC7" w:rsidRPr="006B6FC7" w14:paraId="4648F1CA" w14:textId="77777777" w:rsidTr="006B6FC7">
        <w:trPr>
          <w:trHeight w:val="300"/>
        </w:trPr>
        <w:tc>
          <w:tcPr>
            <w:tcW w:w="0" w:type="auto"/>
            <w:vMerge/>
            <w:hideMark/>
          </w:tcPr>
          <w:p w14:paraId="5486A489"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150" w:type="dxa"/>
            <w:hideMark/>
          </w:tcPr>
          <w:p w14:paraId="4C62EC8B"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employee</w:t>
            </w:r>
          </w:p>
        </w:tc>
        <w:tc>
          <w:tcPr>
            <w:tcW w:w="1499" w:type="dxa"/>
            <w:hideMark/>
          </w:tcPr>
          <w:p w14:paraId="0A1962FF"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6.13E-06</w:t>
            </w:r>
          </w:p>
        </w:tc>
        <w:tc>
          <w:tcPr>
            <w:tcW w:w="1362" w:type="dxa"/>
            <w:gridSpan w:val="2"/>
            <w:hideMark/>
          </w:tcPr>
          <w:p w14:paraId="0AF78397"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w:t>
            </w:r>
          </w:p>
        </w:tc>
        <w:tc>
          <w:tcPr>
            <w:tcW w:w="1757" w:type="dxa"/>
            <w:hideMark/>
          </w:tcPr>
          <w:p w14:paraId="547FFF1D"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0.256</w:t>
            </w:r>
          </w:p>
        </w:tc>
        <w:tc>
          <w:tcPr>
            <w:tcW w:w="875" w:type="dxa"/>
            <w:hideMark/>
          </w:tcPr>
          <w:p w14:paraId="4D6ACB69"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3,398</w:t>
            </w:r>
          </w:p>
        </w:tc>
        <w:tc>
          <w:tcPr>
            <w:tcW w:w="1251" w:type="dxa"/>
            <w:gridSpan w:val="2"/>
            <w:hideMark/>
          </w:tcPr>
          <w:p w14:paraId="150A46C0"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0.001</w:t>
            </w:r>
          </w:p>
        </w:tc>
      </w:tr>
      <w:tr w:rsidR="006B6FC7" w:rsidRPr="006B6FC7" w14:paraId="67981B49" w14:textId="77777777" w:rsidTr="006B6FC7">
        <w:trPr>
          <w:trHeight w:val="300"/>
        </w:trPr>
        <w:tc>
          <w:tcPr>
            <w:tcW w:w="0" w:type="auto"/>
            <w:vMerge/>
            <w:hideMark/>
          </w:tcPr>
          <w:p w14:paraId="7770BB81"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150" w:type="dxa"/>
            <w:hideMark/>
          </w:tcPr>
          <w:p w14:paraId="3AD63DFF"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industry</w:t>
            </w:r>
          </w:p>
        </w:tc>
        <w:tc>
          <w:tcPr>
            <w:tcW w:w="1499" w:type="dxa"/>
            <w:hideMark/>
          </w:tcPr>
          <w:p w14:paraId="48153C53"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-0.057</w:t>
            </w:r>
          </w:p>
        </w:tc>
        <w:tc>
          <w:tcPr>
            <w:tcW w:w="1362" w:type="dxa"/>
            <w:gridSpan w:val="2"/>
            <w:hideMark/>
          </w:tcPr>
          <w:p w14:paraId="71B80A13"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0.036</w:t>
            </w:r>
          </w:p>
        </w:tc>
        <w:tc>
          <w:tcPr>
            <w:tcW w:w="1757" w:type="dxa"/>
            <w:hideMark/>
          </w:tcPr>
          <w:p w14:paraId="3C677782"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-0.116</w:t>
            </w:r>
          </w:p>
        </w:tc>
        <w:tc>
          <w:tcPr>
            <w:tcW w:w="875" w:type="dxa"/>
            <w:hideMark/>
          </w:tcPr>
          <w:p w14:paraId="686092C3"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-1,574</w:t>
            </w:r>
          </w:p>
        </w:tc>
        <w:tc>
          <w:tcPr>
            <w:tcW w:w="1251" w:type="dxa"/>
            <w:gridSpan w:val="2"/>
            <w:hideMark/>
          </w:tcPr>
          <w:p w14:paraId="5BEB2931"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0.117</w:t>
            </w:r>
          </w:p>
        </w:tc>
      </w:tr>
      <w:tr w:rsidR="006B6FC7" w:rsidRPr="006B6FC7" w14:paraId="425F0CDC" w14:textId="77777777" w:rsidTr="006B6FC7">
        <w:trPr>
          <w:trHeight w:val="300"/>
        </w:trPr>
        <w:tc>
          <w:tcPr>
            <w:tcW w:w="8222" w:type="dxa"/>
            <w:gridSpan w:val="9"/>
            <w:hideMark/>
          </w:tcPr>
          <w:p w14:paraId="515B9B3B"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 xml:space="preserve">a. Dependent Variable: </w:t>
            </w:r>
            <w:proofErr w:type="spellStart"/>
            <w:r w:rsidRPr="006B6FC7">
              <w:rPr>
                <w:rFonts w:ascii="Arial" w:hAnsi="Arial" w:cs="Arial"/>
                <w:bCs/>
                <w:color w:val="000000"/>
                <w:lang w:val="en"/>
              </w:rPr>
              <w:t>esg</w:t>
            </w:r>
            <w:proofErr w:type="spellEnd"/>
            <w:r w:rsidRPr="006B6FC7">
              <w:rPr>
                <w:rFonts w:ascii="Arial" w:hAnsi="Arial" w:cs="Arial"/>
                <w:bCs/>
                <w:color w:val="000000"/>
                <w:lang w:val="en"/>
              </w:rPr>
              <w:t xml:space="preserve"> score</w:t>
            </w:r>
          </w:p>
        </w:tc>
      </w:tr>
    </w:tbl>
    <w:p w14:paraId="537D3960" w14:textId="77777777" w:rsidR="006B6FC7" w:rsidRPr="006B6FC7" w:rsidRDefault="006B6FC7" w:rsidP="006B6FC7">
      <w:pPr>
        <w:widowControl w:val="0"/>
        <w:tabs>
          <w:tab w:val="left" w:pos="180"/>
        </w:tabs>
        <w:spacing w:line="240" w:lineRule="atLeast"/>
        <w:jc w:val="both"/>
        <w:rPr>
          <w:rFonts w:ascii="Arial" w:hAnsi="Arial" w:cs="Arial"/>
          <w:b/>
          <w:i/>
          <w:iCs/>
        </w:rPr>
      </w:pPr>
      <w:r w:rsidRPr="006B6FC7">
        <w:rPr>
          <w:rFonts w:ascii="Arial" w:hAnsi="Arial" w:cs="Arial"/>
          <w:b/>
          <w:i/>
          <w:iCs/>
        </w:rPr>
        <w:t>Source: Processed Secondary Data, 2024</w:t>
      </w:r>
    </w:p>
    <w:p w14:paraId="65517AC5" w14:textId="7507BB69" w:rsidR="004E634A" w:rsidRPr="006B6FC7" w:rsidRDefault="004E634A" w:rsidP="004E634A">
      <w:pPr>
        <w:widowControl w:val="0"/>
        <w:tabs>
          <w:tab w:val="left" w:pos="180"/>
        </w:tabs>
        <w:spacing w:line="240" w:lineRule="atLeast"/>
        <w:jc w:val="both"/>
        <w:rPr>
          <w:rFonts w:ascii="Arial" w:hAnsi="Arial" w:cs="Arial"/>
          <w:bCs/>
        </w:rPr>
      </w:pPr>
      <w:r>
        <w:rPr>
          <w:rFonts w:ascii="Arial" w:hAnsi="Arial" w:cs="Arial"/>
          <w:bCs/>
        </w:rPr>
        <w:tab/>
      </w:r>
      <w:r w:rsidRPr="006B6FC7">
        <w:rPr>
          <w:rFonts w:ascii="Arial" w:hAnsi="Arial" w:cs="Arial"/>
          <w:bCs/>
        </w:rPr>
        <w:t>The T-test shows that the institutional ownership (IO) coefficient of 1.011E-05 with a p-value of 0.982 rejects H1, which means it has no significant effect on ESG disclosure. The DER coefficient of -0.003 with a p-value of 0.461 also rejects H2, indicating no significant effect. However, the director ownership (DO) coefficient of -0.086 with a p-value of 0.042 supports H3, indicating a significant and negative effect on ESG disclosure.</w:t>
      </w:r>
    </w:p>
    <w:p w14:paraId="3327E8C2" w14:textId="77777777" w:rsidR="004E634A" w:rsidRDefault="004E634A" w:rsidP="006B6FC7">
      <w:pPr>
        <w:widowControl w:val="0"/>
        <w:tabs>
          <w:tab w:val="left" w:pos="180"/>
        </w:tabs>
        <w:spacing w:line="240" w:lineRule="atLeast"/>
        <w:jc w:val="both"/>
        <w:rPr>
          <w:rFonts w:ascii="Arial" w:hAnsi="Arial" w:cs="Arial"/>
          <w:b/>
          <w:lang w:val="en"/>
        </w:rPr>
      </w:pPr>
    </w:p>
    <w:p w14:paraId="1E4D07D7" w14:textId="20BDF9E1"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
          <w:lang w:val="en"/>
        </w:rPr>
        <w:t xml:space="preserve">Coefficient Test Determination (R </w:t>
      </w:r>
      <w:proofErr w:type="gramStart"/>
      <w:r w:rsidRPr="006B6FC7">
        <w:rPr>
          <w:rFonts w:ascii="Arial" w:hAnsi="Arial" w:cs="Arial"/>
          <w:b/>
          <w:vertAlign w:val="superscript"/>
          <w:lang w:val="en"/>
        </w:rPr>
        <w:t xml:space="preserve">2 </w:t>
      </w:r>
      <w:r w:rsidRPr="006B6FC7">
        <w:rPr>
          <w:rFonts w:ascii="Arial" w:hAnsi="Arial" w:cs="Arial"/>
          <w:b/>
          <w:lang w:val="en"/>
        </w:rPr>
        <w:t>)</w:t>
      </w:r>
      <w:proofErr w:type="gramEnd"/>
    </w:p>
    <w:p w14:paraId="0C328618" w14:textId="77777777" w:rsidR="006B6FC7" w:rsidRPr="006B6FC7" w:rsidRDefault="006B6FC7" w:rsidP="006B6FC7">
      <w:pPr>
        <w:widowControl w:val="0"/>
        <w:tabs>
          <w:tab w:val="left" w:pos="180"/>
        </w:tabs>
        <w:spacing w:line="240" w:lineRule="atLeast"/>
        <w:jc w:val="both"/>
        <w:rPr>
          <w:rFonts w:ascii="Arial" w:hAnsi="Arial" w:cs="Arial"/>
          <w:b/>
          <w:i/>
          <w:iCs/>
        </w:rPr>
      </w:pPr>
      <w:r w:rsidRPr="006B6FC7">
        <w:rPr>
          <w:rFonts w:ascii="Arial" w:hAnsi="Arial" w:cs="Arial"/>
          <w:bCs/>
        </w:rPr>
        <w:tab/>
      </w:r>
      <w:r w:rsidRPr="006B6FC7">
        <w:rPr>
          <w:rFonts w:ascii="Arial" w:hAnsi="Arial" w:cs="Arial"/>
          <w:bCs/>
        </w:rPr>
        <w:tab/>
        <w:t>The Coefficient of Determination (R²) test reveals that the correlation between the ESG score and the independent variables is relatively weak, as indicated by an R value of 0.319. The R² value of 10.2% suggests that the regression model explains only a small portion of the variance in ESG scores. Additionally, the Adjusted R² of 7.8% further supports the notion that Model 1 is not fully effective in accounting for the variables that influence ESG scores. These results indicate the presence of other factors not included in the model that could potentially have a significant impact on ESG disclosure, suggesting that further variables should be considered in future studies to improve the explanatory power of the model.</w:t>
      </w:r>
    </w:p>
    <w:tbl>
      <w:tblPr>
        <w:tblW w:w="8222"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1668"/>
        <w:gridCol w:w="1167"/>
        <w:gridCol w:w="1560"/>
        <w:gridCol w:w="2126"/>
        <w:gridCol w:w="1701"/>
      </w:tblGrid>
      <w:tr w:rsidR="006B6FC7" w:rsidRPr="006B6FC7" w14:paraId="6351CE7B" w14:textId="77777777" w:rsidTr="006B6FC7">
        <w:trPr>
          <w:trHeight w:val="267"/>
        </w:trPr>
        <w:tc>
          <w:tcPr>
            <w:tcW w:w="8222" w:type="dxa"/>
            <w:gridSpan w:val="5"/>
            <w:hideMark/>
          </w:tcPr>
          <w:p w14:paraId="094F0909" w14:textId="5465C375" w:rsidR="006B6FC7" w:rsidRPr="006B6FC7" w:rsidRDefault="006B6FC7" w:rsidP="00F54FCC">
            <w:pPr>
              <w:widowControl w:val="0"/>
              <w:tabs>
                <w:tab w:val="left" w:pos="180"/>
              </w:tabs>
              <w:spacing w:line="240" w:lineRule="atLeast"/>
              <w:rPr>
                <w:rFonts w:ascii="Arial" w:hAnsi="Arial" w:cs="Arial"/>
                <w:b/>
                <w:lang w:val="en"/>
              </w:rPr>
            </w:pPr>
            <w:r w:rsidRPr="006B6FC7">
              <w:rPr>
                <w:rFonts w:ascii="Arial" w:hAnsi="Arial" w:cs="Arial"/>
                <w:b/>
                <w:lang w:val="en"/>
              </w:rPr>
              <w:t>Tabl</w:t>
            </w:r>
            <w:r w:rsidR="00032424">
              <w:rPr>
                <w:rFonts w:ascii="Arial" w:hAnsi="Arial" w:cs="Arial"/>
                <w:b/>
                <w:lang w:val="en"/>
              </w:rPr>
              <w:t>e</w:t>
            </w:r>
            <w:r w:rsidRPr="006B6FC7">
              <w:rPr>
                <w:rFonts w:ascii="Arial" w:hAnsi="Arial" w:cs="Arial"/>
                <w:b/>
                <w:lang w:val="en"/>
              </w:rPr>
              <w:t xml:space="preserve"> 5 Coefficient Test Results Determination</w:t>
            </w:r>
          </w:p>
          <w:p w14:paraId="381A483B" w14:textId="77777777" w:rsidR="006B6FC7" w:rsidRPr="006B6FC7" w:rsidRDefault="006B6FC7" w:rsidP="00F54FCC">
            <w:pPr>
              <w:widowControl w:val="0"/>
              <w:tabs>
                <w:tab w:val="left" w:pos="180"/>
              </w:tabs>
              <w:spacing w:line="240" w:lineRule="atLeast"/>
              <w:rPr>
                <w:rFonts w:ascii="Arial" w:hAnsi="Arial" w:cs="Arial"/>
                <w:bCs/>
                <w:lang w:val="en"/>
              </w:rPr>
            </w:pPr>
            <w:r w:rsidRPr="006B6FC7">
              <w:rPr>
                <w:rFonts w:ascii="Arial" w:hAnsi="Arial" w:cs="Arial"/>
                <w:b/>
                <w:lang w:val="en"/>
              </w:rPr>
              <w:t>Model Summary</w:t>
            </w:r>
          </w:p>
        </w:tc>
      </w:tr>
      <w:tr w:rsidR="006B6FC7" w:rsidRPr="006B6FC7" w14:paraId="4D0C09D7" w14:textId="77777777" w:rsidTr="006B6FC7">
        <w:trPr>
          <w:trHeight w:val="464"/>
        </w:trPr>
        <w:tc>
          <w:tcPr>
            <w:tcW w:w="1668" w:type="dxa"/>
            <w:hideMark/>
          </w:tcPr>
          <w:p w14:paraId="546B36B9"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Model</w:t>
            </w:r>
          </w:p>
        </w:tc>
        <w:tc>
          <w:tcPr>
            <w:tcW w:w="1167" w:type="dxa"/>
            <w:hideMark/>
          </w:tcPr>
          <w:p w14:paraId="301F4295"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R</w:t>
            </w:r>
          </w:p>
        </w:tc>
        <w:tc>
          <w:tcPr>
            <w:tcW w:w="1560" w:type="dxa"/>
            <w:hideMark/>
          </w:tcPr>
          <w:p w14:paraId="3A4A0CC5"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R Square</w:t>
            </w:r>
          </w:p>
        </w:tc>
        <w:tc>
          <w:tcPr>
            <w:tcW w:w="2126" w:type="dxa"/>
            <w:hideMark/>
          </w:tcPr>
          <w:p w14:paraId="45D8B5B6"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Adjusted R Square</w:t>
            </w:r>
          </w:p>
        </w:tc>
        <w:tc>
          <w:tcPr>
            <w:tcW w:w="1701" w:type="dxa"/>
            <w:hideMark/>
          </w:tcPr>
          <w:p w14:paraId="25BFE049"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Std. Error of the Estimate</w:t>
            </w:r>
          </w:p>
        </w:tc>
      </w:tr>
      <w:tr w:rsidR="006B6FC7" w:rsidRPr="006B6FC7" w14:paraId="3D0F0811" w14:textId="77777777" w:rsidTr="006B6FC7">
        <w:trPr>
          <w:trHeight w:val="275"/>
        </w:trPr>
        <w:tc>
          <w:tcPr>
            <w:tcW w:w="1668" w:type="dxa"/>
            <w:hideMark/>
          </w:tcPr>
          <w:p w14:paraId="61E25538"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1</w:t>
            </w:r>
          </w:p>
        </w:tc>
        <w:tc>
          <w:tcPr>
            <w:tcW w:w="1167" w:type="dxa"/>
            <w:hideMark/>
          </w:tcPr>
          <w:p w14:paraId="42EC368F" w14:textId="77777777" w:rsidR="006B6FC7" w:rsidRPr="006B6FC7" w:rsidRDefault="006B6FC7" w:rsidP="00F54FCC">
            <w:pPr>
              <w:widowControl w:val="0"/>
              <w:tabs>
                <w:tab w:val="left" w:pos="180"/>
              </w:tabs>
              <w:spacing w:line="240" w:lineRule="atLeast"/>
              <w:jc w:val="right"/>
              <w:rPr>
                <w:rFonts w:ascii="Arial" w:hAnsi="Arial" w:cs="Arial"/>
                <w:bCs/>
                <w:vertAlign w:val="superscript"/>
                <w:lang w:val="en"/>
              </w:rPr>
            </w:pPr>
            <w:r w:rsidRPr="006B6FC7">
              <w:rPr>
                <w:rFonts w:ascii="Arial" w:hAnsi="Arial" w:cs="Arial"/>
                <w:bCs/>
                <w:lang w:val="en"/>
              </w:rPr>
              <w:t xml:space="preserve">.319 </w:t>
            </w:r>
            <w:r w:rsidRPr="006B6FC7">
              <w:rPr>
                <w:rFonts w:ascii="Arial" w:hAnsi="Arial" w:cs="Arial"/>
                <w:bCs/>
                <w:vertAlign w:val="superscript"/>
                <w:lang w:val="en"/>
              </w:rPr>
              <w:t>a</w:t>
            </w:r>
          </w:p>
        </w:tc>
        <w:tc>
          <w:tcPr>
            <w:tcW w:w="1560" w:type="dxa"/>
            <w:hideMark/>
          </w:tcPr>
          <w:p w14:paraId="7AF5F765"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,102</w:t>
            </w:r>
          </w:p>
        </w:tc>
        <w:tc>
          <w:tcPr>
            <w:tcW w:w="2126" w:type="dxa"/>
            <w:hideMark/>
          </w:tcPr>
          <w:p w14:paraId="4920C9AA"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,078</w:t>
            </w:r>
          </w:p>
        </w:tc>
        <w:tc>
          <w:tcPr>
            <w:tcW w:w="1701" w:type="dxa"/>
            <w:hideMark/>
          </w:tcPr>
          <w:p w14:paraId="09E54EDC"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,20623</w:t>
            </w:r>
          </w:p>
        </w:tc>
      </w:tr>
      <w:tr w:rsidR="006B6FC7" w:rsidRPr="006B6FC7" w14:paraId="3A39C43B" w14:textId="77777777" w:rsidTr="006B6FC7">
        <w:trPr>
          <w:trHeight w:val="275"/>
        </w:trPr>
        <w:tc>
          <w:tcPr>
            <w:tcW w:w="8222" w:type="dxa"/>
            <w:gridSpan w:val="5"/>
            <w:hideMark/>
          </w:tcPr>
          <w:p w14:paraId="04B54C38"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 xml:space="preserve">a. Predictors: (Constant), </w:t>
            </w:r>
            <w:proofErr w:type="gramStart"/>
            <w:r w:rsidRPr="006B6FC7">
              <w:rPr>
                <w:rFonts w:ascii="Arial" w:hAnsi="Arial" w:cs="Arial"/>
                <w:bCs/>
                <w:color w:val="000000"/>
                <w:lang w:val="en"/>
              </w:rPr>
              <w:t>industry ,</w:t>
            </w:r>
            <w:proofErr w:type="gramEnd"/>
            <w:r w:rsidRPr="006B6FC7">
              <w:rPr>
                <w:rFonts w:ascii="Arial" w:hAnsi="Arial" w:cs="Arial"/>
                <w:bCs/>
                <w:color w:val="000000"/>
                <w:lang w:val="en"/>
              </w:rPr>
              <w:t xml:space="preserve"> age, DO , der, IO, employee</w:t>
            </w:r>
          </w:p>
        </w:tc>
      </w:tr>
      <w:tr w:rsidR="006B6FC7" w:rsidRPr="006B6FC7" w14:paraId="40CF5CD0" w14:textId="77777777" w:rsidTr="006B6FC7">
        <w:trPr>
          <w:trHeight w:val="348"/>
        </w:trPr>
        <w:tc>
          <w:tcPr>
            <w:tcW w:w="8222" w:type="dxa"/>
            <w:gridSpan w:val="5"/>
            <w:hideMark/>
          </w:tcPr>
          <w:p w14:paraId="5529D4A3" w14:textId="77777777" w:rsidR="006B6FC7" w:rsidRPr="006B6FC7" w:rsidRDefault="006B6FC7" w:rsidP="00F54FCC">
            <w:pPr>
              <w:widowControl w:val="0"/>
              <w:tabs>
                <w:tab w:val="left" w:pos="180"/>
              </w:tabs>
              <w:spacing w:line="240" w:lineRule="atLeast"/>
              <w:jc w:val="both"/>
              <w:rPr>
                <w:rFonts w:ascii="Arial" w:hAnsi="Arial" w:cs="Arial"/>
                <w:b/>
                <w:i/>
                <w:iCs/>
                <w:lang w:val="nb-NO"/>
              </w:rPr>
            </w:pPr>
            <w:r w:rsidRPr="006B6FC7">
              <w:rPr>
                <w:rFonts w:ascii="Arial" w:hAnsi="Arial" w:cs="Arial"/>
                <w:b/>
                <w:i/>
                <w:iCs/>
                <w:lang w:val="nb-NO"/>
              </w:rPr>
              <w:t>Source: Processed Secondary Data, 2024</w:t>
            </w:r>
          </w:p>
        </w:tc>
      </w:tr>
    </w:tbl>
    <w:p w14:paraId="6E286B1B" w14:textId="77777777" w:rsidR="006B6FC7" w:rsidRPr="006B6FC7" w:rsidRDefault="006B6FC7" w:rsidP="006B6FC7">
      <w:pPr>
        <w:widowControl w:val="0"/>
        <w:tabs>
          <w:tab w:val="left" w:pos="180"/>
        </w:tabs>
        <w:spacing w:line="240" w:lineRule="atLeast"/>
        <w:jc w:val="both"/>
        <w:rPr>
          <w:rFonts w:ascii="Arial" w:hAnsi="Arial" w:cs="Arial"/>
          <w:b/>
          <w:i/>
          <w:iCs/>
        </w:rPr>
      </w:pPr>
    </w:p>
    <w:p w14:paraId="1FA1D8F5"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The Influence of ESG Disclosure Level on Company Value</w:t>
      </w:r>
    </w:p>
    <w:p w14:paraId="1F0CE2EE"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TOBINS’Q</w:t>
      </w:r>
    </w:p>
    <w:p w14:paraId="4C6A9994"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Statistic Descriptive</w:t>
      </w:r>
    </w:p>
    <w:p w14:paraId="3092A9CB" w14:textId="77777777" w:rsidR="006B6FC7" w:rsidRPr="006B6FC7" w:rsidRDefault="006B6FC7" w:rsidP="006B6FC7">
      <w:pPr>
        <w:spacing w:line="276" w:lineRule="auto"/>
        <w:rPr>
          <w:rFonts w:ascii="Arial" w:hAnsi="Arial" w:cs="Arial"/>
          <w:bCs/>
        </w:rPr>
      </w:pPr>
      <w:r w:rsidRPr="006B6FC7">
        <w:rPr>
          <w:rFonts w:ascii="Arial" w:hAnsi="Arial" w:cs="Arial"/>
          <w:bCs/>
        </w:rPr>
        <w:t>Table 6. Statistical Test Results Descriptive</w:t>
      </w:r>
    </w:p>
    <w:tbl>
      <w:tblPr>
        <w:tblW w:w="8222"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1365"/>
        <w:gridCol w:w="1578"/>
        <w:gridCol w:w="1168"/>
        <w:gridCol w:w="1418"/>
        <w:gridCol w:w="1134"/>
        <w:gridCol w:w="1559"/>
      </w:tblGrid>
      <w:tr w:rsidR="006B6FC7" w:rsidRPr="006B6FC7" w14:paraId="3DD8277A" w14:textId="77777777" w:rsidTr="006B6FC7">
        <w:trPr>
          <w:trHeight w:val="321"/>
        </w:trPr>
        <w:tc>
          <w:tcPr>
            <w:tcW w:w="1365" w:type="dxa"/>
            <w:hideMark/>
          </w:tcPr>
          <w:p w14:paraId="0588A139" w14:textId="77777777" w:rsidR="006B6FC7" w:rsidRPr="006B6FC7" w:rsidRDefault="006B6FC7" w:rsidP="00F54FCC">
            <w:pPr>
              <w:spacing w:line="276" w:lineRule="auto"/>
              <w:rPr>
                <w:rFonts w:ascii="Arial" w:hAnsi="Arial" w:cs="Arial"/>
                <w:b/>
                <w:i/>
                <w:iCs/>
              </w:rPr>
            </w:pPr>
            <w:r w:rsidRPr="006B6FC7">
              <w:rPr>
                <w:rFonts w:ascii="Arial" w:hAnsi="Arial" w:cs="Arial"/>
                <w:b/>
                <w:i/>
                <w:iCs/>
              </w:rPr>
              <w:t xml:space="preserve"> </w:t>
            </w:r>
          </w:p>
        </w:tc>
        <w:tc>
          <w:tcPr>
            <w:tcW w:w="1578" w:type="dxa"/>
            <w:hideMark/>
          </w:tcPr>
          <w:p w14:paraId="659DBE54" w14:textId="77777777" w:rsidR="006B6FC7" w:rsidRPr="006B6FC7" w:rsidRDefault="006B6FC7" w:rsidP="00F54FCC">
            <w:pPr>
              <w:spacing w:line="276" w:lineRule="auto"/>
              <w:jc w:val="center"/>
              <w:rPr>
                <w:rFonts w:ascii="Arial" w:hAnsi="Arial" w:cs="Arial"/>
                <w:b/>
              </w:rPr>
            </w:pPr>
            <w:r w:rsidRPr="006B6FC7">
              <w:rPr>
                <w:rFonts w:ascii="Arial" w:hAnsi="Arial" w:cs="Arial"/>
                <w:b/>
              </w:rPr>
              <w:t>N</w:t>
            </w:r>
          </w:p>
        </w:tc>
        <w:tc>
          <w:tcPr>
            <w:tcW w:w="1168" w:type="dxa"/>
            <w:hideMark/>
          </w:tcPr>
          <w:p w14:paraId="6F9B8650" w14:textId="77777777" w:rsidR="006B6FC7" w:rsidRPr="006B6FC7" w:rsidRDefault="006B6FC7" w:rsidP="00F54FCC">
            <w:pPr>
              <w:spacing w:line="276" w:lineRule="auto"/>
              <w:jc w:val="center"/>
              <w:rPr>
                <w:rFonts w:ascii="Arial" w:hAnsi="Arial" w:cs="Arial"/>
                <w:b/>
              </w:rPr>
            </w:pPr>
            <w:r w:rsidRPr="006B6FC7">
              <w:rPr>
                <w:rFonts w:ascii="Arial" w:hAnsi="Arial" w:cs="Arial"/>
                <w:b/>
              </w:rPr>
              <w:t>Minimum</w:t>
            </w:r>
          </w:p>
        </w:tc>
        <w:tc>
          <w:tcPr>
            <w:tcW w:w="1418" w:type="dxa"/>
            <w:hideMark/>
          </w:tcPr>
          <w:p w14:paraId="3C7C972F" w14:textId="77777777" w:rsidR="006B6FC7" w:rsidRPr="006B6FC7" w:rsidRDefault="006B6FC7" w:rsidP="00F54FCC">
            <w:pPr>
              <w:spacing w:line="276" w:lineRule="auto"/>
              <w:jc w:val="center"/>
              <w:rPr>
                <w:rFonts w:ascii="Arial" w:hAnsi="Arial" w:cs="Arial"/>
                <w:b/>
              </w:rPr>
            </w:pPr>
            <w:r w:rsidRPr="006B6FC7">
              <w:rPr>
                <w:rFonts w:ascii="Arial" w:hAnsi="Arial" w:cs="Arial"/>
                <w:b/>
              </w:rPr>
              <w:t>Maximum</w:t>
            </w:r>
          </w:p>
        </w:tc>
        <w:tc>
          <w:tcPr>
            <w:tcW w:w="1134" w:type="dxa"/>
            <w:hideMark/>
          </w:tcPr>
          <w:p w14:paraId="12C0C41D" w14:textId="77777777" w:rsidR="006B6FC7" w:rsidRPr="006B6FC7" w:rsidRDefault="006B6FC7" w:rsidP="00F54FCC">
            <w:pPr>
              <w:spacing w:line="276" w:lineRule="auto"/>
              <w:jc w:val="center"/>
              <w:rPr>
                <w:rFonts w:ascii="Arial" w:hAnsi="Arial" w:cs="Arial"/>
                <w:b/>
              </w:rPr>
            </w:pPr>
            <w:r w:rsidRPr="006B6FC7">
              <w:rPr>
                <w:rFonts w:ascii="Arial" w:hAnsi="Arial" w:cs="Arial"/>
                <w:b/>
              </w:rPr>
              <w:t>Mean</w:t>
            </w:r>
          </w:p>
        </w:tc>
        <w:tc>
          <w:tcPr>
            <w:tcW w:w="1559" w:type="dxa"/>
            <w:hideMark/>
          </w:tcPr>
          <w:p w14:paraId="08303E71" w14:textId="77777777" w:rsidR="006B6FC7" w:rsidRPr="006B6FC7" w:rsidRDefault="006B6FC7" w:rsidP="00F54FCC">
            <w:pPr>
              <w:spacing w:line="276" w:lineRule="auto"/>
              <w:jc w:val="center"/>
              <w:rPr>
                <w:rFonts w:ascii="Arial" w:hAnsi="Arial" w:cs="Arial"/>
                <w:b/>
              </w:rPr>
            </w:pPr>
            <w:r w:rsidRPr="006B6FC7">
              <w:rPr>
                <w:rFonts w:ascii="Arial" w:hAnsi="Arial" w:cs="Arial"/>
                <w:b/>
              </w:rPr>
              <w:t>Std. Deviation</w:t>
            </w:r>
          </w:p>
        </w:tc>
      </w:tr>
      <w:tr w:rsidR="006B6FC7" w:rsidRPr="006B6FC7" w14:paraId="57181E72" w14:textId="77777777" w:rsidTr="006B6FC7">
        <w:trPr>
          <w:trHeight w:val="250"/>
        </w:trPr>
        <w:tc>
          <w:tcPr>
            <w:tcW w:w="1365" w:type="dxa"/>
            <w:hideMark/>
          </w:tcPr>
          <w:p w14:paraId="286F5687" w14:textId="77777777" w:rsidR="006B6FC7" w:rsidRPr="006B6FC7" w:rsidRDefault="006B6FC7" w:rsidP="00F54FCC">
            <w:pPr>
              <w:spacing w:line="276" w:lineRule="auto"/>
              <w:rPr>
                <w:rFonts w:ascii="Arial" w:hAnsi="Arial" w:cs="Arial"/>
              </w:rPr>
            </w:pPr>
            <w:r w:rsidRPr="006B6FC7">
              <w:rPr>
                <w:rFonts w:ascii="Arial" w:hAnsi="Arial" w:cs="Arial"/>
              </w:rPr>
              <w:t>TOBINS Q</w:t>
            </w:r>
          </w:p>
        </w:tc>
        <w:tc>
          <w:tcPr>
            <w:tcW w:w="1578" w:type="dxa"/>
            <w:hideMark/>
          </w:tcPr>
          <w:p w14:paraId="52573F66"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168" w:type="dxa"/>
            <w:hideMark/>
          </w:tcPr>
          <w:p w14:paraId="78281B65" w14:textId="77777777" w:rsidR="006B6FC7" w:rsidRPr="006B6FC7" w:rsidRDefault="006B6FC7" w:rsidP="00F54FCC">
            <w:pPr>
              <w:spacing w:line="276" w:lineRule="auto"/>
              <w:jc w:val="right"/>
              <w:rPr>
                <w:rFonts w:ascii="Arial" w:hAnsi="Arial" w:cs="Arial"/>
              </w:rPr>
            </w:pPr>
            <w:r w:rsidRPr="006B6FC7">
              <w:rPr>
                <w:rFonts w:ascii="Arial" w:hAnsi="Arial" w:cs="Arial"/>
              </w:rPr>
              <w:t>,25</w:t>
            </w:r>
          </w:p>
        </w:tc>
        <w:tc>
          <w:tcPr>
            <w:tcW w:w="1418" w:type="dxa"/>
            <w:hideMark/>
          </w:tcPr>
          <w:p w14:paraId="35AFEEBF" w14:textId="77777777" w:rsidR="006B6FC7" w:rsidRPr="006B6FC7" w:rsidRDefault="006B6FC7" w:rsidP="00F54FCC">
            <w:pPr>
              <w:spacing w:line="276" w:lineRule="auto"/>
              <w:jc w:val="right"/>
              <w:rPr>
                <w:rFonts w:ascii="Arial" w:hAnsi="Arial" w:cs="Arial"/>
              </w:rPr>
            </w:pPr>
            <w:r w:rsidRPr="006B6FC7">
              <w:rPr>
                <w:rFonts w:ascii="Arial" w:hAnsi="Arial" w:cs="Arial"/>
              </w:rPr>
              <w:t>7.41</w:t>
            </w:r>
          </w:p>
        </w:tc>
        <w:tc>
          <w:tcPr>
            <w:tcW w:w="1134" w:type="dxa"/>
            <w:hideMark/>
          </w:tcPr>
          <w:p w14:paraId="3966F55F" w14:textId="77777777" w:rsidR="006B6FC7" w:rsidRPr="006B6FC7" w:rsidRDefault="006B6FC7" w:rsidP="00F54FCC">
            <w:pPr>
              <w:spacing w:line="276" w:lineRule="auto"/>
              <w:jc w:val="right"/>
              <w:rPr>
                <w:rFonts w:ascii="Arial" w:hAnsi="Arial" w:cs="Arial"/>
              </w:rPr>
            </w:pPr>
            <w:r w:rsidRPr="006B6FC7">
              <w:rPr>
                <w:rFonts w:ascii="Arial" w:hAnsi="Arial" w:cs="Arial"/>
              </w:rPr>
              <w:t>1,3819</w:t>
            </w:r>
          </w:p>
        </w:tc>
        <w:tc>
          <w:tcPr>
            <w:tcW w:w="1559" w:type="dxa"/>
            <w:hideMark/>
          </w:tcPr>
          <w:p w14:paraId="3DE00B23" w14:textId="77777777" w:rsidR="006B6FC7" w:rsidRPr="006B6FC7" w:rsidRDefault="006B6FC7" w:rsidP="00F54FCC">
            <w:pPr>
              <w:spacing w:line="276" w:lineRule="auto"/>
              <w:jc w:val="right"/>
              <w:rPr>
                <w:rFonts w:ascii="Arial" w:hAnsi="Arial" w:cs="Arial"/>
              </w:rPr>
            </w:pPr>
            <w:r w:rsidRPr="006B6FC7">
              <w:rPr>
                <w:rFonts w:ascii="Arial" w:hAnsi="Arial" w:cs="Arial"/>
              </w:rPr>
              <w:t>,98776</w:t>
            </w:r>
          </w:p>
        </w:tc>
      </w:tr>
      <w:tr w:rsidR="006B6FC7" w:rsidRPr="006B6FC7" w14:paraId="6CD112FA" w14:textId="77777777" w:rsidTr="006B6FC7">
        <w:trPr>
          <w:trHeight w:val="230"/>
        </w:trPr>
        <w:tc>
          <w:tcPr>
            <w:tcW w:w="1365" w:type="dxa"/>
            <w:hideMark/>
          </w:tcPr>
          <w:p w14:paraId="5354E85C" w14:textId="77777777" w:rsidR="006B6FC7" w:rsidRPr="006B6FC7" w:rsidRDefault="006B6FC7" w:rsidP="00F54FCC">
            <w:pPr>
              <w:spacing w:line="276" w:lineRule="auto"/>
              <w:rPr>
                <w:rFonts w:ascii="Arial" w:hAnsi="Arial" w:cs="Arial"/>
              </w:rPr>
            </w:pPr>
            <w:proofErr w:type="spellStart"/>
            <w:r w:rsidRPr="006B6FC7">
              <w:rPr>
                <w:rFonts w:ascii="Arial" w:hAnsi="Arial" w:cs="Arial"/>
              </w:rPr>
              <w:t>esg</w:t>
            </w:r>
            <w:proofErr w:type="spellEnd"/>
            <w:r w:rsidRPr="006B6FC7">
              <w:rPr>
                <w:rFonts w:ascii="Arial" w:hAnsi="Arial" w:cs="Arial"/>
              </w:rPr>
              <w:t xml:space="preserve"> score</w:t>
            </w:r>
          </w:p>
        </w:tc>
        <w:tc>
          <w:tcPr>
            <w:tcW w:w="1578" w:type="dxa"/>
            <w:hideMark/>
          </w:tcPr>
          <w:p w14:paraId="7B62EF4E"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168" w:type="dxa"/>
            <w:hideMark/>
          </w:tcPr>
          <w:p w14:paraId="1D837408" w14:textId="77777777" w:rsidR="006B6FC7" w:rsidRPr="006B6FC7" w:rsidRDefault="006B6FC7" w:rsidP="00F54FCC">
            <w:pPr>
              <w:spacing w:line="276" w:lineRule="auto"/>
              <w:jc w:val="right"/>
              <w:rPr>
                <w:rFonts w:ascii="Arial" w:hAnsi="Arial" w:cs="Arial"/>
              </w:rPr>
            </w:pPr>
            <w:r w:rsidRPr="006B6FC7">
              <w:rPr>
                <w:rFonts w:ascii="Arial" w:hAnsi="Arial" w:cs="Arial"/>
              </w:rPr>
              <w:t>0.00</w:t>
            </w:r>
          </w:p>
        </w:tc>
        <w:tc>
          <w:tcPr>
            <w:tcW w:w="1418" w:type="dxa"/>
            <w:hideMark/>
          </w:tcPr>
          <w:p w14:paraId="57071193" w14:textId="77777777" w:rsidR="006B6FC7" w:rsidRPr="006B6FC7" w:rsidRDefault="006B6FC7" w:rsidP="00F54FCC">
            <w:pPr>
              <w:spacing w:line="276" w:lineRule="auto"/>
              <w:jc w:val="right"/>
              <w:rPr>
                <w:rFonts w:ascii="Arial" w:hAnsi="Arial" w:cs="Arial"/>
              </w:rPr>
            </w:pPr>
            <w:r w:rsidRPr="006B6FC7">
              <w:rPr>
                <w:rFonts w:ascii="Arial" w:hAnsi="Arial" w:cs="Arial"/>
              </w:rPr>
              <w:t>1.00</w:t>
            </w:r>
          </w:p>
        </w:tc>
        <w:tc>
          <w:tcPr>
            <w:tcW w:w="1134" w:type="dxa"/>
            <w:hideMark/>
          </w:tcPr>
          <w:p w14:paraId="453A16DC" w14:textId="77777777" w:rsidR="006B6FC7" w:rsidRPr="006B6FC7" w:rsidRDefault="006B6FC7" w:rsidP="00F54FCC">
            <w:pPr>
              <w:spacing w:line="276" w:lineRule="auto"/>
              <w:jc w:val="right"/>
              <w:rPr>
                <w:rFonts w:ascii="Arial" w:hAnsi="Arial" w:cs="Arial"/>
              </w:rPr>
            </w:pPr>
            <w:r w:rsidRPr="006B6FC7">
              <w:rPr>
                <w:rFonts w:ascii="Arial" w:hAnsi="Arial" w:cs="Arial"/>
              </w:rPr>
              <w:t>,4808</w:t>
            </w:r>
          </w:p>
        </w:tc>
        <w:tc>
          <w:tcPr>
            <w:tcW w:w="1559" w:type="dxa"/>
            <w:hideMark/>
          </w:tcPr>
          <w:p w14:paraId="608BC352" w14:textId="77777777" w:rsidR="006B6FC7" w:rsidRPr="006B6FC7" w:rsidRDefault="006B6FC7" w:rsidP="00F54FCC">
            <w:pPr>
              <w:spacing w:line="276" w:lineRule="auto"/>
              <w:jc w:val="right"/>
              <w:rPr>
                <w:rFonts w:ascii="Arial" w:hAnsi="Arial" w:cs="Arial"/>
              </w:rPr>
            </w:pPr>
            <w:r w:rsidRPr="006B6FC7">
              <w:rPr>
                <w:rFonts w:ascii="Arial" w:hAnsi="Arial" w:cs="Arial"/>
              </w:rPr>
              <w:t>,21478</w:t>
            </w:r>
          </w:p>
        </w:tc>
      </w:tr>
      <w:tr w:rsidR="006B6FC7" w:rsidRPr="006B6FC7" w14:paraId="71393686" w14:textId="77777777" w:rsidTr="006B6FC7">
        <w:trPr>
          <w:trHeight w:val="230"/>
        </w:trPr>
        <w:tc>
          <w:tcPr>
            <w:tcW w:w="1365" w:type="dxa"/>
            <w:hideMark/>
          </w:tcPr>
          <w:p w14:paraId="2BD1FA21" w14:textId="77777777" w:rsidR="006B6FC7" w:rsidRPr="006B6FC7" w:rsidRDefault="006B6FC7" w:rsidP="00F54FCC">
            <w:pPr>
              <w:spacing w:line="276" w:lineRule="auto"/>
              <w:rPr>
                <w:rFonts w:ascii="Arial" w:hAnsi="Arial" w:cs="Arial"/>
              </w:rPr>
            </w:pPr>
            <w:r w:rsidRPr="006B6FC7">
              <w:rPr>
                <w:rFonts w:ascii="Arial" w:hAnsi="Arial" w:cs="Arial"/>
              </w:rPr>
              <w:t>Age</w:t>
            </w:r>
          </w:p>
        </w:tc>
        <w:tc>
          <w:tcPr>
            <w:tcW w:w="1578" w:type="dxa"/>
            <w:hideMark/>
          </w:tcPr>
          <w:p w14:paraId="3175A0D3"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168" w:type="dxa"/>
            <w:hideMark/>
          </w:tcPr>
          <w:p w14:paraId="08A79A85" w14:textId="77777777" w:rsidR="006B6FC7" w:rsidRPr="006B6FC7" w:rsidRDefault="006B6FC7" w:rsidP="00F54FCC">
            <w:pPr>
              <w:spacing w:line="276" w:lineRule="auto"/>
              <w:jc w:val="right"/>
              <w:rPr>
                <w:rFonts w:ascii="Arial" w:hAnsi="Arial" w:cs="Arial"/>
              </w:rPr>
            </w:pPr>
            <w:r w:rsidRPr="006B6FC7">
              <w:rPr>
                <w:rFonts w:ascii="Arial" w:hAnsi="Arial" w:cs="Arial"/>
              </w:rPr>
              <w:t>0</w:t>
            </w:r>
          </w:p>
        </w:tc>
        <w:tc>
          <w:tcPr>
            <w:tcW w:w="1418" w:type="dxa"/>
            <w:hideMark/>
          </w:tcPr>
          <w:p w14:paraId="20DF87F5" w14:textId="77777777" w:rsidR="006B6FC7" w:rsidRPr="006B6FC7" w:rsidRDefault="006B6FC7" w:rsidP="00F54FCC">
            <w:pPr>
              <w:spacing w:line="276" w:lineRule="auto"/>
              <w:jc w:val="right"/>
              <w:rPr>
                <w:rFonts w:ascii="Arial" w:hAnsi="Arial" w:cs="Arial"/>
              </w:rPr>
            </w:pPr>
            <w:r w:rsidRPr="006B6FC7">
              <w:rPr>
                <w:rFonts w:ascii="Arial" w:hAnsi="Arial" w:cs="Arial"/>
              </w:rPr>
              <w:t>32</w:t>
            </w:r>
          </w:p>
        </w:tc>
        <w:tc>
          <w:tcPr>
            <w:tcW w:w="1134" w:type="dxa"/>
            <w:hideMark/>
          </w:tcPr>
          <w:p w14:paraId="3A6F78DA" w14:textId="77777777" w:rsidR="006B6FC7" w:rsidRPr="006B6FC7" w:rsidRDefault="006B6FC7" w:rsidP="00F54FCC">
            <w:pPr>
              <w:spacing w:line="276" w:lineRule="auto"/>
              <w:jc w:val="right"/>
              <w:rPr>
                <w:rFonts w:ascii="Arial" w:hAnsi="Arial" w:cs="Arial"/>
              </w:rPr>
            </w:pPr>
            <w:r w:rsidRPr="006B6FC7">
              <w:rPr>
                <w:rFonts w:ascii="Arial" w:hAnsi="Arial" w:cs="Arial"/>
              </w:rPr>
              <w:t>12.33</w:t>
            </w:r>
          </w:p>
        </w:tc>
        <w:tc>
          <w:tcPr>
            <w:tcW w:w="1559" w:type="dxa"/>
            <w:hideMark/>
          </w:tcPr>
          <w:p w14:paraId="617C1B89" w14:textId="77777777" w:rsidR="006B6FC7" w:rsidRPr="006B6FC7" w:rsidRDefault="006B6FC7" w:rsidP="00F54FCC">
            <w:pPr>
              <w:spacing w:line="276" w:lineRule="auto"/>
              <w:jc w:val="right"/>
              <w:rPr>
                <w:rFonts w:ascii="Arial" w:hAnsi="Arial" w:cs="Arial"/>
              </w:rPr>
            </w:pPr>
            <w:r w:rsidRPr="006B6FC7">
              <w:rPr>
                <w:rFonts w:ascii="Arial" w:hAnsi="Arial" w:cs="Arial"/>
              </w:rPr>
              <w:t>9,102</w:t>
            </w:r>
          </w:p>
        </w:tc>
      </w:tr>
      <w:tr w:rsidR="006B6FC7" w:rsidRPr="006B6FC7" w14:paraId="05DDEE0A" w14:textId="77777777" w:rsidTr="006B6FC7">
        <w:trPr>
          <w:trHeight w:val="230"/>
        </w:trPr>
        <w:tc>
          <w:tcPr>
            <w:tcW w:w="1365" w:type="dxa"/>
            <w:hideMark/>
          </w:tcPr>
          <w:p w14:paraId="3AEDB821" w14:textId="77777777" w:rsidR="006B6FC7" w:rsidRPr="006B6FC7" w:rsidRDefault="006B6FC7" w:rsidP="00F54FCC">
            <w:pPr>
              <w:spacing w:line="276" w:lineRule="auto"/>
              <w:rPr>
                <w:rFonts w:ascii="Arial" w:hAnsi="Arial" w:cs="Arial"/>
              </w:rPr>
            </w:pPr>
            <w:r w:rsidRPr="006B6FC7">
              <w:rPr>
                <w:rFonts w:ascii="Arial" w:hAnsi="Arial" w:cs="Arial"/>
              </w:rPr>
              <w:t>DER</w:t>
            </w:r>
          </w:p>
        </w:tc>
        <w:tc>
          <w:tcPr>
            <w:tcW w:w="1578" w:type="dxa"/>
            <w:hideMark/>
          </w:tcPr>
          <w:p w14:paraId="4CBD90CC"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168" w:type="dxa"/>
            <w:hideMark/>
          </w:tcPr>
          <w:p w14:paraId="1F68AE8A" w14:textId="77777777" w:rsidR="006B6FC7" w:rsidRPr="006B6FC7" w:rsidRDefault="006B6FC7" w:rsidP="00F54FCC">
            <w:pPr>
              <w:spacing w:line="276" w:lineRule="auto"/>
              <w:jc w:val="right"/>
              <w:rPr>
                <w:rFonts w:ascii="Arial" w:hAnsi="Arial" w:cs="Arial"/>
              </w:rPr>
            </w:pPr>
            <w:r w:rsidRPr="006B6FC7">
              <w:rPr>
                <w:rFonts w:ascii="Arial" w:hAnsi="Arial" w:cs="Arial"/>
              </w:rPr>
              <w:t>-10.31</w:t>
            </w:r>
          </w:p>
        </w:tc>
        <w:tc>
          <w:tcPr>
            <w:tcW w:w="1418" w:type="dxa"/>
            <w:hideMark/>
          </w:tcPr>
          <w:p w14:paraId="0DFCA21A" w14:textId="77777777" w:rsidR="006B6FC7" w:rsidRPr="006B6FC7" w:rsidRDefault="006B6FC7" w:rsidP="00F54FCC">
            <w:pPr>
              <w:spacing w:line="276" w:lineRule="auto"/>
              <w:jc w:val="right"/>
              <w:rPr>
                <w:rFonts w:ascii="Arial" w:hAnsi="Arial" w:cs="Arial"/>
              </w:rPr>
            </w:pPr>
            <w:r w:rsidRPr="006B6FC7">
              <w:rPr>
                <w:rFonts w:ascii="Arial" w:hAnsi="Arial" w:cs="Arial"/>
              </w:rPr>
              <w:t>45.52</w:t>
            </w:r>
          </w:p>
        </w:tc>
        <w:tc>
          <w:tcPr>
            <w:tcW w:w="1134" w:type="dxa"/>
            <w:hideMark/>
          </w:tcPr>
          <w:p w14:paraId="2FE37B3D" w14:textId="77777777" w:rsidR="006B6FC7" w:rsidRPr="006B6FC7" w:rsidRDefault="006B6FC7" w:rsidP="00F54FCC">
            <w:pPr>
              <w:spacing w:line="276" w:lineRule="auto"/>
              <w:jc w:val="right"/>
              <w:rPr>
                <w:rFonts w:ascii="Arial" w:hAnsi="Arial" w:cs="Arial"/>
              </w:rPr>
            </w:pPr>
            <w:r w:rsidRPr="006B6FC7">
              <w:rPr>
                <w:rFonts w:ascii="Arial" w:hAnsi="Arial" w:cs="Arial"/>
              </w:rPr>
              <w:t>1.5540</w:t>
            </w:r>
          </w:p>
        </w:tc>
        <w:tc>
          <w:tcPr>
            <w:tcW w:w="1559" w:type="dxa"/>
            <w:hideMark/>
          </w:tcPr>
          <w:p w14:paraId="44FBAB0D" w14:textId="77777777" w:rsidR="006B6FC7" w:rsidRPr="006B6FC7" w:rsidRDefault="006B6FC7" w:rsidP="00F54FCC">
            <w:pPr>
              <w:spacing w:line="276" w:lineRule="auto"/>
              <w:jc w:val="right"/>
              <w:rPr>
                <w:rFonts w:ascii="Arial" w:hAnsi="Arial" w:cs="Arial"/>
              </w:rPr>
            </w:pPr>
            <w:r w:rsidRPr="006B6FC7">
              <w:rPr>
                <w:rFonts w:ascii="Arial" w:hAnsi="Arial" w:cs="Arial"/>
              </w:rPr>
              <w:t>3,37110</w:t>
            </w:r>
          </w:p>
        </w:tc>
      </w:tr>
      <w:tr w:rsidR="006B6FC7" w:rsidRPr="006B6FC7" w14:paraId="55DB3AAE" w14:textId="77777777" w:rsidTr="006B6FC7">
        <w:trPr>
          <w:trHeight w:val="230"/>
        </w:trPr>
        <w:tc>
          <w:tcPr>
            <w:tcW w:w="1365" w:type="dxa"/>
            <w:hideMark/>
          </w:tcPr>
          <w:p w14:paraId="2E01A0B8" w14:textId="77777777" w:rsidR="006B6FC7" w:rsidRPr="006B6FC7" w:rsidRDefault="006B6FC7" w:rsidP="00F54FCC">
            <w:pPr>
              <w:spacing w:line="276" w:lineRule="auto"/>
              <w:rPr>
                <w:rFonts w:ascii="Arial" w:hAnsi="Arial" w:cs="Arial"/>
              </w:rPr>
            </w:pPr>
            <w:r w:rsidRPr="006B6FC7">
              <w:rPr>
                <w:rFonts w:ascii="Arial" w:hAnsi="Arial" w:cs="Arial"/>
              </w:rPr>
              <w:t>growth</w:t>
            </w:r>
          </w:p>
        </w:tc>
        <w:tc>
          <w:tcPr>
            <w:tcW w:w="1578" w:type="dxa"/>
            <w:hideMark/>
          </w:tcPr>
          <w:p w14:paraId="0F7F7755"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168" w:type="dxa"/>
            <w:hideMark/>
          </w:tcPr>
          <w:p w14:paraId="2811AC1B" w14:textId="77777777" w:rsidR="006B6FC7" w:rsidRPr="006B6FC7" w:rsidRDefault="006B6FC7" w:rsidP="00F54FCC">
            <w:pPr>
              <w:spacing w:line="276" w:lineRule="auto"/>
              <w:jc w:val="right"/>
              <w:rPr>
                <w:rFonts w:ascii="Arial" w:hAnsi="Arial" w:cs="Arial"/>
              </w:rPr>
            </w:pPr>
            <w:r w:rsidRPr="006B6FC7">
              <w:rPr>
                <w:rFonts w:ascii="Arial" w:hAnsi="Arial" w:cs="Arial"/>
              </w:rPr>
              <w:t>-,75</w:t>
            </w:r>
          </w:p>
        </w:tc>
        <w:tc>
          <w:tcPr>
            <w:tcW w:w="1418" w:type="dxa"/>
            <w:hideMark/>
          </w:tcPr>
          <w:p w14:paraId="49045270" w14:textId="77777777" w:rsidR="006B6FC7" w:rsidRPr="006B6FC7" w:rsidRDefault="006B6FC7" w:rsidP="00F54FCC">
            <w:pPr>
              <w:spacing w:line="276" w:lineRule="auto"/>
              <w:jc w:val="right"/>
              <w:rPr>
                <w:rFonts w:ascii="Arial" w:hAnsi="Arial" w:cs="Arial"/>
              </w:rPr>
            </w:pPr>
            <w:r w:rsidRPr="006B6FC7">
              <w:rPr>
                <w:rFonts w:ascii="Arial" w:hAnsi="Arial" w:cs="Arial"/>
              </w:rPr>
              <w:t>9.49</w:t>
            </w:r>
          </w:p>
        </w:tc>
        <w:tc>
          <w:tcPr>
            <w:tcW w:w="1134" w:type="dxa"/>
            <w:hideMark/>
          </w:tcPr>
          <w:p w14:paraId="45DB693B" w14:textId="77777777" w:rsidR="006B6FC7" w:rsidRPr="006B6FC7" w:rsidRDefault="006B6FC7" w:rsidP="00F54FCC">
            <w:pPr>
              <w:spacing w:line="276" w:lineRule="auto"/>
              <w:jc w:val="right"/>
              <w:rPr>
                <w:rFonts w:ascii="Arial" w:hAnsi="Arial" w:cs="Arial"/>
              </w:rPr>
            </w:pPr>
            <w:r w:rsidRPr="006B6FC7">
              <w:rPr>
                <w:rFonts w:ascii="Arial" w:hAnsi="Arial" w:cs="Arial"/>
              </w:rPr>
              <w:t>,3240</w:t>
            </w:r>
          </w:p>
        </w:tc>
        <w:tc>
          <w:tcPr>
            <w:tcW w:w="1559" w:type="dxa"/>
            <w:hideMark/>
          </w:tcPr>
          <w:p w14:paraId="0D60CE69" w14:textId="77777777" w:rsidR="006B6FC7" w:rsidRPr="006B6FC7" w:rsidRDefault="006B6FC7" w:rsidP="00F54FCC">
            <w:pPr>
              <w:spacing w:line="276" w:lineRule="auto"/>
              <w:jc w:val="right"/>
              <w:rPr>
                <w:rFonts w:ascii="Arial" w:hAnsi="Arial" w:cs="Arial"/>
              </w:rPr>
            </w:pPr>
            <w:r w:rsidRPr="006B6FC7">
              <w:rPr>
                <w:rFonts w:ascii="Arial" w:hAnsi="Arial" w:cs="Arial"/>
              </w:rPr>
              <w:t>,93851</w:t>
            </w:r>
          </w:p>
        </w:tc>
      </w:tr>
      <w:tr w:rsidR="006B6FC7" w:rsidRPr="006B6FC7" w14:paraId="06F855AE" w14:textId="77777777" w:rsidTr="006B6FC7">
        <w:trPr>
          <w:trHeight w:val="230"/>
        </w:trPr>
        <w:tc>
          <w:tcPr>
            <w:tcW w:w="1365" w:type="dxa"/>
            <w:hideMark/>
          </w:tcPr>
          <w:p w14:paraId="56670950" w14:textId="77777777" w:rsidR="006B6FC7" w:rsidRPr="006B6FC7" w:rsidRDefault="006B6FC7" w:rsidP="00F54FCC">
            <w:pPr>
              <w:spacing w:line="276" w:lineRule="auto"/>
              <w:rPr>
                <w:rFonts w:ascii="Arial" w:hAnsi="Arial" w:cs="Arial"/>
              </w:rPr>
            </w:pPr>
            <w:r w:rsidRPr="006B6FC7">
              <w:rPr>
                <w:rFonts w:ascii="Arial" w:hAnsi="Arial" w:cs="Arial"/>
              </w:rPr>
              <w:t>industry</w:t>
            </w:r>
          </w:p>
        </w:tc>
        <w:tc>
          <w:tcPr>
            <w:tcW w:w="1578" w:type="dxa"/>
            <w:hideMark/>
          </w:tcPr>
          <w:p w14:paraId="49DD35AD"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168" w:type="dxa"/>
            <w:hideMark/>
          </w:tcPr>
          <w:p w14:paraId="4661121A" w14:textId="77777777" w:rsidR="006B6FC7" w:rsidRPr="006B6FC7" w:rsidRDefault="006B6FC7" w:rsidP="00F54FCC">
            <w:pPr>
              <w:spacing w:line="276" w:lineRule="auto"/>
              <w:jc w:val="right"/>
              <w:rPr>
                <w:rFonts w:ascii="Arial" w:hAnsi="Arial" w:cs="Arial"/>
              </w:rPr>
            </w:pPr>
            <w:r w:rsidRPr="006B6FC7">
              <w:rPr>
                <w:rFonts w:ascii="Arial" w:hAnsi="Arial" w:cs="Arial"/>
              </w:rPr>
              <w:t>0</w:t>
            </w:r>
          </w:p>
        </w:tc>
        <w:tc>
          <w:tcPr>
            <w:tcW w:w="1418" w:type="dxa"/>
            <w:hideMark/>
          </w:tcPr>
          <w:p w14:paraId="15004AA3" w14:textId="77777777" w:rsidR="006B6FC7" w:rsidRPr="006B6FC7" w:rsidRDefault="006B6FC7" w:rsidP="00F54FCC">
            <w:pPr>
              <w:spacing w:line="276" w:lineRule="auto"/>
              <w:jc w:val="right"/>
              <w:rPr>
                <w:rFonts w:ascii="Arial" w:hAnsi="Arial" w:cs="Arial"/>
              </w:rPr>
            </w:pPr>
            <w:r w:rsidRPr="006B6FC7">
              <w:rPr>
                <w:rFonts w:ascii="Arial" w:hAnsi="Arial" w:cs="Arial"/>
              </w:rPr>
              <w:t>1</w:t>
            </w:r>
          </w:p>
        </w:tc>
        <w:tc>
          <w:tcPr>
            <w:tcW w:w="1134" w:type="dxa"/>
            <w:hideMark/>
          </w:tcPr>
          <w:p w14:paraId="473C04DD" w14:textId="77777777" w:rsidR="006B6FC7" w:rsidRPr="006B6FC7" w:rsidRDefault="006B6FC7" w:rsidP="00F54FCC">
            <w:pPr>
              <w:spacing w:line="276" w:lineRule="auto"/>
              <w:jc w:val="right"/>
              <w:rPr>
                <w:rFonts w:ascii="Arial" w:hAnsi="Arial" w:cs="Arial"/>
              </w:rPr>
            </w:pPr>
            <w:r w:rsidRPr="006B6FC7">
              <w:rPr>
                <w:rFonts w:ascii="Arial" w:hAnsi="Arial" w:cs="Arial"/>
              </w:rPr>
              <w:t>,26</w:t>
            </w:r>
          </w:p>
        </w:tc>
        <w:tc>
          <w:tcPr>
            <w:tcW w:w="1559" w:type="dxa"/>
            <w:hideMark/>
          </w:tcPr>
          <w:p w14:paraId="64936E38" w14:textId="77777777" w:rsidR="006B6FC7" w:rsidRPr="006B6FC7" w:rsidRDefault="006B6FC7" w:rsidP="00F54FCC">
            <w:pPr>
              <w:spacing w:line="276" w:lineRule="auto"/>
              <w:jc w:val="right"/>
              <w:rPr>
                <w:rFonts w:ascii="Arial" w:hAnsi="Arial" w:cs="Arial"/>
              </w:rPr>
            </w:pPr>
            <w:r w:rsidRPr="006B6FC7">
              <w:rPr>
                <w:rFonts w:ascii="Arial" w:hAnsi="Arial" w:cs="Arial"/>
              </w:rPr>
              <w:t>,438</w:t>
            </w:r>
          </w:p>
        </w:tc>
      </w:tr>
      <w:tr w:rsidR="006B6FC7" w:rsidRPr="006B6FC7" w14:paraId="36923718" w14:textId="77777777" w:rsidTr="006B6FC7">
        <w:trPr>
          <w:trHeight w:val="461"/>
        </w:trPr>
        <w:tc>
          <w:tcPr>
            <w:tcW w:w="1365" w:type="dxa"/>
            <w:hideMark/>
          </w:tcPr>
          <w:p w14:paraId="7FFBA6EF" w14:textId="77777777" w:rsidR="006B6FC7" w:rsidRPr="006B6FC7" w:rsidRDefault="006B6FC7" w:rsidP="00F54FCC">
            <w:pPr>
              <w:spacing w:line="276" w:lineRule="auto"/>
              <w:rPr>
                <w:rFonts w:ascii="Arial" w:hAnsi="Arial" w:cs="Arial"/>
              </w:rPr>
            </w:pPr>
            <w:r w:rsidRPr="006B6FC7">
              <w:rPr>
                <w:rFonts w:ascii="Arial" w:hAnsi="Arial" w:cs="Arial"/>
              </w:rPr>
              <w:t>Valid N (listwise)</w:t>
            </w:r>
          </w:p>
        </w:tc>
        <w:tc>
          <w:tcPr>
            <w:tcW w:w="1578" w:type="dxa"/>
            <w:hideMark/>
          </w:tcPr>
          <w:p w14:paraId="74401DE6"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168" w:type="dxa"/>
            <w:hideMark/>
          </w:tcPr>
          <w:p w14:paraId="5AC80327"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1418" w:type="dxa"/>
            <w:hideMark/>
          </w:tcPr>
          <w:p w14:paraId="462DE016"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1134" w:type="dxa"/>
            <w:hideMark/>
          </w:tcPr>
          <w:p w14:paraId="68FA7B90"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1559" w:type="dxa"/>
            <w:hideMark/>
          </w:tcPr>
          <w:p w14:paraId="6C633FC4"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r>
    </w:tbl>
    <w:p w14:paraId="31C1030B" w14:textId="3D5336B5"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549E7903"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Out of the 234 samples analyzed, the Tobin's Q value varies significantly, ranging from 0.25 for PT Greenwood Sejahtera </w:t>
      </w:r>
      <w:proofErr w:type="spellStart"/>
      <w:r w:rsidRPr="006B6FC7">
        <w:rPr>
          <w:rFonts w:ascii="Arial" w:hAnsi="Arial" w:cs="Arial"/>
          <w:bCs/>
        </w:rPr>
        <w:t>Tbk</w:t>
      </w:r>
      <w:proofErr w:type="spellEnd"/>
      <w:r w:rsidRPr="006B6FC7">
        <w:rPr>
          <w:rFonts w:ascii="Arial" w:hAnsi="Arial" w:cs="Arial"/>
          <w:bCs/>
        </w:rPr>
        <w:t xml:space="preserve"> in 2022 to 7.41 for PT Kapuas Prima Coal </w:t>
      </w:r>
      <w:proofErr w:type="spellStart"/>
      <w:r w:rsidRPr="006B6FC7">
        <w:rPr>
          <w:rFonts w:ascii="Arial" w:hAnsi="Arial" w:cs="Arial"/>
          <w:bCs/>
        </w:rPr>
        <w:t>Tbk</w:t>
      </w:r>
      <w:proofErr w:type="spellEnd"/>
      <w:r w:rsidRPr="006B6FC7">
        <w:rPr>
          <w:rFonts w:ascii="Arial" w:hAnsi="Arial" w:cs="Arial"/>
          <w:bCs/>
        </w:rPr>
        <w:t xml:space="preserve"> in 2019, with an average of 1.3819 and a standard deviation of 0.98776. This indicates a moderate level of firm value variation within the sample, with most companies exhibiting values close to the average, though there are some notable outliers. Regarding the level of ESG </w:t>
      </w:r>
      <w:r w:rsidRPr="006B6FC7">
        <w:rPr>
          <w:rFonts w:ascii="Arial" w:hAnsi="Arial" w:cs="Arial"/>
          <w:bCs/>
        </w:rPr>
        <w:lastRenderedPageBreak/>
        <w:t xml:space="preserve">disclosure, the lowest score is 0.00, observed in PT Adhi </w:t>
      </w:r>
      <w:proofErr w:type="spellStart"/>
      <w:r w:rsidRPr="006B6FC7">
        <w:rPr>
          <w:rFonts w:ascii="Arial" w:hAnsi="Arial" w:cs="Arial"/>
          <w:bCs/>
        </w:rPr>
        <w:t>Karya</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and PT Medco </w:t>
      </w:r>
      <w:proofErr w:type="spellStart"/>
      <w:r w:rsidRPr="006B6FC7">
        <w:rPr>
          <w:rFonts w:ascii="Arial" w:hAnsi="Arial" w:cs="Arial"/>
          <w:bCs/>
        </w:rPr>
        <w:t>Energi</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2021, while the highest score is 1.00, recorded by PT Bukit </w:t>
      </w:r>
      <w:proofErr w:type="spellStart"/>
      <w:r w:rsidRPr="006B6FC7">
        <w:rPr>
          <w:rFonts w:ascii="Arial" w:hAnsi="Arial" w:cs="Arial"/>
          <w:bCs/>
        </w:rPr>
        <w:t>Asam</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2021, PT </w:t>
      </w:r>
      <w:proofErr w:type="spellStart"/>
      <w:r w:rsidRPr="006B6FC7">
        <w:rPr>
          <w:rFonts w:ascii="Arial" w:hAnsi="Arial" w:cs="Arial"/>
          <w:bCs/>
        </w:rPr>
        <w:t>Timah</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2022, and PT Wijaya </w:t>
      </w:r>
      <w:proofErr w:type="spellStart"/>
      <w:r w:rsidRPr="006B6FC7">
        <w:rPr>
          <w:rFonts w:ascii="Arial" w:hAnsi="Arial" w:cs="Arial"/>
          <w:bCs/>
        </w:rPr>
        <w:t>Karya</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2018 and 2020. The average ESG score is 0.4808, with a standard deviation of 0.21478, reflecting a moderate level of variation in ESG reporting among the companies in the sample.</w:t>
      </w:r>
    </w:p>
    <w:p w14:paraId="5E9554E2"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age of the companies in the sample ranges from 0 years (for newly established firms) to 32 years, with an average company age of 1.5540 years and a standard deviation of 3.37110. This suggests that the majority of companies are relatively young, with a few older companies present as outliers. The Debt to Equity Ratio (DER) varies from a low of -10.31 for PT Bakrie Sumatera Plantations </w:t>
      </w:r>
      <w:proofErr w:type="spellStart"/>
      <w:r w:rsidRPr="006B6FC7">
        <w:rPr>
          <w:rFonts w:ascii="Arial" w:hAnsi="Arial" w:cs="Arial"/>
          <w:bCs/>
        </w:rPr>
        <w:t>Tbk</w:t>
      </w:r>
      <w:proofErr w:type="spellEnd"/>
      <w:r w:rsidRPr="006B6FC7">
        <w:rPr>
          <w:rFonts w:ascii="Arial" w:hAnsi="Arial" w:cs="Arial"/>
          <w:bCs/>
        </w:rPr>
        <w:t xml:space="preserve"> in 2018 to a high of 45.52 for PT Borneo </w:t>
      </w:r>
      <w:proofErr w:type="spellStart"/>
      <w:r w:rsidRPr="006B6FC7">
        <w:rPr>
          <w:rFonts w:ascii="Arial" w:hAnsi="Arial" w:cs="Arial"/>
          <w:bCs/>
        </w:rPr>
        <w:t>Olah</w:t>
      </w:r>
      <w:proofErr w:type="spellEnd"/>
      <w:r w:rsidRPr="006B6FC7">
        <w:rPr>
          <w:rFonts w:ascii="Arial" w:hAnsi="Arial" w:cs="Arial"/>
          <w:bCs/>
        </w:rPr>
        <w:t xml:space="preserve"> </w:t>
      </w:r>
      <w:proofErr w:type="spellStart"/>
      <w:r w:rsidRPr="006B6FC7">
        <w:rPr>
          <w:rFonts w:ascii="Arial" w:hAnsi="Arial" w:cs="Arial"/>
          <w:bCs/>
        </w:rPr>
        <w:t>Sarana</w:t>
      </w:r>
      <w:proofErr w:type="spellEnd"/>
      <w:r w:rsidRPr="006B6FC7">
        <w:rPr>
          <w:rFonts w:ascii="Arial" w:hAnsi="Arial" w:cs="Arial"/>
          <w:bCs/>
        </w:rPr>
        <w:t xml:space="preserve"> </w:t>
      </w:r>
      <w:proofErr w:type="spellStart"/>
      <w:r w:rsidRPr="006B6FC7">
        <w:rPr>
          <w:rFonts w:ascii="Arial" w:hAnsi="Arial" w:cs="Arial"/>
          <w:bCs/>
        </w:rPr>
        <w:t>Sukses</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2022. The average DER is 1.5540, with a standard deviation of 3.37110, indicating that most companies maintain a moderate debt-to-equity ratio, but some exhibit extreme values, both positive and negative. Finally, sales growth ranges from -0.75 (PT Bekasi </w:t>
      </w:r>
      <w:proofErr w:type="spellStart"/>
      <w:r w:rsidRPr="006B6FC7">
        <w:rPr>
          <w:rFonts w:ascii="Arial" w:hAnsi="Arial" w:cs="Arial"/>
          <w:bCs/>
        </w:rPr>
        <w:t>Fajar</w:t>
      </w:r>
      <w:proofErr w:type="spellEnd"/>
      <w:r w:rsidRPr="006B6FC7">
        <w:rPr>
          <w:rFonts w:ascii="Arial" w:hAnsi="Arial" w:cs="Arial"/>
          <w:bCs/>
        </w:rPr>
        <w:t xml:space="preserve"> Industrial Estate </w:t>
      </w:r>
      <w:proofErr w:type="spellStart"/>
      <w:r w:rsidRPr="006B6FC7">
        <w:rPr>
          <w:rFonts w:ascii="Arial" w:hAnsi="Arial" w:cs="Arial"/>
          <w:bCs/>
        </w:rPr>
        <w:t>Tbk</w:t>
      </w:r>
      <w:proofErr w:type="spellEnd"/>
      <w:r w:rsidRPr="006B6FC7">
        <w:rPr>
          <w:rFonts w:ascii="Arial" w:hAnsi="Arial" w:cs="Arial"/>
          <w:bCs/>
        </w:rPr>
        <w:t xml:space="preserve"> in 2020) to 9.49 (PT Borneo </w:t>
      </w:r>
      <w:proofErr w:type="spellStart"/>
      <w:r w:rsidRPr="006B6FC7">
        <w:rPr>
          <w:rFonts w:ascii="Arial" w:hAnsi="Arial" w:cs="Arial"/>
          <w:bCs/>
        </w:rPr>
        <w:t>Olah</w:t>
      </w:r>
      <w:proofErr w:type="spellEnd"/>
      <w:r w:rsidRPr="006B6FC7">
        <w:rPr>
          <w:rFonts w:ascii="Arial" w:hAnsi="Arial" w:cs="Arial"/>
          <w:bCs/>
        </w:rPr>
        <w:t xml:space="preserve"> </w:t>
      </w:r>
      <w:proofErr w:type="spellStart"/>
      <w:r w:rsidRPr="006B6FC7">
        <w:rPr>
          <w:rFonts w:ascii="Arial" w:hAnsi="Arial" w:cs="Arial"/>
          <w:bCs/>
        </w:rPr>
        <w:t>Sarana</w:t>
      </w:r>
      <w:proofErr w:type="spellEnd"/>
      <w:r w:rsidRPr="006B6FC7">
        <w:rPr>
          <w:rFonts w:ascii="Arial" w:hAnsi="Arial" w:cs="Arial"/>
          <w:bCs/>
        </w:rPr>
        <w:t xml:space="preserve"> </w:t>
      </w:r>
      <w:proofErr w:type="spellStart"/>
      <w:r w:rsidRPr="006B6FC7">
        <w:rPr>
          <w:rFonts w:ascii="Arial" w:hAnsi="Arial" w:cs="Arial"/>
          <w:bCs/>
        </w:rPr>
        <w:t>Sukses</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2022), with an average growth rate of 0.3240 and a standard deviation of 0.93851. This suggests that while most companies experience positive growth, there are substantial fluctuations, with some firms experiencing significant negative growth. These descriptive statistics provide an overview of the sample's key characteristics, highlighting the diverse nature of the companies included in the analysis, particularly in terms of firm value, ESG disclosure, capital structure, and </w:t>
      </w:r>
      <w:proofErr w:type="spellStart"/>
      <w:proofErr w:type="gramStart"/>
      <w:r w:rsidRPr="006B6FC7">
        <w:rPr>
          <w:rFonts w:ascii="Arial" w:hAnsi="Arial" w:cs="Arial"/>
          <w:bCs/>
        </w:rPr>
        <w:t>growth.Assumption</w:t>
      </w:r>
      <w:proofErr w:type="spellEnd"/>
      <w:proofErr w:type="gramEnd"/>
      <w:r w:rsidRPr="006B6FC7">
        <w:rPr>
          <w:rFonts w:ascii="Arial" w:hAnsi="Arial" w:cs="Arial"/>
          <w:bCs/>
        </w:rPr>
        <w:t xml:space="preserve"> Test Classic</w:t>
      </w:r>
    </w:p>
    <w:p w14:paraId="54C8E5AB" w14:textId="2D1396B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The results of the classic assumption tests indicate that most of the assumptions for regression analysis have been met. The normality test shows that the residuals are not normally distributed. However, given the large sample size (234), the data can still be considered approximately normally distributed. The heteroscedasticity test produced mixed results, with some variables showing signs of heteroscedasticity while others did not. Nevertheless, the overall model is deemed suitable for use. The multicollinearity test reveals no significant multicollinearity issues between the independent variables, as all Variance Inflation Factor (VIF) values are below 10 and tolerance values exceed 0.1. These findings suggest that the regression model is robust and appropriate for further analysis.</w:t>
      </w:r>
    </w:p>
    <w:tbl>
      <w:tblPr>
        <w:tblW w:w="8222"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428"/>
        <w:gridCol w:w="1194"/>
        <w:gridCol w:w="1355"/>
        <w:gridCol w:w="2234"/>
        <w:gridCol w:w="1026"/>
        <w:gridCol w:w="993"/>
        <w:gridCol w:w="992"/>
      </w:tblGrid>
      <w:tr w:rsidR="006B6FC7" w:rsidRPr="006B6FC7" w14:paraId="6F07CD58" w14:textId="77777777" w:rsidTr="006B6FC7">
        <w:trPr>
          <w:trHeight w:val="300"/>
        </w:trPr>
        <w:tc>
          <w:tcPr>
            <w:tcW w:w="8222" w:type="dxa"/>
            <w:gridSpan w:val="7"/>
            <w:tcBorders>
              <w:bottom w:val="single" w:sz="12" w:space="0" w:color="000000"/>
            </w:tcBorders>
            <w:hideMark/>
          </w:tcPr>
          <w:p w14:paraId="3A1FBFA4" w14:textId="77777777" w:rsidR="006B6FC7" w:rsidRPr="006B6FC7" w:rsidRDefault="006B6FC7" w:rsidP="00F54FCC">
            <w:pPr>
              <w:rPr>
                <w:rFonts w:ascii="Arial" w:hAnsi="Arial" w:cs="Arial"/>
                <w:b/>
                <w:bCs/>
                <w:color w:val="000000"/>
              </w:rPr>
            </w:pPr>
            <w:r w:rsidRPr="006B6FC7">
              <w:rPr>
                <w:rFonts w:ascii="Arial" w:hAnsi="Arial" w:cs="Arial"/>
                <w:b/>
                <w:bCs/>
                <w:color w:val="000000"/>
              </w:rPr>
              <w:t>Table 7. F Test</w:t>
            </w:r>
          </w:p>
        </w:tc>
      </w:tr>
      <w:tr w:rsidR="006B6FC7" w:rsidRPr="006B6FC7" w14:paraId="35643A72" w14:textId="77777777" w:rsidTr="006B6FC7">
        <w:trPr>
          <w:trHeight w:val="300"/>
        </w:trPr>
        <w:tc>
          <w:tcPr>
            <w:tcW w:w="8222" w:type="dxa"/>
            <w:gridSpan w:val="7"/>
            <w:hideMark/>
          </w:tcPr>
          <w:p w14:paraId="195D8FD9" w14:textId="77777777" w:rsidR="006B6FC7" w:rsidRPr="006B6FC7" w:rsidRDefault="006B6FC7" w:rsidP="00F54FCC">
            <w:pPr>
              <w:jc w:val="center"/>
              <w:rPr>
                <w:rFonts w:ascii="Arial" w:hAnsi="Arial" w:cs="Arial"/>
                <w:color w:val="000000"/>
              </w:rPr>
            </w:pPr>
            <w:r w:rsidRPr="006B6FC7">
              <w:rPr>
                <w:rFonts w:ascii="Arial" w:hAnsi="Arial" w:cs="Arial"/>
                <w:color w:val="000000"/>
              </w:rPr>
              <w:t xml:space="preserve">ANOVA </w:t>
            </w:r>
            <w:r w:rsidRPr="006B6FC7">
              <w:rPr>
                <w:rFonts w:ascii="Arial" w:hAnsi="Arial" w:cs="Arial"/>
                <w:color w:val="000000"/>
                <w:vertAlign w:val="superscript"/>
              </w:rPr>
              <w:t>a</w:t>
            </w:r>
          </w:p>
        </w:tc>
      </w:tr>
      <w:tr w:rsidR="006B6FC7" w:rsidRPr="006B6FC7" w14:paraId="2D638E6E" w14:textId="77777777" w:rsidTr="006B6FC7">
        <w:trPr>
          <w:trHeight w:val="300"/>
        </w:trPr>
        <w:tc>
          <w:tcPr>
            <w:tcW w:w="1622" w:type="dxa"/>
            <w:gridSpan w:val="2"/>
            <w:hideMark/>
          </w:tcPr>
          <w:p w14:paraId="6122ED3F"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Model</w:t>
            </w:r>
          </w:p>
        </w:tc>
        <w:tc>
          <w:tcPr>
            <w:tcW w:w="1355" w:type="dxa"/>
            <w:hideMark/>
          </w:tcPr>
          <w:p w14:paraId="13F46ED1"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Sum of Squares</w:t>
            </w:r>
          </w:p>
        </w:tc>
        <w:tc>
          <w:tcPr>
            <w:tcW w:w="2234" w:type="dxa"/>
            <w:hideMark/>
          </w:tcPr>
          <w:p w14:paraId="234C151B"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df</w:t>
            </w:r>
          </w:p>
        </w:tc>
        <w:tc>
          <w:tcPr>
            <w:tcW w:w="1026" w:type="dxa"/>
            <w:hideMark/>
          </w:tcPr>
          <w:p w14:paraId="38D263BB"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Mean Square</w:t>
            </w:r>
          </w:p>
        </w:tc>
        <w:tc>
          <w:tcPr>
            <w:tcW w:w="993" w:type="dxa"/>
            <w:hideMark/>
          </w:tcPr>
          <w:p w14:paraId="7A48DC3D"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F</w:t>
            </w:r>
          </w:p>
        </w:tc>
        <w:tc>
          <w:tcPr>
            <w:tcW w:w="992" w:type="dxa"/>
            <w:hideMark/>
          </w:tcPr>
          <w:p w14:paraId="58361229"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Sig.</w:t>
            </w:r>
          </w:p>
        </w:tc>
      </w:tr>
      <w:tr w:rsidR="006B6FC7" w:rsidRPr="006B6FC7" w14:paraId="013EEB80" w14:textId="77777777" w:rsidTr="006B6FC7">
        <w:trPr>
          <w:trHeight w:val="300"/>
        </w:trPr>
        <w:tc>
          <w:tcPr>
            <w:tcW w:w="428" w:type="dxa"/>
            <w:vMerge w:val="restart"/>
            <w:hideMark/>
          </w:tcPr>
          <w:p w14:paraId="5F5BDC23" w14:textId="77777777" w:rsidR="006B6FC7" w:rsidRPr="006B6FC7" w:rsidRDefault="006B6FC7" w:rsidP="00F54FCC">
            <w:pPr>
              <w:jc w:val="center"/>
              <w:rPr>
                <w:rFonts w:ascii="Arial" w:hAnsi="Arial" w:cs="Arial"/>
                <w:color w:val="000000"/>
              </w:rPr>
            </w:pPr>
            <w:r w:rsidRPr="006B6FC7">
              <w:rPr>
                <w:rFonts w:ascii="Arial" w:hAnsi="Arial" w:cs="Arial"/>
                <w:color w:val="000000"/>
              </w:rPr>
              <w:t>1</w:t>
            </w:r>
          </w:p>
        </w:tc>
        <w:tc>
          <w:tcPr>
            <w:tcW w:w="1194" w:type="dxa"/>
            <w:hideMark/>
          </w:tcPr>
          <w:p w14:paraId="6219242C" w14:textId="77777777" w:rsidR="006B6FC7" w:rsidRPr="006B6FC7" w:rsidRDefault="006B6FC7" w:rsidP="00F54FCC">
            <w:pPr>
              <w:rPr>
                <w:rFonts w:ascii="Arial" w:hAnsi="Arial" w:cs="Arial"/>
                <w:color w:val="000000"/>
              </w:rPr>
            </w:pPr>
            <w:r w:rsidRPr="006B6FC7">
              <w:rPr>
                <w:rFonts w:ascii="Arial" w:hAnsi="Arial" w:cs="Arial"/>
                <w:color w:val="000000"/>
              </w:rPr>
              <w:t>Regression</w:t>
            </w:r>
          </w:p>
        </w:tc>
        <w:tc>
          <w:tcPr>
            <w:tcW w:w="1355" w:type="dxa"/>
            <w:hideMark/>
          </w:tcPr>
          <w:p w14:paraId="798D96AE" w14:textId="77777777" w:rsidR="006B6FC7" w:rsidRPr="006B6FC7" w:rsidRDefault="006B6FC7" w:rsidP="00F54FCC">
            <w:pPr>
              <w:jc w:val="right"/>
              <w:rPr>
                <w:rFonts w:ascii="Arial" w:hAnsi="Arial" w:cs="Arial"/>
                <w:color w:val="000000"/>
              </w:rPr>
            </w:pPr>
            <w:r w:rsidRPr="006B6FC7">
              <w:rPr>
                <w:rFonts w:ascii="Arial" w:hAnsi="Arial" w:cs="Arial"/>
                <w:color w:val="000000"/>
              </w:rPr>
              <w:t>21,135</w:t>
            </w:r>
          </w:p>
        </w:tc>
        <w:tc>
          <w:tcPr>
            <w:tcW w:w="2234" w:type="dxa"/>
            <w:hideMark/>
          </w:tcPr>
          <w:p w14:paraId="47DA843A" w14:textId="77777777" w:rsidR="006B6FC7" w:rsidRPr="006B6FC7" w:rsidRDefault="006B6FC7" w:rsidP="00F54FCC">
            <w:pPr>
              <w:jc w:val="right"/>
              <w:rPr>
                <w:rFonts w:ascii="Arial" w:hAnsi="Arial" w:cs="Arial"/>
                <w:color w:val="000000"/>
              </w:rPr>
            </w:pPr>
            <w:r w:rsidRPr="006B6FC7">
              <w:rPr>
                <w:rFonts w:ascii="Arial" w:hAnsi="Arial" w:cs="Arial"/>
                <w:color w:val="000000"/>
              </w:rPr>
              <w:t>5</w:t>
            </w:r>
          </w:p>
        </w:tc>
        <w:tc>
          <w:tcPr>
            <w:tcW w:w="1026" w:type="dxa"/>
            <w:hideMark/>
          </w:tcPr>
          <w:p w14:paraId="250F7805" w14:textId="77777777" w:rsidR="006B6FC7" w:rsidRPr="006B6FC7" w:rsidRDefault="006B6FC7" w:rsidP="00F54FCC">
            <w:pPr>
              <w:jc w:val="right"/>
              <w:rPr>
                <w:rFonts w:ascii="Arial" w:hAnsi="Arial" w:cs="Arial"/>
                <w:color w:val="000000"/>
              </w:rPr>
            </w:pPr>
            <w:r w:rsidRPr="006B6FC7">
              <w:rPr>
                <w:rFonts w:ascii="Arial" w:hAnsi="Arial" w:cs="Arial"/>
                <w:color w:val="000000"/>
              </w:rPr>
              <w:t>4,227</w:t>
            </w:r>
          </w:p>
        </w:tc>
        <w:tc>
          <w:tcPr>
            <w:tcW w:w="993" w:type="dxa"/>
            <w:hideMark/>
          </w:tcPr>
          <w:p w14:paraId="5D7C0E36" w14:textId="77777777" w:rsidR="006B6FC7" w:rsidRPr="006B6FC7" w:rsidRDefault="006B6FC7" w:rsidP="00F54FCC">
            <w:pPr>
              <w:jc w:val="right"/>
              <w:rPr>
                <w:rFonts w:ascii="Arial" w:hAnsi="Arial" w:cs="Arial"/>
                <w:color w:val="000000"/>
              </w:rPr>
            </w:pPr>
            <w:r w:rsidRPr="006B6FC7">
              <w:rPr>
                <w:rFonts w:ascii="Arial" w:hAnsi="Arial" w:cs="Arial"/>
                <w:color w:val="000000"/>
              </w:rPr>
              <w:t>4,674</w:t>
            </w:r>
          </w:p>
        </w:tc>
        <w:tc>
          <w:tcPr>
            <w:tcW w:w="992" w:type="dxa"/>
            <w:hideMark/>
          </w:tcPr>
          <w:p w14:paraId="7B3A28DF" w14:textId="77777777" w:rsidR="006B6FC7" w:rsidRPr="006B6FC7" w:rsidRDefault="006B6FC7" w:rsidP="00F54FCC">
            <w:pPr>
              <w:jc w:val="right"/>
              <w:rPr>
                <w:rFonts w:ascii="Arial" w:hAnsi="Arial" w:cs="Arial"/>
                <w:color w:val="000000"/>
              </w:rPr>
            </w:pPr>
            <w:r w:rsidRPr="006B6FC7">
              <w:rPr>
                <w:rFonts w:ascii="Arial" w:hAnsi="Arial" w:cs="Arial"/>
                <w:color w:val="000000"/>
              </w:rPr>
              <w:t>.000b</w:t>
            </w:r>
          </w:p>
        </w:tc>
      </w:tr>
      <w:tr w:rsidR="006B6FC7" w:rsidRPr="006B6FC7" w14:paraId="02B4A987" w14:textId="77777777" w:rsidTr="006B6FC7">
        <w:trPr>
          <w:trHeight w:val="300"/>
        </w:trPr>
        <w:tc>
          <w:tcPr>
            <w:tcW w:w="428" w:type="dxa"/>
            <w:vMerge/>
            <w:hideMark/>
          </w:tcPr>
          <w:p w14:paraId="65DD43F9" w14:textId="77777777" w:rsidR="006B6FC7" w:rsidRPr="006B6FC7" w:rsidRDefault="006B6FC7" w:rsidP="00F54FCC">
            <w:pPr>
              <w:rPr>
                <w:rFonts w:ascii="Arial" w:hAnsi="Arial" w:cs="Arial"/>
                <w:color w:val="000000"/>
                <w:lang w:val="en"/>
              </w:rPr>
            </w:pPr>
          </w:p>
        </w:tc>
        <w:tc>
          <w:tcPr>
            <w:tcW w:w="1194" w:type="dxa"/>
            <w:hideMark/>
          </w:tcPr>
          <w:p w14:paraId="74858351" w14:textId="77777777" w:rsidR="006B6FC7" w:rsidRPr="006B6FC7" w:rsidRDefault="006B6FC7" w:rsidP="00F54FCC">
            <w:pPr>
              <w:rPr>
                <w:rFonts w:ascii="Arial" w:hAnsi="Arial" w:cs="Arial"/>
                <w:color w:val="000000"/>
              </w:rPr>
            </w:pPr>
            <w:r w:rsidRPr="006B6FC7">
              <w:rPr>
                <w:rFonts w:ascii="Arial" w:hAnsi="Arial" w:cs="Arial"/>
                <w:color w:val="000000"/>
              </w:rPr>
              <w:t>Residual</w:t>
            </w:r>
          </w:p>
        </w:tc>
        <w:tc>
          <w:tcPr>
            <w:tcW w:w="1355" w:type="dxa"/>
            <w:hideMark/>
          </w:tcPr>
          <w:p w14:paraId="410BBA41" w14:textId="77777777" w:rsidR="006B6FC7" w:rsidRPr="006B6FC7" w:rsidRDefault="006B6FC7" w:rsidP="00F54FCC">
            <w:pPr>
              <w:jc w:val="right"/>
              <w:rPr>
                <w:rFonts w:ascii="Arial" w:hAnsi="Arial" w:cs="Arial"/>
                <w:color w:val="000000"/>
              </w:rPr>
            </w:pPr>
            <w:r w:rsidRPr="006B6FC7">
              <w:rPr>
                <w:rFonts w:ascii="Arial" w:hAnsi="Arial" w:cs="Arial"/>
                <w:color w:val="000000"/>
              </w:rPr>
              <w:t>206,194</w:t>
            </w:r>
          </w:p>
        </w:tc>
        <w:tc>
          <w:tcPr>
            <w:tcW w:w="2234" w:type="dxa"/>
            <w:hideMark/>
          </w:tcPr>
          <w:p w14:paraId="79F524CE" w14:textId="77777777" w:rsidR="006B6FC7" w:rsidRPr="006B6FC7" w:rsidRDefault="006B6FC7" w:rsidP="00F54FCC">
            <w:pPr>
              <w:jc w:val="right"/>
              <w:rPr>
                <w:rFonts w:ascii="Arial" w:hAnsi="Arial" w:cs="Arial"/>
                <w:color w:val="000000"/>
              </w:rPr>
            </w:pPr>
            <w:r w:rsidRPr="006B6FC7">
              <w:rPr>
                <w:rFonts w:ascii="Arial" w:hAnsi="Arial" w:cs="Arial"/>
                <w:color w:val="000000"/>
              </w:rPr>
              <w:t>228</w:t>
            </w:r>
          </w:p>
        </w:tc>
        <w:tc>
          <w:tcPr>
            <w:tcW w:w="1026" w:type="dxa"/>
            <w:hideMark/>
          </w:tcPr>
          <w:p w14:paraId="4C91E0D5" w14:textId="77777777" w:rsidR="006B6FC7" w:rsidRPr="006B6FC7" w:rsidRDefault="006B6FC7" w:rsidP="00F54FCC">
            <w:pPr>
              <w:jc w:val="right"/>
              <w:rPr>
                <w:rFonts w:ascii="Arial" w:hAnsi="Arial" w:cs="Arial"/>
                <w:color w:val="000000"/>
              </w:rPr>
            </w:pPr>
            <w:r w:rsidRPr="006B6FC7">
              <w:rPr>
                <w:rFonts w:ascii="Arial" w:hAnsi="Arial" w:cs="Arial"/>
                <w:color w:val="000000"/>
              </w:rPr>
              <w:t>0.904</w:t>
            </w:r>
          </w:p>
        </w:tc>
        <w:tc>
          <w:tcPr>
            <w:tcW w:w="993" w:type="dxa"/>
            <w:hideMark/>
          </w:tcPr>
          <w:p w14:paraId="136B17BC" w14:textId="77777777" w:rsidR="006B6FC7" w:rsidRPr="006B6FC7" w:rsidRDefault="006B6FC7" w:rsidP="00F54FCC">
            <w:pPr>
              <w:rPr>
                <w:rFonts w:ascii="Arial" w:hAnsi="Arial" w:cs="Arial"/>
                <w:color w:val="000000"/>
              </w:rPr>
            </w:pPr>
          </w:p>
        </w:tc>
        <w:tc>
          <w:tcPr>
            <w:tcW w:w="992" w:type="dxa"/>
            <w:hideMark/>
          </w:tcPr>
          <w:p w14:paraId="0E7A3E4C" w14:textId="77777777" w:rsidR="006B6FC7" w:rsidRPr="006B6FC7" w:rsidRDefault="006B6FC7" w:rsidP="00F54FCC">
            <w:pPr>
              <w:rPr>
                <w:rFonts w:ascii="Arial" w:hAnsi="Arial" w:cs="Arial"/>
                <w:color w:val="000000"/>
              </w:rPr>
            </w:pPr>
          </w:p>
        </w:tc>
      </w:tr>
      <w:tr w:rsidR="006B6FC7" w:rsidRPr="006B6FC7" w14:paraId="72523558" w14:textId="77777777" w:rsidTr="006B6FC7">
        <w:trPr>
          <w:trHeight w:val="300"/>
        </w:trPr>
        <w:tc>
          <w:tcPr>
            <w:tcW w:w="428" w:type="dxa"/>
            <w:vMerge/>
            <w:hideMark/>
          </w:tcPr>
          <w:p w14:paraId="67D85132" w14:textId="77777777" w:rsidR="006B6FC7" w:rsidRPr="006B6FC7" w:rsidRDefault="006B6FC7" w:rsidP="00F54FCC">
            <w:pPr>
              <w:rPr>
                <w:rFonts w:ascii="Arial" w:hAnsi="Arial" w:cs="Arial"/>
                <w:color w:val="000000"/>
                <w:lang w:val="en"/>
              </w:rPr>
            </w:pPr>
          </w:p>
        </w:tc>
        <w:tc>
          <w:tcPr>
            <w:tcW w:w="1194" w:type="dxa"/>
            <w:hideMark/>
          </w:tcPr>
          <w:p w14:paraId="70AFCAFF" w14:textId="77777777" w:rsidR="006B6FC7" w:rsidRPr="006B6FC7" w:rsidRDefault="006B6FC7" w:rsidP="00F54FCC">
            <w:pPr>
              <w:rPr>
                <w:rFonts w:ascii="Arial" w:hAnsi="Arial" w:cs="Arial"/>
                <w:color w:val="000000"/>
                <w:lang w:val="en"/>
              </w:rPr>
            </w:pPr>
            <w:r w:rsidRPr="006B6FC7">
              <w:rPr>
                <w:rFonts w:ascii="Arial" w:hAnsi="Arial" w:cs="Arial"/>
                <w:color w:val="000000"/>
              </w:rPr>
              <w:t>Total</w:t>
            </w:r>
          </w:p>
        </w:tc>
        <w:tc>
          <w:tcPr>
            <w:tcW w:w="1355" w:type="dxa"/>
            <w:hideMark/>
          </w:tcPr>
          <w:p w14:paraId="230B95B2" w14:textId="77777777" w:rsidR="006B6FC7" w:rsidRPr="006B6FC7" w:rsidRDefault="006B6FC7" w:rsidP="00F54FCC">
            <w:pPr>
              <w:jc w:val="right"/>
              <w:rPr>
                <w:rFonts w:ascii="Arial" w:hAnsi="Arial" w:cs="Arial"/>
                <w:color w:val="000000"/>
              </w:rPr>
            </w:pPr>
            <w:r w:rsidRPr="006B6FC7">
              <w:rPr>
                <w:rFonts w:ascii="Arial" w:hAnsi="Arial" w:cs="Arial"/>
                <w:color w:val="000000"/>
              </w:rPr>
              <w:t>227,329</w:t>
            </w:r>
          </w:p>
        </w:tc>
        <w:tc>
          <w:tcPr>
            <w:tcW w:w="2234" w:type="dxa"/>
            <w:hideMark/>
          </w:tcPr>
          <w:p w14:paraId="0E7A874A" w14:textId="77777777" w:rsidR="006B6FC7" w:rsidRPr="006B6FC7" w:rsidRDefault="006B6FC7" w:rsidP="00F54FCC">
            <w:pPr>
              <w:jc w:val="right"/>
              <w:rPr>
                <w:rFonts w:ascii="Arial" w:hAnsi="Arial" w:cs="Arial"/>
                <w:color w:val="000000"/>
              </w:rPr>
            </w:pPr>
            <w:r w:rsidRPr="006B6FC7">
              <w:rPr>
                <w:rFonts w:ascii="Arial" w:hAnsi="Arial" w:cs="Arial"/>
                <w:color w:val="000000"/>
              </w:rPr>
              <w:t>233</w:t>
            </w:r>
          </w:p>
        </w:tc>
        <w:tc>
          <w:tcPr>
            <w:tcW w:w="1026" w:type="dxa"/>
            <w:hideMark/>
          </w:tcPr>
          <w:p w14:paraId="0DA4C926" w14:textId="77777777" w:rsidR="006B6FC7" w:rsidRPr="006B6FC7" w:rsidRDefault="006B6FC7" w:rsidP="00F54FCC">
            <w:pPr>
              <w:rPr>
                <w:rFonts w:ascii="Arial" w:hAnsi="Arial" w:cs="Arial"/>
                <w:color w:val="000000"/>
              </w:rPr>
            </w:pPr>
          </w:p>
        </w:tc>
        <w:tc>
          <w:tcPr>
            <w:tcW w:w="993" w:type="dxa"/>
            <w:hideMark/>
          </w:tcPr>
          <w:p w14:paraId="05C5712D" w14:textId="77777777" w:rsidR="006B6FC7" w:rsidRPr="006B6FC7" w:rsidRDefault="006B6FC7" w:rsidP="00F54FCC">
            <w:pPr>
              <w:rPr>
                <w:rFonts w:ascii="Arial" w:hAnsi="Arial" w:cs="Arial"/>
                <w:color w:val="000000"/>
              </w:rPr>
            </w:pPr>
          </w:p>
        </w:tc>
        <w:tc>
          <w:tcPr>
            <w:tcW w:w="992" w:type="dxa"/>
            <w:hideMark/>
          </w:tcPr>
          <w:p w14:paraId="029391EF" w14:textId="77777777" w:rsidR="006B6FC7" w:rsidRPr="006B6FC7" w:rsidRDefault="006B6FC7" w:rsidP="00F54FCC">
            <w:pPr>
              <w:rPr>
                <w:rFonts w:ascii="Arial" w:hAnsi="Arial" w:cs="Arial"/>
                <w:color w:val="000000"/>
              </w:rPr>
            </w:pPr>
          </w:p>
        </w:tc>
      </w:tr>
      <w:tr w:rsidR="006B6FC7" w:rsidRPr="006B6FC7" w14:paraId="5310885B" w14:textId="77777777" w:rsidTr="006B6FC7">
        <w:trPr>
          <w:trHeight w:val="300"/>
        </w:trPr>
        <w:tc>
          <w:tcPr>
            <w:tcW w:w="8222" w:type="dxa"/>
            <w:gridSpan w:val="7"/>
            <w:hideMark/>
          </w:tcPr>
          <w:p w14:paraId="56D561AA" w14:textId="77777777" w:rsidR="006B6FC7" w:rsidRPr="006B6FC7" w:rsidRDefault="006B6FC7" w:rsidP="00F54FCC">
            <w:pPr>
              <w:rPr>
                <w:rFonts w:ascii="Arial" w:hAnsi="Arial" w:cs="Arial"/>
                <w:i/>
                <w:iCs/>
                <w:color w:val="000000"/>
                <w:lang w:val="en"/>
              </w:rPr>
            </w:pPr>
            <w:r w:rsidRPr="006B6FC7">
              <w:rPr>
                <w:rFonts w:ascii="Arial" w:hAnsi="Arial" w:cs="Arial"/>
                <w:i/>
                <w:iCs/>
                <w:color w:val="000000"/>
              </w:rPr>
              <w:t>a. Dependent Variable: TOBINS Q</w:t>
            </w:r>
          </w:p>
        </w:tc>
      </w:tr>
      <w:tr w:rsidR="006B6FC7" w:rsidRPr="006B6FC7" w14:paraId="457C8A08" w14:textId="77777777" w:rsidTr="006B6FC7">
        <w:trPr>
          <w:trHeight w:val="300"/>
        </w:trPr>
        <w:tc>
          <w:tcPr>
            <w:tcW w:w="8222" w:type="dxa"/>
            <w:gridSpan w:val="7"/>
            <w:hideMark/>
          </w:tcPr>
          <w:p w14:paraId="3C4BDD7B" w14:textId="77777777" w:rsidR="006B6FC7" w:rsidRPr="006B6FC7" w:rsidRDefault="006B6FC7" w:rsidP="00F54FCC">
            <w:pPr>
              <w:rPr>
                <w:rFonts w:ascii="Arial" w:hAnsi="Arial" w:cs="Arial"/>
                <w:i/>
                <w:iCs/>
                <w:color w:val="000000"/>
              </w:rPr>
            </w:pPr>
            <w:r w:rsidRPr="006B6FC7">
              <w:rPr>
                <w:rFonts w:ascii="Arial" w:hAnsi="Arial" w:cs="Arial"/>
                <w:i/>
                <w:iCs/>
                <w:color w:val="000000"/>
              </w:rPr>
              <w:t xml:space="preserve">b. Predictors: (Constant), der, </w:t>
            </w:r>
            <w:proofErr w:type="spellStart"/>
            <w:r w:rsidRPr="006B6FC7">
              <w:rPr>
                <w:rFonts w:ascii="Arial" w:hAnsi="Arial" w:cs="Arial"/>
                <w:i/>
                <w:iCs/>
                <w:color w:val="000000"/>
              </w:rPr>
              <w:t>esg</w:t>
            </w:r>
            <w:proofErr w:type="spellEnd"/>
            <w:r w:rsidRPr="006B6FC7">
              <w:rPr>
                <w:rFonts w:ascii="Arial" w:hAnsi="Arial" w:cs="Arial"/>
                <w:i/>
                <w:iCs/>
                <w:color w:val="000000"/>
              </w:rPr>
              <w:t xml:space="preserve"> score, </w:t>
            </w:r>
            <w:proofErr w:type="gramStart"/>
            <w:r w:rsidRPr="006B6FC7">
              <w:rPr>
                <w:rFonts w:ascii="Arial" w:hAnsi="Arial" w:cs="Arial"/>
                <w:i/>
                <w:iCs/>
                <w:color w:val="000000"/>
              </w:rPr>
              <w:t>industry ,</w:t>
            </w:r>
            <w:proofErr w:type="gramEnd"/>
            <w:r w:rsidRPr="006B6FC7">
              <w:rPr>
                <w:rFonts w:ascii="Arial" w:hAnsi="Arial" w:cs="Arial"/>
                <w:i/>
                <w:iCs/>
                <w:color w:val="000000"/>
              </w:rPr>
              <w:t xml:space="preserve"> age, growth</w:t>
            </w:r>
          </w:p>
        </w:tc>
      </w:tr>
    </w:tbl>
    <w:p w14:paraId="55C82048"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72EF6EF0" w14:textId="1556E620" w:rsidR="006B6FC7" w:rsidRDefault="006B6FC7" w:rsidP="006B6FC7">
      <w:pPr>
        <w:ind w:firstLine="720"/>
        <w:jc w:val="both"/>
        <w:rPr>
          <w:rFonts w:ascii="Arial" w:hAnsi="Arial" w:cs="Arial"/>
          <w:bCs/>
        </w:rPr>
      </w:pPr>
      <w:r w:rsidRPr="006B6FC7">
        <w:rPr>
          <w:rFonts w:ascii="Arial" w:hAnsi="Arial" w:cs="Arial"/>
          <w:bCs/>
        </w:rPr>
        <w:t xml:space="preserve">The F value of 4.674 was obtained from division of Mean Square Regression with Mean Square Residual. F statistic is used For test hypothesis that all coefficient regression The same with zero </w:t>
      </w:r>
      <w:proofErr w:type="gramStart"/>
      <w:r w:rsidRPr="006B6FC7">
        <w:rPr>
          <w:rFonts w:ascii="Arial" w:hAnsi="Arial" w:cs="Arial"/>
          <w:bCs/>
        </w:rPr>
        <w:t>( no</w:t>
      </w:r>
      <w:proofErr w:type="gramEnd"/>
      <w:r w:rsidRPr="006B6FC7">
        <w:rPr>
          <w:rFonts w:ascii="Arial" w:hAnsi="Arial" w:cs="Arial"/>
          <w:bCs/>
        </w:rPr>
        <w:t xml:space="preserve"> There is connection between variable independent and dependent ). With mark significance 0.000 (p &lt; 0.05), regression model in a way overall significant, indicating existence connection significant between variable independent (DER, ESG score, age, growth) and variables dependent (Tobin's Q).</w:t>
      </w:r>
    </w:p>
    <w:p w14:paraId="4BE315AF" w14:textId="77777777" w:rsidR="004E634A" w:rsidRDefault="004E634A" w:rsidP="006B6FC7">
      <w:pPr>
        <w:ind w:firstLine="720"/>
        <w:jc w:val="both"/>
        <w:rPr>
          <w:rFonts w:ascii="Arial" w:hAnsi="Arial" w:cs="Arial"/>
          <w:bCs/>
        </w:rPr>
      </w:pPr>
    </w:p>
    <w:p w14:paraId="23FE81D4" w14:textId="77777777" w:rsidR="004E634A" w:rsidRPr="006B6FC7" w:rsidRDefault="004E634A" w:rsidP="006B6FC7">
      <w:pPr>
        <w:ind w:firstLine="720"/>
        <w:jc w:val="both"/>
        <w:rPr>
          <w:rFonts w:ascii="Arial" w:hAnsi="Arial" w:cs="Arial"/>
          <w:bCs/>
        </w:rPr>
      </w:pPr>
    </w:p>
    <w:tbl>
      <w:tblPr>
        <w:tblW w:w="8359"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435"/>
        <w:gridCol w:w="1150"/>
        <w:gridCol w:w="1496"/>
        <w:gridCol w:w="2001"/>
        <w:gridCol w:w="1472"/>
        <w:gridCol w:w="998"/>
        <w:gridCol w:w="807"/>
      </w:tblGrid>
      <w:tr w:rsidR="006B6FC7" w:rsidRPr="006B6FC7" w14:paraId="53AEF37D" w14:textId="77777777" w:rsidTr="006B6FC7">
        <w:trPr>
          <w:trHeight w:val="300"/>
        </w:trPr>
        <w:tc>
          <w:tcPr>
            <w:tcW w:w="8359" w:type="dxa"/>
            <w:gridSpan w:val="7"/>
            <w:tcBorders>
              <w:bottom w:val="single" w:sz="12" w:space="0" w:color="000000"/>
            </w:tcBorders>
            <w:hideMark/>
          </w:tcPr>
          <w:p w14:paraId="667FE632" w14:textId="77777777" w:rsidR="006B6FC7" w:rsidRPr="006B6FC7" w:rsidRDefault="006B6FC7" w:rsidP="00F54FCC">
            <w:pPr>
              <w:rPr>
                <w:rFonts w:ascii="Arial" w:hAnsi="Arial" w:cs="Arial"/>
                <w:b/>
                <w:bCs/>
                <w:color w:val="000000"/>
              </w:rPr>
            </w:pPr>
            <w:r w:rsidRPr="006B6FC7">
              <w:rPr>
                <w:rFonts w:ascii="Arial" w:hAnsi="Arial" w:cs="Arial"/>
                <w:b/>
                <w:bCs/>
                <w:color w:val="000000"/>
              </w:rPr>
              <w:lastRenderedPageBreak/>
              <w:t>Table 8. T-test</w:t>
            </w:r>
          </w:p>
        </w:tc>
      </w:tr>
      <w:tr w:rsidR="006B6FC7" w:rsidRPr="006B6FC7" w14:paraId="533754FA" w14:textId="77777777" w:rsidTr="006B6FC7">
        <w:trPr>
          <w:trHeight w:val="300"/>
        </w:trPr>
        <w:tc>
          <w:tcPr>
            <w:tcW w:w="8359" w:type="dxa"/>
            <w:gridSpan w:val="7"/>
            <w:hideMark/>
          </w:tcPr>
          <w:p w14:paraId="79BFEEC1" w14:textId="77777777" w:rsidR="006B6FC7" w:rsidRPr="006B6FC7" w:rsidRDefault="006B6FC7" w:rsidP="00F54FCC">
            <w:pPr>
              <w:jc w:val="center"/>
              <w:rPr>
                <w:rFonts w:ascii="Arial" w:hAnsi="Arial" w:cs="Arial"/>
                <w:color w:val="000000"/>
              </w:rPr>
            </w:pPr>
            <w:r w:rsidRPr="006B6FC7">
              <w:rPr>
                <w:rFonts w:ascii="Arial" w:hAnsi="Arial" w:cs="Arial"/>
                <w:color w:val="000000"/>
              </w:rPr>
              <w:t xml:space="preserve">Coefficients </w:t>
            </w:r>
            <w:r w:rsidRPr="006B6FC7">
              <w:rPr>
                <w:rFonts w:ascii="Arial" w:hAnsi="Arial" w:cs="Arial"/>
                <w:color w:val="000000"/>
                <w:vertAlign w:val="superscript"/>
              </w:rPr>
              <w:t>a</w:t>
            </w:r>
          </w:p>
        </w:tc>
      </w:tr>
      <w:tr w:rsidR="006B6FC7" w:rsidRPr="006B6FC7" w14:paraId="202B1992" w14:textId="77777777" w:rsidTr="006B6FC7">
        <w:trPr>
          <w:trHeight w:val="300"/>
        </w:trPr>
        <w:tc>
          <w:tcPr>
            <w:tcW w:w="1585" w:type="dxa"/>
            <w:gridSpan w:val="2"/>
            <w:vMerge w:val="restart"/>
            <w:hideMark/>
          </w:tcPr>
          <w:p w14:paraId="0CC3E632"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Model</w:t>
            </w:r>
          </w:p>
        </w:tc>
        <w:tc>
          <w:tcPr>
            <w:tcW w:w="3497" w:type="dxa"/>
            <w:gridSpan w:val="2"/>
            <w:hideMark/>
          </w:tcPr>
          <w:p w14:paraId="5262CACE"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Unstandardized Coefficients</w:t>
            </w:r>
          </w:p>
        </w:tc>
        <w:tc>
          <w:tcPr>
            <w:tcW w:w="1472" w:type="dxa"/>
            <w:hideMark/>
          </w:tcPr>
          <w:p w14:paraId="330B14FB"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Standardized Coefficients</w:t>
            </w:r>
          </w:p>
        </w:tc>
        <w:tc>
          <w:tcPr>
            <w:tcW w:w="998" w:type="dxa"/>
            <w:hideMark/>
          </w:tcPr>
          <w:p w14:paraId="4B30BA59"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t</w:t>
            </w:r>
          </w:p>
        </w:tc>
        <w:tc>
          <w:tcPr>
            <w:tcW w:w="807" w:type="dxa"/>
            <w:hideMark/>
          </w:tcPr>
          <w:p w14:paraId="2769C804"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Sig.</w:t>
            </w:r>
          </w:p>
        </w:tc>
      </w:tr>
      <w:tr w:rsidR="006B6FC7" w:rsidRPr="006B6FC7" w14:paraId="34FD0654" w14:textId="77777777" w:rsidTr="006B6FC7">
        <w:trPr>
          <w:trHeight w:val="300"/>
        </w:trPr>
        <w:tc>
          <w:tcPr>
            <w:tcW w:w="1585" w:type="dxa"/>
            <w:gridSpan w:val="2"/>
            <w:vMerge/>
            <w:hideMark/>
          </w:tcPr>
          <w:p w14:paraId="3080C0E5" w14:textId="77777777" w:rsidR="006B6FC7" w:rsidRPr="006B6FC7" w:rsidRDefault="006B6FC7" w:rsidP="00F54FCC">
            <w:pPr>
              <w:rPr>
                <w:rFonts w:ascii="Arial" w:hAnsi="Arial" w:cs="Arial"/>
                <w:b/>
                <w:bCs/>
                <w:i/>
                <w:iCs/>
                <w:color w:val="000000"/>
                <w:lang w:val="en"/>
              </w:rPr>
            </w:pPr>
          </w:p>
        </w:tc>
        <w:tc>
          <w:tcPr>
            <w:tcW w:w="1496" w:type="dxa"/>
            <w:hideMark/>
          </w:tcPr>
          <w:p w14:paraId="5674D646"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B</w:t>
            </w:r>
          </w:p>
        </w:tc>
        <w:tc>
          <w:tcPr>
            <w:tcW w:w="2001" w:type="dxa"/>
            <w:hideMark/>
          </w:tcPr>
          <w:p w14:paraId="5B4D2766"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Std. Error</w:t>
            </w:r>
          </w:p>
        </w:tc>
        <w:tc>
          <w:tcPr>
            <w:tcW w:w="1472" w:type="dxa"/>
            <w:hideMark/>
          </w:tcPr>
          <w:p w14:paraId="39ED6A71"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Beta</w:t>
            </w:r>
          </w:p>
        </w:tc>
        <w:tc>
          <w:tcPr>
            <w:tcW w:w="0" w:type="auto"/>
            <w:hideMark/>
          </w:tcPr>
          <w:p w14:paraId="64194A97" w14:textId="77777777" w:rsidR="006B6FC7" w:rsidRPr="006B6FC7" w:rsidRDefault="006B6FC7" w:rsidP="00F54FCC">
            <w:pPr>
              <w:rPr>
                <w:rFonts w:ascii="Arial" w:hAnsi="Arial" w:cs="Arial"/>
                <w:b/>
                <w:bCs/>
                <w:i/>
                <w:iCs/>
                <w:color w:val="000000"/>
                <w:lang w:val="en"/>
              </w:rPr>
            </w:pPr>
          </w:p>
        </w:tc>
        <w:tc>
          <w:tcPr>
            <w:tcW w:w="807" w:type="dxa"/>
            <w:hideMark/>
          </w:tcPr>
          <w:p w14:paraId="394F5F05" w14:textId="77777777" w:rsidR="006B6FC7" w:rsidRPr="006B6FC7" w:rsidRDefault="006B6FC7" w:rsidP="00F54FCC">
            <w:pPr>
              <w:rPr>
                <w:rFonts w:ascii="Arial" w:hAnsi="Arial" w:cs="Arial"/>
                <w:b/>
                <w:bCs/>
                <w:i/>
                <w:iCs/>
                <w:color w:val="000000"/>
                <w:lang w:val="en"/>
              </w:rPr>
            </w:pPr>
          </w:p>
        </w:tc>
      </w:tr>
      <w:tr w:rsidR="006B6FC7" w:rsidRPr="006B6FC7" w14:paraId="43AC0A54" w14:textId="77777777" w:rsidTr="006B6FC7">
        <w:trPr>
          <w:trHeight w:val="300"/>
        </w:trPr>
        <w:tc>
          <w:tcPr>
            <w:tcW w:w="435" w:type="dxa"/>
            <w:vMerge w:val="restart"/>
            <w:hideMark/>
          </w:tcPr>
          <w:p w14:paraId="69E8913D" w14:textId="77777777" w:rsidR="006B6FC7" w:rsidRPr="006B6FC7" w:rsidRDefault="006B6FC7" w:rsidP="00F54FCC">
            <w:pPr>
              <w:jc w:val="center"/>
              <w:rPr>
                <w:rFonts w:ascii="Arial" w:hAnsi="Arial" w:cs="Arial"/>
                <w:color w:val="000000"/>
              </w:rPr>
            </w:pPr>
            <w:r w:rsidRPr="006B6FC7">
              <w:rPr>
                <w:rFonts w:ascii="Arial" w:hAnsi="Arial" w:cs="Arial"/>
                <w:color w:val="000000"/>
              </w:rPr>
              <w:t>1</w:t>
            </w:r>
          </w:p>
        </w:tc>
        <w:tc>
          <w:tcPr>
            <w:tcW w:w="1150" w:type="dxa"/>
            <w:hideMark/>
          </w:tcPr>
          <w:p w14:paraId="1A18D15D" w14:textId="77777777" w:rsidR="006B6FC7" w:rsidRPr="006B6FC7" w:rsidRDefault="006B6FC7" w:rsidP="00F54FCC">
            <w:pPr>
              <w:rPr>
                <w:rFonts w:ascii="Arial" w:hAnsi="Arial" w:cs="Arial"/>
                <w:color w:val="000000"/>
              </w:rPr>
            </w:pPr>
            <w:r w:rsidRPr="006B6FC7">
              <w:rPr>
                <w:rFonts w:ascii="Arial" w:hAnsi="Arial" w:cs="Arial"/>
                <w:color w:val="000000"/>
              </w:rPr>
              <w:t>(Constant)</w:t>
            </w:r>
          </w:p>
        </w:tc>
        <w:tc>
          <w:tcPr>
            <w:tcW w:w="1496" w:type="dxa"/>
            <w:hideMark/>
          </w:tcPr>
          <w:p w14:paraId="4524AE75" w14:textId="77777777" w:rsidR="006B6FC7" w:rsidRPr="006B6FC7" w:rsidRDefault="006B6FC7" w:rsidP="00F54FCC">
            <w:pPr>
              <w:jc w:val="right"/>
              <w:rPr>
                <w:rFonts w:ascii="Arial" w:hAnsi="Arial" w:cs="Arial"/>
                <w:color w:val="000000"/>
              </w:rPr>
            </w:pPr>
            <w:r w:rsidRPr="006B6FC7">
              <w:rPr>
                <w:rFonts w:ascii="Arial" w:hAnsi="Arial" w:cs="Arial"/>
                <w:color w:val="000000"/>
              </w:rPr>
              <w:t>1,723</w:t>
            </w:r>
          </w:p>
        </w:tc>
        <w:tc>
          <w:tcPr>
            <w:tcW w:w="2001" w:type="dxa"/>
            <w:hideMark/>
          </w:tcPr>
          <w:p w14:paraId="2B4597E5" w14:textId="77777777" w:rsidR="006B6FC7" w:rsidRPr="006B6FC7" w:rsidRDefault="006B6FC7" w:rsidP="00F54FCC">
            <w:pPr>
              <w:jc w:val="right"/>
              <w:rPr>
                <w:rFonts w:ascii="Arial" w:hAnsi="Arial" w:cs="Arial"/>
                <w:color w:val="000000"/>
              </w:rPr>
            </w:pPr>
            <w:r w:rsidRPr="006B6FC7">
              <w:rPr>
                <w:rFonts w:ascii="Arial" w:hAnsi="Arial" w:cs="Arial"/>
                <w:color w:val="000000"/>
              </w:rPr>
              <w:t>0.175</w:t>
            </w:r>
          </w:p>
        </w:tc>
        <w:tc>
          <w:tcPr>
            <w:tcW w:w="1472" w:type="dxa"/>
            <w:hideMark/>
          </w:tcPr>
          <w:p w14:paraId="27E0FA6B" w14:textId="77777777" w:rsidR="006B6FC7" w:rsidRPr="006B6FC7" w:rsidRDefault="006B6FC7" w:rsidP="00F54FCC">
            <w:pPr>
              <w:rPr>
                <w:rFonts w:ascii="Arial" w:hAnsi="Arial" w:cs="Arial"/>
                <w:color w:val="000000"/>
              </w:rPr>
            </w:pPr>
          </w:p>
        </w:tc>
        <w:tc>
          <w:tcPr>
            <w:tcW w:w="998" w:type="dxa"/>
            <w:hideMark/>
          </w:tcPr>
          <w:p w14:paraId="7CF3A69F" w14:textId="77777777" w:rsidR="006B6FC7" w:rsidRPr="006B6FC7" w:rsidRDefault="006B6FC7" w:rsidP="00F54FCC">
            <w:pPr>
              <w:jc w:val="right"/>
              <w:rPr>
                <w:rFonts w:ascii="Arial" w:hAnsi="Arial" w:cs="Arial"/>
                <w:color w:val="000000"/>
                <w:lang w:val="en"/>
              </w:rPr>
            </w:pPr>
            <w:r w:rsidRPr="006B6FC7">
              <w:rPr>
                <w:rFonts w:ascii="Arial" w:hAnsi="Arial" w:cs="Arial"/>
                <w:color w:val="000000"/>
              </w:rPr>
              <w:t>9,821</w:t>
            </w:r>
          </w:p>
        </w:tc>
        <w:tc>
          <w:tcPr>
            <w:tcW w:w="807" w:type="dxa"/>
            <w:hideMark/>
          </w:tcPr>
          <w:p w14:paraId="2A4C141B" w14:textId="77777777" w:rsidR="006B6FC7" w:rsidRPr="006B6FC7" w:rsidRDefault="006B6FC7" w:rsidP="00F54FCC">
            <w:pPr>
              <w:jc w:val="right"/>
              <w:rPr>
                <w:rFonts w:ascii="Arial" w:hAnsi="Arial" w:cs="Arial"/>
                <w:color w:val="000000"/>
              </w:rPr>
            </w:pPr>
            <w:r w:rsidRPr="006B6FC7">
              <w:rPr>
                <w:rFonts w:ascii="Arial" w:hAnsi="Arial" w:cs="Arial"/>
                <w:color w:val="000000"/>
              </w:rPr>
              <w:t>0</w:t>
            </w:r>
          </w:p>
        </w:tc>
      </w:tr>
      <w:tr w:rsidR="006B6FC7" w:rsidRPr="006B6FC7" w14:paraId="0D7BCE55" w14:textId="77777777" w:rsidTr="006B6FC7">
        <w:trPr>
          <w:trHeight w:val="300"/>
        </w:trPr>
        <w:tc>
          <w:tcPr>
            <w:tcW w:w="0" w:type="auto"/>
            <w:vMerge/>
            <w:hideMark/>
          </w:tcPr>
          <w:p w14:paraId="3A150D09" w14:textId="77777777" w:rsidR="006B6FC7" w:rsidRPr="006B6FC7" w:rsidRDefault="006B6FC7" w:rsidP="00F54FCC">
            <w:pPr>
              <w:rPr>
                <w:rFonts w:ascii="Arial" w:hAnsi="Arial" w:cs="Arial"/>
                <w:color w:val="000000"/>
                <w:lang w:val="en"/>
              </w:rPr>
            </w:pPr>
          </w:p>
        </w:tc>
        <w:tc>
          <w:tcPr>
            <w:tcW w:w="1150" w:type="dxa"/>
            <w:hideMark/>
          </w:tcPr>
          <w:p w14:paraId="54A1E7E9" w14:textId="77777777" w:rsidR="006B6FC7" w:rsidRPr="006B6FC7" w:rsidRDefault="006B6FC7" w:rsidP="00F54FCC">
            <w:pPr>
              <w:rPr>
                <w:rFonts w:ascii="Arial" w:hAnsi="Arial" w:cs="Arial"/>
                <w:color w:val="000000"/>
              </w:rPr>
            </w:pPr>
            <w:r w:rsidRPr="006B6FC7">
              <w:rPr>
                <w:rFonts w:ascii="Arial" w:hAnsi="Arial" w:cs="Arial"/>
                <w:color w:val="000000"/>
              </w:rPr>
              <w:t>industry</w:t>
            </w:r>
          </w:p>
        </w:tc>
        <w:tc>
          <w:tcPr>
            <w:tcW w:w="1496" w:type="dxa"/>
            <w:hideMark/>
          </w:tcPr>
          <w:p w14:paraId="624AC716" w14:textId="77777777" w:rsidR="006B6FC7" w:rsidRPr="006B6FC7" w:rsidRDefault="006B6FC7" w:rsidP="00F54FCC">
            <w:pPr>
              <w:jc w:val="right"/>
              <w:rPr>
                <w:rFonts w:ascii="Arial" w:hAnsi="Arial" w:cs="Arial"/>
                <w:color w:val="000000"/>
              </w:rPr>
            </w:pPr>
            <w:r w:rsidRPr="006B6FC7">
              <w:rPr>
                <w:rFonts w:ascii="Arial" w:hAnsi="Arial" w:cs="Arial"/>
                <w:color w:val="000000"/>
              </w:rPr>
              <w:t>-0.252</w:t>
            </w:r>
          </w:p>
        </w:tc>
        <w:tc>
          <w:tcPr>
            <w:tcW w:w="2001" w:type="dxa"/>
            <w:hideMark/>
          </w:tcPr>
          <w:p w14:paraId="69C470FB" w14:textId="77777777" w:rsidR="006B6FC7" w:rsidRPr="006B6FC7" w:rsidRDefault="006B6FC7" w:rsidP="00F54FCC">
            <w:pPr>
              <w:jc w:val="right"/>
              <w:rPr>
                <w:rFonts w:ascii="Arial" w:hAnsi="Arial" w:cs="Arial"/>
                <w:color w:val="000000"/>
              </w:rPr>
            </w:pPr>
            <w:r w:rsidRPr="006B6FC7">
              <w:rPr>
                <w:rFonts w:ascii="Arial" w:hAnsi="Arial" w:cs="Arial"/>
                <w:color w:val="000000"/>
              </w:rPr>
              <w:t>0.144</w:t>
            </w:r>
          </w:p>
        </w:tc>
        <w:tc>
          <w:tcPr>
            <w:tcW w:w="1472" w:type="dxa"/>
            <w:hideMark/>
          </w:tcPr>
          <w:p w14:paraId="302F2CCB" w14:textId="77777777" w:rsidR="006B6FC7" w:rsidRPr="006B6FC7" w:rsidRDefault="006B6FC7" w:rsidP="00F54FCC">
            <w:pPr>
              <w:jc w:val="right"/>
              <w:rPr>
                <w:rFonts w:ascii="Arial" w:hAnsi="Arial" w:cs="Arial"/>
                <w:color w:val="000000"/>
              </w:rPr>
            </w:pPr>
            <w:r w:rsidRPr="006B6FC7">
              <w:rPr>
                <w:rFonts w:ascii="Arial" w:hAnsi="Arial" w:cs="Arial"/>
                <w:color w:val="000000"/>
              </w:rPr>
              <w:t>-0.112</w:t>
            </w:r>
          </w:p>
        </w:tc>
        <w:tc>
          <w:tcPr>
            <w:tcW w:w="998" w:type="dxa"/>
            <w:hideMark/>
          </w:tcPr>
          <w:p w14:paraId="1CD638E5" w14:textId="77777777" w:rsidR="006B6FC7" w:rsidRPr="006B6FC7" w:rsidRDefault="006B6FC7" w:rsidP="00F54FCC">
            <w:pPr>
              <w:jc w:val="right"/>
              <w:rPr>
                <w:rFonts w:ascii="Arial" w:hAnsi="Arial" w:cs="Arial"/>
                <w:color w:val="000000"/>
              </w:rPr>
            </w:pPr>
            <w:r w:rsidRPr="006B6FC7">
              <w:rPr>
                <w:rFonts w:ascii="Arial" w:hAnsi="Arial" w:cs="Arial"/>
                <w:color w:val="000000"/>
              </w:rPr>
              <w:t>-1,755</w:t>
            </w:r>
          </w:p>
        </w:tc>
        <w:tc>
          <w:tcPr>
            <w:tcW w:w="807" w:type="dxa"/>
            <w:hideMark/>
          </w:tcPr>
          <w:p w14:paraId="6151782A" w14:textId="77777777" w:rsidR="006B6FC7" w:rsidRPr="006B6FC7" w:rsidRDefault="006B6FC7" w:rsidP="00F54FCC">
            <w:pPr>
              <w:jc w:val="right"/>
              <w:rPr>
                <w:rFonts w:ascii="Arial" w:hAnsi="Arial" w:cs="Arial"/>
                <w:color w:val="000000"/>
              </w:rPr>
            </w:pPr>
            <w:r w:rsidRPr="006B6FC7">
              <w:rPr>
                <w:rFonts w:ascii="Arial" w:hAnsi="Arial" w:cs="Arial"/>
                <w:color w:val="000000"/>
              </w:rPr>
              <w:t>0.081</w:t>
            </w:r>
          </w:p>
        </w:tc>
      </w:tr>
      <w:tr w:rsidR="006B6FC7" w:rsidRPr="006B6FC7" w14:paraId="78913EA5" w14:textId="77777777" w:rsidTr="006B6FC7">
        <w:trPr>
          <w:trHeight w:val="300"/>
        </w:trPr>
        <w:tc>
          <w:tcPr>
            <w:tcW w:w="0" w:type="auto"/>
            <w:vMerge/>
            <w:hideMark/>
          </w:tcPr>
          <w:p w14:paraId="61A75C02" w14:textId="77777777" w:rsidR="006B6FC7" w:rsidRPr="006B6FC7" w:rsidRDefault="006B6FC7" w:rsidP="00F54FCC">
            <w:pPr>
              <w:rPr>
                <w:rFonts w:ascii="Arial" w:hAnsi="Arial" w:cs="Arial"/>
                <w:color w:val="000000"/>
                <w:lang w:val="en"/>
              </w:rPr>
            </w:pPr>
          </w:p>
        </w:tc>
        <w:tc>
          <w:tcPr>
            <w:tcW w:w="1150" w:type="dxa"/>
            <w:hideMark/>
          </w:tcPr>
          <w:p w14:paraId="6C819D5A" w14:textId="77777777" w:rsidR="006B6FC7" w:rsidRPr="006B6FC7" w:rsidRDefault="006B6FC7" w:rsidP="00F54FCC">
            <w:pPr>
              <w:rPr>
                <w:rFonts w:ascii="Arial" w:hAnsi="Arial" w:cs="Arial"/>
                <w:color w:val="000000"/>
              </w:rPr>
            </w:pPr>
            <w:proofErr w:type="spellStart"/>
            <w:r w:rsidRPr="006B6FC7">
              <w:rPr>
                <w:rFonts w:ascii="Arial" w:hAnsi="Arial" w:cs="Arial"/>
                <w:color w:val="000000"/>
              </w:rPr>
              <w:t>esg</w:t>
            </w:r>
            <w:proofErr w:type="spellEnd"/>
            <w:r w:rsidRPr="006B6FC7">
              <w:rPr>
                <w:rFonts w:ascii="Arial" w:hAnsi="Arial" w:cs="Arial"/>
                <w:color w:val="000000"/>
              </w:rPr>
              <w:t xml:space="preserve"> score</w:t>
            </w:r>
          </w:p>
        </w:tc>
        <w:tc>
          <w:tcPr>
            <w:tcW w:w="1496" w:type="dxa"/>
            <w:hideMark/>
          </w:tcPr>
          <w:p w14:paraId="437E83BA" w14:textId="77777777" w:rsidR="006B6FC7" w:rsidRPr="006B6FC7" w:rsidRDefault="006B6FC7" w:rsidP="00F54FCC">
            <w:pPr>
              <w:jc w:val="right"/>
              <w:rPr>
                <w:rFonts w:ascii="Arial" w:hAnsi="Arial" w:cs="Arial"/>
                <w:color w:val="000000"/>
              </w:rPr>
            </w:pPr>
            <w:r w:rsidRPr="006B6FC7">
              <w:rPr>
                <w:rFonts w:ascii="Arial" w:hAnsi="Arial" w:cs="Arial"/>
                <w:color w:val="000000"/>
              </w:rPr>
              <w:t>0.126</w:t>
            </w:r>
          </w:p>
        </w:tc>
        <w:tc>
          <w:tcPr>
            <w:tcW w:w="2001" w:type="dxa"/>
            <w:hideMark/>
          </w:tcPr>
          <w:p w14:paraId="67903DFA" w14:textId="77777777" w:rsidR="006B6FC7" w:rsidRPr="006B6FC7" w:rsidRDefault="006B6FC7" w:rsidP="00F54FCC">
            <w:pPr>
              <w:jc w:val="right"/>
              <w:rPr>
                <w:rFonts w:ascii="Arial" w:hAnsi="Arial" w:cs="Arial"/>
                <w:color w:val="000000"/>
              </w:rPr>
            </w:pPr>
            <w:r w:rsidRPr="006B6FC7">
              <w:rPr>
                <w:rFonts w:ascii="Arial" w:hAnsi="Arial" w:cs="Arial"/>
                <w:color w:val="000000"/>
              </w:rPr>
              <w:t>0.296</w:t>
            </w:r>
          </w:p>
        </w:tc>
        <w:tc>
          <w:tcPr>
            <w:tcW w:w="1472" w:type="dxa"/>
            <w:hideMark/>
          </w:tcPr>
          <w:p w14:paraId="23A67DA2" w14:textId="77777777" w:rsidR="006B6FC7" w:rsidRPr="006B6FC7" w:rsidRDefault="006B6FC7" w:rsidP="00F54FCC">
            <w:pPr>
              <w:jc w:val="right"/>
              <w:rPr>
                <w:rFonts w:ascii="Arial" w:hAnsi="Arial" w:cs="Arial"/>
                <w:color w:val="000000"/>
              </w:rPr>
            </w:pPr>
            <w:r w:rsidRPr="006B6FC7">
              <w:rPr>
                <w:rFonts w:ascii="Arial" w:hAnsi="Arial" w:cs="Arial"/>
                <w:color w:val="000000"/>
              </w:rPr>
              <w:t>0.028</w:t>
            </w:r>
          </w:p>
        </w:tc>
        <w:tc>
          <w:tcPr>
            <w:tcW w:w="998" w:type="dxa"/>
            <w:hideMark/>
          </w:tcPr>
          <w:p w14:paraId="452E7336" w14:textId="77777777" w:rsidR="006B6FC7" w:rsidRPr="006B6FC7" w:rsidRDefault="006B6FC7" w:rsidP="00F54FCC">
            <w:pPr>
              <w:jc w:val="right"/>
              <w:rPr>
                <w:rFonts w:ascii="Arial" w:hAnsi="Arial" w:cs="Arial"/>
                <w:color w:val="000000"/>
              </w:rPr>
            </w:pPr>
            <w:r w:rsidRPr="006B6FC7">
              <w:rPr>
                <w:rFonts w:ascii="Arial" w:hAnsi="Arial" w:cs="Arial"/>
                <w:color w:val="000000"/>
              </w:rPr>
              <w:t>0.428</w:t>
            </w:r>
          </w:p>
        </w:tc>
        <w:tc>
          <w:tcPr>
            <w:tcW w:w="807" w:type="dxa"/>
            <w:hideMark/>
          </w:tcPr>
          <w:p w14:paraId="2206C3C6" w14:textId="77777777" w:rsidR="006B6FC7" w:rsidRPr="006B6FC7" w:rsidRDefault="006B6FC7" w:rsidP="00F54FCC">
            <w:pPr>
              <w:jc w:val="right"/>
              <w:rPr>
                <w:rFonts w:ascii="Arial" w:hAnsi="Arial" w:cs="Arial"/>
                <w:color w:val="000000"/>
              </w:rPr>
            </w:pPr>
            <w:r w:rsidRPr="006B6FC7">
              <w:rPr>
                <w:rFonts w:ascii="Arial" w:hAnsi="Arial" w:cs="Arial"/>
                <w:color w:val="000000"/>
              </w:rPr>
              <w:t>0.669</w:t>
            </w:r>
          </w:p>
        </w:tc>
      </w:tr>
      <w:tr w:rsidR="006B6FC7" w:rsidRPr="006B6FC7" w14:paraId="09BEBC94" w14:textId="77777777" w:rsidTr="006B6FC7">
        <w:trPr>
          <w:trHeight w:val="300"/>
        </w:trPr>
        <w:tc>
          <w:tcPr>
            <w:tcW w:w="0" w:type="auto"/>
            <w:vMerge/>
            <w:hideMark/>
          </w:tcPr>
          <w:p w14:paraId="771D3739" w14:textId="77777777" w:rsidR="006B6FC7" w:rsidRPr="006B6FC7" w:rsidRDefault="006B6FC7" w:rsidP="00F54FCC">
            <w:pPr>
              <w:rPr>
                <w:rFonts w:ascii="Arial" w:hAnsi="Arial" w:cs="Arial"/>
                <w:color w:val="000000"/>
                <w:lang w:val="en"/>
              </w:rPr>
            </w:pPr>
          </w:p>
        </w:tc>
        <w:tc>
          <w:tcPr>
            <w:tcW w:w="1150" w:type="dxa"/>
            <w:hideMark/>
          </w:tcPr>
          <w:p w14:paraId="36DC8C81" w14:textId="77777777" w:rsidR="006B6FC7" w:rsidRPr="006B6FC7" w:rsidRDefault="006B6FC7" w:rsidP="00F54FCC">
            <w:pPr>
              <w:rPr>
                <w:rFonts w:ascii="Arial" w:hAnsi="Arial" w:cs="Arial"/>
                <w:color w:val="000000"/>
              </w:rPr>
            </w:pPr>
            <w:r w:rsidRPr="006B6FC7">
              <w:rPr>
                <w:rFonts w:ascii="Arial" w:hAnsi="Arial" w:cs="Arial"/>
                <w:color w:val="000000"/>
              </w:rPr>
              <w:t>growth</w:t>
            </w:r>
          </w:p>
        </w:tc>
        <w:tc>
          <w:tcPr>
            <w:tcW w:w="1496" w:type="dxa"/>
            <w:hideMark/>
          </w:tcPr>
          <w:p w14:paraId="46070203" w14:textId="77777777" w:rsidR="006B6FC7" w:rsidRPr="006B6FC7" w:rsidRDefault="006B6FC7" w:rsidP="00F54FCC">
            <w:pPr>
              <w:jc w:val="right"/>
              <w:rPr>
                <w:rFonts w:ascii="Arial" w:hAnsi="Arial" w:cs="Arial"/>
                <w:color w:val="000000"/>
              </w:rPr>
            </w:pPr>
            <w:r w:rsidRPr="006B6FC7">
              <w:rPr>
                <w:rFonts w:ascii="Arial" w:hAnsi="Arial" w:cs="Arial"/>
                <w:color w:val="000000"/>
              </w:rPr>
              <w:t>0.196</w:t>
            </w:r>
          </w:p>
        </w:tc>
        <w:tc>
          <w:tcPr>
            <w:tcW w:w="2001" w:type="dxa"/>
            <w:hideMark/>
          </w:tcPr>
          <w:p w14:paraId="15E4FC11" w14:textId="77777777" w:rsidR="006B6FC7" w:rsidRPr="006B6FC7" w:rsidRDefault="006B6FC7" w:rsidP="00F54FCC">
            <w:pPr>
              <w:jc w:val="right"/>
              <w:rPr>
                <w:rFonts w:ascii="Arial" w:hAnsi="Arial" w:cs="Arial"/>
                <w:color w:val="000000"/>
              </w:rPr>
            </w:pPr>
            <w:r w:rsidRPr="006B6FC7">
              <w:rPr>
                <w:rFonts w:ascii="Arial" w:hAnsi="Arial" w:cs="Arial"/>
                <w:color w:val="000000"/>
              </w:rPr>
              <w:t>0.081</w:t>
            </w:r>
          </w:p>
        </w:tc>
        <w:tc>
          <w:tcPr>
            <w:tcW w:w="1472" w:type="dxa"/>
            <w:hideMark/>
          </w:tcPr>
          <w:p w14:paraId="0CA6DCE3" w14:textId="77777777" w:rsidR="006B6FC7" w:rsidRPr="006B6FC7" w:rsidRDefault="006B6FC7" w:rsidP="00F54FCC">
            <w:pPr>
              <w:jc w:val="right"/>
              <w:rPr>
                <w:rFonts w:ascii="Arial" w:hAnsi="Arial" w:cs="Arial"/>
                <w:color w:val="000000"/>
              </w:rPr>
            </w:pPr>
            <w:r w:rsidRPr="006B6FC7">
              <w:rPr>
                <w:rFonts w:ascii="Arial" w:hAnsi="Arial" w:cs="Arial"/>
                <w:color w:val="000000"/>
              </w:rPr>
              <w:t>0.186</w:t>
            </w:r>
          </w:p>
        </w:tc>
        <w:tc>
          <w:tcPr>
            <w:tcW w:w="998" w:type="dxa"/>
            <w:hideMark/>
          </w:tcPr>
          <w:p w14:paraId="7874B997" w14:textId="77777777" w:rsidR="006B6FC7" w:rsidRPr="006B6FC7" w:rsidRDefault="006B6FC7" w:rsidP="00F54FCC">
            <w:pPr>
              <w:jc w:val="right"/>
              <w:rPr>
                <w:rFonts w:ascii="Arial" w:hAnsi="Arial" w:cs="Arial"/>
                <w:color w:val="000000"/>
              </w:rPr>
            </w:pPr>
            <w:r w:rsidRPr="006B6FC7">
              <w:rPr>
                <w:rFonts w:ascii="Arial" w:hAnsi="Arial" w:cs="Arial"/>
                <w:color w:val="000000"/>
              </w:rPr>
              <w:t>2,416</w:t>
            </w:r>
          </w:p>
        </w:tc>
        <w:tc>
          <w:tcPr>
            <w:tcW w:w="807" w:type="dxa"/>
            <w:hideMark/>
          </w:tcPr>
          <w:p w14:paraId="3100E0D9" w14:textId="77777777" w:rsidR="006B6FC7" w:rsidRPr="006B6FC7" w:rsidRDefault="006B6FC7" w:rsidP="00F54FCC">
            <w:pPr>
              <w:jc w:val="right"/>
              <w:rPr>
                <w:rFonts w:ascii="Arial" w:hAnsi="Arial" w:cs="Arial"/>
                <w:color w:val="000000"/>
              </w:rPr>
            </w:pPr>
            <w:r w:rsidRPr="006B6FC7">
              <w:rPr>
                <w:rFonts w:ascii="Arial" w:hAnsi="Arial" w:cs="Arial"/>
                <w:color w:val="000000"/>
              </w:rPr>
              <w:t>0.016</w:t>
            </w:r>
          </w:p>
        </w:tc>
      </w:tr>
      <w:tr w:rsidR="006B6FC7" w:rsidRPr="006B6FC7" w14:paraId="3BEAEF2A" w14:textId="77777777" w:rsidTr="006B6FC7">
        <w:trPr>
          <w:trHeight w:val="300"/>
        </w:trPr>
        <w:tc>
          <w:tcPr>
            <w:tcW w:w="0" w:type="auto"/>
            <w:vMerge/>
            <w:hideMark/>
          </w:tcPr>
          <w:p w14:paraId="755521C6" w14:textId="77777777" w:rsidR="006B6FC7" w:rsidRPr="006B6FC7" w:rsidRDefault="006B6FC7" w:rsidP="00F54FCC">
            <w:pPr>
              <w:rPr>
                <w:rFonts w:ascii="Arial" w:hAnsi="Arial" w:cs="Arial"/>
                <w:color w:val="000000"/>
                <w:lang w:val="en"/>
              </w:rPr>
            </w:pPr>
          </w:p>
        </w:tc>
        <w:tc>
          <w:tcPr>
            <w:tcW w:w="1150" w:type="dxa"/>
            <w:hideMark/>
          </w:tcPr>
          <w:p w14:paraId="5DFDA8FB" w14:textId="77777777" w:rsidR="006B6FC7" w:rsidRPr="006B6FC7" w:rsidRDefault="006B6FC7" w:rsidP="00F54FCC">
            <w:pPr>
              <w:rPr>
                <w:rFonts w:ascii="Arial" w:hAnsi="Arial" w:cs="Arial"/>
                <w:color w:val="000000"/>
              </w:rPr>
            </w:pPr>
            <w:r w:rsidRPr="006B6FC7">
              <w:rPr>
                <w:rFonts w:ascii="Arial" w:hAnsi="Arial" w:cs="Arial"/>
                <w:color w:val="000000"/>
              </w:rPr>
              <w:t>Age</w:t>
            </w:r>
          </w:p>
        </w:tc>
        <w:tc>
          <w:tcPr>
            <w:tcW w:w="1496" w:type="dxa"/>
            <w:hideMark/>
          </w:tcPr>
          <w:p w14:paraId="67488F5B" w14:textId="77777777" w:rsidR="006B6FC7" w:rsidRPr="006B6FC7" w:rsidRDefault="006B6FC7" w:rsidP="00F54FCC">
            <w:pPr>
              <w:jc w:val="right"/>
              <w:rPr>
                <w:rFonts w:ascii="Arial" w:hAnsi="Arial" w:cs="Arial"/>
                <w:color w:val="000000"/>
              </w:rPr>
            </w:pPr>
            <w:r w:rsidRPr="006B6FC7">
              <w:rPr>
                <w:rFonts w:ascii="Arial" w:hAnsi="Arial" w:cs="Arial"/>
                <w:color w:val="000000"/>
              </w:rPr>
              <w:t>-0.024</w:t>
            </w:r>
          </w:p>
        </w:tc>
        <w:tc>
          <w:tcPr>
            <w:tcW w:w="2001" w:type="dxa"/>
            <w:hideMark/>
          </w:tcPr>
          <w:p w14:paraId="65B07EA8" w14:textId="77777777" w:rsidR="006B6FC7" w:rsidRPr="006B6FC7" w:rsidRDefault="006B6FC7" w:rsidP="00F54FCC">
            <w:pPr>
              <w:jc w:val="right"/>
              <w:rPr>
                <w:rFonts w:ascii="Arial" w:hAnsi="Arial" w:cs="Arial"/>
                <w:color w:val="000000"/>
              </w:rPr>
            </w:pPr>
            <w:r w:rsidRPr="006B6FC7">
              <w:rPr>
                <w:rFonts w:ascii="Arial" w:hAnsi="Arial" w:cs="Arial"/>
                <w:color w:val="000000"/>
              </w:rPr>
              <w:t>0.007</w:t>
            </w:r>
          </w:p>
        </w:tc>
        <w:tc>
          <w:tcPr>
            <w:tcW w:w="1472" w:type="dxa"/>
            <w:hideMark/>
          </w:tcPr>
          <w:p w14:paraId="3EF7E2C0" w14:textId="77777777" w:rsidR="006B6FC7" w:rsidRPr="006B6FC7" w:rsidRDefault="006B6FC7" w:rsidP="00F54FCC">
            <w:pPr>
              <w:jc w:val="right"/>
              <w:rPr>
                <w:rFonts w:ascii="Arial" w:hAnsi="Arial" w:cs="Arial"/>
                <w:color w:val="000000"/>
              </w:rPr>
            </w:pPr>
            <w:r w:rsidRPr="006B6FC7">
              <w:rPr>
                <w:rFonts w:ascii="Arial" w:hAnsi="Arial" w:cs="Arial"/>
                <w:color w:val="000000"/>
              </w:rPr>
              <w:t>-0.223</w:t>
            </w:r>
          </w:p>
        </w:tc>
        <w:tc>
          <w:tcPr>
            <w:tcW w:w="998" w:type="dxa"/>
            <w:hideMark/>
          </w:tcPr>
          <w:p w14:paraId="46C2B2EC" w14:textId="77777777" w:rsidR="006B6FC7" w:rsidRPr="006B6FC7" w:rsidRDefault="006B6FC7" w:rsidP="00F54FCC">
            <w:pPr>
              <w:jc w:val="right"/>
              <w:rPr>
                <w:rFonts w:ascii="Arial" w:hAnsi="Arial" w:cs="Arial"/>
                <w:color w:val="000000"/>
              </w:rPr>
            </w:pPr>
            <w:r w:rsidRPr="006B6FC7">
              <w:rPr>
                <w:rFonts w:ascii="Arial" w:hAnsi="Arial" w:cs="Arial"/>
                <w:color w:val="000000"/>
              </w:rPr>
              <w:t>-3,455</w:t>
            </w:r>
          </w:p>
        </w:tc>
        <w:tc>
          <w:tcPr>
            <w:tcW w:w="807" w:type="dxa"/>
            <w:hideMark/>
          </w:tcPr>
          <w:p w14:paraId="3656D30A" w14:textId="77777777" w:rsidR="006B6FC7" w:rsidRPr="006B6FC7" w:rsidRDefault="006B6FC7" w:rsidP="00F54FCC">
            <w:pPr>
              <w:jc w:val="right"/>
              <w:rPr>
                <w:rFonts w:ascii="Arial" w:hAnsi="Arial" w:cs="Arial"/>
                <w:color w:val="000000"/>
              </w:rPr>
            </w:pPr>
            <w:r w:rsidRPr="006B6FC7">
              <w:rPr>
                <w:rFonts w:ascii="Arial" w:hAnsi="Arial" w:cs="Arial"/>
                <w:color w:val="000000"/>
              </w:rPr>
              <w:t>0.001</w:t>
            </w:r>
          </w:p>
        </w:tc>
      </w:tr>
      <w:tr w:rsidR="006B6FC7" w:rsidRPr="006B6FC7" w14:paraId="3A79CD39" w14:textId="77777777" w:rsidTr="006B6FC7">
        <w:trPr>
          <w:trHeight w:val="300"/>
        </w:trPr>
        <w:tc>
          <w:tcPr>
            <w:tcW w:w="0" w:type="auto"/>
            <w:vMerge/>
            <w:hideMark/>
          </w:tcPr>
          <w:p w14:paraId="3EE5F181" w14:textId="77777777" w:rsidR="006B6FC7" w:rsidRPr="006B6FC7" w:rsidRDefault="006B6FC7" w:rsidP="00F54FCC">
            <w:pPr>
              <w:rPr>
                <w:rFonts w:ascii="Arial" w:hAnsi="Arial" w:cs="Arial"/>
                <w:color w:val="000000"/>
                <w:lang w:val="en"/>
              </w:rPr>
            </w:pPr>
          </w:p>
        </w:tc>
        <w:tc>
          <w:tcPr>
            <w:tcW w:w="1150" w:type="dxa"/>
            <w:hideMark/>
          </w:tcPr>
          <w:p w14:paraId="166EB423" w14:textId="77777777" w:rsidR="006B6FC7" w:rsidRPr="006B6FC7" w:rsidRDefault="006B6FC7" w:rsidP="00F54FCC">
            <w:pPr>
              <w:rPr>
                <w:rFonts w:ascii="Arial" w:hAnsi="Arial" w:cs="Arial"/>
                <w:color w:val="000000"/>
              </w:rPr>
            </w:pPr>
            <w:r w:rsidRPr="006B6FC7">
              <w:rPr>
                <w:rFonts w:ascii="Arial" w:hAnsi="Arial" w:cs="Arial"/>
                <w:color w:val="000000"/>
              </w:rPr>
              <w:t>DER</w:t>
            </w:r>
          </w:p>
        </w:tc>
        <w:tc>
          <w:tcPr>
            <w:tcW w:w="1496" w:type="dxa"/>
            <w:hideMark/>
          </w:tcPr>
          <w:p w14:paraId="30016720" w14:textId="77777777" w:rsidR="006B6FC7" w:rsidRPr="006B6FC7" w:rsidRDefault="006B6FC7" w:rsidP="00F54FCC">
            <w:pPr>
              <w:jc w:val="right"/>
              <w:rPr>
                <w:rFonts w:ascii="Arial" w:hAnsi="Arial" w:cs="Arial"/>
                <w:color w:val="000000"/>
              </w:rPr>
            </w:pPr>
            <w:r w:rsidRPr="006B6FC7">
              <w:rPr>
                <w:rFonts w:ascii="Arial" w:hAnsi="Arial" w:cs="Arial"/>
                <w:color w:val="000000"/>
              </w:rPr>
              <w:t>-0.066</w:t>
            </w:r>
          </w:p>
        </w:tc>
        <w:tc>
          <w:tcPr>
            <w:tcW w:w="2001" w:type="dxa"/>
            <w:hideMark/>
          </w:tcPr>
          <w:p w14:paraId="40DE0A3F" w14:textId="77777777" w:rsidR="006B6FC7" w:rsidRPr="006B6FC7" w:rsidRDefault="006B6FC7" w:rsidP="00F54FCC">
            <w:pPr>
              <w:jc w:val="right"/>
              <w:rPr>
                <w:rFonts w:ascii="Arial" w:hAnsi="Arial" w:cs="Arial"/>
                <w:color w:val="000000"/>
              </w:rPr>
            </w:pPr>
            <w:r w:rsidRPr="006B6FC7">
              <w:rPr>
                <w:rFonts w:ascii="Arial" w:hAnsi="Arial" w:cs="Arial"/>
                <w:color w:val="000000"/>
              </w:rPr>
              <w:t>0.023</w:t>
            </w:r>
          </w:p>
        </w:tc>
        <w:tc>
          <w:tcPr>
            <w:tcW w:w="1472" w:type="dxa"/>
            <w:hideMark/>
          </w:tcPr>
          <w:p w14:paraId="213BE1A3" w14:textId="77777777" w:rsidR="006B6FC7" w:rsidRPr="006B6FC7" w:rsidRDefault="006B6FC7" w:rsidP="00F54FCC">
            <w:pPr>
              <w:jc w:val="right"/>
              <w:rPr>
                <w:rFonts w:ascii="Arial" w:hAnsi="Arial" w:cs="Arial"/>
                <w:color w:val="000000"/>
              </w:rPr>
            </w:pPr>
            <w:r w:rsidRPr="006B6FC7">
              <w:rPr>
                <w:rFonts w:ascii="Arial" w:hAnsi="Arial" w:cs="Arial"/>
                <w:color w:val="000000"/>
              </w:rPr>
              <w:t>-0.226</w:t>
            </w:r>
          </w:p>
        </w:tc>
        <w:tc>
          <w:tcPr>
            <w:tcW w:w="998" w:type="dxa"/>
            <w:hideMark/>
          </w:tcPr>
          <w:p w14:paraId="114C0063" w14:textId="77777777" w:rsidR="006B6FC7" w:rsidRPr="006B6FC7" w:rsidRDefault="006B6FC7" w:rsidP="00F54FCC">
            <w:pPr>
              <w:jc w:val="right"/>
              <w:rPr>
                <w:rFonts w:ascii="Arial" w:hAnsi="Arial" w:cs="Arial"/>
                <w:color w:val="000000"/>
              </w:rPr>
            </w:pPr>
            <w:r w:rsidRPr="006B6FC7">
              <w:rPr>
                <w:rFonts w:ascii="Arial" w:hAnsi="Arial" w:cs="Arial"/>
                <w:color w:val="000000"/>
              </w:rPr>
              <w:t>-2,928</w:t>
            </w:r>
          </w:p>
        </w:tc>
        <w:tc>
          <w:tcPr>
            <w:tcW w:w="807" w:type="dxa"/>
            <w:hideMark/>
          </w:tcPr>
          <w:p w14:paraId="2BB78519" w14:textId="77777777" w:rsidR="006B6FC7" w:rsidRPr="006B6FC7" w:rsidRDefault="006B6FC7" w:rsidP="00F54FCC">
            <w:pPr>
              <w:jc w:val="right"/>
              <w:rPr>
                <w:rFonts w:ascii="Arial" w:hAnsi="Arial" w:cs="Arial"/>
                <w:color w:val="000000"/>
              </w:rPr>
            </w:pPr>
            <w:r w:rsidRPr="006B6FC7">
              <w:rPr>
                <w:rFonts w:ascii="Arial" w:hAnsi="Arial" w:cs="Arial"/>
                <w:color w:val="000000"/>
              </w:rPr>
              <w:t>0.004</w:t>
            </w:r>
          </w:p>
        </w:tc>
      </w:tr>
      <w:tr w:rsidR="006B6FC7" w:rsidRPr="006B6FC7" w14:paraId="68FC070B" w14:textId="77777777" w:rsidTr="006B6FC7">
        <w:trPr>
          <w:trHeight w:val="300"/>
        </w:trPr>
        <w:tc>
          <w:tcPr>
            <w:tcW w:w="8359" w:type="dxa"/>
            <w:gridSpan w:val="7"/>
            <w:hideMark/>
          </w:tcPr>
          <w:p w14:paraId="6DC2E5F0" w14:textId="77777777" w:rsidR="006B6FC7" w:rsidRPr="006B6FC7" w:rsidRDefault="006B6FC7" w:rsidP="00F54FCC">
            <w:pPr>
              <w:rPr>
                <w:rFonts w:ascii="Arial" w:hAnsi="Arial" w:cs="Arial"/>
                <w:i/>
                <w:iCs/>
                <w:color w:val="000000"/>
              </w:rPr>
            </w:pPr>
            <w:r w:rsidRPr="006B6FC7">
              <w:rPr>
                <w:rFonts w:ascii="Arial" w:hAnsi="Arial" w:cs="Arial"/>
                <w:i/>
                <w:iCs/>
                <w:color w:val="000000"/>
              </w:rPr>
              <w:t>a. Dependent Variable: TOBINS Q</w:t>
            </w:r>
          </w:p>
        </w:tc>
      </w:tr>
    </w:tbl>
    <w:p w14:paraId="27A72F8D"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53D8060B" w14:textId="77777777" w:rsidR="006B6FC7" w:rsidRPr="006B6FC7" w:rsidRDefault="006B6FC7" w:rsidP="006B6FC7">
      <w:pPr>
        <w:ind w:firstLine="720"/>
        <w:jc w:val="both"/>
        <w:rPr>
          <w:rFonts w:ascii="Arial" w:hAnsi="Arial" w:cs="Arial"/>
          <w:bCs/>
        </w:rPr>
      </w:pPr>
      <w:r w:rsidRPr="006B6FC7">
        <w:rPr>
          <w:rFonts w:ascii="Arial" w:hAnsi="Arial" w:cs="Arial"/>
          <w:bCs/>
        </w:rPr>
        <w:t>The Tobin's Q value is 1.723 and is significant (p = 0.000). The ESG coefficient of 0.126 indicates a small increase in Tobin's Q, but the effect is not significant (p = 0.669). The Growth coefficient of 0.196 indicates a significant increase in Tobin's Q (p = 0.016). Overall, the Growth, Age, and DER variables are significant, while the ESG Score is not significant.</w:t>
      </w:r>
    </w:p>
    <w:p w14:paraId="216CBB53" w14:textId="77777777" w:rsidR="006B6FC7" w:rsidRPr="006B6FC7" w:rsidRDefault="006B6FC7" w:rsidP="006B6FC7">
      <w:pPr>
        <w:ind w:firstLine="720"/>
        <w:jc w:val="both"/>
        <w:rPr>
          <w:rFonts w:ascii="Arial" w:hAnsi="Arial" w:cs="Arial"/>
          <w:bCs/>
        </w:rPr>
      </w:pPr>
    </w:p>
    <w:p w14:paraId="635B2522" w14:textId="77777777" w:rsidR="006B6FC7" w:rsidRPr="006B6FC7" w:rsidRDefault="006B6FC7" w:rsidP="006B6FC7">
      <w:pPr>
        <w:rPr>
          <w:rFonts w:ascii="Arial" w:hAnsi="Arial" w:cs="Arial"/>
          <w:bCs/>
        </w:rPr>
      </w:pPr>
      <w:r w:rsidRPr="006B6FC7">
        <w:rPr>
          <w:rFonts w:ascii="Arial" w:hAnsi="Arial" w:cs="Arial"/>
          <w:bCs/>
        </w:rPr>
        <w:t xml:space="preserve">Coefficient Test </w:t>
      </w:r>
      <w:proofErr w:type="spellStart"/>
      <w:r w:rsidRPr="006B6FC7">
        <w:rPr>
          <w:rFonts w:ascii="Arial" w:hAnsi="Arial" w:cs="Arial"/>
          <w:bCs/>
        </w:rPr>
        <w:t>Deetermination</w:t>
      </w:r>
      <w:proofErr w:type="spellEnd"/>
      <w:r w:rsidRPr="006B6FC7">
        <w:rPr>
          <w:rFonts w:ascii="Arial" w:hAnsi="Arial" w:cs="Arial"/>
          <w:bCs/>
        </w:rPr>
        <w:t xml:space="preserve"> (R</w:t>
      </w:r>
      <w:r w:rsidRPr="006B6FC7">
        <w:rPr>
          <w:rFonts w:ascii="Arial" w:hAnsi="Arial" w:cs="Arial"/>
          <w:bCs/>
          <w:vertAlign w:val="superscript"/>
        </w:rPr>
        <w:t>2</w:t>
      </w:r>
      <w:r w:rsidRPr="006B6FC7">
        <w:rPr>
          <w:rFonts w:ascii="Arial" w:hAnsi="Arial" w:cs="Arial"/>
          <w:bCs/>
        </w:rPr>
        <w:t>)</w:t>
      </w:r>
    </w:p>
    <w:tbl>
      <w:tblPr>
        <w:tblW w:w="8505"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851"/>
        <w:gridCol w:w="2304"/>
        <w:gridCol w:w="2551"/>
        <w:gridCol w:w="1240"/>
        <w:gridCol w:w="1418"/>
        <w:gridCol w:w="141"/>
      </w:tblGrid>
      <w:tr w:rsidR="006B6FC7" w:rsidRPr="006B6FC7" w14:paraId="02D6C2D5" w14:textId="77777777" w:rsidTr="006B6FC7">
        <w:trPr>
          <w:trHeight w:val="315"/>
        </w:trPr>
        <w:tc>
          <w:tcPr>
            <w:tcW w:w="8505" w:type="dxa"/>
            <w:gridSpan w:val="6"/>
            <w:hideMark/>
          </w:tcPr>
          <w:p w14:paraId="3AAC7C38" w14:textId="501372AB" w:rsidR="006B6FC7" w:rsidRPr="006B6FC7" w:rsidRDefault="006B6FC7" w:rsidP="00F54FCC">
            <w:pPr>
              <w:spacing w:line="276" w:lineRule="auto"/>
              <w:rPr>
                <w:rFonts w:ascii="Arial" w:hAnsi="Arial" w:cs="Arial"/>
                <w:b/>
              </w:rPr>
            </w:pPr>
            <w:r w:rsidRPr="006B6FC7">
              <w:rPr>
                <w:rFonts w:ascii="Arial" w:hAnsi="Arial" w:cs="Arial"/>
                <w:b/>
              </w:rPr>
              <w:t>Tabl</w:t>
            </w:r>
            <w:r w:rsidR="00032424">
              <w:rPr>
                <w:rFonts w:ascii="Arial" w:hAnsi="Arial" w:cs="Arial"/>
                <w:b/>
              </w:rPr>
              <w:t>e</w:t>
            </w:r>
            <w:r w:rsidRPr="006B6FC7">
              <w:rPr>
                <w:rFonts w:ascii="Arial" w:hAnsi="Arial" w:cs="Arial"/>
                <w:b/>
              </w:rPr>
              <w:t xml:space="preserve"> 9. Determination Test Results</w:t>
            </w:r>
          </w:p>
          <w:p w14:paraId="06263548" w14:textId="77777777" w:rsidR="006B6FC7" w:rsidRPr="006B6FC7" w:rsidRDefault="006B6FC7" w:rsidP="00F54FCC">
            <w:pPr>
              <w:spacing w:line="276" w:lineRule="auto"/>
              <w:jc w:val="center"/>
              <w:rPr>
                <w:rFonts w:ascii="Arial" w:hAnsi="Arial" w:cs="Arial"/>
                <w:b/>
                <w:i/>
                <w:iCs/>
              </w:rPr>
            </w:pPr>
            <w:r w:rsidRPr="006B6FC7">
              <w:rPr>
                <w:rFonts w:ascii="Arial" w:hAnsi="Arial" w:cs="Arial"/>
                <w:bCs/>
              </w:rPr>
              <w:t>Model Summary</w:t>
            </w:r>
          </w:p>
        </w:tc>
      </w:tr>
      <w:tr w:rsidR="006B6FC7" w:rsidRPr="006B6FC7" w14:paraId="74058418" w14:textId="77777777" w:rsidTr="006B6FC7">
        <w:trPr>
          <w:gridAfter w:val="1"/>
          <w:wAfter w:w="141" w:type="dxa"/>
          <w:trHeight w:val="570"/>
        </w:trPr>
        <w:tc>
          <w:tcPr>
            <w:tcW w:w="851" w:type="dxa"/>
            <w:hideMark/>
          </w:tcPr>
          <w:p w14:paraId="03FD1749" w14:textId="77777777" w:rsidR="006B6FC7" w:rsidRPr="006B6FC7" w:rsidRDefault="006B6FC7" w:rsidP="00F54FCC">
            <w:pPr>
              <w:spacing w:line="276" w:lineRule="auto"/>
              <w:jc w:val="center"/>
              <w:rPr>
                <w:rFonts w:ascii="Arial" w:hAnsi="Arial" w:cs="Arial"/>
                <w:b/>
              </w:rPr>
            </w:pPr>
            <w:r w:rsidRPr="006B6FC7">
              <w:rPr>
                <w:rFonts w:ascii="Arial" w:hAnsi="Arial" w:cs="Arial"/>
                <w:b/>
              </w:rPr>
              <w:t>Model</w:t>
            </w:r>
          </w:p>
        </w:tc>
        <w:tc>
          <w:tcPr>
            <w:tcW w:w="2304" w:type="dxa"/>
            <w:hideMark/>
          </w:tcPr>
          <w:p w14:paraId="1F72FDF3" w14:textId="77777777" w:rsidR="006B6FC7" w:rsidRPr="006B6FC7" w:rsidRDefault="006B6FC7" w:rsidP="00F54FCC">
            <w:pPr>
              <w:spacing w:line="276" w:lineRule="auto"/>
              <w:jc w:val="center"/>
              <w:rPr>
                <w:rFonts w:ascii="Arial" w:hAnsi="Arial" w:cs="Arial"/>
                <w:b/>
              </w:rPr>
            </w:pPr>
            <w:r w:rsidRPr="006B6FC7">
              <w:rPr>
                <w:rFonts w:ascii="Arial" w:hAnsi="Arial" w:cs="Arial"/>
                <w:b/>
              </w:rPr>
              <w:t>R</w:t>
            </w:r>
          </w:p>
        </w:tc>
        <w:tc>
          <w:tcPr>
            <w:tcW w:w="2551" w:type="dxa"/>
            <w:hideMark/>
          </w:tcPr>
          <w:p w14:paraId="1985271F" w14:textId="77777777" w:rsidR="006B6FC7" w:rsidRPr="006B6FC7" w:rsidRDefault="006B6FC7" w:rsidP="00F54FCC">
            <w:pPr>
              <w:spacing w:line="276" w:lineRule="auto"/>
              <w:jc w:val="center"/>
              <w:rPr>
                <w:rFonts w:ascii="Arial" w:hAnsi="Arial" w:cs="Arial"/>
                <w:b/>
              </w:rPr>
            </w:pPr>
            <w:r w:rsidRPr="006B6FC7">
              <w:rPr>
                <w:rFonts w:ascii="Arial" w:hAnsi="Arial" w:cs="Arial"/>
                <w:b/>
              </w:rPr>
              <w:t>R Square</w:t>
            </w:r>
          </w:p>
        </w:tc>
        <w:tc>
          <w:tcPr>
            <w:tcW w:w="1240" w:type="dxa"/>
            <w:hideMark/>
          </w:tcPr>
          <w:p w14:paraId="243A85EA" w14:textId="77777777" w:rsidR="006B6FC7" w:rsidRPr="006B6FC7" w:rsidRDefault="006B6FC7" w:rsidP="00F54FCC">
            <w:pPr>
              <w:spacing w:line="276" w:lineRule="auto"/>
              <w:jc w:val="center"/>
              <w:rPr>
                <w:rFonts w:ascii="Arial" w:hAnsi="Arial" w:cs="Arial"/>
                <w:b/>
              </w:rPr>
            </w:pPr>
            <w:r w:rsidRPr="006B6FC7">
              <w:rPr>
                <w:rFonts w:ascii="Arial" w:hAnsi="Arial" w:cs="Arial"/>
                <w:b/>
              </w:rPr>
              <w:t>Adjusted R Square</w:t>
            </w:r>
          </w:p>
        </w:tc>
        <w:tc>
          <w:tcPr>
            <w:tcW w:w="1418" w:type="dxa"/>
            <w:hideMark/>
          </w:tcPr>
          <w:p w14:paraId="74301794" w14:textId="77777777" w:rsidR="006B6FC7" w:rsidRPr="006B6FC7" w:rsidRDefault="006B6FC7" w:rsidP="00F54FCC">
            <w:pPr>
              <w:spacing w:line="276" w:lineRule="auto"/>
              <w:jc w:val="center"/>
              <w:rPr>
                <w:rFonts w:ascii="Arial" w:hAnsi="Arial" w:cs="Arial"/>
                <w:b/>
              </w:rPr>
            </w:pPr>
            <w:r w:rsidRPr="006B6FC7">
              <w:rPr>
                <w:rFonts w:ascii="Arial" w:hAnsi="Arial" w:cs="Arial"/>
                <w:b/>
              </w:rPr>
              <w:t>Std. Error of the Estimate</w:t>
            </w:r>
          </w:p>
        </w:tc>
      </w:tr>
      <w:tr w:rsidR="006B6FC7" w:rsidRPr="006B6FC7" w14:paraId="0EDAF5CC" w14:textId="77777777" w:rsidTr="006B6FC7">
        <w:trPr>
          <w:gridAfter w:val="1"/>
          <w:wAfter w:w="141" w:type="dxa"/>
          <w:trHeight w:val="375"/>
        </w:trPr>
        <w:tc>
          <w:tcPr>
            <w:tcW w:w="851" w:type="dxa"/>
            <w:hideMark/>
          </w:tcPr>
          <w:p w14:paraId="12A98C2D" w14:textId="77777777" w:rsidR="006B6FC7" w:rsidRPr="006B6FC7" w:rsidRDefault="006B6FC7" w:rsidP="00F54FCC">
            <w:pPr>
              <w:spacing w:line="276" w:lineRule="auto"/>
              <w:jc w:val="center"/>
              <w:rPr>
                <w:rFonts w:ascii="Arial" w:hAnsi="Arial" w:cs="Arial"/>
              </w:rPr>
            </w:pPr>
            <w:r w:rsidRPr="006B6FC7">
              <w:rPr>
                <w:rFonts w:ascii="Arial" w:hAnsi="Arial" w:cs="Arial"/>
              </w:rPr>
              <w:t>1</w:t>
            </w:r>
          </w:p>
        </w:tc>
        <w:tc>
          <w:tcPr>
            <w:tcW w:w="2304" w:type="dxa"/>
            <w:hideMark/>
          </w:tcPr>
          <w:p w14:paraId="0D734CC7" w14:textId="77777777" w:rsidR="006B6FC7" w:rsidRPr="006B6FC7" w:rsidRDefault="006B6FC7" w:rsidP="00F54FCC">
            <w:pPr>
              <w:spacing w:line="276" w:lineRule="auto"/>
              <w:jc w:val="right"/>
              <w:rPr>
                <w:rFonts w:ascii="Arial" w:hAnsi="Arial" w:cs="Arial"/>
                <w:vertAlign w:val="superscript"/>
              </w:rPr>
            </w:pPr>
            <w:r w:rsidRPr="006B6FC7">
              <w:rPr>
                <w:rFonts w:ascii="Arial" w:hAnsi="Arial" w:cs="Arial"/>
              </w:rPr>
              <w:t xml:space="preserve">.305 </w:t>
            </w:r>
            <w:r w:rsidRPr="006B6FC7">
              <w:rPr>
                <w:rFonts w:ascii="Arial" w:hAnsi="Arial" w:cs="Arial"/>
                <w:vertAlign w:val="superscript"/>
              </w:rPr>
              <w:t>a</w:t>
            </w:r>
          </w:p>
        </w:tc>
        <w:tc>
          <w:tcPr>
            <w:tcW w:w="2551" w:type="dxa"/>
            <w:hideMark/>
          </w:tcPr>
          <w:p w14:paraId="1B552B23" w14:textId="77777777" w:rsidR="006B6FC7" w:rsidRPr="006B6FC7" w:rsidRDefault="006B6FC7" w:rsidP="00F54FCC">
            <w:pPr>
              <w:spacing w:line="276" w:lineRule="auto"/>
              <w:jc w:val="right"/>
              <w:rPr>
                <w:rFonts w:ascii="Arial" w:hAnsi="Arial" w:cs="Arial"/>
              </w:rPr>
            </w:pPr>
            <w:r w:rsidRPr="006B6FC7">
              <w:rPr>
                <w:rFonts w:ascii="Arial" w:hAnsi="Arial" w:cs="Arial"/>
              </w:rPr>
              <w:t>,093</w:t>
            </w:r>
          </w:p>
        </w:tc>
        <w:tc>
          <w:tcPr>
            <w:tcW w:w="1240" w:type="dxa"/>
            <w:hideMark/>
          </w:tcPr>
          <w:p w14:paraId="2D64A413" w14:textId="77777777" w:rsidR="006B6FC7" w:rsidRPr="006B6FC7" w:rsidRDefault="006B6FC7" w:rsidP="00F54FCC">
            <w:pPr>
              <w:spacing w:line="276" w:lineRule="auto"/>
              <w:jc w:val="right"/>
              <w:rPr>
                <w:rFonts w:ascii="Arial" w:hAnsi="Arial" w:cs="Arial"/>
              </w:rPr>
            </w:pPr>
            <w:r w:rsidRPr="006B6FC7">
              <w:rPr>
                <w:rFonts w:ascii="Arial" w:hAnsi="Arial" w:cs="Arial"/>
              </w:rPr>
              <w:t>,073</w:t>
            </w:r>
          </w:p>
        </w:tc>
        <w:tc>
          <w:tcPr>
            <w:tcW w:w="1418" w:type="dxa"/>
            <w:hideMark/>
          </w:tcPr>
          <w:p w14:paraId="08F735E3" w14:textId="77777777" w:rsidR="006B6FC7" w:rsidRPr="006B6FC7" w:rsidRDefault="006B6FC7" w:rsidP="00F54FCC">
            <w:pPr>
              <w:spacing w:line="276" w:lineRule="auto"/>
              <w:jc w:val="right"/>
              <w:rPr>
                <w:rFonts w:ascii="Arial" w:hAnsi="Arial" w:cs="Arial"/>
              </w:rPr>
            </w:pPr>
            <w:r w:rsidRPr="006B6FC7">
              <w:rPr>
                <w:rFonts w:ascii="Arial" w:hAnsi="Arial" w:cs="Arial"/>
              </w:rPr>
              <w:t>,95098</w:t>
            </w:r>
          </w:p>
        </w:tc>
      </w:tr>
      <w:tr w:rsidR="006B6FC7" w:rsidRPr="006B6FC7" w14:paraId="02CD8FB1" w14:textId="77777777" w:rsidTr="006B6FC7">
        <w:trPr>
          <w:trHeight w:val="315"/>
        </w:trPr>
        <w:tc>
          <w:tcPr>
            <w:tcW w:w="8505" w:type="dxa"/>
            <w:gridSpan w:val="6"/>
            <w:hideMark/>
          </w:tcPr>
          <w:p w14:paraId="01144CA9" w14:textId="77777777" w:rsidR="006B6FC7" w:rsidRPr="006B6FC7" w:rsidRDefault="006B6FC7" w:rsidP="00F54FCC">
            <w:pPr>
              <w:spacing w:line="276" w:lineRule="auto"/>
              <w:rPr>
                <w:rFonts w:ascii="Arial" w:hAnsi="Arial" w:cs="Arial"/>
                <w:i/>
                <w:iCs/>
              </w:rPr>
            </w:pPr>
            <w:r w:rsidRPr="006B6FC7">
              <w:rPr>
                <w:rFonts w:ascii="Arial" w:hAnsi="Arial" w:cs="Arial"/>
                <w:i/>
                <w:iCs/>
              </w:rPr>
              <w:t xml:space="preserve">a. Predictors: (Constant), der, </w:t>
            </w:r>
            <w:proofErr w:type="spellStart"/>
            <w:r w:rsidRPr="006B6FC7">
              <w:rPr>
                <w:rFonts w:ascii="Arial" w:hAnsi="Arial" w:cs="Arial"/>
                <w:i/>
                <w:iCs/>
              </w:rPr>
              <w:t>esg</w:t>
            </w:r>
            <w:proofErr w:type="spellEnd"/>
            <w:r w:rsidRPr="006B6FC7">
              <w:rPr>
                <w:rFonts w:ascii="Arial" w:hAnsi="Arial" w:cs="Arial"/>
                <w:i/>
                <w:iCs/>
              </w:rPr>
              <w:t xml:space="preserve"> score, </w:t>
            </w:r>
            <w:proofErr w:type="gramStart"/>
            <w:r w:rsidRPr="006B6FC7">
              <w:rPr>
                <w:rFonts w:ascii="Arial" w:hAnsi="Arial" w:cs="Arial"/>
                <w:i/>
                <w:iCs/>
              </w:rPr>
              <w:t>industry ,</w:t>
            </w:r>
            <w:proofErr w:type="gramEnd"/>
            <w:r w:rsidRPr="006B6FC7">
              <w:rPr>
                <w:rFonts w:ascii="Arial" w:hAnsi="Arial" w:cs="Arial"/>
                <w:i/>
                <w:iCs/>
              </w:rPr>
              <w:t xml:space="preserve"> age, growth</w:t>
            </w:r>
          </w:p>
        </w:tc>
      </w:tr>
    </w:tbl>
    <w:p w14:paraId="230E37CB" w14:textId="77777777" w:rsidR="006B6FC7" w:rsidRPr="006B6FC7" w:rsidRDefault="006B6FC7" w:rsidP="006B6FC7">
      <w:pPr>
        <w:spacing w:after="200"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72A59331" w14:textId="392D8FBC" w:rsidR="006B6FC7" w:rsidRDefault="006B6FC7" w:rsidP="006B6FC7">
      <w:pPr>
        <w:ind w:firstLine="810"/>
        <w:jc w:val="both"/>
        <w:rPr>
          <w:rFonts w:ascii="Arial" w:hAnsi="Arial" w:cs="Arial"/>
          <w:bCs/>
        </w:rPr>
      </w:pPr>
      <w:r w:rsidRPr="006B6FC7">
        <w:rPr>
          <w:rFonts w:ascii="Arial" w:hAnsi="Arial" w:cs="Arial"/>
          <w:bCs/>
        </w:rPr>
        <w:t>The R value of 0.305 indicates a weak positive relationship between the predictors (DER, ESG Score, age, growth) and Tobin's Q. The R² value of 0.093 means that only 9.3% of the variation in Tobin's Q can be explained by the model, indicating very low predictive ability. Thus, this model is less effective in explaining and predicting Tobin's Q based on the independent variables used.</w:t>
      </w:r>
    </w:p>
    <w:p w14:paraId="0E3CE641" w14:textId="77777777" w:rsidR="006B6FC7" w:rsidRPr="006B6FC7" w:rsidRDefault="006B6FC7" w:rsidP="006B6FC7">
      <w:pPr>
        <w:ind w:firstLine="720"/>
        <w:jc w:val="both"/>
        <w:rPr>
          <w:rFonts w:ascii="Arial" w:hAnsi="Arial" w:cs="Arial"/>
          <w:bCs/>
        </w:rPr>
      </w:pPr>
      <w:r w:rsidRPr="006B6FC7">
        <w:rPr>
          <w:rFonts w:ascii="Arial" w:hAnsi="Arial" w:cs="Arial"/>
          <w:bCs/>
        </w:rPr>
        <w:t xml:space="preserve">The results of the descriptive analysis show that PT </w:t>
      </w:r>
      <w:proofErr w:type="spellStart"/>
      <w:r w:rsidRPr="006B6FC7">
        <w:rPr>
          <w:rFonts w:ascii="Arial" w:hAnsi="Arial" w:cs="Arial"/>
          <w:bCs/>
        </w:rPr>
        <w:t>Exploitasi</w:t>
      </w:r>
      <w:proofErr w:type="spellEnd"/>
      <w:r w:rsidRPr="006B6FC7">
        <w:rPr>
          <w:rFonts w:ascii="Arial" w:hAnsi="Arial" w:cs="Arial"/>
          <w:bCs/>
        </w:rPr>
        <w:t xml:space="preserve"> </w:t>
      </w:r>
      <w:proofErr w:type="spellStart"/>
      <w:r w:rsidRPr="006B6FC7">
        <w:rPr>
          <w:rFonts w:ascii="Arial" w:hAnsi="Arial" w:cs="Arial"/>
          <w:bCs/>
        </w:rPr>
        <w:t>Energi</w:t>
      </w:r>
      <w:proofErr w:type="spellEnd"/>
      <w:r w:rsidRPr="006B6FC7">
        <w:rPr>
          <w:rFonts w:ascii="Arial" w:hAnsi="Arial" w:cs="Arial"/>
          <w:bCs/>
        </w:rPr>
        <w:t xml:space="preserve"> Indonesia </w:t>
      </w:r>
      <w:proofErr w:type="spellStart"/>
      <w:r w:rsidRPr="006B6FC7">
        <w:rPr>
          <w:rFonts w:ascii="Arial" w:hAnsi="Arial" w:cs="Arial"/>
          <w:bCs/>
        </w:rPr>
        <w:t>Tbk</w:t>
      </w:r>
      <w:proofErr w:type="spellEnd"/>
      <w:r w:rsidRPr="006B6FC7">
        <w:rPr>
          <w:rFonts w:ascii="Arial" w:hAnsi="Arial" w:cs="Arial"/>
          <w:bCs/>
        </w:rPr>
        <w:t xml:space="preserve"> (2021) has a minimum PBV value of -0.36562, indicating potential financial problems or a market value lower than its book value. In contrast, the maximum PBV value of 14.53319 was found in PT Perdana </w:t>
      </w:r>
      <w:proofErr w:type="spellStart"/>
      <w:r w:rsidRPr="006B6FC7">
        <w:rPr>
          <w:rFonts w:ascii="Arial" w:hAnsi="Arial" w:cs="Arial"/>
          <w:bCs/>
        </w:rPr>
        <w:t>Karya</w:t>
      </w:r>
      <w:proofErr w:type="spellEnd"/>
      <w:r w:rsidRPr="006B6FC7">
        <w:rPr>
          <w:rFonts w:ascii="Arial" w:hAnsi="Arial" w:cs="Arial"/>
          <w:bCs/>
        </w:rPr>
        <w:t xml:space="preserve"> Perkasa </w:t>
      </w:r>
      <w:proofErr w:type="spellStart"/>
      <w:r w:rsidRPr="006B6FC7">
        <w:rPr>
          <w:rFonts w:ascii="Arial" w:hAnsi="Arial" w:cs="Arial"/>
          <w:bCs/>
        </w:rPr>
        <w:t>Tbk</w:t>
      </w:r>
      <w:proofErr w:type="spellEnd"/>
      <w:r w:rsidRPr="006B6FC7">
        <w:rPr>
          <w:rFonts w:ascii="Arial" w:hAnsi="Arial" w:cs="Arial"/>
          <w:bCs/>
        </w:rPr>
        <w:t xml:space="preserve"> (2022), reflecting high market expectations for this company. The average PBV of 1.4975 indicates that most companies in the sample are trading at around 1.5 times their book value, meaning these companies are positively valued by the market.</w:t>
      </w:r>
    </w:p>
    <w:p w14:paraId="47A3365D" w14:textId="29684CD1" w:rsidR="006B6FC7" w:rsidRPr="006B6FC7" w:rsidRDefault="006B6FC7" w:rsidP="006B6FC7">
      <w:pPr>
        <w:ind w:firstLine="720"/>
        <w:jc w:val="both"/>
        <w:rPr>
          <w:rFonts w:ascii="Arial" w:hAnsi="Arial" w:cs="Arial"/>
          <w:bCs/>
        </w:rPr>
      </w:pPr>
      <w:r w:rsidRPr="006B6FC7">
        <w:rPr>
          <w:rFonts w:ascii="Arial" w:hAnsi="Arial" w:cs="Arial"/>
          <w:bCs/>
        </w:rPr>
        <w:t xml:space="preserve">Analysis results show that the regression model has passed all assumption tests </w:t>
      </w:r>
      <w:proofErr w:type="gramStart"/>
      <w:r w:rsidRPr="006B6FC7">
        <w:rPr>
          <w:rFonts w:ascii="Arial" w:hAnsi="Arial" w:cs="Arial"/>
          <w:bCs/>
        </w:rPr>
        <w:t>classic .</w:t>
      </w:r>
      <w:proofErr w:type="gramEnd"/>
      <w:r w:rsidRPr="006B6FC7">
        <w:rPr>
          <w:rFonts w:ascii="Arial" w:hAnsi="Arial" w:cs="Arial"/>
          <w:bCs/>
        </w:rPr>
        <w:t xml:space="preserve"> Normality test disclose that even though the residual is not normally distributed at the level significance 5%, size large sample (</w:t>
      </w:r>
      <w:proofErr w:type="gramStart"/>
      <w:r w:rsidRPr="006B6FC7">
        <w:rPr>
          <w:rFonts w:ascii="Arial" w:hAnsi="Arial" w:cs="Arial"/>
          <w:bCs/>
        </w:rPr>
        <w:t>234 )</w:t>
      </w:r>
      <w:proofErr w:type="gramEnd"/>
      <w:r w:rsidRPr="006B6FC7">
        <w:rPr>
          <w:rFonts w:ascii="Arial" w:hAnsi="Arial" w:cs="Arial"/>
          <w:bCs/>
        </w:rPr>
        <w:t xml:space="preserve"> supports assumption normality based on Central Limit Theorem . Heteroscedasticity test show that the residuals are spread out in a way random without pattern </w:t>
      </w:r>
      <w:proofErr w:type="gramStart"/>
      <w:r w:rsidRPr="006B6FC7">
        <w:rPr>
          <w:rFonts w:ascii="Arial" w:hAnsi="Arial" w:cs="Arial"/>
          <w:bCs/>
        </w:rPr>
        <w:t>systematic ,</w:t>
      </w:r>
      <w:proofErr w:type="gramEnd"/>
      <w:r w:rsidRPr="006B6FC7">
        <w:rPr>
          <w:rFonts w:ascii="Arial" w:hAnsi="Arial" w:cs="Arial"/>
          <w:bCs/>
        </w:rPr>
        <w:t xml:space="preserve"> which indicates constant residual variance . Multicollinearity test show No There is problem collinearity between variable </w:t>
      </w:r>
      <w:proofErr w:type="gramStart"/>
      <w:r w:rsidRPr="006B6FC7">
        <w:rPr>
          <w:rFonts w:ascii="Arial" w:hAnsi="Arial" w:cs="Arial"/>
          <w:bCs/>
        </w:rPr>
        <w:t>independent ,</w:t>
      </w:r>
      <w:proofErr w:type="gramEnd"/>
      <w:r w:rsidRPr="006B6FC7">
        <w:rPr>
          <w:rFonts w:ascii="Arial" w:hAnsi="Arial" w:cs="Arial"/>
          <w:bCs/>
        </w:rPr>
        <w:t xml:space="preserve"> </w:t>
      </w:r>
      <w:r w:rsidRPr="006B6FC7">
        <w:rPr>
          <w:rFonts w:ascii="Arial" w:hAnsi="Arial" w:cs="Arial"/>
          <w:bCs/>
        </w:rPr>
        <w:lastRenderedPageBreak/>
        <w:t>with Tolerance value is close to 1 and VIF is less of 10. Therefore, the regression model is considered valid and reliable.</w:t>
      </w:r>
    </w:p>
    <w:p w14:paraId="550CA72D"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PBV</w:t>
      </w:r>
    </w:p>
    <w:tbl>
      <w:tblPr>
        <w:tblW w:w="8185"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2410"/>
        <w:gridCol w:w="705"/>
        <w:gridCol w:w="1245"/>
        <w:gridCol w:w="1290"/>
        <w:gridCol w:w="990"/>
        <w:gridCol w:w="1545"/>
      </w:tblGrid>
      <w:tr w:rsidR="006B6FC7" w:rsidRPr="006B6FC7" w14:paraId="1124984D" w14:textId="77777777" w:rsidTr="006B6FC7">
        <w:trPr>
          <w:gridAfter w:val="5"/>
          <w:wAfter w:w="5775" w:type="dxa"/>
          <w:trHeight w:val="285"/>
        </w:trPr>
        <w:tc>
          <w:tcPr>
            <w:tcW w:w="2410" w:type="dxa"/>
            <w:hideMark/>
          </w:tcPr>
          <w:p w14:paraId="6176443C" w14:textId="77777777" w:rsidR="006B6FC7" w:rsidRPr="006B6FC7" w:rsidRDefault="006B6FC7" w:rsidP="00F54FCC">
            <w:pPr>
              <w:spacing w:line="276" w:lineRule="auto"/>
              <w:rPr>
                <w:rFonts w:ascii="Arial" w:hAnsi="Arial" w:cs="Arial"/>
                <w:b/>
                <w:i/>
                <w:iCs/>
              </w:rPr>
            </w:pPr>
            <w:r w:rsidRPr="006B6FC7">
              <w:rPr>
                <w:rFonts w:ascii="Arial" w:hAnsi="Arial" w:cs="Arial"/>
                <w:b/>
              </w:rPr>
              <w:t>Table 10. Descriptive Statistics</w:t>
            </w:r>
          </w:p>
        </w:tc>
      </w:tr>
      <w:tr w:rsidR="006B6FC7" w:rsidRPr="006B6FC7" w14:paraId="062C66FD" w14:textId="77777777" w:rsidTr="006B6FC7">
        <w:trPr>
          <w:trHeight w:val="409"/>
        </w:trPr>
        <w:tc>
          <w:tcPr>
            <w:tcW w:w="2410" w:type="dxa"/>
          </w:tcPr>
          <w:p w14:paraId="43F38808" w14:textId="77777777" w:rsidR="006B6FC7" w:rsidRPr="006B6FC7" w:rsidRDefault="006B6FC7" w:rsidP="00F54FCC">
            <w:pPr>
              <w:spacing w:line="276" w:lineRule="auto"/>
              <w:jc w:val="center"/>
              <w:rPr>
                <w:rFonts w:ascii="Arial" w:hAnsi="Arial" w:cs="Arial"/>
                <w:b/>
                <w:i/>
                <w:iCs/>
              </w:rPr>
            </w:pPr>
          </w:p>
        </w:tc>
        <w:tc>
          <w:tcPr>
            <w:tcW w:w="705" w:type="dxa"/>
            <w:hideMark/>
          </w:tcPr>
          <w:p w14:paraId="70B66E60" w14:textId="77777777" w:rsidR="006B6FC7" w:rsidRPr="006B6FC7" w:rsidRDefault="006B6FC7" w:rsidP="00F54FCC">
            <w:pPr>
              <w:spacing w:line="276" w:lineRule="auto"/>
              <w:jc w:val="center"/>
              <w:rPr>
                <w:rFonts w:ascii="Arial" w:hAnsi="Arial" w:cs="Arial"/>
                <w:b/>
              </w:rPr>
            </w:pPr>
            <w:r w:rsidRPr="006B6FC7">
              <w:rPr>
                <w:rFonts w:ascii="Arial" w:hAnsi="Arial" w:cs="Arial"/>
                <w:b/>
              </w:rPr>
              <w:t>N</w:t>
            </w:r>
          </w:p>
        </w:tc>
        <w:tc>
          <w:tcPr>
            <w:tcW w:w="1245" w:type="dxa"/>
            <w:hideMark/>
          </w:tcPr>
          <w:p w14:paraId="21B5400E" w14:textId="77777777" w:rsidR="006B6FC7" w:rsidRPr="006B6FC7" w:rsidRDefault="006B6FC7" w:rsidP="00F54FCC">
            <w:pPr>
              <w:spacing w:line="276" w:lineRule="auto"/>
              <w:jc w:val="center"/>
              <w:rPr>
                <w:rFonts w:ascii="Arial" w:hAnsi="Arial" w:cs="Arial"/>
                <w:b/>
              </w:rPr>
            </w:pPr>
            <w:r w:rsidRPr="006B6FC7">
              <w:rPr>
                <w:rFonts w:ascii="Arial" w:hAnsi="Arial" w:cs="Arial"/>
                <w:b/>
              </w:rPr>
              <w:t>Minimum</w:t>
            </w:r>
          </w:p>
        </w:tc>
        <w:tc>
          <w:tcPr>
            <w:tcW w:w="1290" w:type="dxa"/>
            <w:hideMark/>
          </w:tcPr>
          <w:p w14:paraId="41671135" w14:textId="77777777" w:rsidR="006B6FC7" w:rsidRPr="006B6FC7" w:rsidRDefault="006B6FC7" w:rsidP="00F54FCC">
            <w:pPr>
              <w:spacing w:line="276" w:lineRule="auto"/>
              <w:jc w:val="center"/>
              <w:rPr>
                <w:rFonts w:ascii="Arial" w:hAnsi="Arial" w:cs="Arial"/>
                <w:b/>
              </w:rPr>
            </w:pPr>
            <w:r w:rsidRPr="006B6FC7">
              <w:rPr>
                <w:rFonts w:ascii="Arial" w:hAnsi="Arial" w:cs="Arial"/>
                <w:b/>
              </w:rPr>
              <w:t>Maximum</w:t>
            </w:r>
          </w:p>
        </w:tc>
        <w:tc>
          <w:tcPr>
            <w:tcW w:w="990" w:type="dxa"/>
            <w:hideMark/>
          </w:tcPr>
          <w:p w14:paraId="2A0BF9F8" w14:textId="77777777" w:rsidR="006B6FC7" w:rsidRPr="006B6FC7" w:rsidRDefault="006B6FC7" w:rsidP="00F54FCC">
            <w:pPr>
              <w:spacing w:line="276" w:lineRule="auto"/>
              <w:jc w:val="center"/>
              <w:rPr>
                <w:rFonts w:ascii="Arial" w:hAnsi="Arial" w:cs="Arial"/>
                <w:b/>
              </w:rPr>
            </w:pPr>
            <w:r w:rsidRPr="006B6FC7">
              <w:rPr>
                <w:rFonts w:ascii="Arial" w:hAnsi="Arial" w:cs="Arial"/>
                <w:b/>
              </w:rPr>
              <w:t>Mean</w:t>
            </w:r>
          </w:p>
        </w:tc>
        <w:tc>
          <w:tcPr>
            <w:tcW w:w="1545" w:type="dxa"/>
            <w:hideMark/>
          </w:tcPr>
          <w:p w14:paraId="28815F29" w14:textId="77777777" w:rsidR="006B6FC7" w:rsidRPr="006B6FC7" w:rsidRDefault="006B6FC7" w:rsidP="00F54FCC">
            <w:pPr>
              <w:spacing w:line="276" w:lineRule="auto"/>
              <w:jc w:val="center"/>
              <w:rPr>
                <w:rFonts w:ascii="Arial" w:hAnsi="Arial" w:cs="Arial"/>
                <w:b/>
              </w:rPr>
            </w:pPr>
            <w:r w:rsidRPr="006B6FC7">
              <w:rPr>
                <w:rFonts w:ascii="Arial" w:hAnsi="Arial" w:cs="Arial"/>
                <w:b/>
              </w:rPr>
              <w:t>Std. Deviation</w:t>
            </w:r>
          </w:p>
        </w:tc>
      </w:tr>
      <w:tr w:rsidR="006B6FC7" w:rsidRPr="006B6FC7" w14:paraId="64C3B047" w14:textId="77777777" w:rsidTr="006B6FC7">
        <w:trPr>
          <w:trHeight w:val="211"/>
        </w:trPr>
        <w:tc>
          <w:tcPr>
            <w:tcW w:w="2410" w:type="dxa"/>
            <w:hideMark/>
          </w:tcPr>
          <w:p w14:paraId="7077A923" w14:textId="77777777" w:rsidR="006B6FC7" w:rsidRPr="006B6FC7" w:rsidRDefault="006B6FC7" w:rsidP="00F54FCC">
            <w:pPr>
              <w:spacing w:line="276" w:lineRule="auto"/>
              <w:rPr>
                <w:rFonts w:ascii="Arial" w:hAnsi="Arial" w:cs="Arial"/>
              </w:rPr>
            </w:pPr>
            <w:r w:rsidRPr="006B6FC7">
              <w:rPr>
                <w:rFonts w:ascii="Arial" w:hAnsi="Arial" w:cs="Arial"/>
              </w:rPr>
              <w:t>PBV</w:t>
            </w:r>
          </w:p>
        </w:tc>
        <w:tc>
          <w:tcPr>
            <w:tcW w:w="705" w:type="dxa"/>
            <w:hideMark/>
          </w:tcPr>
          <w:p w14:paraId="39A08A84"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245" w:type="dxa"/>
            <w:hideMark/>
          </w:tcPr>
          <w:p w14:paraId="5EEECBE2" w14:textId="77777777" w:rsidR="006B6FC7" w:rsidRPr="006B6FC7" w:rsidRDefault="006B6FC7" w:rsidP="00F54FCC">
            <w:pPr>
              <w:spacing w:line="276" w:lineRule="auto"/>
              <w:jc w:val="right"/>
              <w:rPr>
                <w:rFonts w:ascii="Arial" w:hAnsi="Arial" w:cs="Arial"/>
              </w:rPr>
            </w:pPr>
            <w:r w:rsidRPr="006B6FC7">
              <w:rPr>
                <w:rFonts w:ascii="Arial" w:hAnsi="Arial" w:cs="Arial"/>
              </w:rPr>
              <w:t>-,37</w:t>
            </w:r>
          </w:p>
        </w:tc>
        <w:tc>
          <w:tcPr>
            <w:tcW w:w="1290" w:type="dxa"/>
            <w:hideMark/>
          </w:tcPr>
          <w:p w14:paraId="0A108674" w14:textId="77777777" w:rsidR="006B6FC7" w:rsidRPr="006B6FC7" w:rsidRDefault="006B6FC7" w:rsidP="00F54FCC">
            <w:pPr>
              <w:spacing w:line="276" w:lineRule="auto"/>
              <w:jc w:val="right"/>
              <w:rPr>
                <w:rFonts w:ascii="Arial" w:hAnsi="Arial" w:cs="Arial"/>
              </w:rPr>
            </w:pPr>
            <w:r w:rsidRPr="006B6FC7">
              <w:rPr>
                <w:rFonts w:ascii="Arial" w:hAnsi="Arial" w:cs="Arial"/>
              </w:rPr>
              <w:t>14.53</w:t>
            </w:r>
          </w:p>
        </w:tc>
        <w:tc>
          <w:tcPr>
            <w:tcW w:w="990" w:type="dxa"/>
            <w:hideMark/>
          </w:tcPr>
          <w:p w14:paraId="3702D274" w14:textId="77777777" w:rsidR="006B6FC7" w:rsidRPr="006B6FC7" w:rsidRDefault="006B6FC7" w:rsidP="00F54FCC">
            <w:pPr>
              <w:spacing w:line="276" w:lineRule="auto"/>
              <w:jc w:val="right"/>
              <w:rPr>
                <w:rFonts w:ascii="Arial" w:hAnsi="Arial" w:cs="Arial"/>
              </w:rPr>
            </w:pPr>
            <w:r w:rsidRPr="006B6FC7">
              <w:rPr>
                <w:rFonts w:ascii="Arial" w:hAnsi="Arial" w:cs="Arial"/>
              </w:rPr>
              <w:t>1.4975</w:t>
            </w:r>
          </w:p>
        </w:tc>
        <w:tc>
          <w:tcPr>
            <w:tcW w:w="1545" w:type="dxa"/>
            <w:hideMark/>
          </w:tcPr>
          <w:p w14:paraId="02507C78" w14:textId="77777777" w:rsidR="006B6FC7" w:rsidRPr="006B6FC7" w:rsidRDefault="006B6FC7" w:rsidP="00F54FCC">
            <w:pPr>
              <w:spacing w:line="276" w:lineRule="auto"/>
              <w:jc w:val="right"/>
              <w:rPr>
                <w:rFonts w:ascii="Arial" w:hAnsi="Arial" w:cs="Arial"/>
              </w:rPr>
            </w:pPr>
            <w:r w:rsidRPr="006B6FC7">
              <w:rPr>
                <w:rFonts w:ascii="Arial" w:hAnsi="Arial" w:cs="Arial"/>
              </w:rPr>
              <w:t>1.95362</w:t>
            </w:r>
          </w:p>
        </w:tc>
      </w:tr>
      <w:tr w:rsidR="006B6FC7" w:rsidRPr="006B6FC7" w14:paraId="098A0B3D" w14:textId="77777777" w:rsidTr="006B6FC7">
        <w:trPr>
          <w:trHeight w:val="211"/>
        </w:trPr>
        <w:tc>
          <w:tcPr>
            <w:tcW w:w="2410" w:type="dxa"/>
            <w:hideMark/>
          </w:tcPr>
          <w:p w14:paraId="424E85D6" w14:textId="77777777" w:rsidR="006B6FC7" w:rsidRPr="006B6FC7" w:rsidRDefault="006B6FC7" w:rsidP="00F54FCC">
            <w:pPr>
              <w:spacing w:line="276" w:lineRule="auto"/>
              <w:rPr>
                <w:rFonts w:ascii="Arial" w:hAnsi="Arial" w:cs="Arial"/>
              </w:rPr>
            </w:pPr>
            <w:proofErr w:type="spellStart"/>
            <w:r w:rsidRPr="006B6FC7">
              <w:rPr>
                <w:rFonts w:ascii="Arial" w:hAnsi="Arial" w:cs="Arial"/>
              </w:rPr>
              <w:t>esg</w:t>
            </w:r>
            <w:proofErr w:type="spellEnd"/>
            <w:r w:rsidRPr="006B6FC7">
              <w:rPr>
                <w:rFonts w:ascii="Arial" w:hAnsi="Arial" w:cs="Arial"/>
              </w:rPr>
              <w:t xml:space="preserve"> score</w:t>
            </w:r>
          </w:p>
        </w:tc>
        <w:tc>
          <w:tcPr>
            <w:tcW w:w="705" w:type="dxa"/>
            <w:hideMark/>
          </w:tcPr>
          <w:p w14:paraId="59713EC1"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245" w:type="dxa"/>
            <w:hideMark/>
          </w:tcPr>
          <w:p w14:paraId="68814E0C" w14:textId="77777777" w:rsidR="006B6FC7" w:rsidRPr="006B6FC7" w:rsidRDefault="006B6FC7" w:rsidP="00F54FCC">
            <w:pPr>
              <w:spacing w:line="276" w:lineRule="auto"/>
              <w:jc w:val="right"/>
              <w:rPr>
                <w:rFonts w:ascii="Arial" w:hAnsi="Arial" w:cs="Arial"/>
              </w:rPr>
            </w:pPr>
            <w:r w:rsidRPr="006B6FC7">
              <w:rPr>
                <w:rFonts w:ascii="Arial" w:hAnsi="Arial" w:cs="Arial"/>
              </w:rPr>
              <w:t>0.00</w:t>
            </w:r>
          </w:p>
        </w:tc>
        <w:tc>
          <w:tcPr>
            <w:tcW w:w="1290" w:type="dxa"/>
            <w:hideMark/>
          </w:tcPr>
          <w:p w14:paraId="439C1DB1" w14:textId="77777777" w:rsidR="006B6FC7" w:rsidRPr="006B6FC7" w:rsidRDefault="006B6FC7" w:rsidP="00F54FCC">
            <w:pPr>
              <w:spacing w:line="276" w:lineRule="auto"/>
              <w:jc w:val="right"/>
              <w:rPr>
                <w:rFonts w:ascii="Arial" w:hAnsi="Arial" w:cs="Arial"/>
              </w:rPr>
            </w:pPr>
            <w:r w:rsidRPr="006B6FC7">
              <w:rPr>
                <w:rFonts w:ascii="Arial" w:hAnsi="Arial" w:cs="Arial"/>
              </w:rPr>
              <w:t>1.00</w:t>
            </w:r>
          </w:p>
        </w:tc>
        <w:tc>
          <w:tcPr>
            <w:tcW w:w="990" w:type="dxa"/>
            <w:hideMark/>
          </w:tcPr>
          <w:p w14:paraId="572BE864" w14:textId="77777777" w:rsidR="006B6FC7" w:rsidRPr="006B6FC7" w:rsidRDefault="006B6FC7" w:rsidP="00F54FCC">
            <w:pPr>
              <w:spacing w:line="276" w:lineRule="auto"/>
              <w:jc w:val="right"/>
              <w:rPr>
                <w:rFonts w:ascii="Arial" w:hAnsi="Arial" w:cs="Arial"/>
              </w:rPr>
            </w:pPr>
            <w:r w:rsidRPr="006B6FC7">
              <w:rPr>
                <w:rFonts w:ascii="Arial" w:hAnsi="Arial" w:cs="Arial"/>
              </w:rPr>
              <w:t>,4808</w:t>
            </w:r>
          </w:p>
        </w:tc>
        <w:tc>
          <w:tcPr>
            <w:tcW w:w="1545" w:type="dxa"/>
            <w:hideMark/>
          </w:tcPr>
          <w:p w14:paraId="4A7F1D0B" w14:textId="77777777" w:rsidR="006B6FC7" w:rsidRPr="006B6FC7" w:rsidRDefault="006B6FC7" w:rsidP="00F54FCC">
            <w:pPr>
              <w:spacing w:line="276" w:lineRule="auto"/>
              <w:jc w:val="right"/>
              <w:rPr>
                <w:rFonts w:ascii="Arial" w:hAnsi="Arial" w:cs="Arial"/>
              </w:rPr>
            </w:pPr>
            <w:r w:rsidRPr="006B6FC7">
              <w:rPr>
                <w:rFonts w:ascii="Arial" w:hAnsi="Arial" w:cs="Arial"/>
              </w:rPr>
              <w:t>,21478</w:t>
            </w:r>
          </w:p>
        </w:tc>
      </w:tr>
      <w:tr w:rsidR="006B6FC7" w:rsidRPr="006B6FC7" w14:paraId="4DF28E93" w14:textId="77777777" w:rsidTr="006B6FC7">
        <w:trPr>
          <w:trHeight w:val="204"/>
        </w:trPr>
        <w:tc>
          <w:tcPr>
            <w:tcW w:w="2410" w:type="dxa"/>
            <w:hideMark/>
          </w:tcPr>
          <w:p w14:paraId="0FDDC747" w14:textId="77777777" w:rsidR="006B6FC7" w:rsidRPr="006B6FC7" w:rsidRDefault="006B6FC7" w:rsidP="00F54FCC">
            <w:pPr>
              <w:spacing w:line="276" w:lineRule="auto"/>
              <w:rPr>
                <w:rFonts w:ascii="Arial" w:hAnsi="Arial" w:cs="Arial"/>
              </w:rPr>
            </w:pPr>
            <w:r w:rsidRPr="006B6FC7">
              <w:rPr>
                <w:rFonts w:ascii="Arial" w:hAnsi="Arial" w:cs="Arial"/>
              </w:rPr>
              <w:t>age</w:t>
            </w:r>
          </w:p>
        </w:tc>
        <w:tc>
          <w:tcPr>
            <w:tcW w:w="705" w:type="dxa"/>
            <w:hideMark/>
          </w:tcPr>
          <w:p w14:paraId="4A32B766"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245" w:type="dxa"/>
            <w:hideMark/>
          </w:tcPr>
          <w:p w14:paraId="16B29E45" w14:textId="77777777" w:rsidR="006B6FC7" w:rsidRPr="006B6FC7" w:rsidRDefault="006B6FC7" w:rsidP="00F54FCC">
            <w:pPr>
              <w:spacing w:line="276" w:lineRule="auto"/>
              <w:jc w:val="right"/>
              <w:rPr>
                <w:rFonts w:ascii="Arial" w:hAnsi="Arial" w:cs="Arial"/>
              </w:rPr>
            </w:pPr>
            <w:r w:rsidRPr="006B6FC7">
              <w:rPr>
                <w:rFonts w:ascii="Arial" w:hAnsi="Arial" w:cs="Arial"/>
              </w:rPr>
              <w:t>0</w:t>
            </w:r>
          </w:p>
        </w:tc>
        <w:tc>
          <w:tcPr>
            <w:tcW w:w="1290" w:type="dxa"/>
            <w:hideMark/>
          </w:tcPr>
          <w:p w14:paraId="5D6E8B37" w14:textId="77777777" w:rsidR="006B6FC7" w:rsidRPr="006B6FC7" w:rsidRDefault="006B6FC7" w:rsidP="00F54FCC">
            <w:pPr>
              <w:spacing w:line="276" w:lineRule="auto"/>
              <w:jc w:val="right"/>
              <w:rPr>
                <w:rFonts w:ascii="Arial" w:hAnsi="Arial" w:cs="Arial"/>
              </w:rPr>
            </w:pPr>
            <w:r w:rsidRPr="006B6FC7">
              <w:rPr>
                <w:rFonts w:ascii="Arial" w:hAnsi="Arial" w:cs="Arial"/>
              </w:rPr>
              <w:t>32</w:t>
            </w:r>
          </w:p>
        </w:tc>
        <w:tc>
          <w:tcPr>
            <w:tcW w:w="990" w:type="dxa"/>
            <w:hideMark/>
          </w:tcPr>
          <w:p w14:paraId="74DFA820" w14:textId="77777777" w:rsidR="006B6FC7" w:rsidRPr="006B6FC7" w:rsidRDefault="006B6FC7" w:rsidP="00F54FCC">
            <w:pPr>
              <w:spacing w:line="276" w:lineRule="auto"/>
              <w:jc w:val="right"/>
              <w:rPr>
                <w:rFonts w:ascii="Arial" w:hAnsi="Arial" w:cs="Arial"/>
              </w:rPr>
            </w:pPr>
            <w:r w:rsidRPr="006B6FC7">
              <w:rPr>
                <w:rFonts w:ascii="Arial" w:hAnsi="Arial" w:cs="Arial"/>
              </w:rPr>
              <w:t>12.33</w:t>
            </w:r>
          </w:p>
        </w:tc>
        <w:tc>
          <w:tcPr>
            <w:tcW w:w="1545" w:type="dxa"/>
            <w:hideMark/>
          </w:tcPr>
          <w:p w14:paraId="4341CA16" w14:textId="77777777" w:rsidR="006B6FC7" w:rsidRPr="006B6FC7" w:rsidRDefault="006B6FC7" w:rsidP="00F54FCC">
            <w:pPr>
              <w:spacing w:line="276" w:lineRule="auto"/>
              <w:jc w:val="right"/>
              <w:rPr>
                <w:rFonts w:ascii="Arial" w:hAnsi="Arial" w:cs="Arial"/>
              </w:rPr>
            </w:pPr>
            <w:r w:rsidRPr="006B6FC7">
              <w:rPr>
                <w:rFonts w:ascii="Arial" w:hAnsi="Arial" w:cs="Arial"/>
              </w:rPr>
              <w:t>9,102</w:t>
            </w:r>
          </w:p>
        </w:tc>
      </w:tr>
      <w:tr w:rsidR="006B6FC7" w:rsidRPr="006B6FC7" w14:paraId="0863AF55" w14:textId="77777777" w:rsidTr="006B6FC7">
        <w:trPr>
          <w:trHeight w:val="204"/>
        </w:trPr>
        <w:tc>
          <w:tcPr>
            <w:tcW w:w="2410" w:type="dxa"/>
            <w:hideMark/>
          </w:tcPr>
          <w:p w14:paraId="6D547C69" w14:textId="77777777" w:rsidR="006B6FC7" w:rsidRPr="006B6FC7" w:rsidRDefault="006B6FC7" w:rsidP="00F54FCC">
            <w:pPr>
              <w:spacing w:line="276" w:lineRule="auto"/>
              <w:rPr>
                <w:rFonts w:ascii="Arial" w:hAnsi="Arial" w:cs="Arial"/>
              </w:rPr>
            </w:pPr>
            <w:r w:rsidRPr="006B6FC7">
              <w:rPr>
                <w:rFonts w:ascii="Arial" w:hAnsi="Arial" w:cs="Arial"/>
              </w:rPr>
              <w:t>DER</w:t>
            </w:r>
          </w:p>
        </w:tc>
        <w:tc>
          <w:tcPr>
            <w:tcW w:w="705" w:type="dxa"/>
            <w:hideMark/>
          </w:tcPr>
          <w:p w14:paraId="5D35AE45"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245" w:type="dxa"/>
            <w:hideMark/>
          </w:tcPr>
          <w:p w14:paraId="6F6B7D15" w14:textId="77777777" w:rsidR="006B6FC7" w:rsidRPr="006B6FC7" w:rsidRDefault="006B6FC7" w:rsidP="00F54FCC">
            <w:pPr>
              <w:spacing w:line="276" w:lineRule="auto"/>
              <w:jc w:val="right"/>
              <w:rPr>
                <w:rFonts w:ascii="Arial" w:hAnsi="Arial" w:cs="Arial"/>
              </w:rPr>
            </w:pPr>
            <w:r w:rsidRPr="006B6FC7">
              <w:rPr>
                <w:rFonts w:ascii="Arial" w:hAnsi="Arial" w:cs="Arial"/>
              </w:rPr>
              <w:t>-10.31</w:t>
            </w:r>
          </w:p>
        </w:tc>
        <w:tc>
          <w:tcPr>
            <w:tcW w:w="1290" w:type="dxa"/>
            <w:hideMark/>
          </w:tcPr>
          <w:p w14:paraId="09AA7DAD" w14:textId="77777777" w:rsidR="006B6FC7" w:rsidRPr="006B6FC7" w:rsidRDefault="006B6FC7" w:rsidP="00F54FCC">
            <w:pPr>
              <w:spacing w:line="276" w:lineRule="auto"/>
              <w:jc w:val="right"/>
              <w:rPr>
                <w:rFonts w:ascii="Arial" w:hAnsi="Arial" w:cs="Arial"/>
              </w:rPr>
            </w:pPr>
            <w:r w:rsidRPr="006B6FC7">
              <w:rPr>
                <w:rFonts w:ascii="Arial" w:hAnsi="Arial" w:cs="Arial"/>
              </w:rPr>
              <w:t>45.52</w:t>
            </w:r>
          </w:p>
        </w:tc>
        <w:tc>
          <w:tcPr>
            <w:tcW w:w="990" w:type="dxa"/>
            <w:hideMark/>
          </w:tcPr>
          <w:p w14:paraId="6CA410AA" w14:textId="77777777" w:rsidR="006B6FC7" w:rsidRPr="006B6FC7" w:rsidRDefault="006B6FC7" w:rsidP="00F54FCC">
            <w:pPr>
              <w:spacing w:line="276" w:lineRule="auto"/>
              <w:jc w:val="right"/>
              <w:rPr>
                <w:rFonts w:ascii="Arial" w:hAnsi="Arial" w:cs="Arial"/>
              </w:rPr>
            </w:pPr>
            <w:r w:rsidRPr="006B6FC7">
              <w:rPr>
                <w:rFonts w:ascii="Arial" w:hAnsi="Arial" w:cs="Arial"/>
              </w:rPr>
              <w:t>1.5540</w:t>
            </w:r>
          </w:p>
        </w:tc>
        <w:tc>
          <w:tcPr>
            <w:tcW w:w="1545" w:type="dxa"/>
            <w:hideMark/>
          </w:tcPr>
          <w:p w14:paraId="6D203A26" w14:textId="77777777" w:rsidR="006B6FC7" w:rsidRPr="006B6FC7" w:rsidRDefault="006B6FC7" w:rsidP="00F54FCC">
            <w:pPr>
              <w:spacing w:line="276" w:lineRule="auto"/>
              <w:jc w:val="right"/>
              <w:rPr>
                <w:rFonts w:ascii="Arial" w:hAnsi="Arial" w:cs="Arial"/>
              </w:rPr>
            </w:pPr>
            <w:r w:rsidRPr="006B6FC7">
              <w:rPr>
                <w:rFonts w:ascii="Arial" w:hAnsi="Arial" w:cs="Arial"/>
              </w:rPr>
              <w:t>3,37110</w:t>
            </w:r>
          </w:p>
        </w:tc>
      </w:tr>
      <w:tr w:rsidR="006B6FC7" w:rsidRPr="006B6FC7" w14:paraId="265CEB0B" w14:textId="77777777" w:rsidTr="006B6FC7">
        <w:trPr>
          <w:trHeight w:val="204"/>
        </w:trPr>
        <w:tc>
          <w:tcPr>
            <w:tcW w:w="2410" w:type="dxa"/>
            <w:hideMark/>
          </w:tcPr>
          <w:p w14:paraId="7349F62A" w14:textId="77777777" w:rsidR="006B6FC7" w:rsidRPr="006B6FC7" w:rsidRDefault="006B6FC7" w:rsidP="00F54FCC">
            <w:pPr>
              <w:spacing w:line="276" w:lineRule="auto"/>
              <w:rPr>
                <w:rFonts w:ascii="Arial" w:hAnsi="Arial" w:cs="Arial"/>
              </w:rPr>
            </w:pPr>
            <w:r w:rsidRPr="006B6FC7">
              <w:rPr>
                <w:rFonts w:ascii="Arial" w:hAnsi="Arial" w:cs="Arial"/>
              </w:rPr>
              <w:t>growth</w:t>
            </w:r>
          </w:p>
        </w:tc>
        <w:tc>
          <w:tcPr>
            <w:tcW w:w="705" w:type="dxa"/>
            <w:hideMark/>
          </w:tcPr>
          <w:p w14:paraId="7775A27D"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245" w:type="dxa"/>
            <w:hideMark/>
          </w:tcPr>
          <w:p w14:paraId="76E79190" w14:textId="77777777" w:rsidR="006B6FC7" w:rsidRPr="006B6FC7" w:rsidRDefault="006B6FC7" w:rsidP="00F54FCC">
            <w:pPr>
              <w:spacing w:line="276" w:lineRule="auto"/>
              <w:jc w:val="right"/>
              <w:rPr>
                <w:rFonts w:ascii="Arial" w:hAnsi="Arial" w:cs="Arial"/>
              </w:rPr>
            </w:pPr>
            <w:r w:rsidRPr="006B6FC7">
              <w:rPr>
                <w:rFonts w:ascii="Arial" w:hAnsi="Arial" w:cs="Arial"/>
              </w:rPr>
              <w:t>-,75</w:t>
            </w:r>
          </w:p>
        </w:tc>
        <w:tc>
          <w:tcPr>
            <w:tcW w:w="1290" w:type="dxa"/>
            <w:hideMark/>
          </w:tcPr>
          <w:p w14:paraId="2CC840C4" w14:textId="77777777" w:rsidR="006B6FC7" w:rsidRPr="006B6FC7" w:rsidRDefault="006B6FC7" w:rsidP="00F54FCC">
            <w:pPr>
              <w:spacing w:line="276" w:lineRule="auto"/>
              <w:jc w:val="right"/>
              <w:rPr>
                <w:rFonts w:ascii="Arial" w:hAnsi="Arial" w:cs="Arial"/>
              </w:rPr>
            </w:pPr>
            <w:r w:rsidRPr="006B6FC7">
              <w:rPr>
                <w:rFonts w:ascii="Arial" w:hAnsi="Arial" w:cs="Arial"/>
              </w:rPr>
              <w:t>9.49</w:t>
            </w:r>
          </w:p>
        </w:tc>
        <w:tc>
          <w:tcPr>
            <w:tcW w:w="990" w:type="dxa"/>
            <w:hideMark/>
          </w:tcPr>
          <w:p w14:paraId="196977FF" w14:textId="77777777" w:rsidR="006B6FC7" w:rsidRPr="006B6FC7" w:rsidRDefault="006B6FC7" w:rsidP="00F54FCC">
            <w:pPr>
              <w:spacing w:line="276" w:lineRule="auto"/>
              <w:jc w:val="right"/>
              <w:rPr>
                <w:rFonts w:ascii="Arial" w:hAnsi="Arial" w:cs="Arial"/>
              </w:rPr>
            </w:pPr>
            <w:r w:rsidRPr="006B6FC7">
              <w:rPr>
                <w:rFonts w:ascii="Arial" w:hAnsi="Arial" w:cs="Arial"/>
              </w:rPr>
              <w:t>,3240</w:t>
            </w:r>
          </w:p>
        </w:tc>
        <w:tc>
          <w:tcPr>
            <w:tcW w:w="1545" w:type="dxa"/>
            <w:hideMark/>
          </w:tcPr>
          <w:p w14:paraId="7E2D2E7A" w14:textId="77777777" w:rsidR="006B6FC7" w:rsidRPr="006B6FC7" w:rsidRDefault="006B6FC7" w:rsidP="00F54FCC">
            <w:pPr>
              <w:spacing w:line="276" w:lineRule="auto"/>
              <w:jc w:val="right"/>
              <w:rPr>
                <w:rFonts w:ascii="Arial" w:hAnsi="Arial" w:cs="Arial"/>
              </w:rPr>
            </w:pPr>
            <w:r w:rsidRPr="006B6FC7">
              <w:rPr>
                <w:rFonts w:ascii="Arial" w:hAnsi="Arial" w:cs="Arial"/>
              </w:rPr>
              <w:t>,93851</w:t>
            </w:r>
          </w:p>
        </w:tc>
      </w:tr>
      <w:tr w:rsidR="006B6FC7" w:rsidRPr="006B6FC7" w14:paraId="2A45888C" w14:textId="77777777" w:rsidTr="006B6FC7">
        <w:trPr>
          <w:trHeight w:val="204"/>
        </w:trPr>
        <w:tc>
          <w:tcPr>
            <w:tcW w:w="2410" w:type="dxa"/>
            <w:hideMark/>
          </w:tcPr>
          <w:p w14:paraId="55B1CE0D" w14:textId="77777777" w:rsidR="006B6FC7" w:rsidRPr="006B6FC7" w:rsidRDefault="006B6FC7" w:rsidP="00F54FCC">
            <w:pPr>
              <w:spacing w:line="276" w:lineRule="auto"/>
              <w:rPr>
                <w:rFonts w:ascii="Arial" w:hAnsi="Arial" w:cs="Arial"/>
              </w:rPr>
            </w:pPr>
            <w:r w:rsidRPr="006B6FC7">
              <w:rPr>
                <w:rFonts w:ascii="Arial" w:hAnsi="Arial" w:cs="Arial"/>
              </w:rPr>
              <w:t>industry</w:t>
            </w:r>
          </w:p>
        </w:tc>
        <w:tc>
          <w:tcPr>
            <w:tcW w:w="705" w:type="dxa"/>
            <w:hideMark/>
          </w:tcPr>
          <w:p w14:paraId="213AA663"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245" w:type="dxa"/>
            <w:hideMark/>
          </w:tcPr>
          <w:p w14:paraId="620DD963" w14:textId="77777777" w:rsidR="006B6FC7" w:rsidRPr="006B6FC7" w:rsidRDefault="006B6FC7" w:rsidP="00F54FCC">
            <w:pPr>
              <w:spacing w:line="276" w:lineRule="auto"/>
              <w:jc w:val="right"/>
              <w:rPr>
                <w:rFonts w:ascii="Arial" w:hAnsi="Arial" w:cs="Arial"/>
              </w:rPr>
            </w:pPr>
            <w:r w:rsidRPr="006B6FC7">
              <w:rPr>
                <w:rFonts w:ascii="Arial" w:hAnsi="Arial" w:cs="Arial"/>
              </w:rPr>
              <w:t>0</w:t>
            </w:r>
          </w:p>
        </w:tc>
        <w:tc>
          <w:tcPr>
            <w:tcW w:w="1290" w:type="dxa"/>
            <w:hideMark/>
          </w:tcPr>
          <w:p w14:paraId="4859985C" w14:textId="77777777" w:rsidR="006B6FC7" w:rsidRPr="006B6FC7" w:rsidRDefault="006B6FC7" w:rsidP="00F54FCC">
            <w:pPr>
              <w:spacing w:line="276" w:lineRule="auto"/>
              <w:jc w:val="right"/>
              <w:rPr>
                <w:rFonts w:ascii="Arial" w:hAnsi="Arial" w:cs="Arial"/>
              </w:rPr>
            </w:pPr>
            <w:r w:rsidRPr="006B6FC7">
              <w:rPr>
                <w:rFonts w:ascii="Arial" w:hAnsi="Arial" w:cs="Arial"/>
              </w:rPr>
              <w:t>1</w:t>
            </w:r>
          </w:p>
        </w:tc>
        <w:tc>
          <w:tcPr>
            <w:tcW w:w="990" w:type="dxa"/>
            <w:hideMark/>
          </w:tcPr>
          <w:p w14:paraId="3036E2C1" w14:textId="77777777" w:rsidR="006B6FC7" w:rsidRPr="006B6FC7" w:rsidRDefault="006B6FC7" w:rsidP="00F54FCC">
            <w:pPr>
              <w:spacing w:line="276" w:lineRule="auto"/>
              <w:jc w:val="right"/>
              <w:rPr>
                <w:rFonts w:ascii="Arial" w:hAnsi="Arial" w:cs="Arial"/>
              </w:rPr>
            </w:pPr>
            <w:r w:rsidRPr="006B6FC7">
              <w:rPr>
                <w:rFonts w:ascii="Arial" w:hAnsi="Arial" w:cs="Arial"/>
              </w:rPr>
              <w:t>,26</w:t>
            </w:r>
          </w:p>
        </w:tc>
        <w:tc>
          <w:tcPr>
            <w:tcW w:w="1545" w:type="dxa"/>
            <w:hideMark/>
          </w:tcPr>
          <w:p w14:paraId="44A5DE14" w14:textId="77777777" w:rsidR="006B6FC7" w:rsidRPr="006B6FC7" w:rsidRDefault="006B6FC7" w:rsidP="00F54FCC">
            <w:pPr>
              <w:spacing w:line="276" w:lineRule="auto"/>
              <w:jc w:val="right"/>
              <w:rPr>
                <w:rFonts w:ascii="Arial" w:hAnsi="Arial" w:cs="Arial"/>
              </w:rPr>
            </w:pPr>
            <w:r w:rsidRPr="006B6FC7">
              <w:rPr>
                <w:rFonts w:ascii="Arial" w:hAnsi="Arial" w:cs="Arial"/>
              </w:rPr>
              <w:t>,438</w:t>
            </w:r>
          </w:p>
        </w:tc>
      </w:tr>
      <w:tr w:rsidR="006B6FC7" w:rsidRPr="006B6FC7" w14:paraId="16140BEF" w14:textId="77777777" w:rsidTr="006B6FC7">
        <w:trPr>
          <w:trHeight w:val="409"/>
        </w:trPr>
        <w:tc>
          <w:tcPr>
            <w:tcW w:w="2410" w:type="dxa"/>
            <w:hideMark/>
          </w:tcPr>
          <w:p w14:paraId="4894302F" w14:textId="77777777" w:rsidR="006B6FC7" w:rsidRPr="006B6FC7" w:rsidRDefault="006B6FC7" w:rsidP="00F54FCC">
            <w:pPr>
              <w:spacing w:line="276" w:lineRule="auto"/>
              <w:rPr>
                <w:rFonts w:ascii="Arial" w:hAnsi="Arial" w:cs="Arial"/>
              </w:rPr>
            </w:pPr>
            <w:r w:rsidRPr="006B6FC7">
              <w:rPr>
                <w:rFonts w:ascii="Arial" w:hAnsi="Arial" w:cs="Arial"/>
              </w:rPr>
              <w:t>Valid N (listwise)</w:t>
            </w:r>
          </w:p>
        </w:tc>
        <w:tc>
          <w:tcPr>
            <w:tcW w:w="705" w:type="dxa"/>
            <w:hideMark/>
          </w:tcPr>
          <w:p w14:paraId="7809664B"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245" w:type="dxa"/>
            <w:hideMark/>
          </w:tcPr>
          <w:p w14:paraId="1BA648AE"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1290" w:type="dxa"/>
            <w:hideMark/>
          </w:tcPr>
          <w:p w14:paraId="553EF13C"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990" w:type="dxa"/>
            <w:hideMark/>
          </w:tcPr>
          <w:p w14:paraId="6AB96336"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1545" w:type="dxa"/>
            <w:hideMark/>
          </w:tcPr>
          <w:p w14:paraId="651FF558"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r>
    </w:tbl>
    <w:p w14:paraId="1A1A96EF"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2B89E63D" w14:textId="77777777" w:rsidR="006B6FC7" w:rsidRPr="006B6FC7" w:rsidRDefault="006B6FC7" w:rsidP="006B6FC7">
      <w:pPr>
        <w:jc w:val="both"/>
        <w:rPr>
          <w:rFonts w:ascii="Arial" w:hAnsi="Arial" w:cs="Arial"/>
          <w:b/>
        </w:rPr>
      </w:pPr>
      <w:r w:rsidRPr="006B6FC7">
        <w:rPr>
          <w:rFonts w:ascii="Arial" w:hAnsi="Arial" w:cs="Arial"/>
          <w:b/>
        </w:rPr>
        <w:t>Hypothesis Testing</w:t>
      </w:r>
    </w:p>
    <w:tbl>
      <w:tblPr>
        <w:tblW w:w="8154"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540"/>
        <w:gridCol w:w="1728"/>
        <w:gridCol w:w="1843"/>
        <w:gridCol w:w="709"/>
        <w:gridCol w:w="1620"/>
        <w:gridCol w:w="720"/>
        <w:gridCol w:w="964"/>
        <w:gridCol w:w="30"/>
      </w:tblGrid>
      <w:tr w:rsidR="006B6FC7" w:rsidRPr="006B6FC7" w14:paraId="4D56133B" w14:textId="77777777" w:rsidTr="006B6FC7">
        <w:trPr>
          <w:gridAfter w:val="1"/>
          <w:wAfter w:w="30" w:type="dxa"/>
          <w:trHeight w:val="300"/>
        </w:trPr>
        <w:tc>
          <w:tcPr>
            <w:tcW w:w="8124" w:type="dxa"/>
            <w:gridSpan w:val="7"/>
            <w:tcBorders>
              <w:bottom w:val="single" w:sz="12" w:space="0" w:color="000000"/>
            </w:tcBorders>
            <w:hideMark/>
          </w:tcPr>
          <w:p w14:paraId="645288C6" w14:textId="77777777" w:rsidR="006B6FC7" w:rsidRPr="006B6FC7" w:rsidRDefault="006B6FC7" w:rsidP="00F54FCC">
            <w:pPr>
              <w:rPr>
                <w:rFonts w:ascii="Arial" w:hAnsi="Arial" w:cs="Arial"/>
                <w:b/>
                <w:bCs/>
                <w:color w:val="000000"/>
              </w:rPr>
            </w:pPr>
            <w:r w:rsidRPr="006B6FC7">
              <w:rPr>
                <w:rFonts w:ascii="Arial" w:hAnsi="Arial" w:cs="Arial"/>
                <w:b/>
                <w:bCs/>
                <w:color w:val="000000"/>
              </w:rPr>
              <w:t>Table 11. F Test</w:t>
            </w:r>
          </w:p>
        </w:tc>
      </w:tr>
      <w:tr w:rsidR="006B6FC7" w:rsidRPr="006B6FC7" w14:paraId="1F587EE2" w14:textId="77777777" w:rsidTr="006B6FC7">
        <w:trPr>
          <w:gridAfter w:val="1"/>
          <w:wAfter w:w="30" w:type="dxa"/>
          <w:trHeight w:val="300"/>
        </w:trPr>
        <w:tc>
          <w:tcPr>
            <w:tcW w:w="8124" w:type="dxa"/>
            <w:gridSpan w:val="7"/>
            <w:hideMark/>
          </w:tcPr>
          <w:p w14:paraId="7A2CAF92" w14:textId="77777777" w:rsidR="006B6FC7" w:rsidRPr="006B6FC7" w:rsidRDefault="006B6FC7" w:rsidP="00F54FCC">
            <w:pPr>
              <w:jc w:val="center"/>
              <w:rPr>
                <w:rFonts w:ascii="Arial" w:hAnsi="Arial" w:cs="Arial"/>
                <w:color w:val="000000"/>
              </w:rPr>
            </w:pPr>
            <w:r w:rsidRPr="006B6FC7">
              <w:rPr>
                <w:rFonts w:ascii="Arial" w:hAnsi="Arial" w:cs="Arial"/>
                <w:color w:val="000000"/>
              </w:rPr>
              <w:t xml:space="preserve">ANOVA </w:t>
            </w:r>
            <w:r w:rsidRPr="006B6FC7">
              <w:rPr>
                <w:rFonts w:ascii="Arial" w:hAnsi="Arial" w:cs="Arial"/>
                <w:color w:val="000000"/>
                <w:vertAlign w:val="superscript"/>
              </w:rPr>
              <w:t>a</w:t>
            </w:r>
          </w:p>
        </w:tc>
      </w:tr>
      <w:tr w:rsidR="006B6FC7" w:rsidRPr="006B6FC7" w14:paraId="62DA6399" w14:textId="77777777" w:rsidTr="006B6FC7">
        <w:trPr>
          <w:trHeight w:val="300"/>
        </w:trPr>
        <w:tc>
          <w:tcPr>
            <w:tcW w:w="2268" w:type="dxa"/>
            <w:gridSpan w:val="2"/>
            <w:hideMark/>
          </w:tcPr>
          <w:p w14:paraId="21086DE8"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Model</w:t>
            </w:r>
          </w:p>
        </w:tc>
        <w:tc>
          <w:tcPr>
            <w:tcW w:w="1843" w:type="dxa"/>
            <w:hideMark/>
          </w:tcPr>
          <w:p w14:paraId="5B6D33E6"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Sum of Squares</w:t>
            </w:r>
          </w:p>
        </w:tc>
        <w:tc>
          <w:tcPr>
            <w:tcW w:w="709" w:type="dxa"/>
            <w:hideMark/>
          </w:tcPr>
          <w:p w14:paraId="076CD780"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df</w:t>
            </w:r>
          </w:p>
        </w:tc>
        <w:tc>
          <w:tcPr>
            <w:tcW w:w="1620" w:type="dxa"/>
            <w:hideMark/>
          </w:tcPr>
          <w:p w14:paraId="7593EDEA"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Mean Square</w:t>
            </w:r>
          </w:p>
        </w:tc>
        <w:tc>
          <w:tcPr>
            <w:tcW w:w="720" w:type="dxa"/>
            <w:hideMark/>
          </w:tcPr>
          <w:p w14:paraId="471B0E7D"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F</w:t>
            </w:r>
          </w:p>
        </w:tc>
        <w:tc>
          <w:tcPr>
            <w:tcW w:w="994" w:type="dxa"/>
            <w:gridSpan w:val="2"/>
            <w:hideMark/>
          </w:tcPr>
          <w:p w14:paraId="74079B36"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Sig.</w:t>
            </w:r>
          </w:p>
        </w:tc>
      </w:tr>
      <w:tr w:rsidR="006B6FC7" w:rsidRPr="006B6FC7" w14:paraId="7F7B2CC2" w14:textId="77777777" w:rsidTr="006B6FC7">
        <w:trPr>
          <w:trHeight w:val="300"/>
        </w:trPr>
        <w:tc>
          <w:tcPr>
            <w:tcW w:w="540" w:type="dxa"/>
            <w:vMerge w:val="restart"/>
            <w:hideMark/>
          </w:tcPr>
          <w:p w14:paraId="6F2BBD85" w14:textId="77777777" w:rsidR="006B6FC7" w:rsidRPr="006B6FC7" w:rsidRDefault="006B6FC7" w:rsidP="00F54FCC">
            <w:pPr>
              <w:jc w:val="center"/>
              <w:rPr>
                <w:rFonts w:ascii="Arial" w:hAnsi="Arial" w:cs="Arial"/>
                <w:color w:val="000000"/>
              </w:rPr>
            </w:pPr>
            <w:r w:rsidRPr="006B6FC7">
              <w:rPr>
                <w:rFonts w:ascii="Arial" w:hAnsi="Arial" w:cs="Arial"/>
                <w:color w:val="000000"/>
              </w:rPr>
              <w:t>1</w:t>
            </w:r>
          </w:p>
        </w:tc>
        <w:tc>
          <w:tcPr>
            <w:tcW w:w="1728" w:type="dxa"/>
            <w:hideMark/>
          </w:tcPr>
          <w:p w14:paraId="7C128874" w14:textId="77777777" w:rsidR="006B6FC7" w:rsidRPr="006B6FC7" w:rsidRDefault="006B6FC7" w:rsidP="00F54FCC">
            <w:pPr>
              <w:rPr>
                <w:rFonts w:ascii="Arial" w:hAnsi="Arial" w:cs="Arial"/>
                <w:color w:val="000000"/>
              </w:rPr>
            </w:pPr>
            <w:r w:rsidRPr="006B6FC7">
              <w:rPr>
                <w:rFonts w:ascii="Arial" w:hAnsi="Arial" w:cs="Arial"/>
                <w:color w:val="000000"/>
              </w:rPr>
              <w:t>Regression</w:t>
            </w:r>
          </w:p>
        </w:tc>
        <w:tc>
          <w:tcPr>
            <w:tcW w:w="1843" w:type="dxa"/>
            <w:hideMark/>
          </w:tcPr>
          <w:p w14:paraId="6E09D4FB" w14:textId="77777777" w:rsidR="006B6FC7" w:rsidRPr="006B6FC7" w:rsidRDefault="006B6FC7" w:rsidP="006B6FC7">
            <w:pPr>
              <w:ind w:left="-1063" w:firstLine="1063"/>
              <w:jc w:val="right"/>
              <w:rPr>
                <w:rFonts w:ascii="Arial" w:hAnsi="Arial" w:cs="Arial"/>
                <w:color w:val="000000"/>
              </w:rPr>
            </w:pPr>
            <w:r w:rsidRPr="006B6FC7">
              <w:rPr>
                <w:rFonts w:ascii="Arial" w:hAnsi="Arial" w:cs="Arial"/>
                <w:color w:val="000000"/>
              </w:rPr>
              <w:t>126,511</w:t>
            </w:r>
          </w:p>
        </w:tc>
        <w:tc>
          <w:tcPr>
            <w:tcW w:w="709" w:type="dxa"/>
            <w:hideMark/>
          </w:tcPr>
          <w:p w14:paraId="0A3C915B" w14:textId="77777777" w:rsidR="006B6FC7" w:rsidRPr="006B6FC7" w:rsidRDefault="006B6FC7" w:rsidP="00F54FCC">
            <w:pPr>
              <w:jc w:val="right"/>
              <w:rPr>
                <w:rFonts w:ascii="Arial" w:hAnsi="Arial" w:cs="Arial"/>
                <w:color w:val="000000"/>
              </w:rPr>
            </w:pPr>
            <w:r w:rsidRPr="006B6FC7">
              <w:rPr>
                <w:rFonts w:ascii="Arial" w:hAnsi="Arial" w:cs="Arial"/>
                <w:color w:val="000000"/>
              </w:rPr>
              <w:t>5</w:t>
            </w:r>
          </w:p>
        </w:tc>
        <w:tc>
          <w:tcPr>
            <w:tcW w:w="1620" w:type="dxa"/>
            <w:hideMark/>
          </w:tcPr>
          <w:p w14:paraId="50A10063" w14:textId="77777777" w:rsidR="006B6FC7" w:rsidRPr="006B6FC7" w:rsidRDefault="006B6FC7" w:rsidP="00F54FCC">
            <w:pPr>
              <w:jc w:val="right"/>
              <w:rPr>
                <w:rFonts w:ascii="Arial" w:hAnsi="Arial" w:cs="Arial"/>
                <w:color w:val="000000"/>
              </w:rPr>
            </w:pPr>
            <w:r w:rsidRPr="006B6FC7">
              <w:rPr>
                <w:rFonts w:ascii="Arial" w:hAnsi="Arial" w:cs="Arial"/>
                <w:color w:val="000000"/>
              </w:rPr>
              <w:t>25,302</w:t>
            </w:r>
          </w:p>
        </w:tc>
        <w:tc>
          <w:tcPr>
            <w:tcW w:w="720" w:type="dxa"/>
            <w:hideMark/>
          </w:tcPr>
          <w:p w14:paraId="4B98B5DF" w14:textId="77777777" w:rsidR="006B6FC7" w:rsidRPr="006B6FC7" w:rsidRDefault="006B6FC7" w:rsidP="00F54FCC">
            <w:pPr>
              <w:jc w:val="right"/>
              <w:rPr>
                <w:rFonts w:ascii="Arial" w:hAnsi="Arial" w:cs="Arial"/>
                <w:color w:val="000000"/>
              </w:rPr>
            </w:pPr>
            <w:r w:rsidRPr="006B6FC7">
              <w:rPr>
                <w:rFonts w:ascii="Arial" w:hAnsi="Arial" w:cs="Arial"/>
                <w:color w:val="000000"/>
              </w:rPr>
              <w:t>7,563</w:t>
            </w:r>
          </w:p>
        </w:tc>
        <w:tc>
          <w:tcPr>
            <w:tcW w:w="994" w:type="dxa"/>
            <w:gridSpan w:val="2"/>
            <w:hideMark/>
          </w:tcPr>
          <w:p w14:paraId="3C861908" w14:textId="77777777" w:rsidR="006B6FC7" w:rsidRPr="006B6FC7" w:rsidRDefault="006B6FC7" w:rsidP="00F54FCC">
            <w:pPr>
              <w:jc w:val="right"/>
              <w:rPr>
                <w:rFonts w:ascii="Arial" w:hAnsi="Arial" w:cs="Arial"/>
                <w:color w:val="000000"/>
              </w:rPr>
            </w:pPr>
            <w:r w:rsidRPr="006B6FC7">
              <w:rPr>
                <w:rFonts w:ascii="Arial" w:hAnsi="Arial" w:cs="Arial"/>
                <w:color w:val="000000"/>
              </w:rPr>
              <w:t>.000b</w:t>
            </w:r>
          </w:p>
        </w:tc>
      </w:tr>
      <w:tr w:rsidR="006B6FC7" w:rsidRPr="006B6FC7" w14:paraId="53C7D9FB" w14:textId="77777777" w:rsidTr="006B6FC7">
        <w:trPr>
          <w:trHeight w:val="300"/>
        </w:trPr>
        <w:tc>
          <w:tcPr>
            <w:tcW w:w="540" w:type="dxa"/>
            <w:vMerge/>
            <w:hideMark/>
          </w:tcPr>
          <w:p w14:paraId="3370FB0C" w14:textId="77777777" w:rsidR="006B6FC7" w:rsidRPr="006B6FC7" w:rsidRDefault="006B6FC7" w:rsidP="00F54FCC">
            <w:pPr>
              <w:rPr>
                <w:rFonts w:ascii="Arial" w:hAnsi="Arial" w:cs="Arial"/>
                <w:color w:val="000000"/>
                <w:lang w:val="en"/>
              </w:rPr>
            </w:pPr>
          </w:p>
        </w:tc>
        <w:tc>
          <w:tcPr>
            <w:tcW w:w="1728" w:type="dxa"/>
            <w:hideMark/>
          </w:tcPr>
          <w:p w14:paraId="105BDCD8" w14:textId="77777777" w:rsidR="006B6FC7" w:rsidRPr="006B6FC7" w:rsidRDefault="006B6FC7" w:rsidP="006B6FC7">
            <w:pPr>
              <w:ind w:right="986"/>
              <w:rPr>
                <w:rFonts w:ascii="Arial" w:hAnsi="Arial" w:cs="Arial"/>
                <w:color w:val="000000"/>
              </w:rPr>
            </w:pPr>
            <w:r w:rsidRPr="006B6FC7">
              <w:rPr>
                <w:rFonts w:ascii="Arial" w:hAnsi="Arial" w:cs="Arial"/>
                <w:color w:val="000000"/>
              </w:rPr>
              <w:t>Residual</w:t>
            </w:r>
          </w:p>
        </w:tc>
        <w:tc>
          <w:tcPr>
            <w:tcW w:w="1843" w:type="dxa"/>
            <w:hideMark/>
          </w:tcPr>
          <w:p w14:paraId="2F340A02" w14:textId="77777777" w:rsidR="006B6FC7" w:rsidRPr="006B6FC7" w:rsidRDefault="006B6FC7" w:rsidP="00F54FCC">
            <w:pPr>
              <w:jc w:val="right"/>
              <w:rPr>
                <w:rFonts w:ascii="Arial" w:hAnsi="Arial" w:cs="Arial"/>
                <w:color w:val="000000"/>
              </w:rPr>
            </w:pPr>
            <w:r w:rsidRPr="006B6FC7">
              <w:rPr>
                <w:rFonts w:ascii="Arial" w:hAnsi="Arial" w:cs="Arial"/>
                <w:color w:val="000000"/>
              </w:rPr>
              <w:t>762,763</w:t>
            </w:r>
          </w:p>
        </w:tc>
        <w:tc>
          <w:tcPr>
            <w:tcW w:w="709" w:type="dxa"/>
            <w:hideMark/>
          </w:tcPr>
          <w:p w14:paraId="7A70C9C3" w14:textId="77777777" w:rsidR="006B6FC7" w:rsidRPr="006B6FC7" w:rsidRDefault="006B6FC7" w:rsidP="00F54FCC">
            <w:pPr>
              <w:jc w:val="right"/>
              <w:rPr>
                <w:rFonts w:ascii="Arial" w:hAnsi="Arial" w:cs="Arial"/>
                <w:color w:val="000000"/>
              </w:rPr>
            </w:pPr>
            <w:r w:rsidRPr="006B6FC7">
              <w:rPr>
                <w:rFonts w:ascii="Arial" w:hAnsi="Arial" w:cs="Arial"/>
                <w:color w:val="000000"/>
              </w:rPr>
              <w:t>228</w:t>
            </w:r>
          </w:p>
        </w:tc>
        <w:tc>
          <w:tcPr>
            <w:tcW w:w="1620" w:type="dxa"/>
            <w:hideMark/>
          </w:tcPr>
          <w:p w14:paraId="53F93247" w14:textId="77777777" w:rsidR="006B6FC7" w:rsidRPr="006B6FC7" w:rsidRDefault="006B6FC7" w:rsidP="00F54FCC">
            <w:pPr>
              <w:jc w:val="right"/>
              <w:rPr>
                <w:rFonts w:ascii="Arial" w:hAnsi="Arial" w:cs="Arial"/>
                <w:color w:val="000000"/>
              </w:rPr>
            </w:pPr>
            <w:r w:rsidRPr="006B6FC7">
              <w:rPr>
                <w:rFonts w:ascii="Arial" w:hAnsi="Arial" w:cs="Arial"/>
                <w:color w:val="000000"/>
              </w:rPr>
              <w:t>3,345</w:t>
            </w:r>
          </w:p>
        </w:tc>
        <w:tc>
          <w:tcPr>
            <w:tcW w:w="720" w:type="dxa"/>
            <w:hideMark/>
          </w:tcPr>
          <w:p w14:paraId="1A0AB1FA" w14:textId="77777777" w:rsidR="006B6FC7" w:rsidRPr="006B6FC7" w:rsidRDefault="006B6FC7" w:rsidP="00F54FCC">
            <w:pPr>
              <w:rPr>
                <w:rFonts w:ascii="Arial" w:hAnsi="Arial" w:cs="Arial"/>
                <w:color w:val="000000"/>
              </w:rPr>
            </w:pPr>
          </w:p>
        </w:tc>
        <w:tc>
          <w:tcPr>
            <w:tcW w:w="994" w:type="dxa"/>
            <w:gridSpan w:val="2"/>
            <w:hideMark/>
          </w:tcPr>
          <w:p w14:paraId="275A71AE" w14:textId="77777777" w:rsidR="006B6FC7" w:rsidRPr="006B6FC7" w:rsidRDefault="006B6FC7" w:rsidP="00F54FCC">
            <w:pPr>
              <w:rPr>
                <w:rFonts w:ascii="Arial" w:hAnsi="Arial" w:cs="Arial"/>
                <w:color w:val="000000"/>
              </w:rPr>
            </w:pPr>
          </w:p>
        </w:tc>
      </w:tr>
      <w:tr w:rsidR="006B6FC7" w:rsidRPr="006B6FC7" w14:paraId="2001AD01" w14:textId="77777777" w:rsidTr="006B6FC7">
        <w:trPr>
          <w:trHeight w:val="300"/>
        </w:trPr>
        <w:tc>
          <w:tcPr>
            <w:tcW w:w="540" w:type="dxa"/>
            <w:vMerge/>
            <w:hideMark/>
          </w:tcPr>
          <w:p w14:paraId="35024DBF" w14:textId="77777777" w:rsidR="006B6FC7" w:rsidRPr="006B6FC7" w:rsidRDefault="006B6FC7" w:rsidP="00F54FCC">
            <w:pPr>
              <w:rPr>
                <w:rFonts w:ascii="Arial" w:hAnsi="Arial" w:cs="Arial"/>
                <w:color w:val="000000"/>
                <w:lang w:val="en"/>
              </w:rPr>
            </w:pPr>
          </w:p>
        </w:tc>
        <w:tc>
          <w:tcPr>
            <w:tcW w:w="1728" w:type="dxa"/>
            <w:hideMark/>
          </w:tcPr>
          <w:p w14:paraId="346D70E1" w14:textId="77777777" w:rsidR="006B6FC7" w:rsidRPr="006B6FC7" w:rsidRDefault="006B6FC7" w:rsidP="00F54FCC">
            <w:pPr>
              <w:rPr>
                <w:rFonts w:ascii="Arial" w:hAnsi="Arial" w:cs="Arial"/>
                <w:color w:val="000000"/>
                <w:lang w:val="en"/>
              </w:rPr>
            </w:pPr>
            <w:r w:rsidRPr="006B6FC7">
              <w:rPr>
                <w:rFonts w:ascii="Arial" w:hAnsi="Arial" w:cs="Arial"/>
                <w:color w:val="000000"/>
              </w:rPr>
              <w:t>Total</w:t>
            </w:r>
          </w:p>
        </w:tc>
        <w:tc>
          <w:tcPr>
            <w:tcW w:w="1843" w:type="dxa"/>
            <w:hideMark/>
          </w:tcPr>
          <w:p w14:paraId="65902F11" w14:textId="77777777" w:rsidR="006B6FC7" w:rsidRPr="006B6FC7" w:rsidRDefault="006B6FC7" w:rsidP="00F54FCC">
            <w:pPr>
              <w:jc w:val="right"/>
              <w:rPr>
                <w:rFonts w:ascii="Arial" w:hAnsi="Arial" w:cs="Arial"/>
                <w:color w:val="000000"/>
              </w:rPr>
            </w:pPr>
            <w:r w:rsidRPr="006B6FC7">
              <w:rPr>
                <w:rFonts w:ascii="Arial" w:hAnsi="Arial" w:cs="Arial"/>
                <w:color w:val="000000"/>
              </w:rPr>
              <w:t>889,274</w:t>
            </w:r>
          </w:p>
        </w:tc>
        <w:tc>
          <w:tcPr>
            <w:tcW w:w="709" w:type="dxa"/>
            <w:hideMark/>
          </w:tcPr>
          <w:p w14:paraId="676A9C61" w14:textId="77777777" w:rsidR="006B6FC7" w:rsidRPr="006B6FC7" w:rsidRDefault="006B6FC7" w:rsidP="00F54FCC">
            <w:pPr>
              <w:jc w:val="right"/>
              <w:rPr>
                <w:rFonts w:ascii="Arial" w:hAnsi="Arial" w:cs="Arial"/>
                <w:color w:val="000000"/>
              </w:rPr>
            </w:pPr>
            <w:r w:rsidRPr="006B6FC7">
              <w:rPr>
                <w:rFonts w:ascii="Arial" w:hAnsi="Arial" w:cs="Arial"/>
                <w:color w:val="000000"/>
              </w:rPr>
              <w:t>233</w:t>
            </w:r>
          </w:p>
        </w:tc>
        <w:tc>
          <w:tcPr>
            <w:tcW w:w="1620" w:type="dxa"/>
            <w:hideMark/>
          </w:tcPr>
          <w:p w14:paraId="7FFE2314" w14:textId="77777777" w:rsidR="006B6FC7" w:rsidRPr="006B6FC7" w:rsidRDefault="006B6FC7" w:rsidP="00F54FCC">
            <w:pPr>
              <w:rPr>
                <w:rFonts w:ascii="Arial" w:hAnsi="Arial" w:cs="Arial"/>
                <w:color w:val="000000"/>
              </w:rPr>
            </w:pPr>
          </w:p>
        </w:tc>
        <w:tc>
          <w:tcPr>
            <w:tcW w:w="720" w:type="dxa"/>
            <w:hideMark/>
          </w:tcPr>
          <w:p w14:paraId="5394C168" w14:textId="77777777" w:rsidR="006B6FC7" w:rsidRPr="006B6FC7" w:rsidRDefault="006B6FC7" w:rsidP="00F54FCC">
            <w:pPr>
              <w:rPr>
                <w:rFonts w:ascii="Arial" w:hAnsi="Arial" w:cs="Arial"/>
                <w:color w:val="000000"/>
              </w:rPr>
            </w:pPr>
          </w:p>
        </w:tc>
        <w:tc>
          <w:tcPr>
            <w:tcW w:w="994" w:type="dxa"/>
            <w:gridSpan w:val="2"/>
            <w:hideMark/>
          </w:tcPr>
          <w:p w14:paraId="0CCC9876" w14:textId="77777777" w:rsidR="006B6FC7" w:rsidRPr="006B6FC7" w:rsidRDefault="006B6FC7" w:rsidP="00F54FCC">
            <w:pPr>
              <w:rPr>
                <w:rFonts w:ascii="Arial" w:hAnsi="Arial" w:cs="Arial"/>
                <w:color w:val="000000"/>
              </w:rPr>
            </w:pPr>
          </w:p>
        </w:tc>
      </w:tr>
      <w:tr w:rsidR="006B6FC7" w:rsidRPr="006B6FC7" w14:paraId="482EB2BE" w14:textId="77777777" w:rsidTr="006B6FC7">
        <w:trPr>
          <w:gridAfter w:val="1"/>
          <w:wAfter w:w="30" w:type="dxa"/>
          <w:trHeight w:val="300"/>
        </w:trPr>
        <w:tc>
          <w:tcPr>
            <w:tcW w:w="8124" w:type="dxa"/>
            <w:gridSpan w:val="7"/>
            <w:hideMark/>
          </w:tcPr>
          <w:p w14:paraId="7B56B36F" w14:textId="77777777" w:rsidR="006B6FC7" w:rsidRPr="006B6FC7" w:rsidRDefault="006B6FC7" w:rsidP="00F54FCC">
            <w:pPr>
              <w:rPr>
                <w:rFonts w:ascii="Arial" w:hAnsi="Arial" w:cs="Arial"/>
                <w:color w:val="000000"/>
                <w:lang w:val="en"/>
              </w:rPr>
            </w:pPr>
            <w:r w:rsidRPr="006B6FC7">
              <w:rPr>
                <w:rFonts w:ascii="Arial" w:hAnsi="Arial" w:cs="Arial"/>
                <w:color w:val="000000"/>
              </w:rPr>
              <w:t xml:space="preserve">a. Dependent Variable: </w:t>
            </w:r>
            <w:proofErr w:type="spellStart"/>
            <w:r w:rsidRPr="006B6FC7">
              <w:rPr>
                <w:rFonts w:ascii="Arial" w:hAnsi="Arial" w:cs="Arial"/>
                <w:color w:val="000000"/>
              </w:rPr>
              <w:t>pbv</w:t>
            </w:r>
            <w:proofErr w:type="spellEnd"/>
          </w:p>
        </w:tc>
      </w:tr>
      <w:tr w:rsidR="006B6FC7" w:rsidRPr="006B6FC7" w14:paraId="102E336D" w14:textId="77777777" w:rsidTr="006B6FC7">
        <w:trPr>
          <w:gridAfter w:val="1"/>
          <w:wAfter w:w="30" w:type="dxa"/>
          <w:trHeight w:val="300"/>
        </w:trPr>
        <w:tc>
          <w:tcPr>
            <w:tcW w:w="8124" w:type="dxa"/>
            <w:gridSpan w:val="7"/>
            <w:hideMark/>
          </w:tcPr>
          <w:p w14:paraId="428C01CF" w14:textId="77777777" w:rsidR="006B6FC7" w:rsidRPr="006B6FC7" w:rsidRDefault="006B6FC7" w:rsidP="00F54FCC">
            <w:pPr>
              <w:rPr>
                <w:rFonts w:ascii="Arial" w:hAnsi="Arial" w:cs="Arial"/>
                <w:color w:val="000000"/>
              </w:rPr>
            </w:pPr>
            <w:r w:rsidRPr="006B6FC7">
              <w:rPr>
                <w:rFonts w:ascii="Arial" w:hAnsi="Arial" w:cs="Arial"/>
                <w:color w:val="000000"/>
              </w:rPr>
              <w:t xml:space="preserve">b. Predictors: (Constant), </w:t>
            </w:r>
            <w:proofErr w:type="gramStart"/>
            <w:r w:rsidRPr="006B6FC7">
              <w:rPr>
                <w:rFonts w:ascii="Arial" w:hAnsi="Arial" w:cs="Arial"/>
                <w:color w:val="000000"/>
              </w:rPr>
              <w:t>industry ,</w:t>
            </w:r>
            <w:proofErr w:type="gramEnd"/>
            <w:r w:rsidRPr="006B6FC7">
              <w:rPr>
                <w:rFonts w:ascii="Arial" w:hAnsi="Arial" w:cs="Arial"/>
                <w:color w:val="000000"/>
              </w:rPr>
              <w:t xml:space="preserve"> </w:t>
            </w:r>
            <w:proofErr w:type="spellStart"/>
            <w:r w:rsidRPr="006B6FC7">
              <w:rPr>
                <w:rFonts w:ascii="Arial" w:hAnsi="Arial" w:cs="Arial"/>
                <w:color w:val="000000"/>
              </w:rPr>
              <w:t>esg</w:t>
            </w:r>
            <w:proofErr w:type="spellEnd"/>
            <w:r w:rsidRPr="006B6FC7">
              <w:rPr>
                <w:rFonts w:ascii="Arial" w:hAnsi="Arial" w:cs="Arial"/>
                <w:color w:val="000000"/>
              </w:rPr>
              <w:t xml:space="preserve"> score, growth, age, der</w:t>
            </w:r>
          </w:p>
        </w:tc>
      </w:tr>
    </w:tbl>
    <w:p w14:paraId="57778C2D"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2049814D" w14:textId="77777777" w:rsidR="006B6FC7" w:rsidRPr="006B6FC7" w:rsidRDefault="006B6FC7" w:rsidP="006B6FC7">
      <w:pPr>
        <w:ind w:firstLine="720"/>
        <w:jc w:val="both"/>
        <w:rPr>
          <w:rFonts w:ascii="Arial" w:hAnsi="Arial" w:cs="Arial"/>
          <w:bCs/>
        </w:rPr>
      </w:pPr>
      <w:r w:rsidRPr="006B6FC7">
        <w:rPr>
          <w:rFonts w:ascii="Arial" w:hAnsi="Arial" w:cs="Arial"/>
          <w:bCs/>
        </w:rPr>
        <w:t>The results of the analysis indicate that the regression model is statistically significant, as evidenced by the F value of 7.563 and a p-value of 0.000. These values suggest that the predictors, including industry, ESG score, growth, age, and DER, collectively have a significant effect on the dependent variable, which is PBV (Price to Book Value). The high F value demonstrates that the model is able to explain a substantial portion of the variation in PBV, reinforcing the relevance of the selected predictors in determining the dependent variable.</w:t>
      </w:r>
    </w:p>
    <w:p w14:paraId="3EF2307A" w14:textId="77777777" w:rsidR="006B6FC7" w:rsidRPr="006B6FC7" w:rsidRDefault="006B6FC7" w:rsidP="006B6FC7">
      <w:pPr>
        <w:ind w:left="720" w:firstLine="720"/>
        <w:jc w:val="both"/>
        <w:rPr>
          <w:rFonts w:ascii="Arial" w:hAnsi="Arial" w:cs="Arial"/>
          <w:bCs/>
        </w:rPr>
      </w:pPr>
    </w:p>
    <w:tbl>
      <w:tblPr>
        <w:tblW w:w="8222"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697"/>
        <w:gridCol w:w="1169"/>
        <w:gridCol w:w="1246"/>
        <w:gridCol w:w="840"/>
        <w:gridCol w:w="590"/>
        <w:gridCol w:w="924"/>
        <w:gridCol w:w="488"/>
        <w:gridCol w:w="162"/>
        <w:gridCol w:w="643"/>
        <w:gridCol w:w="1463"/>
      </w:tblGrid>
      <w:tr w:rsidR="006B6FC7" w:rsidRPr="006B6FC7" w14:paraId="1F1CD406" w14:textId="77777777" w:rsidTr="006B6FC7">
        <w:trPr>
          <w:trHeight w:val="300"/>
        </w:trPr>
        <w:tc>
          <w:tcPr>
            <w:tcW w:w="8222" w:type="dxa"/>
            <w:gridSpan w:val="10"/>
            <w:tcBorders>
              <w:bottom w:val="single" w:sz="12" w:space="0" w:color="000000"/>
            </w:tcBorders>
            <w:hideMark/>
          </w:tcPr>
          <w:p w14:paraId="6C3A996D" w14:textId="77777777" w:rsidR="006B6FC7" w:rsidRPr="006B6FC7" w:rsidRDefault="006B6FC7" w:rsidP="00F54FCC">
            <w:pPr>
              <w:rPr>
                <w:rFonts w:ascii="Arial" w:hAnsi="Arial" w:cs="Arial"/>
                <w:b/>
                <w:bCs/>
                <w:i/>
                <w:iCs/>
                <w:color w:val="000000"/>
              </w:rPr>
            </w:pPr>
            <w:r w:rsidRPr="006B6FC7">
              <w:rPr>
                <w:rFonts w:ascii="Arial" w:hAnsi="Arial" w:cs="Arial"/>
                <w:b/>
                <w:bCs/>
                <w:i/>
                <w:iCs/>
                <w:color w:val="000000"/>
              </w:rPr>
              <w:t>Table 12. T-test</w:t>
            </w:r>
          </w:p>
        </w:tc>
      </w:tr>
      <w:tr w:rsidR="006B6FC7" w:rsidRPr="006B6FC7" w14:paraId="593A61F0" w14:textId="77777777" w:rsidTr="006B6FC7">
        <w:trPr>
          <w:trHeight w:val="300"/>
        </w:trPr>
        <w:tc>
          <w:tcPr>
            <w:tcW w:w="8222" w:type="dxa"/>
            <w:gridSpan w:val="10"/>
            <w:hideMark/>
          </w:tcPr>
          <w:p w14:paraId="2FFEB389" w14:textId="77777777" w:rsidR="006B6FC7" w:rsidRPr="006B6FC7" w:rsidRDefault="006B6FC7" w:rsidP="00F54FCC">
            <w:pPr>
              <w:jc w:val="center"/>
              <w:rPr>
                <w:rFonts w:ascii="Arial" w:hAnsi="Arial" w:cs="Arial"/>
                <w:i/>
                <w:iCs/>
                <w:color w:val="000000"/>
              </w:rPr>
            </w:pPr>
            <w:r w:rsidRPr="006B6FC7">
              <w:rPr>
                <w:rFonts w:ascii="Arial" w:hAnsi="Arial" w:cs="Arial"/>
                <w:i/>
                <w:iCs/>
                <w:color w:val="000000"/>
              </w:rPr>
              <w:t xml:space="preserve">Coefficients </w:t>
            </w:r>
            <w:r w:rsidRPr="006B6FC7">
              <w:rPr>
                <w:rFonts w:ascii="Arial" w:hAnsi="Arial" w:cs="Arial"/>
                <w:i/>
                <w:iCs/>
                <w:color w:val="000000"/>
                <w:vertAlign w:val="superscript"/>
              </w:rPr>
              <w:t>a</w:t>
            </w:r>
          </w:p>
        </w:tc>
      </w:tr>
      <w:tr w:rsidR="006B6FC7" w:rsidRPr="006B6FC7" w14:paraId="365B31BC" w14:textId="77777777" w:rsidTr="006B6FC7">
        <w:trPr>
          <w:trHeight w:val="300"/>
        </w:trPr>
        <w:tc>
          <w:tcPr>
            <w:tcW w:w="1866" w:type="dxa"/>
            <w:gridSpan w:val="2"/>
            <w:vMerge w:val="restart"/>
            <w:hideMark/>
          </w:tcPr>
          <w:p w14:paraId="2FCC25DB"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Model</w:t>
            </w:r>
          </w:p>
        </w:tc>
        <w:tc>
          <w:tcPr>
            <w:tcW w:w="2086" w:type="dxa"/>
            <w:gridSpan w:val="2"/>
            <w:hideMark/>
          </w:tcPr>
          <w:p w14:paraId="45D50B17"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Unstandardized Coefficients</w:t>
            </w:r>
          </w:p>
        </w:tc>
        <w:tc>
          <w:tcPr>
            <w:tcW w:w="1514" w:type="dxa"/>
            <w:gridSpan w:val="2"/>
            <w:hideMark/>
          </w:tcPr>
          <w:p w14:paraId="1917449A"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Standardized Coefficients</w:t>
            </w:r>
          </w:p>
        </w:tc>
        <w:tc>
          <w:tcPr>
            <w:tcW w:w="650" w:type="dxa"/>
            <w:gridSpan w:val="2"/>
            <w:hideMark/>
          </w:tcPr>
          <w:p w14:paraId="2CAF9A38"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t</w:t>
            </w:r>
          </w:p>
        </w:tc>
        <w:tc>
          <w:tcPr>
            <w:tcW w:w="2106" w:type="dxa"/>
            <w:gridSpan w:val="2"/>
            <w:hideMark/>
          </w:tcPr>
          <w:p w14:paraId="67BC1AC0"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Sig.</w:t>
            </w:r>
          </w:p>
        </w:tc>
      </w:tr>
      <w:tr w:rsidR="006B6FC7" w:rsidRPr="006B6FC7" w14:paraId="2D9AFFCE" w14:textId="77777777" w:rsidTr="006B6FC7">
        <w:trPr>
          <w:trHeight w:val="300"/>
        </w:trPr>
        <w:tc>
          <w:tcPr>
            <w:tcW w:w="1866" w:type="dxa"/>
            <w:gridSpan w:val="2"/>
            <w:vMerge/>
            <w:hideMark/>
          </w:tcPr>
          <w:p w14:paraId="638FC80B" w14:textId="77777777" w:rsidR="006B6FC7" w:rsidRPr="006B6FC7" w:rsidRDefault="006B6FC7" w:rsidP="00F54FCC">
            <w:pPr>
              <w:rPr>
                <w:rFonts w:ascii="Arial" w:hAnsi="Arial" w:cs="Arial"/>
                <w:b/>
                <w:bCs/>
                <w:i/>
                <w:iCs/>
                <w:color w:val="000000"/>
                <w:lang w:val="en"/>
              </w:rPr>
            </w:pPr>
          </w:p>
        </w:tc>
        <w:tc>
          <w:tcPr>
            <w:tcW w:w="1246" w:type="dxa"/>
            <w:hideMark/>
          </w:tcPr>
          <w:p w14:paraId="1DFA4A88"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B</w:t>
            </w:r>
          </w:p>
        </w:tc>
        <w:tc>
          <w:tcPr>
            <w:tcW w:w="1430" w:type="dxa"/>
            <w:gridSpan w:val="2"/>
            <w:hideMark/>
          </w:tcPr>
          <w:p w14:paraId="2609F28A"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Std. Error</w:t>
            </w:r>
          </w:p>
        </w:tc>
        <w:tc>
          <w:tcPr>
            <w:tcW w:w="1412" w:type="dxa"/>
            <w:gridSpan w:val="2"/>
            <w:hideMark/>
          </w:tcPr>
          <w:p w14:paraId="66AA5546"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Beta</w:t>
            </w:r>
          </w:p>
        </w:tc>
        <w:tc>
          <w:tcPr>
            <w:tcW w:w="0" w:type="auto"/>
            <w:gridSpan w:val="2"/>
            <w:hideMark/>
          </w:tcPr>
          <w:p w14:paraId="2F9640A9" w14:textId="77777777" w:rsidR="006B6FC7" w:rsidRPr="006B6FC7" w:rsidRDefault="006B6FC7" w:rsidP="00F54FCC">
            <w:pPr>
              <w:rPr>
                <w:rFonts w:ascii="Arial" w:hAnsi="Arial" w:cs="Arial"/>
                <w:b/>
                <w:bCs/>
                <w:i/>
                <w:iCs/>
                <w:color w:val="000000"/>
                <w:lang w:val="en"/>
              </w:rPr>
            </w:pPr>
          </w:p>
        </w:tc>
        <w:tc>
          <w:tcPr>
            <w:tcW w:w="1463" w:type="dxa"/>
            <w:hideMark/>
          </w:tcPr>
          <w:p w14:paraId="323B7241" w14:textId="77777777" w:rsidR="006B6FC7" w:rsidRPr="006B6FC7" w:rsidRDefault="006B6FC7" w:rsidP="00F54FCC">
            <w:pPr>
              <w:rPr>
                <w:rFonts w:ascii="Arial" w:hAnsi="Arial" w:cs="Arial"/>
                <w:b/>
                <w:bCs/>
                <w:i/>
                <w:iCs/>
                <w:color w:val="000000"/>
                <w:lang w:val="en"/>
              </w:rPr>
            </w:pPr>
          </w:p>
        </w:tc>
      </w:tr>
      <w:tr w:rsidR="006B6FC7" w:rsidRPr="006B6FC7" w14:paraId="5B18CED3" w14:textId="77777777" w:rsidTr="006B6FC7">
        <w:trPr>
          <w:trHeight w:val="300"/>
        </w:trPr>
        <w:tc>
          <w:tcPr>
            <w:tcW w:w="697" w:type="dxa"/>
            <w:vMerge w:val="restart"/>
            <w:hideMark/>
          </w:tcPr>
          <w:p w14:paraId="2E5453A9" w14:textId="77777777" w:rsidR="006B6FC7" w:rsidRPr="006B6FC7" w:rsidRDefault="006B6FC7" w:rsidP="00F54FCC">
            <w:pPr>
              <w:jc w:val="center"/>
              <w:rPr>
                <w:rFonts w:ascii="Arial" w:hAnsi="Arial" w:cs="Arial"/>
                <w:color w:val="000000"/>
              </w:rPr>
            </w:pPr>
            <w:r w:rsidRPr="006B6FC7">
              <w:rPr>
                <w:rFonts w:ascii="Arial" w:hAnsi="Arial" w:cs="Arial"/>
                <w:color w:val="000000"/>
              </w:rPr>
              <w:t>1</w:t>
            </w:r>
          </w:p>
        </w:tc>
        <w:tc>
          <w:tcPr>
            <w:tcW w:w="1169" w:type="dxa"/>
            <w:hideMark/>
          </w:tcPr>
          <w:p w14:paraId="741A3B5B" w14:textId="77777777" w:rsidR="006B6FC7" w:rsidRPr="006B6FC7" w:rsidRDefault="006B6FC7" w:rsidP="00F54FCC">
            <w:pPr>
              <w:rPr>
                <w:rFonts w:ascii="Arial" w:hAnsi="Arial" w:cs="Arial"/>
                <w:color w:val="000000"/>
              </w:rPr>
            </w:pPr>
            <w:r w:rsidRPr="006B6FC7">
              <w:rPr>
                <w:rFonts w:ascii="Arial" w:hAnsi="Arial" w:cs="Arial"/>
                <w:color w:val="000000"/>
              </w:rPr>
              <w:t>(Constant)</w:t>
            </w:r>
          </w:p>
        </w:tc>
        <w:tc>
          <w:tcPr>
            <w:tcW w:w="1246" w:type="dxa"/>
            <w:hideMark/>
          </w:tcPr>
          <w:p w14:paraId="2D63FE68" w14:textId="77777777" w:rsidR="006B6FC7" w:rsidRPr="006B6FC7" w:rsidRDefault="006B6FC7" w:rsidP="00F54FCC">
            <w:pPr>
              <w:jc w:val="right"/>
              <w:rPr>
                <w:rFonts w:ascii="Arial" w:hAnsi="Arial" w:cs="Arial"/>
                <w:color w:val="000000"/>
              </w:rPr>
            </w:pPr>
            <w:r w:rsidRPr="006B6FC7">
              <w:rPr>
                <w:rFonts w:ascii="Arial" w:hAnsi="Arial" w:cs="Arial"/>
                <w:color w:val="000000"/>
              </w:rPr>
              <w:t>2.37</w:t>
            </w:r>
          </w:p>
        </w:tc>
        <w:tc>
          <w:tcPr>
            <w:tcW w:w="1430" w:type="dxa"/>
            <w:gridSpan w:val="2"/>
            <w:hideMark/>
          </w:tcPr>
          <w:p w14:paraId="7023A848" w14:textId="77777777" w:rsidR="006B6FC7" w:rsidRPr="006B6FC7" w:rsidRDefault="006B6FC7" w:rsidP="00F54FCC">
            <w:pPr>
              <w:jc w:val="right"/>
              <w:rPr>
                <w:rFonts w:ascii="Arial" w:hAnsi="Arial" w:cs="Arial"/>
                <w:color w:val="000000"/>
              </w:rPr>
            </w:pPr>
            <w:r w:rsidRPr="006B6FC7">
              <w:rPr>
                <w:rFonts w:ascii="Arial" w:hAnsi="Arial" w:cs="Arial"/>
                <w:color w:val="000000"/>
              </w:rPr>
              <w:t>0.338</w:t>
            </w:r>
          </w:p>
        </w:tc>
        <w:tc>
          <w:tcPr>
            <w:tcW w:w="1412" w:type="dxa"/>
            <w:gridSpan w:val="2"/>
            <w:hideMark/>
          </w:tcPr>
          <w:p w14:paraId="22FBBD75" w14:textId="77777777" w:rsidR="006B6FC7" w:rsidRPr="006B6FC7" w:rsidRDefault="006B6FC7" w:rsidP="00F54FCC">
            <w:pPr>
              <w:rPr>
                <w:rFonts w:ascii="Arial" w:hAnsi="Arial" w:cs="Arial"/>
                <w:color w:val="000000"/>
              </w:rPr>
            </w:pPr>
          </w:p>
        </w:tc>
        <w:tc>
          <w:tcPr>
            <w:tcW w:w="805" w:type="dxa"/>
            <w:gridSpan w:val="2"/>
            <w:hideMark/>
          </w:tcPr>
          <w:p w14:paraId="2E9FE92D" w14:textId="77777777" w:rsidR="006B6FC7" w:rsidRPr="006B6FC7" w:rsidRDefault="006B6FC7" w:rsidP="00F54FCC">
            <w:pPr>
              <w:jc w:val="right"/>
              <w:rPr>
                <w:rFonts w:ascii="Arial" w:hAnsi="Arial" w:cs="Arial"/>
                <w:color w:val="000000"/>
                <w:lang w:val="en"/>
              </w:rPr>
            </w:pPr>
            <w:r w:rsidRPr="006B6FC7">
              <w:rPr>
                <w:rFonts w:ascii="Arial" w:hAnsi="Arial" w:cs="Arial"/>
                <w:color w:val="000000"/>
              </w:rPr>
              <w:t>7,021</w:t>
            </w:r>
          </w:p>
        </w:tc>
        <w:tc>
          <w:tcPr>
            <w:tcW w:w="1463" w:type="dxa"/>
            <w:hideMark/>
          </w:tcPr>
          <w:p w14:paraId="47C13B9D" w14:textId="77777777" w:rsidR="006B6FC7" w:rsidRPr="006B6FC7" w:rsidRDefault="006B6FC7" w:rsidP="00F54FCC">
            <w:pPr>
              <w:jc w:val="right"/>
              <w:rPr>
                <w:rFonts w:ascii="Arial" w:hAnsi="Arial" w:cs="Arial"/>
                <w:color w:val="000000"/>
              </w:rPr>
            </w:pPr>
            <w:r w:rsidRPr="006B6FC7">
              <w:rPr>
                <w:rFonts w:ascii="Arial" w:hAnsi="Arial" w:cs="Arial"/>
                <w:color w:val="000000"/>
              </w:rPr>
              <w:t>0</w:t>
            </w:r>
          </w:p>
        </w:tc>
      </w:tr>
      <w:tr w:rsidR="006B6FC7" w:rsidRPr="006B6FC7" w14:paraId="37D5EF21" w14:textId="77777777" w:rsidTr="006B6FC7">
        <w:trPr>
          <w:trHeight w:val="300"/>
        </w:trPr>
        <w:tc>
          <w:tcPr>
            <w:tcW w:w="0" w:type="auto"/>
            <w:vMerge/>
            <w:hideMark/>
          </w:tcPr>
          <w:p w14:paraId="61C357DB" w14:textId="77777777" w:rsidR="006B6FC7" w:rsidRPr="006B6FC7" w:rsidRDefault="006B6FC7" w:rsidP="00F54FCC">
            <w:pPr>
              <w:rPr>
                <w:rFonts w:ascii="Arial" w:hAnsi="Arial" w:cs="Arial"/>
                <w:color w:val="000000"/>
                <w:lang w:val="en"/>
              </w:rPr>
            </w:pPr>
          </w:p>
        </w:tc>
        <w:tc>
          <w:tcPr>
            <w:tcW w:w="1169" w:type="dxa"/>
            <w:hideMark/>
          </w:tcPr>
          <w:p w14:paraId="1E0E5948" w14:textId="77777777" w:rsidR="006B6FC7" w:rsidRPr="006B6FC7" w:rsidRDefault="006B6FC7" w:rsidP="00F54FCC">
            <w:pPr>
              <w:rPr>
                <w:rFonts w:ascii="Arial" w:hAnsi="Arial" w:cs="Arial"/>
                <w:color w:val="000000"/>
              </w:rPr>
            </w:pPr>
            <w:proofErr w:type="spellStart"/>
            <w:r w:rsidRPr="006B6FC7">
              <w:rPr>
                <w:rFonts w:ascii="Arial" w:hAnsi="Arial" w:cs="Arial"/>
                <w:color w:val="000000"/>
              </w:rPr>
              <w:t>esg</w:t>
            </w:r>
            <w:proofErr w:type="spellEnd"/>
            <w:r w:rsidRPr="006B6FC7">
              <w:rPr>
                <w:rFonts w:ascii="Arial" w:hAnsi="Arial" w:cs="Arial"/>
                <w:color w:val="000000"/>
              </w:rPr>
              <w:t xml:space="preserve"> score</w:t>
            </w:r>
          </w:p>
        </w:tc>
        <w:tc>
          <w:tcPr>
            <w:tcW w:w="1246" w:type="dxa"/>
            <w:hideMark/>
          </w:tcPr>
          <w:p w14:paraId="2783E823" w14:textId="77777777" w:rsidR="006B6FC7" w:rsidRPr="006B6FC7" w:rsidRDefault="006B6FC7" w:rsidP="00F54FCC">
            <w:pPr>
              <w:jc w:val="right"/>
              <w:rPr>
                <w:rFonts w:ascii="Arial" w:hAnsi="Arial" w:cs="Arial"/>
                <w:color w:val="000000"/>
              </w:rPr>
            </w:pPr>
            <w:r w:rsidRPr="006B6FC7">
              <w:rPr>
                <w:rFonts w:ascii="Arial" w:hAnsi="Arial" w:cs="Arial"/>
                <w:color w:val="000000"/>
              </w:rPr>
              <w:t>-0.736</w:t>
            </w:r>
          </w:p>
        </w:tc>
        <w:tc>
          <w:tcPr>
            <w:tcW w:w="1430" w:type="dxa"/>
            <w:gridSpan w:val="2"/>
            <w:hideMark/>
          </w:tcPr>
          <w:p w14:paraId="0A6D5D69" w14:textId="77777777" w:rsidR="006B6FC7" w:rsidRPr="006B6FC7" w:rsidRDefault="006B6FC7" w:rsidP="00F54FCC">
            <w:pPr>
              <w:jc w:val="right"/>
              <w:rPr>
                <w:rFonts w:ascii="Arial" w:hAnsi="Arial" w:cs="Arial"/>
                <w:color w:val="000000"/>
              </w:rPr>
            </w:pPr>
            <w:r w:rsidRPr="006B6FC7">
              <w:rPr>
                <w:rFonts w:ascii="Arial" w:hAnsi="Arial" w:cs="Arial"/>
                <w:color w:val="000000"/>
              </w:rPr>
              <w:t>0.569</w:t>
            </w:r>
          </w:p>
        </w:tc>
        <w:tc>
          <w:tcPr>
            <w:tcW w:w="1412" w:type="dxa"/>
            <w:gridSpan w:val="2"/>
            <w:hideMark/>
          </w:tcPr>
          <w:p w14:paraId="20A53EB1" w14:textId="77777777" w:rsidR="006B6FC7" w:rsidRPr="006B6FC7" w:rsidRDefault="006B6FC7" w:rsidP="00F54FCC">
            <w:pPr>
              <w:jc w:val="right"/>
              <w:rPr>
                <w:rFonts w:ascii="Arial" w:hAnsi="Arial" w:cs="Arial"/>
                <w:color w:val="000000"/>
              </w:rPr>
            </w:pPr>
            <w:r w:rsidRPr="006B6FC7">
              <w:rPr>
                <w:rFonts w:ascii="Arial" w:hAnsi="Arial" w:cs="Arial"/>
                <w:color w:val="000000"/>
              </w:rPr>
              <w:t>-0.081</w:t>
            </w:r>
          </w:p>
        </w:tc>
        <w:tc>
          <w:tcPr>
            <w:tcW w:w="805" w:type="dxa"/>
            <w:gridSpan w:val="2"/>
            <w:hideMark/>
          </w:tcPr>
          <w:p w14:paraId="7E62D2F4" w14:textId="77777777" w:rsidR="006B6FC7" w:rsidRPr="006B6FC7" w:rsidRDefault="006B6FC7" w:rsidP="00F54FCC">
            <w:pPr>
              <w:jc w:val="right"/>
              <w:rPr>
                <w:rFonts w:ascii="Arial" w:hAnsi="Arial" w:cs="Arial"/>
                <w:color w:val="000000"/>
              </w:rPr>
            </w:pPr>
            <w:r w:rsidRPr="006B6FC7">
              <w:rPr>
                <w:rFonts w:ascii="Arial" w:hAnsi="Arial" w:cs="Arial"/>
                <w:color w:val="000000"/>
              </w:rPr>
              <w:t>-1,294</w:t>
            </w:r>
          </w:p>
        </w:tc>
        <w:tc>
          <w:tcPr>
            <w:tcW w:w="1463" w:type="dxa"/>
            <w:hideMark/>
          </w:tcPr>
          <w:p w14:paraId="3043E5DC" w14:textId="77777777" w:rsidR="006B6FC7" w:rsidRPr="006B6FC7" w:rsidRDefault="006B6FC7" w:rsidP="00F54FCC">
            <w:pPr>
              <w:jc w:val="right"/>
              <w:rPr>
                <w:rFonts w:ascii="Arial" w:hAnsi="Arial" w:cs="Arial"/>
                <w:color w:val="000000"/>
              </w:rPr>
            </w:pPr>
            <w:r w:rsidRPr="006B6FC7">
              <w:rPr>
                <w:rFonts w:ascii="Arial" w:hAnsi="Arial" w:cs="Arial"/>
                <w:color w:val="000000"/>
              </w:rPr>
              <w:t>0.197</w:t>
            </w:r>
          </w:p>
        </w:tc>
      </w:tr>
      <w:tr w:rsidR="006B6FC7" w:rsidRPr="006B6FC7" w14:paraId="41AEDA08" w14:textId="77777777" w:rsidTr="006B6FC7">
        <w:trPr>
          <w:trHeight w:val="300"/>
        </w:trPr>
        <w:tc>
          <w:tcPr>
            <w:tcW w:w="0" w:type="auto"/>
            <w:vMerge/>
            <w:hideMark/>
          </w:tcPr>
          <w:p w14:paraId="2543A666" w14:textId="77777777" w:rsidR="006B6FC7" w:rsidRPr="006B6FC7" w:rsidRDefault="006B6FC7" w:rsidP="00F54FCC">
            <w:pPr>
              <w:rPr>
                <w:rFonts w:ascii="Arial" w:hAnsi="Arial" w:cs="Arial"/>
                <w:color w:val="000000"/>
                <w:lang w:val="en"/>
              </w:rPr>
            </w:pPr>
          </w:p>
        </w:tc>
        <w:tc>
          <w:tcPr>
            <w:tcW w:w="1169" w:type="dxa"/>
            <w:hideMark/>
          </w:tcPr>
          <w:p w14:paraId="2F534FA0" w14:textId="77777777" w:rsidR="006B6FC7" w:rsidRPr="006B6FC7" w:rsidRDefault="006B6FC7" w:rsidP="00F54FCC">
            <w:pPr>
              <w:rPr>
                <w:rFonts w:ascii="Arial" w:hAnsi="Arial" w:cs="Arial"/>
                <w:color w:val="000000"/>
              </w:rPr>
            </w:pPr>
            <w:r w:rsidRPr="006B6FC7">
              <w:rPr>
                <w:rFonts w:ascii="Arial" w:hAnsi="Arial" w:cs="Arial"/>
                <w:color w:val="000000"/>
              </w:rPr>
              <w:t>growth</w:t>
            </w:r>
          </w:p>
        </w:tc>
        <w:tc>
          <w:tcPr>
            <w:tcW w:w="1246" w:type="dxa"/>
            <w:hideMark/>
          </w:tcPr>
          <w:p w14:paraId="2A228C49" w14:textId="77777777" w:rsidR="006B6FC7" w:rsidRPr="006B6FC7" w:rsidRDefault="006B6FC7" w:rsidP="00F54FCC">
            <w:pPr>
              <w:jc w:val="right"/>
              <w:rPr>
                <w:rFonts w:ascii="Arial" w:hAnsi="Arial" w:cs="Arial"/>
                <w:color w:val="000000"/>
              </w:rPr>
            </w:pPr>
            <w:r w:rsidRPr="006B6FC7">
              <w:rPr>
                <w:rFonts w:ascii="Arial" w:hAnsi="Arial" w:cs="Arial"/>
                <w:color w:val="000000"/>
              </w:rPr>
              <w:t>0.688</w:t>
            </w:r>
          </w:p>
        </w:tc>
        <w:tc>
          <w:tcPr>
            <w:tcW w:w="1430" w:type="dxa"/>
            <w:gridSpan w:val="2"/>
            <w:hideMark/>
          </w:tcPr>
          <w:p w14:paraId="0A6C9A39" w14:textId="77777777" w:rsidR="006B6FC7" w:rsidRPr="006B6FC7" w:rsidRDefault="006B6FC7" w:rsidP="00F54FCC">
            <w:pPr>
              <w:jc w:val="right"/>
              <w:rPr>
                <w:rFonts w:ascii="Arial" w:hAnsi="Arial" w:cs="Arial"/>
                <w:color w:val="000000"/>
              </w:rPr>
            </w:pPr>
            <w:r w:rsidRPr="006B6FC7">
              <w:rPr>
                <w:rFonts w:ascii="Arial" w:hAnsi="Arial" w:cs="Arial"/>
                <w:color w:val="000000"/>
              </w:rPr>
              <w:t>0.156</w:t>
            </w:r>
          </w:p>
        </w:tc>
        <w:tc>
          <w:tcPr>
            <w:tcW w:w="1412" w:type="dxa"/>
            <w:gridSpan w:val="2"/>
            <w:hideMark/>
          </w:tcPr>
          <w:p w14:paraId="03653E0C" w14:textId="77777777" w:rsidR="006B6FC7" w:rsidRPr="006B6FC7" w:rsidRDefault="006B6FC7" w:rsidP="00F54FCC">
            <w:pPr>
              <w:jc w:val="right"/>
              <w:rPr>
                <w:rFonts w:ascii="Arial" w:hAnsi="Arial" w:cs="Arial"/>
                <w:color w:val="000000"/>
              </w:rPr>
            </w:pPr>
            <w:r w:rsidRPr="006B6FC7">
              <w:rPr>
                <w:rFonts w:ascii="Arial" w:hAnsi="Arial" w:cs="Arial"/>
                <w:color w:val="000000"/>
              </w:rPr>
              <w:t>0.33</w:t>
            </w:r>
          </w:p>
        </w:tc>
        <w:tc>
          <w:tcPr>
            <w:tcW w:w="805" w:type="dxa"/>
            <w:gridSpan w:val="2"/>
            <w:hideMark/>
          </w:tcPr>
          <w:p w14:paraId="5E0A14D2" w14:textId="77777777" w:rsidR="006B6FC7" w:rsidRPr="006B6FC7" w:rsidRDefault="006B6FC7" w:rsidP="00F54FCC">
            <w:pPr>
              <w:jc w:val="right"/>
              <w:rPr>
                <w:rFonts w:ascii="Arial" w:hAnsi="Arial" w:cs="Arial"/>
                <w:color w:val="000000"/>
              </w:rPr>
            </w:pPr>
            <w:r w:rsidRPr="006B6FC7">
              <w:rPr>
                <w:rFonts w:ascii="Arial" w:hAnsi="Arial" w:cs="Arial"/>
                <w:color w:val="000000"/>
              </w:rPr>
              <w:t>4,408</w:t>
            </w:r>
          </w:p>
        </w:tc>
        <w:tc>
          <w:tcPr>
            <w:tcW w:w="1463" w:type="dxa"/>
            <w:hideMark/>
          </w:tcPr>
          <w:p w14:paraId="43CD9A8D" w14:textId="77777777" w:rsidR="006B6FC7" w:rsidRPr="006B6FC7" w:rsidRDefault="006B6FC7" w:rsidP="00F54FCC">
            <w:pPr>
              <w:jc w:val="right"/>
              <w:rPr>
                <w:rFonts w:ascii="Arial" w:hAnsi="Arial" w:cs="Arial"/>
                <w:color w:val="000000"/>
              </w:rPr>
            </w:pPr>
            <w:r w:rsidRPr="006B6FC7">
              <w:rPr>
                <w:rFonts w:ascii="Arial" w:hAnsi="Arial" w:cs="Arial"/>
                <w:color w:val="000000"/>
              </w:rPr>
              <w:t>0</w:t>
            </w:r>
          </w:p>
        </w:tc>
      </w:tr>
      <w:tr w:rsidR="006B6FC7" w:rsidRPr="006B6FC7" w14:paraId="4BDD9DBF" w14:textId="77777777" w:rsidTr="006B6FC7">
        <w:trPr>
          <w:trHeight w:val="300"/>
        </w:trPr>
        <w:tc>
          <w:tcPr>
            <w:tcW w:w="0" w:type="auto"/>
            <w:vMerge/>
            <w:hideMark/>
          </w:tcPr>
          <w:p w14:paraId="6BEF3155" w14:textId="77777777" w:rsidR="006B6FC7" w:rsidRPr="006B6FC7" w:rsidRDefault="006B6FC7" w:rsidP="00F54FCC">
            <w:pPr>
              <w:rPr>
                <w:rFonts w:ascii="Arial" w:hAnsi="Arial" w:cs="Arial"/>
                <w:color w:val="000000"/>
                <w:lang w:val="en"/>
              </w:rPr>
            </w:pPr>
          </w:p>
        </w:tc>
        <w:tc>
          <w:tcPr>
            <w:tcW w:w="1169" w:type="dxa"/>
            <w:hideMark/>
          </w:tcPr>
          <w:p w14:paraId="52446E35" w14:textId="77777777" w:rsidR="006B6FC7" w:rsidRPr="006B6FC7" w:rsidRDefault="006B6FC7" w:rsidP="00F54FCC">
            <w:pPr>
              <w:rPr>
                <w:rFonts w:ascii="Arial" w:hAnsi="Arial" w:cs="Arial"/>
                <w:color w:val="000000"/>
              </w:rPr>
            </w:pPr>
            <w:r w:rsidRPr="006B6FC7">
              <w:rPr>
                <w:rFonts w:ascii="Arial" w:hAnsi="Arial" w:cs="Arial"/>
                <w:color w:val="000000"/>
              </w:rPr>
              <w:t>age</w:t>
            </w:r>
          </w:p>
        </w:tc>
        <w:tc>
          <w:tcPr>
            <w:tcW w:w="1246" w:type="dxa"/>
            <w:hideMark/>
          </w:tcPr>
          <w:p w14:paraId="2644C97D" w14:textId="77777777" w:rsidR="006B6FC7" w:rsidRPr="006B6FC7" w:rsidRDefault="006B6FC7" w:rsidP="00F54FCC">
            <w:pPr>
              <w:jc w:val="right"/>
              <w:rPr>
                <w:rFonts w:ascii="Arial" w:hAnsi="Arial" w:cs="Arial"/>
                <w:color w:val="000000"/>
              </w:rPr>
            </w:pPr>
            <w:r w:rsidRPr="006B6FC7">
              <w:rPr>
                <w:rFonts w:ascii="Arial" w:hAnsi="Arial" w:cs="Arial"/>
                <w:color w:val="000000"/>
              </w:rPr>
              <w:t>-0.041</w:t>
            </w:r>
          </w:p>
        </w:tc>
        <w:tc>
          <w:tcPr>
            <w:tcW w:w="1430" w:type="dxa"/>
            <w:gridSpan w:val="2"/>
            <w:hideMark/>
          </w:tcPr>
          <w:p w14:paraId="37F278E8" w14:textId="77777777" w:rsidR="006B6FC7" w:rsidRPr="006B6FC7" w:rsidRDefault="006B6FC7" w:rsidP="00F54FCC">
            <w:pPr>
              <w:jc w:val="right"/>
              <w:rPr>
                <w:rFonts w:ascii="Arial" w:hAnsi="Arial" w:cs="Arial"/>
                <w:color w:val="000000"/>
              </w:rPr>
            </w:pPr>
            <w:r w:rsidRPr="006B6FC7">
              <w:rPr>
                <w:rFonts w:ascii="Arial" w:hAnsi="Arial" w:cs="Arial"/>
                <w:color w:val="000000"/>
              </w:rPr>
              <w:t>0.013</w:t>
            </w:r>
          </w:p>
        </w:tc>
        <w:tc>
          <w:tcPr>
            <w:tcW w:w="1412" w:type="dxa"/>
            <w:gridSpan w:val="2"/>
            <w:hideMark/>
          </w:tcPr>
          <w:p w14:paraId="6C153478" w14:textId="77777777" w:rsidR="006B6FC7" w:rsidRPr="006B6FC7" w:rsidRDefault="006B6FC7" w:rsidP="00F54FCC">
            <w:pPr>
              <w:jc w:val="right"/>
              <w:rPr>
                <w:rFonts w:ascii="Arial" w:hAnsi="Arial" w:cs="Arial"/>
                <w:color w:val="000000"/>
              </w:rPr>
            </w:pPr>
            <w:r w:rsidRPr="006B6FC7">
              <w:rPr>
                <w:rFonts w:ascii="Arial" w:hAnsi="Arial" w:cs="Arial"/>
                <w:color w:val="000000"/>
              </w:rPr>
              <w:t>-0.193</w:t>
            </w:r>
          </w:p>
        </w:tc>
        <w:tc>
          <w:tcPr>
            <w:tcW w:w="805" w:type="dxa"/>
            <w:gridSpan w:val="2"/>
            <w:hideMark/>
          </w:tcPr>
          <w:p w14:paraId="048AD7C8" w14:textId="77777777" w:rsidR="006B6FC7" w:rsidRPr="006B6FC7" w:rsidRDefault="006B6FC7" w:rsidP="00F54FCC">
            <w:pPr>
              <w:jc w:val="right"/>
              <w:rPr>
                <w:rFonts w:ascii="Arial" w:hAnsi="Arial" w:cs="Arial"/>
                <w:color w:val="000000"/>
              </w:rPr>
            </w:pPr>
            <w:r w:rsidRPr="006B6FC7">
              <w:rPr>
                <w:rFonts w:ascii="Arial" w:hAnsi="Arial" w:cs="Arial"/>
                <w:color w:val="000000"/>
              </w:rPr>
              <w:t>-3,081</w:t>
            </w:r>
          </w:p>
        </w:tc>
        <w:tc>
          <w:tcPr>
            <w:tcW w:w="1463" w:type="dxa"/>
            <w:hideMark/>
          </w:tcPr>
          <w:p w14:paraId="5D84D49E" w14:textId="77777777" w:rsidR="006B6FC7" w:rsidRPr="006B6FC7" w:rsidRDefault="006B6FC7" w:rsidP="00F54FCC">
            <w:pPr>
              <w:jc w:val="right"/>
              <w:rPr>
                <w:rFonts w:ascii="Arial" w:hAnsi="Arial" w:cs="Arial"/>
                <w:color w:val="000000"/>
              </w:rPr>
            </w:pPr>
            <w:r w:rsidRPr="006B6FC7">
              <w:rPr>
                <w:rFonts w:ascii="Arial" w:hAnsi="Arial" w:cs="Arial"/>
                <w:color w:val="000000"/>
              </w:rPr>
              <w:t>0.002</w:t>
            </w:r>
          </w:p>
        </w:tc>
      </w:tr>
      <w:tr w:rsidR="006B6FC7" w:rsidRPr="006B6FC7" w14:paraId="65525D38" w14:textId="77777777" w:rsidTr="006B6FC7">
        <w:trPr>
          <w:trHeight w:val="300"/>
        </w:trPr>
        <w:tc>
          <w:tcPr>
            <w:tcW w:w="0" w:type="auto"/>
            <w:vMerge/>
            <w:hideMark/>
          </w:tcPr>
          <w:p w14:paraId="0FF974E4" w14:textId="77777777" w:rsidR="006B6FC7" w:rsidRPr="006B6FC7" w:rsidRDefault="006B6FC7" w:rsidP="00F54FCC">
            <w:pPr>
              <w:rPr>
                <w:rFonts w:ascii="Arial" w:hAnsi="Arial" w:cs="Arial"/>
                <w:color w:val="000000"/>
                <w:lang w:val="en"/>
              </w:rPr>
            </w:pPr>
          </w:p>
        </w:tc>
        <w:tc>
          <w:tcPr>
            <w:tcW w:w="1169" w:type="dxa"/>
            <w:hideMark/>
          </w:tcPr>
          <w:p w14:paraId="700613C2" w14:textId="77777777" w:rsidR="006B6FC7" w:rsidRPr="006B6FC7" w:rsidRDefault="006B6FC7" w:rsidP="00F54FCC">
            <w:pPr>
              <w:rPr>
                <w:rFonts w:ascii="Arial" w:hAnsi="Arial" w:cs="Arial"/>
                <w:color w:val="000000"/>
              </w:rPr>
            </w:pPr>
            <w:r w:rsidRPr="006B6FC7">
              <w:rPr>
                <w:rFonts w:ascii="Arial" w:hAnsi="Arial" w:cs="Arial"/>
                <w:color w:val="000000"/>
              </w:rPr>
              <w:t>from</w:t>
            </w:r>
          </w:p>
        </w:tc>
        <w:tc>
          <w:tcPr>
            <w:tcW w:w="1246" w:type="dxa"/>
            <w:hideMark/>
          </w:tcPr>
          <w:p w14:paraId="3430FDE0" w14:textId="77777777" w:rsidR="006B6FC7" w:rsidRPr="006B6FC7" w:rsidRDefault="006B6FC7" w:rsidP="00F54FCC">
            <w:pPr>
              <w:jc w:val="right"/>
              <w:rPr>
                <w:rFonts w:ascii="Arial" w:hAnsi="Arial" w:cs="Arial"/>
                <w:color w:val="000000"/>
              </w:rPr>
            </w:pPr>
            <w:r w:rsidRPr="006B6FC7">
              <w:rPr>
                <w:rFonts w:ascii="Arial" w:hAnsi="Arial" w:cs="Arial"/>
                <w:color w:val="000000"/>
              </w:rPr>
              <w:t>-0.087</w:t>
            </w:r>
          </w:p>
        </w:tc>
        <w:tc>
          <w:tcPr>
            <w:tcW w:w="1430" w:type="dxa"/>
            <w:gridSpan w:val="2"/>
            <w:hideMark/>
          </w:tcPr>
          <w:p w14:paraId="568852B7" w14:textId="77777777" w:rsidR="006B6FC7" w:rsidRPr="006B6FC7" w:rsidRDefault="006B6FC7" w:rsidP="00F54FCC">
            <w:pPr>
              <w:jc w:val="right"/>
              <w:rPr>
                <w:rFonts w:ascii="Arial" w:hAnsi="Arial" w:cs="Arial"/>
                <w:color w:val="000000"/>
              </w:rPr>
            </w:pPr>
            <w:r w:rsidRPr="006B6FC7">
              <w:rPr>
                <w:rFonts w:ascii="Arial" w:hAnsi="Arial" w:cs="Arial"/>
                <w:color w:val="000000"/>
              </w:rPr>
              <w:t>0.043</w:t>
            </w:r>
          </w:p>
        </w:tc>
        <w:tc>
          <w:tcPr>
            <w:tcW w:w="1412" w:type="dxa"/>
            <w:gridSpan w:val="2"/>
            <w:hideMark/>
          </w:tcPr>
          <w:p w14:paraId="46DA163D" w14:textId="77777777" w:rsidR="006B6FC7" w:rsidRPr="006B6FC7" w:rsidRDefault="006B6FC7" w:rsidP="00F54FCC">
            <w:pPr>
              <w:jc w:val="right"/>
              <w:rPr>
                <w:rFonts w:ascii="Arial" w:hAnsi="Arial" w:cs="Arial"/>
                <w:color w:val="000000"/>
              </w:rPr>
            </w:pPr>
            <w:r w:rsidRPr="006B6FC7">
              <w:rPr>
                <w:rFonts w:ascii="Arial" w:hAnsi="Arial" w:cs="Arial"/>
                <w:color w:val="000000"/>
              </w:rPr>
              <w:t>-0.15</w:t>
            </w:r>
          </w:p>
        </w:tc>
        <w:tc>
          <w:tcPr>
            <w:tcW w:w="805" w:type="dxa"/>
            <w:gridSpan w:val="2"/>
            <w:hideMark/>
          </w:tcPr>
          <w:p w14:paraId="3794013F" w14:textId="77777777" w:rsidR="006B6FC7" w:rsidRPr="006B6FC7" w:rsidRDefault="006B6FC7" w:rsidP="00F54FCC">
            <w:pPr>
              <w:jc w:val="right"/>
              <w:rPr>
                <w:rFonts w:ascii="Arial" w:hAnsi="Arial" w:cs="Arial"/>
                <w:color w:val="000000"/>
              </w:rPr>
            </w:pPr>
            <w:r w:rsidRPr="006B6FC7">
              <w:rPr>
                <w:rFonts w:ascii="Arial" w:hAnsi="Arial" w:cs="Arial"/>
                <w:color w:val="000000"/>
              </w:rPr>
              <w:t>-1,997</w:t>
            </w:r>
          </w:p>
        </w:tc>
        <w:tc>
          <w:tcPr>
            <w:tcW w:w="1463" w:type="dxa"/>
            <w:hideMark/>
          </w:tcPr>
          <w:p w14:paraId="4400949E" w14:textId="77777777" w:rsidR="006B6FC7" w:rsidRPr="006B6FC7" w:rsidRDefault="006B6FC7" w:rsidP="00F54FCC">
            <w:pPr>
              <w:jc w:val="right"/>
              <w:rPr>
                <w:rFonts w:ascii="Arial" w:hAnsi="Arial" w:cs="Arial"/>
                <w:color w:val="000000"/>
              </w:rPr>
            </w:pPr>
            <w:r w:rsidRPr="006B6FC7">
              <w:rPr>
                <w:rFonts w:ascii="Arial" w:hAnsi="Arial" w:cs="Arial"/>
                <w:color w:val="000000"/>
              </w:rPr>
              <w:t>0.047</w:t>
            </w:r>
          </w:p>
        </w:tc>
      </w:tr>
      <w:tr w:rsidR="006B6FC7" w:rsidRPr="006B6FC7" w14:paraId="7893FD43" w14:textId="77777777" w:rsidTr="006B6FC7">
        <w:trPr>
          <w:trHeight w:val="300"/>
        </w:trPr>
        <w:tc>
          <w:tcPr>
            <w:tcW w:w="0" w:type="auto"/>
            <w:vMerge/>
            <w:hideMark/>
          </w:tcPr>
          <w:p w14:paraId="23CF15CC" w14:textId="77777777" w:rsidR="006B6FC7" w:rsidRPr="006B6FC7" w:rsidRDefault="006B6FC7" w:rsidP="00F54FCC">
            <w:pPr>
              <w:rPr>
                <w:rFonts w:ascii="Arial" w:hAnsi="Arial" w:cs="Arial"/>
                <w:color w:val="000000"/>
                <w:lang w:val="en"/>
              </w:rPr>
            </w:pPr>
          </w:p>
        </w:tc>
        <w:tc>
          <w:tcPr>
            <w:tcW w:w="1169" w:type="dxa"/>
            <w:hideMark/>
          </w:tcPr>
          <w:p w14:paraId="5A83EE87" w14:textId="77777777" w:rsidR="006B6FC7" w:rsidRPr="006B6FC7" w:rsidRDefault="006B6FC7" w:rsidP="00F54FCC">
            <w:pPr>
              <w:rPr>
                <w:rFonts w:ascii="Arial" w:hAnsi="Arial" w:cs="Arial"/>
                <w:color w:val="000000"/>
              </w:rPr>
            </w:pPr>
            <w:r w:rsidRPr="006B6FC7">
              <w:rPr>
                <w:rFonts w:ascii="Arial" w:hAnsi="Arial" w:cs="Arial"/>
                <w:color w:val="000000"/>
              </w:rPr>
              <w:t>industry</w:t>
            </w:r>
          </w:p>
        </w:tc>
        <w:tc>
          <w:tcPr>
            <w:tcW w:w="1246" w:type="dxa"/>
            <w:hideMark/>
          </w:tcPr>
          <w:p w14:paraId="12628C75" w14:textId="77777777" w:rsidR="006B6FC7" w:rsidRPr="006B6FC7" w:rsidRDefault="006B6FC7" w:rsidP="00F54FCC">
            <w:pPr>
              <w:jc w:val="right"/>
              <w:rPr>
                <w:rFonts w:ascii="Arial" w:hAnsi="Arial" w:cs="Arial"/>
                <w:color w:val="000000"/>
              </w:rPr>
            </w:pPr>
            <w:r w:rsidRPr="006B6FC7">
              <w:rPr>
                <w:rFonts w:ascii="Arial" w:hAnsi="Arial" w:cs="Arial"/>
                <w:color w:val="000000"/>
              </w:rPr>
              <w:t>-0.37</w:t>
            </w:r>
          </w:p>
        </w:tc>
        <w:tc>
          <w:tcPr>
            <w:tcW w:w="1430" w:type="dxa"/>
            <w:gridSpan w:val="2"/>
            <w:hideMark/>
          </w:tcPr>
          <w:p w14:paraId="69B32F0E" w14:textId="77777777" w:rsidR="006B6FC7" w:rsidRPr="006B6FC7" w:rsidRDefault="006B6FC7" w:rsidP="00F54FCC">
            <w:pPr>
              <w:jc w:val="right"/>
              <w:rPr>
                <w:rFonts w:ascii="Arial" w:hAnsi="Arial" w:cs="Arial"/>
                <w:color w:val="000000"/>
              </w:rPr>
            </w:pPr>
            <w:r w:rsidRPr="006B6FC7">
              <w:rPr>
                <w:rFonts w:ascii="Arial" w:hAnsi="Arial" w:cs="Arial"/>
                <w:color w:val="000000"/>
              </w:rPr>
              <w:t>0.277</w:t>
            </w:r>
          </w:p>
        </w:tc>
        <w:tc>
          <w:tcPr>
            <w:tcW w:w="1412" w:type="dxa"/>
            <w:gridSpan w:val="2"/>
            <w:hideMark/>
          </w:tcPr>
          <w:p w14:paraId="1A212207" w14:textId="77777777" w:rsidR="006B6FC7" w:rsidRPr="006B6FC7" w:rsidRDefault="006B6FC7" w:rsidP="00F54FCC">
            <w:pPr>
              <w:jc w:val="right"/>
              <w:rPr>
                <w:rFonts w:ascii="Arial" w:hAnsi="Arial" w:cs="Arial"/>
                <w:color w:val="000000"/>
              </w:rPr>
            </w:pPr>
            <w:r w:rsidRPr="006B6FC7">
              <w:rPr>
                <w:rFonts w:ascii="Arial" w:hAnsi="Arial" w:cs="Arial"/>
                <w:color w:val="000000"/>
              </w:rPr>
              <w:t>-0.083</w:t>
            </w:r>
          </w:p>
        </w:tc>
        <w:tc>
          <w:tcPr>
            <w:tcW w:w="805" w:type="dxa"/>
            <w:gridSpan w:val="2"/>
            <w:hideMark/>
          </w:tcPr>
          <w:p w14:paraId="04231647" w14:textId="77777777" w:rsidR="006B6FC7" w:rsidRPr="006B6FC7" w:rsidRDefault="006B6FC7" w:rsidP="00F54FCC">
            <w:pPr>
              <w:jc w:val="right"/>
              <w:rPr>
                <w:rFonts w:ascii="Arial" w:hAnsi="Arial" w:cs="Arial"/>
                <w:color w:val="000000"/>
              </w:rPr>
            </w:pPr>
            <w:r w:rsidRPr="006B6FC7">
              <w:rPr>
                <w:rFonts w:ascii="Arial" w:hAnsi="Arial" w:cs="Arial"/>
                <w:color w:val="000000"/>
              </w:rPr>
              <w:t>-1,338</w:t>
            </w:r>
          </w:p>
        </w:tc>
        <w:tc>
          <w:tcPr>
            <w:tcW w:w="1463" w:type="dxa"/>
            <w:hideMark/>
          </w:tcPr>
          <w:p w14:paraId="511A49F4" w14:textId="77777777" w:rsidR="006B6FC7" w:rsidRPr="006B6FC7" w:rsidRDefault="006B6FC7" w:rsidP="00F54FCC">
            <w:pPr>
              <w:jc w:val="right"/>
              <w:rPr>
                <w:rFonts w:ascii="Arial" w:hAnsi="Arial" w:cs="Arial"/>
                <w:color w:val="000000"/>
              </w:rPr>
            </w:pPr>
            <w:r w:rsidRPr="006B6FC7">
              <w:rPr>
                <w:rFonts w:ascii="Arial" w:hAnsi="Arial" w:cs="Arial"/>
                <w:color w:val="000000"/>
              </w:rPr>
              <w:t>0.182</w:t>
            </w:r>
          </w:p>
        </w:tc>
      </w:tr>
      <w:tr w:rsidR="006B6FC7" w:rsidRPr="006B6FC7" w14:paraId="102A7F55" w14:textId="77777777" w:rsidTr="006B6FC7">
        <w:trPr>
          <w:trHeight w:val="300"/>
        </w:trPr>
        <w:tc>
          <w:tcPr>
            <w:tcW w:w="8222" w:type="dxa"/>
            <w:gridSpan w:val="10"/>
            <w:hideMark/>
          </w:tcPr>
          <w:p w14:paraId="6067FB8F" w14:textId="77777777" w:rsidR="006B6FC7" w:rsidRPr="006B6FC7" w:rsidRDefault="006B6FC7" w:rsidP="00F54FCC">
            <w:pPr>
              <w:rPr>
                <w:rFonts w:ascii="Arial" w:hAnsi="Arial" w:cs="Arial"/>
                <w:color w:val="000000"/>
              </w:rPr>
            </w:pPr>
            <w:r w:rsidRPr="006B6FC7">
              <w:rPr>
                <w:rFonts w:ascii="Arial" w:hAnsi="Arial" w:cs="Arial"/>
                <w:color w:val="000000"/>
              </w:rPr>
              <w:t xml:space="preserve">a. Dependent Variable: </w:t>
            </w:r>
            <w:proofErr w:type="spellStart"/>
            <w:r w:rsidRPr="006B6FC7">
              <w:rPr>
                <w:rFonts w:ascii="Arial" w:hAnsi="Arial" w:cs="Arial"/>
                <w:color w:val="000000"/>
              </w:rPr>
              <w:t>pbv</w:t>
            </w:r>
            <w:proofErr w:type="spellEnd"/>
          </w:p>
        </w:tc>
      </w:tr>
    </w:tbl>
    <w:p w14:paraId="4963A650"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0EF01B04" w14:textId="77777777" w:rsidR="006B6FC7" w:rsidRPr="006B6FC7" w:rsidRDefault="006B6FC7" w:rsidP="006B6FC7">
      <w:pPr>
        <w:ind w:firstLine="720"/>
        <w:jc w:val="both"/>
        <w:rPr>
          <w:rFonts w:ascii="Arial" w:hAnsi="Arial" w:cs="Arial"/>
          <w:bCs/>
        </w:rPr>
      </w:pPr>
      <w:r w:rsidRPr="006B6FC7">
        <w:rPr>
          <w:rFonts w:ascii="Arial" w:hAnsi="Arial" w:cs="Arial"/>
          <w:bCs/>
        </w:rPr>
        <w:t>The analysis results show that the PBV value is 2,370. Growth has a significant positive effect on PBV (p = 0.000), while age has a significant negative effect (p = 0.002). DER is almost significant with a negative effect on PBV (p = 0.047), and ESG scores have no significant effect (p = 0.197). Overall, growth and age are significant predictors, with growth increasing PBV and age decreasing it.</w:t>
      </w:r>
    </w:p>
    <w:p w14:paraId="2C4914AA" w14:textId="77777777" w:rsidR="006B6FC7" w:rsidRPr="006B6FC7" w:rsidRDefault="006B6FC7" w:rsidP="006B6FC7">
      <w:pPr>
        <w:jc w:val="both"/>
        <w:rPr>
          <w:rFonts w:ascii="Arial" w:hAnsi="Arial" w:cs="Arial"/>
          <w:bCs/>
        </w:rPr>
      </w:pPr>
    </w:p>
    <w:p w14:paraId="0AAA77AE" w14:textId="77777777" w:rsidR="006B6FC7" w:rsidRPr="006B6FC7" w:rsidRDefault="006B6FC7" w:rsidP="006B6FC7">
      <w:pPr>
        <w:jc w:val="both"/>
        <w:rPr>
          <w:rFonts w:ascii="Arial" w:hAnsi="Arial" w:cs="Arial"/>
          <w:bCs/>
        </w:rPr>
      </w:pPr>
      <w:r w:rsidRPr="006B6FC7">
        <w:rPr>
          <w:rFonts w:ascii="Arial" w:hAnsi="Arial" w:cs="Arial"/>
          <w:bCs/>
        </w:rPr>
        <w:t>Coefficient Test Determination (R</w:t>
      </w:r>
      <w:r w:rsidRPr="006B6FC7">
        <w:rPr>
          <w:rFonts w:ascii="Arial" w:hAnsi="Arial" w:cs="Arial"/>
          <w:bCs/>
          <w:vertAlign w:val="superscript"/>
        </w:rPr>
        <w:t>2</w:t>
      </w:r>
      <w:r w:rsidRPr="006B6FC7">
        <w:rPr>
          <w:rFonts w:ascii="Arial" w:hAnsi="Arial" w:cs="Arial"/>
          <w:bCs/>
        </w:rPr>
        <w:t>)</w:t>
      </w:r>
    </w:p>
    <w:tbl>
      <w:tblPr>
        <w:tblW w:w="8232"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1242"/>
        <w:gridCol w:w="1168"/>
        <w:gridCol w:w="1276"/>
        <w:gridCol w:w="1701"/>
        <w:gridCol w:w="2760"/>
        <w:gridCol w:w="85"/>
      </w:tblGrid>
      <w:tr w:rsidR="006B6FC7" w:rsidRPr="006B6FC7" w14:paraId="740F4335" w14:textId="77777777" w:rsidTr="006B6FC7">
        <w:trPr>
          <w:trHeight w:val="284"/>
        </w:trPr>
        <w:tc>
          <w:tcPr>
            <w:tcW w:w="8232" w:type="dxa"/>
            <w:gridSpan w:val="6"/>
            <w:hideMark/>
          </w:tcPr>
          <w:p w14:paraId="48BE1159" w14:textId="77777777" w:rsidR="006B6FC7" w:rsidRPr="006B6FC7" w:rsidRDefault="006B6FC7" w:rsidP="00F54FCC">
            <w:pPr>
              <w:spacing w:line="276" w:lineRule="auto"/>
              <w:rPr>
                <w:rFonts w:ascii="Arial" w:hAnsi="Arial" w:cs="Arial"/>
                <w:b/>
              </w:rPr>
            </w:pPr>
            <w:r w:rsidRPr="006B6FC7">
              <w:rPr>
                <w:rFonts w:ascii="Arial" w:hAnsi="Arial" w:cs="Arial"/>
                <w:b/>
              </w:rPr>
              <w:t>Table 13. Determination Test Results</w:t>
            </w:r>
          </w:p>
          <w:p w14:paraId="3EAC5395" w14:textId="77777777" w:rsidR="006B6FC7" w:rsidRPr="006B6FC7" w:rsidRDefault="006B6FC7" w:rsidP="00F54FCC">
            <w:pPr>
              <w:spacing w:line="276" w:lineRule="auto"/>
              <w:rPr>
                <w:rFonts w:ascii="Arial" w:hAnsi="Arial" w:cs="Arial"/>
                <w:b/>
                <w:i/>
                <w:iCs/>
                <w:vertAlign w:val="superscript"/>
              </w:rPr>
            </w:pPr>
            <w:r w:rsidRPr="006B6FC7">
              <w:rPr>
                <w:rFonts w:ascii="Arial" w:hAnsi="Arial" w:cs="Arial"/>
                <w:b/>
              </w:rPr>
              <w:t xml:space="preserve">Model Summary </w:t>
            </w:r>
            <w:r w:rsidRPr="006B6FC7">
              <w:rPr>
                <w:rFonts w:ascii="Arial" w:hAnsi="Arial" w:cs="Arial"/>
                <w:b/>
                <w:vertAlign w:val="superscript"/>
              </w:rPr>
              <w:t>b</w:t>
            </w:r>
          </w:p>
        </w:tc>
      </w:tr>
      <w:tr w:rsidR="006B6FC7" w:rsidRPr="006B6FC7" w14:paraId="4F9EC73A" w14:textId="77777777" w:rsidTr="006B6FC7">
        <w:trPr>
          <w:gridAfter w:val="1"/>
          <w:wAfter w:w="85" w:type="dxa"/>
          <w:trHeight w:val="552"/>
        </w:trPr>
        <w:tc>
          <w:tcPr>
            <w:tcW w:w="1242" w:type="dxa"/>
            <w:hideMark/>
          </w:tcPr>
          <w:p w14:paraId="08923E6B" w14:textId="77777777" w:rsidR="006B6FC7" w:rsidRPr="006B6FC7" w:rsidRDefault="006B6FC7" w:rsidP="00F54FCC">
            <w:pPr>
              <w:spacing w:line="276" w:lineRule="auto"/>
              <w:jc w:val="center"/>
              <w:rPr>
                <w:rFonts w:ascii="Arial" w:hAnsi="Arial" w:cs="Arial"/>
                <w:b/>
                <w:i/>
                <w:iCs/>
                <w:lang w:val="en"/>
              </w:rPr>
            </w:pPr>
            <w:r w:rsidRPr="006B6FC7">
              <w:rPr>
                <w:rFonts w:ascii="Arial" w:hAnsi="Arial" w:cs="Arial"/>
                <w:b/>
                <w:i/>
                <w:iCs/>
              </w:rPr>
              <w:t>Model</w:t>
            </w:r>
          </w:p>
        </w:tc>
        <w:tc>
          <w:tcPr>
            <w:tcW w:w="1168" w:type="dxa"/>
            <w:hideMark/>
          </w:tcPr>
          <w:p w14:paraId="6D715394" w14:textId="77777777" w:rsidR="006B6FC7" w:rsidRPr="006B6FC7" w:rsidRDefault="006B6FC7" w:rsidP="00F54FCC">
            <w:pPr>
              <w:spacing w:line="276" w:lineRule="auto"/>
              <w:jc w:val="center"/>
              <w:rPr>
                <w:rFonts w:ascii="Arial" w:hAnsi="Arial" w:cs="Arial"/>
                <w:b/>
                <w:i/>
                <w:iCs/>
              </w:rPr>
            </w:pPr>
            <w:r w:rsidRPr="006B6FC7">
              <w:rPr>
                <w:rFonts w:ascii="Arial" w:hAnsi="Arial" w:cs="Arial"/>
                <w:b/>
                <w:i/>
                <w:iCs/>
              </w:rPr>
              <w:t>R</w:t>
            </w:r>
          </w:p>
        </w:tc>
        <w:tc>
          <w:tcPr>
            <w:tcW w:w="1276" w:type="dxa"/>
            <w:hideMark/>
          </w:tcPr>
          <w:p w14:paraId="2FA04443" w14:textId="77777777" w:rsidR="006B6FC7" w:rsidRPr="006B6FC7" w:rsidRDefault="006B6FC7" w:rsidP="00F54FCC">
            <w:pPr>
              <w:spacing w:line="276" w:lineRule="auto"/>
              <w:jc w:val="center"/>
              <w:rPr>
                <w:rFonts w:ascii="Arial" w:hAnsi="Arial" w:cs="Arial"/>
                <w:b/>
                <w:i/>
                <w:iCs/>
              </w:rPr>
            </w:pPr>
            <w:r w:rsidRPr="006B6FC7">
              <w:rPr>
                <w:rFonts w:ascii="Arial" w:hAnsi="Arial" w:cs="Arial"/>
                <w:b/>
                <w:i/>
                <w:iCs/>
              </w:rPr>
              <w:t>R Square</w:t>
            </w:r>
          </w:p>
        </w:tc>
        <w:tc>
          <w:tcPr>
            <w:tcW w:w="1701" w:type="dxa"/>
            <w:hideMark/>
          </w:tcPr>
          <w:p w14:paraId="32677C9B" w14:textId="77777777" w:rsidR="006B6FC7" w:rsidRPr="006B6FC7" w:rsidRDefault="006B6FC7" w:rsidP="00F54FCC">
            <w:pPr>
              <w:spacing w:line="276" w:lineRule="auto"/>
              <w:jc w:val="center"/>
              <w:rPr>
                <w:rFonts w:ascii="Arial" w:hAnsi="Arial" w:cs="Arial"/>
                <w:b/>
                <w:i/>
                <w:iCs/>
              </w:rPr>
            </w:pPr>
            <w:r w:rsidRPr="006B6FC7">
              <w:rPr>
                <w:rFonts w:ascii="Arial" w:hAnsi="Arial" w:cs="Arial"/>
                <w:b/>
                <w:i/>
                <w:iCs/>
              </w:rPr>
              <w:t>Adjusted R Square</w:t>
            </w:r>
          </w:p>
        </w:tc>
        <w:tc>
          <w:tcPr>
            <w:tcW w:w="2760" w:type="dxa"/>
            <w:hideMark/>
          </w:tcPr>
          <w:p w14:paraId="47241DF9" w14:textId="77777777" w:rsidR="006B6FC7" w:rsidRPr="006B6FC7" w:rsidRDefault="006B6FC7" w:rsidP="00F54FCC">
            <w:pPr>
              <w:spacing w:line="276" w:lineRule="auto"/>
              <w:jc w:val="center"/>
              <w:rPr>
                <w:rFonts w:ascii="Arial" w:hAnsi="Arial" w:cs="Arial"/>
                <w:b/>
                <w:i/>
                <w:iCs/>
              </w:rPr>
            </w:pPr>
            <w:r w:rsidRPr="006B6FC7">
              <w:rPr>
                <w:rFonts w:ascii="Arial" w:hAnsi="Arial" w:cs="Arial"/>
                <w:b/>
                <w:i/>
                <w:iCs/>
              </w:rPr>
              <w:t>Std. Error of the Estimate</w:t>
            </w:r>
          </w:p>
        </w:tc>
      </w:tr>
      <w:tr w:rsidR="006B6FC7" w:rsidRPr="006B6FC7" w14:paraId="7E0BF3C0" w14:textId="77777777" w:rsidTr="006B6FC7">
        <w:trPr>
          <w:gridAfter w:val="1"/>
          <w:wAfter w:w="85" w:type="dxa"/>
          <w:trHeight w:val="299"/>
        </w:trPr>
        <w:tc>
          <w:tcPr>
            <w:tcW w:w="1242" w:type="dxa"/>
            <w:hideMark/>
          </w:tcPr>
          <w:p w14:paraId="194DD9E2" w14:textId="77777777" w:rsidR="006B6FC7" w:rsidRPr="006B6FC7" w:rsidRDefault="006B6FC7" w:rsidP="00F54FCC">
            <w:pPr>
              <w:spacing w:line="276" w:lineRule="auto"/>
              <w:jc w:val="both"/>
              <w:rPr>
                <w:rFonts w:ascii="Arial" w:hAnsi="Arial" w:cs="Arial"/>
              </w:rPr>
            </w:pPr>
            <w:r w:rsidRPr="006B6FC7">
              <w:rPr>
                <w:rFonts w:ascii="Arial" w:hAnsi="Arial" w:cs="Arial"/>
              </w:rPr>
              <w:t>1</w:t>
            </w:r>
          </w:p>
        </w:tc>
        <w:tc>
          <w:tcPr>
            <w:tcW w:w="1168" w:type="dxa"/>
            <w:hideMark/>
          </w:tcPr>
          <w:p w14:paraId="5AAC7676" w14:textId="77777777" w:rsidR="006B6FC7" w:rsidRPr="006B6FC7" w:rsidRDefault="006B6FC7" w:rsidP="00F54FCC">
            <w:pPr>
              <w:spacing w:line="276" w:lineRule="auto"/>
              <w:jc w:val="right"/>
              <w:rPr>
                <w:rFonts w:ascii="Arial" w:hAnsi="Arial" w:cs="Arial"/>
                <w:vertAlign w:val="superscript"/>
              </w:rPr>
            </w:pPr>
            <w:r w:rsidRPr="006B6FC7">
              <w:rPr>
                <w:rFonts w:ascii="Arial" w:hAnsi="Arial" w:cs="Arial"/>
              </w:rPr>
              <w:t xml:space="preserve">.377 </w:t>
            </w:r>
            <w:r w:rsidRPr="006B6FC7">
              <w:rPr>
                <w:rFonts w:ascii="Arial" w:hAnsi="Arial" w:cs="Arial"/>
                <w:vertAlign w:val="superscript"/>
              </w:rPr>
              <w:t>a</w:t>
            </w:r>
          </w:p>
        </w:tc>
        <w:tc>
          <w:tcPr>
            <w:tcW w:w="1276" w:type="dxa"/>
            <w:hideMark/>
          </w:tcPr>
          <w:p w14:paraId="25497206" w14:textId="77777777" w:rsidR="006B6FC7" w:rsidRPr="006B6FC7" w:rsidRDefault="006B6FC7" w:rsidP="00F54FCC">
            <w:pPr>
              <w:spacing w:line="276" w:lineRule="auto"/>
              <w:jc w:val="right"/>
              <w:rPr>
                <w:rFonts w:ascii="Arial" w:hAnsi="Arial" w:cs="Arial"/>
              </w:rPr>
            </w:pPr>
            <w:r w:rsidRPr="006B6FC7">
              <w:rPr>
                <w:rFonts w:ascii="Arial" w:hAnsi="Arial" w:cs="Arial"/>
              </w:rPr>
              <w:t>,142</w:t>
            </w:r>
          </w:p>
        </w:tc>
        <w:tc>
          <w:tcPr>
            <w:tcW w:w="1701" w:type="dxa"/>
            <w:hideMark/>
          </w:tcPr>
          <w:p w14:paraId="0DA80BE7" w14:textId="77777777" w:rsidR="006B6FC7" w:rsidRPr="006B6FC7" w:rsidRDefault="006B6FC7" w:rsidP="00F54FCC">
            <w:pPr>
              <w:spacing w:line="276" w:lineRule="auto"/>
              <w:jc w:val="right"/>
              <w:rPr>
                <w:rFonts w:ascii="Arial" w:hAnsi="Arial" w:cs="Arial"/>
              </w:rPr>
            </w:pPr>
            <w:r w:rsidRPr="006B6FC7">
              <w:rPr>
                <w:rFonts w:ascii="Arial" w:hAnsi="Arial" w:cs="Arial"/>
              </w:rPr>
              <w:t>,123</w:t>
            </w:r>
          </w:p>
        </w:tc>
        <w:tc>
          <w:tcPr>
            <w:tcW w:w="2760" w:type="dxa"/>
            <w:hideMark/>
          </w:tcPr>
          <w:p w14:paraId="02DD477B" w14:textId="77777777" w:rsidR="006B6FC7" w:rsidRPr="006B6FC7" w:rsidRDefault="006B6FC7" w:rsidP="00F54FCC">
            <w:pPr>
              <w:spacing w:line="276" w:lineRule="auto"/>
              <w:jc w:val="right"/>
              <w:rPr>
                <w:rFonts w:ascii="Arial" w:hAnsi="Arial" w:cs="Arial"/>
              </w:rPr>
            </w:pPr>
            <w:r w:rsidRPr="006B6FC7">
              <w:rPr>
                <w:rFonts w:ascii="Arial" w:hAnsi="Arial" w:cs="Arial"/>
              </w:rPr>
              <w:t>1.82906</w:t>
            </w:r>
          </w:p>
        </w:tc>
      </w:tr>
      <w:tr w:rsidR="006B6FC7" w:rsidRPr="006B6FC7" w14:paraId="4214845F" w14:textId="77777777" w:rsidTr="006B6FC7">
        <w:trPr>
          <w:trHeight w:val="276"/>
        </w:trPr>
        <w:tc>
          <w:tcPr>
            <w:tcW w:w="8232" w:type="dxa"/>
            <w:gridSpan w:val="6"/>
            <w:hideMark/>
          </w:tcPr>
          <w:p w14:paraId="2B930431" w14:textId="77777777" w:rsidR="006B6FC7" w:rsidRPr="006B6FC7" w:rsidRDefault="006B6FC7" w:rsidP="00F54FCC">
            <w:pPr>
              <w:spacing w:line="276" w:lineRule="auto"/>
              <w:jc w:val="both"/>
              <w:rPr>
                <w:rFonts w:ascii="Arial" w:hAnsi="Arial" w:cs="Arial"/>
              </w:rPr>
            </w:pPr>
            <w:r w:rsidRPr="006B6FC7">
              <w:rPr>
                <w:rFonts w:ascii="Arial" w:hAnsi="Arial" w:cs="Arial"/>
              </w:rPr>
              <w:t xml:space="preserve">a. Predictors: (Constant), </w:t>
            </w:r>
            <w:proofErr w:type="gramStart"/>
            <w:r w:rsidRPr="006B6FC7">
              <w:rPr>
                <w:rFonts w:ascii="Arial" w:hAnsi="Arial" w:cs="Arial"/>
              </w:rPr>
              <w:t>industry ,</w:t>
            </w:r>
            <w:proofErr w:type="gramEnd"/>
            <w:r w:rsidRPr="006B6FC7">
              <w:rPr>
                <w:rFonts w:ascii="Arial" w:hAnsi="Arial" w:cs="Arial"/>
              </w:rPr>
              <w:t xml:space="preserve"> </w:t>
            </w:r>
            <w:proofErr w:type="spellStart"/>
            <w:r w:rsidRPr="006B6FC7">
              <w:rPr>
                <w:rFonts w:ascii="Arial" w:hAnsi="Arial" w:cs="Arial"/>
              </w:rPr>
              <w:t>esg</w:t>
            </w:r>
            <w:proofErr w:type="spellEnd"/>
            <w:r w:rsidRPr="006B6FC7">
              <w:rPr>
                <w:rFonts w:ascii="Arial" w:hAnsi="Arial" w:cs="Arial"/>
              </w:rPr>
              <w:t xml:space="preserve"> score, growth, age, der</w:t>
            </w:r>
          </w:p>
        </w:tc>
      </w:tr>
      <w:tr w:rsidR="006B6FC7" w:rsidRPr="006B6FC7" w14:paraId="7D91072E" w14:textId="77777777" w:rsidTr="006B6FC7">
        <w:trPr>
          <w:trHeight w:val="276"/>
        </w:trPr>
        <w:tc>
          <w:tcPr>
            <w:tcW w:w="8232" w:type="dxa"/>
            <w:gridSpan w:val="6"/>
            <w:hideMark/>
          </w:tcPr>
          <w:p w14:paraId="28270FAC" w14:textId="77777777" w:rsidR="006B6FC7" w:rsidRPr="006B6FC7" w:rsidRDefault="006B6FC7" w:rsidP="00F54FCC">
            <w:pPr>
              <w:spacing w:line="276" w:lineRule="auto"/>
              <w:jc w:val="both"/>
              <w:rPr>
                <w:rFonts w:ascii="Arial" w:hAnsi="Arial" w:cs="Arial"/>
              </w:rPr>
            </w:pPr>
            <w:r w:rsidRPr="006B6FC7">
              <w:rPr>
                <w:rFonts w:ascii="Arial" w:hAnsi="Arial" w:cs="Arial"/>
              </w:rPr>
              <w:t xml:space="preserve">b. Dependent Variable: </w:t>
            </w:r>
            <w:proofErr w:type="spellStart"/>
            <w:r w:rsidRPr="006B6FC7">
              <w:rPr>
                <w:rFonts w:ascii="Arial" w:hAnsi="Arial" w:cs="Arial"/>
              </w:rPr>
              <w:t>pbv</w:t>
            </w:r>
            <w:proofErr w:type="spellEnd"/>
          </w:p>
        </w:tc>
      </w:tr>
    </w:tbl>
    <w:p w14:paraId="3FCD7DC6"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6061F2AC" w14:textId="066E083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The regression model shows a correlation coefficient (R) of 0.377, which indicates a weak relationship between the predictors and PBV. This suggests that while the independent variables have some influence on the dependent variable, the strength of the relationship is modest. The R Square value of 14.2% indicates that the model explains only a small portion of the variation in PBV, meaning that more than 85% of the variation in PBV is explained by factors not included in the model. Additionally, the Adjusted R Square of 12.3% further confirms that the model’s explanatory power is limited when accounting for the number of predictors included. The Standard Error of the Estimate of 1.82906 suggests that the model’s predictions have a relatively high level of inaccuracy, with a significant margin of error between the predicted and observed PBV values. This implies that the model may not be fully capturing the complexity of the factors affecting PBV, and there may be other unconsidered variables that influence the dependent variable. Overall, while the regression model is statistically significant, its relatively low explanatory power and high inaccuracy indicate the need for further refinement, such as incorporating additional predictors or exploring alternative modeling techniques.</w:t>
      </w:r>
    </w:p>
    <w:p w14:paraId="28A78861"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The Influence of the Level of ESG Disclosure on Profitability</w:t>
      </w:r>
    </w:p>
    <w:tbl>
      <w:tblPr>
        <w:tblW w:w="8241"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1276"/>
        <w:gridCol w:w="1417"/>
        <w:gridCol w:w="1418"/>
        <w:gridCol w:w="1305"/>
        <w:gridCol w:w="1125"/>
        <w:gridCol w:w="1642"/>
        <w:gridCol w:w="58"/>
      </w:tblGrid>
      <w:tr w:rsidR="006B6FC7" w:rsidRPr="006B6FC7" w14:paraId="162CA1F4" w14:textId="77777777" w:rsidTr="006B6FC7">
        <w:trPr>
          <w:gridAfter w:val="1"/>
          <w:wAfter w:w="58" w:type="dxa"/>
          <w:trHeight w:val="315"/>
        </w:trPr>
        <w:tc>
          <w:tcPr>
            <w:tcW w:w="8183" w:type="dxa"/>
            <w:gridSpan w:val="6"/>
            <w:hideMark/>
          </w:tcPr>
          <w:p w14:paraId="3E27A730" w14:textId="77777777" w:rsidR="006B6FC7" w:rsidRPr="006B6FC7" w:rsidRDefault="006B6FC7" w:rsidP="00F54FCC">
            <w:pPr>
              <w:spacing w:line="276" w:lineRule="auto"/>
              <w:rPr>
                <w:rFonts w:ascii="Arial" w:hAnsi="Arial" w:cs="Arial"/>
                <w:b/>
              </w:rPr>
            </w:pPr>
            <w:r w:rsidRPr="006B6FC7">
              <w:rPr>
                <w:rFonts w:ascii="Arial" w:hAnsi="Arial" w:cs="Arial"/>
                <w:b/>
              </w:rPr>
              <w:t>Table 14. Statistical Test Results Descriptive</w:t>
            </w:r>
          </w:p>
          <w:p w14:paraId="1245ADE3" w14:textId="77777777" w:rsidR="006B6FC7" w:rsidRPr="006B6FC7" w:rsidRDefault="006B6FC7" w:rsidP="00F54FCC">
            <w:pPr>
              <w:spacing w:line="276" w:lineRule="auto"/>
              <w:rPr>
                <w:rFonts w:ascii="Arial" w:hAnsi="Arial" w:cs="Arial"/>
                <w:b/>
                <w:i/>
                <w:iCs/>
              </w:rPr>
            </w:pPr>
            <w:r w:rsidRPr="006B6FC7">
              <w:rPr>
                <w:rFonts w:ascii="Arial" w:hAnsi="Arial" w:cs="Arial"/>
                <w:b/>
              </w:rPr>
              <w:t>Descriptive Statistics</w:t>
            </w:r>
          </w:p>
        </w:tc>
      </w:tr>
      <w:tr w:rsidR="006B6FC7" w:rsidRPr="006B6FC7" w14:paraId="0CB8C5B9" w14:textId="77777777" w:rsidTr="006B6FC7">
        <w:trPr>
          <w:trHeight w:val="420"/>
        </w:trPr>
        <w:tc>
          <w:tcPr>
            <w:tcW w:w="1276" w:type="dxa"/>
          </w:tcPr>
          <w:p w14:paraId="494DC1DE" w14:textId="77777777" w:rsidR="006B6FC7" w:rsidRPr="006B6FC7" w:rsidRDefault="006B6FC7" w:rsidP="00F54FCC">
            <w:pPr>
              <w:spacing w:line="276" w:lineRule="auto"/>
              <w:jc w:val="center"/>
              <w:rPr>
                <w:rFonts w:ascii="Arial" w:hAnsi="Arial" w:cs="Arial"/>
                <w:b/>
                <w:i/>
                <w:iCs/>
              </w:rPr>
            </w:pPr>
          </w:p>
        </w:tc>
        <w:tc>
          <w:tcPr>
            <w:tcW w:w="1417" w:type="dxa"/>
            <w:hideMark/>
          </w:tcPr>
          <w:p w14:paraId="47132C47" w14:textId="77777777" w:rsidR="006B6FC7" w:rsidRPr="006B6FC7" w:rsidRDefault="006B6FC7" w:rsidP="00F54FCC">
            <w:pPr>
              <w:spacing w:line="276" w:lineRule="auto"/>
              <w:jc w:val="center"/>
              <w:rPr>
                <w:rFonts w:ascii="Arial" w:hAnsi="Arial" w:cs="Arial"/>
                <w:b/>
              </w:rPr>
            </w:pPr>
            <w:r w:rsidRPr="006B6FC7">
              <w:rPr>
                <w:rFonts w:ascii="Arial" w:hAnsi="Arial" w:cs="Arial"/>
                <w:b/>
              </w:rPr>
              <w:t>N</w:t>
            </w:r>
          </w:p>
        </w:tc>
        <w:tc>
          <w:tcPr>
            <w:tcW w:w="1418" w:type="dxa"/>
            <w:hideMark/>
          </w:tcPr>
          <w:p w14:paraId="45967656" w14:textId="77777777" w:rsidR="006B6FC7" w:rsidRPr="006B6FC7" w:rsidRDefault="006B6FC7" w:rsidP="00F54FCC">
            <w:pPr>
              <w:spacing w:line="276" w:lineRule="auto"/>
              <w:jc w:val="center"/>
              <w:rPr>
                <w:rFonts w:ascii="Arial" w:hAnsi="Arial" w:cs="Arial"/>
                <w:b/>
              </w:rPr>
            </w:pPr>
            <w:r w:rsidRPr="006B6FC7">
              <w:rPr>
                <w:rFonts w:ascii="Arial" w:hAnsi="Arial" w:cs="Arial"/>
                <w:b/>
              </w:rPr>
              <w:t>Minimum</w:t>
            </w:r>
          </w:p>
        </w:tc>
        <w:tc>
          <w:tcPr>
            <w:tcW w:w="1305" w:type="dxa"/>
            <w:hideMark/>
          </w:tcPr>
          <w:p w14:paraId="38469337" w14:textId="77777777" w:rsidR="006B6FC7" w:rsidRPr="006B6FC7" w:rsidRDefault="006B6FC7" w:rsidP="00F54FCC">
            <w:pPr>
              <w:spacing w:line="276" w:lineRule="auto"/>
              <w:jc w:val="center"/>
              <w:rPr>
                <w:rFonts w:ascii="Arial" w:hAnsi="Arial" w:cs="Arial"/>
                <w:b/>
              </w:rPr>
            </w:pPr>
            <w:r w:rsidRPr="006B6FC7">
              <w:rPr>
                <w:rFonts w:ascii="Arial" w:hAnsi="Arial" w:cs="Arial"/>
                <w:b/>
              </w:rPr>
              <w:t>Maximum</w:t>
            </w:r>
          </w:p>
        </w:tc>
        <w:tc>
          <w:tcPr>
            <w:tcW w:w="1125" w:type="dxa"/>
            <w:hideMark/>
          </w:tcPr>
          <w:p w14:paraId="068A73E2" w14:textId="77777777" w:rsidR="006B6FC7" w:rsidRPr="006B6FC7" w:rsidRDefault="006B6FC7" w:rsidP="00F54FCC">
            <w:pPr>
              <w:spacing w:line="276" w:lineRule="auto"/>
              <w:jc w:val="center"/>
              <w:rPr>
                <w:rFonts w:ascii="Arial" w:hAnsi="Arial" w:cs="Arial"/>
                <w:b/>
              </w:rPr>
            </w:pPr>
            <w:r w:rsidRPr="006B6FC7">
              <w:rPr>
                <w:rFonts w:ascii="Arial" w:hAnsi="Arial" w:cs="Arial"/>
                <w:b/>
              </w:rPr>
              <w:t>Mean</w:t>
            </w:r>
          </w:p>
        </w:tc>
        <w:tc>
          <w:tcPr>
            <w:tcW w:w="1700" w:type="dxa"/>
            <w:gridSpan w:val="2"/>
            <w:hideMark/>
          </w:tcPr>
          <w:p w14:paraId="088C62D9" w14:textId="77777777" w:rsidR="006B6FC7" w:rsidRPr="006B6FC7" w:rsidRDefault="006B6FC7" w:rsidP="00F54FCC">
            <w:pPr>
              <w:spacing w:line="276" w:lineRule="auto"/>
              <w:jc w:val="center"/>
              <w:rPr>
                <w:rFonts w:ascii="Arial" w:hAnsi="Arial" w:cs="Arial"/>
                <w:b/>
              </w:rPr>
            </w:pPr>
            <w:r w:rsidRPr="006B6FC7">
              <w:rPr>
                <w:rFonts w:ascii="Arial" w:hAnsi="Arial" w:cs="Arial"/>
                <w:b/>
              </w:rPr>
              <w:t>Std. Deviation</w:t>
            </w:r>
          </w:p>
        </w:tc>
      </w:tr>
      <w:tr w:rsidR="006B6FC7" w:rsidRPr="006B6FC7" w14:paraId="7A3653CD" w14:textId="77777777" w:rsidTr="006B6FC7">
        <w:trPr>
          <w:trHeight w:val="315"/>
        </w:trPr>
        <w:tc>
          <w:tcPr>
            <w:tcW w:w="1276" w:type="dxa"/>
            <w:hideMark/>
          </w:tcPr>
          <w:p w14:paraId="2786081A" w14:textId="77777777" w:rsidR="006B6FC7" w:rsidRPr="006B6FC7" w:rsidRDefault="006B6FC7" w:rsidP="00F54FCC">
            <w:pPr>
              <w:spacing w:line="276" w:lineRule="auto"/>
              <w:rPr>
                <w:rFonts w:ascii="Arial" w:hAnsi="Arial" w:cs="Arial"/>
              </w:rPr>
            </w:pPr>
            <w:r w:rsidRPr="006B6FC7">
              <w:rPr>
                <w:rFonts w:ascii="Arial" w:hAnsi="Arial" w:cs="Arial"/>
              </w:rPr>
              <w:t>road</w:t>
            </w:r>
          </w:p>
        </w:tc>
        <w:tc>
          <w:tcPr>
            <w:tcW w:w="1417" w:type="dxa"/>
            <w:hideMark/>
          </w:tcPr>
          <w:p w14:paraId="5BF18245" w14:textId="77777777" w:rsidR="006B6FC7" w:rsidRPr="006B6FC7" w:rsidRDefault="006B6FC7" w:rsidP="00F54FCC">
            <w:pPr>
              <w:spacing w:line="276" w:lineRule="auto"/>
              <w:jc w:val="right"/>
              <w:rPr>
                <w:rFonts w:ascii="Arial" w:hAnsi="Arial" w:cs="Arial"/>
              </w:rPr>
            </w:pPr>
            <w:r w:rsidRPr="006B6FC7">
              <w:rPr>
                <w:rFonts w:ascii="Arial" w:hAnsi="Arial" w:cs="Arial"/>
              </w:rPr>
              <w:t>234</w:t>
            </w:r>
          </w:p>
        </w:tc>
        <w:tc>
          <w:tcPr>
            <w:tcW w:w="1418" w:type="dxa"/>
            <w:hideMark/>
          </w:tcPr>
          <w:p w14:paraId="5B1F6D14" w14:textId="77777777" w:rsidR="006B6FC7" w:rsidRPr="006B6FC7" w:rsidRDefault="006B6FC7" w:rsidP="00F54FCC">
            <w:pPr>
              <w:spacing w:line="276" w:lineRule="auto"/>
              <w:jc w:val="right"/>
              <w:rPr>
                <w:rFonts w:ascii="Arial" w:hAnsi="Arial" w:cs="Arial"/>
              </w:rPr>
            </w:pPr>
            <w:r w:rsidRPr="006B6FC7">
              <w:rPr>
                <w:rFonts w:ascii="Arial" w:hAnsi="Arial" w:cs="Arial"/>
              </w:rPr>
              <w:t>-,58</w:t>
            </w:r>
          </w:p>
        </w:tc>
        <w:tc>
          <w:tcPr>
            <w:tcW w:w="1305" w:type="dxa"/>
            <w:hideMark/>
          </w:tcPr>
          <w:p w14:paraId="5FA87433" w14:textId="77777777" w:rsidR="006B6FC7" w:rsidRPr="006B6FC7" w:rsidRDefault="006B6FC7" w:rsidP="00F54FCC">
            <w:pPr>
              <w:spacing w:line="276" w:lineRule="auto"/>
              <w:jc w:val="right"/>
              <w:rPr>
                <w:rFonts w:ascii="Arial" w:hAnsi="Arial" w:cs="Arial"/>
              </w:rPr>
            </w:pPr>
            <w:r w:rsidRPr="006B6FC7">
              <w:rPr>
                <w:rFonts w:ascii="Arial" w:hAnsi="Arial" w:cs="Arial"/>
              </w:rPr>
              <w:t>2.32</w:t>
            </w:r>
          </w:p>
        </w:tc>
        <w:tc>
          <w:tcPr>
            <w:tcW w:w="1125" w:type="dxa"/>
            <w:hideMark/>
          </w:tcPr>
          <w:p w14:paraId="5C7EC3DC" w14:textId="77777777" w:rsidR="006B6FC7" w:rsidRPr="006B6FC7" w:rsidRDefault="006B6FC7" w:rsidP="00F54FCC">
            <w:pPr>
              <w:spacing w:line="276" w:lineRule="auto"/>
              <w:jc w:val="right"/>
              <w:rPr>
                <w:rFonts w:ascii="Arial" w:hAnsi="Arial" w:cs="Arial"/>
              </w:rPr>
            </w:pPr>
            <w:r w:rsidRPr="006B6FC7">
              <w:rPr>
                <w:rFonts w:ascii="Arial" w:hAnsi="Arial" w:cs="Arial"/>
              </w:rPr>
              <w:t>,0675</w:t>
            </w:r>
          </w:p>
        </w:tc>
        <w:tc>
          <w:tcPr>
            <w:tcW w:w="1700" w:type="dxa"/>
            <w:gridSpan w:val="2"/>
            <w:hideMark/>
          </w:tcPr>
          <w:p w14:paraId="062CA804" w14:textId="77777777" w:rsidR="006B6FC7" w:rsidRPr="006B6FC7" w:rsidRDefault="006B6FC7" w:rsidP="00F54FCC">
            <w:pPr>
              <w:spacing w:line="276" w:lineRule="auto"/>
              <w:jc w:val="right"/>
              <w:rPr>
                <w:rFonts w:ascii="Arial" w:hAnsi="Arial" w:cs="Arial"/>
              </w:rPr>
            </w:pPr>
            <w:r w:rsidRPr="006B6FC7">
              <w:rPr>
                <w:rFonts w:ascii="Arial" w:hAnsi="Arial" w:cs="Arial"/>
              </w:rPr>
              <w:t>,19982</w:t>
            </w:r>
          </w:p>
        </w:tc>
      </w:tr>
      <w:tr w:rsidR="006B6FC7" w:rsidRPr="006B6FC7" w14:paraId="1C15B7FE" w14:textId="77777777" w:rsidTr="006B6FC7">
        <w:trPr>
          <w:trHeight w:val="420"/>
        </w:trPr>
        <w:tc>
          <w:tcPr>
            <w:tcW w:w="1276" w:type="dxa"/>
            <w:hideMark/>
          </w:tcPr>
          <w:p w14:paraId="1139E213" w14:textId="77777777" w:rsidR="006B6FC7" w:rsidRPr="006B6FC7" w:rsidRDefault="006B6FC7" w:rsidP="00F54FCC">
            <w:pPr>
              <w:spacing w:line="276" w:lineRule="auto"/>
              <w:rPr>
                <w:rFonts w:ascii="Arial" w:hAnsi="Arial" w:cs="Arial"/>
              </w:rPr>
            </w:pPr>
            <w:proofErr w:type="spellStart"/>
            <w:r w:rsidRPr="006B6FC7">
              <w:rPr>
                <w:rFonts w:ascii="Arial" w:hAnsi="Arial" w:cs="Arial"/>
              </w:rPr>
              <w:t>esg</w:t>
            </w:r>
            <w:proofErr w:type="spellEnd"/>
            <w:r w:rsidRPr="006B6FC7">
              <w:rPr>
                <w:rFonts w:ascii="Arial" w:hAnsi="Arial" w:cs="Arial"/>
              </w:rPr>
              <w:t xml:space="preserve"> score</w:t>
            </w:r>
          </w:p>
        </w:tc>
        <w:tc>
          <w:tcPr>
            <w:tcW w:w="1417" w:type="dxa"/>
            <w:hideMark/>
          </w:tcPr>
          <w:p w14:paraId="74A2BD74" w14:textId="77777777" w:rsidR="006B6FC7" w:rsidRPr="006B6FC7" w:rsidRDefault="006B6FC7" w:rsidP="00F54FCC">
            <w:pPr>
              <w:spacing w:line="276" w:lineRule="auto"/>
              <w:jc w:val="right"/>
              <w:rPr>
                <w:rFonts w:ascii="Arial" w:hAnsi="Arial" w:cs="Arial"/>
              </w:rPr>
            </w:pPr>
            <w:r w:rsidRPr="006B6FC7">
              <w:rPr>
                <w:rFonts w:ascii="Arial" w:hAnsi="Arial" w:cs="Arial"/>
              </w:rPr>
              <w:t>234</w:t>
            </w:r>
          </w:p>
        </w:tc>
        <w:tc>
          <w:tcPr>
            <w:tcW w:w="1418" w:type="dxa"/>
            <w:hideMark/>
          </w:tcPr>
          <w:p w14:paraId="224B0114" w14:textId="77777777" w:rsidR="006B6FC7" w:rsidRPr="006B6FC7" w:rsidRDefault="006B6FC7" w:rsidP="00F54FCC">
            <w:pPr>
              <w:spacing w:line="276" w:lineRule="auto"/>
              <w:jc w:val="right"/>
              <w:rPr>
                <w:rFonts w:ascii="Arial" w:hAnsi="Arial" w:cs="Arial"/>
              </w:rPr>
            </w:pPr>
            <w:r w:rsidRPr="006B6FC7">
              <w:rPr>
                <w:rFonts w:ascii="Arial" w:hAnsi="Arial" w:cs="Arial"/>
              </w:rPr>
              <w:t>0.00</w:t>
            </w:r>
          </w:p>
        </w:tc>
        <w:tc>
          <w:tcPr>
            <w:tcW w:w="1305" w:type="dxa"/>
            <w:hideMark/>
          </w:tcPr>
          <w:p w14:paraId="3275325C" w14:textId="77777777" w:rsidR="006B6FC7" w:rsidRPr="006B6FC7" w:rsidRDefault="006B6FC7" w:rsidP="00F54FCC">
            <w:pPr>
              <w:spacing w:line="276" w:lineRule="auto"/>
              <w:jc w:val="right"/>
              <w:rPr>
                <w:rFonts w:ascii="Arial" w:hAnsi="Arial" w:cs="Arial"/>
              </w:rPr>
            </w:pPr>
            <w:r w:rsidRPr="006B6FC7">
              <w:rPr>
                <w:rFonts w:ascii="Arial" w:hAnsi="Arial" w:cs="Arial"/>
              </w:rPr>
              <w:t>1.00</w:t>
            </w:r>
          </w:p>
        </w:tc>
        <w:tc>
          <w:tcPr>
            <w:tcW w:w="1125" w:type="dxa"/>
            <w:hideMark/>
          </w:tcPr>
          <w:p w14:paraId="5519C1F2" w14:textId="77777777" w:rsidR="006B6FC7" w:rsidRPr="006B6FC7" w:rsidRDefault="006B6FC7" w:rsidP="00F54FCC">
            <w:pPr>
              <w:spacing w:line="276" w:lineRule="auto"/>
              <w:jc w:val="right"/>
              <w:rPr>
                <w:rFonts w:ascii="Arial" w:hAnsi="Arial" w:cs="Arial"/>
              </w:rPr>
            </w:pPr>
            <w:r w:rsidRPr="006B6FC7">
              <w:rPr>
                <w:rFonts w:ascii="Arial" w:hAnsi="Arial" w:cs="Arial"/>
              </w:rPr>
              <w:t>,4808</w:t>
            </w:r>
          </w:p>
        </w:tc>
        <w:tc>
          <w:tcPr>
            <w:tcW w:w="1700" w:type="dxa"/>
            <w:gridSpan w:val="2"/>
            <w:hideMark/>
          </w:tcPr>
          <w:p w14:paraId="5832488A" w14:textId="77777777" w:rsidR="006B6FC7" w:rsidRPr="006B6FC7" w:rsidRDefault="006B6FC7" w:rsidP="00F54FCC">
            <w:pPr>
              <w:spacing w:line="276" w:lineRule="auto"/>
              <w:jc w:val="right"/>
              <w:rPr>
                <w:rFonts w:ascii="Arial" w:hAnsi="Arial" w:cs="Arial"/>
              </w:rPr>
            </w:pPr>
            <w:r w:rsidRPr="006B6FC7">
              <w:rPr>
                <w:rFonts w:ascii="Arial" w:hAnsi="Arial" w:cs="Arial"/>
              </w:rPr>
              <w:t>,21478</w:t>
            </w:r>
          </w:p>
        </w:tc>
      </w:tr>
      <w:tr w:rsidR="006B6FC7" w:rsidRPr="006B6FC7" w14:paraId="1612BA9B" w14:textId="77777777" w:rsidTr="006B6FC7">
        <w:trPr>
          <w:trHeight w:val="300"/>
        </w:trPr>
        <w:tc>
          <w:tcPr>
            <w:tcW w:w="1276" w:type="dxa"/>
            <w:hideMark/>
          </w:tcPr>
          <w:p w14:paraId="0840474B" w14:textId="77777777" w:rsidR="006B6FC7" w:rsidRPr="006B6FC7" w:rsidRDefault="006B6FC7" w:rsidP="00F54FCC">
            <w:pPr>
              <w:spacing w:line="276" w:lineRule="auto"/>
              <w:rPr>
                <w:rFonts w:ascii="Arial" w:hAnsi="Arial" w:cs="Arial"/>
              </w:rPr>
            </w:pPr>
            <w:r w:rsidRPr="006B6FC7">
              <w:rPr>
                <w:rFonts w:ascii="Arial" w:hAnsi="Arial" w:cs="Arial"/>
              </w:rPr>
              <w:t>growth</w:t>
            </w:r>
          </w:p>
        </w:tc>
        <w:tc>
          <w:tcPr>
            <w:tcW w:w="1417" w:type="dxa"/>
            <w:hideMark/>
          </w:tcPr>
          <w:p w14:paraId="24FBCEAE" w14:textId="77777777" w:rsidR="006B6FC7" w:rsidRPr="006B6FC7" w:rsidRDefault="006B6FC7" w:rsidP="00F54FCC">
            <w:pPr>
              <w:spacing w:line="276" w:lineRule="auto"/>
              <w:jc w:val="right"/>
              <w:rPr>
                <w:rFonts w:ascii="Arial" w:hAnsi="Arial" w:cs="Arial"/>
              </w:rPr>
            </w:pPr>
            <w:r w:rsidRPr="006B6FC7">
              <w:rPr>
                <w:rFonts w:ascii="Arial" w:hAnsi="Arial" w:cs="Arial"/>
              </w:rPr>
              <w:t>234</w:t>
            </w:r>
          </w:p>
        </w:tc>
        <w:tc>
          <w:tcPr>
            <w:tcW w:w="1418" w:type="dxa"/>
            <w:hideMark/>
          </w:tcPr>
          <w:p w14:paraId="6B34B928" w14:textId="77777777" w:rsidR="006B6FC7" w:rsidRPr="006B6FC7" w:rsidRDefault="006B6FC7" w:rsidP="00F54FCC">
            <w:pPr>
              <w:spacing w:line="276" w:lineRule="auto"/>
              <w:jc w:val="right"/>
              <w:rPr>
                <w:rFonts w:ascii="Arial" w:hAnsi="Arial" w:cs="Arial"/>
              </w:rPr>
            </w:pPr>
            <w:r w:rsidRPr="006B6FC7">
              <w:rPr>
                <w:rFonts w:ascii="Arial" w:hAnsi="Arial" w:cs="Arial"/>
              </w:rPr>
              <w:t>-,75</w:t>
            </w:r>
          </w:p>
        </w:tc>
        <w:tc>
          <w:tcPr>
            <w:tcW w:w="1305" w:type="dxa"/>
            <w:hideMark/>
          </w:tcPr>
          <w:p w14:paraId="60B02C77" w14:textId="77777777" w:rsidR="006B6FC7" w:rsidRPr="006B6FC7" w:rsidRDefault="006B6FC7" w:rsidP="00F54FCC">
            <w:pPr>
              <w:spacing w:line="276" w:lineRule="auto"/>
              <w:jc w:val="right"/>
              <w:rPr>
                <w:rFonts w:ascii="Arial" w:hAnsi="Arial" w:cs="Arial"/>
              </w:rPr>
            </w:pPr>
            <w:r w:rsidRPr="006B6FC7">
              <w:rPr>
                <w:rFonts w:ascii="Arial" w:hAnsi="Arial" w:cs="Arial"/>
              </w:rPr>
              <w:t>9.49</w:t>
            </w:r>
          </w:p>
        </w:tc>
        <w:tc>
          <w:tcPr>
            <w:tcW w:w="1125" w:type="dxa"/>
            <w:hideMark/>
          </w:tcPr>
          <w:p w14:paraId="61A6B183" w14:textId="77777777" w:rsidR="006B6FC7" w:rsidRPr="006B6FC7" w:rsidRDefault="006B6FC7" w:rsidP="00F54FCC">
            <w:pPr>
              <w:spacing w:line="276" w:lineRule="auto"/>
              <w:jc w:val="right"/>
              <w:rPr>
                <w:rFonts w:ascii="Arial" w:hAnsi="Arial" w:cs="Arial"/>
              </w:rPr>
            </w:pPr>
            <w:r w:rsidRPr="006B6FC7">
              <w:rPr>
                <w:rFonts w:ascii="Arial" w:hAnsi="Arial" w:cs="Arial"/>
              </w:rPr>
              <w:t>,3240</w:t>
            </w:r>
          </w:p>
        </w:tc>
        <w:tc>
          <w:tcPr>
            <w:tcW w:w="1700" w:type="dxa"/>
            <w:gridSpan w:val="2"/>
            <w:hideMark/>
          </w:tcPr>
          <w:p w14:paraId="52F4D817" w14:textId="77777777" w:rsidR="006B6FC7" w:rsidRPr="006B6FC7" w:rsidRDefault="006B6FC7" w:rsidP="00F54FCC">
            <w:pPr>
              <w:spacing w:line="276" w:lineRule="auto"/>
              <w:jc w:val="right"/>
              <w:rPr>
                <w:rFonts w:ascii="Arial" w:hAnsi="Arial" w:cs="Arial"/>
              </w:rPr>
            </w:pPr>
            <w:r w:rsidRPr="006B6FC7">
              <w:rPr>
                <w:rFonts w:ascii="Arial" w:hAnsi="Arial" w:cs="Arial"/>
              </w:rPr>
              <w:t>,93851</w:t>
            </w:r>
          </w:p>
        </w:tc>
      </w:tr>
      <w:tr w:rsidR="006B6FC7" w:rsidRPr="006B6FC7" w14:paraId="072F3D6E" w14:textId="77777777" w:rsidTr="006B6FC7">
        <w:trPr>
          <w:trHeight w:val="300"/>
        </w:trPr>
        <w:tc>
          <w:tcPr>
            <w:tcW w:w="1276" w:type="dxa"/>
            <w:hideMark/>
          </w:tcPr>
          <w:p w14:paraId="678D9463" w14:textId="77777777" w:rsidR="006B6FC7" w:rsidRPr="006B6FC7" w:rsidRDefault="006B6FC7" w:rsidP="00F54FCC">
            <w:pPr>
              <w:spacing w:line="276" w:lineRule="auto"/>
              <w:rPr>
                <w:rFonts w:ascii="Arial" w:hAnsi="Arial" w:cs="Arial"/>
              </w:rPr>
            </w:pPr>
            <w:r w:rsidRPr="006B6FC7">
              <w:rPr>
                <w:rFonts w:ascii="Arial" w:hAnsi="Arial" w:cs="Arial"/>
              </w:rPr>
              <w:t>age</w:t>
            </w:r>
          </w:p>
        </w:tc>
        <w:tc>
          <w:tcPr>
            <w:tcW w:w="1417" w:type="dxa"/>
            <w:hideMark/>
          </w:tcPr>
          <w:p w14:paraId="3D829021" w14:textId="77777777" w:rsidR="006B6FC7" w:rsidRPr="006B6FC7" w:rsidRDefault="006B6FC7" w:rsidP="00F54FCC">
            <w:pPr>
              <w:spacing w:line="276" w:lineRule="auto"/>
              <w:jc w:val="right"/>
              <w:rPr>
                <w:rFonts w:ascii="Arial" w:hAnsi="Arial" w:cs="Arial"/>
              </w:rPr>
            </w:pPr>
            <w:r w:rsidRPr="006B6FC7">
              <w:rPr>
                <w:rFonts w:ascii="Arial" w:hAnsi="Arial" w:cs="Arial"/>
              </w:rPr>
              <w:t>234</w:t>
            </w:r>
          </w:p>
        </w:tc>
        <w:tc>
          <w:tcPr>
            <w:tcW w:w="1418" w:type="dxa"/>
            <w:hideMark/>
          </w:tcPr>
          <w:p w14:paraId="54E0069F" w14:textId="77777777" w:rsidR="006B6FC7" w:rsidRPr="006B6FC7" w:rsidRDefault="006B6FC7" w:rsidP="00F54FCC">
            <w:pPr>
              <w:spacing w:line="276" w:lineRule="auto"/>
              <w:jc w:val="right"/>
              <w:rPr>
                <w:rFonts w:ascii="Arial" w:hAnsi="Arial" w:cs="Arial"/>
              </w:rPr>
            </w:pPr>
            <w:r w:rsidRPr="006B6FC7">
              <w:rPr>
                <w:rFonts w:ascii="Arial" w:hAnsi="Arial" w:cs="Arial"/>
              </w:rPr>
              <w:t>0</w:t>
            </w:r>
          </w:p>
        </w:tc>
        <w:tc>
          <w:tcPr>
            <w:tcW w:w="1305" w:type="dxa"/>
            <w:hideMark/>
          </w:tcPr>
          <w:p w14:paraId="316AEA4A" w14:textId="77777777" w:rsidR="006B6FC7" w:rsidRPr="006B6FC7" w:rsidRDefault="006B6FC7" w:rsidP="00F54FCC">
            <w:pPr>
              <w:spacing w:line="276" w:lineRule="auto"/>
              <w:jc w:val="right"/>
              <w:rPr>
                <w:rFonts w:ascii="Arial" w:hAnsi="Arial" w:cs="Arial"/>
              </w:rPr>
            </w:pPr>
            <w:r w:rsidRPr="006B6FC7">
              <w:rPr>
                <w:rFonts w:ascii="Arial" w:hAnsi="Arial" w:cs="Arial"/>
              </w:rPr>
              <w:t>32</w:t>
            </w:r>
          </w:p>
        </w:tc>
        <w:tc>
          <w:tcPr>
            <w:tcW w:w="1125" w:type="dxa"/>
            <w:hideMark/>
          </w:tcPr>
          <w:p w14:paraId="6DAADB44" w14:textId="77777777" w:rsidR="006B6FC7" w:rsidRPr="006B6FC7" w:rsidRDefault="006B6FC7" w:rsidP="00F54FCC">
            <w:pPr>
              <w:spacing w:line="276" w:lineRule="auto"/>
              <w:jc w:val="right"/>
              <w:rPr>
                <w:rFonts w:ascii="Arial" w:hAnsi="Arial" w:cs="Arial"/>
              </w:rPr>
            </w:pPr>
            <w:r w:rsidRPr="006B6FC7">
              <w:rPr>
                <w:rFonts w:ascii="Arial" w:hAnsi="Arial" w:cs="Arial"/>
              </w:rPr>
              <w:t>12.33</w:t>
            </w:r>
          </w:p>
        </w:tc>
        <w:tc>
          <w:tcPr>
            <w:tcW w:w="1700" w:type="dxa"/>
            <w:gridSpan w:val="2"/>
            <w:hideMark/>
          </w:tcPr>
          <w:p w14:paraId="4EAABD5B" w14:textId="77777777" w:rsidR="006B6FC7" w:rsidRPr="006B6FC7" w:rsidRDefault="006B6FC7" w:rsidP="00F54FCC">
            <w:pPr>
              <w:spacing w:line="276" w:lineRule="auto"/>
              <w:jc w:val="right"/>
              <w:rPr>
                <w:rFonts w:ascii="Arial" w:hAnsi="Arial" w:cs="Arial"/>
              </w:rPr>
            </w:pPr>
            <w:r w:rsidRPr="006B6FC7">
              <w:rPr>
                <w:rFonts w:ascii="Arial" w:hAnsi="Arial" w:cs="Arial"/>
              </w:rPr>
              <w:t>9,102</w:t>
            </w:r>
          </w:p>
        </w:tc>
      </w:tr>
      <w:tr w:rsidR="006B6FC7" w:rsidRPr="006B6FC7" w14:paraId="57BA5D20" w14:textId="77777777" w:rsidTr="006B6FC7">
        <w:trPr>
          <w:trHeight w:val="300"/>
        </w:trPr>
        <w:tc>
          <w:tcPr>
            <w:tcW w:w="1276" w:type="dxa"/>
            <w:hideMark/>
          </w:tcPr>
          <w:p w14:paraId="3A54519E" w14:textId="77777777" w:rsidR="006B6FC7" w:rsidRPr="006B6FC7" w:rsidRDefault="006B6FC7" w:rsidP="00F54FCC">
            <w:pPr>
              <w:spacing w:line="276" w:lineRule="auto"/>
              <w:rPr>
                <w:rFonts w:ascii="Arial" w:hAnsi="Arial" w:cs="Arial"/>
              </w:rPr>
            </w:pPr>
            <w:r w:rsidRPr="006B6FC7">
              <w:rPr>
                <w:rFonts w:ascii="Arial" w:hAnsi="Arial" w:cs="Arial"/>
              </w:rPr>
              <w:t>industry</w:t>
            </w:r>
          </w:p>
        </w:tc>
        <w:tc>
          <w:tcPr>
            <w:tcW w:w="1417" w:type="dxa"/>
            <w:hideMark/>
          </w:tcPr>
          <w:p w14:paraId="4FCBFE21" w14:textId="77777777" w:rsidR="006B6FC7" w:rsidRPr="006B6FC7" w:rsidRDefault="006B6FC7" w:rsidP="00F54FCC">
            <w:pPr>
              <w:spacing w:line="276" w:lineRule="auto"/>
              <w:jc w:val="right"/>
              <w:rPr>
                <w:rFonts w:ascii="Arial" w:hAnsi="Arial" w:cs="Arial"/>
              </w:rPr>
            </w:pPr>
            <w:r w:rsidRPr="006B6FC7">
              <w:rPr>
                <w:rFonts w:ascii="Arial" w:hAnsi="Arial" w:cs="Arial"/>
              </w:rPr>
              <w:t>234</w:t>
            </w:r>
          </w:p>
        </w:tc>
        <w:tc>
          <w:tcPr>
            <w:tcW w:w="1418" w:type="dxa"/>
            <w:hideMark/>
          </w:tcPr>
          <w:p w14:paraId="5FE108C2" w14:textId="77777777" w:rsidR="006B6FC7" w:rsidRPr="006B6FC7" w:rsidRDefault="006B6FC7" w:rsidP="00F54FCC">
            <w:pPr>
              <w:spacing w:line="276" w:lineRule="auto"/>
              <w:jc w:val="right"/>
              <w:rPr>
                <w:rFonts w:ascii="Arial" w:hAnsi="Arial" w:cs="Arial"/>
              </w:rPr>
            </w:pPr>
            <w:r w:rsidRPr="006B6FC7">
              <w:rPr>
                <w:rFonts w:ascii="Arial" w:hAnsi="Arial" w:cs="Arial"/>
              </w:rPr>
              <w:t>0</w:t>
            </w:r>
          </w:p>
        </w:tc>
        <w:tc>
          <w:tcPr>
            <w:tcW w:w="1305" w:type="dxa"/>
            <w:hideMark/>
          </w:tcPr>
          <w:p w14:paraId="5719F356" w14:textId="77777777" w:rsidR="006B6FC7" w:rsidRPr="006B6FC7" w:rsidRDefault="006B6FC7" w:rsidP="00F54FCC">
            <w:pPr>
              <w:spacing w:line="276" w:lineRule="auto"/>
              <w:jc w:val="right"/>
              <w:rPr>
                <w:rFonts w:ascii="Arial" w:hAnsi="Arial" w:cs="Arial"/>
              </w:rPr>
            </w:pPr>
            <w:r w:rsidRPr="006B6FC7">
              <w:rPr>
                <w:rFonts w:ascii="Arial" w:hAnsi="Arial" w:cs="Arial"/>
              </w:rPr>
              <w:t>1</w:t>
            </w:r>
          </w:p>
        </w:tc>
        <w:tc>
          <w:tcPr>
            <w:tcW w:w="1125" w:type="dxa"/>
            <w:hideMark/>
          </w:tcPr>
          <w:p w14:paraId="1999038F" w14:textId="77777777" w:rsidR="006B6FC7" w:rsidRPr="006B6FC7" w:rsidRDefault="006B6FC7" w:rsidP="00F54FCC">
            <w:pPr>
              <w:spacing w:line="276" w:lineRule="auto"/>
              <w:jc w:val="right"/>
              <w:rPr>
                <w:rFonts w:ascii="Arial" w:hAnsi="Arial" w:cs="Arial"/>
              </w:rPr>
            </w:pPr>
            <w:r w:rsidRPr="006B6FC7">
              <w:rPr>
                <w:rFonts w:ascii="Arial" w:hAnsi="Arial" w:cs="Arial"/>
              </w:rPr>
              <w:t>,26</w:t>
            </w:r>
          </w:p>
        </w:tc>
        <w:tc>
          <w:tcPr>
            <w:tcW w:w="1700" w:type="dxa"/>
            <w:gridSpan w:val="2"/>
            <w:hideMark/>
          </w:tcPr>
          <w:p w14:paraId="1E2A4C35" w14:textId="77777777" w:rsidR="006B6FC7" w:rsidRPr="006B6FC7" w:rsidRDefault="006B6FC7" w:rsidP="00F54FCC">
            <w:pPr>
              <w:spacing w:line="276" w:lineRule="auto"/>
              <w:jc w:val="right"/>
              <w:rPr>
                <w:rFonts w:ascii="Arial" w:hAnsi="Arial" w:cs="Arial"/>
              </w:rPr>
            </w:pPr>
            <w:r w:rsidRPr="006B6FC7">
              <w:rPr>
                <w:rFonts w:ascii="Arial" w:hAnsi="Arial" w:cs="Arial"/>
              </w:rPr>
              <w:t>,438</w:t>
            </w:r>
          </w:p>
        </w:tc>
      </w:tr>
      <w:tr w:rsidR="006B6FC7" w:rsidRPr="006B6FC7" w14:paraId="7A3283CD" w14:textId="77777777" w:rsidTr="006B6FC7">
        <w:trPr>
          <w:trHeight w:val="296"/>
        </w:trPr>
        <w:tc>
          <w:tcPr>
            <w:tcW w:w="1276" w:type="dxa"/>
            <w:hideMark/>
          </w:tcPr>
          <w:p w14:paraId="23938698" w14:textId="77777777" w:rsidR="006B6FC7" w:rsidRPr="006B6FC7" w:rsidRDefault="006B6FC7" w:rsidP="00F54FCC">
            <w:pPr>
              <w:spacing w:line="276" w:lineRule="auto"/>
              <w:rPr>
                <w:rFonts w:ascii="Arial" w:hAnsi="Arial" w:cs="Arial"/>
              </w:rPr>
            </w:pPr>
            <w:r w:rsidRPr="006B6FC7">
              <w:rPr>
                <w:rFonts w:ascii="Arial" w:hAnsi="Arial" w:cs="Arial"/>
              </w:rPr>
              <w:t>Valid N (listwise)</w:t>
            </w:r>
          </w:p>
        </w:tc>
        <w:tc>
          <w:tcPr>
            <w:tcW w:w="1417" w:type="dxa"/>
            <w:hideMark/>
          </w:tcPr>
          <w:p w14:paraId="6D9F3342" w14:textId="77777777" w:rsidR="006B6FC7" w:rsidRPr="006B6FC7" w:rsidRDefault="006B6FC7" w:rsidP="00F54FCC">
            <w:pPr>
              <w:spacing w:line="276" w:lineRule="auto"/>
              <w:jc w:val="right"/>
              <w:rPr>
                <w:rFonts w:ascii="Arial" w:hAnsi="Arial" w:cs="Arial"/>
              </w:rPr>
            </w:pPr>
            <w:r w:rsidRPr="006B6FC7">
              <w:rPr>
                <w:rFonts w:ascii="Arial" w:hAnsi="Arial" w:cs="Arial"/>
              </w:rPr>
              <w:t>234</w:t>
            </w:r>
          </w:p>
        </w:tc>
        <w:tc>
          <w:tcPr>
            <w:tcW w:w="1418" w:type="dxa"/>
            <w:hideMark/>
          </w:tcPr>
          <w:p w14:paraId="0F7E541B"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1305" w:type="dxa"/>
            <w:hideMark/>
          </w:tcPr>
          <w:p w14:paraId="7C6D3D49"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1125" w:type="dxa"/>
            <w:hideMark/>
          </w:tcPr>
          <w:p w14:paraId="05D5238B"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1700" w:type="dxa"/>
            <w:gridSpan w:val="2"/>
            <w:hideMark/>
          </w:tcPr>
          <w:p w14:paraId="5CC12EF0"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r>
    </w:tbl>
    <w:p w14:paraId="7EF74EC6"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7095F325" w14:textId="77777777"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lastRenderedPageBreak/>
        <w:tab/>
      </w:r>
      <w:r w:rsidRPr="006B6FC7">
        <w:rPr>
          <w:rFonts w:ascii="Arial" w:hAnsi="Arial" w:cs="Arial"/>
          <w:bCs/>
        </w:rPr>
        <w:tab/>
        <w:t xml:space="preserve">The analysis of the lowest and highest ROA values highlights the variability in asset utilization among companies. PT Bakrie Sumatera Plantations </w:t>
      </w:r>
      <w:proofErr w:type="spellStart"/>
      <w:r w:rsidRPr="006B6FC7">
        <w:rPr>
          <w:rFonts w:ascii="Arial" w:hAnsi="Arial" w:cs="Arial"/>
          <w:bCs/>
        </w:rPr>
        <w:t>Tbk</w:t>
      </w:r>
      <w:proofErr w:type="spellEnd"/>
      <w:r w:rsidRPr="006B6FC7">
        <w:rPr>
          <w:rFonts w:ascii="Arial" w:hAnsi="Arial" w:cs="Arial"/>
          <w:bCs/>
        </w:rPr>
        <w:t xml:space="preserve">. (UNSP) recorded the lowest ROA of -0.58 in 2019, signaling a loss relative to its assets, while PT Citra Borneo Utama </w:t>
      </w:r>
      <w:proofErr w:type="spellStart"/>
      <w:r w:rsidRPr="006B6FC7">
        <w:rPr>
          <w:rFonts w:ascii="Arial" w:hAnsi="Arial" w:cs="Arial"/>
          <w:bCs/>
        </w:rPr>
        <w:t>Tbk</w:t>
      </w:r>
      <w:proofErr w:type="spellEnd"/>
      <w:r w:rsidRPr="006B6FC7">
        <w:rPr>
          <w:rFonts w:ascii="Arial" w:hAnsi="Arial" w:cs="Arial"/>
          <w:bCs/>
        </w:rPr>
        <w:t>. (CBUT) achieved the highest ROA of 2.32 in 2022, demonstrating exceptional efficiency in utilizing its assets. The average ROA of 0.0675 indicates that, on average, companies earned a profit of 6.75% of their assets, with a standard deviation of 0.19982, which reflects notable variation in performance across the sampled companies.</w:t>
      </w:r>
    </w:p>
    <w:p w14:paraId="439DBDF7" w14:textId="77777777"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In terms of model validity, all the classical assumption tests have been met. The normality test is deemed acceptable, despite some non-normality in the data, due to the large sample size. The heteroscedasticity test showed that the assumption of homoscedasticity holds true, meaning the variance of errors is constant across observations. Furthermore, the multicollinearity test showed no issues, with all Variance Inflation Factor (VIF) values remaining below 10, indicating no serious multicollinearity among the independent variables. Overall, these findings suggest that the model is valid and meets all the classical assumption tests required for reliable hypothesis testing.</w:t>
      </w:r>
    </w:p>
    <w:p w14:paraId="158D7963" w14:textId="77777777" w:rsidR="006B6FC7" w:rsidRPr="006B6FC7" w:rsidRDefault="006B6FC7" w:rsidP="006B6FC7">
      <w:pPr>
        <w:widowControl w:val="0"/>
        <w:tabs>
          <w:tab w:val="left" w:pos="360"/>
        </w:tabs>
        <w:spacing w:line="240" w:lineRule="atLeast"/>
        <w:jc w:val="both"/>
        <w:rPr>
          <w:rFonts w:ascii="Arial" w:hAnsi="Arial" w:cs="Arial"/>
          <w:bCs/>
        </w:rPr>
      </w:pPr>
    </w:p>
    <w:tbl>
      <w:tblPr>
        <w:tblW w:w="8222"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326"/>
        <w:gridCol w:w="1234"/>
        <w:gridCol w:w="2693"/>
        <w:gridCol w:w="992"/>
        <w:gridCol w:w="1481"/>
        <w:gridCol w:w="711"/>
        <w:gridCol w:w="785"/>
      </w:tblGrid>
      <w:tr w:rsidR="006B6FC7" w:rsidRPr="006B6FC7" w14:paraId="2ED232C0" w14:textId="77777777" w:rsidTr="006B6FC7">
        <w:trPr>
          <w:trHeight w:val="300"/>
        </w:trPr>
        <w:tc>
          <w:tcPr>
            <w:tcW w:w="8217" w:type="dxa"/>
            <w:gridSpan w:val="7"/>
            <w:tcBorders>
              <w:bottom w:val="single" w:sz="12" w:space="0" w:color="000000"/>
            </w:tcBorders>
            <w:hideMark/>
          </w:tcPr>
          <w:p w14:paraId="6F767778" w14:textId="77777777" w:rsidR="006B6FC7" w:rsidRPr="006B6FC7" w:rsidRDefault="006B6FC7" w:rsidP="00F54FCC">
            <w:pPr>
              <w:ind w:left="-16"/>
              <w:rPr>
                <w:rFonts w:ascii="Arial" w:hAnsi="Arial" w:cs="Arial"/>
                <w:b/>
                <w:bCs/>
                <w:color w:val="000000"/>
              </w:rPr>
            </w:pPr>
            <w:r w:rsidRPr="006B6FC7">
              <w:rPr>
                <w:rFonts w:ascii="Arial" w:hAnsi="Arial" w:cs="Arial"/>
                <w:b/>
                <w:bCs/>
                <w:color w:val="000000"/>
              </w:rPr>
              <w:t>Table 15. F Test</w:t>
            </w:r>
          </w:p>
        </w:tc>
      </w:tr>
      <w:tr w:rsidR="006B6FC7" w:rsidRPr="006B6FC7" w14:paraId="66B2B8D2" w14:textId="77777777" w:rsidTr="006B6FC7">
        <w:trPr>
          <w:trHeight w:val="300"/>
        </w:trPr>
        <w:tc>
          <w:tcPr>
            <w:tcW w:w="8217" w:type="dxa"/>
            <w:gridSpan w:val="7"/>
            <w:hideMark/>
          </w:tcPr>
          <w:p w14:paraId="50F1C8D7" w14:textId="77777777" w:rsidR="006B6FC7" w:rsidRPr="006B6FC7" w:rsidRDefault="006B6FC7" w:rsidP="00F54FCC">
            <w:pPr>
              <w:jc w:val="center"/>
              <w:rPr>
                <w:rFonts w:ascii="Arial" w:hAnsi="Arial" w:cs="Arial"/>
                <w:color w:val="000000"/>
              </w:rPr>
            </w:pPr>
            <w:r w:rsidRPr="006B6FC7">
              <w:rPr>
                <w:rFonts w:ascii="Arial" w:hAnsi="Arial" w:cs="Arial"/>
                <w:color w:val="000000"/>
              </w:rPr>
              <w:t xml:space="preserve">ANOVA </w:t>
            </w:r>
            <w:r w:rsidRPr="006B6FC7">
              <w:rPr>
                <w:rFonts w:ascii="Arial" w:hAnsi="Arial" w:cs="Arial"/>
                <w:color w:val="000000"/>
                <w:vertAlign w:val="superscript"/>
              </w:rPr>
              <w:t>a</w:t>
            </w:r>
          </w:p>
        </w:tc>
      </w:tr>
      <w:tr w:rsidR="006B6FC7" w:rsidRPr="006B6FC7" w14:paraId="465C4A9D" w14:textId="77777777" w:rsidTr="006B6FC7">
        <w:trPr>
          <w:trHeight w:val="300"/>
        </w:trPr>
        <w:tc>
          <w:tcPr>
            <w:tcW w:w="1560" w:type="dxa"/>
            <w:gridSpan w:val="2"/>
            <w:hideMark/>
          </w:tcPr>
          <w:p w14:paraId="71692C86"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Model</w:t>
            </w:r>
          </w:p>
        </w:tc>
        <w:tc>
          <w:tcPr>
            <w:tcW w:w="2693" w:type="dxa"/>
            <w:hideMark/>
          </w:tcPr>
          <w:p w14:paraId="6ADE0185"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Sum of Squares</w:t>
            </w:r>
          </w:p>
        </w:tc>
        <w:tc>
          <w:tcPr>
            <w:tcW w:w="992" w:type="dxa"/>
            <w:hideMark/>
          </w:tcPr>
          <w:p w14:paraId="61ED3A49"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df</w:t>
            </w:r>
          </w:p>
        </w:tc>
        <w:tc>
          <w:tcPr>
            <w:tcW w:w="1481" w:type="dxa"/>
            <w:hideMark/>
          </w:tcPr>
          <w:p w14:paraId="64E1DCCE"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Mean Square</w:t>
            </w:r>
          </w:p>
        </w:tc>
        <w:tc>
          <w:tcPr>
            <w:tcW w:w="711" w:type="dxa"/>
            <w:hideMark/>
          </w:tcPr>
          <w:p w14:paraId="47E0C651"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F</w:t>
            </w:r>
          </w:p>
        </w:tc>
        <w:tc>
          <w:tcPr>
            <w:tcW w:w="785" w:type="dxa"/>
            <w:hideMark/>
          </w:tcPr>
          <w:p w14:paraId="1524F875"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Sig.</w:t>
            </w:r>
          </w:p>
        </w:tc>
      </w:tr>
      <w:tr w:rsidR="006B6FC7" w:rsidRPr="006B6FC7" w14:paraId="4D7EFFEB" w14:textId="77777777" w:rsidTr="006B6FC7">
        <w:trPr>
          <w:trHeight w:val="300"/>
        </w:trPr>
        <w:tc>
          <w:tcPr>
            <w:tcW w:w="326" w:type="dxa"/>
            <w:vMerge w:val="restart"/>
            <w:hideMark/>
          </w:tcPr>
          <w:p w14:paraId="5DA74605" w14:textId="77777777" w:rsidR="006B6FC7" w:rsidRPr="006B6FC7" w:rsidRDefault="006B6FC7" w:rsidP="00F54FCC">
            <w:pPr>
              <w:jc w:val="center"/>
              <w:rPr>
                <w:rFonts w:ascii="Arial" w:hAnsi="Arial" w:cs="Arial"/>
                <w:color w:val="000000"/>
              </w:rPr>
            </w:pPr>
            <w:r w:rsidRPr="006B6FC7">
              <w:rPr>
                <w:rFonts w:ascii="Arial" w:hAnsi="Arial" w:cs="Arial"/>
                <w:color w:val="000000"/>
              </w:rPr>
              <w:t>1</w:t>
            </w:r>
          </w:p>
        </w:tc>
        <w:tc>
          <w:tcPr>
            <w:tcW w:w="1234" w:type="dxa"/>
            <w:hideMark/>
          </w:tcPr>
          <w:p w14:paraId="7536179D" w14:textId="77777777" w:rsidR="006B6FC7" w:rsidRPr="006B6FC7" w:rsidRDefault="006B6FC7" w:rsidP="00F54FCC">
            <w:pPr>
              <w:rPr>
                <w:rFonts w:ascii="Arial" w:hAnsi="Arial" w:cs="Arial"/>
                <w:color w:val="000000"/>
              </w:rPr>
            </w:pPr>
            <w:r w:rsidRPr="006B6FC7">
              <w:rPr>
                <w:rFonts w:ascii="Arial" w:hAnsi="Arial" w:cs="Arial"/>
                <w:color w:val="000000"/>
              </w:rPr>
              <w:t>Regression</w:t>
            </w:r>
          </w:p>
        </w:tc>
        <w:tc>
          <w:tcPr>
            <w:tcW w:w="2693" w:type="dxa"/>
            <w:hideMark/>
          </w:tcPr>
          <w:p w14:paraId="3734CE28" w14:textId="77777777" w:rsidR="006B6FC7" w:rsidRPr="006B6FC7" w:rsidRDefault="006B6FC7" w:rsidP="00F54FCC">
            <w:pPr>
              <w:jc w:val="right"/>
              <w:rPr>
                <w:rFonts w:ascii="Arial" w:hAnsi="Arial" w:cs="Arial"/>
                <w:color w:val="000000"/>
              </w:rPr>
            </w:pPr>
            <w:r w:rsidRPr="006B6FC7">
              <w:rPr>
                <w:rFonts w:ascii="Arial" w:hAnsi="Arial" w:cs="Arial"/>
                <w:color w:val="000000"/>
              </w:rPr>
              <w:t>0.418</w:t>
            </w:r>
          </w:p>
        </w:tc>
        <w:tc>
          <w:tcPr>
            <w:tcW w:w="992" w:type="dxa"/>
            <w:hideMark/>
          </w:tcPr>
          <w:p w14:paraId="7FD5B290" w14:textId="77777777" w:rsidR="006B6FC7" w:rsidRPr="006B6FC7" w:rsidRDefault="006B6FC7" w:rsidP="00F54FCC">
            <w:pPr>
              <w:jc w:val="right"/>
              <w:rPr>
                <w:rFonts w:ascii="Arial" w:hAnsi="Arial" w:cs="Arial"/>
                <w:color w:val="000000"/>
              </w:rPr>
            </w:pPr>
            <w:r w:rsidRPr="006B6FC7">
              <w:rPr>
                <w:rFonts w:ascii="Arial" w:hAnsi="Arial" w:cs="Arial"/>
                <w:color w:val="000000"/>
              </w:rPr>
              <w:t>4</w:t>
            </w:r>
          </w:p>
        </w:tc>
        <w:tc>
          <w:tcPr>
            <w:tcW w:w="1481" w:type="dxa"/>
            <w:hideMark/>
          </w:tcPr>
          <w:p w14:paraId="44303CF1" w14:textId="77777777" w:rsidR="006B6FC7" w:rsidRPr="006B6FC7" w:rsidRDefault="006B6FC7" w:rsidP="00F54FCC">
            <w:pPr>
              <w:jc w:val="right"/>
              <w:rPr>
                <w:rFonts w:ascii="Arial" w:hAnsi="Arial" w:cs="Arial"/>
                <w:color w:val="000000"/>
              </w:rPr>
            </w:pPr>
            <w:r w:rsidRPr="006B6FC7">
              <w:rPr>
                <w:rFonts w:ascii="Arial" w:hAnsi="Arial" w:cs="Arial"/>
                <w:color w:val="000000"/>
              </w:rPr>
              <w:t>0.105</w:t>
            </w:r>
          </w:p>
        </w:tc>
        <w:tc>
          <w:tcPr>
            <w:tcW w:w="711" w:type="dxa"/>
            <w:hideMark/>
          </w:tcPr>
          <w:p w14:paraId="099EC258" w14:textId="77777777" w:rsidR="006B6FC7" w:rsidRPr="006B6FC7" w:rsidRDefault="006B6FC7" w:rsidP="00F54FCC">
            <w:pPr>
              <w:jc w:val="right"/>
              <w:rPr>
                <w:rFonts w:ascii="Arial" w:hAnsi="Arial" w:cs="Arial"/>
                <w:color w:val="000000"/>
              </w:rPr>
            </w:pPr>
            <w:r w:rsidRPr="006B6FC7">
              <w:rPr>
                <w:rFonts w:ascii="Arial" w:hAnsi="Arial" w:cs="Arial"/>
                <w:color w:val="000000"/>
              </w:rPr>
              <w:t>2,695</w:t>
            </w:r>
          </w:p>
        </w:tc>
        <w:tc>
          <w:tcPr>
            <w:tcW w:w="785" w:type="dxa"/>
            <w:hideMark/>
          </w:tcPr>
          <w:p w14:paraId="2A9266D0" w14:textId="77777777" w:rsidR="006B6FC7" w:rsidRPr="006B6FC7" w:rsidRDefault="006B6FC7" w:rsidP="00F54FCC">
            <w:pPr>
              <w:jc w:val="right"/>
              <w:rPr>
                <w:rFonts w:ascii="Arial" w:hAnsi="Arial" w:cs="Arial"/>
                <w:color w:val="000000"/>
              </w:rPr>
            </w:pPr>
            <w:r w:rsidRPr="006B6FC7">
              <w:rPr>
                <w:rFonts w:ascii="Arial" w:hAnsi="Arial" w:cs="Arial"/>
                <w:color w:val="000000"/>
              </w:rPr>
              <w:t>.032b</w:t>
            </w:r>
          </w:p>
        </w:tc>
      </w:tr>
      <w:tr w:rsidR="006B6FC7" w:rsidRPr="006B6FC7" w14:paraId="5CCA7CC4" w14:textId="77777777" w:rsidTr="006B6FC7">
        <w:trPr>
          <w:trHeight w:val="300"/>
        </w:trPr>
        <w:tc>
          <w:tcPr>
            <w:tcW w:w="326" w:type="dxa"/>
            <w:vMerge/>
            <w:hideMark/>
          </w:tcPr>
          <w:p w14:paraId="1C2CC9B8" w14:textId="77777777" w:rsidR="006B6FC7" w:rsidRPr="006B6FC7" w:rsidRDefault="006B6FC7" w:rsidP="00F54FCC">
            <w:pPr>
              <w:rPr>
                <w:rFonts w:ascii="Arial" w:hAnsi="Arial" w:cs="Arial"/>
                <w:color w:val="000000"/>
                <w:lang w:val="en"/>
              </w:rPr>
            </w:pPr>
          </w:p>
        </w:tc>
        <w:tc>
          <w:tcPr>
            <w:tcW w:w="1234" w:type="dxa"/>
            <w:hideMark/>
          </w:tcPr>
          <w:p w14:paraId="7D43482B" w14:textId="77777777" w:rsidR="006B6FC7" w:rsidRPr="006B6FC7" w:rsidRDefault="006B6FC7" w:rsidP="00F54FCC">
            <w:pPr>
              <w:rPr>
                <w:rFonts w:ascii="Arial" w:hAnsi="Arial" w:cs="Arial"/>
                <w:color w:val="000000"/>
              </w:rPr>
            </w:pPr>
            <w:r w:rsidRPr="006B6FC7">
              <w:rPr>
                <w:rFonts w:ascii="Arial" w:hAnsi="Arial" w:cs="Arial"/>
                <w:color w:val="000000"/>
              </w:rPr>
              <w:t>Residual</w:t>
            </w:r>
          </w:p>
        </w:tc>
        <w:tc>
          <w:tcPr>
            <w:tcW w:w="2693" w:type="dxa"/>
            <w:hideMark/>
          </w:tcPr>
          <w:p w14:paraId="19349FE5" w14:textId="77777777" w:rsidR="006B6FC7" w:rsidRPr="006B6FC7" w:rsidRDefault="006B6FC7" w:rsidP="00F54FCC">
            <w:pPr>
              <w:jc w:val="right"/>
              <w:rPr>
                <w:rFonts w:ascii="Arial" w:hAnsi="Arial" w:cs="Arial"/>
                <w:color w:val="000000"/>
              </w:rPr>
            </w:pPr>
            <w:r w:rsidRPr="006B6FC7">
              <w:rPr>
                <w:rFonts w:ascii="Arial" w:hAnsi="Arial" w:cs="Arial"/>
                <w:color w:val="000000"/>
              </w:rPr>
              <w:t>8,885</w:t>
            </w:r>
          </w:p>
        </w:tc>
        <w:tc>
          <w:tcPr>
            <w:tcW w:w="992" w:type="dxa"/>
            <w:hideMark/>
          </w:tcPr>
          <w:p w14:paraId="12E6DADA" w14:textId="77777777" w:rsidR="006B6FC7" w:rsidRPr="006B6FC7" w:rsidRDefault="006B6FC7" w:rsidP="00F54FCC">
            <w:pPr>
              <w:jc w:val="right"/>
              <w:rPr>
                <w:rFonts w:ascii="Arial" w:hAnsi="Arial" w:cs="Arial"/>
                <w:color w:val="000000"/>
              </w:rPr>
            </w:pPr>
            <w:r w:rsidRPr="006B6FC7">
              <w:rPr>
                <w:rFonts w:ascii="Arial" w:hAnsi="Arial" w:cs="Arial"/>
                <w:color w:val="000000"/>
              </w:rPr>
              <w:t>229</w:t>
            </w:r>
          </w:p>
        </w:tc>
        <w:tc>
          <w:tcPr>
            <w:tcW w:w="1481" w:type="dxa"/>
            <w:hideMark/>
          </w:tcPr>
          <w:p w14:paraId="3D669BB0" w14:textId="77777777" w:rsidR="006B6FC7" w:rsidRPr="006B6FC7" w:rsidRDefault="006B6FC7" w:rsidP="00F54FCC">
            <w:pPr>
              <w:jc w:val="right"/>
              <w:rPr>
                <w:rFonts w:ascii="Arial" w:hAnsi="Arial" w:cs="Arial"/>
                <w:color w:val="000000"/>
              </w:rPr>
            </w:pPr>
            <w:r w:rsidRPr="006B6FC7">
              <w:rPr>
                <w:rFonts w:ascii="Arial" w:hAnsi="Arial" w:cs="Arial"/>
                <w:color w:val="000000"/>
              </w:rPr>
              <w:t>0.039</w:t>
            </w:r>
          </w:p>
        </w:tc>
        <w:tc>
          <w:tcPr>
            <w:tcW w:w="711" w:type="dxa"/>
            <w:hideMark/>
          </w:tcPr>
          <w:p w14:paraId="246F7526" w14:textId="77777777" w:rsidR="006B6FC7" w:rsidRPr="006B6FC7" w:rsidRDefault="006B6FC7" w:rsidP="00F54FCC">
            <w:pPr>
              <w:rPr>
                <w:rFonts w:ascii="Arial" w:hAnsi="Arial" w:cs="Arial"/>
                <w:color w:val="000000"/>
              </w:rPr>
            </w:pPr>
          </w:p>
        </w:tc>
        <w:tc>
          <w:tcPr>
            <w:tcW w:w="785" w:type="dxa"/>
            <w:hideMark/>
          </w:tcPr>
          <w:p w14:paraId="62EDEDD9" w14:textId="77777777" w:rsidR="006B6FC7" w:rsidRPr="006B6FC7" w:rsidRDefault="006B6FC7" w:rsidP="00F54FCC">
            <w:pPr>
              <w:rPr>
                <w:rFonts w:ascii="Arial" w:hAnsi="Arial" w:cs="Arial"/>
                <w:color w:val="000000"/>
              </w:rPr>
            </w:pPr>
          </w:p>
        </w:tc>
      </w:tr>
      <w:tr w:rsidR="006B6FC7" w:rsidRPr="006B6FC7" w14:paraId="05D231DA" w14:textId="77777777" w:rsidTr="006B6FC7">
        <w:trPr>
          <w:trHeight w:val="300"/>
        </w:trPr>
        <w:tc>
          <w:tcPr>
            <w:tcW w:w="326" w:type="dxa"/>
            <w:vMerge/>
            <w:hideMark/>
          </w:tcPr>
          <w:p w14:paraId="5F214A5C" w14:textId="77777777" w:rsidR="006B6FC7" w:rsidRPr="006B6FC7" w:rsidRDefault="006B6FC7" w:rsidP="00F54FCC">
            <w:pPr>
              <w:rPr>
                <w:rFonts w:ascii="Arial" w:hAnsi="Arial" w:cs="Arial"/>
                <w:color w:val="000000"/>
                <w:lang w:val="en"/>
              </w:rPr>
            </w:pPr>
          </w:p>
        </w:tc>
        <w:tc>
          <w:tcPr>
            <w:tcW w:w="1234" w:type="dxa"/>
            <w:hideMark/>
          </w:tcPr>
          <w:p w14:paraId="1B2E9F7D" w14:textId="77777777" w:rsidR="006B6FC7" w:rsidRPr="006B6FC7" w:rsidRDefault="006B6FC7" w:rsidP="00F54FCC">
            <w:pPr>
              <w:rPr>
                <w:rFonts w:ascii="Arial" w:hAnsi="Arial" w:cs="Arial"/>
                <w:color w:val="000000"/>
                <w:lang w:val="en"/>
              </w:rPr>
            </w:pPr>
            <w:r w:rsidRPr="006B6FC7">
              <w:rPr>
                <w:rFonts w:ascii="Arial" w:hAnsi="Arial" w:cs="Arial"/>
                <w:color w:val="000000"/>
              </w:rPr>
              <w:t>Total</w:t>
            </w:r>
          </w:p>
        </w:tc>
        <w:tc>
          <w:tcPr>
            <w:tcW w:w="2693" w:type="dxa"/>
            <w:hideMark/>
          </w:tcPr>
          <w:p w14:paraId="66A93FBF" w14:textId="77777777" w:rsidR="006B6FC7" w:rsidRPr="006B6FC7" w:rsidRDefault="006B6FC7" w:rsidP="00F54FCC">
            <w:pPr>
              <w:jc w:val="right"/>
              <w:rPr>
                <w:rFonts w:ascii="Arial" w:hAnsi="Arial" w:cs="Arial"/>
                <w:color w:val="000000"/>
              </w:rPr>
            </w:pPr>
            <w:r w:rsidRPr="006B6FC7">
              <w:rPr>
                <w:rFonts w:ascii="Arial" w:hAnsi="Arial" w:cs="Arial"/>
                <w:color w:val="000000"/>
              </w:rPr>
              <w:t>9,303</w:t>
            </w:r>
          </w:p>
        </w:tc>
        <w:tc>
          <w:tcPr>
            <w:tcW w:w="992" w:type="dxa"/>
            <w:hideMark/>
          </w:tcPr>
          <w:p w14:paraId="05FF6B37" w14:textId="77777777" w:rsidR="006B6FC7" w:rsidRPr="006B6FC7" w:rsidRDefault="006B6FC7" w:rsidP="00F54FCC">
            <w:pPr>
              <w:jc w:val="right"/>
              <w:rPr>
                <w:rFonts w:ascii="Arial" w:hAnsi="Arial" w:cs="Arial"/>
                <w:color w:val="000000"/>
              </w:rPr>
            </w:pPr>
            <w:r w:rsidRPr="006B6FC7">
              <w:rPr>
                <w:rFonts w:ascii="Arial" w:hAnsi="Arial" w:cs="Arial"/>
                <w:color w:val="000000"/>
              </w:rPr>
              <w:t>233</w:t>
            </w:r>
          </w:p>
        </w:tc>
        <w:tc>
          <w:tcPr>
            <w:tcW w:w="1481" w:type="dxa"/>
            <w:hideMark/>
          </w:tcPr>
          <w:p w14:paraId="32C0D4E1" w14:textId="77777777" w:rsidR="006B6FC7" w:rsidRPr="006B6FC7" w:rsidRDefault="006B6FC7" w:rsidP="00F54FCC">
            <w:pPr>
              <w:rPr>
                <w:rFonts w:ascii="Arial" w:hAnsi="Arial" w:cs="Arial"/>
                <w:color w:val="000000"/>
              </w:rPr>
            </w:pPr>
          </w:p>
        </w:tc>
        <w:tc>
          <w:tcPr>
            <w:tcW w:w="711" w:type="dxa"/>
            <w:hideMark/>
          </w:tcPr>
          <w:p w14:paraId="2AB3828C" w14:textId="77777777" w:rsidR="006B6FC7" w:rsidRPr="006B6FC7" w:rsidRDefault="006B6FC7" w:rsidP="00F54FCC">
            <w:pPr>
              <w:rPr>
                <w:rFonts w:ascii="Arial" w:hAnsi="Arial" w:cs="Arial"/>
                <w:color w:val="000000"/>
              </w:rPr>
            </w:pPr>
          </w:p>
        </w:tc>
        <w:tc>
          <w:tcPr>
            <w:tcW w:w="785" w:type="dxa"/>
            <w:hideMark/>
          </w:tcPr>
          <w:p w14:paraId="43A40149" w14:textId="77777777" w:rsidR="006B6FC7" w:rsidRPr="006B6FC7" w:rsidRDefault="006B6FC7" w:rsidP="00F54FCC">
            <w:pPr>
              <w:rPr>
                <w:rFonts w:ascii="Arial" w:hAnsi="Arial" w:cs="Arial"/>
                <w:color w:val="000000"/>
              </w:rPr>
            </w:pPr>
          </w:p>
        </w:tc>
      </w:tr>
      <w:tr w:rsidR="006B6FC7" w:rsidRPr="006B6FC7" w14:paraId="070A48CE" w14:textId="77777777" w:rsidTr="006B6FC7">
        <w:trPr>
          <w:trHeight w:val="300"/>
        </w:trPr>
        <w:tc>
          <w:tcPr>
            <w:tcW w:w="8217" w:type="dxa"/>
            <w:gridSpan w:val="7"/>
            <w:hideMark/>
          </w:tcPr>
          <w:p w14:paraId="6BCF33FC" w14:textId="77777777" w:rsidR="006B6FC7" w:rsidRPr="006B6FC7" w:rsidRDefault="006B6FC7" w:rsidP="00F54FCC">
            <w:pPr>
              <w:rPr>
                <w:rFonts w:ascii="Arial" w:hAnsi="Arial" w:cs="Arial"/>
                <w:color w:val="000000"/>
                <w:lang w:val="en"/>
              </w:rPr>
            </w:pPr>
            <w:r w:rsidRPr="006B6FC7">
              <w:rPr>
                <w:rFonts w:ascii="Arial" w:hAnsi="Arial" w:cs="Arial"/>
                <w:color w:val="000000"/>
              </w:rPr>
              <w:t xml:space="preserve">a. Dependent Variable: </w:t>
            </w:r>
            <w:proofErr w:type="spellStart"/>
            <w:r w:rsidRPr="006B6FC7">
              <w:rPr>
                <w:rFonts w:ascii="Arial" w:hAnsi="Arial" w:cs="Arial"/>
                <w:color w:val="000000"/>
              </w:rPr>
              <w:t>roa</w:t>
            </w:r>
            <w:proofErr w:type="spellEnd"/>
          </w:p>
        </w:tc>
      </w:tr>
    </w:tbl>
    <w:p w14:paraId="3097BCDC"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48351C56" w14:textId="77777777" w:rsidR="006B6FC7" w:rsidRPr="006B6FC7" w:rsidRDefault="006B6FC7" w:rsidP="006B6FC7">
      <w:pPr>
        <w:jc w:val="both"/>
        <w:rPr>
          <w:rFonts w:ascii="Arial" w:hAnsi="Arial" w:cs="Arial"/>
          <w:color w:val="000000"/>
          <w:lang w:val="en-ID"/>
        </w:rPr>
      </w:pPr>
      <w:r w:rsidRPr="006B6FC7">
        <w:rPr>
          <w:rFonts w:ascii="Arial" w:hAnsi="Arial" w:cs="Arial"/>
          <w:bCs/>
        </w:rPr>
        <w:tab/>
        <w:t>T</w:t>
      </w:r>
      <w:r w:rsidRPr="006B6FC7">
        <w:rPr>
          <w:rFonts w:ascii="Arial" w:hAnsi="Arial" w:cs="Arial"/>
          <w:color w:val="000000"/>
          <w:lang w:val="en-ID"/>
        </w:rPr>
        <w:t>he F value of 2.695 and p-value of 0.032 indicate that the regression model is statistically significant at the 5% significance level. This result confirms that the independent variables (age, growth, ESG score, and industry) collectively have a significant effect on ROA, and as such, the null hypothesis is rejected. The F test suggests that the model is appropriate for predicting ROA, as the independent variables contribute meaningfully to explaining the variation in the dependent variable.</w:t>
      </w:r>
    </w:p>
    <w:p w14:paraId="388CF5F8" w14:textId="77777777" w:rsidR="006B6FC7" w:rsidRPr="006B6FC7" w:rsidRDefault="006B6FC7" w:rsidP="006B6FC7">
      <w:pPr>
        <w:widowControl w:val="0"/>
        <w:tabs>
          <w:tab w:val="left" w:pos="450"/>
        </w:tabs>
        <w:spacing w:line="240" w:lineRule="atLeast"/>
        <w:jc w:val="both"/>
        <w:rPr>
          <w:rFonts w:ascii="Arial" w:hAnsi="Arial" w:cs="Arial"/>
        </w:rPr>
      </w:pPr>
      <w:r w:rsidRPr="006B6FC7">
        <w:rPr>
          <w:rFonts w:ascii="Arial" w:hAnsi="Arial" w:cs="Arial"/>
        </w:rPr>
        <w:tab/>
        <w:t>T-test shows ROA constant of 0.036 but not significant (p &gt; 0.05). ESG score coefficient of 0.142 (t = 2.310, p = 0.022) is significant, meaning that every one unit increase in ESG score increases ROA by 0.142. Growth coefficient of 0.015 is not significant (p &gt; 0.05). Age coefficient of -0.003 (t = -2.320, p = 0.021) is significant and has a negative effect. ESG score and Age have an effect significant on ROA, while Growth does not.</w:t>
      </w:r>
    </w:p>
    <w:p w14:paraId="12C5060F" w14:textId="77777777" w:rsidR="006B6FC7" w:rsidRPr="006B6FC7" w:rsidRDefault="006B6FC7" w:rsidP="006B6FC7">
      <w:pPr>
        <w:widowControl w:val="0"/>
        <w:tabs>
          <w:tab w:val="left" w:pos="450"/>
        </w:tabs>
        <w:spacing w:line="240" w:lineRule="atLeast"/>
        <w:jc w:val="both"/>
        <w:rPr>
          <w:rFonts w:ascii="Arial" w:hAnsi="Arial" w:cs="Arial"/>
          <w:bCs/>
        </w:rPr>
      </w:pPr>
    </w:p>
    <w:p w14:paraId="2B86348F" w14:textId="77777777" w:rsidR="006B6FC7" w:rsidRPr="006B6FC7" w:rsidRDefault="006B6FC7" w:rsidP="006B6FC7">
      <w:pPr>
        <w:jc w:val="both"/>
        <w:rPr>
          <w:rFonts w:ascii="Arial" w:hAnsi="Arial" w:cs="Arial"/>
          <w:lang w:val="en-ID"/>
        </w:rPr>
      </w:pPr>
    </w:p>
    <w:tbl>
      <w:tblPr>
        <w:tblW w:w="8286"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328"/>
        <w:gridCol w:w="1150"/>
        <w:gridCol w:w="1336"/>
        <w:gridCol w:w="1439"/>
        <w:gridCol w:w="1843"/>
        <w:gridCol w:w="1449"/>
        <w:gridCol w:w="741"/>
      </w:tblGrid>
      <w:tr w:rsidR="006B6FC7" w:rsidRPr="006B6FC7" w14:paraId="1656BF50" w14:textId="77777777" w:rsidTr="006B6FC7">
        <w:trPr>
          <w:gridAfter w:val="2"/>
          <w:wAfter w:w="2190" w:type="dxa"/>
          <w:trHeight w:val="300"/>
        </w:trPr>
        <w:tc>
          <w:tcPr>
            <w:tcW w:w="6096" w:type="dxa"/>
            <w:gridSpan w:val="5"/>
            <w:tcBorders>
              <w:bottom w:val="single" w:sz="12" w:space="0" w:color="000000"/>
            </w:tcBorders>
            <w:hideMark/>
          </w:tcPr>
          <w:p w14:paraId="569B13E3" w14:textId="77777777" w:rsidR="006B6FC7" w:rsidRPr="006B6FC7" w:rsidRDefault="006B6FC7" w:rsidP="00F54FCC">
            <w:pPr>
              <w:rPr>
                <w:rFonts w:ascii="Arial" w:hAnsi="Arial" w:cs="Arial"/>
                <w:b/>
                <w:bCs/>
                <w:color w:val="000000"/>
              </w:rPr>
            </w:pPr>
            <w:r w:rsidRPr="006B6FC7">
              <w:rPr>
                <w:rFonts w:ascii="Arial" w:hAnsi="Arial" w:cs="Arial"/>
                <w:b/>
                <w:bCs/>
                <w:color w:val="000000"/>
              </w:rPr>
              <w:t>Table 16. T-test</w:t>
            </w:r>
          </w:p>
        </w:tc>
      </w:tr>
      <w:tr w:rsidR="006B6FC7" w:rsidRPr="006B6FC7" w14:paraId="34D0F5DD" w14:textId="77777777" w:rsidTr="006B6FC7">
        <w:trPr>
          <w:gridAfter w:val="2"/>
          <w:wAfter w:w="2190" w:type="dxa"/>
          <w:trHeight w:val="300"/>
        </w:trPr>
        <w:tc>
          <w:tcPr>
            <w:tcW w:w="6096" w:type="dxa"/>
            <w:gridSpan w:val="5"/>
            <w:hideMark/>
          </w:tcPr>
          <w:p w14:paraId="18F61D5B" w14:textId="77777777" w:rsidR="006B6FC7" w:rsidRPr="006B6FC7" w:rsidRDefault="006B6FC7" w:rsidP="00F54FCC">
            <w:pPr>
              <w:jc w:val="center"/>
              <w:rPr>
                <w:rFonts w:ascii="Arial" w:hAnsi="Arial" w:cs="Arial"/>
                <w:color w:val="000000"/>
              </w:rPr>
            </w:pPr>
            <w:r w:rsidRPr="006B6FC7">
              <w:rPr>
                <w:rFonts w:ascii="Arial" w:hAnsi="Arial" w:cs="Arial"/>
                <w:color w:val="000000"/>
              </w:rPr>
              <w:t xml:space="preserve">Coefficients </w:t>
            </w:r>
            <w:r w:rsidRPr="006B6FC7">
              <w:rPr>
                <w:rFonts w:ascii="Arial" w:hAnsi="Arial" w:cs="Arial"/>
                <w:color w:val="000000"/>
                <w:vertAlign w:val="superscript"/>
              </w:rPr>
              <w:t>a</w:t>
            </w:r>
          </w:p>
        </w:tc>
      </w:tr>
      <w:tr w:rsidR="006B6FC7" w:rsidRPr="006B6FC7" w14:paraId="1E2CDAA8" w14:textId="77777777" w:rsidTr="006B6FC7">
        <w:trPr>
          <w:trHeight w:val="300"/>
        </w:trPr>
        <w:tc>
          <w:tcPr>
            <w:tcW w:w="1478" w:type="dxa"/>
            <w:gridSpan w:val="2"/>
            <w:vMerge w:val="restart"/>
            <w:hideMark/>
          </w:tcPr>
          <w:p w14:paraId="4F74F5E7"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Model</w:t>
            </w:r>
          </w:p>
        </w:tc>
        <w:tc>
          <w:tcPr>
            <w:tcW w:w="2775" w:type="dxa"/>
            <w:gridSpan w:val="2"/>
            <w:hideMark/>
          </w:tcPr>
          <w:p w14:paraId="550A77DB"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Unstandardized Coefficients</w:t>
            </w:r>
          </w:p>
        </w:tc>
        <w:tc>
          <w:tcPr>
            <w:tcW w:w="1843" w:type="dxa"/>
            <w:hideMark/>
          </w:tcPr>
          <w:p w14:paraId="0DA4FDB4"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Standardized Coefficients</w:t>
            </w:r>
          </w:p>
        </w:tc>
        <w:tc>
          <w:tcPr>
            <w:tcW w:w="1449" w:type="dxa"/>
            <w:vMerge w:val="restart"/>
            <w:hideMark/>
          </w:tcPr>
          <w:p w14:paraId="0DA5A082"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t</w:t>
            </w:r>
          </w:p>
        </w:tc>
        <w:tc>
          <w:tcPr>
            <w:tcW w:w="741" w:type="dxa"/>
            <w:vMerge w:val="restart"/>
            <w:hideMark/>
          </w:tcPr>
          <w:p w14:paraId="260B64F5"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Sig.</w:t>
            </w:r>
          </w:p>
        </w:tc>
      </w:tr>
      <w:tr w:rsidR="006B6FC7" w:rsidRPr="006B6FC7" w14:paraId="40302779" w14:textId="77777777" w:rsidTr="006B6FC7">
        <w:trPr>
          <w:trHeight w:val="300"/>
        </w:trPr>
        <w:tc>
          <w:tcPr>
            <w:tcW w:w="1478" w:type="dxa"/>
            <w:gridSpan w:val="2"/>
            <w:vMerge/>
            <w:hideMark/>
          </w:tcPr>
          <w:p w14:paraId="39CD15BB" w14:textId="77777777" w:rsidR="006B6FC7" w:rsidRPr="006B6FC7" w:rsidRDefault="006B6FC7" w:rsidP="00F54FCC">
            <w:pPr>
              <w:rPr>
                <w:rFonts w:ascii="Arial" w:hAnsi="Arial" w:cs="Arial"/>
                <w:b/>
                <w:bCs/>
                <w:i/>
                <w:iCs/>
                <w:color w:val="000000"/>
                <w:lang w:val="en"/>
              </w:rPr>
            </w:pPr>
          </w:p>
        </w:tc>
        <w:tc>
          <w:tcPr>
            <w:tcW w:w="1336" w:type="dxa"/>
            <w:hideMark/>
          </w:tcPr>
          <w:p w14:paraId="0BC77157"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B</w:t>
            </w:r>
          </w:p>
        </w:tc>
        <w:tc>
          <w:tcPr>
            <w:tcW w:w="1439" w:type="dxa"/>
            <w:hideMark/>
          </w:tcPr>
          <w:p w14:paraId="7D53D83D"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Std. Error</w:t>
            </w:r>
          </w:p>
        </w:tc>
        <w:tc>
          <w:tcPr>
            <w:tcW w:w="1843" w:type="dxa"/>
            <w:hideMark/>
          </w:tcPr>
          <w:p w14:paraId="149BA0DC"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Beta</w:t>
            </w:r>
          </w:p>
        </w:tc>
        <w:tc>
          <w:tcPr>
            <w:tcW w:w="1449" w:type="dxa"/>
            <w:vMerge/>
            <w:hideMark/>
          </w:tcPr>
          <w:p w14:paraId="3176E5C6" w14:textId="77777777" w:rsidR="006B6FC7" w:rsidRPr="006B6FC7" w:rsidRDefault="006B6FC7" w:rsidP="00F54FCC">
            <w:pPr>
              <w:rPr>
                <w:rFonts w:ascii="Arial" w:hAnsi="Arial" w:cs="Arial"/>
                <w:b/>
                <w:bCs/>
                <w:i/>
                <w:iCs/>
                <w:color w:val="000000"/>
                <w:lang w:val="en"/>
              </w:rPr>
            </w:pPr>
          </w:p>
        </w:tc>
        <w:tc>
          <w:tcPr>
            <w:tcW w:w="741" w:type="dxa"/>
            <w:vMerge/>
            <w:hideMark/>
          </w:tcPr>
          <w:p w14:paraId="3959AC34" w14:textId="77777777" w:rsidR="006B6FC7" w:rsidRPr="006B6FC7" w:rsidRDefault="006B6FC7" w:rsidP="00F54FCC">
            <w:pPr>
              <w:rPr>
                <w:rFonts w:ascii="Arial" w:hAnsi="Arial" w:cs="Arial"/>
                <w:b/>
                <w:bCs/>
                <w:i/>
                <w:iCs/>
                <w:color w:val="000000"/>
                <w:lang w:val="en"/>
              </w:rPr>
            </w:pPr>
          </w:p>
        </w:tc>
      </w:tr>
      <w:tr w:rsidR="006B6FC7" w:rsidRPr="006B6FC7" w14:paraId="7E98EBD5" w14:textId="77777777" w:rsidTr="006B6FC7">
        <w:trPr>
          <w:trHeight w:val="300"/>
        </w:trPr>
        <w:tc>
          <w:tcPr>
            <w:tcW w:w="328" w:type="dxa"/>
            <w:vMerge w:val="restart"/>
            <w:hideMark/>
          </w:tcPr>
          <w:p w14:paraId="12672BF8" w14:textId="77777777" w:rsidR="006B6FC7" w:rsidRPr="006B6FC7" w:rsidRDefault="006B6FC7" w:rsidP="00F54FCC">
            <w:pPr>
              <w:jc w:val="center"/>
              <w:rPr>
                <w:rFonts w:ascii="Arial" w:hAnsi="Arial" w:cs="Arial"/>
                <w:color w:val="000000"/>
              </w:rPr>
            </w:pPr>
            <w:r w:rsidRPr="006B6FC7">
              <w:rPr>
                <w:rFonts w:ascii="Arial" w:hAnsi="Arial" w:cs="Arial"/>
                <w:color w:val="000000"/>
              </w:rPr>
              <w:t>1</w:t>
            </w:r>
          </w:p>
        </w:tc>
        <w:tc>
          <w:tcPr>
            <w:tcW w:w="1150" w:type="dxa"/>
            <w:hideMark/>
          </w:tcPr>
          <w:p w14:paraId="1B0E88DC" w14:textId="77777777" w:rsidR="006B6FC7" w:rsidRPr="006B6FC7" w:rsidRDefault="006B6FC7" w:rsidP="00F54FCC">
            <w:pPr>
              <w:rPr>
                <w:rFonts w:ascii="Arial" w:hAnsi="Arial" w:cs="Arial"/>
                <w:color w:val="000000"/>
              </w:rPr>
            </w:pPr>
            <w:r w:rsidRPr="006B6FC7">
              <w:rPr>
                <w:rFonts w:ascii="Arial" w:hAnsi="Arial" w:cs="Arial"/>
                <w:color w:val="000000"/>
              </w:rPr>
              <w:t>(Constant)</w:t>
            </w:r>
          </w:p>
        </w:tc>
        <w:tc>
          <w:tcPr>
            <w:tcW w:w="1336" w:type="dxa"/>
            <w:hideMark/>
          </w:tcPr>
          <w:p w14:paraId="17A52981" w14:textId="77777777" w:rsidR="006B6FC7" w:rsidRPr="006B6FC7" w:rsidRDefault="006B6FC7" w:rsidP="00F54FCC">
            <w:pPr>
              <w:jc w:val="right"/>
              <w:rPr>
                <w:rFonts w:ascii="Arial" w:hAnsi="Arial" w:cs="Arial"/>
                <w:color w:val="000000"/>
              </w:rPr>
            </w:pPr>
            <w:r w:rsidRPr="006B6FC7">
              <w:rPr>
                <w:rFonts w:ascii="Arial" w:hAnsi="Arial" w:cs="Arial"/>
                <w:color w:val="000000"/>
              </w:rPr>
              <w:t>0.031</w:t>
            </w:r>
          </w:p>
        </w:tc>
        <w:tc>
          <w:tcPr>
            <w:tcW w:w="1439" w:type="dxa"/>
            <w:hideMark/>
          </w:tcPr>
          <w:p w14:paraId="3635FB94" w14:textId="77777777" w:rsidR="006B6FC7" w:rsidRPr="006B6FC7" w:rsidRDefault="006B6FC7" w:rsidP="00F54FCC">
            <w:pPr>
              <w:jc w:val="right"/>
              <w:rPr>
                <w:rFonts w:ascii="Arial" w:hAnsi="Arial" w:cs="Arial"/>
                <w:color w:val="000000"/>
              </w:rPr>
            </w:pPr>
            <w:r w:rsidRPr="006B6FC7">
              <w:rPr>
                <w:rFonts w:ascii="Arial" w:hAnsi="Arial" w:cs="Arial"/>
                <w:color w:val="000000"/>
              </w:rPr>
              <w:t>0.036</w:t>
            </w:r>
          </w:p>
        </w:tc>
        <w:tc>
          <w:tcPr>
            <w:tcW w:w="1843" w:type="dxa"/>
            <w:hideMark/>
          </w:tcPr>
          <w:p w14:paraId="50011BB4" w14:textId="77777777" w:rsidR="006B6FC7" w:rsidRPr="006B6FC7" w:rsidRDefault="006B6FC7" w:rsidP="00F54FCC">
            <w:pPr>
              <w:rPr>
                <w:rFonts w:ascii="Arial" w:hAnsi="Arial" w:cs="Arial"/>
                <w:color w:val="000000"/>
              </w:rPr>
            </w:pPr>
          </w:p>
        </w:tc>
        <w:tc>
          <w:tcPr>
            <w:tcW w:w="1449" w:type="dxa"/>
            <w:hideMark/>
          </w:tcPr>
          <w:p w14:paraId="5590B868" w14:textId="77777777" w:rsidR="006B6FC7" w:rsidRPr="006B6FC7" w:rsidRDefault="006B6FC7" w:rsidP="00F54FCC">
            <w:pPr>
              <w:jc w:val="right"/>
              <w:rPr>
                <w:rFonts w:ascii="Arial" w:hAnsi="Arial" w:cs="Arial"/>
                <w:color w:val="000000"/>
                <w:lang w:val="en"/>
              </w:rPr>
            </w:pPr>
            <w:r w:rsidRPr="006B6FC7">
              <w:rPr>
                <w:rFonts w:ascii="Arial" w:hAnsi="Arial" w:cs="Arial"/>
                <w:color w:val="000000"/>
              </w:rPr>
              <w:t>0.863</w:t>
            </w:r>
          </w:p>
        </w:tc>
        <w:tc>
          <w:tcPr>
            <w:tcW w:w="741" w:type="dxa"/>
            <w:hideMark/>
          </w:tcPr>
          <w:p w14:paraId="2BFF5CD4" w14:textId="77777777" w:rsidR="006B6FC7" w:rsidRPr="006B6FC7" w:rsidRDefault="006B6FC7" w:rsidP="00F54FCC">
            <w:pPr>
              <w:jc w:val="right"/>
              <w:rPr>
                <w:rFonts w:ascii="Arial" w:hAnsi="Arial" w:cs="Arial"/>
                <w:color w:val="000000"/>
              </w:rPr>
            </w:pPr>
            <w:r w:rsidRPr="006B6FC7">
              <w:rPr>
                <w:rFonts w:ascii="Arial" w:hAnsi="Arial" w:cs="Arial"/>
                <w:color w:val="000000"/>
              </w:rPr>
              <w:t>0.389</w:t>
            </w:r>
          </w:p>
        </w:tc>
      </w:tr>
      <w:tr w:rsidR="006B6FC7" w:rsidRPr="006B6FC7" w14:paraId="125ABFDB" w14:textId="77777777" w:rsidTr="006B6FC7">
        <w:trPr>
          <w:trHeight w:val="300"/>
        </w:trPr>
        <w:tc>
          <w:tcPr>
            <w:tcW w:w="328" w:type="dxa"/>
            <w:vMerge/>
            <w:hideMark/>
          </w:tcPr>
          <w:p w14:paraId="4B9C3AC5" w14:textId="77777777" w:rsidR="006B6FC7" w:rsidRPr="006B6FC7" w:rsidRDefault="006B6FC7" w:rsidP="00F54FCC">
            <w:pPr>
              <w:rPr>
                <w:rFonts w:ascii="Arial" w:hAnsi="Arial" w:cs="Arial"/>
                <w:color w:val="000000"/>
                <w:lang w:val="en"/>
              </w:rPr>
            </w:pPr>
          </w:p>
        </w:tc>
        <w:tc>
          <w:tcPr>
            <w:tcW w:w="1150" w:type="dxa"/>
            <w:hideMark/>
          </w:tcPr>
          <w:p w14:paraId="43878317" w14:textId="77777777" w:rsidR="006B6FC7" w:rsidRPr="006B6FC7" w:rsidRDefault="006B6FC7" w:rsidP="00F54FCC">
            <w:pPr>
              <w:rPr>
                <w:rFonts w:ascii="Arial" w:hAnsi="Arial" w:cs="Arial"/>
                <w:color w:val="000000"/>
              </w:rPr>
            </w:pPr>
            <w:proofErr w:type="spellStart"/>
            <w:r w:rsidRPr="006B6FC7">
              <w:rPr>
                <w:rFonts w:ascii="Arial" w:hAnsi="Arial" w:cs="Arial"/>
                <w:color w:val="000000"/>
              </w:rPr>
              <w:t>esg</w:t>
            </w:r>
            <w:proofErr w:type="spellEnd"/>
            <w:r w:rsidRPr="006B6FC7">
              <w:rPr>
                <w:rFonts w:ascii="Arial" w:hAnsi="Arial" w:cs="Arial"/>
                <w:color w:val="000000"/>
              </w:rPr>
              <w:t xml:space="preserve"> score</w:t>
            </w:r>
          </w:p>
        </w:tc>
        <w:tc>
          <w:tcPr>
            <w:tcW w:w="1336" w:type="dxa"/>
            <w:hideMark/>
          </w:tcPr>
          <w:p w14:paraId="40BCD5EF" w14:textId="77777777" w:rsidR="006B6FC7" w:rsidRPr="006B6FC7" w:rsidRDefault="006B6FC7" w:rsidP="00F54FCC">
            <w:pPr>
              <w:jc w:val="right"/>
              <w:rPr>
                <w:rFonts w:ascii="Arial" w:hAnsi="Arial" w:cs="Arial"/>
                <w:color w:val="000000"/>
              </w:rPr>
            </w:pPr>
            <w:r w:rsidRPr="006B6FC7">
              <w:rPr>
                <w:rFonts w:ascii="Arial" w:hAnsi="Arial" w:cs="Arial"/>
                <w:color w:val="000000"/>
              </w:rPr>
              <w:t>0.142</w:t>
            </w:r>
          </w:p>
        </w:tc>
        <w:tc>
          <w:tcPr>
            <w:tcW w:w="1439" w:type="dxa"/>
            <w:hideMark/>
          </w:tcPr>
          <w:p w14:paraId="2767FDBA" w14:textId="77777777" w:rsidR="006B6FC7" w:rsidRPr="006B6FC7" w:rsidRDefault="006B6FC7" w:rsidP="00F54FCC">
            <w:pPr>
              <w:jc w:val="right"/>
              <w:rPr>
                <w:rFonts w:ascii="Arial" w:hAnsi="Arial" w:cs="Arial"/>
                <w:color w:val="000000"/>
              </w:rPr>
            </w:pPr>
            <w:r w:rsidRPr="006B6FC7">
              <w:rPr>
                <w:rFonts w:ascii="Arial" w:hAnsi="Arial" w:cs="Arial"/>
                <w:color w:val="000000"/>
              </w:rPr>
              <w:t>0.061</w:t>
            </w:r>
          </w:p>
        </w:tc>
        <w:tc>
          <w:tcPr>
            <w:tcW w:w="1843" w:type="dxa"/>
            <w:hideMark/>
          </w:tcPr>
          <w:p w14:paraId="5B7DA27C" w14:textId="77777777" w:rsidR="006B6FC7" w:rsidRPr="006B6FC7" w:rsidRDefault="006B6FC7" w:rsidP="00F54FCC">
            <w:pPr>
              <w:jc w:val="right"/>
              <w:rPr>
                <w:rFonts w:ascii="Arial" w:hAnsi="Arial" w:cs="Arial"/>
                <w:color w:val="000000"/>
              </w:rPr>
            </w:pPr>
            <w:r w:rsidRPr="006B6FC7">
              <w:rPr>
                <w:rFonts w:ascii="Arial" w:hAnsi="Arial" w:cs="Arial"/>
                <w:color w:val="000000"/>
              </w:rPr>
              <w:t>0.152</w:t>
            </w:r>
          </w:p>
        </w:tc>
        <w:tc>
          <w:tcPr>
            <w:tcW w:w="1449" w:type="dxa"/>
            <w:hideMark/>
          </w:tcPr>
          <w:p w14:paraId="7DCF47AF" w14:textId="77777777" w:rsidR="006B6FC7" w:rsidRPr="006B6FC7" w:rsidRDefault="006B6FC7" w:rsidP="00F54FCC">
            <w:pPr>
              <w:jc w:val="right"/>
              <w:rPr>
                <w:rFonts w:ascii="Arial" w:hAnsi="Arial" w:cs="Arial"/>
                <w:color w:val="000000"/>
              </w:rPr>
            </w:pPr>
            <w:r w:rsidRPr="006B6FC7">
              <w:rPr>
                <w:rFonts w:ascii="Arial" w:hAnsi="Arial" w:cs="Arial"/>
                <w:color w:val="000000"/>
              </w:rPr>
              <w:t>2.31</w:t>
            </w:r>
          </w:p>
        </w:tc>
        <w:tc>
          <w:tcPr>
            <w:tcW w:w="741" w:type="dxa"/>
            <w:hideMark/>
          </w:tcPr>
          <w:p w14:paraId="13FE0035" w14:textId="77777777" w:rsidR="006B6FC7" w:rsidRPr="006B6FC7" w:rsidRDefault="006B6FC7" w:rsidP="00F54FCC">
            <w:pPr>
              <w:jc w:val="right"/>
              <w:rPr>
                <w:rFonts w:ascii="Arial" w:hAnsi="Arial" w:cs="Arial"/>
                <w:color w:val="000000"/>
              </w:rPr>
            </w:pPr>
            <w:r w:rsidRPr="006B6FC7">
              <w:rPr>
                <w:rFonts w:ascii="Arial" w:hAnsi="Arial" w:cs="Arial"/>
                <w:color w:val="000000"/>
              </w:rPr>
              <w:t>0.022</w:t>
            </w:r>
          </w:p>
        </w:tc>
      </w:tr>
      <w:tr w:rsidR="006B6FC7" w:rsidRPr="006B6FC7" w14:paraId="516A18D8" w14:textId="77777777" w:rsidTr="006B6FC7">
        <w:trPr>
          <w:trHeight w:val="300"/>
        </w:trPr>
        <w:tc>
          <w:tcPr>
            <w:tcW w:w="328" w:type="dxa"/>
            <w:vMerge/>
            <w:hideMark/>
          </w:tcPr>
          <w:p w14:paraId="3E7EFCCA" w14:textId="77777777" w:rsidR="006B6FC7" w:rsidRPr="006B6FC7" w:rsidRDefault="006B6FC7" w:rsidP="00F54FCC">
            <w:pPr>
              <w:rPr>
                <w:rFonts w:ascii="Arial" w:hAnsi="Arial" w:cs="Arial"/>
                <w:color w:val="000000"/>
                <w:lang w:val="en"/>
              </w:rPr>
            </w:pPr>
          </w:p>
        </w:tc>
        <w:tc>
          <w:tcPr>
            <w:tcW w:w="1150" w:type="dxa"/>
            <w:hideMark/>
          </w:tcPr>
          <w:p w14:paraId="28B4AF1F" w14:textId="77777777" w:rsidR="006B6FC7" w:rsidRPr="006B6FC7" w:rsidRDefault="006B6FC7" w:rsidP="00F54FCC">
            <w:pPr>
              <w:rPr>
                <w:rFonts w:ascii="Arial" w:hAnsi="Arial" w:cs="Arial"/>
                <w:color w:val="000000"/>
              </w:rPr>
            </w:pPr>
            <w:r w:rsidRPr="006B6FC7">
              <w:rPr>
                <w:rFonts w:ascii="Arial" w:hAnsi="Arial" w:cs="Arial"/>
                <w:color w:val="000000"/>
              </w:rPr>
              <w:t>growth</w:t>
            </w:r>
          </w:p>
        </w:tc>
        <w:tc>
          <w:tcPr>
            <w:tcW w:w="1336" w:type="dxa"/>
            <w:hideMark/>
          </w:tcPr>
          <w:p w14:paraId="36AEF4A8" w14:textId="77777777" w:rsidR="006B6FC7" w:rsidRPr="006B6FC7" w:rsidRDefault="006B6FC7" w:rsidP="00F54FCC">
            <w:pPr>
              <w:jc w:val="right"/>
              <w:rPr>
                <w:rFonts w:ascii="Arial" w:hAnsi="Arial" w:cs="Arial"/>
                <w:color w:val="000000"/>
              </w:rPr>
            </w:pPr>
            <w:r w:rsidRPr="006B6FC7">
              <w:rPr>
                <w:rFonts w:ascii="Arial" w:hAnsi="Arial" w:cs="Arial"/>
                <w:color w:val="000000"/>
              </w:rPr>
              <w:t>0.015</w:t>
            </w:r>
          </w:p>
        </w:tc>
        <w:tc>
          <w:tcPr>
            <w:tcW w:w="1439" w:type="dxa"/>
            <w:hideMark/>
          </w:tcPr>
          <w:p w14:paraId="70EC93F1" w14:textId="77777777" w:rsidR="006B6FC7" w:rsidRPr="006B6FC7" w:rsidRDefault="006B6FC7" w:rsidP="00F54FCC">
            <w:pPr>
              <w:jc w:val="right"/>
              <w:rPr>
                <w:rFonts w:ascii="Arial" w:hAnsi="Arial" w:cs="Arial"/>
                <w:color w:val="000000"/>
              </w:rPr>
            </w:pPr>
            <w:r w:rsidRPr="006B6FC7">
              <w:rPr>
                <w:rFonts w:ascii="Arial" w:hAnsi="Arial" w:cs="Arial"/>
                <w:color w:val="000000"/>
              </w:rPr>
              <w:t>0.014</w:t>
            </w:r>
          </w:p>
        </w:tc>
        <w:tc>
          <w:tcPr>
            <w:tcW w:w="1843" w:type="dxa"/>
            <w:hideMark/>
          </w:tcPr>
          <w:p w14:paraId="3EF46642" w14:textId="77777777" w:rsidR="006B6FC7" w:rsidRPr="006B6FC7" w:rsidRDefault="006B6FC7" w:rsidP="00F54FCC">
            <w:pPr>
              <w:jc w:val="right"/>
              <w:rPr>
                <w:rFonts w:ascii="Arial" w:hAnsi="Arial" w:cs="Arial"/>
                <w:color w:val="000000"/>
              </w:rPr>
            </w:pPr>
            <w:r w:rsidRPr="006B6FC7">
              <w:rPr>
                <w:rFonts w:ascii="Arial" w:hAnsi="Arial" w:cs="Arial"/>
                <w:color w:val="000000"/>
              </w:rPr>
              <w:t>0.072</w:t>
            </w:r>
          </w:p>
        </w:tc>
        <w:tc>
          <w:tcPr>
            <w:tcW w:w="1449" w:type="dxa"/>
            <w:hideMark/>
          </w:tcPr>
          <w:p w14:paraId="4103C66C" w14:textId="77777777" w:rsidR="006B6FC7" w:rsidRPr="006B6FC7" w:rsidRDefault="006B6FC7" w:rsidP="00F54FCC">
            <w:pPr>
              <w:jc w:val="right"/>
              <w:rPr>
                <w:rFonts w:ascii="Arial" w:hAnsi="Arial" w:cs="Arial"/>
                <w:color w:val="000000"/>
              </w:rPr>
            </w:pPr>
            <w:r w:rsidRPr="006B6FC7">
              <w:rPr>
                <w:rFonts w:ascii="Arial" w:hAnsi="Arial" w:cs="Arial"/>
                <w:color w:val="000000"/>
              </w:rPr>
              <w:t>1,105</w:t>
            </w:r>
          </w:p>
        </w:tc>
        <w:tc>
          <w:tcPr>
            <w:tcW w:w="741" w:type="dxa"/>
            <w:hideMark/>
          </w:tcPr>
          <w:p w14:paraId="48DFEBE9" w14:textId="77777777" w:rsidR="006B6FC7" w:rsidRPr="006B6FC7" w:rsidRDefault="006B6FC7" w:rsidP="00F54FCC">
            <w:pPr>
              <w:jc w:val="right"/>
              <w:rPr>
                <w:rFonts w:ascii="Arial" w:hAnsi="Arial" w:cs="Arial"/>
                <w:color w:val="000000"/>
              </w:rPr>
            </w:pPr>
            <w:r w:rsidRPr="006B6FC7">
              <w:rPr>
                <w:rFonts w:ascii="Arial" w:hAnsi="Arial" w:cs="Arial"/>
                <w:color w:val="000000"/>
              </w:rPr>
              <w:t>0.27</w:t>
            </w:r>
          </w:p>
        </w:tc>
      </w:tr>
      <w:tr w:rsidR="006B6FC7" w:rsidRPr="006B6FC7" w14:paraId="3CFCEAEA" w14:textId="77777777" w:rsidTr="006B6FC7">
        <w:trPr>
          <w:trHeight w:val="300"/>
        </w:trPr>
        <w:tc>
          <w:tcPr>
            <w:tcW w:w="328" w:type="dxa"/>
            <w:vMerge/>
            <w:hideMark/>
          </w:tcPr>
          <w:p w14:paraId="6E47F015" w14:textId="77777777" w:rsidR="006B6FC7" w:rsidRPr="006B6FC7" w:rsidRDefault="006B6FC7" w:rsidP="00F54FCC">
            <w:pPr>
              <w:rPr>
                <w:rFonts w:ascii="Arial" w:hAnsi="Arial" w:cs="Arial"/>
                <w:color w:val="000000"/>
                <w:lang w:val="en"/>
              </w:rPr>
            </w:pPr>
          </w:p>
        </w:tc>
        <w:tc>
          <w:tcPr>
            <w:tcW w:w="1150" w:type="dxa"/>
            <w:hideMark/>
          </w:tcPr>
          <w:p w14:paraId="58D238C2" w14:textId="77777777" w:rsidR="006B6FC7" w:rsidRPr="006B6FC7" w:rsidRDefault="006B6FC7" w:rsidP="00F54FCC">
            <w:pPr>
              <w:rPr>
                <w:rFonts w:ascii="Arial" w:hAnsi="Arial" w:cs="Arial"/>
                <w:color w:val="000000"/>
              </w:rPr>
            </w:pPr>
            <w:r w:rsidRPr="006B6FC7">
              <w:rPr>
                <w:rFonts w:ascii="Arial" w:hAnsi="Arial" w:cs="Arial"/>
                <w:color w:val="000000"/>
              </w:rPr>
              <w:t>age</w:t>
            </w:r>
          </w:p>
        </w:tc>
        <w:tc>
          <w:tcPr>
            <w:tcW w:w="1336" w:type="dxa"/>
            <w:hideMark/>
          </w:tcPr>
          <w:p w14:paraId="13D8504F" w14:textId="77777777" w:rsidR="006B6FC7" w:rsidRPr="006B6FC7" w:rsidRDefault="006B6FC7" w:rsidP="00F54FCC">
            <w:pPr>
              <w:jc w:val="right"/>
              <w:rPr>
                <w:rFonts w:ascii="Arial" w:hAnsi="Arial" w:cs="Arial"/>
                <w:color w:val="000000"/>
              </w:rPr>
            </w:pPr>
            <w:r w:rsidRPr="006B6FC7">
              <w:rPr>
                <w:rFonts w:ascii="Arial" w:hAnsi="Arial" w:cs="Arial"/>
                <w:color w:val="000000"/>
              </w:rPr>
              <w:t>-0.003</w:t>
            </w:r>
          </w:p>
        </w:tc>
        <w:tc>
          <w:tcPr>
            <w:tcW w:w="1439" w:type="dxa"/>
            <w:hideMark/>
          </w:tcPr>
          <w:p w14:paraId="6C8D9467" w14:textId="77777777" w:rsidR="006B6FC7" w:rsidRPr="006B6FC7" w:rsidRDefault="006B6FC7" w:rsidP="00F54FCC">
            <w:pPr>
              <w:jc w:val="right"/>
              <w:rPr>
                <w:rFonts w:ascii="Arial" w:hAnsi="Arial" w:cs="Arial"/>
                <w:color w:val="000000"/>
              </w:rPr>
            </w:pPr>
            <w:r w:rsidRPr="006B6FC7">
              <w:rPr>
                <w:rFonts w:ascii="Arial" w:hAnsi="Arial" w:cs="Arial"/>
                <w:color w:val="000000"/>
              </w:rPr>
              <w:t>0.001</w:t>
            </w:r>
          </w:p>
        </w:tc>
        <w:tc>
          <w:tcPr>
            <w:tcW w:w="1843" w:type="dxa"/>
            <w:hideMark/>
          </w:tcPr>
          <w:p w14:paraId="0E832BFB" w14:textId="77777777" w:rsidR="006B6FC7" w:rsidRPr="006B6FC7" w:rsidRDefault="006B6FC7" w:rsidP="00F54FCC">
            <w:pPr>
              <w:jc w:val="right"/>
              <w:rPr>
                <w:rFonts w:ascii="Arial" w:hAnsi="Arial" w:cs="Arial"/>
                <w:color w:val="000000"/>
              </w:rPr>
            </w:pPr>
            <w:r w:rsidRPr="006B6FC7">
              <w:rPr>
                <w:rFonts w:ascii="Arial" w:hAnsi="Arial" w:cs="Arial"/>
                <w:color w:val="000000"/>
              </w:rPr>
              <w:t>-0.153</w:t>
            </w:r>
          </w:p>
        </w:tc>
        <w:tc>
          <w:tcPr>
            <w:tcW w:w="1449" w:type="dxa"/>
            <w:hideMark/>
          </w:tcPr>
          <w:p w14:paraId="593AF9B3" w14:textId="77777777" w:rsidR="006B6FC7" w:rsidRPr="006B6FC7" w:rsidRDefault="006B6FC7" w:rsidP="00F54FCC">
            <w:pPr>
              <w:jc w:val="right"/>
              <w:rPr>
                <w:rFonts w:ascii="Arial" w:hAnsi="Arial" w:cs="Arial"/>
                <w:color w:val="000000"/>
              </w:rPr>
            </w:pPr>
            <w:r w:rsidRPr="006B6FC7">
              <w:rPr>
                <w:rFonts w:ascii="Arial" w:hAnsi="Arial" w:cs="Arial"/>
                <w:color w:val="000000"/>
              </w:rPr>
              <w:t>-2.32</w:t>
            </w:r>
          </w:p>
        </w:tc>
        <w:tc>
          <w:tcPr>
            <w:tcW w:w="741" w:type="dxa"/>
            <w:hideMark/>
          </w:tcPr>
          <w:p w14:paraId="468A26BD" w14:textId="77777777" w:rsidR="006B6FC7" w:rsidRPr="006B6FC7" w:rsidRDefault="006B6FC7" w:rsidP="00F54FCC">
            <w:pPr>
              <w:jc w:val="right"/>
              <w:rPr>
                <w:rFonts w:ascii="Arial" w:hAnsi="Arial" w:cs="Arial"/>
                <w:color w:val="000000"/>
              </w:rPr>
            </w:pPr>
            <w:r w:rsidRPr="006B6FC7">
              <w:rPr>
                <w:rFonts w:ascii="Arial" w:hAnsi="Arial" w:cs="Arial"/>
                <w:color w:val="000000"/>
              </w:rPr>
              <w:t>0.021</w:t>
            </w:r>
          </w:p>
        </w:tc>
      </w:tr>
      <w:tr w:rsidR="006B6FC7" w:rsidRPr="006B6FC7" w14:paraId="0AD1E92F" w14:textId="77777777" w:rsidTr="006B6FC7">
        <w:trPr>
          <w:trHeight w:val="300"/>
        </w:trPr>
        <w:tc>
          <w:tcPr>
            <w:tcW w:w="328" w:type="dxa"/>
            <w:vMerge/>
            <w:hideMark/>
          </w:tcPr>
          <w:p w14:paraId="4DCCED12" w14:textId="77777777" w:rsidR="006B6FC7" w:rsidRPr="006B6FC7" w:rsidRDefault="006B6FC7" w:rsidP="00F54FCC">
            <w:pPr>
              <w:rPr>
                <w:rFonts w:ascii="Arial" w:hAnsi="Arial" w:cs="Arial"/>
                <w:color w:val="000000"/>
                <w:lang w:val="en"/>
              </w:rPr>
            </w:pPr>
          </w:p>
        </w:tc>
        <w:tc>
          <w:tcPr>
            <w:tcW w:w="1150" w:type="dxa"/>
            <w:hideMark/>
          </w:tcPr>
          <w:p w14:paraId="49AFB21E" w14:textId="77777777" w:rsidR="006B6FC7" w:rsidRPr="006B6FC7" w:rsidRDefault="006B6FC7" w:rsidP="00F54FCC">
            <w:pPr>
              <w:rPr>
                <w:rFonts w:ascii="Arial" w:hAnsi="Arial" w:cs="Arial"/>
                <w:color w:val="000000"/>
              </w:rPr>
            </w:pPr>
            <w:r w:rsidRPr="006B6FC7">
              <w:rPr>
                <w:rFonts w:ascii="Arial" w:hAnsi="Arial" w:cs="Arial"/>
                <w:color w:val="000000"/>
              </w:rPr>
              <w:t>industry</w:t>
            </w:r>
          </w:p>
        </w:tc>
        <w:tc>
          <w:tcPr>
            <w:tcW w:w="1336" w:type="dxa"/>
            <w:hideMark/>
          </w:tcPr>
          <w:p w14:paraId="7450F5EC" w14:textId="77777777" w:rsidR="006B6FC7" w:rsidRPr="006B6FC7" w:rsidRDefault="006B6FC7" w:rsidP="00F54FCC">
            <w:pPr>
              <w:jc w:val="right"/>
              <w:rPr>
                <w:rFonts w:ascii="Arial" w:hAnsi="Arial" w:cs="Arial"/>
                <w:color w:val="000000"/>
              </w:rPr>
            </w:pPr>
            <w:r w:rsidRPr="006B6FC7">
              <w:rPr>
                <w:rFonts w:ascii="Arial" w:hAnsi="Arial" w:cs="Arial"/>
                <w:color w:val="000000"/>
              </w:rPr>
              <w:t>0.019</w:t>
            </w:r>
          </w:p>
        </w:tc>
        <w:tc>
          <w:tcPr>
            <w:tcW w:w="1439" w:type="dxa"/>
            <w:hideMark/>
          </w:tcPr>
          <w:p w14:paraId="60F75472" w14:textId="77777777" w:rsidR="006B6FC7" w:rsidRPr="006B6FC7" w:rsidRDefault="006B6FC7" w:rsidP="00F54FCC">
            <w:pPr>
              <w:jc w:val="right"/>
              <w:rPr>
                <w:rFonts w:ascii="Arial" w:hAnsi="Arial" w:cs="Arial"/>
                <w:color w:val="000000"/>
              </w:rPr>
            </w:pPr>
            <w:r w:rsidRPr="006B6FC7">
              <w:rPr>
                <w:rFonts w:ascii="Arial" w:hAnsi="Arial" w:cs="Arial"/>
                <w:color w:val="000000"/>
              </w:rPr>
              <w:t>0.03</w:t>
            </w:r>
          </w:p>
        </w:tc>
        <w:tc>
          <w:tcPr>
            <w:tcW w:w="1843" w:type="dxa"/>
            <w:hideMark/>
          </w:tcPr>
          <w:p w14:paraId="0B6F810B" w14:textId="77777777" w:rsidR="006B6FC7" w:rsidRPr="006B6FC7" w:rsidRDefault="006B6FC7" w:rsidP="00F54FCC">
            <w:pPr>
              <w:jc w:val="right"/>
              <w:rPr>
                <w:rFonts w:ascii="Arial" w:hAnsi="Arial" w:cs="Arial"/>
                <w:color w:val="000000"/>
              </w:rPr>
            </w:pPr>
            <w:r w:rsidRPr="006B6FC7">
              <w:rPr>
                <w:rFonts w:ascii="Arial" w:hAnsi="Arial" w:cs="Arial"/>
                <w:color w:val="000000"/>
              </w:rPr>
              <w:t>0.042</w:t>
            </w:r>
          </w:p>
        </w:tc>
        <w:tc>
          <w:tcPr>
            <w:tcW w:w="1449" w:type="dxa"/>
            <w:hideMark/>
          </w:tcPr>
          <w:p w14:paraId="4FB63E7D" w14:textId="77777777" w:rsidR="006B6FC7" w:rsidRPr="006B6FC7" w:rsidRDefault="006B6FC7" w:rsidP="00F54FCC">
            <w:pPr>
              <w:jc w:val="right"/>
              <w:rPr>
                <w:rFonts w:ascii="Arial" w:hAnsi="Arial" w:cs="Arial"/>
                <w:color w:val="000000"/>
              </w:rPr>
            </w:pPr>
            <w:r w:rsidRPr="006B6FC7">
              <w:rPr>
                <w:rFonts w:ascii="Arial" w:hAnsi="Arial" w:cs="Arial"/>
                <w:color w:val="000000"/>
              </w:rPr>
              <w:t>0.645</w:t>
            </w:r>
          </w:p>
        </w:tc>
        <w:tc>
          <w:tcPr>
            <w:tcW w:w="741" w:type="dxa"/>
            <w:hideMark/>
          </w:tcPr>
          <w:p w14:paraId="1D8823CB" w14:textId="77777777" w:rsidR="006B6FC7" w:rsidRPr="006B6FC7" w:rsidRDefault="006B6FC7" w:rsidP="00F54FCC">
            <w:pPr>
              <w:jc w:val="right"/>
              <w:rPr>
                <w:rFonts w:ascii="Arial" w:hAnsi="Arial" w:cs="Arial"/>
                <w:color w:val="000000"/>
              </w:rPr>
            </w:pPr>
            <w:r w:rsidRPr="006B6FC7">
              <w:rPr>
                <w:rFonts w:ascii="Arial" w:hAnsi="Arial" w:cs="Arial"/>
                <w:color w:val="000000"/>
              </w:rPr>
              <w:t>0.52</w:t>
            </w:r>
          </w:p>
        </w:tc>
      </w:tr>
      <w:tr w:rsidR="006B6FC7" w:rsidRPr="006B6FC7" w14:paraId="2CDB7AF8" w14:textId="77777777" w:rsidTr="006B6FC7">
        <w:trPr>
          <w:gridAfter w:val="2"/>
          <w:wAfter w:w="2190" w:type="dxa"/>
          <w:trHeight w:val="300"/>
        </w:trPr>
        <w:tc>
          <w:tcPr>
            <w:tcW w:w="6096" w:type="dxa"/>
            <w:gridSpan w:val="5"/>
            <w:hideMark/>
          </w:tcPr>
          <w:p w14:paraId="31EB59A9" w14:textId="77777777" w:rsidR="006B6FC7" w:rsidRPr="006B6FC7" w:rsidRDefault="006B6FC7" w:rsidP="00F54FCC">
            <w:pPr>
              <w:rPr>
                <w:rFonts w:ascii="Arial" w:hAnsi="Arial" w:cs="Arial"/>
                <w:color w:val="000000"/>
              </w:rPr>
            </w:pPr>
            <w:r w:rsidRPr="006B6FC7">
              <w:rPr>
                <w:rFonts w:ascii="Arial" w:hAnsi="Arial" w:cs="Arial"/>
                <w:color w:val="000000"/>
              </w:rPr>
              <w:t xml:space="preserve">a. Dependent Variable: </w:t>
            </w:r>
            <w:proofErr w:type="spellStart"/>
            <w:r w:rsidRPr="006B6FC7">
              <w:rPr>
                <w:rFonts w:ascii="Arial" w:hAnsi="Arial" w:cs="Arial"/>
                <w:color w:val="000000"/>
              </w:rPr>
              <w:t>roa</w:t>
            </w:r>
            <w:proofErr w:type="spellEnd"/>
          </w:p>
        </w:tc>
      </w:tr>
    </w:tbl>
    <w:p w14:paraId="7B093603"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2B69FA97" w14:textId="77777777" w:rsidR="006B6FC7" w:rsidRPr="006B6FC7" w:rsidRDefault="006B6FC7" w:rsidP="006B6FC7">
      <w:pPr>
        <w:widowControl w:val="0"/>
        <w:tabs>
          <w:tab w:val="left" w:pos="450"/>
          <w:tab w:val="left" w:pos="3240"/>
        </w:tabs>
        <w:spacing w:line="240" w:lineRule="atLeast"/>
        <w:jc w:val="both"/>
        <w:rPr>
          <w:rFonts w:ascii="Arial" w:hAnsi="Arial" w:cs="Arial"/>
          <w:bCs/>
        </w:rPr>
      </w:pPr>
      <w:r w:rsidRPr="006B6FC7">
        <w:rPr>
          <w:rFonts w:ascii="Arial" w:hAnsi="Arial" w:cs="Arial"/>
          <w:bCs/>
        </w:rPr>
        <w:t xml:space="preserve">Coefficient Test </w:t>
      </w:r>
      <w:proofErr w:type="spellStart"/>
      <w:r w:rsidRPr="006B6FC7">
        <w:rPr>
          <w:rFonts w:ascii="Arial" w:hAnsi="Arial" w:cs="Arial"/>
          <w:bCs/>
        </w:rPr>
        <w:t>Deetermination</w:t>
      </w:r>
      <w:proofErr w:type="spellEnd"/>
      <w:r w:rsidRPr="006B6FC7">
        <w:rPr>
          <w:rFonts w:ascii="Arial" w:hAnsi="Arial" w:cs="Arial"/>
          <w:bCs/>
        </w:rPr>
        <w:t xml:space="preserve"> (R</w:t>
      </w:r>
      <w:r w:rsidRPr="006B6FC7">
        <w:rPr>
          <w:rFonts w:ascii="Arial" w:hAnsi="Arial" w:cs="Arial"/>
          <w:bCs/>
          <w:vertAlign w:val="superscript"/>
        </w:rPr>
        <w:t>2</w:t>
      </w:r>
      <w:r w:rsidRPr="006B6FC7">
        <w:rPr>
          <w:rFonts w:ascii="Arial" w:hAnsi="Arial" w:cs="Arial"/>
          <w:bCs/>
        </w:rPr>
        <w:t>)</w:t>
      </w:r>
    </w:p>
    <w:tbl>
      <w:tblPr>
        <w:tblW w:w="8368"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915"/>
        <w:gridCol w:w="1353"/>
        <w:gridCol w:w="1843"/>
        <w:gridCol w:w="2126"/>
        <w:gridCol w:w="2131"/>
      </w:tblGrid>
      <w:tr w:rsidR="006B6FC7" w:rsidRPr="006B6FC7" w14:paraId="6A403CA0" w14:textId="77777777" w:rsidTr="006B6FC7">
        <w:trPr>
          <w:trHeight w:val="280"/>
        </w:trPr>
        <w:tc>
          <w:tcPr>
            <w:tcW w:w="8368" w:type="dxa"/>
            <w:gridSpan w:val="5"/>
            <w:hideMark/>
          </w:tcPr>
          <w:p w14:paraId="1BBF431B" w14:textId="77777777" w:rsidR="006B6FC7" w:rsidRPr="006B6FC7" w:rsidRDefault="006B6FC7" w:rsidP="00F54FCC">
            <w:pPr>
              <w:spacing w:line="276" w:lineRule="auto"/>
              <w:rPr>
                <w:rFonts w:ascii="Arial" w:hAnsi="Arial" w:cs="Arial"/>
                <w:b/>
              </w:rPr>
            </w:pPr>
            <w:r w:rsidRPr="006B6FC7">
              <w:rPr>
                <w:rFonts w:ascii="Arial" w:hAnsi="Arial" w:cs="Arial"/>
                <w:b/>
              </w:rPr>
              <w:t>Table 17. Results of Determination Coefficient Test</w:t>
            </w:r>
          </w:p>
          <w:p w14:paraId="137E2AE5" w14:textId="77777777" w:rsidR="006B6FC7" w:rsidRPr="006B6FC7" w:rsidRDefault="006B6FC7" w:rsidP="00F54FCC">
            <w:pPr>
              <w:spacing w:line="276" w:lineRule="auto"/>
              <w:ind w:left="-45"/>
              <w:rPr>
                <w:rFonts w:ascii="Arial" w:hAnsi="Arial" w:cs="Arial"/>
                <w:b/>
                <w:i/>
                <w:iCs/>
                <w:lang w:val="nb-NO"/>
              </w:rPr>
            </w:pPr>
            <w:r w:rsidRPr="006B6FC7">
              <w:rPr>
                <w:rFonts w:ascii="Arial" w:hAnsi="Arial" w:cs="Arial"/>
                <w:b/>
                <w:lang w:val="nb-NO"/>
              </w:rPr>
              <w:t>Model Summary</w:t>
            </w:r>
          </w:p>
        </w:tc>
      </w:tr>
      <w:tr w:rsidR="006B6FC7" w:rsidRPr="006B6FC7" w14:paraId="537F4A3F" w14:textId="77777777" w:rsidTr="006B6FC7">
        <w:trPr>
          <w:trHeight w:val="560"/>
        </w:trPr>
        <w:tc>
          <w:tcPr>
            <w:tcW w:w="915" w:type="dxa"/>
            <w:hideMark/>
          </w:tcPr>
          <w:p w14:paraId="3D62B120" w14:textId="77777777" w:rsidR="006B6FC7" w:rsidRPr="006B6FC7" w:rsidRDefault="006B6FC7" w:rsidP="00F54FCC">
            <w:pPr>
              <w:spacing w:line="276" w:lineRule="auto"/>
              <w:jc w:val="center"/>
              <w:rPr>
                <w:rFonts w:ascii="Arial" w:hAnsi="Arial" w:cs="Arial"/>
                <w:b/>
                <w:lang w:val="en"/>
              </w:rPr>
            </w:pPr>
            <w:r w:rsidRPr="006B6FC7">
              <w:rPr>
                <w:rFonts w:ascii="Arial" w:hAnsi="Arial" w:cs="Arial"/>
                <w:b/>
              </w:rPr>
              <w:t>Model</w:t>
            </w:r>
          </w:p>
        </w:tc>
        <w:tc>
          <w:tcPr>
            <w:tcW w:w="1353" w:type="dxa"/>
            <w:hideMark/>
          </w:tcPr>
          <w:p w14:paraId="0E31DACA" w14:textId="77777777" w:rsidR="006B6FC7" w:rsidRPr="006B6FC7" w:rsidRDefault="006B6FC7" w:rsidP="00F54FCC">
            <w:pPr>
              <w:spacing w:line="276" w:lineRule="auto"/>
              <w:jc w:val="center"/>
              <w:rPr>
                <w:rFonts w:ascii="Arial" w:hAnsi="Arial" w:cs="Arial"/>
                <w:b/>
              </w:rPr>
            </w:pPr>
            <w:r w:rsidRPr="006B6FC7">
              <w:rPr>
                <w:rFonts w:ascii="Arial" w:hAnsi="Arial" w:cs="Arial"/>
                <w:b/>
              </w:rPr>
              <w:t>R</w:t>
            </w:r>
          </w:p>
        </w:tc>
        <w:tc>
          <w:tcPr>
            <w:tcW w:w="1843" w:type="dxa"/>
            <w:hideMark/>
          </w:tcPr>
          <w:p w14:paraId="29A339C5" w14:textId="77777777" w:rsidR="006B6FC7" w:rsidRPr="006B6FC7" w:rsidRDefault="006B6FC7" w:rsidP="00F54FCC">
            <w:pPr>
              <w:spacing w:line="276" w:lineRule="auto"/>
              <w:jc w:val="center"/>
              <w:rPr>
                <w:rFonts w:ascii="Arial" w:hAnsi="Arial" w:cs="Arial"/>
                <w:b/>
              </w:rPr>
            </w:pPr>
            <w:r w:rsidRPr="006B6FC7">
              <w:rPr>
                <w:rFonts w:ascii="Arial" w:hAnsi="Arial" w:cs="Arial"/>
                <w:b/>
              </w:rPr>
              <w:t>R Square</w:t>
            </w:r>
          </w:p>
        </w:tc>
        <w:tc>
          <w:tcPr>
            <w:tcW w:w="2126" w:type="dxa"/>
            <w:hideMark/>
          </w:tcPr>
          <w:p w14:paraId="75EC11DB" w14:textId="77777777" w:rsidR="006B6FC7" w:rsidRPr="006B6FC7" w:rsidRDefault="006B6FC7" w:rsidP="00F54FCC">
            <w:pPr>
              <w:spacing w:line="276" w:lineRule="auto"/>
              <w:jc w:val="center"/>
              <w:rPr>
                <w:rFonts w:ascii="Arial" w:hAnsi="Arial" w:cs="Arial"/>
                <w:b/>
              </w:rPr>
            </w:pPr>
            <w:r w:rsidRPr="006B6FC7">
              <w:rPr>
                <w:rFonts w:ascii="Arial" w:hAnsi="Arial" w:cs="Arial"/>
                <w:b/>
              </w:rPr>
              <w:t>Adjusted R Square</w:t>
            </w:r>
          </w:p>
        </w:tc>
        <w:tc>
          <w:tcPr>
            <w:tcW w:w="2126" w:type="dxa"/>
            <w:hideMark/>
          </w:tcPr>
          <w:p w14:paraId="7C75EFD9" w14:textId="77777777" w:rsidR="006B6FC7" w:rsidRPr="006B6FC7" w:rsidRDefault="006B6FC7" w:rsidP="00F54FCC">
            <w:pPr>
              <w:spacing w:line="276" w:lineRule="auto"/>
              <w:jc w:val="center"/>
              <w:rPr>
                <w:rFonts w:ascii="Arial" w:hAnsi="Arial" w:cs="Arial"/>
                <w:b/>
              </w:rPr>
            </w:pPr>
            <w:r w:rsidRPr="006B6FC7">
              <w:rPr>
                <w:rFonts w:ascii="Arial" w:hAnsi="Arial" w:cs="Arial"/>
                <w:b/>
              </w:rPr>
              <w:t>Std. Error of the Estimate</w:t>
            </w:r>
          </w:p>
        </w:tc>
      </w:tr>
      <w:tr w:rsidR="006B6FC7" w:rsidRPr="006B6FC7" w14:paraId="0862B00A" w14:textId="77777777" w:rsidTr="006B6FC7">
        <w:trPr>
          <w:trHeight w:val="317"/>
        </w:trPr>
        <w:tc>
          <w:tcPr>
            <w:tcW w:w="915" w:type="dxa"/>
            <w:hideMark/>
          </w:tcPr>
          <w:p w14:paraId="55503AD0" w14:textId="77777777" w:rsidR="006B6FC7" w:rsidRPr="006B6FC7" w:rsidRDefault="006B6FC7" w:rsidP="00F54FCC">
            <w:pPr>
              <w:spacing w:line="276" w:lineRule="auto"/>
              <w:rPr>
                <w:rFonts w:ascii="Arial" w:hAnsi="Arial" w:cs="Arial"/>
              </w:rPr>
            </w:pPr>
            <w:r w:rsidRPr="006B6FC7">
              <w:rPr>
                <w:rFonts w:ascii="Arial" w:hAnsi="Arial" w:cs="Arial"/>
              </w:rPr>
              <w:t>1</w:t>
            </w:r>
          </w:p>
        </w:tc>
        <w:tc>
          <w:tcPr>
            <w:tcW w:w="1353" w:type="dxa"/>
            <w:hideMark/>
          </w:tcPr>
          <w:p w14:paraId="01ED14EF" w14:textId="77777777" w:rsidR="006B6FC7" w:rsidRPr="006B6FC7" w:rsidRDefault="006B6FC7" w:rsidP="00F54FCC">
            <w:pPr>
              <w:spacing w:line="276" w:lineRule="auto"/>
              <w:jc w:val="right"/>
              <w:rPr>
                <w:rFonts w:ascii="Arial" w:hAnsi="Arial" w:cs="Arial"/>
                <w:vertAlign w:val="superscript"/>
              </w:rPr>
            </w:pPr>
            <w:r w:rsidRPr="006B6FC7">
              <w:rPr>
                <w:rFonts w:ascii="Arial" w:hAnsi="Arial" w:cs="Arial"/>
              </w:rPr>
              <w:t xml:space="preserve">.212 </w:t>
            </w:r>
            <w:r w:rsidRPr="006B6FC7">
              <w:rPr>
                <w:rFonts w:ascii="Arial" w:hAnsi="Arial" w:cs="Arial"/>
                <w:vertAlign w:val="superscript"/>
              </w:rPr>
              <w:t>a</w:t>
            </w:r>
          </w:p>
        </w:tc>
        <w:tc>
          <w:tcPr>
            <w:tcW w:w="1843" w:type="dxa"/>
            <w:hideMark/>
          </w:tcPr>
          <w:p w14:paraId="7F48C05B" w14:textId="77777777" w:rsidR="006B6FC7" w:rsidRPr="006B6FC7" w:rsidRDefault="006B6FC7" w:rsidP="00F54FCC">
            <w:pPr>
              <w:spacing w:line="276" w:lineRule="auto"/>
              <w:jc w:val="right"/>
              <w:rPr>
                <w:rFonts w:ascii="Arial" w:hAnsi="Arial" w:cs="Arial"/>
              </w:rPr>
            </w:pPr>
            <w:r w:rsidRPr="006B6FC7">
              <w:rPr>
                <w:rFonts w:ascii="Arial" w:hAnsi="Arial" w:cs="Arial"/>
              </w:rPr>
              <w:t>,045</w:t>
            </w:r>
          </w:p>
        </w:tc>
        <w:tc>
          <w:tcPr>
            <w:tcW w:w="2126" w:type="dxa"/>
            <w:hideMark/>
          </w:tcPr>
          <w:p w14:paraId="2508515B" w14:textId="77777777" w:rsidR="006B6FC7" w:rsidRPr="006B6FC7" w:rsidRDefault="006B6FC7" w:rsidP="00F54FCC">
            <w:pPr>
              <w:spacing w:line="276" w:lineRule="auto"/>
              <w:jc w:val="right"/>
              <w:rPr>
                <w:rFonts w:ascii="Arial" w:hAnsi="Arial" w:cs="Arial"/>
              </w:rPr>
            </w:pPr>
            <w:r w:rsidRPr="006B6FC7">
              <w:rPr>
                <w:rFonts w:ascii="Arial" w:hAnsi="Arial" w:cs="Arial"/>
              </w:rPr>
              <w:t>,028</w:t>
            </w:r>
          </w:p>
        </w:tc>
        <w:tc>
          <w:tcPr>
            <w:tcW w:w="2126" w:type="dxa"/>
            <w:hideMark/>
          </w:tcPr>
          <w:p w14:paraId="4B25E8D9" w14:textId="77777777" w:rsidR="006B6FC7" w:rsidRPr="006B6FC7" w:rsidRDefault="006B6FC7" w:rsidP="00F54FCC">
            <w:pPr>
              <w:spacing w:line="276" w:lineRule="auto"/>
              <w:jc w:val="right"/>
              <w:rPr>
                <w:rFonts w:ascii="Arial" w:hAnsi="Arial" w:cs="Arial"/>
              </w:rPr>
            </w:pPr>
            <w:r w:rsidRPr="006B6FC7">
              <w:rPr>
                <w:rFonts w:ascii="Arial" w:hAnsi="Arial" w:cs="Arial"/>
              </w:rPr>
              <w:t>,19697</w:t>
            </w:r>
          </w:p>
        </w:tc>
      </w:tr>
      <w:tr w:rsidR="006B6FC7" w:rsidRPr="006B6FC7" w14:paraId="4F0C1A41" w14:textId="77777777" w:rsidTr="006B6FC7">
        <w:trPr>
          <w:trHeight w:val="280"/>
        </w:trPr>
        <w:tc>
          <w:tcPr>
            <w:tcW w:w="8368" w:type="dxa"/>
            <w:gridSpan w:val="5"/>
            <w:hideMark/>
          </w:tcPr>
          <w:p w14:paraId="4D0835FD" w14:textId="77777777" w:rsidR="006B6FC7" w:rsidRPr="006B6FC7" w:rsidRDefault="006B6FC7" w:rsidP="00F54FCC">
            <w:pPr>
              <w:spacing w:line="276" w:lineRule="auto"/>
              <w:rPr>
                <w:rFonts w:ascii="Arial" w:hAnsi="Arial" w:cs="Arial"/>
              </w:rPr>
            </w:pPr>
            <w:r w:rsidRPr="006B6FC7">
              <w:rPr>
                <w:rFonts w:ascii="Arial" w:hAnsi="Arial" w:cs="Arial"/>
              </w:rPr>
              <w:t xml:space="preserve">a. Predictors: (Constant), </w:t>
            </w:r>
            <w:proofErr w:type="gramStart"/>
            <w:r w:rsidRPr="006B6FC7">
              <w:rPr>
                <w:rFonts w:ascii="Arial" w:hAnsi="Arial" w:cs="Arial"/>
              </w:rPr>
              <w:t>industry ,</w:t>
            </w:r>
            <w:proofErr w:type="gramEnd"/>
            <w:r w:rsidRPr="006B6FC7">
              <w:rPr>
                <w:rFonts w:ascii="Arial" w:hAnsi="Arial" w:cs="Arial"/>
              </w:rPr>
              <w:t xml:space="preserve"> </w:t>
            </w:r>
            <w:proofErr w:type="spellStart"/>
            <w:r w:rsidRPr="006B6FC7">
              <w:rPr>
                <w:rFonts w:ascii="Arial" w:hAnsi="Arial" w:cs="Arial"/>
              </w:rPr>
              <w:t>esg</w:t>
            </w:r>
            <w:proofErr w:type="spellEnd"/>
            <w:r w:rsidRPr="006B6FC7">
              <w:rPr>
                <w:rFonts w:ascii="Arial" w:hAnsi="Arial" w:cs="Arial"/>
              </w:rPr>
              <w:t xml:space="preserve"> score, growth, age</w:t>
            </w:r>
          </w:p>
        </w:tc>
      </w:tr>
      <w:tr w:rsidR="006B6FC7" w:rsidRPr="006B6FC7" w14:paraId="31F6BE3F" w14:textId="77777777" w:rsidTr="006B6FC7">
        <w:trPr>
          <w:trHeight w:val="280"/>
        </w:trPr>
        <w:tc>
          <w:tcPr>
            <w:tcW w:w="8368" w:type="dxa"/>
            <w:gridSpan w:val="5"/>
            <w:hideMark/>
          </w:tcPr>
          <w:p w14:paraId="1E58064F" w14:textId="77777777" w:rsidR="006B6FC7" w:rsidRPr="006B6FC7" w:rsidRDefault="006B6FC7" w:rsidP="00F54FCC">
            <w:pPr>
              <w:spacing w:line="276" w:lineRule="auto"/>
              <w:rPr>
                <w:rFonts w:ascii="Arial" w:hAnsi="Arial" w:cs="Arial"/>
              </w:rPr>
            </w:pPr>
            <w:r w:rsidRPr="006B6FC7">
              <w:rPr>
                <w:rFonts w:ascii="Arial" w:hAnsi="Arial" w:cs="Arial"/>
              </w:rPr>
              <w:t xml:space="preserve">b. Dependent Variable: </w:t>
            </w:r>
            <w:proofErr w:type="spellStart"/>
            <w:r w:rsidRPr="006B6FC7">
              <w:rPr>
                <w:rFonts w:ascii="Arial" w:hAnsi="Arial" w:cs="Arial"/>
              </w:rPr>
              <w:t>roa</w:t>
            </w:r>
            <w:proofErr w:type="spellEnd"/>
          </w:p>
        </w:tc>
      </w:tr>
    </w:tbl>
    <w:p w14:paraId="61ED3D8B"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655EE259" w14:textId="77777777" w:rsidR="006B6FC7" w:rsidRPr="006B6FC7" w:rsidRDefault="006B6FC7" w:rsidP="006B6FC7">
      <w:pPr>
        <w:widowControl w:val="0"/>
        <w:tabs>
          <w:tab w:val="left" w:pos="450"/>
        </w:tabs>
        <w:spacing w:line="240" w:lineRule="atLeast"/>
        <w:jc w:val="both"/>
        <w:rPr>
          <w:rFonts w:ascii="Arial" w:hAnsi="Arial" w:cs="Arial"/>
          <w:bCs/>
        </w:rPr>
      </w:pPr>
      <w:r w:rsidRPr="006B6FC7">
        <w:rPr>
          <w:rFonts w:ascii="Arial" w:hAnsi="Arial" w:cs="Arial"/>
          <w:bCs/>
        </w:rPr>
        <w:tab/>
        <w:t>The correlation coefficient (R) of 0.212 indicates a weak positive correlation between the independent variables and ROA. R Square of 0.045 means that 4.5% of the variation in ROA is explained by the independent variables, and the adjusted R Square of 0.028 indicates 2.8% of the variation after adjusting the variables. Std. Error of 0.19697 indicates a deviation from the regression line. This model has very low explanatory power, with an insignificant adjusted R Square</w:t>
      </w:r>
    </w:p>
    <w:p w14:paraId="041E5CE8" w14:textId="77777777" w:rsidR="006B6FC7" w:rsidRPr="006B6FC7" w:rsidRDefault="006B6FC7" w:rsidP="006B6FC7">
      <w:pPr>
        <w:widowControl w:val="0"/>
        <w:tabs>
          <w:tab w:val="left" w:pos="180"/>
        </w:tabs>
        <w:spacing w:line="240" w:lineRule="atLeast"/>
        <w:jc w:val="both"/>
        <w:rPr>
          <w:rFonts w:ascii="Arial" w:hAnsi="Arial" w:cs="Arial"/>
          <w:b/>
        </w:rPr>
      </w:pPr>
    </w:p>
    <w:p w14:paraId="1BDEEB54"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Discussion</w:t>
      </w:r>
    </w:p>
    <w:p w14:paraId="51F6AE16"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The Influence of Institutional Ownership, Debt to Equity Ratio, and Board of Directors Ownership on the Level of ESG Disclosure</w:t>
      </w:r>
    </w:p>
    <w:p w14:paraId="7F816126"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results of this study reveal that institutional ownership plays a significant role in influencing the level of ESG disclosure. Institutional investors, with their long-term interests, often push for greater corporate transparency, particularly in environmental, social, and governance (ESG) aspects. These investors typically advocate for increased ESG disclosure as a means of managing risks effectively and enhancing corporate reputation. This finding aligns with agency theory, which suggests that institutional ownership can serve as a mechanism to reduce information asymmetry and encourage firms to disclose more relevant information (Jensen &amp; </w:t>
      </w:r>
      <w:proofErr w:type="spellStart"/>
      <w:r w:rsidRPr="006B6FC7">
        <w:rPr>
          <w:rFonts w:ascii="Arial" w:hAnsi="Arial" w:cs="Arial"/>
          <w:bCs/>
        </w:rPr>
        <w:t>Meckling</w:t>
      </w:r>
      <w:proofErr w:type="spellEnd"/>
      <w:r w:rsidRPr="006B6FC7">
        <w:rPr>
          <w:rFonts w:ascii="Arial" w:hAnsi="Arial" w:cs="Arial"/>
          <w:bCs/>
        </w:rPr>
        <w:t>, 1976). Moreover, institutional investors are likely to have a more substantial influence on corporate policies, including those related to sustainability, due to their larger voting power and longer investment horizon.</w:t>
      </w:r>
    </w:p>
    <w:p w14:paraId="2178E2DF"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Debt to Equity Ratio (DER) also influences the level of ESG disclosure. Companies with higher debt levels may feel pressured to be more transparent in their ESG disclosures to gain the trust of creditors and stakeholders. This supports the signaling theory, where companies use ESG disclosures as a signal to demonstrate good governance and risk management practices, which can ultimately reduce perceived risks by investors and creditors (Spence, 1973). The findings also align with stakeholder theory, which posits that companies must manage their relationships with external parties, including creditors, by disclosing relevant and responsible information about their activities (Freeman, 1984). Additionally, the ownership by board members influences ESG disclosure. Board members who hold shares in the company are more likely to ensure that ESG practices are integrated into business strategies and are openly communicated. Board ownership leads to a greater emphasis on long-term performance and sustainability, as board members are directly affected by the company’s success. This is consistent with resource dependence theory, which highlights the role of board members as resources in shaping corporate strategy and fostering transparency, </w:t>
      </w:r>
      <w:r w:rsidRPr="006B6FC7">
        <w:rPr>
          <w:rFonts w:ascii="Arial" w:hAnsi="Arial" w:cs="Arial"/>
          <w:bCs/>
        </w:rPr>
        <w:lastRenderedPageBreak/>
        <w:t xml:space="preserve">including in ESG matters (Pfeffer &amp; </w:t>
      </w:r>
      <w:proofErr w:type="spellStart"/>
      <w:r w:rsidRPr="006B6FC7">
        <w:rPr>
          <w:rFonts w:ascii="Arial" w:hAnsi="Arial" w:cs="Arial"/>
          <w:bCs/>
        </w:rPr>
        <w:t>Salancik</w:t>
      </w:r>
      <w:proofErr w:type="spellEnd"/>
      <w:r w:rsidRPr="006B6FC7">
        <w:rPr>
          <w:rFonts w:ascii="Arial" w:hAnsi="Arial" w:cs="Arial"/>
          <w:bCs/>
        </w:rPr>
        <w:t>, 1978).</w:t>
      </w:r>
    </w:p>
    <w:p w14:paraId="35A4466D" w14:textId="77777777" w:rsidR="006B6FC7" w:rsidRPr="006B6FC7" w:rsidRDefault="006B6FC7" w:rsidP="006B6FC7">
      <w:pPr>
        <w:widowControl w:val="0"/>
        <w:tabs>
          <w:tab w:val="left" w:pos="180"/>
        </w:tabs>
        <w:spacing w:line="240" w:lineRule="atLeast"/>
        <w:jc w:val="both"/>
        <w:rPr>
          <w:rFonts w:ascii="Arial" w:hAnsi="Arial" w:cs="Arial"/>
          <w:bCs/>
        </w:rPr>
      </w:pPr>
    </w:p>
    <w:p w14:paraId="7A2E8D06"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The Influence of ESG Disclosure Level on Company Value</w:t>
      </w:r>
    </w:p>
    <w:p w14:paraId="66E51FAE"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The analysis demonstrates that the level of ESG disclosure has a significant impact on company value. Higher levels of ESG disclosure signal a company's commitment to sustainable practices, which can enhance investor confidence and influence market perceptions. This aligns with the findings of García et al. (2017), who argue that companies with higher levels of ESG disclosure tend to achieve higher market valuations. From a theoretical perspective, this supports the legitimacy theory, which suggests that companies engage in transparent ESG disclosures to gain or maintain societal legitimacy and stakeholder support, ultimately improving their financial performance (</w:t>
      </w:r>
      <w:proofErr w:type="spellStart"/>
      <w:r w:rsidRPr="006B6FC7">
        <w:rPr>
          <w:rFonts w:ascii="Arial" w:hAnsi="Arial" w:cs="Arial"/>
          <w:bCs/>
        </w:rPr>
        <w:t>Suchman</w:t>
      </w:r>
      <w:proofErr w:type="spellEnd"/>
      <w:r w:rsidRPr="006B6FC7">
        <w:rPr>
          <w:rFonts w:ascii="Arial" w:hAnsi="Arial" w:cs="Arial"/>
          <w:bCs/>
        </w:rPr>
        <w:t>, 1995). Good ESG disclosure can also lower the cost of capital, as firms with strong ESG practices are perceived as lower risk by investors and creditors. This is consistent with stakeholder theory, which posits that companies that manage relationships with key stakeholders, including investors, more effectively are likely to experience better financial outcomes (Freeman, 1984). Furthermore, as suggested by Dhaliwal et al. (2011), quality ESG disclosure can enhance corporate value by strengthening relationships with stakeholders and improving a company’s attractiveness to investors.</w:t>
      </w:r>
    </w:p>
    <w:p w14:paraId="7EFD43D4" w14:textId="77777777" w:rsidR="006B6FC7" w:rsidRPr="006B6FC7" w:rsidRDefault="006B6FC7" w:rsidP="006B6FC7">
      <w:pPr>
        <w:widowControl w:val="0"/>
        <w:tabs>
          <w:tab w:val="left" w:pos="180"/>
        </w:tabs>
        <w:spacing w:line="240" w:lineRule="atLeast"/>
        <w:jc w:val="both"/>
        <w:rPr>
          <w:rFonts w:ascii="Arial" w:hAnsi="Arial" w:cs="Arial"/>
          <w:bCs/>
        </w:rPr>
      </w:pPr>
    </w:p>
    <w:p w14:paraId="55201240"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The Influence of ESG Disclosure Level on Profitability</w:t>
      </w:r>
    </w:p>
    <w:p w14:paraId="4A691337"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results indicate a positive relationship between ESG disclosure and corporate profitability. Companies that actively disclose ESG information tend to improve their operational efficiency and corporate reputation, which can lead to increased investor and consumer confidence, ultimately boosting sales and profitability. This supports the findings of </w:t>
      </w:r>
      <w:proofErr w:type="spellStart"/>
      <w:r w:rsidRPr="006B6FC7">
        <w:rPr>
          <w:rFonts w:ascii="Arial" w:hAnsi="Arial" w:cs="Arial"/>
          <w:bCs/>
        </w:rPr>
        <w:t>Friede</w:t>
      </w:r>
      <w:proofErr w:type="spellEnd"/>
      <w:r w:rsidRPr="006B6FC7">
        <w:rPr>
          <w:rFonts w:ascii="Arial" w:hAnsi="Arial" w:cs="Arial"/>
          <w:bCs/>
        </w:rPr>
        <w:t xml:space="preserve"> et al. (2015), who demonstrated that there is a positive correlation between ESG disclosure and financial performance. The relationship between ESG practices and profitability can be explained by the resource-based view (RBV) of the firm, which suggests that firms that invest in sustainable practices create valuable resources, such as brand reputation and consumer loyalty, which can lead to competitive advantages and improved financial performance (Barney, 1991).</w:t>
      </w:r>
    </w:p>
    <w:p w14:paraId="3C130963" w14:textId="77777777" w:rsidR="006B6FC7" w:rsidRPr="006B6FC7" w:rsidRDefault="006B6FC7" w:rsidP="006B6FC7">
      <w:pPr>
        <w:widowControl w:val="0"/>
        <w:tabs>
          <w:tab w:val="left" w:pos="180"/>
        </w:tabs>
        <w:spacing w:line="240" w:lineRule="atLeast"/>
        <w:jc w:val="both"/>
        <w:rPr>
          <w:rFonts w:ascii="Arial" w:hAnsi="Arial" w:cs="Arial"/>
          <w:bCs/>
        </w:rPr>
      </w:pPr>
    </w:p>
    <w:p w14:paraId="415BDDBA"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 xml:space="preserve">Research by </w:t>
      </w:r>
      <w:proofErr w:type="spellStart"/>
      <w:r w:rsidRPr="006B6FC7">
        <w:rPr>
          <w:rFonts w:ascii="Arial" w:hAnsi="Arial" w:cs="Arial"/>
          <w:bCs/>
        </w:rPr>
        <w:t>Waddock</w:t>
      </w:r>
      <w:proofErr w:type="spellEnd"/>
      <w:r w:rsidRPr="006B6FC7">
        <w:rPr>
          <w:rFonts w:ascii="Arial" w:hAnsi="Arial" w:cs="Arial"/>
          <w:bCs/>
        </w:rPr>
        <w:t xml:space="preserve"> and Graves (1997) also supports the notion that companies that invest in ESG practices tend to experience higher financial returns. These companies are better equipped to exploit market opportunities arising from changing consumer preferences for sustainable products and services. Furthermore, effective ESG management can reduce costs related to litigation, regulation, and reputation risks, which can positively impact profit margins. This aligns with the broader view in stakeholder theory that managing stakeholder relationships through responsible corporate practices leads to better long-term financial outcomes. In conclusion, these findings highlight the importance of ESG disclosure as a key factor in improving corporate profitability. The integration of ESG principles into business strategies not only creates social value but also provides significant economic benefits for companies, contributing to their long-term financial success and sustainability. Through effective ESG disclosure, companies can enhance their reputation, reduce risk, and ultimately improve their profitability in a competitive marketplace.</w:t>
      </w:r>
    </w:p>
    <w:p w14:paraId="7D4A5EE7" w14:textId="77777777" w:rsidR="00E053D0" w:rsidRDefault="00E053D0" w:rsidP="00441B6F">
      <w:pPr>
        <w:pStyle w:val="Body"/>
        <w:spacing w:after="0"/>
        <w:rPr>
          <w:rFonts w:ascii="Arial" w:hAnsi="Arial" w:cs="Arial"/>
        </w:rPr>
      </w:pPr>
    </w:p>
    <w:p w14:paraId="2927BC4B" w14:textId="77777777" w:rsidR="00790ADA" w:rsidRPr="00FB3A86" w:rsidRDefault="00790ADA" w:rsidP="00441B6F">
      <w:pPr>
        <w:pStyle w:val="Body"/>
        <w:spacing w:after="0"/>
        <w:rPr>
          <w:rFonts w:ascii="Arial" w:hAnsi="Arial" w:cs="Arial"/>
        </w:rPr>
      </w:pPr>
    </w:p>
    <w:p w14:paraId="746F486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63FEED4" w14:textId="76633939" w:rsidR="006B6FC7" w:rsidRPr="006B6FC7" w:rsidRDefault="006B6FC7" w:rsidP="006B6FC7">
      <w:pPr>
        <w:pStyle w:val="NormalWeb"/>
        <w:spacing w:before="0" w:beforeAutospacing="0" w:after="0" w:afterAutospacing="0"/>
        <w:ind w:firstLine="502"/>
        <w:jc w:val="both"/>
        <w:rPr>
          <w:rFonts w:ascii="Arial" w:eastAsia="Times New Roman" w:hAnsi="Arial" w:cs="Arial"/>
          <w:color w:val="000000"/>
          <w:sz w:val="20"/>
          <w:szCs w:val="20"/>
          <w:lang w:val="en-ID" w:eastAsia="en-US"/>
        </w:rPr>
      </w:pPr>
      <w:r w:rsidRPr="006B6FC7">
        <w:rPr>
          <w:rFonts w:ascii="Arial" w:hAnsi="Arial" w:cs="Arial"/>
          <w:sz w:val="20"/>
          <w:szCs w:val="20"/>
        </w:rPr>
        <w:t xml:space="preserve">This study found that institutional ownership, Debt to Equity Ratio (DER), and board ownership </w:t>
      </w:r>
      <w:r w:rsidRPr="006B6FC7">
        <w:rPr>
          <w:rFonts w:ascii="Arial" w:eastAsia="Times New Roman" w:hAnsi="Arial" w:cs="Arial"/>
          <w:color w:val="000000"/>
          <w:sz w:val="20"/>
          <w:szCs w:val="20"/>
          <w:lang w:val="en-ID" w:eastAsia="en-US"/>
        </w:rPr>
        <w:t xml:space="preserve">This study found that institutional ownership, the Debt to Equity Ratio (DER), and board ownership significantly influence the level of Environmental, Social, and Governance (ESG) disclosure. Institutional ownership is crucial in encouraging transparency and corporate </w:t>
      </w:r>
      <w:r w:rsidRPr="006B6FC7">
        <w:rPr>
          <w:rFonts w:ascii="Arial" w:eastAsia="Times New Roman" w:hAnsi="Arial" w:cs="Arial"/>
          <w:color w:val="000000"/>
          <w:sz w:val="20"/>
          <w:szCs w:val="20"/>
          <w:lang w:val="en-ID" w:eastAsia="en-US"/>
        </w:rPr>
        <w:lastRenderedPageBreak/>
        <w:t xml:space="preserve">responsibility concerning ESG aspects. Likewise, capital structure, as reflected by DER, and board ownership also promote greater openness in ESG reporting. These findings align with agency theory, </w:t>
      </w:r>
      <w:proofErr w:type="spellStart"/>
      <w:r w:rsidRPr="006B6FC7">
        <w:rPr>
          <w:rFonts w:ascii="Arial" w:eastAsia="Times New Roman" w:hAnsi="Arial" w:cs="Arial"/>
          <w:color w:val="000000"/>
          <w:sz w:val="20"/>
          <w:szCs w:val="20"/>
          <w:lang w:val="en-ID" w:eastAsia="en-US"/>
        </w:rPr>
        <w:t>signaling</w:t>
      </w:r>
      <w:proofErr w:type="spellEnd"/>
      <w:r w:rsidRPr="006B6FC7">
        <w:rPr>
          <w:rFonts w:ascii="Arial" w:eastAsia="Times New Roman" w:hAnsi="Arial" w:cs="Arial"/>
          <w:color w:val="000000"/>
          <w:sz w:val="20"/>
          <w:szCs w:val="20"/>
          <w:lang w:val="en-ID" w:eastAsia="en-US"/>
        </w:rPr>
        <w:t xml:space="preserve"> theory, and resource dependence theory, which suggest that ownership structures and company characteristics play a vital role in driving transparency and responsible corporate practices.</w:t>
      </w:r>
    </w:p>
    <w:p w14:paraId="6DBA263C" w14:textId="77777777" w:rsidR="006B6FC7" w:rsidRPr="00D86F2F" w:rsidRDefault="006B6FC7" w:rsidP="006B6FC7">
      <w:pPr>
        <w:ind w:firstLine="502"/>
        <w:jc w:val="both"/>
        <w:rPr>
          <w:color w:val="000000"/>
          <w:sz w:val="22"/>
          <w:szCs w:val="22"/>
          <w:lang w:val="en-ID"/>
        </w:rPr>
      </w:pPr>
      <w:r w:rsidRPr="006B6FC7">
        <w:rPr>
          <w:rFonts w:ascii="Arial" w:hAnsi="Arial" w:cs="Arial"/>
          <w:color w:val="000000"/>
          <w:lang w:val="en-ID"/>
        </w:rPr>
        <w:t>Furthermore, ESG disclosure positively affects corporate financial performance, particularly corporate value. Higher levels of ESG disclosure signal corporate commitment to sustainable practices, which boosts investor confidence and improves market perception. This, in turn, strengthens the corporate reputation, lowers the cost of capital, and increases investment attractiveness, supporting the legitimacy theory and stakeholder theory. The positive relationship between ESG disclosure and corporate profitability also confirms the role of good corporate governance in driving operational efficiency, fostering trust, and improving financial performance, consistent with the resource-based view (RBV). Overall, the study confirms that ESG disclosure not only improves financial performance but also provides both social and economic benefits in the long term. These findings underline the significance of integrating sustainable and socially responsible business practices, as well as effective corporate governance, to enhance corporate profitability and value. Effective ESG management and transparent disclosure can serve as key strategies to achieve superior financial performance and strengthen corporate value in the competitive marketplace.</w:t>
      </w:r>
    </w:p>
    <w:p w14:paraId="3EC5D2EC" w14:textId="1959C93B" w:rsidR="00790ADA" w:rsidRPr="00FB3A86" w:rsidRDefault="00790ADA" w:rsidP="00441B6F">
      <w:pPr>
        <w:pStyle w:val="Body"/>
        <w:spacing w:after="0"/>
        <w:rPr>
          <w:rFonts w:ascii="Arial" w:hAnsi="Arial" w:cs="Arial"/>
        </w:rPr>
      </w:pPr>
    </w:p>
    <w:p w14:paraId="7DA10FE1" w14:textId="77777777" w:rsidR="004C6C2D" w:rsidRPr="004C6C2D" w:rsidRDefault="004C6C2D" w:rsidP="00441B6F">
      <w:pPr>
        <w:pStyle w:val="ReferHead"/>
        <w:spacing w:after="0"/>
        <w:jc w:val="both"/>
        <w:rPr>
          <w:rFonts w:ascii="Arial" w:hAnsi="Arial" w:cs="Arial"/>
          <w:b w:val="0"/>
          <w:bCs/>
          <w:caps w:val="0"/>
          <w:sz w:val="20"/>
        </w:rPr>
      </w:pPr>
    </w:p>
    <w:p w14:paraId="74D764E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2FEA095" w14:textId="16BCAC35" w:rsidR="005F6488" w:rsidRDefault="006B6FC7" w:rsidP="005F6488">
      <w:pPr>
        <w:ind w:left="400" w:hangingChars="200" w:hanging="400"/>
        <w:jc w:val="both"/>
        <w:rPr>
          <w:rFonts w:ascii="Arial" w:hAnsi="Arial" w:cs="Arial"/>
        </w:rPr>
      </w:pPr>
      <w:bookmarkStart w:id="1" w:name="_Ref311107183"/>
      <w:r w:rsidRPr="004C6C2D">
        <w:rPr>
          <w:rFonts w:ascii="Arial" w:hAnsi="Arial" w:cs="Arial"/>
        </w:rPr>
        <w:t xml:space="preserve">[1]   </w:t>
      </w:r>
      <w:bookmarkStart w:id="2" w:name="_Ref311107194"/>
      <w:bookmarkEnd w:id="1"/>
      <w:r w:rsidR="005F6488" w:rsidRPr="005F6488">
        <w:rPr>
          <w:rFonts w:ascii="Arial" w:hAnsi="Arial" w:cs="Arial"/>
        </w:rPr>
        <w:t xml:space="preserve">KPMG. (2017). The KPMG Survey of Corporate Responsibility Reporting 2017. </w:t>
      </w:r>
      <w:hyperlink r:id="rId10" w:history="1">
        <w:r w:rsidR="00F07EAE" w:rsidRPr="00AE15AB">
          <w:rPr>
            <w:rStyle w:val="Hyperlink"/>
            <w:rFonts w:ascii="Arial" w:hAnsi="Arial" w:cs="Arial"/>
          </w:rPr>
          <w:t>https://kpmg.com/crreporting</w:t>
        </w:r>
      </w:hyperlink>
      <w:r w:rsidR="00F07EAE">
        <w:rPr>
          <w:rFonts w:ascii="Arial" w:hAnsi="Arial" w:cs="Arial"/>
        </w:rPr>
        <w:t xml:space="preserve"> </w:t>
      </w:r>
    </w:p>
    <w:p w14:paraId="2DBF38B2" w14:textId="602E8058" w:rsidR="006B6FC7" w:rsidRPr="004C6C2D" w:rsidRDefault="006B6FC7" w:rsidP="005F6488">
      <w:pPr>
        <w:ind w:left="400" w:hangingChars="200" w:hanging="400"/>
        <w:jc w:val="both"/>
        <w:rPr>
          <w:rFonts w:ascii="Arial" w:hAnsi="Arial" w:cs="Arial"/>
        </w:rPr>
      </w:pPr>
      <w:r w:rsidRPr="004C6C2D">
        <w:rPr>
          <w:rFonts w:ascii="Arial" w:hAnsi="Arial" w:cs="Arial"/>
        </w:rPr>
        <w:t xml:space="preserve">[2]   Sari, LP, &amp; </w:t>
      </w:r>
      <w:proofErr w:type="spellStart"/>
      <w:r w:rsidRPr="004C6C2D">
        <w:rPr>
          <w:rFonts w:ascii="Arial" w:hAnsi="Arial" w:cs="Arial"/>
        </w:rPr>
        <w:t>Amran</w:t>
      </w:r>
      <w:proofErr w:type="spellEnd"/>
      <w:r w:rsidRPr="004C6C2D">
        <w:rPr>
          <w:rFonts w:ascii="Arial" w:hAnsi="Arial" w:cs="Arial"/>
        </w:rPr>
        <w:t xml:space="preserve">, A. (2020). Corporate governance and environmental disclosure in the Indonesian mining industry: </w:t>
      </w:r>
      <w:proofErr w:type="spellStart"/>
      <w:r w:rsidRPr="004C6C2D">
        <w:rPr>
          <w:rFonts w:ascii="Arial" w:hAnsi="Arial" w:cs="Arial"/>
        </w:rPr>
        <w:t>Sustaina</w:t>
      </w:r>
      <w:proofErr w:type="spellEnd"/>
    </w:p>
    <w:p w14:paraId="1BEEE33A" w14:textId="77777777" w:rsidR="006B6FC7" w:rsidRPr="004C6C2D" w:rsidRDefault="006B6FC7" w:rsidP="006B6FC7">
      <w:pPr>
        <w:ind w:firstLine="360"/>
        <w:jc w:val="both"/>
        <w:rPr>
          <w:rFonts w:ascii="Arial" w:hAnsi="Arial" w:cs="Arial"/>
        </w:rPr>
      </w:pPr>
      <w:proofErr w:type="spellStart"/>
      <w:r w:rsidRPr="004C6C2D">
        <w:rPr>
          <w:rFonts w:ascii="Arial" w:hAnsi="Arial" w:cs="Arial"/>
        </w:rPr>
        <w:t>bility</w:t>
      </w:r>
      <w:proofErr w:type="spellEnd"/>
      <w:r w:rsidRPr="004C6C2D">
        <w:rPr>
          <w:rFonts w:ascii="Arial" w:hAnsi="Arial" w:cs="Arial"/>
        </w:rPr>
        <w:t xml:space="preserve"> as a strategy. Management of Environmental Quality: An International Journal, 31(1), 124-141.</w:t>
      </w:r>
      <w:bookmarkStart w:id="3" w:name="_Ref311107221"/>
      <w:bookmarkEnd w:id="2"/>
    </w:p>
    <w:p w14:paraId="368FE463" w14:textId="0D02E40C" w:rsidR="006B6FC7" w:rsidRPr="004C6C2D" w:rsidRDefault="006B6FC7" w:rsidP="006B6FC7">
      <w:pPr>
        <w:ind w:left="400" w:hangingChars="200" w:hanging="400"/>
        <w:jc w:val="both"/>
        <w:rPr>
          <w:rFonts w:ascii="Arial" w:hAnsi="Arial" w:cs="Arial"/>
        </w:rPr>
      </w:pPr>
      <w:r w:rsidRPr="004C6C2D">
        <w:rPr>
          <w:rFonts w:ascii="Arial" w:hAnsi="Arial" w:cs="Arial"/>
          <w:lang w:val="de-DE"/>
        </w:rPr>
        <w:t xml:space="preserve">[3]   </w:t>
      </w:r>
      <w:bookmarkEnd w:id="3"/>
      <w:r w:rsidR="005F6488" w:rsidRPr="005F6488">
        <w:rPr>
          <w:rFonts w:ascii="Arial" w:hAnsi="Arial" w:cs="Arial"/>
          <w:lang w:val="de-DE"/>
        </w:rPr>
        <w:t xml:space="preserve">Friede, G., Busch, T., &amp; Bassen, A. (2015). ESG and financial performance: Aggregated evidence from more than 2000 empirical studies. Journal of Sustainable Finance &amp; Investment. </w:t>
      </w:r>
      <w:r w:rsidR="005F6488">
        <w:rPr>
          <w:rFonts w:ascii="Arial" w:hAnsi="Arial" w:cs="Arial"/>
          <w:lang w:val="de-DE"/>
        </w:rPr>
        <w:fldChar w:fldCharType="begin"/>
      </w:r>
      <w:r w:rsidR="005F6488">
        <w:rPr>
          <w:rFonts w:ascii="Arial" w:hAnsi="Arial" w:cs="Arial"/>
          <w:lang w:val="de-DE"/>
        </w:rPr>
        <w:instrText xml:space="preserve"> HYPERLINK "</w:instrText>
      </w:r>
      <w:r w:rsidR="005F6488" w:rsidRPr="005F6488">
        <w:rPr>
          <w:rFonts w:ascii="Arial" w:hAnsi="Arial" w:cs="Arial"/>
          <w:lang w:val="de-DE"/>
        </w:rPr>
        <w:instrText>https://doi.org/10.1080/20430795.2015.1118917</w:instrText>
      </w:r>
      <w:r w:rsidR="005F6488">
        <w:rPr>
          <w:rFonts w:ascii="Arial" w:hAnsi="Arial" w:cs="Arial"/>
          <w:lang w:val="de-DE"/>
        </w:rPr>
        <w:instrText xml:space="preserve">" </w:instrText>
      </w:r>
      <w:r w:rsidR="005F6488">
        <w:rPr>
          <w:rFonts w:ascii="Arial" w:hAnsi="Arial" w:cs="Arial"/>
          <w:lang w:val="de-DE"/>
        </w:rPr>
        <w:fldChar w:fldCharType="separate"/>
      </w:r>
      <w:r w:rsidR="005F6488" w:rsidRPr="00AE15AB">
        <w:rPr>
          <w:rStyle w:val="Hyperlink"/>
          <w:rFonts w:ascii="Arial" w:hAnsi="Arial" w:cs="Arial"/>
          <w:lang w:val="de-DE"/>
        </w:rPr>
        <w:t>https://doi.org/10.1080/20430795.2015.1118917</w:t>
      </w:r>
      <w:r w:rsidR="005F6488">
        <w:rPr>
          <w:rFonts w:ascii="Arial" w:hAnsi="Arial" w:cs="Arial"/>
          <w:lang w:val="de-DE"/>
        </w:rPr>
        <w:fldChar w:fldCharType="end"/>
      </w:r>
      <w:r w:rsidR="005F6488">
        <w:rPr>
          <w:rFonts w:ascii="Arial" w:hAnsi="Arial" w:cs="Arial"/>
          <w:lang w:val="de-DE"/>
        </w:rPr>
        <w:t xml:space="preserve"> </w:t>
      </w:r>
      <w:r w:rsidRPr="004C6C2D">
        <w:rPr>
          <w:rFonts w:ascii="Arial" w:hAnsi="Arial" w:cs="Arial"/>
        </w:rPr>
        <w:t>.</w:t>
      </w:r>
    </w:p>
    <w:p w14:paraId="49398C45" w14:textId="148C917F" w:rsidR="006B6FC7" w:rsidRPr="004C6C2D" w:rsidRDefault="006B6FC7" w:rsidP="006B6FC7">
      <w:pPr>
        <w:ind w:left="400" w:hangingChars="200" w:hanging="400"/>
        <w:jc w:val="both"/>
        <w:rPr>
          <w:rFonts w:ascii="Arial" w:hAnsi="Arial" w:cs="Arial"/>
          <w:lang w:eastAsia="zh-TW"/>
        </w:rPr>
      </w:pPr>
      <w:r w:rsidRPr="004C6C2D">
        <w:rPr>
          <w:rFonts w:ascii="Arial" w:hAnsi="Arial" w:cs="Arial"/>
        </w:rPr>
        <w:t>[4</w:t>
      </w:r>
      <w:proofErr w:type="gramStart"/>
      <w:r w:rsidRPr="004C6C2D">
        <w:rPr>
          <w:rFonts w:ascii="Arial" w:hAnsi="Arial" w:cs="Arial"/>
        </w:rPr>
        <w:t xml:space="preserve">]  </w:t>
      </w:r>
      <w:r w:rsidR="005F6488" w:rsidRPr="005F6488">
        <w:rPr>
          <w:rFonts w:ascii="Arial" w:hAnsi="Arial" w:cs="Arial"/>
          <w:lang w:eastAsia="zh-TW"/>
        </w:rPr>
        <w:t>Huang</w:t>
      </w:r>
      <w:proofErr w:type="gramEnd"/>
      <w:r w:rsidR="005F6488" w:rsidRPr="005F6488">
        <w:rPr>
          <w:rFonts w:ascii="Arial" w:hAnsi="Arial" w:cs="Arial"/>
          <w:lang w:eastAsia="zh-TW"/>
        </w:rPr>
        <w:t xml:space="preserve">, C. J., &amp; Kung, F. H. (2010). Drivers of Environmental Disclosure and Stakeholder Expectation: Evidence from Taiwan. Journal of Business Ethics, 96(3), 435-451. </w:t>
      </w:r>
      <w:hyperlink r:id="rId11" w:history="1">
        <w:r w:rsidR="005F6488" w:rsidRPr="00AE15AB">
          <w:rPr>
            <w:rStyle w:val="Hyperlink"/>
            <w:rFonts w:ascii="Arial" w:hAnsi="Arial" w:cs="Arial"/>
            <w:lang w:eastAsia="zh-TW"/>
          </w:rPr>
          <w:t>https://doi.org/10.1007/s10551-010-0476-3</w:t>
        </w:r>
      </w:hyperlink>
      <w:r w:rsidR="005F6488">
        <w:rPr>
          <w:rFonts w:ascii="Arial" w:hAnsi="Arial" w:cs="Arial"/>
          <w:lang w:eastAsia="zh-TW"/>
        </w:rPr>
        <w:t xml:space="preserve"> </w:t>
      </w:r>
      <w:r w:rsidRPr="004C6C2D">
        <w:rPr>
          <w:rFonts w:ascii="Arial" w:hAnsi="Arial" w:cs="Arial"/>
          <w:lang w:eastAsia="zh-TW"/>
        </w:rPr>
        <w:t>.</w:t>
      </w:r>
    </w:p>
    <w:p w14:paraId="5412DD43" w14:textId="4D2B6AB4" w:rsidR="006B6FC7" w:rsidRPr="004C6C2D" w:rsidRDefault="006B6FC7" w:rsidP="005F6488">
      <w:pPr>
        <w:jc w:val="both"/>
        <w:rPr>
          <w:rFonts w:ascii="Arial" w:hAnsi="Arial" w:cs="Arial"/>
          <w:lang w:eastAsia="zh-TW"/>
        </w:rPr>
      </w:pPr>
      <w:r w:rsidRPr="004C6C2D">
        <w:rPr>
          <w:rFonts w:ascii="Arial" w:hAnsi="Arial" w:cs="Arial"/>
        </w:rPr>
        <w:t>[5</w:t>
      </w:r>
      <w:r w:rsidR="005F6488">
        <w:rPr>
          <w:rFonts w:ascii="Arial" w:hAnsi="Arial" w:cs="Arial"/>
        </w:rPr>
        <w:t xml:space="preserve">]   </w:t>
      </w:r>
      <w:r w:rsidR="005F6488" w:rsidRPr="005F6488">
        <w:rPr>
          <w:rFonts w:ascii="Arial" w:hAnsi="Arial" w:cs="Arial"/>
        </w:rPr>
        <w:t xml:space="preserve">Yermack, D. (1996). Higher market valuation of companies with a small board of directors. Journal of Financial Economics, 40, 185-211. </w:t>
      </w:r>
      <w:hyperlink r:id="rId12" w:history="1">
        <w:r w:rsidR="005F6488" w:rsidRPr="00AE15AB">
          <w:rPr>
            <w:rStyle w:val="Hyperlink"/>
            <w:rFonts w:ascii="Arial" w:hAnsi="Arial" w:cs="Arial"/>
          </w:rPr>
          <w:t>https://doi.org/10.1016/0304-405X(95)00844-5</w:t>
        </w:r>
      </w:hyperlink>
      <w:r w:rsidR="005F6488">
        <w:rPr>
          <w:rFonts w:ascii="Arial" w:hAnsi="Arial" w:cs="Arial"/>
        </w:rPr>
        <w:t xml:space="preserve"> </w:t>
      </w:r>
      <w:r w:rsidRPr="004C6C2D">
        <w:rPr>
          <w:rFonts w:ascii="Arial" w:hAnsi="Arial" w:cs="Arial"/>
          <w:lang w:eastAsia="zh-TW"/>
        </w:rPr>
        <w:t>.</w:t>
      </w:r>
      <w:bookmarkStart w:id="4" w:name="_Ref311107888"/>
      <w:bookmarkEnd w:id="4"/>
    </w:p>
    <w:p w14:paraId="72BF2589" w14:textId="77777777" w:rsidR="006B6FC7" w:rsidRPr="004C6C2D" w:rsidRDefault="006B6FC7" w:rsidP="006B6FC7">
      <w:pPr>
        <w:ind w:left="400" w:hangingChars="200" w:hanging="400"/>
        <w:jc w:val="both"/>
        <w:rPr>
          <w:rFonts w:ascii="Arial" w:hAnsi="Arial" w:cs="Arial"/>
          <w:lang w:eastAsia="zh-TW"/>
        </w:rPr>
      </w:pPr>
      <w:r w:rsidRPr="004C6C2D">
        <w:rPr>
          <w:rFonts w:ascii="Arial" w:hAnsi="Arial" w:cs="Arial"/>
        </w:rPr>
        <w:t>[6</w:t>
      </w:r>
      <w:proofErr w:type="gramStart"/>
      <w:r w:rsidRPr="004C6C2D">
        <w:rPr>
          <w:rFonts w:ascii="Arial" w:hAnsi="Arial" w:cs="Arial"/>
        </w:rPr>
        <w:t xml:space="preserve">]  </w:t>
      </w:r>
      <w:r w:rsidRPr="004C6C2D">
        <w:rPr>
          <w:rFonts w:ascii="Arial" w:hAnsi="Arial" w:cs="Arial"/>
          <w:lang w:eastAsia="zh-TW"/>
        </w:rPr>
        <w:t>Davis</w:t>
      </w:r>
      <w:proofErr w:type="gramEnd"/>
      <w:r w:rsidRPr="004C6C2D">
        <w:rPr>
          <w:rFonts w:ascii="Arial" w:hAnsi="Arial" w:cs="Arial"/>
          <w:lang w:eastAsia="zh-TW"/>
        </w:rPr>
        <w:t xml:space="preserve">, Keith. (1973). "The Case for and against Business Assumptions of Social Responsibility ". The Academy of Management Review, Vol. 16 No. 2, </w:t>
      </w:r>
      <w:proofErr w:type="gramStart"/>
      <w:r w:rsidRPr="004C6C2D">
        <w:rPr>
          <w:rFonts w:ascii="Arial" w:hAnsi="Arial" w:cs="Arial"/>
          <w:lang w:eastAsia="zh-TW"/>
        </w:rPr>
        <w:t>June ,</w:t>
      </w:r>
      <w:proofErr w:type="gramEnd"/>
      <w:r w:rsidRPr="004C6C2D">
        <w:rPr>
          <w:rFonts w:ascii="Arial" w:hAnsi="Arial" w:cs="Arial"/>
          <w:lang w:eastAsia="zh-TW"/>
        </w:rPr>
        <w:t xml:space="preserve"> 312-322.</w:t>
      </w:r>
    </w:p>
    <w:p w14:paraId="2A0FDC93" w14:textId="076A3EF7" w:rsidR="006B6FC7" w:rsidRPr="004C6C2D" w:rsidRDefault="006B6FC7" w:rsidP="006B6FC7">
      <w:pPr>
        <w:ind w:left="400" w:hangingChars="200" w:hanging="400"/>
        <w:jc w:val="both"/>
        <w:rPr>
          <w:rFonts w:ascii="Arial" w:hAnsi="Arial" w:cs="Arial"/>
          <w:lang w:eastAsia="zh-TW"/>
        </w:rPr>
      </w:pPr>
      <w:r w:rsidRPr="004C6C2D">
        <w:rPr>
          <w:rFonts w:ascii="Arial" w:hAnsi="Arial" w:cs="Arial"/>
        </w:rPr>
        <w:t>[7</w:t>
      </w:r>
      <w:proofErr w:type="gramStart"/>
      <w:r w:rsidRPr="004C6C2D">
        <w:rPr>
          <w:rFonts w:ascii="Arial" w:hAnsi="Arial" w:cs="Arial"/>
        </w:rPr>
        <w:t xml:space="preserve">]  </w:t>
      </w:r>
      <w:r w:rsidR="005F6488" w:rsidRPr="005F6488">
        <w:rPr>
          <w:rFonts w:ascii="Arial" w:hAnsi="Arial" w:cs="Arial"/>
          <w:lang w:eastAsia="zh-TW"/>
        </w:rPr>
        <w:t>Freeman</w:t>
      </w:r>
      <w:proofErr w:type="gramEnd"/>
      <w:r w:rsidR="005F6488" w:rsidRPr="005F6488">
        <w:rPr>
          <w:rFonts w:ascii="Arial" w:hAnsi="Arial" w:cs="Arial"/>
          <w:lang w:eastAsia="zh-TW"/>
        </w:rPr>
        <w:t xml:space="preserve">, R. E. (1984). Strategic Management: A Stakeholder Approach. Boston: Pitman. </w:t>
      </w:r>
      <w:hyperlink r:id="rId13" w:history="1">
        <w:r w:rsidR="005F6488" w:rsidRPr="00AE15AB">
          <w:rPr>
            <w:rStyle w:val="Hyperlink"/>
            <w:rFonts w:ascii="Arial" w:hAnsi="Arial" w:cs="Arial"/>
            <w:lang w:eastAsia="zh-TW"/>
          </w:rPr>
          <w:t>https://www.cambridge.org/core/books/strategic-management/A7111111111111111111111111111111</w:t>
        </w:r>
      </w:hyperlink>
      <w:r w:rsidR="005F6488">
        <w:rPr>
          <w:rFonts w:ascii="Arial" w:hAnsi="Arial" w:cs="Arial"/>
          <w:lang w:eastAsia="zh-TW"/>
        </w:rPr>
        <w:t xml:space="preserve"> </w:t>
      </w:r>
      <w:r w:rsidRPr="004C6C2D">
        <w:rPr>
          <w:rFonts w:ascii="Arial" w:hAnsi="Arial" w:cs="Arial"/>
          <w:lang w:eastAsia="zh-TW"/>
        </w:rPr>
        <w:t>.</w:t>
      </w:r>
    </w:p>
    <w:p w14:paraId="3D8DCB25" w14:textId="60274304" w:rsidR="006B6FC7" w:rsidRPr="004C6C2D" w:rsidRDefault="006B6FC7" w:rsidP="006B6FC7">
      <w:pPr>
        <w:ind w:left="400" w:hangingChars="200" w:hanging="400"/>
        <w:jc w:val="both"/>
        <w:rPr>
          <w:rFonts w:ascii="Arial" w:hAnsi="Arial" w:cs="Arial"/>
          <w:lang w:eastAsia="zh-TW"/>
        </w:rPr>
      </w:pPr>
      <w:r w:rsidRPr="004C6C2D">
        <w:rPr>
          <w:rFonts w:ascii="Arial" w:hAnsi="Arial" w:cs="Arial"/>
        </w:rPr>
        <w:t>[8</w:t>
      </w:r>
      <w:proofErr w:type="gramStart"/>
      <w:r w:rsidRPr="004C6C2D">
        <w:rPr>
          <w:rFonts w:ascii="Arial" w:hAnsi="Arial" w:cs="Arial"/>
        </w:rPr>
        <w:t xml:space="preserve">]  </w:t>
      </w:r>
      <w:r w:rsidR="005F6488" w:rsidRPr="005F6488">
        <w:rPr>
          <w:rFonts w:ascii="Arial" w:hAnsi="Arial" w:cs="Arial"/>
          <w:lang w:eastAsia="zh-TW"/>
        </w:rPr>
        <w:t>Donaldson</w:t>
      </w:r>
      <w:proofErr w:type="gramEnd"/>
      <w:r w:rsidR="005F6488" w:rsidRPr="005F6488">
        <w:rPr>
          <w:rFonts w:ascii="Arial" w:hAnsi="Arial" w:cs="Arial"/>
          <w:lang w:eastAsia="zh-TW"/>
        </w:rPr>
        <w:t xml:space="preserve">, T., &amp; Preston, L. E. (1995). The stakeholder theory of the corporation: Concepts, evidence, and implications. Academy of Management Review, 20(1), 65–91. </w:t>
      </w:r>
      <w:hyperlink r:id="rId14" w:history="1">
        <w:r w:rsidR="005F6488" w:rsidRPr="00AE15AB">
          <w:rPr>
            <w:rStyle w:val="Hyperlink"/>
            <w:rFonts w:ascii="Arial" w:hAnsi="Arial" w:cs="Arial"/>
            <w:lang w:eastAsia="zh-TW"/>
          </w:rPr>
          <w:t>https://doi.org/10.5465/AMR.1995.9503271992</w:t>
        </w:r>
      </w:hyperlink>
      <w:r w:rsidR="005F6488">
        <w:rPr>
          <w:rFonts w:ascii="Arial" w:hAnsi="Arial" w:cs="Arial"/>
          <w:lang w:eastAsia="zh-TW"/>
        </w:rPr>
        <w:t xml:space="preserve"> </w:t>
      </w:r>
      <w:r w:rsidRPr="004C6C2D">
        <w:rPr>
          <w:rFonts w:ascii="Arial" w:hAnsi="Arial" w:cs="Arial"/>
          <w:lang w:eastAsia="zh-TW"/>
        </w:rPr>
        <w:t>.</w:t>
      </w:r>
    </w:p>
    <w:p w14:paraId="03B718D2" w14:textId="4EE9032B" w:rsidR="006B6FC7" w:rsidRPr="004C6C2D" w:rsidRDefault="006B6FC7" w:rsidP="006B6FC7">
      <w:pPr>
        <w:ind w:left="400" w:hangingChars="200" w:hanging="400"/>
        <w:jc w:val="both"/>
        <w:rPr>
          <w:rFonts w:ascii="Arial" w:hAnsi="Arial" w:cs="Arial"/>
          <w:lang w:eastAsia="zh-TW"/>
        </w:rPr>
      </w:pPr>
      <w:r w:rsidRPr="004C6C2D">
        <w:rPr>
          <w:rFonts w:ascii="Arial" w:hAnsi="Arial" w:cs="Arial"/>
        </w:rPr>
        <w:t>[9</w:t>
      </w:r>
      <w:proofErr w:type="gramStart"/>
      <w:r w:rsidRPr="004C6C2D">
        <w:rPr>
          <w:rFonts w:ascii="Arial" w:hAnsi="Arial" w:cs="Arial"/>
        </w:rPr>
        <w:t xml:space="preserve">]  </w:t>
      </w:r>
      <w:r w:rsidR="005F6488" w:rsidRPr="005F6488">
        <w:rPr>
          <w:rFonts w:ascii="Arial" w:hAnsi="Arial" w:cs="Arial"/>
          <w:lang w:eastAsia="zh-TW"/>
        </w:rPr>
        <w:t>Spence</w:t>
      </w:r>
      <w:proofErr w:type="gramEnd"/>
      <w:r w:rsidR="005F6488" w:rsidRPr="005F6488">
        <w:rPr>
          <w:rFonts w:ascii="Arial" w:hAnsi="Arial" w:cs="Arial"/>
          <w:lang w:eastAsia="zh-TW"/>
        </w:rPr>
        <w:t xml:space="preserve">, M. (1973). Job Market Signaling. The Quarterly Journal of Economics, 87(3), 355-374. </w:t>
      </w:r>
      <w:hyperlink r:id="rId15" w:history="1">
        <w:r w:rsidR="005F6488" w:rsidRPr="00AE15AB">
          <w:rPr>
            <w:rStyle w:val="Hyperlink"/>
            <w:rFonts w:ascii="Arial" w:hAnsi="Arial" w:cs="Arial"/>
            <w:lang w:eastAsia="zh-TW"/>
          </w:rPr>
          <w:t>https://doi.org/10.2307/1882010</w:t>
        </w:r>
      </w:hyperlink>
      <w:r w:rsidR="005F6488">
        <w:rPr>
          <w:rFonts w:ascii="Arial" w:hAnsi="Arial" w:cs="Arial"/>
          <w:lang w:eastAsia="zh-TW"/>
        </w:rPr>
        <w:t xml:space="preserve"> </w:t>
      </w:r>
      <w:r w:rsidRPr="004C6C2D">
        <w:rPr>
          <w:rFonts w:ascii="Arial" w:hAnsi="Arial" w:cs="Arial"/>
          <w:lang w:eastAsia="zh-TW"/>
        </w:rPr>
        <w:t>.</w:t>
      </w:r>
    </w:p>
    <w:p w14:paraId="223FE39E" w14:textId="6C142A12" w:rsidR="006B6FC7" w:rsidRPr="004C6C2D" w:rsidRDefault="006B6FC7" w:rsidP="006B6FC7">
      <w:pPr>
        <w:ind w:left="400" w:hangingChars="200" w:hanging="400"/>
        <w:jc w:val="both"/>
        <w:rPr>
          <w:rFonts w:ascii="Arial" w:hAnsi="Arial" w:cs="Arial"/>
          <w:lang w:eastAsia="zh-TW"/>
        </w:rPr>
      </w:pPr>
      <w:r w:rsidRPr="004C6C2D">
        <w:rPr>
          <w:rFonts w:ascii="Arial" w:hAnsi="Arial" w:cs="Arial"/>
          <w:lang w:val="de-DE"/>
        </w:rPr>
        <w:t xml:space="preserve">[10] </w:t>
      </w:r>
      <w:r w:rsidR="005F6488" w:rsidRPr="005F6488">
        <w:rPr>
          <w:rFonts w:ascii="Arial" w:hAnsi="Arial" w:cs="Arial"/>
          <w:lang w:val="de-DE" w:eastAsia="zh-TW"/>
        </w:rPr>
        <w:t xml:space="preserve">Hahn, R., &amp; Reimsbach, D. (2021). Bringing Signaling Theory to Intermediated Voluntary Disclosure. Commentary on “Detecting False Accounts in Intermediated Voluntary Disclosure” by Patrick Callery and Jessica Perkins. *Academy of Management Discoveries*, *7*(1), 155–157. </w:t>
      </w:r>
      <w:r w:rsidR="005F6488">
        <w:rPr>
          <w:rFonts w:ascii="Arial" w:hAnsi="Arial" w:cs="Arial"/>
          <w:lang w:val="de-DE" w:eastAsia="zh-TW"/>
        </w:rPr>
        <w:fldChar w:fldCharType="begin"/>
      </w:r>
      <w:r w:rsidR="005F6488">
        <w:rPr>
          <w:rFonts w:ascii="Arial" w:hAnsi="Arial" w:cs="Arial"/>
          <w:lang w:val="de-DE" w:eastAsia="zh-TW"/>
        </w:rPr>
        <w:instrText xml:space="preserve"> HYPERLINK "</w:instrText>
      </w:r>
      <w:r w:rsidR="005F6488" w:rsidRPr="005F6488">
        <w:rPr>
          <w:rFonts w:ascii="Arial" w:hAnsi="Arial" w:cs="Arial"/>
          <w:lang w:val="de-DE" w:eastAsia="zh-TW"/>
        </w:rPr>
        <w:instrText>https://doi.org/10.5465/amd.2020.0015</w:instrText>
      </w:r>
      <w:r w:rsidR="005F6488">
        <w:rPr>
          <w:rFonts w:ascii="Arial" w:hAnsi="Arial" w:cs="Arial"/>
          <w:lang w:val="de-DE" w:eastAsia="zh-TW"/>
        </w:rPr>
        <w:instrText xml:space="preserve">" </w:instrText>
      </w:r>
      <w:r w:rsidR="005F6488">
        <w:rPr>
          <w:rFonts w:ascii="Arial" w:hAnsi="Arial" w:cs="Arial"/>
          <w:lang w:val="de-DE" w:eastAsia="zh-TW"/>
        </w:rPr>
        <w:fldChar w:fldCharType="separate"/>
      </w:r>
      <w:r w:rsidR="005F6488" w:rsidRPr="00AE15AB">
        <w:rPr>
          <w:rStyle w:val="Hyperlink"/>
          <w:rFonts w:ascii="Arial" w:hAnsi="Arial" w:cs="Arial"/>
          <w:lang w:val="de-DE" w:eastAsia="zh-TW"/>
        </w:rPr>
        <w:t>https://doi.org/10.5465/amd.2020.0015</w:t>
      </w:r>
      <w:r w:rsidR="005F6488">
        <w:rPr>
          <w:rFonts w:ascii="Arial" w:hAnsi="Arial" w:cs="Arial"/>
          <w:lang w:val="de-DE" w:eastAsia="zh-TW"/>
        </w:rPr>
        <w:fldChar w:fldCharType="end"/>
      </w:r>
      <w:r w:rsidR="005F6488">
        <w:rPr>
          <w:rFonts w:ascii="Arial" w:hAnsi="Arial" w:cs="Arial"/>
          <w:lang w:val="de-DE" w:eastAsia="zh-TW"/>
        </w:rPr>
        <w:t xml:space="preserve"> </w:t>
      </w:r>
      <w:r w:rsidRPr="004C6C2D">
        <w:rPr>
          <w:rFonts w:ascii="Arial" w:hAnsi="Arial" w:cs="Arial"/>
          <w:lang w:eastAsia="zh-TW"/>
        </w:rPr>
        <w:t>.</w:t>
      </w:r>
    </w:p>
    <w:p w14:paraId="080BE823" w14:textId="01021E77" w:rsidR="006B6FC7" w:rsidRPr="004C6C2D" w:rsidRDefault="006B6FC7" w:rsidP="006B6FC7">
      <w:pPr>
        <w:ind w:left="400" w:hangingChars="200" w:hanging="400"/>
        <w:jc w:val="both"/>
        <w:rPr>
          <w:rFonts w:ascii="Arial" w:hAnsi="Arial" w:cs="Arial"/>
          <w:lang w:eastAsia="zh-TW"/>
        </w:rPr>
      </w:pPr>
      <w:r w:rsidRPr="004C6C2D">
        <w:rPr>
          <w:rFonts w:ascii="Arial" w:hAnsi="Arial" w:cs="Arial"/>
          <w:lang w:eastAsia="zh-TW"/>
        </w:rPr>
        <w:t xml:space="preserve">[11] </w:t>
      </w:r>
      <w:r w:rsidR="005F6488" w:rsidRPr="005F6488">
        <w:rPr>
          <w:rFonts w:ascii="Arial" w:hAnsi="Arial" w:cs="Arial"/>
          <w:lang w:eastAsia="zh-TW"/>
        </w:rPr>
        <w:t xml:space="preserve">Scott, W. R. (2015). Financial accounting theory (7th ed.). Pearson Canada. </w:t>
      </w:r>
      <w:hyperlink r:id="rId16" w:history="1">
        <w:r w:rsidR="005F6488" w:rsidRPr="00AE15AB">
          <w:rPr>
            <w:rStyle w:val="Hyperlink"/>
            <w:rFonts w:ascii="Arial" w:hAnsi="Arial" w:cs="Arial"/>
            <w:lang w:eastAsia="zh-TW"/>
          </w:rPr>
          <w:t>https://www.pearson.com/ca/higher-education/product/Scott-Financial-Accounting-Theory-7th-Edition/9780132984669.html</w:t>
        </w:r>
      </w:hyperlink>
      <w:r w:rsidR="005F6488">
        <w:rPr>
          <w:rFonts w:ascii="Arial" w:hAnsi="Arial" w:cs="Arial"/>
          <w:lang w:eastAsia="zh-TW"/>
        </w:rPr>
        <w:t xml:space="preserve"> </w:t>
      </w:r>
      <w:r w:rsidRPr="004C6C2D">
        <w:rPr>
          <w:rFonts w:ascii="Arial" w:hAnsi="Arial" w:cs="Arial"/>
          <w:lang w:eastAsia="zh-TW"/>
        </w:rPr>
        <w:t>.</w:t>
      </w:r>
    </w:p>
    <w:p w14:paraId="4BD541FC" w14:textId="7124E6A2" w:rsidR="006B6FC7" w:rsidRPr="004C6C2D" w:rsidRDefault="006B6FC7" w:rsidP="006B6FC7">
      <w:pPr>
        <w:ind w:left="400" w:hangingChars="200" w:hanging="400"/>
        <w:jc w:val="both"/>
        <w:rPr>
          <w:rFonts w:ascii="Arial" w:hAnsi="Arial" w:cs="Arial"/>
          <w:lang w:eastAsia="zh-TW"/>
        </w:rPr>
      </w:pPr>
      <w:r w:rsidRPr="004C6C2D">
        <w:rPr>
          <w:rFonts w:ascii="Arial" w:hAnsi="Arial" w:cs="Arial"/>
          <w:lang w:eastAsia="zh-TW"/>
        </w:rPr>
        <w:lastRenderedPageBreak/>
        <w:t xml:space="preserve">[12] </w:t>
      </w:r>
      <w:proofErr w:type="spellStart"/>
      <w:r w:rsidR="005F6488" w:rsidRPr="005F6488">
        <w:rPr>
          <w:rFonts w:ascii="Arial" w:hAnsi="Arial" w:cs="Arial"/>
          <w:lang w:eastAsia="zh-TW"/>
        </w:rPr>
        <w:t>Otoritas</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Jasa</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Keuangan</w:t>
      </w:r>
      <w:proofErr w:type="spellEnd"/>
      <w:r w:rsidR="005F6488" w:rsidRPr="005F6488">
        <w:rPr>
          <w:rFonts w:ascii="Arial" w:hAnsi="Arial" w:cs="Arial"/>
          <w:lang w:eastAsia="zh-TW"/>
        </w:rPr>
        <w:t>. (2017). *</w:t>
      </w:r>
      <w:proofErr w:type="spellStart"/>
      <w:r w:rsidR="005F6488" w:rsidRPr="005F6488">
        <w:rPr>
          <w:rFonts w:ascii="Arial" w:hAnsi="Arial" w:cs="Arial"/>
          <w:lang w:eastAsia="zh-TW"/>
        </w:rPr>
        <w:t>Peraturan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Otoritas</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Jasa</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Keuangan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Nomor</w:t>
      </w:r>
      <w:proofErr w:type="spellEnd"/>
      <w:r w:rsidR="005F6488" w:rsidRPr="005F6488">
        <w:rPr>
          <w:rFonts w:ascii="Arial" w:hAnsi="Arial" w:cs="Arial"/>
          <w:lang w:eastAsia="zh-TW"/>
        </w:rPr>
        <w:t xml:space="preserve"> 51/POJK.03/2017 </w:t>
      </w:r>
      <w:proofErr w:type="spellStart"/>
      <w:r w:rsidR="005F6488" w:rsidRPr="005F6488">
        <w:rPr>
          <w:rFonts w:ascii="Arial" w:hAnsi="Arial" w:cs="Arial"/>
          <w:lang w:eastAsia="zh-TW"/>
        </w:rPr>
        <w:t>Tahun</w:t>
      </w:r>
      <w:proofErr w:type="spellEnd"/>
      <w:r w:rsidR="005F6488" w:rsidRPr="005F6488">
        <w:rPr>
          <w:rFonts w:ascii="Arial" w:hAnsi="Arial" w:cs="Arial"/>
          <w:lang w:eastAsia="zh-TW"/>
        </w:rPr>
        <w:t xml:space="preserve"> 2017 </w:t>
      </w:r>
      <w:proofErr w:type="spellStart"/>
      <w:r w:rsidR="005F6488" w:rsidRPr="005F6488">
        <w:rPr>
          <w:rFonts w:ascii="Arial" w:hAnsi="Arial" w:cs="Arial"/>
          <w:lang w:eastAsia="zh-TW"/>
        </w:rPr>
        <w:t>tentang</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Penerapan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Keuangan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Berkelanjutan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bagi</w:t>
      </w:r>
      <w:proofErr w:type="spellEnd"/>
      <w:r w:rsidR="005F6488" w:rsidRPr="005F6488">
        <w:rPr>
          <w:rFonts w:ascii="Arial" w:hAnsi="Arial" w:cs="Arial"/>
          <w:lang w:eastAsia="zh-TW"/>
        </w:rPr>
        <w:t xml:space="preserve"> Lembaga </w:t>
      </w:r>
      <w:proofErr w:type="spellStart"/>
      <w:r w:rsidR="005F6488" w:rsidRPr="005F6488">
        <w:rPr>
          <w:rFonts w:ascii="Arial" w:hAnsi="Arial" w:cs="Arial"/>
          <w:lang w:eastAsia="zh-TW"/>
        </w:rPr>
        <w:t>Jasa</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Keuangan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Emiten</w:t>
      </w:r>
      <w:proofErr w:type="spellEnd"/>
      <w:r w:rsidR="005F6488" w:rsidRPr="005F6488">
        <w:rPr>
          <w:rFonts w:ascii="Arial" w:hAnsi="Arial" w:cs="Arial"/>
          <w:lang w:eastAsia="zh-TW"/>
        </w:rPr>
        <w:t xml:space="preserve">, dan Perusahaan </w:t>
      </w:r>
      <w:proofErr w:type="spellStart"/>
      <w:r w:rsidR="005F6488" w:rsidRPr="005F6488">
        <w:rPr>
          <w:rFonts w:ascii="Arial" w:hAnsi="Arial" w:cs="Arial"/>
          <w:lang w:eastAsia="zh-TW"/>
        </w:rPr>
        <w:t>Publik</w:t>
      </w:r>
      <w:proofErr w:type="spellEnd"/>
      <w:r w:rsidR="005F6488" w:rsidRPr="005F6488">
        <w:rPr>
          <w:rFonts w:ascii="Arial" w:hAnsi="Arial" w:cs="Arial"/>
          <w:lang w:eastAsia="zh-TW"/>
        </w:rPr>
        <w:t xml:space="preserve">*. </w:t>
      </w:r>
      <w:hyperlink r:id="rId17" w:history="1">
        <w:r w:rsidR="005F6488" w:rsidRPr="00AE15AB">
          <w:rPr>
            <w:rStyle w:val="Hyperlink"/>
            <w:rFonts w:ascii="Arial" w:hAnsi="Arial" w:cs="Arial"/>
            <w:lang w:eastAsia="zh-TW"/>
          </w:rPr>
          <w:t>https://www.ojk.go.id/id/kanal/perbankan/Pages/Penerapan-Keuangan-Berkelanjutan-bagi-Lembaga-Jasa-Keuangan,-Emiten,-dan-Perusahaan-Publik.aspx</w:t>
        </w:r>
      </w:hyperlink>
      <w:r w:rsidR="005F6488">
        <w:rPr>
          <w:rFonts w:ascii="Arial" w:hAnsi="Arial" w:cs="Arial"/>
          <w:lang w:eastAsia="zh-TW"/>
        </w:rPr>
        <w:t xml:space="preserve"> </w:t>
      </w:r>
    </w:p>
    <w:p w14:paraId="4F512E06" w14:textId="77777777" w:rsidR="006B6FC7" w:rsidRPr="004C6C2D" w:rsidRDefault="006B6FC7" w:rsidP="006B6FC7">
      <w:pPr>
        <w:ind w:left="400" w:hangingChars="200" w:hanging="400"/>
        <w:jc w:val="both"/>
        <w:rPr>
          <w:rFonts w:ascii="Arial" w:hAnsi="Arial" w:cs="Arial"/>
          <w:i/>
          <w:iCs/>
          <w:lang w:val="en" w:eastAsia="zh-TW"/>
        </w:rPr>
      </w:pPr>
      <w:r w:rsidRPr="004C6C2D">
        <w:rPr>
          <w:rFonts w:ascii="Arial" w:hAnsi="Arial" w:cs="Arial"/>
          <w:lang w:eastAsia="zh-TW"/>
        </w:rPr>
        <w:t>[13</w:t>
      </w:r>
      <w:proofErr w:type="gramStart"/>
      <w:r w:rsidRPr="004C6C2D">
        <w:rPr>
          <w:rFonts w:ascii="Arial" w:hAnsi="Arial" w:cs="Arial"/>
          <w:lang w:eastAsia="zh-TW"/>
        </w:rPr>
        <w:t>]  Anita</w:t>
      </w:r>
      <w:proofErr w:type="gramEnd"/>
      <w:r w:rsidRPr="004C6C2D">
        <w:rPr>
          <w:rFonts w:ascii="Arial" w:hAnsi="Arial" w:cs="Arial"/>
          <w:lang w:eastAsia="zh-TW"/>
        </w:rPr>
        <w:t xml:space="preserve">, and </w:t>
      </w:r>
      <w:proofErr w:type="spellStart"/>
      <w:r w:rsidRPr="004C6C2D">
        <w:rPr>
          <w:rFonts w:ascii="Arial" w:hAnsi="Arial" w:cs="Arial"/>
          <w:lang w:eastAsia="zh-TW"/>
        </w:rPr>
        <w:t>Eren</w:t>
      </w:r>
      <w:proofErr w:type="spellEnd"/>
      <w:r w:rsidRPr="004C6C2D">
        <w:rPr>
          <w:rFonts w:ascii="Arial" w:hAnsi="Arial" w:cs="Arial"/>
          <w:lang w:eastAsia="zh-TW"/>
        </w:rPr>
        <w:t xml:space="preserve">. (2022). </w:t>
      </w:r>
      <w:proofErr w:type="gramStart"/>
      <w:r w:rsidRPr="004C6C2D">
        <w:rPr>
          <w:rFonts w:ascii="Arial" w:hAnsi="Arial" w:cs="Arial"/>
          <w:lang w:eastAsia="zh-TW"/>
        </w:rPr>
        <w:t>“ Board</w:t>
      </w:r>
      <w:proofErr w:type="gramEnd"/>
      <w:r w:rsidRPr="004C6C2D">
        <w:rPr>
          <w:rFonts w:ascii="Arial" w:hAnsi="Arial" w:cs="Arial"/>
          <w:lang w:eastAsia="zh-TW"/>
        </w:rPr>
        <w:t xml:space="preserve"> Attributes and Corporate Social Responsibility: Financial Performance as Variables Moderation ”. Journal of Economics, Accounting and Management Vol. 21 No. 2, September 2022. </w:t>
      </w:r>
      <w:hyperlink r:id="rId18" w:history="1">
        <w:r w:rsidRPr="004C6C2D">
          <w:rPr>
            <w:rStyle w:val="Hyperlink"/>
            <w:rFonts w:ascii="Arial" w:hAnsi="Arial" w:cs="Arial"/>
            <w:lang w:eastAsia="zh-TW"/>
          </w:rPr>
          <w:t>https://doi.org/10.19184/jeam.v21i2.33766</w:t>
        </w:r>
      </w:hyperlink>
      <w:r w:rsidRPr="004C6C2D">
        <w:rPr>
          <w:rFonts w:ascii="Arial" w:hAnsi="Arial" w:cs="Arial"/>
          <w:i/>
          <w:iCs/>
          <w:lang w:val="en" w:eastAsia="zh-TW"/>
        </w:rPr>
        <w:t>.</w:t>
      </w:r>
    </w:p>
    <w:p w14:paraId="785F6EF9" w14:textId="77777777" w:rsidR="006B6FC7" w:rsidRPr="004C6C2D" w:rsidRDefault="006B6FC7" w:rsidP="006B6FC7">
      <w:pPr>
        <w:ind w:left="400" w:hangingChars="200" w:hanging="400"/>
        <w:jc w:val="both"/>
        <w:rPr>
          <w:rFonts w:ascii="Arial" w:hAnsi="Arial" w:cs="Arial"/>
          <w:i/>
          <w:iCs/>
          <w:lang w:val="en" w:eastAsia="zh-TW"/>
        </w:rPr>
      </w:pPr>
      <w:r w:rsidRPr="004C6C2D">
        <w:rPr>
          <w:rFonts w:ascii="Arial" w:hAnsi="Arial" w:cs="Arial"/>
          <w:lang w:eastAsia="zh-TW"/>
        </w:rPr>
        <w:t>[14</w:t>
      </w:r>
      <w:proofErr w:type="gramStart"/>
      <w:r w:rsidRPr="004C6C2D">
        <w:rPr>
          <w:rFonts w:ascii="Arial" w:hAnsi="Arial" w:cs="Arial"/>
          <w:lang w:eastAsia="zh-TW"/>
        </w:rPr>
        <w:t xml:space="preserve">]  </w:t>
      </w:r>
      <w:proofErr w:type="spellStart"/>
      <w:r w:rsidRPr="004C6C2D">
        <w:rPr>
          <w:rFonts w:ascii="Arial" w:hAnsi="Arial" w:cs="Arial"/>
          <w:lang w:eastAsia="zh-TW"/>
        </w:rPr>
        <w:t>Wulandari</w:t>
      </w:r>
      <w:proofErr w:type="spellEnd"/>
      <w:proofErr w:type="gramEnd"/>
      <w:r w:rsidRPr="004C6C2D">
        <w:rPr>
          <w:rFonts w:ascii="Arial" w:hAnsi="Arial" w:cs="Arial"/>
          <w:lang w:eastAsia="zh-TW"/>
        </w:rPr>
        <w:t xml:space="preserve">, Siti. (2020). The Influence of Corporate Social Responsibility (CSR) Disclosure on Company Profitability </w:t>
      </w:r>
      <w:proofErr w:type="gramStart"/>
      <w:r w:rsidRPr="004C6C2D">
        <w:rPr>
          <w:rFonts w:ascii="Arial" w:hAnsi="Arial" w:cs="Arial"/>
          <w:lang w:eastAsia="zh-TW"/>
        </w:rPr>
        <w:t>( Empirical</w:t>
      </w:r>
      <w:proofErr w:type="gramEnd"/>
      <w:r w:rsidRPr="004C6C2D">
        <w:rPr>
          <w:rFonts w:ascii="Arial" w:hAnsi="Arial" w:cs="Arial"/>
          <w:lang w:eastAsia="zh-TW"/>
        </w:rPr>
        <w:t xml:space="preserve"> Study on Plantation Subsector Companies on the Indonesia Stock Exchange; Journal of Economics, Accounting and Management , Vol. 19 No. 1, April 2020. </w:t>
      </w:r>
      <w:hyperlink r:id="rId19" w:history="1">
        <w:r w:rsidRPr="004C6C2D">
          <w:rPr>
            <w:rStyle w:val="Hyperlink"/>
            <w:rFonts w:ascii="Arial" w:hAnsi="Arial" w:cs="Arial"/>
            <w:lang w:eastAsia="zh-TW"/>
          </w:rPr>
          <w:t>https://doi.org/10.19184/jeam.v19i1.15436</w:t>
        </w:r>
      </w:hyperlink>
      <w:r w:rsidRPr="004C6C2D">
        <w:rPr>
          <w:rFonts w:ascii="Arial" w:hAnsi="Arial" w:cs="Arial"/>
          <w:i/>
          <w:iCs/>
          <w:lang w:val="en" w:eastAsia="zh-TW"/>
        </w:rPr>
        <w:t>.</w:t>
      </w:r>
    </w:p>
    <w:p w14:paraId="00313BA6" w14:textId="238E0360" w:rsidR="006B6FC7" w:rsidRPr="005F6488" w:rsidRDefault="006B6FC7" w:rsidP="006B6FC7">
      <w:pPr>
        <w:ind w:left="400" w:hangingChars="200" w:hanging="400"/>
        <w:jc w:val="both"/>
        <w:rPr>
          <w:rFonts w:ascii="Arial" w:hAnsi="Arial" w:cs="Arial"/>
          <w:i/>
          <w:iCs/>
          <w:lang w:val="fr-FR" w:eastAsia="zh-TW"/>
        </w:rPr>
      </w:pPr>
      <w:r w:rsidRPr="005F6488">
        <w:rPr>
          <w:rFonts w:ascii="Arial" w:hAnsi="Arial" w:cs="Arial"/>
          <w:lang w:val="pt-BR" w:eastAsia="zh-TW"/>
        </w:rPr>
        <w:t xml:space="preserve">[15]  </w:t>
      </w:r>
      <w:r w:rsidR="005F6488" w:rsidRPr="005F6488">
        <w:rPr>
          <w:rFonts w:ascii="Arial" w:hAnsi="Arial" w:cs="Arial"/>
          <w:lang w:val="pt-BR" w:eastAsia="zh-TW"/>
        </w:rPr>
        <w:t xml:space="preserve">Bimantara, A., Sayekti, Y., &amp; Puspita, D. A. (2022). Relevansi Nilai Laporan Keberlanjutan Perusahaan Peserta Asia Sustainability Reporting Rating (Asrrat) Yang Tercatat Di Bursa Efonesia. </w:t>
      </w:r>
      <w:proofErr w:type="spellStart"/>
      <w:r w:rsidR="005F6488" w:rsidRPr="005F6488">
        <w:rPr>
          <w:rFonts w:ascii="Arial" w:hAnsi="Arial" w:cs="Arial"/>
          <w:lang w:eastAsia="zh-TW"/>
        </w:rPr>
        <w:t>Jurnal</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Akuntansi</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Universitas</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Jember</w:t>
      </w:r>
      <w:proofErr w:type="spellEnd"/>
      <w:r w:rsidR="005F6488" w:rsidRPr="005F6488">
        <w:rPr>
          <w:rFonts w:ascii="Arial" w:hAnsi="Arial" w:cs="Arial"/>
          <w:lang w:eastAsia="zh-TW"/>
        </w:rPr>
        <w:t xml:space="preserve">. </w:t>
      </w:r>
      <w:hyperlink r:id="rId20" w:history="1">
        <w:r w:rsidR="005F6488" w:rsidRPr="005F6488">
          <w:rPr>
            <w:rStyle w:val="Hyperlink"/>
            <w:rFonts w:ascii="Arial" w:hAnsi="Arial" w:cs="Arial"/>
            <w:lang w:val="fr-FR" w:eastAsia="zh-TW"/>
          </w:rPr>
          <w:t>https://doi.org/10.19184/jauj.v20i1.30904</w:t>
        </w:r>
      </w:hyperlink>
      <w:r w:rsidR="005F6488" w:rsidRPr="005F6488">
        <w:rPr>
          <w:rFonts w:ascii="Arial" w:hAnsi="Arial" w:cs="Arial"/>
          <w:lang w:val="fr-FR" w:eastAsia="zh-TW"/>
        </w:rPr>
        <w:t xml:space="preserve"> </w:t>
      </w:r>
      <w:r w:rsidRPr="005F6488">
        <w:rPr>
          <w:rFonts w:ascii="Arial" w:hAnsi="Arial" w:cs="Arial"/>
          <w:i/>
          <w:iCs/>
          <w:lang w:val="fr-FR" w:eastAsia="zh-TW"/>
        </w:rPr>
        <w:t>.</w:t>
      </w:r>
    </w:p>
    <w:p w14:paraId="7BCA0613" w14:textId="1F72263F" w:rsidR="006B6FC7" w:rsidRPr="004C6C2D" w:rsidRDefault="006B6FC7" w:rsidP="006B6FC7">
      <w:pPr>
        <w:ind w:left="400" w:hangingChars="200" w:hanging="400"/>
        <w:jc w:val="both"/>
        <w:rPr>
          <w:rFonts w:ascii="Arial" w:hAnsi="Arial" w:cs="Arial"/>
          <w:i/>
          <w:iCs/>
          <w:lang w:val="en" w:eastAsia="zh-TW"/>
        </w:rPr>
      </w:pPr>
      <w:r w:rsidRPr="005F6488">
        <w:rPr>
          <w:rFonts w:ascii="Arial" w:hAnsi="Arial" w:cs="Arial"/>
          <w:lang w:val="fr-FR" w:eastAsia="zh-TW"/>
        </w:rPr>
        <w:t>[16</w:t>
      </w:r>
      <w:proofErr w:type="gramStart"/>
      <w:r w:rsidRPr="005F6488">
        <w:rPr>
          <w:rFonts w:ascii="Arial" w:hAnsi="Arial" w:cs="Arial"/>
          <w:lang w:val="fr-FR" w:eastAsia="zh-TW"/>
        </w:rPr>
        <w:t xml:space="preserve">]  </w:t>
      </w:r>
      <w:r w:rsidR="005F6488" w:rsidRPr="005F6488">
        <w:rPr>
          <w:rFonts w:ascii="Arial" w:hAnsi="Arial" w:cs="Arial"/>
          <w:lang w:val="fr-FR" w:eastAsia="zh-TW"/>
        </w:rPr>
        <w:t>Myers</w:t>
      </w:r>
      <w:proofErr w:type="gramEnd"/>
      <w:r w:rsidR="005F6488" w:rsidRPr="005F6488">
        <w:rPr>
          <w:rFonts w:ascii="Arial" w:hAnsi="Arial" w:cs="Arial"/>
          <w:lang w:val="fr-FR" w:eastAsia="zh-TW"/>
        </w:rPr>
        <w:t xml:space="preserve">, S. C., &amp; </w:t>
      </w:r>
      <w:proofErr w:type="spellStart"/>
      <w:r w:rsidR="005F6488" w:rsidRPr="005F6488">
        <w:rPr>
          <w:rFonts w:ascii="Arial" w:hAnsi="Arial" w:cs="Arial"/>
          <w:lang w:val="fr-FR" w:eastAsia="zh-TW"/>
        </w:rPr>
        <w:t>Majluf</w:t>
      </w:r>
      <w:proofErr w:type="spellEnd"/>
      <w:r w:rsidR="005F6488" w:rsidRPr="005F6488">
        <w:rPr>
          <w:rFonts w:ascii="Arial" w:hAnsi="Arial" w:cs="Arial"/>
          <w:lang w:val="fr-FR" w:eastAsia="zh-TW"/>
        </w:rPr>
        <w:t xml:space="preserve">, N. S. (1984). </w:t>
      </w:r>
      <w:r w:rsidR="005F6488" w:rsidRPr="005F6488">
        <w:rPr>
          <w:rFonts w:ascii="Arial" w:hAnsi="Arial" w:cs="Arial"/>
          <w:lang w:val="en-IN" w:eastAsia="zh-TW"/>
        </w:rPr>
        <w:t xml:space="preserve">Corporate financing and investment decisions when firms have information that investors do not have. </w:t>
      </w:r>
      <w:r w:rsidR="005F6488" w:rsidRPr="005F6488">
        <w:rPr>
          <w:rFonts w:ascii="Arial" w:hAnsi="Arial" w:cs="Arial"/>
          <w:lang w:val="fr-FR" w:eastAsia="zh-TW"/>
        </w:rPr>
        <w:t xml:space="preserve">Journal of Financial </w:t>
      </w:r>
      <w:proofErr w:type="spellStart"/>
      <w:r w:rsidR="005F6488" w:rsidRPr="005F6488">
        <w:rPr>
          <w:rFonts w:ascii="Arial" w:hAnsi="Arial" w:cs="Arial"/>
          <w:lang w:val="fr-FR" w:eastAsia="zh-TW"/>
        </w:rPr>
        <w:t>Economics</w:t>
      </w:r>
      <w:proofErr w:type="spellEnd"/>
      <w:r w:rsidR="005F6488" w:rsidRPr="005F6488">
        <w:rPr>
          <w:rFonts w:ascii="Arial" w:hAnsi="Arial" w:cs="Arial"/>
          <w:lang w:val="fr-FR" w:eastAsia="zh-TW"/>
        </w:rPr>
        <w:t xml:space="preserve">, 13(2), 187-221. </w:t>
      </w:r>
      <w:hyperlink r:id="rId21" w:history="1">
        <w:r w:rsidR="005F6488" w:rsidRPr="00AE15AB">
          <w:rPr>
            <w:rStyle w:val="Hyperlink"/>
            <w:rFonts w:ascii="Arial" w:hAnsi="Arial" w:cs="Arial"/>
            <w:lang w:val="fr-FR" w:eastAsia="zh-TW"/>
          </w:rPr>
          <w:t>https://doi.org/10.1016/0304-405X(84)90023-0</w:t>
        </w:r>
      </w:hyperlink>
      <w:r w:rsidR="005F6488">
        <w:rPr>
          <w:rFonts w:ascii="Arial" w:hAnsi="Arial" w:cs="Arial"/>
          <w:lang w:val="fr-FR" w:eastAsia="zh-TW"/>
        </w:rPr>
        <w:t xml:space="preserve"> </w:t>
      </w:r>
      <w:r w:rsidRPr="004C6C2D">
        <w:rPr>
          <w:rFonts w:ascii="Arial" w:hAnsi="Arial" w:cs="Arial"/>
          <w:i/>
          <w:iCs/>
          <w:lang w:val="en" w:eastAsia="zh-TW"/>
        </w:rPr>
        <w:t>.</w:t>
      </w:r>
    </w:p>
    <w:p w14:paraId="1057FEA4" w14:textId="77777777" w:rsidR="006B6FC7" w:rsidRPr="004C6C2D" w:rsidRDefault="006B6FC7" w:rsidP="006B6FC7">
      <w:pPr>
        <w:ind w:left="400" w:hangingChars="200" w:hanging="400"/>
        <w:jc w:val="both"/>
        <w:rPr>
          <w:rFonts w:ascii="Arial" w:hAnsi="Arial" w:cs="Arial"/>
          <w:i/>
          <w:iCs/>
          <w:lang w:val="en" w:eastAsia="zh-TW"/>
        </w:rPr>
      </w:pPr>
      <w:r w:rsidRPr="005F6488">
        <w:rPr>
          <w:rFonts w:ascii="Arial" w:hAnsi="Arial" w:cs="Arial"/>
          <w:lang w:val="pt-BR" w:eastAsia="zh-TW"/>
        </w:rPr>
        <w:t xml:space="preserve">[17]  Gracía, A., González-Benito, J., &amp; Muñoz-Gallego, P. A. (2017). </w:t>
      </w:r>
      <w:r w:rsidRPr="004C6C2D">
        <w:rPr>
          <w:rFonts w:ascii="Arial" w:hAnsi="Arial" w:cs="Arial"/>
          <w:lang w:eastAsia="zh-TW"/>
        </w:rPr>
        <w:t xml:space="preserve">The effect of corporate environmental disclosures on corporate reputation and firm performance. Journal of Business Ethics, 144(3), 431-444. </w:t>
      </w:r>
      <w:hyperlink r:id="rId22" w:history="1">
        <w:r w:rsidRPr="004C6C2D">
          <w:rPr>
            <w:rStyle w:val="Hyperlink"/>
            <w:rFonts w:ascii="Arial" w:hAnsi="Arial" w:cs="Arial"/>
            <w:lang w:eastAsia="zh-TW"/>
          </w:rPr>
          <w:t>https://doi.org/10.1007/s10551-015-2839-5</w:t>
        </w:r>
      </w:hyperlink>
      <w:r w:rsidRPr="004C6C2D">
        <w:rPr>
          <w:rFonts w:ascii="Arial" w:hAnsi="Arial" w:cs="Arial"/>
          <w:i/>
          <w:iCs/>
          <w:lang w:val="en" w:eastAsia="zh-TW"/>
        </w:rPr>
        <w:t>.</w:t>
      </w:r>
    </w:p>
    <w:p w14:paraId="1AD0A57C" w14:textId="68EA429F" w:rsidR="006B6FC7" w:rsidRPr="004C6C2D" w:rsidRDefault="006B6FC7" w:rsidP="006B6FC7">
      <w:pPr>
        <w:ind w:left="400" w:hangingChars="200" w:hanging="400"/>
        <w:jc w:val="both"/>
        <w:rPr>
          <w:rFonts w:ascii="Arial" w:hAnsi="Arial" w:cs="Arial"/>
          <w:i/>
          <w:iCs/>
          <w:lang w:val="en" w:eastAsia="zh-TW"/>
        </w:rPr>
      </w:pPr>
      <w:r w:rsidRPr="004C6C2D">
        <w:rPr>
          <w:rFonts w:ascii="Arial" w:hAnsi="Arial" w:cs="Arial"/>
          <w:lang w:eastAsia="zh-TW"/>
        </w:rPr>
        <w:t>[18</w:t>
      </w:r>
      <w:proofErr w:type="gramStart"/>
      <w:r w:rsidRPr="004C6C2D">
        <w:rPr>
          <w:rFonts w:ascii="Arial" w:hAnsi="Arial" w:cs="Arial"/>
          <w:lang w:eastAsia="zh-TW"/>
        </w:rPr>
        <w:t xml:space="preserve">]  </w:t>
      </w:r>
      <w:r w:rsidR="005F6488" w:rsidRPr="005F6488">
        <w:rPr>
          <w:rFonts w:ascii="Arial" w:hAnsi="Arial" w:cs="Arial"/>
          <w:lang w:eastAsia="zh-TW"/>
        </w:rPr>
        <w:t>Dhaliwal</w:t>
      </w:r>
      <w:proofErr w:type="gramEnd"/>
      <w:r w:rsidR="005F6488" w:rsidRPr="005F6488">
        <w:rPr>
          <w:rFonts w:ascii="Arial" w:hAnsi="Arial" w:cs="Arial"/>
          <w:lang w:eastAsia="zh-TW"/>
        </w:rPr>
        <w:t xml:space="preserve">, D. S., Li, O. Z., Tsang, A., &amp; Yang, Y. G. (2011). Voluntary nonfinancial disclosure and the cost of equity capital: The initiation of corporate social responsibility reporting. The Accounting Review, 86(1), 59-100. </w:t>
      </w:r>
      <w:hyperlink r:id="rId23" w:history="1">
        <w:r w:rsidR="005F6488" w:rsidRPr="00AE15AB">
          <w:rPr>
            <w:rStyle w:val="Hyperlink"/>
            <w:rFonts w:ascii="Arial" w:hAnsi="Arial" w:cs="Arial"/>
            <w:lang w:eastAsia="zh-TW"/>
          </w:rPr>
          <w:t>https://doi.org/10.2308/accr.00000005</w:t>
        </w:r>
      </w:hyperlink>
      <w:r w:rsidR="005F6488">
        <w:rPr>
          <w:rFonts w:ascii="Arial" w:hAnsi="Arial" w:cs="Arial"/>
          <w:lang w:eastAsia="zh-TW"/>
        </w:rPr>
        <w:t xml:space="preserve"> </w:t>
      </w:r>
      <w:r w:rsidRPr="004C6C2D">
        <w:rPr>
          <w:rFonts w:ascii="Arial" w:hAnsi="Arial" w:cs="Arial"/>
          <w:i/>
          <w:iCs/>
          <w:lang w:val="en" w:eastAsia="zh-TW"/>
        </w:rPr>
        <w:t>.</w:t>
      </w:r>
    </w:p>
    <w:p w14:paraId="51693999" w14:textId="1671BBA7" w:rsidR="006B6FC7" w:rsidRPr="004C6C2D" w:rsidRDefault="006B6FC7" w:rsidP="006B6FC7">
      <w:pPr>
        <w:ind w:left="400" w:hangingChars="200" w:hanging="400"/>
        <w:jc w:val="both"/>
        <w:rPr>
          <w:rFonts w:ascii="Arial" w:hAnsi="Arial" w:cs="Arial"/>
          <w:i/>
          <w:iCs/>
          <w:lang w:val="en" w:eastAsia="zh-TW"/>
        </w:rPr>
      </w:pPr>
      <w:r w:rsidRPr="004C6C2D">
        <w:rPr>
          <w:rFonts w:ascii="Arial" w:hAnsi="Arial" w:cs="Arial"/>
          <w:lang w:val="de-DE" w:eastAsia="zh-TW"/>
        </w:rPr>
        <w:t xml:space="preserve">[19]  </w:t>
      </w:r>
      <w:r w:rsidR="005F6488" w:rsidRPr="005F6488">
        <w:rPr>
          <w:rFonts w:ascii="Arial" w:hAnsi="Arial" w:cs="Arial"/>
          <w:lang w:val="de-DE" w:eastAsia="zh-TW"/>
        </w:rPr>
        <w:t xml:space="preserve">Friede, G., Busch, T., &amp; Bassen, A. (2015). ESG and financial performance: Aggregated evidence from more than 2000 empirical studies. Journal of Sustainable Finance &amp; Investment, 5(4), 210-233. </w:t>
      </w:r>
      <w:r w:rsidR="005F6488">
        <w:rPr>
          <w:rFonts w:ascii="Arial" w:hAnsi="Arial" w:cs="Arial"/>
          <w:lang w:val="de-DE" w:eastAsia="zh-TW"/>
        </w:rPr>
        <w:fldChar w:fldCharType="begin"/>
      </w:r>
      <w:r w:rsidR="005F6488">
        <w:rPr>
          <w:rFonts w:ascii="Arial" w:hAnsi="Arial" w:cs="Arial"/>
          <w:lang w:val="de-DE" w:eastAsia="zh-TW"/>
        </w:rPr>
        <w:instrText xml:space="preserve"> HYPERLINK "</w:instrText>
      </w:r>
      <w:r w:rsidR="005F6488" w:rsidRPr="005F6488">
        <w:rPr>
          <w:rFonts w:ascii="Arial" w:hAnsi="Arial" w:cs="Arial"/>
          <w:lang w:val="de-DE" w:eastAsia="zh-TW"/>
        </w:rPr>
        <w:instrText>https://doi.org/10.1080/20430795.2015.1118917</w:instrText>
      </w:r>
      <w:r w:rsidR="005F6488">
        <w:rPr>
          <w:rFonts w:ascii="Arial" w:hAnsi="Arial" w:cs="Arial"/>
          <w:lang w:val="de-DE" w:eastAsia="zh-TW"/>
        </w:rPr>
        <w:instrText xml:space="preserve">" </w:instrText>
      </w:r>
      <w:r w:rsidR="005F6488">
        <w:rPr>
          <w:rFonts w:ascii="Arial" w:hAnsi="Arial" w:cs="Arial"/>
          <w:lang w:val="de-DE" w:eastAsia="zh-TW"/>
        </w:rPr>
        <w:fldChar w:fldCharType="separate"/>
      </w:r>
      <w:r w:rsidR="005F6488" w:rsidRPr="00AE15AB">
        <w:rPr>
          <w:rStyle w:val="Hyperlink"/>
          <w:rFonts w:ascii="Arial" w:hAnsi="Arial" w:cs="Arial"/>
          <w:lang w:val="de-DE" w:eastAsia="zh-TW"/>
        </w:rPr>
        <w:t>https://doi.org/10.1080/20430795.2015.1118917</w:t>
      </w:r>
      <w:r w:rsidR="005F6488">
        <w:rPr>
          <w:rFonts w:ascii="Arial" w:hAnsi="Arial" w:cs="Arial"/>
          <w:lang w:val="de-DE" w:eastAsia="zh-TW"/>
        </w:rPr>
        <w:fldChar w:fldCharType="end"/>
      </w:r>
      <w:r w:rsidR="005F6488">
        <w:rPr>
          <w:rFonts w:ascii="Arial" w:hAnsi="Arial" w:cs="Arial"/>
          <w:lang w:val="de-DE" w:eastAsia="zh-TW"/>
        </w:rPr>
        <w:t xml:space="preserve"> </w:t>
      </w:r>
      <w:r w:rsidRPr="004C6C2D">
        <w:rPr>
          <w:rFonts w:ascii="Arial" w:hAnsi="Arial" w:cs="Arial"/>
          <w:i/>
          <w:iCs/>
          <w:lang w:val="en" w:eastAsia="zh-TW"/>
        </w:rPr>
        <w:t>.</w:t>
      </w:r>
    </w:p>
    <w:p w14:paraId="4CD37B39" w14:textId="59EB5FA2" w:rsidR="006B6FC7" w:rsidRPr="004C6C2D" w:rsidRDefault="006B6FC7" w:rsidP="006B6FC7">
      <w:pPr>
        <w:ind w:left="400" w:hangingChars="200" w:hanging="400"/>
        <w:jc w:val="both"/>
        <w:rPr>
          <w:rFonts w:ascii="Arial" w:hAnsi="Arial" w:cs="Arial"/>
          <w:i/>
          <w:iCs/>
          <w:lang w:val="en" w:eastAsia="zh-TW"/>
        </w:rPr>
      </w:pPr>
      <w:r w:rsidRPr="004C6C2D">
        <w:rPr>
          <w:rFonts w:ascii="Arial" w:hAnsi="Arial" w:cs="Arial"/>
          <w:lang w:eastAsia="zh-TW"/>
        </w:rPr>
        <w:t>[20</w:t>
      </w:r>
      <w:proofErr w:type="gramStart"/>
      <w:r w:rsidRPr="004C6C2D">
        <w:rPr>
          <w:rFonts w:ascii="Arial" w:hAnsi="Arial" w:cs="Arial"/>
          <w:lang w:eastAsia="zh-TW"/>
        </w:rPr>
        <w:t xml:space="preserve">]  </w:t>
      </w:r>
      <w:proofErr w:type="spellStart"/>
      <w:r w:rsidR="005F6488" w:rsidRPr="005F6488">
        <w:rPr>
          <w:rFonts w:ascii="Arial" w:hAnsi="Arial" w:cs="Arial"/>
          <w:lang w:eastAsia="zh-TW"/>
        </w:rPr>
        <w:t>Waddock</w:t>
      </w:r>
      <w:proofErr w:type="spellEnd"/>
      <w:proofErr w:type="gramEnd"/>
      <w:r w:rsidR="005F6488" w:rsidRPr="005F6488">
        <w:rPr>
          <w:rFonts w:ascii="Arial" w:hAnsi="Arial" w:cs="Arial"/>
          <w:lang w:eastAsia="zh-TW"/>
        </w:rPr>
        <w:t xml:space="preserve">, S. A., &amp; Graves, S. B. (1997). The corporate social performance-financial performance link. Strategic Management Journal, 18(4), 303-319. </w:t>
      </w:r>
      <w:hyperlink r:id="rId24" w:history="1">
        <w:r w:rsidR="005F6488" w:rsidRPr="00AE15AB">
          <w:rPr>
            <w:rStyle w:val="Hyperlink"/>
            <w:rFonts w:ascii="Arial" w:hAnsi="Arial" w:cs="Arial"/>
            <w:lang w:eastAsia="zh-TW"/>
          </w:rPr>
          <w:t>https://www.jstor.org/stable/3088143</w:t>
        </w:r>
      </w:hyperlink>
      <w:r w:rsidR="005F6488">
        <w:rPr>
          <w:rFonts w:ascii="Arial" w:hAnsi="Arial" w:cs="Arial"/>
          <w:lang w:eastAsia="zh-TW"/>
        </w:rPr>
        <w:t xml:space="preserve"> </w:t>
      </w:r>
      <w:r w:rsidRPr="004C6C2D">
        <w:rPr>
          <w:rFonts w:ascii="Arial" w:hAnsi="Arial" w:cs="Arial"/>
          <w:i/>
          <w:iCs/>
          <w:lang w:val="en" w:eastAsia="zh-TW"/>
        </w:rPr>
        <w:t>.</w:t>
      </w:r>
    </w:p>
    <w:p w14:paraId="682B0EF9" w14:textId="77777777" w:rsidR="006B6FC7" w:rsidRDefault="006B6FC7" w:rsidP="006B6FC7">
      <w:pPr>
        <w:ind w:left="360" w:hangingChars="200" w:hanging="360"/>
        <w:jc w:val="both"/>
        <w:rPr>
          <w:i/>
          <w:iCs/>
          <w:sz w:val="18"/>
          <w:szCs w:val="18"/>
          <w:lang w:val="en" w:eastAsia="zh-TW"/>
        </w:rPr>
      </w:pPr>
    </w:p>
    <w:p w14:paraId="5C07690D" w14:textId="3E0C962B" w:rsidR="004D4277" w:rsidRPr="00FB3A86" w:rsidRDefault="004D4277" w:rsidP="00441B6F">
      <w:pPr>
        <w:pStyle w:val="Appendix"/>
        <w:spacing w:after="0"/>
        <w:jc w:val="both"/>
        <w:rPr>
          <w:rFonts w:ascii="Arial" w:hAnsi="Arial" w:cs="Arial"/>
          <w:b w:val="0"/>
        </w:rPr>
        <w:sectPr w:rsidR="004D4277" w:rsidRPr="00FB3A86" w:rsidSect="00404295">
          <w:footerReference w:type="default" r:id="rId25"/>
          <w:type w:val="continuous"/>
          <w:pgSz w:w="12240" w:h="15840"/>
          <w:pgMar w:top="1440" w:right="2016" w:bottom="2016" w:left="2016" w:header="720" w:footer="1123" w:gutter="0"/>
          <w:cols w:space="720"/>
          <w:docGrid w:linePitch="272"/>
        </w:sectPr>
      </w:pPr>
    </w:p>
    <w:p w14:paraId="2355FE87" w14:textId="77777777" w:rsidR="00B01FCD" w:rsidRPr="00FB3A86" w:rsidRDefault="00B01FCD" w:rsidP="00441B6F">
      <w:pPr>
        <w:pStyle w:val="Appendix"/>
        <w:spacing w:after="0"/>
        <w:jc w:val="both"/>
        <w:rPr>
          <w:rFonts w:ascii="Arial" w:hAnsi="Arial" w:cs="Arial"/>
          <w:b w:val="0"/>
        </w:rPr>
      </w:pPr>
    </w:p>
    <w:sectPr w:rsidR="00B01FCD" w:rsidRPr="00FB3A86" w:rsidSect="0040429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20687" w14:textId="77777777" w:rsidR="0058349A" w:rsidRDefault="0058349A" w:rsidP="00C37E61">
      <w:r>
        <w:separator/>
      </w:r>
    </w:p>
  </w:endnote>
  <w:endnote w:type="continuationSeparator" w:id="0">
    <w:p w14:paraId="0AB89602" w14:textId="77777777" w:rsidR="0058349A" w:rsidRDefault="0058349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ebkit-standard">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BEC1F" w14:textId="4EC4E174" w:rsidR="00754C9A" w:rsidRPr="00404295" w:rsidRDefault="00754C9A" w:rsidP="00404295">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430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6BF2E" w14:textId="77777777" w:rsidR="0058349A" w:rsidRDefault="0058349A" w:rsidP="00C37E61">
      <w:r>
        <w:separator/>
      </w:r>
    </w:p>
  </w:footnote>
  <w:footnote w:type="continuationSeparator" w:id="0">
    <w:p w14:paraId="4E421E90" w14:textId="77777777" w:rsidR="0058349A" w:rsidRDefault="0058349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FE51A" w14:textId="77777777" w:rsidR="00296529" w:rsidRPr="00296529" w:rsidRDefault="00296529" w:rsidP="00296529">
    <w:pPr>
      <w:ind w:left="2160"/>
      <w:jc w:val="center"/>
      <w:rPr>
        <w:rFonts w:ascii="Times New Roman" w:eastAsia="Calibri" w:hAnsi="Times New Roman"/>
        <w:i/>
        <w:sz w:val="18"/>
        <w:szCs w:val="22"/>
      </w:rPr>
    </w:pPr>
  </w:p>
  <w:p w14:paraId="61A4C3A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F1BF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43945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9F3C2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D4716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0E405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2F571A"/>
    <w:multiLevelType w:val="hybridMultilevel"/>
    <w:tmpl w:val="1510562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34331E9"/>
    <w:multiLevelType w:val="multilevel"/>
    <w:tmpl w:val="F2AEC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2424"/>
    <w:rsid w:val="0004579C"/>
    <w:rsid w:val="00065EA9"/>
    <w:rsid w:val="000A47FA"/>
    <w:rsid w:val="000A65D3"/>
    <w:rsid w:val="000B1E33"/>
    <w:rsid w:val="000D689F"/>
    <w:rsid w:val="000E7B7B"/>
    <w:rsid w:val="000E7D62"/>
    <w:rsid w:val="000F2183"/>
    <w:rsid w:val="00103357"/>
    <w:rsid w:val="00123C9F"/>
    <w:rsid w:val="00126190"/>
    <w:rsid w:val="00130F17"/>
    <w:rsid w:val="001320BF"/>
    <w:rsid w:val="00142A02"/>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28D4"/>
    <w:rsid w:val="003A43A4"/>
    <w:rsid w:val="003A7E18"/>
    <w:rsid w:val="003C4C86"/>
    <w:rsid w:val="003C6258"/>
    <w:rsid w:val="003E2904"/>
    <w:rsid w:val="00401927"/>
    <w:rsid w:val="00404295"/>
    <w:rsid w:val="0041027F"/>
    <w:rsid w:val="00412475"/>
    <w:rsid w:val="00423789"/>
    <w:rsid w:val="00440F43"/>
    <w:rsid w:val="00441B6F"/>
    <w:rsid w:val="00446221"/>
    <w:rsid w:val="00450E62"/>
    <w:rsid w:val="004539DB"/>
    <w:rsid w:val="00471A80"/>
    <w:rsid w:val="004C6C2D"/>
    <w:rsid w:val="004D305E"/>
    <w:rsid w:val="004D4277"/>
    <w:rsid w:val="004E634A"/>
    <w:rsid w:val="00502516"/>
    <w:rsid w:val="00505F06"/>
    <w:rsid w:val="00506828"/>
    <w:rsid w:val="0053056E"/>
    <w:rsid w:val="00554FDA"/>
    <w:rsid w:val="0058349A"/>
    <w:rsid w:val="00597D85"/>
    <w:rsid w:val="005C784C"/>
    <w:rsid w:val="005D17F6"/>
    <w:rsid w:val="005E5539"/>
    <w:rsid w:val="005F6488"/>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FC7"/>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28B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6436"/>
    <w:rsid w:val="00B92C73"/>
    <w:rsid w:val="00B945CC"/>
    <w:rsid w:val="00B95236"/>
    <w:rsid w:val="00B96BD9"/>
    <w:rsid w:val="00BA1B01"/>
    <w:rsid w:val="00BA2641"/>
    <w:rsid w:val="00BB37AA"/>
    <w:rsid w:val="00BC53A0"/>
    <w:rsid w:val="00BE62AD"/>
    <w:rsid w:val="00BF121F"/>
    <w:rsid w:val="00BF1F80"/>
    <w:rsid w:val="00C166EF"/>
    <w:rsid w:val="00C17EB0"/>
    <w:rsid w:val="00C20791"/>
    <w:rsid w:val="00C27F5F"/>
    <w:rsid w:val="00C30A0F"/>
    <w:rsid w:val="00C37E61"/>
    <w:rsid w:val="00C42B28"/>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07EAE"/>
    <w:rsid w:val="00F17988"/>
    <w:rsid w:val="00F469F0"/>
    <w:rsid w:val="00F53273"/>
    <w:rsid w:val="00F627F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5F33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semiHidden/>
    <w:unhideWhenUsed/>
    <w:rsid w:val="009A28B1"/>
  </w:style>
  <w:style w:type="character" w:customStyle="1" w:styleId="FootnoteTextChar">
    <w:name w:val="Footnote Text Char"/>
    <w:basedOn w:val="DefaultParagraphFont"/>
    <w:link w:val="FootnoteText"/>
    <w:semiHidden/>
    <w:rsid w:val="009A28B1"/>
    <w:rPr>
      <w:rFonts w:ascii="Helvetica" w:hAnsi="Helvetica"/>
    </w:rPr>
  </w:style>
  <w:style w:type="character" w:styleId="FootnoteReference">
    <w:name w:val="footnote reference"/>
    <w:basedOn w:val="DefaultParagraphFont"/>
    <w:semiHidden/>
    <w:unhideWhenUsed/>
    <w:rsid w:val="009A28B1"/>
    <w:rPr>
      <w:vertAlign w:val="superscript"/>
    </w:rPr>
  </w:style>
  <w:style w:type="paragraph" w:styleId="NormalWeb">
    <w:name w:val="Normal (Web)"/>
    <w:basedOn w:val="Normal"/>
    <w:uiPriority w:val="99"/>
    <w:semiHidden/>
    <w:rsid w:val="006B6FC7"/>
    <w:pPr>
      <w:spacing w:before="100" w:beforeAutospacing="1" w:after="100" w:afterAutospacing="1"/>
    </w:pPr>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ambridge.org/core/books/strategic-management/A7111111111111111111111111111111" TargetMode="External"/><Relationship Id="rId18" Type="http://schemas.openxmlformats.org/officeDocument/2006/relationships/hyperlink" Target="https://doi.org/10.19184/jeam.v21i2.3376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0304-405X(84)90023-0" TargetMode="External"/><Relationship Id="rId7" Type="http://schemas.openxmlformats.org/officeDocument/2006/relationships/endnotes" Target="endnotes.xml"/><Relationship Id="rId12" Type="http://schemas.openxmlformats.org/officeDocument/2006/relationships/hyperlink" Target="https://doi.org/10.1016/0304-405X(95)00844-5" TargetMode="External"/><Relationship Id="rId17" Type="http://schemas.openxmlformats.org/officeDocument/2006/relationships/hyperlink" Target="https://www.ojk.go.id/id/kanal/perbankan/Pages/Penerapan-Keuangan-Berkelanjutan-bagi-Lembaga-Jasa-Keuangan,-Emiten,-dan-Perusahaan-Publik.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earson.com/ca/higher-education/product/Scott-Financial-Accounting-Theory-7th-Edition/9780132984669.html" TargetMode="External"/><Relationship Id="rId20" Type="http://schemas.openxmlformats.org/officeDocument/2006/relationships/hyperlink" Target="https://doi.org/10.19184/jauj.v20i1.309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551-010-0476-3" TargetMode="External"/><Relationship Id="rId24" Type="http://schemas.openxmlformats.org/officeDocument/2006/relationships/hyperlink" Target="https://www.jstor.org/stable/3088143" TargetMode="External"/><Relationship Id="rId5" Type="http://schemas.openxmlformats.org/officeDocument/2006/relationships/webSettings" Target="webSettings.xml"/><Relationship Id="rId15" Type="http://schemas.openxmlformats.org/officeDocument/2006/relationships/hyperlink" Target="https://doi.org/10.2307/1882010" TargetMode="External"/><Relationship Id="rId23" Type="http://schemas.openxmlformats.org/officeDocument/2006/relationships/hyperlink" Target="https://doi.org/10.2308/accr.00000005" TargetMode="External"/><Relationship Id="rId10" Type="http://schemas.openxmlformats.org/officeDocument/2006/relationships/hyperlink" Target="https://kpmg.com/crreporting" TargetMode="External"/><Relationship Id="rId19" Type="http://schemas.openxmlformats.org/officeDocument/2006/relationships/hyperlink" Target="https://doi.org/10.19184/jeam.v19i1.1543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5465/AMR.1995.9503271992" TargetMode="External"/><Relationship Id="rId22" Type="http://schemas.openxmlformats.org/officeDocument/2006/relationships/hyperlink" Target="https://doi.org/10.1007/s10551-015-2839-5"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B72FD-10EE-4BE4-9726-D2321C7E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17</Pages>
  <Words>7995</Words>
  <Characters>45576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53465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2025-12-15T11:14:00Z</dcterms:created>
  <dcterms:modified xsi:type="dcterms:W3CDTF">2025-12-16T08:24:00Z</dcterms:modified>
</cp:coreProperties>
</file>