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F8E75" w14:textId="77777777" w:rsidR="007B0C8E" w:rsidRDefault="007B0C8E">
      <w:pPr>
        <w:pStyle w:val="Title"/>
        <w:spacing w:after="0"/>
        <w:jc w:val="both"/>
        <w:rPr>
          <w:rFonts w:ascii="Arial" w:hAnsi="Arial" w:cs="Arial"/>
        </w:rPr>
      </w:pPr>
    </w:p>
    <w:p w14:paraId="4FDF39CD" w14:textId="77777777" w:rsidR="00876B78" w:rsidRPr="00876B78" w:rsidRDefault="00876B78" w:rsidP="00876B78">
      <w:pPr>
        <w:pStyle w:val="Author"/>
        <w:rPr>
          <w:rFonts w:ascii="Arial" w:hAnsi="Arial" w:cs="Arial"/>
          <w:bCs/>
          <w:i/>
          <w:iCs/>
          <w:kern w:val="28"/>
          <w:sz w:val="18"/>
          <w:szCs w:val="18"/>
          <w:u w:val="single"/>
        </w:rPr>
      </w:pPr>
      <w:r w:rsidRPr="00876B78">
        <w:rPr>
          <w:rFonts w:ascii="Arial" w:hAnsi="Arial" w:cs="Arial"/>
          <w:bCs/>
          <w:i/>
          <w:iCs/>
          <w:kern w:val="28"/>
          <w:sz w:val="18"/>
          <w:szCs w:val="18"/>
          <w:u w:val="single"/>
        </w:rPr>
        <w:t xml:space="preserve">Case report </w:t>
      </w:r>
    </w:p>
    <w:p w14:paraId="09ECC7AF" w14:textId="25C7BF6F" w:rsidR="007B0C8E" w:rsidRPr="00420E72" w:rsidRDefault="00AD420E" w:rsidP="00203FA7">
      <w:pPr>
        <w:pStyle w:val="Author"/>
        <w:spacing w:line="240" w:lineRule="auto"/>
        <w:rPr>
          <w:rFonts w:ascii="Arial" w:hAnsi="Arial" w:cs="Arial"/>
          <w:bCs/>
          <w:iCs/>
          <w:kern w:val="28"/>
          <w:sz w:val="36"/>
          <w:lang w:eastAsia="zh-CN"/>
        </w:rPr>
      </w:pPr>
      <w:r w:rsidRPr="00420E72">
        <w:rPr>
          <w:rFonts w:ascii="Arial" w:hAnsi="Arial" w:cs="Arial"/>
          <w:bCs/>
          <w:iCs/>
          <w:kern w:val="28"/>
          <w:sz w:val="36"/>
        </w:rPr>
        <w:t xml:space="preserve">Application of High-Concentration 35 </w:t>
      </w:r>
      <w:proofErr w:type="spellStart"/>
      <w:r w:rsidRPr="00420E72">
        <w:rPr>
          <w:rFonts w:ascii="Arial" w:hAnsi="Arial" w:cs="Arial"/>
          <w:bCs/>
          <w:iCs/>
          <w:kern w:val="28"/>
          <w:sz w:val="36"/>
        </w:rPr>
        <w:t>kDa</w:t>
      </w:r>
      <w:proofErr w:type="spellEnd"/>
      <w:r w:rsidRPr="00420E72">
        <w:rPr>
          <w:rFonts w:ascii="Arial" w:hAnsi="Arial" w:cs="Arial"/>
          <w:bCs/>
          <w:iCs/>
          <w:kern w:val="28"/>
          <w:sz w:val="36"/>
        </w:rPr>
        <w:t xml:space="preserve"> Hyaluronic Acid Fragment Gel in the Treatment of Periodontal Disease and Gingival Recession: A Case Series </w:t>
      </w:r>
    </w:p>
    <w:p w14:paraId="1AE2C879" w14:textId="77777777" w:rsidR="00774536" w:rsidRPr="00420E72" w:rsidRDefault="00774536">
      <w:pPr>
        <w:pStyle w:val="Affiliation"/>
        <w:spacing w:after="0" w:line="240" w:lineRule="auto"/>
        <w:rPr>
          <w:lang w:val="en-IN" w:eastAsia="zh-CN"/>
        </w:rPr>
      </w:pPr>
    </w:p>
    <w:p w14:paraId="371791DA" w14:textId="77777777" w:rsidR="007B0C8E" w:rsidRPr="00420E72" w:rsidRDefault="00B66212">
      <w:pPr>
        <w:pStyle w:val="Copyright"/>
        <w:spacing w:after="0" w:line="240" w:lineRule="auto"/>
        <w:jc w:val="both"/>
        <w:rPr>
          <w:rFonts w:ascii="Arial" w:hAnsi="Arial" w:cs="Arial"/>
        </w:rPr>
        <w:sectPr w:rsidR="007B0C8E" w:rsidRPr="00420E72" w:rsidSect="00E33815">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7319A8A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Pr="00420E72">
        <w:rPr>
          <w:rFonts w:ascii="Arial" w:hAnsi="Arial" w:cs="Arial"/>
        </w:rPr>
        <w:t>.</w:t>
      </w:r>
    </w:p>
    <w:p w14:paraId="1E433C01" w14:textId="77777777" w:rsidR="007B0C8E" w:rsidRPr="00420E72" w:rsidRDefault="00B66212">
      <w:pPr>
        <w:pStyle w:val="AbstHead"/>
        <w:spacing w:afterLines="50" w:after="120"/>
        <w:jc w:val="both"/>
        <w:rPr>
          <w:rFonts w:ascii="Arial" w:hAnsi="Arial" w:cs="Arial"/>
          <w:lang w:eastAsia="zh-CN"/>
        </w:rPr>
      </w:pPr>
      <w:r w:rsidRPr="00420E72">
        <w:rPr>
          <w:rFonts w:ascii="Arial" w:hAnsi="Arial" w:cs="Arial"/>
        </w:rPr>
        <w:t>ABSTRACT</w:t>
      </w:r>
    </w:p>
    <w:tbl>
      <w:tblPr>
        <w:tblW w:w="8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ayout w:type="fixed"/>
        <w:tblLook w:val="04A0" w:firstRow="1" w:lastRow="0" w:firstColumn="1" w:lastColumn="0" w:noHBand="0" w:noVBand="1"/>
      </w:tblPr>
      <w:tblGrid>
        <w:gridCol w:w="8424"/>
      </w:tblGrid>
      <w:tr w:rsidR="007B0C8E" w:rsidRPr="00420E72" w14:paraId="00D37E67" w14:textId="77777777">
        <w:tc>
          <w:tcPr>
            <w:tcW w:w="8424" w:type="dxa"/>
            <w:shd w:val="clear" w:color="auto" w:fill="F2F2F2"/>
          </w:tcPr>
          <w:p w14:paraId="4FC16A58" w14:textId="0E5819B4" w:rsidR="005C023A" w:rsidRPr="00420E72" w:rsidRDefault="005C023A" w:rsidP="005C023A">
            <w:pPr>
              <w:pStyle w:val="Body"/>
              <w:spacing w:after="0"/>
              <w:rPr>
                <w:rFonts w:ascii="Arial" w:eastAsia="Calibri" w:hAnsi="Arial" w:cs="Arial"/>
                <w:szCs w:val="22"/>
              </w:rPr>
            </w:pPr>
            <w:r w:rsidRPr="00420E72">
              <w:rPr>
                <w:rFonts w:ascii="Arial" w:eastAsia="Calibri" w:hAnsi="Arial" w:cs="Arial"/>
                <w:szCs w:val="22"/>
              </w:rPr>
              <w:t xml:space="preserve">Background: </w:t>
            </w:r>
            <w:bookmarkStart w:id="0" w:name="_Hlk218504262"/>
            <w:r w:rsidRPr="00420E72">
              <w:rPr>
                <w:rFonts w:ascii="Arial" w:eastAsia="Calibri" w:hAnsi="Arial" w:cs="Arial"/>
                <w:szCs w:val="22"/>
              </w:rPr>
              <w:t xml:space="preserve">Periodontal disease is a chronic inflammatory condition characterized by gingival redness and bleeding in its early stages, which can progress to gingival recession and tooth mobility in severe cases. </w:t>
            </w:r>
            <w:bookmarkEnd w:id="0"/>
            <w:r w:rsidRPr="00420E72">
              <w:rPr>
                <w:rFonts w:ascii="Arial" w:eastAsia="Calibri" w:hAnsi="Arial" w:cs="Arial"/>
                <w:szCs w:val="22"/>
              </w:rPr>
              <w:t>Increasing evidence suggests that periodontal disease represents a systemic chronic inflammatory disorder often associated with cardiovascular diseases. Therefore, its effective management is crucial for overall health. Hyaluronic acid, an essential component of gingival connective tissue, possesses anti-inflammatory and tissue-repairing properties. Low-molecular-weight HA fragments have been proven effective in reducing inflammation in skin and mucosal applications; however, their role in gingival repair remains unclear.</w:t>
            </w:r>
          </w:p>
          <w:p w14:paraId="4A19854A" w14:textId="77777777" w:rsidR="005C023A" w:rsidRPr="00420E72" w:rsidRDefault="005C023A" w:rsidP="005C023A">
            <w:pPr>
              <w:pStyle w:val="Body"/>
              <w:spacing w:after="0"/>
              <w:rPr>
                <w:rFonts w:ascii="Arial" w:eastAsia="Calibri" w:hAnsi="Arial" w:cs="Arial"/>
                <w:szCs w:val="22"/>
              </w:rPr>
            </w:pPr>
            <w:r w:rsidRPr="00420E72">
              <w:rPr>
                <w:rFonts w:ascii="Arial" w:eastAsia="Calibri" w:hAnsi="Arial" w:cs="Arial"/>
                <w:szCs w:val="22"/>
              </w:rPr>
              <w:t xml:space="preserve">Methods: This case series included four male patients with mild gingival recession and chronic gingival or root pain associated with periodontal disease. All participants applied a 10% high-concentration </w:t>
            </w:r>
            <w:bookmarkStart w:id="1" w:name="_Hlk218504285"/>
            <w:r w:rsidRPr="00420E72">
              <w:rPr>
                <w:rFonts w:ascii="Arial" w:eastAsia="Calibri" w:hAnsi="Arial" w:cs="Arial"/>
                <w:szCs w:val="22"/>
              </w:rPr>
              <w:t xml:space="preserve">35 </w:t>
            </w:r>
            <w:proofErr w:type="spellStart"/>
            <w:r w:rsidRPr="00420E72">
              <w:rPr>
                <w:rFonts w:ascii="Arial" w:eastAsia="Calibri" w:hAnsi="Arial" w:cs="Arial"/>
                <w:szCs w:val="22"/>
              </w:rPr>
              <w:t>kDa</w:t>
            </w:r>
            <w:proofErr w:type="spellEnd"/>
            <w:r w:rsidRPr="00420E72">
              <w:rPr>
                <w:rFonts w:ascii="Arial" w:eastAsia="Calibri" w:hAnsi="Arial" w:cs="Arial"/>
                <w:szCs w:val="22"/>
              </w:rPr>
              <w:t xml:space="preserve"> HA fragment gel twice daily</w:t>
            </w:r>
            <w:bookmarkEnd w:id="1"/>
            <w:r w:rsidRPr="00420E72">
              <w:rPr>
                <w:rFonts w:ascii="Arial" w:eastAsia="Calibri" w:hAnsi="Arial" w:cs="Arial"/>
                <w:szCs w:val="22"/>
              </w:rPr>
              <w:t>—to the teeth and gingiva—over a 42-day treatment period. Gingival growth was measured visually by comparing root exposure length before and after treatment. Standardized pain and discomfort scales were used to assess changes in gingival pain, redness, swelling, itching, and bleeding induced by tooth brushing.</w:t>
            </w:r>
          </w:p>
          <w:p w14:paraId="501B411F" w14:textId="77777777" w:rsidR="005C023A" w:rsidRPr="00420E72" w:rsidRDefault="005C023A" w:rsidP="005C023A">
            <w:pPr>
              <w:pStyle w:val="Body"/>
              <w:spacing w:after="0"/>
              <w:rPr>
                <w:rFonts w:ascii="Arial" w:eastAsia="Calibri" w:hAnsi="Arial" w:cs="Arial"/>
                <w:szCs w:val="22"/>
              </w:rPr>
            </w:pPr>
            <w:r w:rsidRPr="00420E72">
              <w:rPr>
                <w:rFonts w:ascii="Arial" w:eastAsia="Calibri" w:hAnsi="Arial" w:cs="Arial"/>
                <w:szCs w:val="22"/>
              </w:rPr>
              <w:t xml:space="preserve">Results: After 42 days of treatment, the average gingival regrowth was 1.2 mm, with the exposed dark root surface decreasing from 1.4 ± 0.2 mm to 0.2 ± 0.1 mm. The average chronic gingival or root pain score dropped from 2.4 to 0. Gingival itching and discomfort </w:t>
            </w:r>
            <w:bookmarkStart w:id="2" w:name="_Hlk218504303"/>
            <w:r w:rsidRPr="00420E72">
              <w:rPr>
                <w:rFonts w:ascii="Arial" w:eastAsia="Calibri" w:hAnsi="Arial" w:cs="Arial"/>
                <w:szCs w:val="22"/>
              </w:rPr>
              <w:t>disappeared within 30 seconds of application, redness and swelling improved markedly within 4 days, and brushing-induced bleeding stopped within 2 days. All patients demonstrated excellent compliance, and no adverse reactions were observed</w:t>
            </w:r>
            <w:bookmarkEnd w:id="2"/>
            <w:r w:rsidRPr="00420E72">
              <w:rPr>
                <w:rFonts w:ascii="Arial" w:eastAsia="Calibri" w:hAnsi="Arial" w:cs="Arial"/>
                <w:szCs w:val="22"/>
              </w:rPr>
              <w:t>.</w:t>
            </w:r>
          </w:p>
          <w:p w14:paraId="1461A3BE" w14:textId="381D45C4" w:rsidR="007B0C8E" w:rsidRPr="00420E72" w:rsidRDefault="005C023A" w:rsidP="005C023A">
            <w:pPr>
              <w:pStyle w:val="Body"/>
              <w:spacing w:after="0"/>
              <w:rPr>
                <w:rFonts w:ascii="Arial" w:hAnsi="Arial" w:cs="Arial"/>
                <w:szCs w:val="22"/>
                <w:lang w:eastAsia="zh-CN"/>
              </w:rPr>
            </w:pPr>
            <w:r w:rsidRPr="00420E72">
              <w:rPr>
                <w:rFonts w:ascii="Arial" w:eastAsia="Calibri" w:hAnsi="Arial" w:cs="Arial"/>
                <w:szCs w:val="22"/>
              </w:rPr>
              <w:t xml:space="preserve">Conclusion: Topical application of a 10% high-concentration 35 </w:t>
            </w:r>
            <w:proofErr w:type="spellStart"/>
            <w:r w:rsidRPr="00420E72">
              <w:rPr>
                <w:rFonts w:ascii="Arial" w:eastAsia="Calibri" w:hAnsi="Arial" w:cs="Arial"/>
                <w:szCs w:val="22"/>
              </w:rPr>
              <w:t>kDa</w:t>
            </w:r>
            <w:proofErr w:type="spellEnd"/>
            <w:r w:rsidRPr="00420E72">
              <w:rPr>
                <w:rFonts w:ascii="Arial" w:eastAsia="Calibri" w:hAnsi="Arial" w:cs="Arial"/>
                <w:szCs w:val="22"/>
              </w:rPr>
              <w:t xml:space="preserve"> HA fragment gel significantly improved gingival recession and inflammatory symptoms, demonstrating rapid onset and excellent safety. This formulation shows promising potential for periodontal-related gingival repair and home oral care, warranting further clinical investigation.</w:t>
            </w:r>
          </w:p>
        </w:tc>
      </w:tr>
    </w:tbl>
    <w:p w14:paraId="4CA4E8BE" w14:textId="77777777" w:rsidR="007B0C8E" w:rsidRPr="00420E72" w:rsidRDefault="007B0C8E">
      <w:pPr>
        <w:pStyle w:val="Body"/>
        <w:spacing w:after="0"/>
        <w:rPr>
          <w:rFonts w:ascii="Arial" w:hAnsi="Arial" w:cs="Arial"/>
          <w:i/>
        </w:rPr>
      </w:pPr>
    </w:p>
    <w:p w14:paraId="6D81AB1F" w14:textId="369798EB" w:rsidR="007B0C8E" w:rsidRPr="00420E72" w:rsidRDefault="00B66212">
      <w:pPr>
        <w:pStyle w:val="Body"/>
        <w:spacing w:after="0"/>
        <w:rPr>
          <w:rFonts w:ascii="Arial" w:hAnsi="Arial" w:cs="Arial"/>
          <w:i/>
          <w:lang w:eastAsia="zh-CN"/>
        </w:rPr>
      </w:pPr>
      <w:r w:rsidRPr="00420E72">
        <w:rPr>
          <w:rFonts w:ascii="Arial" w:hAnsi="Arial" w:cs="Arial"/>
          <w:i/>
        </w:rPr>
        <w:t>Keywords:</w:t>
      </w:r>
      <w:r w:rsidRPr="00420E72">
        <w:t xml:space="preserve"> </w:t>
      </w:r>
      <w:r w:rsidR="00203FA7" w:rsidRPr="00420E72">
        <w:t>Hyaluronic acid fragments</w:t>
      </w:r>
      <w:r w:rsidRPr="00420E72">
        <w:rPr>
          <w:rFonts w:hint="eastAsia"/>
        </w:rPr>
        <w:t>,</w:t>
      </w:r>
      <w:r w:rsidRPr="00420E72">
        <w:t xml:space="preserve"> </w:t>
      </w:r>
      <w:r w:rsidR="00203FA7" w:rsidRPr="00420E72">
        <w:t xml:space="preserve">35 </w:t>
      </w:r>
      <w:proofErr w:type="spellStart"/>
      <w:r w:rsidR="00203FA7" w:rsidRPr="00420E72">
        <w:t>kDa</w:t>
      </w:r>
      <w:proofErr w:type="spellEnd"/>
      <w:r w:rsidR="00203FA7" w:rsidRPr="00420E72">
        <w:t xml:space="preserve"> hyaluronan</w:t>
      </w:r>
      <w:r w:rsidR="00203FA7" w:rsidRPr="00420E72">
        <w:rPr>
          <w:rFonts w:hint="eastAsia"/>
          <w:lang w:eastAsia="zh-CN"/>
        </w:rPr>
        <w:t>,</w:t>
      </w:r>
      <w:r w:rsidR="00203FA7" w:rsidRPr="00420E72">
        <w:t xml:space="preserve"> </w:t>
      </w:r>
      <w:r w:rsidR="00203FA7" w:rsidRPr="00420E72">
        <w:rPr>
          <w:lang w:eastAsia="zh-CN"/>
        </w:rPr>
        <w:t>Gingival recession</w:t>
      </w:r>
      <w:r w:rsidR="00203FA7" w:rsidRPr="00420E72">
        <w:rPr>
          <w:rFonts w:hint="eastAsia"/>
          <w:lang w:eastAsia="zh-CN"/>
        </w:rPr>
        <w:t>,</w:t>
      </w:r>
      <w:r w:rsidR="00203FA7" w:rsidRPr="00420E72">
        <w:t xml:space="preserve"> </w:t>
      </w:r>
      <w:r w:rsidR="00203FA7" w:rsidRPr="00420E72">
        <w:rPr>
          <w:lang w:eastAsia="zh-CN"/>
        </w:rPr>
        <w:t>Periodontal disease</w:t>
      </w:r>
      <w:r w:rsidR="00203FA7" w:rsidRPr="00420E72">
        <w:rPr>
          <w:rFonts w:hint="eastAsia"/>
          <w:lang w:eastAsia="zh-CN"/>
        </w:rPr>
        <w:t>,</w:t>
      </w:r>
      <w:r w:rsidR="00203FA7" w:rsidRPr="00420E72">
        <w:t xml:space="preserve"> </w:t>
      </w:r>
      <w:r w:rsidR="00203FA7" w:rsidRPr="00420E72">
        <w:rPr>
          <w:lang w:eastAsia="zh-CN"/>
        </w:rPr>
        <w:t>Case series</w:t>
      </w:r>
    </w:p>
    <w:p w14:paraId="228EB15C" w14:textId="77777777" w:rsidR="007B0C8E" w:rsidRPr="00420E72" w:rsidRDefault="007B0C8E">
      <w:pPr>
        <w:pStyle w:val="Body"/>
        <w:spacing w:after="0"/>
        <w:rPr>
          <w:rFonts w:ascii="Arial" w:hAnsi="Arial" w:cs="Arial"/>
          <w:i/>
          <w:sz w:val="18"/>
        </w:rPr>
      </w:pPr>
    </w:p>
    <w:p w14:paraId="5736DBE1" w14:textId="77777777" w:rsidR="007B0C8E" w:rsidRPr="00420E72" w:rsidRDefault="007B0C8E">
      <w:pPr>
        <w:pStyle w:val="Body"/>
        <w:spacing w:after="0"/>
        <w:rPr>
          <w:rFonts w:ascii="Arial" w:hAnsi="Arial" w:cs="Arial"/>
          <w:i/>
        </w:rPr>
      </w:pPr>
    </w:p>
    <w:p w14:paraId="6E9E2F30" w14:textId="77777777" w:rsidR="007B0C8E" w:rsidRPr="00420E72" w:rsidRDefault="00B66212">
      <w:pPr>
        <w:pStyle w:val="AbstHead"/>
        <w:spacing w:afterLines="50" w:after="120"/>
        <w:jc w:val="both"/>
        <w:rPr>
          <w:rFonts w:ascii="Arial" w:hAnsi="Arial" w:cs="Arial"/>
          <w:lang w:eastAsia="zh-CN"/>
        </w:rPr>
      </w:pPr>
      <w:r w:rsidRPr="00420E72">
        <w:rPr>
          <w:rFonts w:ascii="Arial" w:hAnsi="Arial" w:cs="Arial"/>
        </w:rPr>
        <w:lastRenderedPageBreak/>
        <w:t xml:space="preserve">1. </w:t>
      </w:r>
      <w:r w:rsidRPr="00420E72">
        <w:rPr>
          <w:rFonts w:ascii="Arial" w:hAnsi="Arial" w:cs="Arial"/>
        </w:rPr>
        <w:t>INTRODUCTION</w:t>
      </w:r>
    </w:p>
    <w:p w14:paraId="57EF87F9" w14:textId="77777777" w:rsidR="005C023A" w:rsidRPr="00420E72" w:rsidRDefault="005C023A" w:rsidP="00876A4E">
      <w:pPr>
        <w:pStyle w:val="Body"/>
        <w:spacing w:afterLines="50" w:after="120"/>
      </w:pPr>
      <w:r w:rsidRPr="00420E72">
        <w:t>Periodontal disease is characterized by chronic inflammation of the periodontal tissues. In its early stages, it typically manifests as gingival redness, swelling, bleeding, and pain. As the disease progresses, gingival recession, root exposure, tooth mobility, and even tooth loss may occur. Gingival tissue, an essential component of the periodontal supporting structure, consists of epithelium, lamina propria, and abundant connective tissue. It plays a crucial role in maintaining the periodontal barrier, preventing bacterial invasion, and ensuring tooth stability (1,2).</w:t>
      </w:r>
    </w:p>
    <w:p w14:paraId="1B4043D6" w14:textId="77777777" w:rsidR="005C023A" w:rsidRPr="00420E72" w:rsidRDefault="005C023A" w:rsidP="005C023A">
      <w:pPr>
        <w:pStyle w:val="Body"/>
        <w:spacing w:afterLines="50" w:after="120"/>
        <w:ind w:firstLineChars="200" w:firstLine="400"/>
      </w:pPr>
      <w:r w:rsidRPr="00420E72">
        <w:t>Gingival health depends on adequate local blood circulation, balanced matrix metabolism, and epithelial integrity. Under persistent inflammatory stimulation, inflammatory mediators such as interleukin-1β and tumor necrosis factor-α, together with matrix metalloproteinases, continuously degrade collagen and the extracellular matrix, leading to tissue disintegration, attachment loss, and ultimately gingival recession (3). Furthermore, decreased gingival barrier function has been shown to correlate closely with local pain, itching, and redness—symptoms that are particularly prominent in the early stages of periodontal disease. As gingival inflammation becomes more widespread, periodontitis is increasingly recognized as a chronic systemic inflammatory disease, often associated with cardiovascular and cerebrovascular comorbidities (4). Therefore, effective treatment of gingival inflammation is essential for overall health maintenance.</w:t>
      </w:r>
    </w:p>
    <w:p w14:paraId="0B771D32" w14:textId="77777777" w:rsidR="005C023A" w:rsidRPr="00420E72" w:rsidRDefault="005C023A" w:rsidP="005C023A">
      <w:pPr>
        <w:pStyle w:val="Body"/>
        <w:spacing w:afterLines="50" w:after="120"/>
        <w:ind w:firstLineChars="200" w:firstLine="400"/>
      </w:pPr>
      <w:r w:rsidRPr="00420E72">
        <w:t xml:space="preserve">Hyaluronic acid (HA) is an important component of the gingival connective tissue and extracellular matrix, contributing to hydration, cellular migration, and tissue repair (5). 35 </w:t>
      </w:r>
      <w:proofErr w:type="spellStart"/>
      <w:proofErr w:type="gramStart"/>
      <w:r w:rsidRPr="00420E72">
        <w:t>kDa</w:t>
      </w:r>
      <w:proofErr w:type="spellEnd"/>
      <w:r w:rsidRPr="00420E72">
        <w:t xml:space="preserve">  Low</w:t>
      </w:r>
      <w:proofErr w:type="gramEnd"/>
      <w:r w:rsidRPr="00420E72">
        <w:t>-molecular-weight HA fragment (HA35) have been shown to modulate inflammatory responses and promote tissue repair. Clinical studies have demonstrated that a 10% high-concentration HA35 gel, when applied topically to the skin, can significantly alleviate pain, itching, and redness, while also accelerating wound healing (International Patent Application No. PCT/2025/01344377) (6–8). The proposed mechanisms involve interaction with TRPV1/A1 calcium ion channels and the lymphatic endothelial receptor LYVE-1, leading to inhibition of Ca²</w:t>
      </w:r>
      <w:r w:rsidRPr="00420E72">
        <w:rPr>
          <w:rFonts w:ascii="Cambria Math" w:hAnsi="Cambria Math" w:cs="Cambria Math"/>
        </w:rPr>
        <w:t>⁺</w:t>
      </w:r>
      <w:r w:rsidRPr="00420E72">
        <w:t xml:space="preserve"> influx and promotion of lymphatic circulation, thereby reducing local inflammation and pain activation (9-13).</w:t>
      </w:r>
    </w:p>
    <w:p w14:paraId="45D2EA5F" w14:textId="7235A8E8" w:rsidR="007B0C8E" w:rsidRPr="00420E72" w:rsidRDefault="005C023A" w:rsidP="005C023A">
      <w:pPr>
        <w:pStyle w:val="Body"/>
        <w:spacing w:afterLines="50" w:after="120"/>
        <w:ind w:firstLineChars="200" w:firstLine="400"/>
        <w:rPr>
          <w:rFonts w:ascii="Arial" w:hAnsi="Arial" w:cs="Arial"/>
        </w:rPr>
      </w:pPr>
      <w:r w:rsidRPr="00420E72">
        <w:t>Based on these findings, we hypothesized that topical application of this HA fragment gel to gingival tissue may improve inflammatory status, promote gingival regeneration in areas of recession, and relieve pain and swelling through similar mechanisms. This study represents the first clinical exploration of the efficacy and safety of a 10% high-concentration HA35 gel in patients with mild gingival recession and chronic gingival or root pain associated with periodontal disease.</w:t>
      </w:r>
    </w:p>
    <w:p w14:paraId="477614FB" w14:textId="568FA12A" w:rsidR="007B0C8E" w:rsidRPr="00420E72" w:rsidRDefault="00B66212">
      <w:pPr>
        <w:pStyle w:val="AbstHead"/>
        <w:spacing w:beforeLines="50" w:before="120" w:afterLines="50" w:after="120"/>
        <w:jc w:val="both"/>
        <w:rPr>
          <w:rFonts w:ascii="Arial" w:hAnsi="Arial" w:cs="Arial"/>
          <w:lang w:eastAsia="zh-CN"/>
        </w:rPr>
      </w:pPr>
      <w:r w:rsidRPr="00420E72">
        <w:rPr>
          <w:rFonts w:ascii="Arial" w:hAnsi="Arial" w:cs="Arial"/>
        </w:rPr>
        <w:t xml:space="preserve">2. </w:t>
      </w:r>
      <w:r w:rsidRPr="00420E72">
        <w:rPr>
          <w:rFonts w:ascii="Arial" w:hAnsi="Arial" w:cs="Arial"/>
          <w:bCs/>
        </w:rPr>
        <w:t xml:space="preserve">Case </w:t>
      </w:r>
      <w:r w:rsidRPr="00420E72">
        <w:rPr>
          <w:rFonts w:ascii="Arial" w:hAnsi="Arial" w:cs="Arial" w:hint="eastAsia"/>
          <w:bCs/>
          <w:lang w:eastAsia="zh-CN"/>
        </w:rPr>
        <w:t>REPORTS</w:t>
      </w:r>
      <w:r w:rsidR="006973D6" w:rsidRPr="00420E72">
        <w:rPr>
          <w:rFonts w:ascii="Arial" w:hAnsi="Arial" w:cs="Arial" w:hint="eastAsia"/>
          <w:bCs/>
          <w:lang w:eastAsia="zh-CN"/>
        </w:rPr>
        <w:t xml:space="preserve"> and Methods</w:t>
      </w:r>
    </w:p>
    <w:p w14:paraId="180FAC31" w14:textId="54FF4936" w:rsidR="007B0C8E" w:rsidRPr="00420E72" w:rsidRDefault="00B66212">
      <w:pPr>
        <w:pStyle w:val="Body"/>
        <w:spacing w:afterLines="50" w:after="120"/>
        <w:rPr>
          <w:rFonts w:ascii="Arial" w:hAnsi="Arial" w:cs="Arial"/>
        </w:rPr>
      </w:pPr>
      <w:r w:rsidRPr="00420E72">
        <w:rPr>
          <w:rFonts w:ascii="Arial" w:hAnsi="Arial" w:cs="Arial"/>
          <w:b/>
          <w:bCs/>
          <w:sz w:val="22"/>
        </w:rPr>
        <w:t>2.1</w:t>
      </w:r>
      <w:r w:rsidRPr="00420E72">
        <w:rPr>
          <w:rFonts w:ascii="Arial" w:hAnsi="Arial" w:cs="Arial" w:hint="eastAsia"/>
          <w:b/>
          <w:bCs/>
          <w:sz w:val="22"/>
          <w:lang w:eastAsia="zh-CN"/>
        </w:rPr>
        <w:t xml:space="preserve"> </w:t>
      </w:r>
      <w:r w:rsidR="005C023A" w:rsidRPr="00420E72">
        <w:rPr>
          <w:rFonts w:ascii="Arial" w:hAnsi="Arial" w:cs="Arial"/>
          <w:b/>
          <w:bCs/>
          <w:sz w:val="22"/>
        </w:rPr>
        <w:t>Study Participants</w:t>
      </w:r>
    </w:p>
    <w:p w14:paraId="6A16898A" w14:textId="77777777" w:rsidR="005C023A" w:rsidRPr="00420E72" w:rsidRDefault="005C023A" w:rsidP="005C023A">
      <w:pPr>
        <w:pStyle w:val="Body"/>
        <w:spacing w:after="0"/>
        <w:rPr>
          <w:rFonts w:ascii="Arial" w:hAnsi="Arial" w:cs="Arial"/>
        </w:rPr>
      </w:pPr>
      <w:r w:rsidRPr="00420E72">
        <w:rPr>
          <w:rFonts w:ascii="Arial" w:hAnsi="Arial" w:cs="Arial"/>
        </w:rPr>
        <w:t xml:space="preserve">Four male patients aged 66, 64, 57, and 54 years were enrolled in this case series. All patients presented to </w:t>
      </w:r>
      <w:proofErr w:type="spellStart"/>
      <w:r w:rsidRPr="00420E72">
        <w:rPr>
          <w:rFonts w:ascii="Arial" w:hAnsi="Arial" w:cs="Arial"/>
        </w:rPr>
        <w:t>Yihai</w:t>
      </w:r>
      <w:proofErr w:type="spellEnd"/>
      <w:r w:rsidRPr="00420E72">
        <w:rPr>
          <w:rFonts w:ascii="Arial" w:hAnsi="Arial" w:cs="Arial"/>
        </w:rPr>
        <w:t xml:space="preserve"> Dental Hospital (Qingdao, China) with a history of periodontal disease accompanied by mild gingival recession and chronic gingival or root pain.</w:t>
      </w:r>
    </w:p>
    <w:p w14:paraId="3445EC3C" w14:textId="6F551A97" w:rsidR="007B0C8E" w:rsidRPr="00420E72" w:rsidRDefault="005C023A" w:rsidP="00F44FAF">
      <w:pPr>
        <w:pStyle w:val="Body"/>
        <w:spacing w:after="0"/>
        <w:ind w:firstLineChars="200" w:firstLine="400"/>
        <w:rPr>
          <w:rFonts w:ascii="Arial" w:hAnsi="Arial" w:cs="Arial"/>
        </w:rPr>
      </w:pPr>
      <w:r w:rsidRPr="00420E72">
        <w:rPr>
          <w:rFonts w:ascii="Arial" w:hAnsi="Arial" w:cs="Arial"/>
        </w:rPr>
        <w:t xml:space="preserve">The first patient, a 66-year-old man, had a six-year history of periodontal disease characterized by partial root exposure due to gingival recession, chronic gingival or root pain localized to the left maxillary lateral incisor, gingival redness and swelling, and bleeding induced by tooth brushing, though no tooth mobility was observed. The remaining three patients—aged 64, 57, and 54 years—had a four-year history of periodontal disease with similar symptoms, </w:t>
      </w:r>
      <w:r w:rsidRPr="00420E72">
        <w:rPr>
          <w:rFonts w:ascii="Arial" w:hAnsi="Arial" w:cs="Arial"/>
        </w:rPr>
        <w:lastRenderedPageBreak/>
        <w:t>including partial root exposure, localized chronic gingival or root pain (primarily near the right maxillary canine), gingival redness, and brushing-induced bleeding, but without tooth mobility.</w:t>
      </w:r>
    </w:p>
    <w:p w14:paraId="5640C228" w14:textId="7762E33A" w:rsidR="007B0C8E" w:rsidRPr="00420E72" w:rsidRDefault="00B66212" w:rsidP="00F44FAF">
      <w:pPr>
        <w:jc w:val="both"/>
        <w:rPr>
          <w:rFonts w:ascii="Calibri" w:hAnsi="Calibri" w:cs="Calibri"/>
          <w:b/>
          <w:bCs/>
          <w:sz w:val="24"/>
          <w:szCs w:val="24"/>
        </w:rPr>
      </w:pPr>
      <w:r w:rsidRPr="00420E72">
        <w:rPr>
          <w:rFonts w:ascii="Calibri" w:hAnsi="Calibri" w:cs="Calibri"/>
          <w:b/>
          <w:bCs/>
          <w:sz w:val="24"/>
          <w:szCs w:val="24"/>
        </w:rPr>
        <w:t>2.</w:t>
      </w:r>
      <w:r w:rsidR="005C023A" w:rsidRPr="00420E72">
        <w:rPr>
          <w:rFonts w:ascii="Calibri" w:hAnsi="Calibri" w:cs="Calibri" w:hint="eastAsia"/>
          <w:b/>
          <w:bCs/>
          <w:sz w:val="24"/>
          <w:szCs w:val="24"/>
          <w:lang w:eastAsia="zh-CN"/>
        </w:rPr>
        <w:t>2</w:t>
      </w:r>
      <w:r w:rsidRPr="00420E72">
        <w:rPr>
          <w:rFonts w:ascii="Calibri" w:hAnsi="Calibri" w:cs="Calibri"/>
          <w:b/>
          <w:bCs/>
          <w:sz w:val="24"/>
          <w:szCs w:val="24"/>
        </w:rPr>
        <w:t xml:space="preserve"> </w:t>
      </w:r>
      <w:r w:rsidR="005C023A" w:rsidRPr="00420E72">
        <w:rPr>
          <w:rFonts w:ascii="Calibri" w:hAnsi="Calibri" w:cs="Calibri"/>
          <w:b/>
          <w:bCs/>
          <w:sz w:val="24"/>
          <w:szCs w:val="24"/>
        </w:rPr>
        <w:t>Treatment Protocol</w:t>
      </w:r>
    </w:p>
    <w:p w14:paraId="071AE9E4" w14:textId="7C6AB58D" w:rsidR="007B0C8E" w:rsidRPr="00420E72" w:rsidRDefault="005C023A" w:rsidP="00F44FAF">
      <w:pPr>
        <w:spacing w:afterLines="50" w:after="120"/>
        <w:jc w:val="both"/>
        <w:rPr>
          <w:rFonts w:ascii="Arial" w:hAnsi="Arial" w:cs="Arial"/>
        </w:rPr>
      </w:pPr>
      <w:r w:rsidRPr="00420E72">
        <w:rPr>
          <w:rFonts w:ascii="Arial" w:hAnsi="Arial" w:cs="Arial" w:hint="eastAsia"/>
        </w:rPr>
        <w:t xml:space="preserve">All patients received 10% high-concentration HA35 gel (HA Brushing </w:t>
      </w:r>
      <w:proofErr w:type="spellStart"/>
      <w:r w:rsidRPr="00420E72">
        <w:rPr>
          <w:rFonts w:ascii="Arial" w:hAnsi="Arial" w:cs="Arial" w:hint="eastAsia"/>
        </w:rPr>
        <w:t>Gel</w:t>
      </w:r>
      <w:r w:rsidRPr="00420E72">
        <w:rPr>
          <w:rFonts w:ascii="Arial" w:hAnsi="Arial" w:cs="Arial" w:hint="eastAsia"/>
        </w:rPr>
        <w:t>，</w:t>
      </w:r>
      <w:r w:rsidRPr="00420E72">
        <w:rPr>
          <w:rFonts w:ascii="Arial" w:hAnsi="Arial" w:cs="Arial" w:hint="eastAsia"/>
        </w:rPr>
        <w:t>product</w:t>
      </w:r>
      <w:proofErr w:type="spellEnd"/>
      <w:r w:rsidRPr="00420E72">
        <w:rPr>
          <w:rFonts w:ascii="Arial" w:hAnsi="Arial" w:cs="Arial" w:hint="eastAsia"/>
        </w:rPr>
        <w:t xml:space="preserve"> code: Q/0285HND044) as part of their treatment. Previous safety evaluations have demonstrated that HA35 at this concentration are well tolerated and safe for use in he</w:t>
      </w:r>
      <w:r w:rsidRPr="00420E72">
        <w:rPr>
          <w:rFonts w:ascii="Arial" w:hAnsi="Arial" w:cs="Arial"/>
        </w:rPr>
        <w:t>althy adults (</w:t>
      </w:r>
      <w:r w:rsidR="004278AD" w:rsidRPr="00420E72">
        <w:rPr>
          <w:rFonts w:ascii="Arial" w:hAnsi="Arial" w:cs="Arial" w:hint="eastAsia"/>
          <w:lang w:eastAsia="zh-CN"/>
        </w:rPr>
        <w:t>7,8</w:t>
      </w:r>
      <w:r w:rsidRPr="00420E72">
        <w:rPr>
          <w:rFonts w:ascii="Arial" w:hAnsi="Arial" w:cs="Arial"/>
        </w:rPr>
        <w:t>). Patients were instructed to apply the gel twice daily, in the morning and evening, for a total duration of 42 consecutive days. The administration procedure followed a standardized protocol: patients first brushed their teeth using an electric toothbrush for routine cleaning, then applied the 10% HA35 gel by gently brushing it over the gingiva, teeth, and gingival margin for approximately three minutes.</w:t>
      </w:r>
    </w:p>
    <w:p w14:paraId="2E8B7153" w14:textId="3CB8A5DF" w:rsidR="007B0C8E" w:rsidRPr="00420E72" w:rsidRDefault="00B66212" w:rsidP="00F44FAF">
      <w:pPr>
        <w:jc w:val="both"/>
        <w:rPr>
          <w:rFonts w:ascii="Calibri" w:hAnsi="Calibri" w:cs="Calibri"/>
          <w:b/>
          <w:bCs/>
          <w:sz w:val="24"/>
          <w:szCs w:val="24"/>
        </w:rPr>
      </w:pPr>
      <w:r w:rsidRPr="00420E72">
        <w:rPr>
          <w:rFonts w:ascii="Calibri" w:hAnsi="Calibri" w:cs="Calibri"/>
          <w:b/>
          <w:bCs/>
          <w:sz w:val="24"/>
          <w:szCs w:val="24"/>
        </w:rPr>
        <w:t>2.</w:t>
      </w:r>
      <w:r w:rsidR="005C023A" w:rsidRPr="00420E72">
        <w:rPr>
          <w:rFonts w:ascii="Calibri" w:hAnsi="Calibri" w:cs="Calibri" w:hint="eastAsia"/>
          <w:b/>
          <w:bCs/>
          <w:sz w:val="24"/>
          <w:szCs w:val="24"/>
          <w:lang w:eastAsia="zh-CN"/>
        </w:rPr>
        <w:t>3</w:t>
      </w:r>
      <w:r w:rsidRPr="00420E72">
        <w:rPr>
          <w:rFonts w:ascii="Calibri" w:hAnsi="Calibri" w:cs="Calibri"/>
          <w:b/>
          <w:bCs/>
          <w:sz w:val="24"/>
          <w:szCs w:val="24"/>
        </w:rPr>
        <w:t xml:space="preserve"> </w:t>
      </w:r>
      <w:r w:rsidR="005C023A" w:rsidRPr="00420E72">
        <w:rPr>
          <w:rFonts w:ascii="Calibri" w:hAnsi="Calibri" w:cs="Calibri"/>
          <w:b/>
          <w:bCs/>
          <w:sz w:val="24"/>
          <w:szCs w:val="24"/>
        </w:rPr>
        <w:t>Evaluation of Gingival Recession</w:t>
      </w:r>
    </w:p>
    <w:p w14:paraId="7C7DF55A" w14:textId="01650915" w:rsidR="007B0C8E" w:rsidRPr="00420E72" w:rsidRDefault="005C023A" w:rsidP="00F44FAF">
      <w:pPr>
        <w:spacing w:afterLines="50" w:after="120"/>
        <w:jc w:val="both"/>
        <w:rPr>
          <w:rFonts w:ascii="Arial" w:hAnsi="Arial" w:cs="Arial"/>
        </w:rPr>
      </w:pPr>
      <w:r w:rsidRPr="00420E72">
        <w:rPr>
          <w:rFonts w:ascii="Arial" w:hAnsi="Arial" w:cs="Arial"/>
        </w:rPr>
        <w:t>The degree of gingival recession was visually assessed using a direct comparison method. Investigators used a 1-mm precision ruler to measure the length of the darkly exposed root surface of the affected tooth or crown before and after treatment. The measurement procedure is shown as a schematic illustration in Figure 1AB. Gingival regrowth was defined as the difference between the pre- and post-treatment exposure lengths. For each patient, three representative teeth (n = 3) were randomly selected for measurement, and the results were expressed as mean ± standard deviation (Mean ± SD).</w:t>
      </w:r>
    </w:p>
    <w:p w14:paraId="5B924DD9" w14:textId="77777777" w:rsidR="005C023A" w:rsidRPr="00420E72" w:rsidRDefault="005C023A" w:rsidP="005C023A">
      <w:pPr>
        <w:jc w:val="center"/>
      </w:pPr>
      <w:r w:rsidRPr="00420E72">
        <w:rPr>
          <w:rFonts w:hint="eastAsia"/>
        </w:rPr>
        <w:t xml:space="preserve">A   </w:t>
      </w:r>
      <w:r w:rsidRPr="00420E72">
        <w:rPr>
          <w:noProof/>
        </w:rPr>
        <w:drawing>
          <wp:inline distT="0" distB="0" distL="114300" distR="114300" wp14:anchorId="1186DC15" wp14:editId="1E51D4D4">
            <wp:extent cx="1465580" cy="814070"/>
            <wp:effectExtent l="0" t="0" r="1270" b="5080"/>
            <wp:docPr id="1" name="图片 1" descr="徽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10;&#10;AI 生成的内容可能不正确。"/>
                    <pic:cNvPicPr>
                      <a:picLocks noChangeAspect="1"/>
                    </pic:cNvPicPr>
                  </pic:nvPicPr>
                  <pic:blipFill>
                    <a:blip r:embed="rId15"/>
                    <a:stretch>
                      <a:fillRect/>
                    </a:stretch>
                  </pic:blipFill>
                  <pic:spPr>
                    <a:xfrm>
                      <a:off x="0" y="0"/>
                      <a:ext cx="1465580" cy="814070"/>
                    </a:xfrm>
                    <a:prstGeom prst="rect">
                      <a:avLst/>
                    </a:prstGeom>
                    <a:noFill/>
                    <a:ln>
                      <a:noFill/>
                    </a:ln>
                  </pic:spPr>
                </pic:pic>
              </a:graphicData>
            </a:graphic>
          </wp:inline>
        </w:drawing>
      </w:r>
      <w:r w:rsidRPr="00420E72">
        <w:rPr>
          <w:rFonts w:hint="eastAsia"/>
        </w:rPr>
        <w:t xml:space="preserve">      B </w:t>
      </w:r>
      <w:r w:rsidRPr="00420E72">
        <w:rPr>
          <w:noProof/>
        </w:rPr>
        <w:drawing>
          <wp:inline distT="0" distB="0" distL="114300" distR="114300" wp14:anchorId="43A4B3F8" wp14:editId="099B6232">
            <wp:extent cx="1457960" cy="814705"/>
            <wp:effectExtent l="0" t="0" r="2540" b="4445"/>
            <wp:docPr id="2" name="图片 2" descr="卡通人物&#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卡通人物&#10;&#10;AI 生成的内容可能不正确。"/>
                    <pic:cNvPicPr>
                      <a:picLocks noChangeAspect="1"/>
                    </pic:cNvPicPr>
                  </pic:nvPicPr>
                  <pic:blipFill>
                    <a:blip r:embed="rId16"/>
                    <a:stretch>
                      <a:fillRect/>
                    </a:stretch>
                  </pic:blipFill>
                  <pic:spPr>
                    <a:xfrm>
                      <a:off x="0" y="0"/>
                      <a:ext cx="1457960" cy="814705"/>
                    </a:xfrm>
                    <a:prstGeom prst="rect">
                      <a:avLst/>
                    </a:prstGeom>
                    <a:noFill/>
                    <a:ln>
                      <a:noFill/>
                    </a:ln>
                  </pic:spPr>
                </pic:pic>
              </a:graphicData>
            </a:graphic>
          </wp:inline>
        </w:drawing>
      </w:r>
    </w:p>
    <w:p w14:paraId="0879C115" w14:textId="2115AD98" w:rsidR="005C023A" w:rsidRPr="00420E72" w:rsidRDefault="005C023A" w:rsidP="00013ED7">
      <w:pPr>
        <w:jc w:val="center"/>
        <w:rPr>
          <w:rFonts w:ascii="Arial" w:hAnsi="Arial" w:cs="Arial"/>
          <w:sz w:val="18"/>
          <w:szCs w:val="18"/>
          <w:lang w:eastAsia="zh-CN"/>
        </w:rPr>
      </w:pPr>
      <w:r w:rsidRPr="00420E72">
        <w:rPr>
          <w:rFonts w:ascii="Arial" w:hAnsi="Arial" w:cs="Arial"/>
          <w:sz w:val="18"/>
          <w:szCs w:val="18"/>
        </w:rPr>
        <w:t>Figure 1A–B</w:t>
      </w:r>
      <w:r w:rsidRPr="00420E72">
        <w:rPr>
          <w:rFonts w:ascii="Arial" w:hAnsi="Arial" w:cs="Arial" w:hint="eastAsia"/>
          <w:sz w:val="18"/>
          <w:szCs w:val="18"/>
        </w:rPr>
        <w:t>.</w:t>
      </w:r>
      <w:r w:rsidRPr="00420E72">
        <w:rPr>
          <w:rFonts w:ascii="Arial" w:hAnsi="Arial" w:cs="Arial"/>
          <w:sz w:val="18"/>
          <w:szCs w:val="18"/>
        </w:rPr>
        <w:t xml:space="preserve"> Schematic Illustration of Gingival Recession and Gingival Regrowth Measurements</w:t>
      </w:r>
      <w:r w:rsidR="00A63469" w:rsidRPr="00420E72">
        <w:rPr>
          <w:rFonts w:ascii="Arial" w:hAnsi="Arial" w:cs="Arial" w:hint="eastAsia"/>
          <w:sz w:val="18"/>
          <w:szCs w:val="18"/>
          <w:lang w:eastAsia="zh-CN"/>
        </w:rPr>
        <w:t>.</w:t>
      </w:r>
    </w:p>
    <w:p w14:paraId="073A8B77" w14:textId="6519CCF1" w:rsidR="007B0C8E" w:rsidRPr="00420E72" w:rsidRDefault="00B66212">
      <w:pPr>
        <w:rPr>
          <w:rFonts w:ascii="Calibri" w:hAnsi="Calibri" w:cs="Calibri"/>
          <w:b/>
          <w:bCs/>
          <w:lang w:eastAsia="zh-CN"/>
        </w:rPr>
      </w:pPr>
      <w:r w:rsidRPr="00420E72">
        <w:rPr>
          <w:rFonts w:ascii="Calibri" w:hAnsi="Calibri" w:cs="Calibri"/>
          <w:b/>
          <w:bCs/>
          <w:sz w:val="24"/>
          <w:szCs w:val="24"/>
        </w:rPr>
        <w:t>2.</w:t>
      </w:r>
      <w:r w:rsidR="00013ED7" w:rsidRPr="00420E72">
        <w:rPr>
          <w:rFonts w:ascii="Calibri" w:hAnsi="Calibri" w:cs="Calibri" w:hint="eastAsia"/>
          <w:b/>
          <w:bCs/>
          <w:sz w:val="24"/>
          <w:szCs w:val="24"/>
          <w:lang w:eastAsia="zh-CN"/>
        </w:rPr>
        <w:t>4</w:t>
      </w:r>
      <w:r w:rsidR="00013ED7" w:rsidRPr="00420E72">
        <w:rPr>
          <w:rFonts w:ascii="Calibri" w:hAnsi="Calibri" w:cs="Calibri"/>
          <w:b/>
          <w:bCs/>
        </w:rPr>
        <w:t xml:space="preserve"> </w:t>
      </w:r>
      <w:r w:rsidR="00013ED7" w:rsidRPr="00420E72">
        <w:rPr>
          <w:rFonts w:ascii="Calibri" w:hAnsi="Calibri" w:cs="Calibri"/>
          <w:b/>
          <w:bCs/>
          <w:sz w:val="24"/>
          <w:szCs w:val="24"/>
        </w:rPr>
        <w:t>Assessment of Gingival Pain, Redness, and Swelling</w:t>
      </w:r>
    </w:p>
    <w:p w14:paraId="4991863A" w14:textId="08B3A817" w:rsidR="007B0C8E" w:rsidRPr="00420E72" w:rsidRDefault="00013ED7" w:rsidP="00F44FAF">
      <w:pPr>
        <w:spacing w:afterLines="50" w:after="120"/>
        <w:jc w:val="both"/>
        <w:rPr>
          <w:rFonts w:ascii="Arial" w:hAnsi="Arial" w:cs="Arial"/>
        </w:rPr>
      </w:pPr>
      <w:r w:rsidRPr="00420E72">
        <w:rPr>
          <w:rFonts w:ascii="Arial" w:hAnsi="Arial" w:cs="Arial"/>
        </w:rPr>
        <w:t>All participants were cognitively capable of self-assessment and used a standardized Numerical Rating Scale (NRS) (13,14) to evaluate subjective symptoms.</w:t>
      </w:r>
      <w:r w:rsidRPr="00420E72">
        <w:rPr>
          <w:rFonts w:ascii="Arial" w:hAnsi="Arial" w:cs="Arial" w:hint="eastAsia"/>
        </w:rPr>
        <w:t xml:space="preserve"> </w:t>
      </w:r>
      <w:r w:rsidRPr="00420E72">
        <w:rPr>
          <w:rFonts w:ascii="Arial" w:hAnsi="Arial" w:cs="Arial"/>
        </w:rPr>
        <w:t>Chronic gingival or root pain was rated both before and after the 42-day treatment period. To assess immediate discomfort (itching or stinging) during initial brushing, patients recorded their sensations 30 seconds before and after the first application (0 = no discomfort, 10 = severe discomfort). Gingival redness and swelling were scored before and four days after treatment (0 = none, 10 = most severe). Gingival bleeding was evaluated qualitatively by recording whether bleeding induced by brushing had ceased two days after treatment compared to baseline.</w:t>
      </w:r>
    </w:p>
    <w:p w14:paraId="6ED72F9E" w14:textId="7A289827" w:rsidR="007B0C8E" w:rsidRPr="00420E72" w:rsidRDefault="00013ED7" w:rsidP="00F44FAF">
      <w:pPr>
        <w:pStyle w:val="Body"/>
        <w:spacing w:afterLines="50" w:after="120"/>
        <w:rPr>
          <w:rFonts w:ascii="Arial" w:hAnsi="Arial" w:cs="Arial"/>
          <w:b/>
          <w:bCs/>
          <w:sz w:val="22"/>
        </w:rPr>
      </w:pPr>
      <w:r w:rsidRPr="00420E72">
        <w:rPr>
          <w:rFonts w:ascii="Arial" w:hAnsi="Arial" w:cs="Arial" w:hint="eastAsia"/>
          <w:b/>
          <w:bCs/>
          <w:sz w:val="22"/>
          <w:lang w:eastAsia="zh-CN"/>
        </w:rPr>
        <w:t>3.</w:t>
      </w:r>
      <w:r w:rsidRPr="00420E72">
        <w:rPr>
          <w:rFonts w:ascii="Arial" w:hAnsi="Arial" w:cs="Arial"/>
          <w:b/>
          <w:bCs/>
          <w:sz w:val="22"/>
        </w:rPr>
        <w:t xml:space="preserve"> Results</w:t>
      </w:r>
    </w:p>
    <w:p w14:paraId="3CBCD5DA" w14:textId="77777777" w:rsidR="005C70F4" w:rsidRPr="00420E72" w:rsidRDefault="005C70F4" w:rsidP="00F44FAF">
      <w:pPr>
        <w:jc w:val="both"/>
        <w:rPr>
          <w:rFonts w:ascii="Arial" w:hAnsi="Arial" w:cs="Arial"/>
          <w:lang w:eastAsia="zh-CN"/>
        </w:rPr>
      </w:pPr>
      <w:r w:rsidRPr="00420E72">
        <w:rPr>
          <w:rFonts w:ascii="Arial" w:hAnsi="Arial" w:cs="Arial"/>
          <w:lang w:eastAsia="zh-CN"/>
        </w:rPr>
        <w:t>After 42 consecutive days of treatment with a 10% high-concentration HA35 fragment gel, all four male patients with mild gingival recession and chronic gingival or root pain demonstrated consistent and marked clinical improvement across structural, inflammatory, sensory, and functional parameters (Table 1). All participants showed excellent treatment compliance, and no adverse events, local irritation, allergic reactions, or secondary infections were observed throughout the intervention period.</w:t>
      </w:r>
    </w:p>
    <w:p w14:paraId="68E9FA62" w14:textId="1ED5D9F9" w:rsidR="005C70F4" w:rsidRPr="00420E72" w:rsidRDefault="005C70F4" w:rsidP="005C70F4">
      <w:pPr>
        <w:jc w:val="center"/>
        <w:rPr>
          <w:rFonts w:ascii="Arial" w:hAnsi="Arial" w:cs="Arial"/>
          <w:b/>
          <w:bCs/>
          <w:sz w:val="18"/>
          <w:szCs w:val="18"/>
          <w:lang w:eastAsia="zh-CN"/>
        </w:rPr>
      </w:pPr>
      <w:r w:rsidRPr="00420E72">
        <w:rPr>
          <w:rFonts w:ascii="Arial" w:hAnsi="Arial" w:cs="Arial"/>
          <w:b/>
          <w:bCs/>
          <w:sz w:val="18"/>
          <w:szCs w:val="18"/>
          <w:lang w:eastAsia="zh-CN"/>
        </w:rPr>
        <w:lastRenderedPageBreak/>
        <w:t>Table 1. Integrated Clinical Outcomes of 10% HA35 Fragment Gel Treatment in Four Patients with Gingival Recession</w:t>
      </w:r>
      <w:r w:rsidR="00675BB5" w:rsidRPr="00420E72">
        <w:rPr>
          <w:rFonts w:ascii="Arial" w:hAnsi="Arial" w:cs="Arial" w:hint="eastAsia"/>
          <w:b/>
          <w:bCs/>
          <w:sz w:val="18"/>
          <w:szCs w:val="18"/>
          <w:lang w:eastAsia="zh-CN"/>
        </w:rPr>
        <w:t xml:space="preserve"> </w:t>
      </w:r>
    </w:p>
    <w:tbl>
      <w:tblPr>
        <w:tblW w:w="10463" w:type="dxa"/>
        <w:jc w:val="center"/>
        <w:tblCellSpacing w:w="15"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605"/>
        <w:gridCol w:w="1793"/>
        <w:gridCol w:w="1313"/>
        <w:gridCol w:w="1188"/>
        <w:gridCol w:w="1188"/>
        <w:gridCol w:w="1188"/>
        <w:gridCol w:w="1188"/>
      </w:tblGrid>
      <w:tr w:rsidR="004E2120" w:rsidRPr="00420E72" w14:paraId="4522F8F6" w14:textId="1207B6FD" w:rsidTr="004E2120">
        <w:trPr>
          <w:tblHeader/>
          <w:tblCellSpacing w:w="15" w:type="dxa"/>
          <w:jc w:val="center"/>
        </w:trPr>
        <w:tc>
          <w:tcPr>
            <w:tcW w:w="2560" w:type="dxa"/>
            <w:tcBorders>
              <w:top w:val="nil"/>
              <w:bottom w:val="single" w:sz="4" w:space="0" w:color="auto"/>
            </w:tcBorders>
            <w:vAlign w:val="center"/>
          </w:tcPr>
          <w:p w14:paraId="0A994B66" w14:textId="1D900573" w:rsidR="004E2120" w:rsidRPr="00420E72" w:rsidRDefault="004E2120" w:rsidP="006A1D3E">
            <w:pPr>
              <w:spacing w:after="0" w:line="240" w:lineRule="auto"/>
              <w:jc w:val="center"/>
              <w:rPr>
                <w:rFonts w:ascii="Arial" w:hAnsi="Arial" w:cs="Arial"/>
                <w:b/>
                <w:bCs/>
                <w:sz w:val="18"/>
                <w:szCs w:val="18"/>
              </w:rPr>
            </w:pPr>
            <w:r w:rsidRPr="00420E72">
              <w:rPr>
                <w:rFonts w:ascii="Arial" w:hAnsi="Arial" w:cs="Arial"/>
                <w:b/>
                <w:bCs/>
                <w:sz w:val="18"/>
                <w:szCs w:val="18"/>
              </w:rPr>
              <w:t>Outcome Measure</w:t>
            </w:r>
          </w:p>
        </w:tc>
        <w:tc>
          <w:tcPr>
            <w:tcW w:w="1763" w:type="dxa"/>
          </w:tcPr>
          <w:p w14:paraId="35EE4B44" w14:textId="4823E002" w:rsidR="004E2120" w:rsidRPr="00420E72" w:rsidRDefault="004E2120" w:rsidP="006A1D3E">
            <w:pPr>
              <w:spacing w:after="0" w:line="240" w:lineRule="auto"/>
              <w:jc w:val="center"/>
              <w:rPr>
                <w:rFonts w:ascii="Arial" w:hAnsi="Arial" w:cs="Arial"/>
                <w:sz w:val="18"/>
                <w:szCs w:val="18"/>
              </w:rPr>
            </w:pPr>
            <w:r w:rsidRPr="00420E72">
              <w:rPr>
                <w:rFonts w:ascii="Arial" w:hAnsi="Arial" w:cs="Arial"/>
                <w:b/>
                <w:bCs/>
                <w:sz w:val="18"/>
                <w:szCs w:val="18"/>
              </w:rPr>
              <w:t>Time Point</w:t>
            </w:r>
          </w:p>
        </w:tc>
        <w:tc>
          <w:tcPr>
            <w:tcW w:w="1283" w:type="dxa"/>
            <w:tcBorders>
              <w:top w:val="nil"/>
              <w:bottom w:val="single" w:sz="4" w:space="0" w:color="auto"/>
            </w:tcBorders>
            <w:vAlign w:val="center"/>
          </w:tcPr>
          <w:p w14:paraId="11CA46EC" w14:textId="77777777" w:rsidR="004E2120" w:rsidRPr="00420E72" w:rsidRDefault="004E2120" w:rsidP="006A1D3E">
            <w:pPr>
              <w:spacing w:after="0" w:line="240" w:lineRule="auto"/>
              <w:jc w:val="center"/>
              <w:rPr>
                <w:rFonts w:ascii="Arial" w:hAnsi="Arial" w:cs="Arial"/>
                <w:b/>
                <w:bCs/>
                <w:sz w:val="18"/>
                <w:szCs w:val="18"/>
              </w:rPr>
            </w:pPr>
            <w:r w:rsidRPr="00420E72">
              <w:rPr>
                <w:rFonts w:ascii="Arial" w:hAnsi="Arial" w:cs="Arial"/>
                <w:b/>
                <w:bCs/>
                <w:sz w:val="18"/>
                <w:szCs w:val="18"/>
              </w:rPr>
              <w:t>Patient 1</w:t>
            </w:r>
          </w:p>
        </w:tc>
        <w:tc>
          <w:tcPr>
            <w:tcW w:w="1158" w:type="dxa"/>
            <w:tcBorders>
              <w:top w:val="nil"/>
              <w:bottom w:val="single" w:sz="4" w:space="0" w:color="auto"/>
            </w:tcBorders>
            <w:vAlign w:val="center"/>
          </w:tcPr>
          <w:p w14:paraId="180F8FB2" w14:textId="77777777" w:rsidR="004E2120" w:rsidRPr="00420E72" w:rsidRDefault="004E2120" w:rsidP="006A1D3E">
            <w:pPr>
              <w:spacing w:after="0" w:line="240" w:lineRule="auto"/>
              <w:jc w:val="center"/>
              <w:rPr>
                <w:rFonts w:ascii="Arial" w:hAnsi="Arial" w:cs="Arial"/>
                <w:b/>
                <w:bCs/>
                <w:sz w:val="18"/>
                <w:szCs w:val="18"/>
              </w:rPr>
            </w:pPr>
            <w:r w:rsidRPr="00420E72">
              <w:rPr>
                <w:rFonts w:ascii="Arial" w:hAnsi="Arial" w:cs="Arial"/>
                <w:b/>
                <w:bCs/>
                <w:sz w:val="18"/>
                <w:szCs w:val="18"/>
              </w:rPr>
              <w:t>Patient 2</w:t>
            </w:r>
          </w:p>
        </w:tc>
        <w:tc>
          <w:tcPr>
            <w:tcW w:w="1158" w:type="dxa"/>
          </w:tcPr>
          <w:p w14:paraId="28086FD7" w14:textId="77777777" w:rsidR="004E2120" w:rsidRPr="00420E72" w:rsidRDefault="004E2120" w:rsidP="006A1D3E">
            <w:pPr>
              <w:spacing w:after="0" w:line="240" w:lineRule="auto"/>
              <w:jc w:val="center"/>
              <w:rPr>
                <w:rFonts w:ascii="Arial" w:hAnsi="Arial" w:cs="Arial"/>
                <w:b/>
                <w:bCs/>
                <w:sz w:val="18"/>
                <w:szCs w:val="18"/>
              </w:rPr>
            </w:pPr>
            <w:r w:rsidRPr="00420E72">
              <w:rPr>
                <w:rFonts w:ascii="Arial" w:hAnsi="Arial" w:cs="Arial"/>
                <w:b/>
                <w:bCs/>
                <w:sz w:val="18"/>
                <w:szCs w:val="18"/>
              </w:rPr>
              <w:t>Patient 3</w:t>
            </w:r>
          </w:p>
        </w:tc>
        <w:tc>
          <w:tcPr>
            <w:tcW w:w="1158" w:type="dxa"/>
          </w:tcPr>
          <w:p w14:paraId="66B74C37" w14:textId="77777777" w:rsidR="004E2120" w:rsidRPr="00420E72" w:rsidRDefault="004E2120" w:rsidP="006A1D3E">
            <w:pPr>
              <w:spacing w:after="0" w:line="240" w:lineRule="auto"/>
              <w:jc w:val="center"/>
              <w:rPr>
                <w:rFonts w:ascii="Arial" w:hAnsi="Arial" w:cs="Arial"/>
                <w:b/>
                <w:bCs/>
                <w:sz w:val="18"/>
                <w:szCs w:val="18"/>
              </w:rPr>
            </w:pPr>
            <w:r w:rsidRPr="00420E72">
              <w:rPr>
                <w:rFonts w:ascii="Arial" w:hAnsi="Arial" w:cs="Arial"/>
                <w:b/>
                <w:bCs/>
                <w:sz w:val="18"/>
                <w:szCs w:val="18"/>
              </w:rPr>
              <w:t>Patient 4</w:t>
            </w:r>
          </w:p>
        </w:tc>
        <w:tc>
          <w:tcPr>
            <w:tcW w:w="1143" w:type="dxa"/>
          </w:tcPr>
          <w:p w14:paraId="4D03C906" w14:textId="2AA2B517" w:rsidR="004E2120" w:rsidRPr="00420E72" w:rsidRDefault="00675BB5" w:rsidP="006A1D3E">
            <w:pPr>
              <w:spacing w:after="0" w:line="240" w:lineRule="auto"/>
              <w:jc w:val="center"/>
              <w:rPr>
                <w:rFonts w:ascii="Arial" w:hAnsi="Arial" w:cs="Arial"/>
                <w:b/>
                <w:bCs/>
                <w:sz w:val="18"/>
                <w:szCs w:val="18"/>
              </w:rPr>
            </w:pPr>
            <w:r w:rsidRPr="00420E72">
              <w:rPr>
                <w:rFonts w:ascii="Arial" w:hAnsi="Arial" w:cs="Arial" w:hint="eastAsia"/>
                <w:b/>
                <w:bCs/>
                <w:sz w:val="18"/>
                <w:szCs w:val="18"/>
              </w:rPr>
              <w:t>Mean</w:t>
            </w:r>
            <w:r w:rsidRPr="00420E72">
              <w:rPr>
                <w:rFonts w:ascii="Arial" w:hAnsi="Arial" w:cs="Arial"/>
                <w:b/>
                <w:bCs/>
                <w:sz w:val="18"/>
                <w:szCs w:val="18"/>
              </w:rPr>
              <w:t>± SD</w:t>
            </w:r>
          </w:p>
        </w:tc>
      </w:tr>
      <w:tr w:rsidR="004E2120" w:rsidRPr="00420E72" w14:paraId="70C89B17" w14:textId="2543BF1A" w:rsidTr="004E2120">
        <w:trPr>
          <w:tblCellSpacing w:w="15" w:type="dxa"/>
          <w:jc w:val="center"/>
        </w:trPr>
        <w:tc>
          <w:tcPr>
            <w:tcW w:w="2560" w:type="dxa"/>
            <w:vMerge w:val="restart"/>
            <w:vAlign w:val="center"/>
          </w:tcPr>
          <w:p w14:paraId="69B5E169" w14:textId="1B936EA9" w:rsidR="004E2120" w:rsidRPr="00420E72" w:rsidRDefault="004E2120" w:rsidP="006A1D3E">
            <w:pPr>
              <w:spacing w:after="0" w:line="240" w:lineRule="auto"/>
              <w:rPr>
                <w:rFonts w:ascii="Arial" w:hAnsi="Arial" w:cs="Arial"/>
                <w:sz w:val="18"/>
                <w:szCs w:val="18"/>
                <w:lang w:eastAsia="zh-CN"/>
              </w:rPr>
            </w:pPr>
            <w:r w:rsidRPr="00420E72">
              <w:rPr>
                <w:rFonts w:ascii="Arial" w:hAnsi="Arial" w:cs="Arial"/>
                <w:sz w:val="18"/>
                <w:szCs w:val="18"/>
              </w:rPr>
              <w:t>Gingival tissue growth</w:t>
            </w:r>
          </w:p>
        </w:tc>
        <w:tc>
          <w:tcPr>
            <w:tcW w:w="1763" w:type="dxa"/>
          </w:tcPr>
          <w:p w14:paraId="01957681" w14:textId="77777777" w:rsidR="004E2120" w:rsidRPr="00420E72" w:rsidRDefault="004E2120" w:rsidP="006A1D3E">
            <w:pPr>
              <w:spacing w:after="0" w:line="240" w:lineRule="auto"/>
              <w:rPr>
                <w:rFonts w:ascii="Arial" w:hAnsi="Arial" w:cs="Arial"/>
                <w:sz w:val="18"/>
                <w:szCs w:val="18"/>
              </w:rPr>
            </w:pPr>
            <w:r w:rsidRPr="00420E72">
              <w:rPr>
                <w:rFonts w:ascii="Arial" w:hAnsi="Arial" w:cs="Arial"/>
                <w:sz w:val="18"/>
                <w:szCs w:val="18"/>
              </w:rPr>
              <w:t>Baseline (mm)</w:t>
            </w:r>
          </w:p>
        </w:tc>
        <w:tc>
          <w:tcPr>
            <w:tcW w:w="1283" w:type="dxa"/>
            <w:vAlign w:val="center"/>
          </w:tcPr>
          <w:p w14:paraId="5DEFE1EB" w14:textId="4DF83B37" w:rsidR="004E2120" w:rsidRPr="00420E72" w:rsidRDefault="004E2120" w:rsidP="006A1D3E">
            <w:pPr>
              <w:spacing w:after="0" w:line="240" w:lineRule="auto"/>
              <w:jc w:val="center"/>
              <w:rPr>
                <w:rFonts w:ascii="Arial" w:hAnsi="Arial" w:cs="Arial"/>
                <w:sz w:val="18"/>
                <w:szCs w:val="18"/>
                <w:lang w:eastAsia="zh-CN"/>
              </w:rPr>
            </w:pPr>
            <w:r w:rsidRPr="00420E72">
              <w:rPr>
                <w:rFonts w:ascii="Arial" w:hAnsi="Arial" w:cs="Arial"/>
                <w:sz w:val="18"/>
                <w:szCs w:val="18"/>
                <w:lang w:eastAsia="zh-CN"/>
              </w:rPr>
              <w:t>1.6</w:t>
            </w:r>
            <w:r w:rsidRPr="00420E72">
              <w:rPr>
                <w:rFonts w:ascii="Arial" w:hAnsi="Arial" w:cs="Arial" w:hint="eastAsia"/>
                <w:sz w:val="18"/>
                <w:szCs w:val="18"/>
                <w:lang w:eastAsia="zh-CN"/>
              </w:rPr>
              <w:t>±</w:t>
            </w:r>
            <w:r w:rsidRPr="00420E72">
              <w:rPr>
                <w:rFonts w:ascii="Arial" w:hAnsi="Arial" w:cs="Arial" w:hint="eastAsia"/>
                <w:sz w:val="18"/>
                <w:szCs w:val="18"/>
                <w:lang w:eastAsia="zh-CN"/>
              </w:rPr>
              <w:t>0.2</w:t>
            </w:r>
          </w:p>
        </w:tc>
        <w:tc>
          <w:tcPr>
            <w:tcW w:w="1158" w:type="dxa"/>
            <w:vAlign w:val="center"/>
          </w:tcPr>
          <w:p w14:paraId="56BAD0E8" w14:textId="45DD199E" w:rsidR="004E2120" w:rsidRPr="00420E72" w:rsidRDefault="004E2120" w:rsidP="006A1D3E">
            <w:pPr>
              <w:spacing w:after="0" w:line="240" w:lineRule="auto"/>
              <w:jc w:val="center"/>
              <w:rPr>
                <w:rFonts w:ascii="Arial" w:hAnsi="Arial" w:cs="Arial"/>
                <w:sz w:val="18"/>
                <w:szCs w:val="18"/>
                <w:lang w:eastAsia="zh-CN"/>
              </w:rPr>
            </w:pPr>
            <w:r w:rsidRPr="00420E72">
              <w:rPr>
                <w:rFonts w:ascii="Arial" w:hAnsi="Arial" w:cs="Arial" w:hint="eastAsia"/>
                <w:sz w:val="18"/>
                <w:szCs w:val="18"/>
                <w:lang w:eastAsia="zh-CN"/>
              </w:rPr>
              <w:t>1.5</w:t>
            </w:r>
            <w:r w:rsidRPr="00420E72">
              <w:rPr>
                <w:rFonts w:ascii="Arial" w:hAnsi="Arial" w:cs="Arial" w:hint="eastAsia"/>
                <w:sz w:val="18"/>
                <w:szCs w:val="18"/>
                <w:lang w:eastAsia="zh-CN"/>
              </w:rPr>
              <w:t>±</w:t>
            </w:r>
            <w:r w:rsidRPr="00420E72">
              <w:rPr>
                <w:rFonts w:ascii="Arial" w:hAnsi="Arial" w:cs="Arial" w:hint="eastAsia"/>
                <w:sz w:val="18"/>
                <w:szCs w:val="18"/>
                <w:lang w:eastAsia="zh-CN"/>
              </w:rPr>
              <w:t>0.5</w:t>
            </w:r>
          </w:p>
        </w:tc>
        <w:tc>
          <w:tcPr>
            <w:tcW w:w="1158" w:type="dxa"/>
          </w:tcPr>
          <w:p w14:paraId="57ED4619" w14:textId="2F3CA911" w:rsidR="004E2120" w:rsidRPr="00420E72" w:rsidRDefault="004E2120" w:rsidP="006A1D3E">
            <w:pPr>
              <w:spacing w:after="0" w:line="240" w:lineRule="auto"/>
              <w:jc w:val="center"/>
              <w:rPr>
                <w:rFonts w:ascii="Arial" w:hAnsi="Arial" w:cs="Arial"/>
                <w:sz w:val="18"/>
                <w:szCs w:val="18"/>
                <w:lang w:eastAsia="zh-CN"/>
              </w:rPr>
            </w:pPr>
            <w:r w:rsidRPr="00420E72">
              <w:rPr>
                <w:rFonts w:ascii="Arial" w:hAnsi="Arial" w:cs="Arial" w:hint="eastAsia"/>
                <w:sz w:val="18"/>
                <w:szCs w:val="18"/>
                <w:lang w:eastAsia="zh-CN"/>
              </w:rPr>
              <w:t>1.6</w:t>
            </w:r>
            <w:r w:rsidRPr="00420E72">
              <w:rPr>
                <w:rFonts w:ascii="Arial" w:hAnsi="Arial" w:cs="Arial" w:hint="eastAsia"/>
                <w:sz w:val="18"/>
                <w:szCs w:val="18"/>
                <w:lang w:eastAsia="zh-CN"/>
              </w:rPr>
              <w:t>±</w:t>
            </w:r>
            <w:r w:rsidRPr="00420E72">
              <w:rPr>
                <w:rFonts w:ascii="Arial" w:hAnsi="Arial" w:cs="Arial" w:hint="eastAsia"/>
                <w:sz w:val="18"/>
                <w:szCs w:val="18"/>
                <w:lang w:eastAsia="zh-CN"/>
              </w:rPr>
              <w:t>0.3</w:t>
            </w:r>
          </w:p>
        </w:tc>
        <w:tc>
          <w:tcPr>
            <w:tcW w:w="1158" w:type="dxa"/>
          </w:tcPr>
          <w:p w14:paraId="44A7038D" w14:textId="3D275900" w:rsidR="004E2120" w:rsidRPr="00420E72" w:rsidRDefault="004E2120" w:rsidP="006A1D3E">
            <w:pPr>
              <w:spacing w:after="0" w:line="240" w:lineRule="auto"/>
              <w:jc w:val="center"/>
              <w:rPr>
                <w:rFonts w:ascii="Arial" w:hAnsi="Arial" w:cs="Arial"/>
                <w:sz w:val="18"/>
                <w:szCs w:val="18"/>
                <w:lang w:eastAsia="zh-CN"/>
              </w:rPr>
            </w:pPr>
            <w:r w:rsidRPr="00420E72">
              <w:rPr>
                <w:rFonts w:ascii="Arial" w:hAnsi="Arial" w:cs="Arial" w:hint="eastAsia"/>
                <w:sz w:val="18"/>
                <w:szCs w:val="18"/>
                <w:lang w:eastAsia="zh-CN"/>
              </w:rPr>
              <w:t>1.3</w:t>
            </w:r>
            <w:r w:rsidRPr="00420E72">
              <w:rPr>
                <w:rFonts w:ascii="Arial" w:hAnsi="Arial" w:cs="Arial" w:hint="eastAsia"/>
                <w:sz w:val="18"/>
                <w:szCs w:val="18"/>
                <w:lang w:eastAsia="zh-CN"/>
              </w:rPr>
              <w:t>±</w:t>
            </w:r>
            <w:r w:rsidRPr="00420E72">
              <w:rPr>
                <w:rFonts w:ascii="Arial" w:hAnsi="Arial" w:cs="Arial" w:hint="eastAsia"/>
                <w:sz w:val="18"/>
                <w:szCs w:val="18"/>
                <w:lang w:eastAsia="zh-CN"/>
              </w:rPr>
              <w:t>0.3</w:t>
            </w:r>
          </w:p>
        </w:tc>
        <w:tc>
          <w:tcPr>
            <w:tcW w:w="1143" w:type="dxa"/>
          </w:tcPr>
          <w:p w14:paraId="33070CB5" w14:textId="151ED66E" w:rsidR="004E2120" w:rsidRPr="00420E72" w:rsidRDefault="004E2120" w:rsidP="006A1D3E">
            <w:pPr>
              <w:spacing w:after="0" w:line="240" w:lineRule="auto"/>
              <w:jc w:val="center"/>
              <w:rPr>
                <w:rFonts w:ascii="Arial" w:hAnsi="Arial" w:cs="Arial"/>
                <w:sz w:val="18"/>
                <w:szCs w:val="18"/>
                <w:lang w:eastAsia="zh-CN"/>
              </w:rPr>
            </w:pPr>
            <w:r w:rsidRPr="00420E72">
              <w:rPr>
                <w:rFonts w:ascii="Arial" w:hAnsi="Arial" w:cs="Arial"/>
                <w:sz w:val="18"/>
                <w:szCs w:val="18"/>
                <w:lang w:eastAsia="zh-CN"/>
              </w:rPr>
              <w:t>1.4 ± 0.2</w:t>
            </w:r>
          </w:p>
        </w:tc>
      </w:tr>
      <w:tr w:rsidR="004E2120" w:rsidRPr="00420E72" w14:paraId="7B3190B6" w14:textId="307F4170" w:rsidTr="00A84334">
        <w:trPr>
          <w:tblCellSpacing w:w="15" w:type="dxa"/>
          <w:jc w:val="center"/>
        </w:trPr>
        <w:tc>
          <w:tcPr>
            <w:tcW w:w="2560" w:type="dxa"/>
            <w:vMerge/>
            <w:vAlign w:val="center"/>
          </w:tcPr>
          <w:p w14:paraId="5AF2A515" w14:textId="77777777" w:rsidR="004E2120" w:rsidRPr="00420E72" w:rsidRDefault="004E2120" w:rsidP="004E2120">
            <w:pPr>
              <w:spacing w:after="0" w:line="240" w:lineRule="auto"/>
              <w:rPr>
                <w:rFonts w:ascii="Arial" w:hAnsi="Arial" w:cs="Arial"/>
                <w:sz w:val="18"/>
                <w:szCs w:val="18"/>
              </w:rPr>
            </w:pPr>
          </w:p>
        </w:tc>
        <w:tc>
          <w:tcPr>
            <w:tcW w:w="1763" w:type="dxa"/>
          </w:tcPr>
          <w:p w14:paraId="29B40DD7" w14:textId="77777777" w:rsidR="004E2120" w:rsidRPr="00420E72" w:rsidRDefault="004E2120" w:rsidP="004E2120">
            <w:pPr>
              <w:spacing w:after="0" w:line="240" w:lineRule="auto"/>
              <w:rPr>
                <w:rFonts w:ascii="Arial" w:hAnsi="Arial" w:cs="Arial"/>
                <w:sz w:val="18"/>
                <w:szCs w:val="18"/>
              </w:rPr>
            </w:pPr>
            <w:r w:rsidRPr="00420E72">
              <w:rPr>
                <w:rFonts w:ascii="Arial" w:hAnsi="Arial" w:cs="Arial"/>
                <w:sz w:val="18"/>
                <w:szCs w:val="18"/>
              </w:rPr>
              <w:t>Day 42 (mm)</w:t>
            </w:r>
          </w:p>
        </w:tc>
        <w:tc>
          <w:tcPr>
            <w:tcW w:w="1283" w:type="dxa"/>
            <w:vAlign w:val="center"/>
          </w:tcPr>
          <w:p w14:paraId="7B83CA91" w14:textId="731691F2" w:rsidR="004E2120" w:rsidRPr="00420E72" w:rsidRDefault="004E2120" w:rsidP="004E2120">
            <w:pPr>
              <w:spacing w:after="0" w:line="240" w:lineRule="auto"/>
              <w:jc w:val="center"/>
              <w:rPr>
                <w:rFonts w:ascii="Arial" w:hAnsi="Arial" w:cs="Arial"/>
                <w:sz w:val="18"/>
                <w:szCs w:val="18"/>
                <w:lang w:eastAsia="zh-CN"/>
              </w:rPr>
            </w:pPr>
            <w:r w:rsidRPr="00420E72">
              <w:rPr>
                <w:rFonts w:ascii="Arial" w:hAnsi="Arial" w:cs="Arial" w:hint="eastAsia"/>
                <w:sz w:val="18"/>
                <w:szCs w:val="18"/>
                <w:lang w:eastAsia="zh-CN"/>
              </w:rPr>
              <w:t>0.2</w:t>
            </w:r>
            <w:r w:rsidRPr="00420E72">
              <w:rPr>
                <w:rFonts w:ascii="Arial" w:hAnsi="Arial" w:cs="Arial" w:hint="eastAsia"/>
                <w:sz w:val="18"/>
                <w:szCs w:val="18"/>
                <w:lang w:eastAsia="zh-CN"/>
              </w:rPr>
              <w:t>±</w:t>
            </w:r>
            <w:r w:rsidRPr="00420E72">
              <w:rPr>
                <w:rFonts w:ascii="Arial" w:hAnsi="Arial" w:cs="Arial" w:hint="eastAsia"/>
                <w:sz w:val="18"/>
                <w:szCs w:val="18"/>
                <w:lang w:eastAsia="zh-CN"/>
              </w:rPr>
              <w:t>0.2</w:t>
            </w:r>
          </w:p>
        </w:tc>
        <w:tc>
          <w:tcPr>
            <w:tcW w:w="1158" w:type="dxa"/>
            <w:vAlign w:val="center"/>
          </w:tcPr>
          <w:p w14:paraId="09FF183C" w14:textId="6006196D" w:rsidR="004E2120" w:rsidRPr="00420E72" w:rsidRDefault="004E2120" w:rsidP="004E2120">
            <w:pPr>
              <w:spacing w:after="0" w:line="240" w:lineRule="auto"/>
              <w:jc w:val="center"/>
              <w:rPr>
                <w:rFonts w:ascii="Arial" w:hAnsi="Arial" w:cs="Arial"/>
                <w:sz w:val="18"/>
                <w:szCs w:val="18"/>
                <w:lang w:eastAsia="zh-CN"/>
              </w:rPr>
            </w:pPr>
            <w:r w:rsidRPr="00420E72">
              <w:rPr>
                <w:rFonts w:ascii="Arial" w:hAnsi="Arial" w:cs="Arial"/>
                <w:sz w:val="18"/>
                <w:szCs w:val="18"/>
                <w:lang w:eastAsia="zh-CN"/>
              </w:rPr>
              <w:t>0.3</w:t>
            </w:r>
            <w:r w:rsidRPr="00420E72">
              <w:rPr>
                <w:rFonts w:ascii="Arial" w:hAnsi="Arial" w:cs="Arial" w:hint="eastAsia"/>
                <w:sz w:val="18"/>
                <w:szCs w:val="18"/>
                <w:lang w:eastAsia="zh-CN"/>
              </w:rPr>
              <w:t>±</w:t>
            </w:r>
            <w:r w:rsidRPr="00420E72">
              <w:rPr>
                <w:rFonts w:ascii="Arial" w:hAnsi="Arial" w:cs="Arial" w:hint="eastAsia"/>
                <w:sz w:val="18"/>
                <w:szCs w:val="18"/>
                <w:lang w:eastAsia="zh-CN"/>
              </w:rPr>
              <w:t>0.2</w:t>
            </w:r>
          </w:p>
        </w:tc>
        <w:tc>
          <w:tcPr>
            <w:tcW w:w="1158" w:type="dxa"/>
          </w:tcPr>
          <w:p w14:paraId="1A517D82" w14:textId="57DAD286" w:rsidR="004E2120" w:rsidRPr="00420E72" w:rsidRDefault="004E2120" w:rsidP="004E2120">
            <w:pPr>
              <w:spacing w:after="0" w:line="240" w:lineRule="auto"/>
              <w:jc w:val="center"/>
              <w:rPr>
                <w:rFonts w:ascii="Arial" w:hAnsi="Arial" w:cs="Arial"/>
                <w:sz w:val="18"/>
                <w:szCs w:val="18"/>
                <w:lang w:eastAsia="zh-CN"/>
              </w:rPr>
            </w:pPr>
            <w:r w:rsidRPr="00420E72">
              <w:rPr>
                <w:rFonts w:ascii="Arial" w:hAnsi="Arial" w:cs="Arial" w:hint="eastAsia"/>
                <w:sz w:val="18"/>
                <w:szCs w:val="18"/>
                <w:lang w:eastAsia="zh-CN"/>
              </w:rPr>
              <w:t>0.2</w:t>
            </w:r>
            <w:r w:rsidRPr="00420E72">
              <w:rPr>
                <w:rFonts w:ascii="Arial" w:hAnsi="Arial" w:cs="Arial" w:hint="eastAsia"/>
                <w:sz w:val="18"/>
                <w:szCs w:val="18"/>
                <w:lang w:eastAsia="zh-CN"/>
              </w:rPr>
              <w:t>±</w:t>
            </w:r>
            <w:r w:rsidRPr="00420E72">
              <w:rPr>
                <w:rFonts w:ascii="Arial" w:hAnsi="Arial" w:cs="Arial" w:hint="eastAsia"/>
                <w:sz w:val="18"/>
                <w:szCs w:val="18"/>
                <w:lang w:eastAsia="zh-CN"/>
              </w:rPr>
              <w:t>0.2</w:t>
            </w:r>
          </w:p>
        </w:tc>
        <w:tc>
          <w:tcPr>
            <w:tcW w:w="1158" w:type="dxa"/>
          </w:tcPr>
          <w:p w14:paraId="4348912F" w14:textId="280985A1" w:rsidR="004E2120" w:rsidRPr="00420E72" w:rsidRDefault="004E2120" w:rsidP="004E2120">
            <w:pPr>
              <w:spacing w:after="0" w:line="240" w:lineRule="auto"/>
              <w:jc w:val="center"/>
              <w:rPr>
                <w:rFonts w:ascii="Arial" w:hAnsi="Arial" w:cs="Arial"/>
                <w:sz w:val="18"/>
                <w:szCs w:val="18"/>
                <w:lang w:eastAsia="zh-CN"/>
              </w:rPr>
            </w:pPr>
            <w:r w:rsidRPr="00420E72">
              <w:rPr>
                <w:rFonts w:ascii="Arial" w:hAnsi="Arial" w:cs="Arial" w:hint="eastAsia"/>
                <w:sz w:val="18"/>
                <w:szCs w:val="18"/>
                <w:lang w:eastAsia="zh-CN"/>
              </w:rPr>
              <w:t>0.0</w:t>
            </w:r>
            <w:r w:rsidRPr="00420E72">
              <w:rPr>
                <w:rFonts w:ascii="Arial" w:hAnsi="Arial" w:cs="Arial" w:hint="eastAsia"/>
                <w:sz w:val="18"/>
                <w:szCs w:val="18"/>
                <w:lang w:eastAsia="zh-CN"/>
              </w:rPr>
              <w:t>±</w:t>
            </w:r>
            <w:r w:rsidRPr="00420E72">
              <w:rPr>
                <w:rFonts w:ascii="Arial" w:hAnsi="Arial" w:cs="Arial" w:hint="eastAsia"/>
                <w:sz w:val="18"/>
                <w:szCs w:val="18"/>
                <w:lang w:eastAsia="zh-CN"/>
              </w:rPr>
              <w:t>0.0</w:t>
            </w:r>
          </w:p>
        </w:tc>
        <w:tc>
          <w:tcPr>
            <w:tcW w:w="1143" w:type="dxa"/>
            <w:vAlign w:val="center"/>
          </w:tcPr>
          <w:p w14:paraId="1CFE3CAF" w14:textId="662CE7E8" w:rsidR="004E2120" w:rsidRPr="00420E72" w:rsidRDefault="004E2120" w:rsidP="004E2120">
            <w:pPr>
              <w:spacing w:after="0" w:line="240" w:lineRule="auto"/>
              <w:jc w:val="center"/>
              <w:rPr>
                <w:rFonts w:ascii="Arial" w:hAnsi="Arial" w:cs="Arial"/>
                <w:sz w:val="18"/>
                <w:szCs w:val="18"/>
                <w:lang w:eastAsia="zh-CN"/>
              </w:rPr>
            </w:pPr>
            <w:r w:rsidRPr="00420E72">
              <w:rPr>
                <w:rFonts w:ascii="Arial" w:hAnsi="Arial" w:cs="Arial"/>
                <w:sz w:val="18"/>
                <w:szCs w:val="18"/>
                <w:lang w:eastAsia="zh-CN"/>
              </w:rPr>
              <w:t>0.2 ± 0.1</w:t>
            </w:r>
          </w:p>
        </w:tc>
      </w:tr>
      <w:tr w:rsidR="004E2120" w:rsidRPr="00420E72" w14:paraId="44EDC028" w14:textId="606AB4A1" w:rsidTr="004E2120">
        <w:trPr>
          <w:tblCellSpacing w:w="15" w:type="dxa"/>
          <w:jc w:val="center"/>
        </w:trPr>
        <w:tc>
          <w:tcPr>
            <w:tcW w:w="2560" w:type="dxa"/>
            <w:vMerge w:val="restart"/>
            <w:vAlign w:val="center"/>
          </w:tcPr>
          <w:p w14:paraId="3789907A" w14:textId="77777777" w:rsidR="004E2120" w:rsidRPr="00420E72" w:rsidRDefault="004E2120" w:rsidP="004E2120">
            <w:pPr>
              <w:spacing w:after="0" w:line="240" w:lineRule="auto"/>
              <w:rPr>
                <w:rFonts w:ascii="Arial" w:hAnsi="Arial" w:cs="Arial"/>
                <w:sz w:val="18"/>
                <w:szCs w:val="18"/>
              </w:rPr>
            </w:pPr>
            <w:r w:rsidRPr="00420E72">
              <w:rPr>
                <w:rFonts w:ascii="Arial" w:hAnsi="Arial" w:cs="Arial"/>
                <w:sz w:val="18"/>
                <w:szCs w:val="18"/>
              </w:rPr>
              <w:t>Chronic gingival or root pain</w:t>
            </w:r>
          </w:p>
        </w:tc>
        <w:tc>
          <w:tcPr>
            <w:tcW w:w="1763" w:type="dxa"/>
          </w:tcPr>
          <w:p w14:paraId="337863A0" w14:textId="52E7CA4D" w:rsidR="004E2120" w:rsidRPr="00420E72" w:rsidRDefault="004E2120" w:rsidP="004E2120">
            <w:pPr>
              <w:spacing w:after="0" w:line="240" w:lineRule="auto"/>
              <w:rPr>
                <w:rFonts w:ascii="Arial" w:hAnsi="Arial" w:cs="Arial"/>
                <w:sz w:val="18"/>
                <w:szCs w:val="18"/>
              </w:rPr>
            </w:pPr>
            <w:r w:rsidRPr="00420E72">
              <w:rPr>
                <w:rFonts w:ascii="Arial" w:hAnsi="Arial" w:cs="Arial"/>
                <w:sz w:val="18"/>
                <w:szCs w:val="18"/>
              </w:rPr>
              <w:t>Baseline</w:t>
            </w:r>
          </w:p>
        </w:tc>
        <w:tc>
          <w:tcPr>
            <w:tcW w:w="1283" w:type="dxa"/>
            <w:vAlign w:val="center"/>
          </w:tcPr>
          <w:p w14:paraId="2C92B9A8" w14:textId="77777777" w:rsidR="004E2120" w:rsidRPr="00420E72" w:rsidRDefault="004E2120" w:rsidP="004E2120">
            <w:pPr>
              <w:spacing w:after="0" w:line="240" w:lineRule="auto"/>
              <w:jc w:val="center"/>
              <w:rPr>
                <w:rFonts w:ascii="Arial" w:hAnsi="Arial" w:cs="Arial"/>
                <w:sz w:val="18"/>
                <w:szCs w:val="18"/>
                <w:lang w:eastAsia="zh-CN"/>
              </w:rPr>
            </w:pPr>
            <w:r w:rsidRPr="00420E72">
              <w:rPr>
                <w:rFonts w:ascii="Arial" w:hAnsi="Arial" w:cs="Arial" w:hint="eastAsia"/>
                <w:sz w:val="18"/>
                <w:szCs w:val="18"/>
                <w:lang w:eastAsia="zh-CN"/>
              </w:rPr>
              <w:t>2.3</w:t>
            </w:r>
          </w:p>
        </w:tc>
        <w:tc>
          <w:tcPr>
            <w:tcW w:w="1158" w:type="dxa"/>
            <w:vAlign w:val="center"/>
          </w:tcPr>
          <w:p w14:paraId="13E93548" w14:textId="77777777" w:rsidR="004E2120" w:rsidRPr="00420E72" w:rsidRDefault="004E2120" w:rsidP="004E2120">
            <w:pPr>
              <w:spacing w:after="0" w:line="240" w:lineRule="auto"/>
              <w:jc w:val="center"/>
              <w:rPr>
                <w:rFonts w:ascii="Arial" w:hAnsi="Arial" w:cs="Arial"/>
                <w:sz w:val="18"/>
                <w:szCs w:val="18"/>
                <w:lang w:eastAsia="zh-CN"/>
              </w:rPr>
            </w:pPr>
            <w:r w:rsidRPr="00420E72">
              <w:rPr>
                <w:rFonts w:ascii="Arial" w:hAnsi="Arial" w:cs="Arial" w:hint="eastAsia"/>
                <w:sz w:val="18"/>
                <w:szCs w:val="18"/>
                <w:lang w:eastAsia="zh-CN"/>
              </w:rPr>
              <w:t>2.6</w:t>
            </w:r>
          </w:p>
        </w:tc>
        <w:tc>
          <w:tcPr>
            <w:tcW w:w="1158" w:type="dxa"/>
          </w:tcPr>
          <w:p w14:paraId="74ADB710" w14:textId="77777777" w:rsidR="004E2120" w:rsidRPr="00420E72" w:rsidRDefault="004E2120" w:rsidP="004E2120">
            <w:pPr>
              <w:spacing w:after="0" w:line="240" w:lineRule="auto"/>
              <w:jc w:val="center"/>
              <w:rPr>
                <w:rFonts w:ascii="Arial" w:hAnsi="Arial" w:cs="Arial"/>
                <w:sz w:val="18"/>
                <w:szCs w:val="18"/>
                <w:lang w:eastAsia="zh-CN"/>
              </w:rPr>
            </w:pPr>
            <w:r w:rsidRPr="00420E72">
              <w:rPr>
                <w:rFonts w:ascii="Arial" w:hAnsi="Arial" w:cs="Arial" w:hint="eastAsia"/>
                <w:sz w:val="18"/>
                <w:szCs w:val="18"/>
                <w:lang w:eastAsia="zh-CN"/>
              </w:rPr>
              <w:t>2.4</w:t>
            </w:r>
          </w:p>
        </w:tc>
        <w:tc>
          <w:tcPr>
            <w:tcW w:w="1158" w:type="dxa"/>
          </w:tcPr>
          <w:p w14:paraId="4754CB96" w14:textId="77777777" w:rsidR="004E2120" w:rsidRPr="00420E72" w:rsidRDefault="004E2120" w:rsidP="004E2120">
            <w:pPr>
              <w:spacing w:after="0" w:line="240" w:lineRule="auto"/>
              <w:jc w:val="center"/>
              <w:rPr>
                <w:rFonts w:ascii="Arial" w:hAnsi="Arial" w:cs="Arial"/>
                <w:sz w:val="18"/>
                <w:szCs w:val="18"/>
                <w:lang w:eastAsia="zh-CN"/>
              </w:rPr>
            </w:pPr>
            <w:r w:rsidRPr="00420E72">
              <w:rPr>
                <w:rFonts w:ascii="Arial" w:hAnsi="Arial" w:cs="Arial" w:hint="eastAsia"/>
                <w:sz w:val="18"/>
                <w:szCs w:val="18"/>
                <w:lang w:eastAsia="zh-CN"/>
              </w:rPr>
              <w:t>2.3</w:t>
            </w:r>
          </w:p>
        </w:tc>
        <w:tc>
          <w:tcPr>
            <w:tcW w:w="1143" w:type="dxa"/>
          </w:tcPr>
          <w:p w14:paraId="78A06106" w14:textId="67E7CA73" w:rsidR="004E2120" w:rsidRPr="00420E72" w:rsidRDefault="004E2120" w:rsidP="004E2120">
            <w:pPr>
              <w:spacing w:after="0" w:line="240" w:lineRule="auto"/>
              <w:jc w:val="center"/>
              <w:rPr>
                <w:rFonts w:ascii="Arial" w:hAnsi="Arial" w:cs="Arial"/>
                <w:sz w:val="18"/>
                <w:szCs w:val="18"/>
                <w:lang w:eastAsia="zh-CN"/>
              </w:rPr>
            </w:pPr>
            <w:r w:rsidRPr="00420E72">
              <w:rPr>
                <w:rFonts w:ascii="Arial" w:hAnsi="Arial" w:cs="Arial"/>
                <w:sz w:val="18"/>
                <w:szCs w:val="18"/>
                <w:lang w:eastAsia="zh-CN"/>
              </w:rPr>
              <w:t>2.4 ± 0.1</w:t>
            </w:r>
          </w:p>
        </w:tc>
      </w:tr>
      <w:tr w:rsidR="004E2120" w:rsidRPr="00420E72" w14:paraId="7DFBADE5" w14:textId="3BB70988" w:rsidTr="004E2120">
        <w:trPr>
          <w:tblCellSpacing w:w="15" w:type="dxa"/>
          <w:jc w:val="center"/>
        </w:trPr>
        <w:tc>
          <w:tcPr>
            <w:tcW w:w="2560" w:type="dxa"/>
            <w:vMerge/>
            <w:vAlign w:val="center"/>
          </w:tcPr>
          <w:p w14:paraId="6FF19093" w14:textId="77777777" w:rsidR="004E2120" w:rsidRPr="00420E72" w:rsidRDefault="004E2120" w:rsidP="004E2120">
            <w:pPr>
              <w:spacing w:after="0" w:line="240" w:lineRule="auto"/>
              <w:rPr>
                <w:rFonts w:ascii="Arial" w:hAnsi="Arial" w:cs="Arial"/>
                <w:sz w:val="18"/>
                <w:szCs w:val="18"/>
              </w:rPr>
            </w:pPr>
          </w:p>
        </w:tc>
        <w:tc>
          <w:tcPr>
            <w:tcW w:w="1763" w:type="dxa"/>
          </w:tcPr>
          <w:p w14:paraId="214453A3" w14:textId="2148D8FF" w:rsidR="004E2120" w:rsidRPr="00420E72" w:rsidRDefault="004E2120" w:rsidP="004E2120">
            <w:pPr>
              <w:spacing w:after="0" w:line="240" w:lineRule="auto"/>
              <w:rPr>
                <w:rFonts w:ascii="Arial" w:hAnsi="Arial" w:cs="Arial"/>
                <w:sz w:val="18"/>
                <w:szCs w:val="18"/>
              </w:rPr>
            </w:pPr>
            <w:r w:rsidRPr="00420E72">
              <w:rPr>
                <w:rFonts w:ascii="Arial" w:hAnsi="Arial" w:cs="Arial"/>
                <w:sz w:val="18"/>
                <w:szCs w:val="18"/>
              </w:rPr>
              <w:t xml:space="preserve">Day 42 </w:t>
            </w:r>
          </w:p>
        </w:tc>
        <w:tc>
          <w:tcPr>
            <w:tcW w:w="1283" w:type="dxa"/>
            <w:vAlign w:val="center"/>
          </w:tcPr>
          <w:p w14:paraId="55494DFC" w14:textId="77777777" w:rsidR="004E2120" w:rsidRPr="00420E72" w:rsidRDefault="004E2120" w:rsidP="004E2120">
            <w:pPr>
              <w:spacing w:after="0" w:line="240" w:lineRule="auto"/>
              <w:jc w:val="center"/>
              <w:rPr>
                <w:rFonts w:ascii="Arial" w:hAnsi="Arial" w:cs="Arial"/>
                <w:sz w:val="18"/>
                <w:szCs w:val="18"/>
                <w:lang w:eastAsia="zh-CN"/>
              </w:rPr>
            </w:pPr>
            <w:r w:rsidRPr="00420E72">
              <w:rPr>
                <w:rFonts w:ascii="Arial" w:hAnsi="Arial" w:cs="Arial" w:hint="eastAsia"/>
                <w:sz w:val="18"/>
                <w:szCs w:val="18"/>
                <w:lang w:eastAsia="zh-CN"/>
              </w:rPr>
              <w:t>0.0</w:t>
            </w:r>
          </w:p>
        </w:tc>
        <w:tc>
          <w:tcPr>
            <w:tcW w:w="1158" w:type="dxa"/>
            <w:vAlign w:val="center"/>
          </w:tcPr>
          <w:p w14:paraId="7841981B" w14:textId="77777777" w:rsidR="004E2120" w:rsidRPr="00420E72" w:rsidRDefault="004E2120" w:rsidP="004E2120">
            <w:pPr>
              <w:spacing w:after="0" w:line="240" w:lineRule="auto"/>
              <w:jc w:val="center"/>
              <w:rPr>
                <w:rFonts w:ascii="Arial" w:hAnsi="Arial" w:cs="Arial"/>
                <w:sz w:val="18"/>
                <w:szCs w:val="18"/>
              </w:rPr>
            </w:pPr>
            <w:r w:rsidRPr="00420E72">
              <w:rPr>
                <w:rFonts w:ascii="Arial" w:hAnsi="Arial" w:cs="Arial"/>
                <w:sz w:val="18"/>
                <w:szCs w:val="18"/>
              </w:rPr>
              <w:t>0.0</w:t>
            </w:r>
          </w:p>
        </w:tc>
        <w:tc>
          <w:tcPr>
            <w:tcW w:w="1158" w:type="dxa"/>
          </w:tcPr>
          <w:p w14:paraId="077542AA" w14:textId="77777777" w:rsidR="004E2120" w:rsidRPr="00420E72" w:rsidRDefault="004E2120" w:rsidP="004E2120">
            <w:pPr>
              <w:spacing w:after="0" w:line="240" w:lineRule="auto"/>
              <w:jc w:val="center"/>
              <w:rPr>
                <w:rFonts w:ascii="Arial" w:hAnsi="Arial" w:cs="Arial"/>
                <w:sz w:val="18"/>
                <w:szCs w:val="18"/>
                <w:lang w:eastAsia="zh-CN"/>
              </w:rPr>
            </w:pPr>
            <w:r w:rsidRPr="00420E72">
              <w:rPr>
                <w:rFonts w:ascii="Arial" w:hAnsi="Arial" w:cs="Arial" w:hint="eastAsia"/>
                <w:sz w:val="18"/>
                <w:szCs w:val="18"/>
                <w:lang w:eastAsia="zh-CN"/>
              </w:rPr>
              <w:t>0.0</w:t>
            </w:r>
          </w:p>
        </w:tc>
        <w:tc>
          <w:tcPr>
            <w:tcW w:w="1158" w:type="dxa"/>
          </w:tcPr>
          <w:p w14:paraId="388B3B2A" w14:textId="77777777" w:rsidR="004E2120" w:rsidRPr="00420E72" w:rsidRDefault="004E2120" w:rsidP="004E2120">
            <w:pPr>
              <w:spacing w:after="0" w:line="240" w:lineRule="auto"/>
              <w:jc w:val="center"/>
              <w:rPr>
                <w:rFonts w:ascii="Arial" w:hAnsi="Arial" w:cs="Arial"/>
                <w:sz w:val="18"/>
                <w:szCs w:val="18"/>
                <w:lang w:eastAsia="zh-CN"/>
              </w:rPr>
            </w:pPr>
            <w:r w:rsidRPr="00420E72">
              <w:rPr>
                <w:rFonts w:ascii="Arial" w:hAnsi="Arial" w:cs="Arial" w:hint="eastAsia"/>
                <w:sz w:val="18"/>
                <w:szCs w:val="18"/>
                <w:lang w:eastAsia="zh-CN"/>
              </w:rPr>
              <w:t>0.0</w:t>
            </w:r>
          </w:p>
        </w:tc>
        <w:tc>
          <w:tcPr>
            <w:tcW w:w="1143" w:type="dxa"/>
          </w:tcPr>
          <w:p w14:paraId="77F5850A" w14:textId="344F8629" w:rsidR="004E2120" w:rsidRPr="00420E72" w:rsidRDefault="00675BB5" w:rsidP="004E2120">
            <w:pPr>
              <w:spacing w:after="0" w:line="240" w:lineRule="auto"/>
              <w:jc w:val="center"/>
              <w:rPr>
                <w:rFonts w:ascii="Arial" w:hAnsi="Arial" w:cs="Arial"/>
                <w:sz w:val="18"/>
                <w:szCs w:val="18"/>
                <w:lang w:eastAsia="zh-CN"/>
              </w:rPr>
            </w:pPr>
            <w:r w:rsidRPr="00420E72">
              <w:rPr>
                <w:rFonts w:ascii="Arial" w:hAnsi="Arial" w:cs="Arial"/>
                <w:sz w:val="18"/>
                <w:szCs w:val="18"/>
                <w:lang w:eastAsia="zh-CN"/>
              </w:rPr>
              <w:t>0.0 ± 0.0</w:t>
            </w:r>
          </w:p>
        </w:tc>
      </w:tr>
      <w:tr w:rsidR="004E2120" w:rsidRPr="00420E72" w14:paraId="05185264" w14:textId="20FDBA49" w:rsidTr="004E2120">
        <w:trPr>
          <w:tblCellSpacing w:w="15" w:type="dxa"/>
          <w:jc w:val="center"/>
        </w:trPr>
        <w:tc>
          <w:tcPr>
            <w:tcW w:w="2560" w:type="dxa"/>
            <w:vMerge w:val="restart"/>
            <w:vAlign w:val="center"/>
          </w:tcPr>
          <w:p w14:paraId="3B4B35B5" w14:textId="77777777" w:rsidR="004E2120" w:rsidRPr="00420E72" w:rsidRDefault="004E2120" w:rsidP="004E2120">
            <w:pPr>
              <w:spacing w:after="0" w:line="240" w:lineRule="auto"/>
              <w:rPr>
                <w:rFonts w:ascii="Arial" w:hAnsi="Arial" w:cs="Arial"/>
                <w:sz w:val="18"/>
                <w:szCs w:val="18"/>
              </w:rPr>
            </w:pPr>
            <w:r w:rsidRPr="00420E72">
              <w:rPr>
                <w:rFonts w:ascii="Arial" w:hAnsi="Arial" w:cs="Arial"/>
                <w:sz w:val="18"/>
                <w:szCs w:val="18"/>
              </w:rPr>
              <w:t>Gingival itching and discomfort</w:t>
            </w:r>
          </w:p>
        </w:tc>
        <w:tc>
          <w:tcPr>
            <w:tcW w:w="1763" w:type="dxa"/>
            <w:vAlign w:val="center"/>
          </w:tcPr>
          <w:p w14:paraId="4F5842FC" w14:textId="77777777" w:rsidR="004E2120" w:rsidRPr="00420E72" w:rsidRDefault="004E2120" w:rsidP="004E2120">
            <w:pPr>
              <w:spacing w:after="0" w:line="240" w:lineRule="auto"/>
              <w:rPr>
                <w:rFonts w:ascii="Arial" w:hAnsi="Arial" w:cs="Arial"/>
                <w:sz w:val="18"/>
                <w:szCs w:val="18"/>
              </w:rPr>
            </w:pPr>
            <w:r w:rsidRPr="00420E72">
              <w:rPr>
                <w:rFonts w:ascii="Arial" w:hAnsi="Arial" w:cs="Arial"/>
                <w:sz w:val="18"/>
                <w:szCs w:val="18"/>
              </w:rPr>
              <w:t>Baseline</w:t>
            </w:r>
          </w:p>
        </w:tc>
        <w:tc>
          <w:tcPr>
            <w:tcW w:w="1283" w:type="dxa"/>
            <w:vAlign w:val="center"/>
          </w:tcPr>
          <w:p w14:paraId="080E9C69" w14:textId="77777777" w:rsidR="004E2120" w:rsidRPr="00420E72" w:rsidRDefault="004E2120" w:rsidP="004E2120">
            <w:pPr>
              <w:spacing w:after="0" w:line="240" w:lineRule="auto"/>
              <w:jc w:val="center"/>
              <w:rPr>
                <w:rFonts w:ascii="Arial" w:hAnsi="Arial" w:cs="Arial"/>
                <w:sz w:val="18"/>
                <w:szCs w:val="18"/>
                <w:lang w:eastAsia="zh-CN"/>
              </w:rPr>
            </w:pPr>
            <w:r w:rsidRPr="00420E72">
              <w:rPr>
                <w:rFonts w:ascii="Arial" w:hAnsi="Arial" w:cs="Arial" w:hint="eastAsia"/>
                <w:sz w:val="18"/>
                <w:szCs w:val="18"/>
                <w:lang w:eastAsia="zh-CN"/>
              </w:rPr>
              <w:t>3.3</w:t>
            </w:r>
          </w:p>
        </w:tc>
        <w:tc>
          <w:tcPr>
            <w:tcW w:w="1158" w:type="dxa"/>
            <w:vAlign w:val="center"/>
          </w:tcPr>
          <w:p w14:paraId="339319F9" w14:textId="77777777" w:rsidR="004E2120" w:rsidRPr="00420E72" w:rsidRDefault="004E2120" w:rsidP="004E2120">
            <w:pPr>
              <w:spacing w:after="0" w:line="240" w:lineRule="auto"/>
              <w:jc w:val="center"/>
              <w:rPr>
                <w:rFonts w:ascii="Arial" w:hAnsi="Arial" w:cs="Arial"/>
                <w:sz w:val="18"/>
                <w:szCs w:val="18"/>
                <w:lang w:eastAsia="zh-CN"/>
              </w:rPr>
            </w:pPr>
            <w:r w:rsidRPr="00420E72">
              <w:rPr>
                <w:rFonts w:ascii="Arial" w:hAnsi="Arial" w:cs="Arial" w:hint="eastAsia"/>
                <w:sz w:val="18"/>
                <w:szCs w:val="18"/>
                <w:lang w:eastAsia="zh-CN"/>
              </w:rPr>
              <w:t>3.0</w:t>
            </w:r>
          </w:p>
        </w:tc>
        <w:tc>
          <w:tcPr>
            <w:tcW w:w="1158" w:type="dxa"/>
          </w:tcPr>
          <w:p w14:paraId="2D583748" w14:textId="77777777" w:rsidR="004E2120" w:rsidRPr="00420E72" w:rsidRDefault="004E2120" w:rsidP="004E2120">
            <w:pPr>
              <w:spacing w:after="0" w:line="240" w:lineRule="auto"/>
              <w:jc w:val="center"/>
              <w:rPr>
                <w:rFonts w:ascii="Arial" w:hAnsi="Arial" w:cs="Arial"/>
                <w:sz w:val="18"/>
                <w:szCs w:val="18"/>
                <w:lang w:eastAsia="zh-CN"/>
              </w:rPr>
            </w:pPr>
            <w:r w:rsidRPr="00420E72">
              <w:rPr>
                <w:rFonts w:ascii="Arial" w:hAnsi="Arial" w:cs="Arial" w:hint="eastAsia"/>
                <w:sz w:val="18"/>
                <w:szCs w:val="18"/>
                <w:lang w:eastAsia="zh-CN"/>
              </w:rPr>
              <w:t>2.0</w:t>
            </w:r>
          </w:p>
        </w:tc>
        <w:tc>
          <w:tcPr>
            <w:tcW w:w="1158" w:type="dxa"/>
          </w:tcPr>
          <w:p w14:paraId="2C4D861F" w14:textId="77777777" w:rsidR="004E2120" w:rsidRPr="00420E72" w:rsidRDefault="004E2120" w:rsidP="004E2120">
            <w:pPr>
              <w:spacing w:after="0" w:line="240" w:lineRule="auto"/>
              <w:jc w:val="center"/>
              <w:rPr>
                <w:rFonts w:ascii="Arial" w:hAnsi="Arial" w:cs="Arial"/>
                <w:sz w:val="18"/>
                <w:szCs w:val="18"/>
                <w:lang w:eastAsia="zh-CN"/>
              </w:rPr>
            </w:pPr>
            <w:r w:rsidRPr="00420E72">
              <w:rPr>
                <w:rFonts w:ascii="Arial" w:hAnsi="Arial" w:cs="Arial" w:hint="eastAsia"/>
                <w:sz w:val="18"/>
                <w:szCs w:val="18"/>
                <w:lang w:eastAsia="zh-CN"/>
              </w:rPr>
              <w:t>3.0</w:t>
            </w:r>
          </w:p>
        </w:tc>
        <w:tc>
          <w:tcPr>
            <w:tcW w:w="1143" w:type="dxa"/>
          </w:tcPr>
          <w:p w14:paraId="40E03A7E" w14:textId="69979D7C" w:rsidR="004E2120" w:rsidRPr="00420E72" w:rsidRDefault="00675BB5" w:rsidP="004E2120">
            <w:pPr>
              <w:spacing w:after="0" w:line="240" w:lineRule="auto"/>
              <w:jc w:val="center"/>
              <w:rPr>
                <w:rFonts w:ascii="Arial" w:hAnsi="Arial" w:cs="Arial"/>
                <w:sz w:val="18"/>
                <w:szCs w:val="18"/>
                <w:lang w:eastAsia="zh-CN"/>
              </w:rPr>
            </w:pPr>
            <w:r w:rsidRPr="00420E72">
              <w:rPr>
                <w:rFonts w:ascii="Arial" w:hAnsi="Arial" w:cs="Arial"/>
                <w:sz w:val="18"/>
                <w:szCs w:val="18"/>
                <w:lang w:eastAsia="zh-CN"/>
              </w:rPr>
              <w:t>2.8 ± 0.6</w:t>
            </w:r>
          </w:p>
        </w:tc>
      </w:tr>
      <w:tr w:rsidR="004E2120" w:rsidRPr="00420E72" w14:paraId="10390043" w14:textId="7530C18C" w:rsidTr="004E2120">
        <w:trPr>
          <w:tblCellSpacing w:w="15" w:type="dxa"/>
          <w:jc w:val="center"/>
        </w:trPr>
        <w:tc>
          <w:tcPr>
            <w:tcW w:w="2560" w:type="dxa"/>
            <w:vMerge/>
            <w:vAlign w:val="center"/>
          </w:tcPr>
          <w:p w14:paraId="111D8B44" w14:textId="77777777" w:rsidR="004E2120" w:rsidRPr="00420E72" w:rsidRDefault="004E2120" w:rsidP="004E2120">
            <w:pPr>
              <w:spacing w:after="0" w:line="240" w:lineRule="auto"/>
              <w:rPr>
                <w:rFonts w:ascii="Arial" w:hAnsi="Arial" w:cs="Arial"/>
                <w:sz w:val="18"/>
                <w:szCs w:val="18"/>
              </w:rPr>
            </w:pPr>
          </w:p>
        </w:tc>
        <w:tc>
          <w:tcPr>
            <w:tcW w:w="1763" w:type="dxa"/>
          </w:tcPr>
          <w:p w14:paraId="35746760" w14:textId="77777777" w:rsidR="004E2120" w:rsidRPr="00420E72" w:rsidRDefault="004E2120" w:rsidP="004E2120">
            <w:pPr>
              <w:spacing w:after="0" w:line="240" w:lineRule="auto"/>
              <w:rPr>
                <w:rFonts w:ascii="Arial" w:hAnsi="Arial" w:cs="Arial"/>
                <w:sz w:val="18"/>
                <w:szCs w:val="18"/>
              </w:rPr>
            </w:pPr>
            <w:r w:rsidRPr="00420E72">
              <w:rPr>
                <w:rFonts w:ascii="Arial" w:hAnsi="Arial" w:cs="Arial"/>
                <w:sz w:val="18"/>
                <w:szCs w:val="18"/>
              </w:rPr>
              <w:t>30 sec after brushing</w:t>
            </w:r>
          </w:p>
        </w:tc>
        <w:tc>
          <w:tcPr>
            <w:tcW w:w="1283" w:type="dxa"/>
            <w:vAlign w:val="center"/>
          </w:tcPr>
          <w:p w14:paraId="4DAEA624" w14:textId="77777777" w:rsidR="004E2120" w:rsidRPr="00420E72" w:rsidRDefault="004E2120" w:rsidP="004E2120">
            <w:pPr>
              <w:spacing w:after="0" w:line="240" w:lineRule="auto"/>
              <w:jc w:val="center"/>
              <w:rPr>
                <w:rFonts w:ascii="Arial" w:hAnsi="Arial" w:cs="Arial"/>
                <w:sz w:val="18"/>
                <w:szCs w:val="18"/>
              </w:rPr>
            </w:pPr>
            <w:r w:rsidRPr="00420E72">
              <w:rPr>
                <w:rFonts w:ascii="Arial" w:hAnsi="Arial" w:cs="Arial" w:hint="eastAsia"/>
                <w:sz w:val="18"/>
                <w:szCs w:val="18"/>
                <w:lang w:eastAsia="zh-CN"/>
              </w:rPr>
              <w:t>0.0</w:t>
            </w:r>
          </w:p>
        </w:tc>
        <w:tc>
          <w:tcPr>
            <w:tcW w:w="1158" w:type="dxa"/>
            <w:vAlign w:val="center"/>
          </w:tcPr>
          <w:p w14:paraId="40288BDE" w14:textId="77777777" w:rsidR="004E2120" w:rsidRPr="00420E72" w:rsidRDefault="004E2120" w:rsidP="004E2120">
            <w:pPr>
              <w:spacing w:after="0" w:line="240" w:lineRule="auto"/>
              <w:jc w:val="center"/>
              <w:rPr>
                <w:rFonts w:ascii="Arial" w:hAnsi="Arial" w:cs="Arial"/>
                <w:sz w:val="18"/>
                <w:szCs w:val="18"/>
              </w:rPr>
            </w:pPr>
            <w:r w:rsidRPr="00420E72">
              <w:rPr>
                <w:rFonts w:ascii="Arial" w:hAnsi="Arial" w:cs="Arial"/>
                <w:sz w:val="18"/>
                <w:szCs w:val="18"/>
              </w:rPr>
              <w:t>0.0</w:t>
            </w:r>
          </w:p>
        </w:tc>
        <w:tc>
          <w:tcPr>
            <w:tcW w:w="1158" w:type="dxa"/>
          </w:tcPr>
          <w:p w14:paraId="6E8AA6DA" w14:textId="77777777" w:rsidR="004E2120" w:rsidRPr="00420E72" w:rsidRDefault="004E2120" w:rsidP="004E2120">
            <w:pPr>
              <w:spacing w:after="0" w:line="240" w:lineRule="auto"/>
              <w:jc w:val="center"/>
              <w:rPr>
                <w:rFonts w:ascii="Arial" w:hAnsi="Arial" w:cs="Arial"/>
                <w:sz w:val="18"/>
                <w:szCs w:val="18"/>
              </w:rPr>
            </w:pPr>
            <w:r w:rsidRPr="00420E72">
              <w:rPr>
                <w:rFonts w:ascii="Arial" w:hAnsi="Arial" w:cs="Arial" w:hint="eastAsia"/>
                <w:sz w:val="18"/>
                <w:szCs w:val="18"/>
                <w:lang w:eastAsia="zh-CN"/>
              </w:rPr>
              <w:t>0.0</w:t>
            </w:r>
          </w:p>
        </w:tc>
        <w:tc>
          <w:tcPr>
            <w:tcW w:w="1158" w:type="dxa"/>
          </w:tcPr>
          <w:p w14:paraId="582FE5EA" w14:textId="77777777" w:rsidR="004E2120" w:rsidRPr="00420E72" w:rsidRDefault="004E2120" w:rsidP="004E2120">
            <w:pPr>
              <w:spacing w:after="0" w:line="240" w:lineRule="auto"/>
              <w:jc w:val="center"/>
              <w:rPr>
                <w:rFonts w:ascii="Arial" w:hAnsi="Arial" w:cs="Arial"/>
                <w:sz w:val="18"/>
                <w:szCs w:val="18"/>
              </w:rPr>
            </w:pPr>
            <w:r w:rsidRPr="00420E72">
              <w:rPr>
                <w:rFonts w:ascii="Arial" w:hAnsi="Arial" w:cs="Arial" w:hint="eastAsia"/>
                <w:sz w:val="18"/>
                <w:szCs w:val="18"/>
                <w:lang w:eastAsia="zh-CN"/>
              </w:rPr>
              <w:t>0.0</w:t>
            </w:r>
          </w:p>
        </w:tc>
        <w:tc>
          <w:tcPr>
            <w:tcW w:w="1143" w:type="dxa"/>
          </w:tcPr>
          <w:p w14:paraId="6A7E0687" w14:textId="0209BBE9" w:rsidR="004E2120" w:rsidRPr="00420E72" w:rsidRDefault="00675BB5" w:rsidP="004E2120">
            <w:pPr>
              <w:spacing w:after="0" w:line="240" w:lineRule="auto"/>
              <w:jc w:val="center"/>
              <w:rPr>
                <w:rFonts w:ascii="Arial" w:hAnsi="Arial" w:cs="Arial"/>
                <w:sz w:val="18"/>
                <w:szCs w:val="18"/>
                <w:lang w:eastAsia="zh-CN"/>
              </w:rPr>
            </w:pPr>
            <w:r w:rsidRPr="00420E72">
              <w:rPr>
                <w:rFonts w:ascii="Arial" w:hAnsi="Arial" w:cs="Arial"/>
                <w:sz w:val="18"/>
                <w:szCs w:val="18"/>
                <w:lang w:eastAsia="zh-CN"/>
              </w:rPr>
              <w:t>0.0 ± 0.0</w:t>
            </w:r>
          </w:p>
        </w:tc>
      </w:tr>
      <w:tr w:rsidR="004E2120" w:rsidRPr="00420E72" w14:paraId="6451CEA0" w14:textId="7FCD4DD1" w:rsidTr="004E2120">
        <w:trPr>
          <w:tblCellSpacing w:w="15" w:type="dxa"/>
          <w:jc w:val="center"/>
        </w:trPr>
        <w:tc>
          <w:tcPr>
            <w:tcW w:w="2560" w:type="dxa"/>
            <w:vMerge w:val="restart"/>
            <w:vAlign w:val="center"/>
          </w:tcPr>
          <w:p w14:paraId="75CBBFC3" w14:textId="77777777" w:rsidR="004E2120" w:rsidRPr="00420E72" w:rsidRDefault="004E2120" w:rsidP="004E2120">
            <w:pPr>
              <w:spacing w:after="0" w:line="240" w:lineRule="auto"/>
              <w:rPr>
                <w:rFonts w:ascii="Arial" w:hAnsi="Arial" w:cs="Arial"/>
                <w:sz w:val="18"/>
                <w:szCs w:val="18"/>
              </w:rPr>
            </w:pPr>
            <w:r w:rsidRPr="00420E72">
              <w:rPr>
                <w:rFonts w:ascii="Arial" w:hAnsi="Arial" w:cs="Arial"/>
                <w:sz w:val="18"/>
                <w:szCs w:val="18"/>
              </w:rPr>
              <w:t>Gingival redness and swelling</w:t>
            </w:r>
          </w:p>
        </w:tc>
        <w:tc>
          <w:tcPr>
            <w:tcW w:w="1763" w:type="dxa"/>
            <w:vAlign w:val="center"/>
          </w:tcPr>
          <w:p w14:paraId="2488893D" w14:textId="77777777" w:rsidR="004E2120" w:rsidRPr="00420E72" w:rsidRDefault="004E2120" w:rsidP="004E2120">
            <w:pPr>
              <w:spacing w:after="0" w:line="240" w:lineRule="auto"/>
              <w:rPr>
                <w:rFonts w:ascii="Arial" w:hAnsi="Arial" w:cs="Arial"/>
                <w:sz w:val="18"/>
                <w:szCs w:val="18"/>
              </w:rPr>
            </w:pPr>
            <w:r w:rsidRPr="00420E72">
              <w:rPr>
                <w:rFonts w:ascii="Arial" w:hAnsi="Arial" w:cs="Arial"/>
                <w:sz w:val="18"/>
                <w:szCs w:val="18"/>
              </w:rPr>
              <w:t>Baseline</w:t>
            </w:r>
          </w:p>
        </w:tc>
        <w:tc>
          <w:tcPr>
            <w:tcW w:w="1283" w:type="dxa"/>
          </w:tcPr>
          <w:p w14:paraId="2505A421" w14:textId="77777777" w:rsidR="004E2120" w:rsidRPr="00420E72" w:rsidRDefault="004E2120" w:rsidP="004E2120">
            <w:pPr>
              <w:spacing w:after="0" w:line="240" w:lineRule="auto"/>
              <w:jc w:val="center"/>
              <w:rPr>
                <w:rFonts w:ascii="Arial" w:hAnsi="Arial" w:cs="Arial"/>
                <w:sz w:val="18"/>
                <w:szCs w:val="18"/>
              </w:rPr>
            </w:pPr>
            <w:r w:rsidRPr="00420E72">
              <w:rPr>
                <w:rFonts w:ascii="Arial" w:hAnsi="Arial" w:cs="Arial" w:hint="eastAsia"/>
                <w:sz w:val="18"/>
                <w:szCs w:val="18"/>
                <w:lang w:eastAsia="zh-CN"/>
              </w:rPr>
              <w:t>3.0</w:t>
            </w:r>
          </w:p>
        </w:tc>
        <w:tc>
          <w:tcPr>
            <w:tcW w:w="1158" w:type="dxa"/>
          </w:tcPr>
          <w:p w14:paraId="64765DF4" w14:textId="77777777" w:rsidR="004E2120" w:rsidRPr="00420E72" w:rsidRDefault="004E2120" w:rsidP="004E2120">
            <w:pPr>
              <w:spacing w:after="0" w:line="240" w:lineRule="auto"/>
              <w:jc w:val="center"/>
              <w:rPr>
                <w:rFonts w:ascii="Arial" w:hAnsi="Arial" w:cs="Arial"/>
                <w:sz w:val="18"/>
                <w:szCs w:val="18"/>
              </w:rPr>
            </w:pPr>
            <w:r w:rsidRPr="00420E72">
              <w:rPr>
                <w:rFonts w:ascii="Arial" w:hAnsi="Arial" w:cs="Arial" w:hint="eastAsia"/>
                <w:sz w:val="18"/>
                <w:szCs w:val="18"/>
                <w:lang w:eastAsia="zh-CN"/>
              </w:rPr>
              <w:t>3.0</w:t>
            </w:r>
          </w:p>
        </w:tc>
        <w:tc>
          <w:tcPr>
            <w:tcW w:w="1158" w:type="dxa"/>
          </w:tcPr>
          <w:p w14:paraId="2BFF3CEC" w14:textId="77777777" w:rsidR="004E2120" w:rsidRPr="00420E72" w:rsidRDefault="004E2120" w:rsidP="004E2120">
            <w:pPr>
              <w:spacing w:after="0" w:line="240" w:lineRule="auto"/>
              <w:jc w:val="center"/>
              <w:rPr>
                <w:rFonts w:ascii="Arial" w:hAnsi="Arial" w:cs="Arial"/>
                <w:sz w:val="18"/>
                <w:szCs w:val="18"/>
              </w:rPr>
            </w:pPr>
            <w:r w:rsidRPr="00420E72">
              <w:rPr>
                <w:rFonts w:ascii="Arial" w:hAnsi="Arial" w:cs="Arial" w:hint="eastAsia"/>
                <w:sz w:val="18"/>
                <w:szCs w:val="18"/>
                <w:lang w:eastAsia="zh-CN"/>
              </w:rPr>
              <w:t>3.0</w:t>
            </w:r>
          </w:p>
        </w:tc>
        <w:tc>
          <w:tcPr>
            <w:tcW w:w="1158" w:type="dxa"/>
          </w:tcPr>
          <w:p w14:paraId="79D0F70F" w14:textId="77777777" w:rsidR="004E2120" w:rsidRPr="00420E72" w:rsidRDefault="004E2120" w:rsidP="004E2120">
            <w:pPr>
              <w:spacing w:after="0" w:line="240" w:lineRule="auto"/>
              <w:jc w:val="center"/>
              <w:rPr>
                <w:rFonts w:ascii="Arial" w:hAnsi="Arial" w:cs="Arial"/>
                <w:sz w:val="18"/>
                <w:szCs w:val="18"/>
                <w:lang w:eastAsia="zh-CN"/>
              </w:rPr>
            </w:pPr>
            <w:r w:rsidRPr="00420E72">
              <w:rPr>
                <w:rFonts w:ascii="Arial" w:hAnsi="Arial" w:cs="Arial" w:hint="eastAsia"/>
                <w:sz w:val="18"/>
                <w:szCs w:val="18"/>
                <w:lang w:eastAsia="zh-CN"/>
              </w:rPr>
              <w:t>2.0</w:t>
            </w:r>
          </w:p>
        </w:tc>
        <w:tc>
          <w:tcPr>
            <w:tcW w:w="1143" w:type="dxa"/>
          </w:tcPr>
          <w:p w14:paraId="022F56E5" w14:textId="32C61C30" w:rsidR="004E2120" w:rsidRPr="00420E72" w:rsidRDefault="00675BB5" w:rsidP="004E2120">
            <w:pPr>
              <w:spacing w:after="0" w:line="240" w:lineRule="auto"/>
              <w:jc w:val="center"/>
              <w:rPr>
                <w:rFonts w:ascii="Arial" w:hAnsi="Arial" w:cs="Arial"/>
                <w:sz w:val="18"/>
                <w:szCs w:val="18"/>
                <w:lang w:eastAsia="zh-CN"/>
              </w:rPr>
            </w:pPr>
            <w:r w:rsidRPr="00420E72">
              <w:rPr>
                <w:rFonts w:ascii="Arial" w:hAnsi="Arial" w:cs="Arial"/>
                <w:sz w:val="18"/>
                <w:szCs w:val="18"/>
                <w:lang w:eastAsia="zh-CN"/>
              </w:rPr>
              <w:t>2.8 ± 0.5</w:t>
            </w:r>
          </w:p>
        </w:tc>
      </w:tr>
      <w:tr w:rsidR="004E2120" w:rsidRPr="00420E72" w14:paraId="73EB00C5" w14:textId="6D254E5B" w:rsidTr="004E2120">
        <w:trPr>
          <w:tblCellSpacing w:w="15" w:type="dxa"/>
          <w:jc w:val="center"/>
        </w:trPr>
        <w:tc>
          <w:tcPr>
            <w:tcW w:w="2560" w:type="dxa"/>
            <w:vMerge/>
            <w:vAlign w:val="center"/>
          </w:tcPr>
          <w:p w14:paraId="3170B37B" w14:textId="77777777" w:rsidR="004E2120" w:rsidRPr="00420E72" w:rsidRDefault="004E2120" w:rsidP="004E2120">
            <w:pPr>
              <w:spacing w:after="0" w:line="240" w:lineRule="auto"/>
              <w:rPr>
                <w:rFonts w:ascii="Arial" w:hAnsi="Arial" w:cs="Arial"/>
                <w:sz w:val="18"/>
                <w:szCs w:val="18"/>
              </w:rPr>
            </w:pPr>
          </w:p>
        </w:tc>
        <w:tc>
          <w:tcPr>
            <w:tcW w:w="1763" w:type="dxa"/>
          </w:tcPr>
          <w:p w14:paraId="4BA249FA" w14:textId="77777777" w:rsidR="004E2120" w:rsidRPr="00420E72" w:rsidRDefault="004E2120" w:rsidP="004E2120">
            <w:pPr>
              <w:spacing w:after="0" w:line="240" w:lineRule="auto"/>
              <w:rPr>
                <w:rFonts w:ascii="Arial" w:hAnsi="Arial" w:cs="Arial"/>
                <w:sz w:val="18"/>
                <w:szCs w:val="18"/>
              </w:rPr>
            </w:pPr>
            <w:r w:rsidRPr="00420E72">
              <w:rPr>
                <w:rFonts w:ascii="Arial" w:hAnsi="Arial" w:cs="Arial"/>
                <w:sz w:val="18"/>
                <w:szCs w:val="18"/>
              </w:rPr>
              <w:t>Day 4</w:t>
            </w:r>
          </w:p>
        </w:tc>
        <w:tc>
          <w:tcPr>
            <w:tcW w:w="1283" w:type="dxa"/>
          </w:tcPr>
          <w:p w14:paraId="2BFCE2EC" w14:textId="77777777" w:rsidR="004E2120" w:rsidRPr="00420E72" w:rsidRDefault="004E2120" w:rsidP="004E2120">
            <w:pPr>
              <w:spacing w:after="0" w:line="240" w:lineRule="auto"/>
              <w:jc w:val="center"/>
              <w:rPr>
                <w:rFonts w:ascii="Arial" w:hAnsi="Arial" w:cs="Arial"/>
                <w:sz w:val="18"/>
                <w:szCs w:val="18"/>
              </w:rPr>
            </w:pPr>
            <w:r w:rsidRPr="00420E72">
              <w:rPr>
                <w:rFonts w:ascii="Arial" w:hAnsi="Arial" w:cs="Arial" w:hint="eastAsia"/>
                <w:sz w:val="18"/>
                <w:szCs w:val="18"/>
                <w:lang w:eastAsia="zh-CN"/>
              </w:rPr>
              <w:t>0.0</w:t>
            </w:r>
          </w:p>
        </w:tc>
        <w:tc>
          <w:tcPr>
            <w:tcW w:w="1158" w:type="dxa"/>
          </w:tcPr>
          <w:p w14:paraId="1F9A4F2E" w14:textId="77777777" w:rsidR="004E2120" w:rsidRPr="00420E72" w:rsidRDefault="004E2120" w:rsidP="004E2120">
            <w:pPr>
              <w:spacing w:after="0" w:line="240" w:lineRule="auto"/>
              <w:jc w:val="center"/>
              <w:rPr>
                <w:rFonts w:ascii="Arial" w:hAnsi="Arial" w:cs="Arial"/>
                <w:sz w:val="18"/>
                <w:szCs w:val="18"/>
              </w:rPr>
            </w:pPr>
            <w:r w:rsidRPr="00420E72">
              <w:rPr>
                <w:rFonts w:ascii="Arial" w:hAnsi="Arial" w:cs="Arial" w:hint="eastAsia"/>
                <w:sz w:val="18"/>
                <w:szCs w:val="18"/>
                <w:lang w:eastAsia="zh-CN"/>
              </w:rPr>
              <w:t>0.0</w:t>
            </w:r>
          </w:p>
        </w:tc>
        <w:tc>
          <w:tcPr>
            <w:tcW w:w="1158" w:type="dxa"/>
          </w:tcPr>
          <w:p w14:paraId="7DDC4A36" w14:textId="77777777" w:rsidR="004E2120" w:rsidRPr="00420E72" w:rsidRDefault="004E2120" w:rsidP="004E2120">
            <w:pPr>
              <w:spacing w:after="0" w:line="240" w:lineRule="auto"/>
              <w:jc w:val="center"/>
              <w:rPr>
                <w:rFonts w:ascii="Arial" w:hAnsi="Arial" w:cs="Arial"/>
                <w:sz w:val="18"/>
                <w:szCs w:val="18"/>
              </w:rPr>
            </w:pPr>
            <w:r w:rsidRPr="00420E72">
              <w:rPr>
                <w:rFonts w:ascii="Arial" w:hAnsi="Arial" w:cs="Arial" w:hint="eastAsia"/>
                <w:sz w:val="18"/>
                <w:szCs w:val="18"/>
                <w:lang w:eastAsia="zh-CN"/>
              </w:rPr>
              <w:t>0.0</w:t>
            </w:r>
          </w:p>
        </w:tc>
        <w:tc>
          <w:tcPr>
            <w:tcW w:w="1158" w:type="dxa"/>
          </w:tcPr>
          <w:p w14:paraId="0717E3CB" w14:textId="77777777" w:rsidR="004E2120" w:rsidRPr="00420E72" w:rsidRDefault="004E2120" w:rsidP="004E2120">
            <w:pPr>
              <w:spacing w:after="0" w:line="240" w:lineRule="auto"/>
              <w:jc w:val="center"/>
              <w:rPr>
                <w:rFonts w:ascii="Arial" w:hAnsi="Arial" w:cs="Arial"/>
                <w:sz w:val="18"/>
                <w:szCs w:val="18"/>
              </w:rPr>
            </w:pPr>
            <w:r w:rsidRPr="00420E72">
              <w:rPr>
                <w:rFonts w:ascii="Arial" w:hAnsi="Arial" w:cs="Arial" w:hint="eastAsia"/>
                <w:sz w:val="18"/>
                <w:szCs w:val="18"/>
                <w:lang w:eastAsia="zh-CN"/>
              </w:rPr>
              <w:t>0.0</w:t>
            </w:r>
          </w:p>
        </w:tc>
        <w:tc>
          <w:tcPr>
            <w:tcW w:w="1143" w:type="dxa"/>
          </w:tcPr>
          <w:p w14:paraId="4B3BD79F" w14:textId="4B0F14DA" w:rsidR="004E2120" w:rsidRPr="00420E72" w:rsidRDefault="00675BB5" w:rsidP="004E2120">
            <w:pPr>
              <w:spacing w:after="0" w:line="240" w:lineRule="auto"/>
              <w:jc w:val="center"/>
              <w:rPr>
                <w:rFonts w:ascii="Arial" w:hAnsi="Arial" w:cs="Arial"/>
                <w:sz w:val="18"/>
                <w:szCs w:val="18"/>
                <w:lang w:eastAsia="zh-CN"/>
              </w:rPr>
            </w:pPr>
            <w:r w:rsidRPr="00420E72">
              <w:rPr>
                <w:rFonts w:ascii="Arial" w:hAnsi="Arial" w:cs="Arial"/>
                <w:sz w:val="18"/>
                <w:szCs w:val="18"/>
                <w:lang w:eastAsia="zh-CN"/>
              </w:rPr>
              <w:t>0.0 ± 0.0</w:t>
            </w:r>
          </w:p>
        </w:tc>
      </w:tr>
    </w:tbl>
    <w:p w14:paraId="469A665D" w14:textId="77777777" w:rsidR="002A3509" w:rsidRPr="00420E72" w:rsidRDefault="002A3509" w:rsidP="002A3509">
      <w:pPr>
        <w:ind w:firstLineChars="200" w:firstLine="400"/>
        <w:jc w:val="both"/>
        <w:rPr>
          <w:rFonts w:ascii="Arial" w:hAnsi="Arial" w:cs="Arial"/>
          <w:lang w:eastAsia="zh-CN"/>
        </w:rPr>
      </w:pPr>
      <w:r w:rsidRPr="00420E72">
        <w:rPr>
          <w:rFonts w:ascii="Arial" w:hAnsi="Arial" w:cs="Arial"/>
          <w:lang w:eastAsia="zh-CN"/>
        </w:rPr>
        <w:t>At baseline, all patients exhibited visible gingival recession accompanied by inflammatory manifestations, including gingival redness, swelling, and bleeding during brushing. The mean exposed root surface length was 1.4 ± 0.2 mm. After 42 days of treatment, the mean exposed length was reduced to 0.2 ± 0.1 mm, corresponding to an average gingival tissue regrowth of approximately 1.2 mm. Complete root surface coverage was observed in one patient, indicating substantial reversal of gingival recession.</w:t>
      </w:r>
    </w:p>
    <w:p w14:paraId="2C55CE1C" w14:textId="77777777" w:rsidR="002A3509" w:rsidRPr="00420E72" w:rsidRDefault="002A3509" w:rsidP="002A3509">
      <w:pPr>
        <w:ind w:firstLineChars="200" w:firstLine="400"/>
        <w:jc w:val="both"/>
        <w:rPr>
          <w:rFonts w:ascii="Arial" w:hAnsi="Arial" w:cs="Arial"/>
          <w:lang w:eastAsia="zh-CN"/>
        </w:rPr>
      </w:pPr>
      <w:r w:rsidRPr="00420E72">
        <w:rPr>
          <w:rFonts w:ascii="Arial" w:hAnsi="Arial" w:cs="Arial"/>
          <w:lang w:eastAsia="zh-CN"/>
        </w:rPr>
        <w:t xml:space="preserve">Representative paired clinical photographs from two different patients are shown in </w:t>
      </w:r>
      <w:r w:rsidRPr="00420E72">
        <w:rPr>
          <w:rFonts w:ascii="Arial" w:hAnsi="Arial" w:cs="Arial"/>
          <w:b/>
          <w:bCs/>
          <w:lang w:eastAsia="zh-CN"/>
        </w:rPr>
        <w:t>Figure 2A and Figure 2B</w:t>
      </w:r>
      <w:r w:rsidRPr="00420E72">
        <w:rPr>
          <w:rFonts w:ascii="Arial" w:hAnsi="Arial" w:cs="Arial"/>
          <w:lang w:eastAsia="zh-CN"/>
        </w:rPr>
        <w:t>, respectively. In both patients, post-treatment images demonstrate clear gingival tissue regrowth with reduction of exposed root surfaces, together with marked improvement in inflammatory signs.</w:t>
      </w:r>
    </w:p>
    <w:p w14:paraId="46525E12" w14:textId="77777777" w:rsidR="002A3509" w:rsidRPr="00420E72" w:rsidRDefault="002A3509" w:rsidP="002A3509">
      <w:pPr>
        <w:ind w:firstLineChars="200" w:firstLine="400"/>
        <w:jc w:val="center"/>
        <w:rPr>
          <w:rFonts w:ascii="Arial" w:hAnsi="Arial" w:cs="Arial"/>
          <w:lang w:eastAsia="zh-CN"/>
        </w:rPr>
      </w:pPr>
      <w:r w:rsidRPr="00420E72">
        <w:rPr>
          <w:noProof/>
        </w:rPr>
        <w:drawing>
          <wp:inline distT="0" distB="0" distL="0" distR="0" wp14:anchorId="6752FCA2" wp14:editId="0A30EDEA">
            <wp:extent cx="2725153" cy="1934732"/>
            <wp:effectExtent l="0" t="0" r="0" b="0"/>
            <wp:docPr id="212576270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29105" cy="1937538"/>
                    </a:xfrm>
                    <a:prstGeom prst="rect">
                      <a:avLst/>
                    </a:prstGeom>
                    <a:noFill/>
                    <a:ln>
                      <a:noFill/>
                    </a:ln>
                  </pic:spPr>
                </pic:pic>
              </a:graphicData>
            </a:graphic>
          </wp:inline>
        </w:drawing>
      </w:r>
    </w:p>
    <w:p w14:paraId="71839941" w14:textId="7C53220E" w:rsidR="002A3509" w:rsidRPr="00420E72" w:rsidRDefault="002A3509" w:rsidP="002A3509">
      <w:pPr>
        <w:jc w:val="center"/>
        <w:rPr>
          <w:rFonts w:ascii="Arial" w:hAnsi="Arial" w:cs="Arial"/>
          <w:lang w:eastAsia="zh-CN"/>
        </w:rPr>
      </w:pPr>
      <w:r w:rsidRPr="00420E72">
        <w:rPr>
          <w:rFonts w:ascii="Arial" w:hAnsi="Arial" w:cs="Arial"/>
          <w:lang w:eastAsia="zh-CN"/>
        </w:rPr>
        <w:t>Figure 2</w:t>
      </w:r>
      <w:r w:rsidR="00EF7E1D" w:rsidRPr="00420E72">
        <w:rPr>
          <w:rFonts w:ascii="Arial" w:hAnsi="Arial" w:cs="Arial" w:hint="eastAsia"/>
          <w:lang w:eastAsia="zh-CN"/>
        </w:rPr>
        <w:t>A-B</w:t>
      </w:r>
      <w:r w:rsidRPr="00420E72">
        <w:rPr>
          <w:rFonts w:ascii="Arial" w:hAnsi="Arial" w:cs="Arial"/>
          <w:lang w:eastAsia="zh-CN"/>
        </w:rPr>
        <w:t>. Clinical photographs showing gingival tissue regeneration and inflammation resolution before and after treatment.</w:t>
      </w:r>
    </w:p>
    <w:p w14:paraId="72D0D738" w14:textId="77777777" w:rsidR="002A3509" w:rsidRPr="00420E72" w:rsidRDefault="002A3509" w:rsidP="002A3509">
      <w:pPr>
        <w:ind w:firstLineChars="200" w:firstLine="400"/>
        <w:jc w:val="both"/>
        <w:rPr>
          <w:rFonts w:ascii="Arial" w:hAnsi="Arial" w:cs="Arial"/>
          <w:lang w:eastAsia="zh-CN"/>
        </w:rPr>
      </w:pPr>
      <w:r w:rsidRPr="00420E72">
        <w:rPr>
          <w:rFonts w:ascii="Arial" w:hAnsi="Arial" w:cs="Arial"/>
          <w:lang w:eastAsia="zh-CN"/>
        </w:rPr>
        <w:t>Chronic gingival or root pain was present in all patients at baseline, with a mean score of 2.4 ± 0.1. After 42 days of treatment, pain scores decreased to 0 in all cases, indicating complete symptom resolution. Gingival itching and discomfort were rapidly relieved, with all patients reporting complete symptom disappearance within 30 seconds of brushing during the treatment period.</w:t>
      </w:r>
    </w:p>
    <w:p w14:paraId="50DD7162" w14:textId="77777777" w:rsidR="002A3509" w:rsidRPr="00420E72" w:rsidRDefault="002A3509" w:rsidP="002A3509">
      <w:pPr>
        <w:ind w:firstLineChars="200" w:firstLine="400"/>
        <w:jc w:val="both"/>
        <w:rPr>
          <w:rFonts w:ascii="Arial" w:hAnsi="Arial" w:cs="Arial"/>
          <w:lang w:eastAsia="zh-CN"/>
        </w:rPr>
      </w:pPr>
      <w:r w:rsidRPr="00420E72">
        <w:rPr>
          <w:rFonts w:ascii="Arial" w:hAnsi="Arial" w:cs="Arial"/>
          <w:lang w:eastAsia="zh-CN"/>
        </w:rPr>
        <w:t xml:space="preserve">Inflammatory changes improved rapidly in parallel with gingival tissue regeneration. In the two representative cases shown (Figure 2A and 2B), gingival redness and swelling visibly subsided after treatment, with restoration of normal gingival coloration. Quantitatively, redness and swelling scores normalized to 0 in all patients within 4 days of treatment. In addition, all </w:t>
      </w:r>
      <w:r w:rsidRPr="00420E72">
        <w:rPr>
          <w:rFonts w:ascii="Arial" w:hAnsi="Arial" w:cs="Arial"/>
          <w:lang w:eastAsia="zh-CN"/>
        </w:rPr>
        <w:lastRenderedPageBreak/>
        <w:t>patients initially reported gingival bleeding during brushing, which completely resolved within 2 days of HA35 fragment gel application, resulting in markedly improved brushing comfort.</w:t>
      </w:r>
    </w:p>
    <w:p w14:paraId="726EB560" w14:textId="5B251E16" w:rsidR="005C70F4" w:rsidRPr="00420E72" w:rsidRDefault="002A3509" w:rsidP="002A3509">
      <w:pPr>
        <w:ind w:firstLineChars="200" w:firstLine="400"/>
        <w:jc w:val="both"/>
        <w:rPr>
          <w:rFonts w:ascii="Arial" w:hAnsi="Arial" w:cs="Arial"/>
          <w:lang w:eastAsia="zh-CN"/>
        </w:rPr>
      </w:pPr>
      <w:r w:rsidRPr="00420E72">
        <w:rPr>
          <w:rFonts w:ascii="Arial" w:hAnsi="Arial" w:cs="Arial"/>
          <w:lang w:eastAsia="zh-CN"/>
        </w:rPr>
        <w:t>Overall, these findings demonstrate consistent therapeutic effects across different patients, characterized by gingival tissue regeneration accompanied by rapid resolution of inflammation, pain relief, and functional recovery, yielding a 100% response rate across all evaluated clinical parameters.</w:t>
      </w:r>
    </w:p>
    <w:p w14:paraId="6E36195A" w14:textId="301A5191" w:rsidR="007B0C8E" w:rsidRPr="00420E72" w:rsidRDefault="006973D6">
      <w:pPr>
        <w:pStyle w:val="ConcHead"/>
        <w:spacing w:afterLines="50" w:after="120"/>
        <w:jc w:val="both"/>
        <w:rPr>
          <w:rFonts w:ascii="Arial" w:hAnsi="Arial" w:cs="Arial"/>
        </w:rPr>
      </w:pPr>
      <w:r w:rsidRPr="00420E72">
        <w:rPr>
          <w:rFonts w:ascii="Arial" w:hAnsi="Arial" w:cs="Arial" w:hint="eastAsia"/>
          <w:lang w:eastAsia="zh-CN"/>
        </w:rPr>
        <w:t>4</w:t>
      </w:r>
      <w:r w:rsidRPr="00420E72">
        <w:rPr>
          <w:rFonts w:ascii="Arial" w:hAnsi="Arial" w:cs="Arial" w:hint="eastAsia"/>
        </w:rPr>
        <w:t>. DISCUSSION</w:t>
      </w:r>
    </w:p>
    <w:p w14:paraId="01BF8F33" w14:textId="77777777" w:rsidR="00013ED7" w:rsidRPr="00420E72" w:rsidRDefault="00013ED7" w:rsidP="00013ED7">
      <w:pPr>
        <w:pStyle w:val="Body"/>
        <w:spacing w:afterLines="50" w:after="120"/>
        <w:rPr>
          <w:rFonts w:ascii="Arial" w:hAnsi="Arial" w:cs="Arial"/>
        </w:rPr>
      </w:pPr>
      <w:r w:rsidRPr="00420E72">
        <w:rPr>
          <w:rFonts w:ascii="Arial" w:hAnsi="Arial" w:cs="Arial"/>
        </w:rPr>
        <w:t>This case series demonstrated that a 42-day treatment with a 10% high-concentration HA35 fragment gel was associated with marked clinical improvement in four male patients presenting with mild gingival recession and chronic gingival or root pain. As illustrated in Figure 1A–B, each patient exhibited 3–4 measurable sites of root exposure that served as defined observation points. Following treatment, these recessed areas were largely covered by regenerated gingival tissue, with an average gingival regrowth of 1.2 mm (Table 1). In parallel, chronic gingival or root pain resolved completely, while early inflammatory manifestations—including itching, erythema, and brushing-induced bleeding—subsided rapidly. Taken together, these findings suggest that HA35 fragment gel may exert combined anti-inflammatory, analgesic, and soft-tissue regenerative effects in the gingival environment.</w:t>
      </w:r>
    </w:p>
    <w:p w14:paraId="2CE5568B" w14:textId="77777777" w:rsidR="00013ED7" w:rsidRPr="00420E72" w:rsidRDefault="00013ED7" w:rsidP="00013ED7">
      <w:pPr>
        <w:pStyle w:val="Body"/>
        <w:spacing w:afterLines="50" w:after="120"/>
        <w:ind w:firstLineChars="200" w:firstLine="400"/>
        <w:rPr>
          <w:rFonts w:ascii="Arial" w:hAnsi="Arial" w:cs="Arial"/>
        </w:rPr>
      </w:pPr>
      <w:r w:rsidRPr="00420E72">
        <w:rPr>
          <w:rFonts w:ascii="Arial" w:hAnsi="Arial" w:cs="Arial"/>
        </w:rPr>
        <w:t xml:space="preserve">The observed clinical benefits may be explained by multiple, potentially time-dependent biological mechanisms. Previous studies have shown that low-molecular-weight hyaluronan fragments possess enhanced tissue permeability and bioactivity (9,10), enabling interaction with superficial gingival tissues to suppress inflammatory signaling and support epithelial barrier repair. In addition, HA35 has been reported to interact with TRPV1 and TRPA1 ion channels as well as the lymphatic endothelial receptor LYVE-1 (8), which may contribute to modulation of neuro-immune pathways involved in pain perception and local inflammatory responses. Beyond these early effects, low-molecular-weight HA fragments have also been shown to stimulate fibroblast migration and collagen synthesis (16), thereby providing a structural basis for gingival reattachment and soft-tissue regeneration. These mechanistic considerations are consistent with our previous observations in cutaneous models (5–7), suggesting that 35 </w:t>
      </w:r>
      <w:proofErr w:type="spellStart"/>
      <w:r w:rsidRPr="00420E72">
        <w:rPr>
          <w:rFonts w:ascii="Arial" w:hAnsi="Arial" w:cs="Arial"/>
        </w:rPr>
        <w:t>kDa</w:t>
      </w:r>
      <w:proofErr w:type="spellEnd"/>
      <w:r w:rsidRPr="00420E72">
        <w:rPr>
          <w:rFonts w:ascii="Arial" w:hAnsi="Arial" w:cs="Arial"/>
        </w:rPr>
        <w:t xml:space="preserve"> HA fragments may exert broadly conserved anti-inflammatory, analgesic, and pro-regenerative effects across different epithelial tissues.</w:t>
      </w:r>
    </w:p>
    <w:p w14:paraId="7535E31E" w14:textId="2A0F7B9F" w:rsidR="00013ED7" w:rsidRPr="00420E72" w:rsidRDefault="00013ED7" w:rsidP="00013ED7">
      <w:pPr>
        <w:pStyle w:val="Body"/>
        <w:spacing w:afterLines="50" w:after="120"/>
        <w:ind w:firstLineChars="200" w:firstLine="400"/>
        <w:rPr>
          <w:rFonts w:ascii="Arial" w:hAnsi="Arial" w:cs="Arial"/>
        </w:rPr>
      </w:pPr>
      <w:r w:rsidRPr="00420E72">
        <w:rPr>
          <w:rFonts w:ascii="Arial" w:hAnsi="Arial" w:cs="Arial"/>
        </w:rPr>
        <w:t xml:space="preserve">The temporal pattern of clinical improvement observed in this study further supports this mechanistic framework. Gingival redness improved within approximately four days, brushing-induced bleeding resolved within two days, and chronic gingival or root pain disappeared entirely by day 42. Compared with conventional mechanical periodontal interventions or medicated mouth rinses—particularly in patients with mild gingival recession or during the maintenance phase—topical application of an HA fragment gel offers several practical advantages, including non-invasive administration, ease of use, and high patient adherence. Its ability to reduce inflammation at an early stage while supporting subsequent soft-tissue regeneration highlights its potential value as an adjunctive strategy for periodontal maintenance and home-based oral care. In addition to these longer-term effects, an unexpected and clinically notable finding was the ultra-rapid relief of gingival itching and discomfort observed within approximately 30 seconds following application of the 10% HA35 gel (Table </w:t>
      </w:r>
      <w:r w:rsidR="00420E72" w:rsidRPr="00420E72">
        <w:rPr>
          <w:rFonts w:ascii="Arial" w:hAnsi="Arial" w:cs="Arial"/>
        </w:rPr>
        <w:t>2</w:t>
      </w:r>
      <w:r w:rsidRPr="00420E72">
        <w:rPr>
          <w:rFonts w:ascii="Arial" w:hAnsi="Arial" w:cs="Arial"/>
        </w:rPr>
        <w:t xml:space="preserve">). Given the short time frame, this immediate effect is unlikely to depend solely on direct molecular penetration of hyaluronan fragments into gingival tissues. Rather, it suggests the involvement of alternative mechanisms that do not require classical pharmacokinetic tissue distribution, such as rapid modulation of sensory nerve endings or surface receptor–mediated neuro-immune signaling. This observation does not fully align with </w:t>
      </w:r>
      <w:r w:rsidRPr="00420E72">
        <w:rPr>
          <w:rFonts w:ascii="Arial" w:hAnsi="Arial" w:cs="Arial"/>
        </w:rPr>
        <w:lastRenderedPageBreak/>
        <w:t xml:space="preserve">conventional pharmacodynamic models and therefore represents a hypothesis-generating finding that warrants further experimental investigation. Notably, two patients (aged 66 and 54 years) presented with small periapical inflammatory shadows on X-ray imaging, one of which was associated with an incompletely treated root canal, suggesting that the reported pain was at least partly attributable to deeper inflammatory involvement of the periapical tissues rather than superficial gingival irritation alone. In this context, a series of preliminary and unpublished clinical observations have documented ultra-rapid relief (within approximately 30 seconds) of inflammatory or neuropathic pain extending to depths of about 1 cm following topical application of a </w:t>
      </w:r>
      <w:bookmarkStart w:id="3" w:name="_Hlk218504416"/>
      <w:r w:rsidRPr="00420E72">
        <w:rPr>
          <w:rFonts w:ascii="Arial" w:hAnsi="Arial" w:cs="Arial"/>
        </w:rPr>
        <w:t xml:space="preserve">10% high-concentration HA35 fragment preparation, including presentations such as herpes zoster–related chest pain, </w:t>
      </w:r>
      <w:bookmarkEnd w:id="3"/>
      <w:r w:rsidRPr="00420E72">
        <w:rPr>
          <w:rFonts w:ascii="Arial" w:hAnsi="Arial" w:cs="Arial"/>
        </w:rPr>
        <w:t>supraorbital and temporal pain, temporomandibular joint pain, finger joint pain, and gout-related hallux pain. Although these observations are anecdotal and not intended to demonstrate therapeutic efficacy, they provide contextual support for the hypothesis that the analgesic effects of HA35 may involve rapid, non–penetration-dependent mechanisms, consistent with the immediate pain relief observed in the present gingival case series.</w:t>
      </w:r>
    </w:p>
    <w:p w14:paraId="7327D8BC" w14:textId="510EA42B" w:rsidR="007B0C8E" w:rsidRPr="00420E72" w:rsidRDefault="00013ED7" w:rsidP="00013ED7">
      <w:pPr>
        <w:pStyle w:val="Body"/>
        <w:spacing w:afterLines="50" w:after="120"/>
        <w:ind w:firstLineChars="200" w:firstLine="400"/>
        <w:rPr>
          <w:rFonts w:ascii="Arial" w:hAnsi="Arial" w:cs="Arial"/>
        </w:rPr>
      </w:pPr>
      <w:r w:rsidRPr="00420E72">
        <w:rPr>
          <w:rFonts w:ascii="Arial" w:hAnsi="Arial" w:cs="Arial"/>
        </w:rPr>
        <w:t>Despite these encouraging findings, several limitations should be acknowledged. The small sample size and lack of a randomized control group restrict the generalizability of the results and underscore the need for larger, controlled clinical trials. Gingival recession was primarily assessed through visual comparison, which may introduce subjective measurement bias. Although the measurement approach illustrated in Figure 1A–B has limited sensitivity, it represents a pragmatic and exploratory method for estimating gingival regrowth in a clinical setting. Future studies should incorporate more objective and higher-resolution assessment tools, such as standardized full-mouth digital photography, histological evaluation, and biomarker analyses, to more precisely quantify gingival regeneration and to further elucidate the molecular mechanisms and long-term therapeutic potential of HA35-based interventions</w:t>
      </w:r>
      <w:r w:rsidR="00D62DC1" w:rsidRPr="00420E72">
        <w:rPr>
          <w:rFonts w:ascii="Arial" w:hAnsi="Arial" w:cs="Arial"/>
        </w:rPr>
        <w:t>.</w:t>
      </w:r>
    </w:p>
    <w:p w14:paraId="276F69ED" w14:textId="5C7F97DA" w:rsidR="00013ED7" w:rsidRPr="00420E72" w:rsidRDefault="006973D6" w:rsidP="00EF7E1D">
      <w:pPr>
        <w:jc w:val="both"/>
        <w:rPr>
          <w:rFonts w:ascii="Arial" w:hAnsi="Arial" w:cs="Arial"/>
          <w:b/>
          <w:caps/>
          <w:sz w:val="22"/>
        </w:rPr>
      </w:pPr>
      <w:r w:rsidRPr="00420E72">
        <w:rPr>
          <w:rFonts w:ascii="Arial" w:hAnsi="Arial" w:cs="Arial" w:hint="eastAsia"/>
          <w:b/>
          <w:caps/>
          <w:sz w:val="22"/>
          <w:lang w:eastAsia="zh-CN"/>
        </w:rPr>
        <w:t>5</w:t>
      </w:r>
      <w:r w:rsidR="00013ED7" w:rsidRPr="00420E72">
        <w:rPr>
          <w:rFonts w:ascii="Arial" w:hAnsi="Arial" w:cs="Arial" w:hint="eastAsia"/>
          <w:b/>
          <w:caps/>
          <w:sz w:val="22"/>
          <w:lang w:eastAsia="zh-CN"/>
        </w:rPr>
        <w:t xml:space="preserve">. </w:t>
      </w:r>
      <w:r w:rsidR="00013ED7" w:rsidRPr="00420E72">
        <w:rPr>
          <w:rFonts w:ascii="Arial" w:hAnsi="Arial" w:cs="Arial"/>
          <w:b/>
          <w:caps/>
          <w:sz w:val="22"/>
        </w:rPr>
        <w:t>Conclusion</w:t>
      </w:r>
    </w:p>
    <w:p w14:paraId="783F6C75" w14:textId="2337C06A" w:rsidR="00013ED7" w:rsidRPr="00420E72" w:rsidRDefault="00980B26" w:rsidP="00EF7E1D">
      <w:pPr>
        <w:jc w:val="both"/>
        <w:rPr>
          <w:rFonts w:ascii="Arial" w:hAnsi="Arial" w:cs="Arial"/>
        </w:rPr>
      </w:pPr>
      <w:r w:rsidRPr="00420E72">
        <w:rPr>
          <w:rFonts w:ascii="Arial" w:hAnsi="Arial" w:cs="Arial"/>
        </w:rPr>
        <w:t>The 10% high-concentration HA35 fragment gel was associated with consistent clinical improvements in gingival recession and inflammatory symptoms in this small case series and demonstrated good local tolerability and safety. These observations suggest that HA35 gel may represent a potential adjunctive approach for gingival symptom management and maintenance of gingival health; however, further validation in well-designed, controlled clinical studies is required</w:t>
      </w:r>
      <w:r w:rsidR="00013ED7" w:rsidRPr="00420E72">
        <w:rPr>
          <w:rFonts w:ascii="Arial" w:hAnsi="Arial" w:cs="Arial"/>
        </w:rPr>
        <w:t>.</w:t>
      </w:r>
    </w:p>
    <w:p w14:paraId="31F6787D" w14:textId="77777777" w:rsidR="003E1759" w:rsidRPr="00420E72" w:rsidRDefault="003E1759" w:rsidP="003E1759">
      <w:pPr>
        <w:pStyle w:val="ReferHead"/>
        <w:spacing w:after="0"/>
        <w:jc w:val="both"/>
        <w:rPr>
          <w:rFonts w:ascii="Arial" w:hAnsi="Arial" w:cs="Arial"/>
          <w:b w:val="0"/>
          <w:caps w:val="0"/>
          <w:sz w:val="20"/>
        </w:rPr>
      </w:pPr>
      <w:bookmarkStart w:id="4" w:name="_GoBack"/>
      <w:bookmarkEnd w:id="4"/>
    </w:p>
    <w:p w14:paraId="57792A8D" w14:textId="77777777" w:rsidR="003E1759" w:rsidRPr="00420E72" w:rsidRDefault="003E1759" w:rsidP="003E1759">
      <w:pPr>
        <w:pStyle w:val="AcknHead"/>
        <w:spacing w:afterLines="50" w:after="120"/>
        <w:jc w:val="both"/>
        <w:rPr>
          <w:rFonts w:ascii="Arial" w:hAnsi="Arial" w:cs="Arial"/>
        </w:rPr>
      </w:pPr>
      <w:r w:rsidRPr="00420E72">
        <w:rPr>
          <w:rFonts w:ascii="Arial" w:hAnsi="Arial" w:cs="Arial"/>
        </w:rPr>
        <w:t xml:space="preserve">Consent </w:t>
      </w:r>
      <w:r w:rsidRPr="00420E72">
        <w:rPr>
          <w:rFonts w:ascii="Arial" w:hAnsi="Arial" w:cs="Arial" w:hint="eastAsia"/>
        </w:rPr>
        <w:t xml:space="preserve">and </w:t>
      </w:r>
      <w:r w:rsidRPr="00420E72">
        <w:rPr>
          <w:rFonts w:ascii="Arial" w:hAnsi="Arial" w:cs="Arial"/>
        </w:rPr>
        <w:t>Ethics Statement</w:t>
      </w:r>
    </w:p>
    <w:p w14:paraId="5E624693" w14:textId="77777777" w:rsidR="003E1759" w:rsidRPr="00420E72" w:rsidRDefault="003E1759" w:rsidP="003E1759">
      <w:pPr>
        <w:pStyle w:val="ReferHead"/>
        <w:jc w:val="both"/>
        <w:rPr>
          <w:rFonts w:ascii="Arial" w:hAnsi="Arial" w:cs="Arial"/>
          <w:b w:val="0"/>
          <w:caps w:val="0"/>
          <w:sz w:val="20"/>
          <w:lang w:eastAsia="zh-CN"/>
        </w:rPr>
      </w:pPr>
      <w:r w:rsidRPr="00420E72">
        <w:rPr>
          <w:rFonts w:ascii="Arial" w:hAnsi="Arial" w:cs="Arial"/>
          <w:b w:val="0"/>
          <w:caps w:val="0"/>
          <w:sz w:val="20"/>
          <w:lang w:eastAsia="zh-CN"/>
        </w:rPr>
        <w:t>Written informed consent was obtained from the patient for the publication of any potentially identifiable images or data included in this article.</w:t>
      </w:r>
    </w:p>
    <w:p w14:paraId="68221DBC" w14:textId="77777777" w:rsidR="003E1759" w:rsidRPr="00420E72" w:rsidRDefault="003E1759" w:rsidP="003E1759">
      <w:pPr>
        <w:pStyle w:val="AcknHead"/>
        <w:spacing w:afterLines="50" w:after="120"/>
        <w:jc w:val="both"/>
        <w:rPr>
          <w:rFonts w:ascii="Arial" w:hAnsi="Arial" w:cs="Arial"/>
        </w:rPr>
      </w:pPr>
      <w:r w:rsidRPr="00420E72">
        <w:rPr>
          <w:rFonts w:ascii="Arial" w:hAnsi="Arial" w:cs="Arial" w:hint="eastAsia"/>
        </w:rPr>
        <w:t>References</w:t>
      </w:r>
    </w:p>
    <w:p w14:paraId="7FDB92BB" w14:textId="6755AB02" w:rsidR="003E1759" w:rsidRPr="00420E72" w:rsidRDefault="003E1759" w:rsidP="004278AD">
      <w:pPr>
        <w:jc w:val="both"/>
        <w:rPr>
          <w:rFonts w:ascii="Arial" w:hAnsi="Arial" w:cs="Arial"/>
        </w:rPr>
      </w:pPr>
      <w:r w:rsidRPr="00420E72">
        <w:rPr>
          <w:rFonts w:ascii="Arial" w:hAnsi="Arial" w:cs="Arial" w:hint="eastAsia"/>
          <w:lang w:eastAsia="zh-CN"/>
        </w:rPr>
        <w:t xml:space="preserve">1. </w:t>
      </w:r>
      <w:r w:rsidRPr="00420E72">
        <w:rPr>
          <w:rFonts w:ascii="Arial" w:hAnsi="Arial" w:cs="Arial"/>
        </w:rPr>
        <w:t xml:space="preserve"> Vitkov L, Hannig M. Breaking the gingival barrier in periodontitis. Int J Mol Sci. 2023;24(5):4544. doi:10.3390/ijms24054544.</w:t>
      </w:r>
    </w:p>
    <w:p w14:paraId="2598FD2E" w14:textId="5472DEBF" w:rsidR="003E1759" w:rsidRPr="00420E72" w:rsidRDefault="003E1759" w:rsidP="004278AD">
      <w:pPr>
        <w:jc w:val="both"/>
        <w:rPr>
          <w:rFonts w:ascii="Arial" w:hAnsi="Arial" w:cs="Arial"/>
        </w:rPr>
      </w:pPr>
      <w:r w:rsidRPr="00420E72">
        <w:rPr>
          <w:rFonts w:ascii="Arial" w:hAnsi="Arial" w:cs="Arial" w:hint="eastAsia"/>
          <w:lang w:eastAsia="zh-CN"/>
        </w:rPr>
        <w:t xml:space="preserve">2. </w:t>
      </w:r>
      <w:r w:rsidRPr="00420E72">
        <w:rPr>
          <w:rFonts w:ascii="Arial" w:hAnsi="Arial" w:cs="Arial"/>
        </w:rPr>
        <w:t xml:space="preserve"> Sedghi LM, Persson GR, Bergström J, Khoo A, Al-Majid A, French D, et al. Periodontal disease: the good, the bad, and the unknown. Front Cell Infect Microbiol. </w:t>
      </w:r>
      <w:proofErr w:type="gramStart"/>
      <w:r w:rsidRPr="00420E72">
        <w:rPr>
          <w:rFonts w:ascii="Arial" w:hAnsi="Arial" w:cs="Arial"/>
        </w:rPr>
        <w:t>2021;11:766944</w:t>
      </w:r>
      <w:proofErr w:type="gramEnd"/>
      <w:r w:rsidRPr="00420E72">
        <w:rPr>
          <w:rFonts w:ascii="Arial" w:hAnsi="Arial" w:cs="Arial"/>
        </w:rPr>
        <w:t>. doi:10.3389/fcimb.2021.766944.</w:t>
      </w:r>
    </w:p>
    <w:p w14:paraId="7935A141" w14:textId="54A09B80" w:rsidR="003E1759" w:rsidRPr="00420E72" w:rsidRDefault="003E1759" w:rsidP="004278AD">
      <w:pPr>
        <w:jc w:val="both"/>
        <w:rPr>
          <w:rFonts w:ascii="Arial" w:hAnsi="Arial" w:cs="Arial"/>
        </w:rPr>
      </w:pPr>
      <w:r w:rsidRPr="00420E72">
        <w:rPr>
          <w:rFonts w:ascii="Arial" w:hAnsi="Arial" w:cs="Arial" w:hint="eastAsia"/>
          <w:lang w:eastAsia="zh-CN"/>
        </w:rPr>
        <w:t xml:space="preserve">3. </w:t>
      </w:r>
      <w:r w:rsidRPr="00420E72">
        <w:rPr>
          <w:rFonts w:ascii="Arial" w:hAnsi="Arial" w:cs="Arial"/>
        </w:rPr>
        <w:t xml:space="preserve"> Cheng R, Meng H, Cheng X. Interleukin-1β is a potential therapeutic target for periodontitis. Int J Oral Sci. </w:t>
      </w:r>
      <w:proofErr w:type="gramStart"/>
      <w:r w:rsidRPr="00420E72">
        <w:rPr>
          <w:rFonts w:ascii="Arial" w:hAnsi="Arial" w:cs="Arial"/>
        </w:rPr>
        <w:t>2020;12:30</w:t>
      </w:r>
      <w:proofErr w:type="gramEnd"/>
      <w:r w:rsidRPr="00420E72">
        <w:rPr>
          <w:rFonts w:ascii="Arial" w:hAnsi="Arial" w:cs="Arial"/>
        </w:rPr>
        <w:t>. doi:10.1038/s41368-020-00093-2.</w:t>
      </w:r>
    </w:p>
    <w:p w14:paraId="197828C3" w14:textId="4D8BFFF8" w:rsidR="003E1759" w:rsidRPr="00420E72" w:rsidRDefault="003E1759" w:rsidP="004278AD">
      <w:pPr>
        <w:jc w:val="both"/>
        <w:rPr>
          <w:rFonts w:ascii="Arial" w:hAnsi="Arial" w:cs="Arial"/>
        </w:rPr>
      </w:pPr>
      <w:r w:rsidRPr="00420E72">
        <w:rPr>
          <w:rFonts w:ascii="Arial" w:hAnsi="Arial" w:cs="Arial" w:hint="eastAsia"/>
          <w:lang w:eastAsia="zh-CN"/>
        </w:rPr>
        <w:lastRenderedPageBreak/>
        <w:t xml:space="preserve">4. </w:t>
      </w:r>
      <w:r w:rsidRPr="00420E72">
        <w:rPr>
          <w:rFonts w:ascii="Arial" w:hAnsi="Arial" w:cs="Arial" w:hint="eastAsia"/>
        </w:rPr>
        <w:t xml:space="preserve"> </w:t>
      </w:r>
      <w:r w:rsidRPr="00420E72">
        <w:rPr>
          <w:rFonts w:ascii="Arial" w:hAnsi="Arial" w:cs="Arial"/>
        </w:rPr>
        <w:t xml:space="preserve">Tonetti MS, Van Dyke TE; working group 1 of the joint EFP/AAP workshop. Periodontitis and atherosclerotic cardiovascular disease: consensus report of the Joint EFP/AAP Workshop on Periodontitis and Systemic Diseases. J </w:t>
      </w:r>
      <w:proofErr w:type="spellStart"/>
      <w:r w:rsidRPr="00420E72">
        <w:rPr>
          <w:rFonts w:ascii="Arial" w:hAnsi="Arial" w:cs="Arial"/>
        </w:rPr>
        <w:t>Periodontol</w:t>
      </w:r>
      <w:proofErr w:type="spellEnd"/>
      <w:r w:rsidRPr="00420E72">
        <w:rPr>
          <w:rFonts w:ascii="Arial" w:hAnsi="Arial" w:cs="Arial"/>
        </w:rPr>
        <w:t>. 2013 Apr;84(4 Suppl</w:t>
      </w:r>
      <w:proofErr w:type="gramStart"/>
      <w:r w:rsidRPr="00420E72">
        <w:rPr>
          <w:rFonts w:ascii="Arial" w:hAnsi="Arial" w:cs="Arial"/>
        </w:rPr>
        <w:t>):S</w:t>
      </w:r>
      <w:proofErr w:type="gramEnd"/>
      <w:r w:rsidRPr="00420E72">
        <w:rPr>
          <w:rFonts w:ascii="Arial" w:hAnsi="Arial" w:cs="Arial"/>
        </w:rPr>
        <w:t xml:space="preserve">24-9. </w:t>
      </w:r>
    </w:p>
    <w:p w14:paraId="31C074EB" w14:textId="03952B65" w:rsidR="003E1759" w:rsidRPr="00420E72" w:rsidRDefault="003E1759" w:rsidP="004278AD">
      <w:pPr>
        <w:jc w:val="both"/>
        <w:rPr>
          <w:rFonts w:ascii="Arial" w:hAnsi="Arial" w:cs="Arial"/>
        </w:rPr>
      </w:pPr>
      <w:r w:rsidRPr="00420E72">
        <w:rPr>
          <w:rFonts w:ascii="Arial" w:hAnsi="Arial" w:cs="Arial" w:hint="eastAsia"/>
          <w:lang w:eastAsia="zh-CN"/>
        </w:rPr>
        <w:t xml:space="preserve">5. </w:t>
      </w:r>
      <w:r w:rsidRPr="00420E72">
        <w:rPr>
          <w:rFonts w:ascii="Arial" w:hAnsi="Arial" w:cs="Arial"/>
        </w:rPr>
        <w:t xml:space="preserve"> Zhang Z, Tian X, Lu JY, </w:t>
      </w:r>
      <w:proofErr w:type="spellStart"/>
      <w:r w:rsidRPr="00420E72">
        <w:rPr>
          <w:rFonts w:ascii="Arial" w:hAnsi="Arial" w:cs="Arial"/>
        </w:rPr>
        <w:t>Boit</w:t>
      </w:r>
      <w:proofErr w:type="spellEnd"/>
      <w:r w:rsidRPr="00420E72">
        <w:rPr>
          <w:rFonts w:ascii="Arial" w:hAnsi="Arial" w:cs="Arial"/>
        </w:rPr>
        <w:t xml:space="preserve"> K, </w:t>
      </w:r>
      <w:proofErr w:type="spellStart"/>
      <w:r w:rsidRPr="00420E72">
        <w:rPr>
          <w:rFonts w:ascii="Arial" w:hAnsi="Arial" w:cs="Arial"/>
        </w:rPr>
        <w:t>Ablaeva</w:t>
      </w:r>
      <w:proofErr w:type="spellEnd"/>
      <w:r w:rsidRPr="00420E72">
        <w:rPr>
          <w:rFonts w:ascii="Arial" w:hAnsi="Arial" w:cs="Arial"/>
        </w:rPr>
        <w:t xml:space="preserve"> J, </w:t>
      </w:r>
      <w:proofErr w:type="spellStart"/>
      <w:r w:rsidRPr="00420E72">
        <w:rPr>
          <w:rFonts w:ascii="Arial" w:hAnsi="Arial" w:cs="Arial"/>
        </w:rPr>
        <w:t>Zakusilo</w:t>
      </w:r>
      <w:proofErr w:type="spellEnd"/>
      <w:r w:rsidRPr="00420E72">
        <w:rPr>
          <w:rFonts w:ascii="Arial" w:hAnsi="Arial" w:cs="Arial"/>
        </w:rPr>
        <w:t xml:space="preserve"> FT, et al. Increased hyaluronan by naked mole-rat Has2 improves </w:t>
      </w:r>
      <w:proofErr w:type="spellStart"/>
      <w:r w:rsidRPr="00420E72">
        <w:rPr>
          <w:rFonts w:ascii="Arial" w:hAnsi="Arial" w:cs="Arial"/>
        </w:rPr>
        <w:t>healthspan</w:t>
      </w:r>
      <w:proofErr w:type="spellEnd"/>
      <w:r w:rsidRPr="00420E72">
        <w:rPr>
          <w:rFonts w:ascii="Arial" w:hAnsi="Arial" w:cs="Arial"/>
        </w:rPr>
        <w:t xml:space="preserve"> in mice. Nature. </w:t>
      </w:r>
      <w:proofErr w:type="gramStart"/>
      <w:r w:rsidRPr="00420E72">
        <w:rPr>
          <w:rFonts w:ascii="Arial" w:hAnsi="Arial" w:cs="Arial"/>
        </w:rPr>
        <w:t>2023;621:196</w:t>
      </w:r>
      <w:proofErr w:type="gramEnd"/>
      <w:r w:rsidRPr="00420E72">
        <w:rPr>
          <w:rFonts w:ascii="Arial" w:hAnsi="Arial" w:cs="Arial"/>
        </w:rPr>
        <w:t>-205. doi:10.1038/s41586-023-06463-0.</w:t>
      </w:r>
    </w:p>
    <w:p w14:paraId="3F521810" w14:textId="14EE09C3" w:rsidR="003E1759" w:rsidRPr="00420E72" w:rsidRDefault="003E1759" w:rsidP="004278AD">
      <w:pPr>
        <w:jc w:val="both"/>
        <w:rPr>
          <w:rFonts w:ascii="Arial" w:hAnsi="Arial" w:cs="Arial"/>
        </w:rPr>
      </w:pPr>
      <w:r w:rsidRPr="00420E72">
        <w:rPr>
          <w:rFonts w:ascii="Arial" w:hAnsi="Arial" w:cs="Arial" w:hint="eastAsia"/>
          <w:lang w:eastAsia="zh-CN"/>
        </w:rPr>
        <w:t xml:space="preserve">6. </w:t>
      </w:r>
      <w:r w:rsidRPr="00420E72">
        <w:rPr>
          <w:rFonts w:ascii="Arial" w:hAnsi="Arial" w:cs="Arial"/>
        </w:rPr>
        <w:t xml:space="preserve"> Treger D, Zhang L, Jia X, Hui JH, Gantumur MA, Hui M, et al. A clinical study of the local injection of a freshly manufactured 35 </w:t>
      </w:r>
      <w:proofErr w:type="spellStart"/>
      <w:r w:rsidRPr="00420E72">
        <w:rPr>
          <w:rFonts w:ascii="Arial" w:hAnsi="Arial" w:cs="Arial"/>
        </w:rPr>
        <w:t>kDa</w:t>
      </w:r>
      <w:proofErr w:type="spellEnd"/>
      <w:r w:rsidRPr="00420E72">
        <w:rPr>
          <w:rFonts w:ascii="Arial" w:hAnsi="Arial" w:cs="Arial"/>
        </w:rPr>
        <w:t xml:space="preserve"> hyaluronan fragment for treating chronic wounds. Wound J. 2024;21(5</w:t>
      </w:r>
      <w:proofErr w:type="gramStart"/>
      <w:r w:rsidRPr="00420E72">
        <w:rPr>
          <w:rFonts w:ascii="Arial" w:hAnsi="Arial" w:cs="Arial"/>
        </w:rPr>
        <w:t>):e</w:t>
      </w:r>
      <w:proofErr w:type="gramEnd"/>
      <w:r w:rsidRPr="00420E72">
        <w:rPr>
          <w:rFonts w:ascii="Arial" w:hAnsi="Arial" w:cs="Arial"/>
        </w:rPr>
        <w:t>14906. doi:10.1111/wrj.14906.</w:t>
      </w:r>
    </w:p>
    <w:p w14:paraId="4B71FC99" w14:textId="5189A656" w:rsidR="003E1759" w:rsidRPr="00420E72" w:rsidRDefault="003E1759" w:rsidP="004278AD">
      <w:pPr>
        <w:jc w:val="both"/>
        <w:rPr>
          <w:rFonts w:ascii="Arial" w:hAnsi="Arial" w:cs="Arial"/>
        </w:rPr>
      </w:pPr>
      <w:r w:rsidRPr="00420E72">
        <w:rPr>
          <w:rFonts w:ascii="Arial" w:hAnsi="Arial" w:cs="Arial" w:hint="eastAsia"/>
          <w:lang w:eastAsia="zh-CN"/>
        </w:rPr>
        <w:t xml:space="preserve">7. </w:t>
      </w:r>
      <w:r w:rsidRPr="00420E72">
        <w:rPr>
          <w:rFonts w:ascii="Arial" w:hAnsi="Arial" w:cs="Arial"/>
        </w:rPr>
        <w:t xml:space="preserve"> Zhang H, Treger D, Jia X, Ma Z, Hui M. Analgesic effect of 35 </w:t>
      </w:r>
      <w:proofErr w:type="spellStart"/>
      <w:r w:rsidRPr="00420E72">
        <w:rPr>
          <w:rFonts w:ascii="Arial" w:hAnsi="Arial" w:cs="Arial"/>
        </w:rPr>
        <w:t>kDa</w:t>
      </w:r>
      <w:proofErr w:type="spellEnd"/>
      <w:r w:rsidRPr="00420E72">
        <w:rPr>
          <w:rFonts w:ascii="Arial" w:hAnsi="Arial" w:cs="Arial"/>
        </w:rPr>
        <w:t xml:space="preserve"> hyaluronan fragment on vaginal oocyte retrieval operation associated pain: a case report. Case Rep Clin Med. </w:t>
      </w:r>
      <w:proofErr w:type="gramStart"/>
      <w:r w:rsidRPr="00420E72">
        <w:rPr>
          <w:rFonts w:ascii="Arial" w:hAnsi="Arial" w:cs="Arial"/>
        </w:rPr>
        <w:t>2024;13:503</w:t>
      </w:r>
      <w:proofErr w:type="gramEnd"/>
      <w:r w:rsidRPr="00420E72">
        <w:rPr>
          <w:rFonts w:ascii="Arial" w:hAnsi="Arial" w:cs="Arial"/>
        </w:rPr>
        <w:t>-11. doi:10.4236/crcm.2024.1310064.</w:t>
      </w:r>
    </w:p>
    <w:p w14:paraId="6EF44ACD" w14:textId="4E9501DF" w:rsidR="003E1759" w:rsidRPr="00420E72" w:rsidRDefault="003E1759" w:rsidP="004278AD">
      <w:pPr>
        <w:jc w:val="both"/>
        <w:rPr>
          <w:rFonts w:ascii="Arial" w:hAnsi="Arial" w:cs="Arial"/>
        </w:rPr>
      </w:pPr>
      <w:r w:rsidRPr="00420E72">
        <w:rPr>
          <w:rFonts w:ascii="Arial" w:hAnsi="Arial" w:cs="Arial" w:hint="eastAsia"/>
          <w:lang w:eastAsia="zh-CN"/>
        </w:rPr>
        <w:t xml:space="preserve">8. </w:t>
      </w:r>
      <w:r w:rsidRPr="00420E72">
        <w:rPr>
          <w:rFonts w:ascii="Arial" w:hAnsi="Arial" w:cs="Arial"/>
        </w:rPr>
        <w:t xml:space="preserve"> Zhang Z, Jia X, Treger D, Hui M. Low molecular weight 35 </w:t>
      </w:r>
      <w:proofErr w:type="spellStart"/>
      <w:r w:rsidRPr="00420E72">
        <w:rPr>
          <w:rFonts w:ascii="Arial" w:hAnsi="Arial" w:cs="Arial"/>
        </w:rPr>
        <w:t>kDa</w:t>
      </w:r>
      <w:proofErr w:type="spellEnd"/>
      <w:r w:rsidRPr="00420E72">
        <w:rPr>
          <w:rFonts w:ascii="Arial" w:hAnsi="Arial" w:cs="Arial"/>
        </w:rPr>
        <w:t xml:space="preserve"> hyaluronan fragment HA35 in the treatment of bone metastasis report pain: a case. Medicine (Baltimore). 2024;103(31</w:t>
      </w:r>
      <w:proofErr w:type="gramStart"/>
      <w:r w:rsidRPr="00420E72">
        <w:rPr>
          <w:rFonts w:ascii="Arial" w:hAnsi="Arial" w:cs="Arial"/>
        </w:rPr>
        <w:t>):e</w:t>
      </w:r>
      <w:proofErr w:type="gramEnd"/>
      <w:r w:rsidRPr="00420E72">
        <w:rPr>
          <w:rFonts w:ascii="Arial" w:hAnsi="Arial" w:cs="Arial"/>
        </w:rPr>
        <w:t>39145. doi:10.1097/MD.0000000000039145.</w:t>
      </w:r>
    </w:p>
    <w:p w14:paraId="2CE696C8" w14:textId="471377BB" w:rsidR="003E1759" w:rsidRPr="00420E72" w:rsidRDefault="003E1759" w:rsidP="004278AD">
      <w:pPr>
        <w:jc w:val="both"/>
        <w:rPr>
          <w:rFonts w:ascii="Arial" w:hAnsi="Arial" w:cs="Arial"/>
        </w:rPr>
      </w:pPr>
      <w:r w:rsidRPr="00420E72">
        <w:rPr>
          <w:rFonts w:ascii="Arial" w:hAnsi="Arial" w:cs="Arial" w:hint="eastAsia"/>
          <w:lang w:eastAsia="zh-CN"/>
        </w:rPr>
        <w:t xml:space="preserve">9. </w:t>
      </w:r>
      <w:r w:rsidRPr="00420E72">
        <w:rPr>
          <w:rFonts w:ascii="Arial" w:hAnsi="Arial" w:cs="Arial"/>
        </w:rPr>
        <w:t xml:space="preserve"> Ma X, </w:t>
      </w:r>
      <w:proofErr w:type="spellStart"/>
      <w:r w:rsidRPr="00420E72">
        <w:rPr>
          <w:rFonts w:ascii="Arial" w:hAnsi="Arial" w:cs="Arial"/>
        </w:rPr>
        <w:t>Shofaro</w:t>
      </w:r>
      <w:proofErr w:type="spellEnd"/>
      <w:r w:rsidRPr="00420E72">
        <w:rPr>
          <w:rFonts w:ascii="Arial" w:hAnsi="Arial" w:cs="Arial"/>
        </w:rPr>
        <w:t xml:space="preserve"> J, Jia X, Ma Z, Hui M. The low molecular weight hyaluronan fragment HA35 serves as a dual antagonist of pain-related calcium channels TRPV1 and TRPA1. J Pharm Res Int. 2025;37(6):38-51. doi:10.9734/</w:t>
      </w:r>
      <w:proofErr w:type="spellStart"/>
      <w:r w:rsidRPr="00420E72">
        <w:rPr>
          <w:rFonts w:ascii="Arial" w:hAnsi="Arial" w:cs="Arial"/>
        </w:rPr>
        <w:t>jpri</w:t>
      </w:r>
      <w:proofErr w:type="spellEnd"/>
      <w:r w:rsidRPr="00420E72">
        <w:rPr>
          <w:rFonts w:ascii="Arial" w:hAnsi="Arial" w:cs="Arial"/>
        </w:rPr>
        <w:t>/2025/v37i67654.</w:t>
      </w:r>
    </w:p>
    <w:p w14:paraId="25333752" w14:textId="03AC46C2" w:rsidR="003E1759" w:rsidRPr="00420E72" w:rsidRDefault="003E1759" w:rsidP="004278AD">
      <w:pPr>
        <w:jc w:val="both"/>
        <w:rPr>
          <w:rFonts w:ascii="Arial" w:hAnsi="Arial" w:cs="Arial"/>
        </w:rPr>
      </w:pPr>
      <w:r w:rsidRPr="00420E72">
        <w:rPr>
          <w:rFonts w:ascii="Arial" w:hAnsi="Arial" w:cs="Arial" w:hint="eastAsia"/>
          <w:lang w:eastAsia="zh-CN"/>
        </w:rPr>
        <w:t xml:space="preserve">10. </w:t>
      </w:r>
      <w:r w:rsidRPr="00420E72">
        <w:rPr>
          <w:rFonts w:ascii="Arial" w:hAnsi="Arial" w:cs="Arial"/>
        </w:rPr>
        <w:t xml:space="preserve"> Jia X, Shi M, Wang Q, Hui JH, Silveira RL, </w:t>
      </w:r>
      <w:proofErr w:type="spellStart"/>
      <w:r w:rsidRPr="00420E72">
        <w:rPr>
          <w:rFonts w:ascii="Arial" w:hAnsi="Arial" w:cs="Arial"/>
        </w:rPr>
        <w:t>Erkhembayat</w:t>
      </w:r>
      <w:proofErr w:type="spellEnd"/>
      <w:r w:rsidRPr="00420E72">
        <w:rPr>
          <w:rFonts w:ascii="Arial" w:hAnsi="Arial" w:cs="Arial"/>
        </w:rPr>
        <w:t xml:space="preserve"> R, et al. Anti-inflammatory effects of the 35 </w:t>
      </w:r>
      <w:proofErr w:type="spellStart"/>
      <w:r w:rsidRPr="00420E72">
        <w:rPr>
          <w:rFonts w:ascii="Arial" w:hAnsi="Arial" w:cs="Arial"/>
        </w:rPr>
        <w:t>kDa</w:t>
      </w:r>
      <w:proofErr w:type="spellEnd"/>
      <w:r w:rsidRPr="00420E72">
        <w:rPr>
          <w:rFonts w:ascii="Arial" w:hAnsi="Arial" w:cs="Arial"/>
        </w:rPr>
        <w:t xml:space="preserve"> hyaluronic acid fragment (B-HA/HA35). J </w:t>
      </w:r>
      <w:proofErr w:type="spellStart"/>
      <w:r w:rsidRPr="00420E72">
        <w:rPr>
          <w:rFonts w:ascii="Arial" w:hAnsi="Arial" w:cs="Arial"/>
        </w:rPr>
        <w:t>Inflamm</w:t>
      </w:r>
      <w:proofErr w:type="spellEnd"/>
      <w:r w:rsidRPr="00420E72">
        <w:rPr>
          <w:rFonts w:ascii="Arial" w:hAnsi="Arial" w:cs="Arial"/>
        </w:rPr>
        <w:t xml:space="preserve"> Res. </w:t>
      </w:r>
      <w:proofErr w:type="gramStart"/>
      <w:r w:rsidRPr="00420E72">
        <w:rPr>
          <w:rFonts w:ascii="Arial" w:hAnsi="Arial" w:cs="Arial"/>
        </w:rPr>
        <w:t>2023;16:209</w:t>
      </w:r>
      <w:proofErr w:type="gramEnd"/>
      <w:r w:rsidRPr="00420E72">
        <w:rPr>
          <w:rFonts w:ascii="Arial" w:hAnsi="Arial" w:cs="Arial"/>
        </w:rPr>
        <w:t>-224. doi:10.2147/JIR.S395408.</w:t>
      </w:r>
    </w:p>
    <w:p w14:paraId="38DE1543" w14:textId="73933175" w:rsidR="003E1759" w:rsidRPr="00420E72" w:rsidRDefault="003E1759" w:rsidP="004278AD">
      <w:pPr>
        <w:jc w:val="both"/>
        <w:rPr>
          <w:rFonts w:ascii="Arial" w:hAnsi="Arial" w:cs="Arial"/>
        </w:rPr>
      </w:pPr>
      <w:r w:rsidRPr="00420E72">
        <w:rPr>
          <w:rFonts w:ascii="Arial" w:hAnsi="Arial" w:cs="Arial" w:hint="eastAsia"/>
          <w:lang w:eastAsia="zh-CN"/>
        </w:rPr>
        <w:t xml:space="preserve">11. </w:t>
      </w:r>
      <w:r w:rsidRPr="00420E72">
        <w:rPr>
          <w:rFonts w:ascii="Arial" w:hAnsi="Arial" w:cs="Arial"/>
        </w:rPr>
        <w:t xml:space="preserve"> Gantumur MA, Jia X, Hui JH, Barber C, Wan L, </w:t>
      </w:r>
      <w:proofErr w:type="spellStart"/>
      <w:r w:rsidRPr="00420E72">
        <w:rPr>
          <w:rFonts w:ascii="Arial" w:hAnsi="Arial" w:cs="Arial"/>
        </w:rPr>
        <w:t>Furenlid</w:t>
      </w:r>
      <w:proofErr w:type="spellEnd"/>
      <w:r w:rsidRPr="00420E72">
        <w:rPr>
          <w:rFonts w:ascii="Arial" w:hAnsi="Arial" w:cs="Arial"/>
        </w:rPr>
        <w:t xml:space="preserve"> LR, et al. Characterization, bioactivity, and biodistribution of 35 </w:t>
      </w:r>
      <w:proofErr w:type="spellStart"/>
      <w:r w:rsidRPr="00420E72">
        <w:rPr>
          <w:rFonts w:ascii="Arial" w:hAnsi="Arial" w:cs="Arial"/>
        </w:rPr>
        <w:t>kDa</w:t>
      </w:r>
      <w:proofErr w:type="spellEnd"/>
      <w:r w:rsidRPr="00420E72">
        <w:rPr>
          <w:rFonts w:ascii="Arial" w:hAnsi="Arial" w:cs="Arial"/>
        </w:rPr>
        <w:t xml:space="preserve"> hyaluronan fragment. Life (Basel). 2024;14(1):97. doi:10.3390/life14010097.</w:t>
      </w:r>
    </w:p>
    <w:p w14:paraId="3AE28854" w14:textId="3F152690" w:rsidR="003E1759" w:rsidRPr="00420E72" w:rsidRDefault="003E1759" w:rsidP="004278AD">
      <w:pPr>
        <w:jc w:val="both"/>
        <w:rPr>
          <w:rFonts w:ascii="Arial" w:hAnsi="Arial" w:cs="Arial"/>
        </w:rPr>
      </w:pPr>
      <w:r w:rsidRPr="00420E72">
        <w:rPr>
          <w:rFonts w:ascii="Arial" w:hAnsi="Arial" w:cs="Arial" w:hint="eastAsia"/>
          <w:lang w:eastAsia="zh-CN"/>
        </w:rPr>
        <w:t xml:space="preserve">12. </w:t>
      </w:r>
      <w:r w:rsidRPr="00420E72">
        <w:rPr>
          <w:rFonts w:ascii="Arial" w:hAnsi="Arial" w:cs="Arial"/>
        </w:rPr>
        <w:t xml:space="preserve"> </w:t>
      </w:r>
      <w:proofErr w:type="spellStart"/>
      <w:r w:rsidRPr="00420E72">
        <w:rPr>
          <w:rFonts w:ascii="Arial" w:hAnsi="Arial" w:cs="Arial"/>
        </w:rPr>
        <w:t>Dashnyam</w:t>
      </w:r>
      <w:proofErr w:type="spellEnd"/>
      <w:r w:rsidRPr="00420E72">
        <w:rPr>
          <w:rFonts w:ascii="Arial" w:hAnsi="Arial" w:cs="Arial"/>
        </w:rPr>
        <w:t xml:space="preserve"> K, </w:t>
      </w:r>
      <w:proofErr w:type="spellStart"/>
      <w:r w:rsidRPr="00420E72">
        <w:rPr>
          <w:rFonts w:ascii="Arial" w:hAnsi="Arial" w:cs="Arial"/>
        </w:rPr>
        <w:t>Shofaro</w:t>
      </w:r>
      <w:proofErr w:type="spellEnd"/>
      <w:r w:rsidRPr="00420E72">
        <w:rPr>
          <w:rFonts w:ascii="Arial" w:hAnsi="Arial" w:cs="Arial"/>
        </w:rPr>
        <w:t xml:space="preserve"> J, Hui J, Jia X, Hui M. Rapid lymphatic absorption of orally administered low-molecular-weight hyaluronic acid: a pathway to the bloodstream via mesenteric nodes. J Pharm Res Int. 2025;37(5):133-147. doi:10.9734/</w:t>
      </w:r>
      <w:proofErr w:type="spellStart"/>
      <w:r w:rsidRPr="00420E72">
        <w:rPr>
          <w:rFonts w:ascii="Arial" w:hAnsi="Arial" w:cs="Arial"/>
        </w:rPr>
        <w:t>jpri</w:t>
      </w:r>
      <w:proofErr w:type="spellEnd"/>
      <w:r w:rsidRPr="00420E72">
        <w:rPr>
          <w:rFonts w:ascii="Arial" w:hAnsi="Arial" w:cs="Arial"/>
        </w:rPr>
        <w:t>/2025/v37i57698.</w:t>
      </w:r>
    </w:p>
    <w:p w14:paraId="1F94C1F4" w14:textId="4B6D67A5" w:rsidR="003E1759" w:rsidRPr="00420E72" w:rsidRDefault="003E1759" w:rsidP="004278AD">
      <w:pPr>
        <w:jc w:val="both"/>
        <w:rPr>
          <w:rFonts w:ascii="Arial" w:hAnsi="Arial" w:cs="Arial"/>
        </w:rPr>
      </w:pPr>
      <w:r w:rsidRPr="00420E72">
        <w:rPr>
          <w:rFonts w:ascii="Arial" w:hAnsi="Arial" w:cs="Arial" w:hint="eastAsia"/>
          <w:lang w:eastAsia="zh-CN"/>
        </w:rPr>
        <w:t xml:space="preserve">13. </w:t>
      </w:r>
      <w:r w:rsidRPr="00420E72">
        <w:rPr>
          <w:rFonts w:ascii="Arial" w:hAnsi="Arial" w:cs="Arial"/>
        </w:rPr>
        <w:t xml:space="preserve"> Ma X, Wang X, Jia X, Hui JH, </w:t>
      </w:r>
      <w:proofErr w:type="spellStart"/>
      <w:r w:rsidRPr="00420E72">
        <w:rPr>
          <w:rFonts w:ascii="Arial" w:hAnsi="Arial" w:cs="Arial"/>
        </w:rPr>
        <w:t>Shofaro</w:t>
      </w:r>
      <w:proofErr w:type="spellEnd"/>
      <w:r w:rsidRPr="00420E72">
        <w:rPr>
          <w:rFonts w:ascii="Arial" w:hAnsi="Arial" w:cs="Arial"/>
        </w:rPr>
        <w:t xml:space="preserve"> JH, Tao R, et al. Size-dependent aggregation of erythrocytes by low molecular weight hyaluronic acids of different sizes: bioactivity and quality control potential. Front Physiol. </w:t>
      </w:r>
      <w:proofErr w:type="gramStart"/>
      <w:r w:rsidRPr="00420E72">
        <w:rPr>
          <w:rFonts w:ascii="Arial" w:hAnsi="Arial" w:cs="Arial"/>
        </w:rPr>
        <w:t>2025;16:1527354</w:t>
      </w:r>
      <w:proofErr w:type="gramEnd"/>
      <w:r w:rsidRPr="00420E72">
        <w:rPr>
          <w:rFonts w:ascii="Arial" w:hAnsi="Arial" w:cs="Arial"/>
        </w:rPr>
        <w:t>. doi:10.3389/fphys.2025.1527354.</w:t>
      </w:r>
    </w:p>
    <w:p w14:paraId="28E17367" w14:textId="27413229" w:rsidR="003E1759" w:rsidRPr="00420E72" w:rsidRDefault="003E1759" w:rsidP="004278AD">
      <w:pPr>
        <w:jc w:val="both"/>
        <w:rPr>
          <w:rFonts w:ascii="Arial" w:hAnsi="Arial" w:cs="Arial"/>
        </w:rPr>
      </w:pPr>
      <w:r w:rsidRPr="00420E72">
        <w:rPr>
          <w:rFonts w:ascii="Arial" w:hAnsi="Arial" w:cs="Arial" w:hint="eastAsia"/>
          <w:lang w:eastAsia="zh-CN"/>
        </w:rPr>
        <w:t xml:space="preserve">14. </w:t>
      </w:r>
      <w:r w:rsidRPr="00420E72">
        <w:rPr>
          <w:rFonts w:ascii="Arial" w:hAnsi="Arial" w:cs="Arial"/>
        </w:rPr>
        <w:t xml:space="preserve"> Cleland JA, Childs JD, Whitman JM. Psychometric properties of the Neck Disability Index and Numeric Pain Rating Scale in patients with mechanical neck pain. Arch Phys Med </w:t>
      </w:r>
      <w:proofErr w:type="spellStart"/>
      <w:r w:rsidRPr="00420E72">
        <w:rPr>
          <w:rFonts w:ascii="Arial" w:hAnsi="Arial" w:cs="Arial"/>
        </w:rPr>
        <w:t>Rehabil</w:t>
      </w:r>
      <w:proofErr w:type="spellEnd"/>
      <w:r w:rsidRPr="00420E72">
        <w:rPr>
          <w:rFonts w:ascii="Arial" w:hAnsi="Arial" w:cs="Arial"/>
        </w:rPr>
        <w:t xml:space="preserve">. 2008;89(1):69-74. </w:t>
      </w:r>
      <w:proofErr w:type="gramStart"/>
      <w:r w:rsidRPr="00420E72">
        <w:rPr>
          <w:rFonts w:ascii="Arial" w:hAnsi="Arial" w:cs="Arial"/>
        </w:rPr>
        <w:t>doi:10.1016/j.apmr</w:t>
      </w:r>
      <w:proofErr w:type="gramEnd"/>
      <w:r w:rsidRPr="00420E72">
        <w:rPr>
          <w:rFonts w:ascii="Arial" w:hAnsi="Arial" w:cs="Arial"/>
        </w:rPr>
        <w:t>.2007.08.126.</w:t>
      </w:r>
    </w:p>
    <w:p w14:paraId="6C14EE03" w14:textId="44388391" w:rsidR="003E1759" w:rsidRPr="00420E72" w:rsidRDefault="003E1759" w:rsidP="004278AD">
      <w:pPr>
        <w:jc w:val="both"/>
        <w:rPr>
          <w:rFonts w:ascii="Arial" w:hAnsi="Arial" w:cs="Arial"/>
        </w:rPr>
      </w:pPr>
      <w:r w:rsidRPr="00420E72">
        <w:rPr>
          <w:rFonts w:ascii="Arial" w:hAnsi="Arial" w:cs="Arial" w:hint="eastAsia"/>
          <w:lang w:eastAsia="zh-CN"/>
        </w:rPr>
        <w:t xml:space="preserve">15. </w:t>
      </w:r>
      <w:r w:rsidRPr="00420E72">
        <w:rPr>
          <w:rFonts w:ascii="Arial" w:hAnsi="Arial" w:cs="Arial"/>
        </w:rPr>
        <w:t xml:space="preserve"> Vernon H, </w:t>
      </w:r>
      <w:proofErr w:type="spellStart"/>
      <w:r w:rsidRPr="00420E72">
        <w:rPr>
          <w:rFonts w:ascii="Arial" w:hAnsi="Arial" w:cs="Arial"/>
        </w:rPr>
        <w:t>Mior</w:t>
      </w:r>
      <w:proofErr w:type="spellEnd"/>
      <w:r w:rsidRPr="00420E72">
        <w:rPr>
          <w:rFonts w:ascii="Arial" w:hAnsi="Arial" w:cs="Arial"/>
        </w:rPr>
        <w:t xml:space="preserve"> S. The Neck Disability Index: a study of reliability and validity. J Manipulative </w:t>
      </w:r>
      <w:proofErr w:type="spellStart"/>
      <w:r w:rsidRPr="00420E72">
        <w:rPr>
          <w:rFonts w:ascii="Arial" w:hAnsi="Arial" w:cs="Arial"/>
        </w:rPr>
        <w:t>Physiol</w:t>
      </w:r>
      <w:proofErr w:type="spellEnd"/>
      <w:r w:rsidRPr="00420E72">
        <w:rPr>
          <w:rFonts w:ascii="Arial" w:hAnsi="Arial" w:cs="Arial"/>
        </w:rPr>
        <w:t xml:space="preserve"> </w:t>
      </w:r>
      <w:proofErr w:type="spellStart"/>
      <w:r w:rsidRPr="00420E72">
        <w:rPr>
          <w:rFonts w:ascii="Arial" w:hAnsi="Arial" w:cs="Arial"/>
        </w:rPr>
        <w:t>Ther</w:t>
      </w:r>
      <w:proofErr w:type="spellEnd"/>
      <w:r w:rsidRPr="00420E72">
        <w:rPr>
          <w:rFonts w:ascii="Arial" w:hAnsi="Arial" w:cs="Arial"/>
        </w:rPr>
        <w:t>. 1991;14(7):409-15.</w:t>
      </w:r>
    </w:p>
    <w:p w14:paraId="695AC711" w14:textId="66D411BE" w:rsidR="007B0C8E" w:rsidRPr="003E1759" w:rsidRDefault="003E1759" w:rsidP="004278AD">
      <w:pPr>
        <w:jc w:val="both"/>
        <w:rPr>
          <w:rFonts w:ascii="Arial" w:hAnsi="Arial" w:cs="Arial"/>
        </w:rPr>
      </w:pPr>
      <w:r w:rsidRPr="00420E72">
        <w:rPr>
          <w:rFonts w:ascii="Arial" w:hAnsi="Arial" w:cs="Arial" w:hint="eastAsia"/>
          <w:lang w:eastAsia="zh-CN"/>
        </w:rPr>
        <w:t xml:space="preserve">16. </w:t>
      </w:r>
      <w:r w:rsidRPr="00420E72">
        <w:rPr>
          <w:rFonts w:ascii="Arial" w:hAnsi="Arial" w:cs="Arial"/>
        </w:rPr>
        <w:t xml:space="preserve"> </w:t>
      </w:r>
      <w:proofErr w:type="spellStart"/>
      <w:r w:rsidRPr="00420E72">
        <w:rPr>
          <w:rFonts w:ascii="Arial" w:hAnsi="Arial" w:cs="Arial"/>
        </w:rPr>
        <w:t>Damodarasamy</w:t>
      </w:r>
      <w:proofErr w:type="spellEnd"/>
      <w:r w:rsidRPr="00420E72">
        <w:rPr>
          <w:rFonts w:ascii="Arial" w:hAnsi="Arial" w:cs="Arial"/>
        </w:rPr>
        <w:t xml:space="preserve"> M, Johnson RS, </w:t>
      </w:r>
      <w:proofErr w:type="spellStart"/>
      <w:r w:rsidRPr="00420E72">
        <w:rPr>
          <w:rFonts w:ascii="Arial" w:hAnsi="Arial" w:cs="Arial"/>
        </w:rPr>
        <w:t>Bentov</w:t>
      </w:r>
      <w:proofErr w:type="spellEnd"/>
      <w:r w:rsidRPr="00420E72">
        <w:rPr>
          <w:rFonts w:ascii="Arial" w:hAnsi="Arial" w:cs="Arial"/>
        </w:rPr>
        <w:t xml:space="preserve"> I, </w:t>
      </w:r>
      <w:proofErr w:type="spellStart"/>
      <w:r w:rsidRPr="00420E72">
        <w:rPr>
          <w:rFonts w:ascii="Arial" w:hAnsi="Arial" w:cs="Arial"/>
        </w:rPr>
        <w:t>MacCoss</w:t>
      </w:r>
      <w:proofErr w:type="spellEnd"/>
      <w:r w:rsidRPr="00420E72">
        <w:rPr>
          <w:rFonts w:ascii="Arial" w:hAnsi="Arial" w:cs="Arial"/>
        </w:rPr>
        <w:t xml:space="preserve"> MJ, Vernon RB, Reed MJ. Hyaluronan enhances wound repair and increases collagen III in aged dermal wounds. Wound Repair Regen. 2014;22(4):521-6. doi:10.1111/wrr.12184.</w:t>
      </w:r>
    </w:p>
    <w:sectPr w:rsidR="007B0C8E" w:rsidRPr="003E1759" w:rsidSect="00E33815">
      <w:headerReference w:type="even" r:id="rId18"/>
      <w:headerReference w:type="default" r:id="rId19"/>
      <w:footerReference w:type="default" r:id="rId20"/>
      <w:headerReference w:type="first" r:id="rId21"/>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1DD79" w14:textId="77777777" w:rsidR="00B66212" w:rsidRDefault="00B66212">
      <w:pPr>
        <w:spacing w:after="0" w:line="240" w:lineRule="auto"/>
      </w:pPr>
      <w:r>
        <w:separator/>
      </w:r>
    </w:p>
  </w:endnote>
  <w:endnote w:type="continuationSeparator" w:id="0">
    <w:p w14:paraId="6DB956F2" w14:textId="77777777" w:rsidR="00B66212" w:rsidRDefault="00B66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D02A" w14:textId="77777777" w:rsidR="007B0C8E" w:rsidRDefault="007B0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9F784" w14:textId="5ED291AF" w:rsidR="007B0C8E" w:rsidRDefault="007B0C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ED915" w14:textId="77777777" w:rsidR="007B0C8E" w:rsidRDefault="007B0C8E">
    <w:pPr>
      <w:pStyle w:val="Footer"/>
      <w:rPr>
        <w:rFonts w:ascii="Arial" w:hAnsi="Arial" w:cs="Arial"/>
        <w:sz w:val="16"/>
      </w:rPr>
    </w:pPr>
  </w:p>
  <w:p w14:paraId="40EAEED8" w14:textId="77777777" w:rsidR="007B0C8E" w:rsidRDefault="00B66212">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FD9A3BF" w14:textId="77777777" w:rsidR="007B0C8E" w:rsidRDefault="007B0C8E">
    <w:pPr>
      <w:pStyle w:val="Footer"/>
      <w:rPr>
        <w:rFonts w:ascii="Arial" w:hAnsi="Arial" w:cs="Arial"/>
        <w:sz w:val="16"/>
      </w:rPr>
    </w:pPr>
  </w:p>
  <w:p w14:paraId="2B6B909C" w14:textId="77777777" w:rsidR="007B0C8E" w:rsidRDefault="00B66212">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02E8E" w14:textId="77777777" w:rsidR="007B0C8E" w:rsidRDefault="007B0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A9D05" w14:textId="77777777" w:rsidR="00B66212" w:rsidRDefault="00B66212">
      <w:pPr>
        <w:spacing w:after="0" w:line="240" w:lineRule="auto"/>
      </w:pPr>
      <w:r>
        <w:separator/>
      </w:r>
    </w:p>
  </w:footnote>
  <w:footnote w:type="continuationSeparator" w:id="0">
    <w:p w14:paraId="55F09E98" w14:textId="77777777" w:rsidR="00B66212" w:rsidRDefault="00B66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D3D50" w14:textId="20B04ED6" w:rsidR="007B0C8E" w:rsidRDefault="00E33815">
    <w:pPr>
      <w:pStyle w:val="Header"/>
    </w:pPr>
    <w:r>
      <w:rPr>
        <w:noProof/>
      </w:rPr>
      <w:pict w14:anchorId="7E7D1C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626329" o:spid="_x0000_s2050" type="#_x0000_t136" style="position:absolute;margin-left:0;margin-top:0;width:547.25pt;height:61.7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C51B4" w14:textId="4B97E99F" w:rsidR="007B0C8E" w:rsidRDefault="00E33815">
    <w:pPr>
      <w:pStyle w:val="Header"/>
    </w:pPr>
    <w:r>
      <w:rPr>
        <w:noProof/>
      </w:rPr>
      <w:pict w14:anchorId="087D57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626330" o:spid="_x0000_s2051" type="#_x0000_t136" style="position:absolute;margin-left:0;margin-top:0;width:547.25pt;height:61.7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4D1E1" w14:textId="506CE117" w:rsidR="007B0C8E" w:rsidRDefault="00E33815">
    <w:pPr>
      <w:ind w:left="2160"/>
      <w:jc w:val="center"/>
      <w:rPr>
        <w:rFonts w:ascii="Times New Roman" w:eastAsia="Calibri" w:hAnsi="Times New Roman"/>
        <w:i/>
        <w:sz w:val="18"/>
        <w:szCs w:val="22"/>
      </w:rPr>
    </w:pPr>
    <w:r>
      <w:rPr>
        <w:noProof/>
      </w:rPr>
      <w:pict w14:anchorId="00EAF2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626328" o:spid="_x0000_s2049" type="#_x0000_t136" style="position:absolute;left:0;text-align:left;margin-left:0;margin-top:0;width:547.25pt;height:61.7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0648F5D" w14:textId="77777777" w:rsidR="007B0C8E" w:rsidRDefault="00B66212">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6CDCA88A" w14:textId="77777777" w:rsidR="007B0C8E" w:rsidRDefault="00B66212">
    <w:pPr>
      <w:jc w:val="center"/>
      <w:rPr>
        <w:rFonts w:ascii="Times New Roman" w:eastAsia="Calibri" w:hAnsi="Times New Roman"/>
        <w:i/>
        <w:sz w:val="18"/>
        <w:szCs w:val="22"/>
      </w:rPr>
    </w:pPr>
    <w:r>
      <w:rPr>
        <w:rFonts w:ascii="Times New Roman" w:eastAsia="Calibri" w:hAnsi="Times New Roman"/>
        <w:i/>
        <w:sz w:val="18"/>
        <w:szCs w:val="22"/>
      </w:rPr>
      <w:t>.</w:t>
    </w:r>
  </w:p>
  <w:p w14:paraId="683ABA74" w14:textId="77777777" w:rsidR="007B0C8E" w:rsidRDefault="00B66212">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00FEBF4" w14:textId="77777777" w:rsidR="007B0C8E" w:rsidRDefault="00B66212">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6DDBB41F" w14:textId="77777777" w:rsidR="007B0C8E" w:rsidRDefault="00B66212">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09A0A37" w14:textId="77777777" w:rsidR="007B0C8E" w:rsidRDefault="00B6621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F2B30" w14:textId="1C5C8E37" w:rsidR="00E33815" w:rsidRDefault="00E33815">
    <w:pPr>
      <w:pStyle w:val="Header"/>
    </w:pPr>
    <w:r>
      <w:rPr>
        <w:noProof/>
      </w:rPr>
      <w:pict w14:anchorId="1DB3F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626332" o:spid="_x0000_s2053" type="#_x0000_t136" style="position:absolute;margin-left:0;margin-top:0;width:547.25pt;height:61.7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E38B1" w14:textId="5797B458" w:rsidR="00E33815" w:rsidRDefault="00E33815">
    <w:pPr>
      <w:pStyle w:val="Header"/>
    </w:pPr>
    <w:r>
      <w:rPr>
        <w:noProof/>
      </w:rPr>
      <w:pict w14:anchorId="62F477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626333" o:spid="_x0000_s2054" type="#_x0000_t136" style="position:absolute;margin-left:0;margin-top:0;width:547.25pt;height:61.7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326D3" w14:textId="3B146A33" w:rsidR="00E33815" w:rsidRDefault="00E33815">
    <w:pPr>
      <w:pStyle w:val="Header"/>
    </w:pPr>
    <w:r>
      <w:rPr>
        <w:noProof/>
      </w:rPr>
      <w:pict w14:anchorId="4A51B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626331" o:spid="_x0000_s2052" type="#_x0000_t136" style="position:absolute;margin-left:0;margin-top:0;width:547.25pt;height:61.7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F91295"/>
    <w:multiLevelType w:val="multilevel"/>
    <w:tmpl w:val="5FF91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6219"/>
    <w:rsid w:val="00000F8F"/>
    <w:rsid w:val="00013ED7"/>
    <w:rsid w:val="0002164C"/>
    <w:rsid w:val="00030174"/>
    <w:rsid w:val="0004579C"/>
    <w:rsid w:val="000900BD"/>
    <w:rsid w:val="000A47FA"/>
    <w:rsid w:val="000A65D3"/>
    <w:rsid w:val="000B1E33"/>
    <w:rsid w:val="000D689F"/>
    <w:rsid w:val="000E7B7B"/>
    <w:rsid w:val="000E7D62"/>
    <w:rsid w:val="00103357"/>
    <w:rsid w:val="00105758"/>
    <w:rsid w:val="001128FC"/>
    <w:rsid w:val="00120B5E"/>
    <w:rsid w:val="00123C9F"/>
    <w:rsid w:val="00126190"/>
    <w:rsid w:val="00130F17"/>
    <w:rsid w:val="001320BF"/>
    <w:rsid w:val="001414D1"/>
    <w:rsid w:val="001566E5"/>
    <w:rsid w:val="00163866"/>
    <w:rsid w:val="00163BC4"/>
    <w:rsid w:val="00184908"/>
    <w:rsid w:val="00187EC9"/>
    <w:rsid w:val="00191062"/>
    <w:rsid w:val="00192B72"/>
    <w:rsid w:val="001A29D8"/>
    <w:rsid w:val="001A44F7"/>
    <w:rsid w:val="001A5CAA"/>
    <w:rsid w:val="001B0427"/>
    <w:rsid w:val="001C4C14"/>
    <w:rsid w:val="001C61E3"/>
    <w:rsid w:val="001D3A51"/>
    <w:rsid w:val="001E10D2"/>
    <w:rsid w:val="001E25B4"/>
    <w:rsid w:val="001E44FE"/>
    <w:rsid w:val="00200595"/>
    <w:rsid w:val="00203FA7"/>
    <w:rsid w:val="00204835"/>
    <w:rsid w:val="002053E3"/>
    <w:rsid w:val="00207897"/>
    <w:rsid w:val="00213059"/>
    <w:rsid w:val="0021356C"/>
    <w:rsid w:val="00216E2E"/>
    <w:rsid w:val="00231920"/>
    <w:rsid w:val="0023195C"/>
    <w:rsid w:val="0024282C"/>
    <w:rsid w:val="002460DC"/>
    <w:rsid w:val="00250985"/>
    <w:rsid w:val="002515E2"/>
    <w:rsid w:val="002556F6"/>
    <w:rsid w:val="00266380"/>
    <w:rsid w:val="00283105"/>
    <w:rsid w:val="00284C4C"/>
    <w:rsid w:val="00287E68"/>
    <w:rsid w:val="00296529"/>
    <w:rsid w:val="002A3509"/>
    <w:rsid w:val="002A60C2"/>
    <w:rsid w:val="002B27FB"/>
    <w:rsid w:val="002B685A"/>
    <w:rsid w:val="002C2658"/>
    <w:rsid w:val="002C57D2"/>
    <w:rsid w:val="002D7901"/>
    <w:rsid w:val="002E0D56"/>
    <w:rsid w:val="002F1179"/>
    <w:rsid w:val="002F5E6F"/>
    <w:rsid w:val="002F7B3F"/>
    <w:rsid w:val="00315186"/>
    <w:rsid w:val="0033343E"/>
    <w:rsid w:val="003512C2"/>
    <w:rsid w:val="0036683F"/>
    <w:rsid w:val="00371FB6"/>
    <w:rsid w:val="00374B37"/>
    <w:rsid w:val="00375B89"/>
    <w:rsid w:val="003763C1"/>
    <w:rsid w:val="00376BBE"/>
    <w:rsid w:val="0039224F"/>
    <w:rsid w:val="003A02C6"/>
    <w:rsid w:val="003A43A4"/>
    <w:rsid w:val="003A7E18"/>
    <w:rsid w:val="003B6E71"/>
    <w:rsid w:val="003C4C86"/>
    <w:rsid w:val="003C6258"/>
    <w:rsid w:val="003C729D"/>
    <w:rsid w:val="003D2B81"/>
    <w:rsid w:val="003D2DC8"/>
    <w:rsid w:val="003D58B3"/>
    <w:rsid w:val="003E0646"/>
    <w:rsid w:val="003E1759"/>
    <w:rsid w:val="003E2904"/>
    <w:rsid w:val="003E2A51"/>
    <w:rsid w:val="003F0508"/>
    <w:rsid w:val="00401927"/>
    <w:rsid w:val="0040704B"/>
    <w:rsid w:val="0041027F"/>
    <w:rsid w:val="00412475"/>
    <w:rsid w:val="00416B01"/>
    <w:rsid w:val="00420E72"/>
    <w:rsid w:val="00423789"/>
    <w:rsid w:val="004278AD"/>
    <w:rsid w:val="00440F43"/>
    <w:rsid w:val="00441B6F"/>
    <w:rsid w:val="00443530"/>
    <w:rsid w:val="00446221"/>
    <w:rsid w:val="00450E62"/>
    <w:rsid w:val="004539DB"/>
    <w:rsid w:val="00471A80"/>
    <w:rsid w:val="00476DD0"/>
    <w:rsid w:val="004A53A5"/>
    <w:rsid w:val="004B71DE"/>
    <w:rsid w:val="004C2F83"/>
    <w:rsid w:val="004D305E"/>
    <w:rsid w:val="004D4277"/>
    <w:rsid w:val="004E16BE"/>
    <w:rsid w:val="004E2120"/>
    <w:rsid w:val="00502516"/>
    <w:rsid w:val="00505F06"/>
    <w:rsid w:val="00506828"/>
    <w:rsid w:val="00520A87"/>
    <w:rsid w:val="0053056E"/>
    <w:rsid w:val="00533478"/>
    <w:rsid w:val="00554FDA"/>
    <w:rsid w:val="00563B3B"/>
    <w:rsid w:val="00595F5A"/>
    <w:rsid w:val="005C023A"/>
    <w:rsid w:val="005C70F4"/>
    <w:rsid w:val="005C784C"/>
    <w:rsid w:val="005D17F6"/>
    <w:rsid w:val="005D63B8"/>
    <w:rsid w:val="005E5539"/>
    <w:rsid w:val="00602BF5"/>
    <w:rsid w:val="006113D4"/>
    <w:rsid w:val="00617FDD"/>
    <w:rsid w:val="006238BD"/>
    <w:rsid w:val="00633614"/>
    <w:rsid w:val="00633F68"/>
    <w:rsid w:val="00636EB2"/>
    <w:rsid w:val="006375B8"/>
    <w:rsid w:val="00646B1F"/>
    <w:rsid w:val="0066510A"/>
    <w:rsid w:val="00673F9F"/>
    <w:rsid w:val="00675BB5"/>
    <w:rsid w:val="00686953"/>
    <w:rsid w:val="00687C73"/>
    <w:rsid w:val="00687DEA"/>
    <w:rsid w:val="00687E67"/>
    <w:rsid w:val="00691EA4"/>
    <w:rsid w:val="006967F7"/>
    <w:rsid w:val="006973D6"/>
    <w:rsid w:val="006A22F4"/>
    <w:rsid w:val="006A250C"/>
    <w:rsid w:val="006B21D3"/>
    <w:rsid w:val="006B29A8"/>
    <w:rsid w:val="006B4C9B"/>
    <w:rsid w:val="006B57D0"/>
    <w:rsid w:val="006D30FF"/>
    <w:rsid w:val="006D4BCB"/>
    <w:rsid w:val="006D6940"/>
    <w:rsid w:val="006D7E4C"/>
    <w:rsid w:val="006E7E51"/>
    <w:rsid w:val="006F0087"/>
    <w:rsid w:val="006F11EC"/>
    <w:rsid w:val="0070082C"/>
    <w:rsid w:val="007110B1"/>
    <w:rsid w:val="007369E6"/>
    <w:rsid w:val="00746E59"/>
    <w:rsid w:val="00754C9A"/>
    <w:rsid w:val="0075599A"/>
    <w:rsid w:val="00761D52"/>
    <w:rsid w:val="00774536"/>
    <w:rsid w:val="0077749E"/>
    <w:rsid w:val="00790ADA"/>
    <w:rsid w:val="00792314"/>
    <w:rsid w:val="007B0C8E"/>
    <w:rsid w:val="007B4F78"/>
    <w:rsid w:val="007C7780"/>
    <w:rsid w:val="007C7790"/>
    <w:rsid w:val="007D2288"/>
    <w:rsid w:val="007E088F"/>
    <w:rsid w:val="007E64DF"/>
    <w:rsid w:val="007F7B32"/>
    <w:rsid w:val="008022CA"/>
    <w:rsid w:val="00804BC2"/>
    <w:rsid w:val="008124A9"/>
    <w:rsid w:val="0081431A"/>
    <w:rsid w:val="00826012"/>
    <w:rsid w:val="0083216F"/>
    <w:rsid w:val="00860000"/>
    <w:rsid w:val="00863BD3"/>
    <w:rsid w:val="008641ED"/>
    <w:rsid w:val="00866D66"/>
    <w:rsid w:val="008671C6"/>
    <w:rsid w:val="00875803"/>
    <w:rsid w:val="00876A4E"/>
    <w:rsid w:val="00876B78"/>
    <w:rsid w:val="00877695"/>
    <w:rsid w:val="0088176A"/>
    <w:rsid w:val="00881B73"/>
    <w:rsid w:val="008A18A6"/>
    <w:rsid w:val="008B4210"/>
    <w:rsid w:val="008B459E"/>
    <w:rsid w:val="008B58C5"/>
    <w:rsid w:val="008C7C53"/>
    <w:rsid w:val="008D1AC7"/>
    <w:rsid w:val="008E13AE"/>
    <w:rsid w:val="008E1506"/>
    <w:rsid w:val="008E710C"/>
    <w:rsid w:val="008F69D6"/>
    <w:rsid w:val="00902823"/>
    <w:rsid w:val="00915CA6"/>
    <w:rsid w:val="00926023"/>
    <w:rsid w:val="00927834"/>
    <w:rsid w:val="00931679"/>
    <w:rsid w:val="009433FD"/>
    <w:rsid w:val="009500A6"/>
    <w:rsid w:val="009516DB"/>
    <w:rsid w:val="00957C18"/>
    <w:rsid w:val="009659BA"/>
    <w:rsid w:val="00980B26"/>
    <w:rsid w:val="00983040"/>
    <w:rsid w:val="009B2CDC"/>
    <w:rsid w:val="009B3FB9"/>
    <w:rsid w:val="009C2465"/>
    <w:rsid w:val="009D35A0"/>
    <w:rsid w:val="009D52EE"/>
    <w:rsid w:val="009D7EB7"/>
    <w:rsid w:val="009E048A"/>
    <w:rsid w:val="009E08E9"/>
    <w:rsid w:val="009E1ED2"/>
    <w:rsid w:val="009E3DB9"/>
    <w:rsid w:val="009E6E35"/>
    <w:rsid w:val="009E733A"/>
    <w:rsid w:val="009F0EDA"/>
    <w:rsid w:val="00A03B96"/>
    <w:rsid w:val="00A05B19"/>
    <w:rsid w:val="00A1134E"/>
    <w:rsid w:val="00A139AD"/>
    <w:rsid w:val="00A2313D"/>
    <w:rsid w:val="00A24E7E"/>
    <w:rsid w:val="00A258C3"/>
    <w:rsid w:val="00A347C0"/>
    <w:rsid w:val="00A37A27"/>
    <w:rsid w:val="00A45DCD"/>
    <w:rsid w:val="00A51431"/>
    <w:rsid w:val="00A539AD"/>
    <w:rsid w:val="00A54B66"/>
    <w:rsid w:val="00A6047D"/>
    <w:rsid w:val="00A63469"/>
    <w:rsid w:val="00A66D0E"/>
    <w:rsid w:val="00A80FEB"/>
    <w:rsid w:val="00A9065C"/>
    <w:rsid w:val="00A94063"/>
    <w:rsid w:val="00AA2FB6"/>
    <w:rsid w:val="00AA6219"/>
    <w:rsid w:val="00AA74E0"/>
    <w:rsid w:val="00AB703F"/>
    <w:rsid w:val="00AC32F9"/>
    <w:rsid w:val="00AC6BB8"/>
    <w:rsid w:val="00AD420E"/>
    <w:rsid w:val="00AE008F"/>
    <w:rsid w:val="00AE3C69"/>
    <w:rsid w:val="00B01FCD"/>
    <w:rsid w:val="00B1776C"/>
    <w:rsid w:val="00B355B7"/>
    <w:rsid w:val="00B52583"/>
    <w:rsid w:val="00B52896"/>
    <w:rsid w:val="00B61FF8"/>
    <w:rsid w:val="00B656EE"/>
    <w:rsid w:val="00B66212"/>
    <w:rsid w:val="00B752EF"/>
    <w:rsid w:val="00B910AE"/>
    <w:rsid w:val="00B95236"/>
    <w:rsid w:val="00B96BD9"/>
    <w:rsid w:val="00BA1B01"/>
    <w:rsid w:val="00BA2641"/>
    <w:rsid w:val="00BB37AA"/>
    <w:rsid w:val="00BC53A0"/>
    <w:rsid w:val="00BE62AD"/>
    <w:rsid w:val="00BF121F"/>
    <w:rsid w:val="00BF1F80"/>
    <w:rsid w:val="00BF4034"/>
    <w:rsid w:val="00C166EF"/>
    <w:rsid w:val="00C17EB0"/>
    <w:rsid w:val="00C27F5F"/>
    <w:rsid w:val="00C30A0F"/>
    <w:rsid w:val="00C350F0"/>
    <w:rsid w:val="00C37E61"/>
    <w:rsid w:val="00C62C4E"/>
    <w:rsid w:val="00C656BB"/>
    <w:rsid w:val="00C663C0"/>
    <w:rsid w:val="00C70F1B"/>
    <w:rsid w:val="00C71A47"/>
    <w:rsid w:val="00C7464C"/>
    <w:rsid w:val="00C74819"/>
    <w:rsid w:val="00C85588"/>
    <w:rsid w:val="00CA060C"/>
    <w:rsid w:val="00CA615E"/>
    <w:rsid w:val="00CB29A9"/>
    <w:rsid w:val="00CB4902"/>
    <w:rsid w:val="00CB73F3"/>
    <w:rsid w:val="00CD6755"/>
    <w:rsid w:val="00CD6856"/>
    <w:rsid w:val="00CE0089"/>
    <w:rsid w:val="00CE793C"/>
    <w:rsid w:val="00CF193C"/>
    <w:rsid w:val="00D161C9"/>
    <w:rsid w:val="00D173F1"/>
    <w:rsid w:val="00D2164E"/>
    <w:rsid w:val="00D503D7"/>
    <w:rsid w:val="00D53757"/>
    <w:rsid w:val="00D62DC1"/>
    <w:rsid w:val="00D63D2D"/>
    <w:rsid w:val="00D72D3D"/>
    <w:rsid w:val="00D74CB0"/>
    <w:rsid w:val="00D8295D"/>
    <w:rsid w:val="00D91BBE"/>
    <w:rsid w:val="00DA12B5"/>
    <w:rsid w:val="00DC2A65"/>
    <w:rsid w:val="00DD1ABB"/>
    <w:rsid w:val="00DD6A4A"/>
    <w:rsid w:val="00DE15F0"/>
    <w:rsid w:val="00DE5663"/>
    <w:rsid w:val="00DE78AA"/>
    <w:rsid w:val="00DF2A89"/>
    <w:rsid w:val="00E053D0"/>
    <w:rsid w:val="00E1352D"/>
    <w:rsid w:val="00E1383D"/>
    <w:rsid w:val="00E15994"/>
    <w:rsid w:val="00E2271E"/>
    <w:rsid w:val="00E3114E"/>
    <w:rsid w:val="00E31A70"/>
    <w:rsid w:val="00E33815"/>
    <w:rsid w:val="00E35B02"/>
    <w:rsid w:val="00E52409"/>
    <w:rsid w:val="00E56F30"/>
    <w:rsid w:val="00E66496"/>
    <w:rsid w:val="00E66B35"/>
    <w:rsid w:val="00E66E10"/>
    <w:rsid w:val="00E769F6"/>
    <w:rsid w:val="00E8407C"/>
    <w:rsid w:val="00E84F3C"/>
    <w:rsid w:val="00E87270"/>
    <w:rsid w:val="00E95F5F"/>
    <w:rsid w:val="00EA012C"/>
    <w:rsid w:val="00EC6A55"/>
    <w:rsid w:val="00ED0288"/>
    <w:rsid w:val="00EE52CB"/>
    <w:rsid w:val="00EF1882"/>
    <w:rsid w:val="00EF22AF"/>
    <w:rsid w:val="00EF44B4"/>
    <w:rsid w:val="00EF581D"/>
    <w:rsid w:val="00EF7E1D"/>
    <w:rsid w:val="00EF7FD8"/>
    <w:rsid w:val="00F06F59"/>
    <w:rsid w:val="00F07495"/>
    <w:rsid w:val="00F16B52"/>
    <w:rsid w:val="00F17988"/>
    <w:rsid w:val="00F2656A"/>
    <w:rsid w:val="00F339C7"/>
    <w:rsid w:val="00F44FAF"/>
    <w:rsid w:val="00F469F0"/>
    <w:rsid w:val="00F53273"/>
    <w:rsid w:val="00F73C82"/>
    <w:rsid w:val="00F73FE7"/>
    <w:rsid w:val="00F74234"/>
    <w:rsid w:val="00F755E4"/>
    <w:rsid w:val="00F77D02"/>
    <w:rsid w:val="00F8104D"/>
    <w:rsid w:val="00FA59FD"/>
    <w:rsid w:val="00FB3A86"/>
    <w:rsid w:val="00FD36C8"/>
    <w:rsid w:val="00FF0107"/>
    <w:rsid w:val="00FF3F42"/>
    <w:rsid w:val="05181C1E"/>
    <w:rsid w:val="0B021122"/>
    <w:rsid w:val="0DF0003F"/>
    <w:rsid w:val="19CC4D75"/>
    <w:rsid w:val="1F1305A1"/>
    <w:rsid w:val="2AC0586A"/>
    <w:rsid w:val="2DB348E2"/>
    <w:rsid w:val="2DCD52AE"/>
    <w:rsid w:val="301B64FF"/>
    <w:rsid w:val="488A02F1"/>
    <w:rsid w:val="54FD1120"/>
    <w:rsid w:val="677106D2"/>
    <w:rsid w:val="688B0AC7"/>
    <w:rsid w:val="6A3323D6"/>
    <w:rsid w:val="6D1C14A2"/>
    <w:rsid w:val="794A4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4:docId w14:val="3A7CBA38"/>
  <w15:docId w15:val="{CA37742C-61BC-48EA-8809-7ABE43B2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3469"/>
    <w:rPr>
      <w:rFonts w:ascii="Helvetica" w:eastAsiaTheme="minorEastAsia" w:hAnsi="Helvetica"/>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rFonts w:ascii="Times New Roman" w:hAnsi="Times New Roman"/>
      <w:lang w:val="nb-NO" w:eastAsia="nb-NO"/>
    </w:rPr>
  </w:style>
  <w:style w:type="paragraph" w:styleId="BodyText3">
    <w:name w:val="Body Text 3"/>
    <w:basedOn w:val="Normal"/>
    <w:link w:val="BodyText3Char"/>
    <w:pPr>
      <w:spacing w:after="120"/>
    </w:pPr>
    <w:rPr>
      <w:sz w:val="16"/>
      <w:szCs w:val="16"/>
    </w:rPr>
  </w:style>
  <w:style w:type="paragraph" w:styleId="BalloonText">
    <w:name w:val="Balloon Text"/>
    <w:basedOn w:val="Normal"/>
    <w:link w:val="BalloonTextChar"/>
    <w:rPr>
      <w:rFonts w:ascii="Tahoma" w:hAnsi="Tahoma" w:cs="Tahoma"/>
      <w:sz w:val="16"/>
      <w:szCs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szCs w:val="24"/>
      <w:lang w:eastAsia="zh-CN"/>
    </w:rPr>
  </w:style>
  <w:style w:type="paragraph" w:styleId="Title">
    <w:name w:val="Title"/>
    <w:basedOn w:val="Normal"/>
    <w:qFormat/>
    <w:pPr>
      <w:spacing w:after="360"/>
      <w:jc w:val="right"/>
    </w:pPr>
    <w:rPr>
      <w:b/>
      <w:kern w:val="28"/>
      <w:sz w:val="36"/>
    </w:r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table" w:styleId="TableGrid">
    <w:name w:val="Table Grid"/>
    <w:basedOn w:val="TableNormal"/>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1">
    <w:name w:val="未处理的提及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firstLineChars="200" w:firstLine="420"/>
    </w:pPr>
  </w:style>
  <w:style w:type="character" w:styleId="UnresolvedMention">
    <w:name w:val="Unresolved Mention"/>
    <w:basedOn w:val="DefaultParagraphFont"/>
    <w:uiPriority w:val="99"/>
    <w:semiHidden/>
    <w:unhideWhenUsed/>
    <w:rsid w:val="00CB7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D1B2B3-86F0-4261-9E4E-961767940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2603</TotalTime>
  <Pages>7</Pages>
  <Words>3240</Words>
  <Characters>18471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84</cp:revision>
  <cp:lastPrinted>1999-07-06T11:00:00Z</cp:lastPrinted>
  <dcterms:created xsi:type="dcterms:W3CDTF">2014-10-25T14:34:00Z</dcterms:created>
  <dcterms:modified xsi:type="dcterms:W3CDTF">2026-01-09T11:46:00Z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