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A9241" w14:textId="77777777" w:rsidR="00EF38F4" w:rsidRPr="00512AAD" w:rsidRDefault="00787CEC" w:rsidP="004F009F">
      <w:pPr>
        <w:jc w:val="both"/>
        <w:rPr>
          <w:rFonts w:ascii="Arial" w:hAnsi="Arial" w:cs="Arial"/>
          <w:b/>
          <w:sz w:val="36"/>
          <w:szCs w:val="36"/>
        </w:rPr>
      </w:pPr>
      <w:r w:rsidRPr="00512AAD">
        <w:rPr>
          <w:rFonts w:ascii="Arial" w:hAnsi="Arial" w:cs="Arial"/>
          <w:b/>
          <w:sz w:val="36"/>
          <w:szCs w:val="36"/>
        </w:rPr>
        <w:t>Intra-Articular Injections as a Treatment Option for Internal Derangement of the Temporomandibular Joint:</w:t>
      </w:r>
      <w:r w:rsidR="00745572" w:rsidRPr="00512AAD">
        <w:rPr>
          <w:rFonts w:ascii="Arial" w:hAnsi="Arial" w:cs="Arial"/>
          <w:b/>
          <w:sz w:val="36"/>
          <w:szCs w:val="36"/>
        </w:rPr>
        <w:t xml:space="preserve"> </w:t>
      </w:r>
      <w:r w:rsidRPr="00512AAD">
        <w:rPr>
          <w:rFonts w:ascii="Arial" w:hAnsi="Arial" w:cs="Arial"/>
          <w:b/>
          <w:sz w:val="36"/>
          <w:szCs w:val="36"/>
        </w:rPr>
        <w:t xml:space="preserve"> </w:t>
      </w:r>
      <w:r w:rsidR="00FD28CE" w:rsidRPr="00512AAD">
        <w:rPr>
          <w:rFonts w:ascii="Arial" w:hAnsi="Arial" w:cs="Arial"/>
          <w:b/>
          <w:sz w:val="36"/>
          <w:szCs w:val="36"/>
        </w:rPr>
        <w:t>A Review</w:t>
      </w:r>
    </w:p>
    <w:p w14:paraId="2669C27C" w14:textId="77777777" w:rsidR="000C41D1" w:rsidRDefault="000C41D1" w:rsidP="00512AAD">
      <w:pPr>
        <w:rPr>
          <w:rFonts w:ascii="Arial" w:hAnsi="Arial" w:cs="Arial"/>
          <w:b/>
        </w:rPr>
      </w:pPr>
    </w:p>
    <w:p w14:paraId="4523BE21" w14:textId="6162CD45" w:rsidR="00E15F1E" w:rsidRPr="00512AAD" w:rsidRDefault="00E87894" w:rsidP="00512AAD">
      <w:pPr>
        <w:rPr>
          <w:rFonts w:ascii="Arial" w:hAnsi="Arial" w:cs="Arial"/>
          <w:b/>
        </w:rPr>
      </w:pPr>
      <w:bookmarkStart w:id="0" w:name="_GoBack"/>
      <w:bookmarkEnd w:id="0"/>
      <w:r w:rsidRPr="00512AAD">
        <w:rPr>
          <w:rFonts w:ascii="Arial" w:hAnsi="Arial" w:cs="Arial"/>
          <w:b/>
        </w:rPr>
        <w:t>ABSTRACT</w:t>
      </w:r>
    </w:p>
    <w:p w14:paraId="0741D20E" w14:textId="77777777" w:rsidR="00477CC1" w:rsidRPr="00512AAD" w:rsidRDefault="00477CC1" w:rsidP="00081F9F">
      <w:pPr>
        <w:jc w:val="both"/>
        <w:rPr>
          <w:rFonts w:ascii="Arial" w:hAnsi="Arial" w:cs="Arial"/>
        </w:rPr>
      </w:pPr>
      <w:r w:rsidRPr="00512AAD">
        <w:rPr>
          <w:rFonts w:ascii="Arial" w:hAnsi="Arial" w:cs="Arial"/>
        </w:rPr>
        <w:t>Internal derangement (ID) of the temporomandibular joint (TMJ) is one of the most prevalent intra</w:t>
      </w:r>
      <w:r w:rsidRPr="00512AAD">
        <w:rPr>
          <w:rFonts w:ascii="Arial" w:hAnsi="Arial" w:cs="Arial"/>
        </w:rPr>
        <w:noBreakHyphen/>
        <w:t>articular disorders of the masticatory system and is characterized by an abnormal positional or functional relationship between the articular disc, mandibular condyle, and temporal component. Patients commonly present with pain, joint sounds, restricted mouth opening, and functional impairment. While conservative management remains the first</w:t>
      </w:r>
      <w:r w:rsidRPr="00512AAD">
        <w:rPr>
          <w:rFonts w:ascii="Arial" w:hAnsi="Arial" w:cs="Arial"/>
        </w:rPr>
        <w:noBreakHyphen/>
        <w:t>line approach, a considerable proportion of patients fail to achieve sustained symptom relief and require minimally invasive interventions. Intra</w:t>
      </w:r>
      <w:r w:rsidRPr="00512AAD">
        <w:rPr>
          <w:rFonts w:ascii="Arial" w:hAnsi="Arial" w:cs="Arial"/>
        </w:rPr>
        <w:noBreakHyphen/>
        <w:t>articular (IA) injections have gained significant attention as effective intermediate therapeutic options that bridge the gap between conservative therapy and surgical intervention. Over recent years, advances in regenerative medicine have expanded IA treatment modalities beyond traditional corticosteroids to include hyaluronic acid (HA), platelet</w:t>
      </w:r>
      <w:r w:rsidRPr="00512AAD">
        <w:rPr>
          <w:rFonts w:ascii="Arial" w:hAnsi="Arial" w:cs="Arial"/>
        </w:rPr>
        <w:noBreakHyphen/>
        <w:t>rich plasma (PRP), and other biologically active agents. This comprehensive review elaborates on the pathophysiology of TMJ internal derangement, critically analyzes the mechanisms of action, clinical efficacy, safety profiles, and comparative outcomes of commonly used IA injectables, and highlights the adjunctive role of arthrocentesis. Evidence from randomized controlled trials, systematic reviews, and recent clinical studies suggests that PRP and HA provide superior medium</w:t>
      </w:r>
      <w:r w:rsidRPr="00512AAD">
        <w:rPr>
          <w:rFonts w:ascii="Arial" w:hAnsi="Arial" w:cs="Arial"/>
        </w:rPr>
        <w:noBreakHyphen/>
        <w:t xml:space="preserve"> to long</w:t>
      </w:r>
      <w:r w:rsidRPr="00512AAD">
        <w:rPr>
          <w:rFonts w:ascii="Arial" w:hAnsi="Arial" w:cs="Arial"/>
        </w:rPr>
        <w:noBreakHyphen/>
        <w:t>term outcomes compared with corticosteroids, which are best reserved for short</w:t>
      </w:r>
      <w:r w:rsidRPr="00512AAD">
        <w:rPr>
          <w:rFonts w:ascii="Arial" w:hAnsi="Arial" w:cs="Arial"/>
        </w:rPr>
        <w:noBreakHyphen/>
        <w:t>term inflammatory control. Botulinum toxin A (</w:t>
      </w:r>
      <w:proofErr w:type="spellStart"/>
      <w:r w:rsidRPr="00512AAD">
        <w:rPr>
          <w:rFonts w:ascii="Arial" w:hAnsi="Arial" w:cs="Arial"/>
        </w:rPr>
        <w:t>BoNT</w:t>
      </w:r>
      <w:proofErr w:type="spellEnd"/>
      <w:r w:rsidRPr="00512AAD">
        <w:rPr>
          <w:rFonts w:ascii="Arial" w:hAnsi="Arial" w:cs="Arial"/>
        </w:rPr>
        <w:noBreakHyphen/>
        <w:t>A) remains investigational for intra</w:t>
      </w:r>
      <w:r w:rsidRPr="00512AAD">
        <w:rPr>
          <w:rFonts w:ascii="Arial" w:hAnsi="Arial" w:cs="Arial"/>
        </w:rPr>
        <w:noBreakHyphen/>
        <w:t>articular use. A thorough understanding of indications, limitations, and biological rationale is essential for evidence</w:t>
      </w:r>
      <w:r w:rsidRPr="00512AAD">
        <w:rPr>
          <w:rFonts w:ascii="Arial" w:hAnsi="Arial" w:cs="Arial"/>
        </w:rPr>
        <w:noBreakHyphen/>
        <w:t>based management of TMJ internal derangement.</w:t>
      </w:r>
    </w:p>
    <w:p w14:paraId="0324234E" w14:textId="77777777" w:rsidR="00477CC1" w:rsidRPr="00512AAD" w:rsidRDefault="00477CC1" w:rsidP="00081F9F">
      <w:pPr>
        <w:jc w:val="both"/>
        <w:rPr>
          <w:rFonts w:ascii="Arial" w:hAnsi="Arial" w:cs="Arial"/>
        </w:rPr>
      </w:pPr>
      <w:r w:rsidRPr="00512AAD">
        <w:rPr>
          <w:rStyle w:val="Strong"/>
          <w:rFonts w:ascii="Arial" w:hAnsi="Arial" w:cs="Arial"/>
        </w:rPr>
        <w:t>Keywords:</w:t>
      </w:r>
      <w:r w:rsidRPr="00512AAD">
        <w:rPr>
          <w:rFonts w:ascii="Arial" w:hAnsi="Arial" w:cs="Arial"/>
        </w:rPr>
        <w:t xml:space="preserve"> Temporomandibular joint, internal derangement, intra</w:t>
      </w:r>
      <w:r w:rsidRPr="00512AAD">
        <w:rPr>
          <w:rFonts w:ascii="Arial" w:hAnsi="Arial" w:cs="Arial"/>
        </w:rPr>
        <w:noBreakHyphen/>
        <w:t>articular injection, hyaluronic acid, platelet</w:t>
      </w:r>
      <w:r w:rsidRPr="00512AAD">
        <w:rPr>
          <w:rFonts w:ascii="Arial" w:hAnsi="Arial" w:cs="Arial"/>
        </w:rPr>
        <w:noBreakHyphen/>
        <w:t>rich plasma, arthrocentesis</w:t>
      </w:r>
    </w:p>
    <w:p w14:paraId="1C6B0E00" w14:textId="77777777" w:rsidR="00E15F1E" w:rsidRPr="00512AAD" w:rsidRDefault="00817495" w:rsidP="00512AAD">
      <w:pPr>
        <w:rPr>
          <w:rFonts w:ascii="Arial" w:hAnsi="Arial" w:cs="Arial"/>
          <w:b/>
        </w:rPr>
      </w:pPr>
      <w:r w:rsidRPr="00512AAD">
        <w:rPr>
          <w:rFonts w:ascii="Arial" w:hAnsi="Arial" w:cs="Arial"/>
          <w:b/>
        </w:rPr>
        <w:t>INTRODUCTION</w:t>
      </w:r>
    </w:p>
    <w:p w14:paraId="5204E55A" w14:textId="77777777" w:rsidR="00F611B5" w:rsidRPr="00512AAD" w:rsidRDefault="00F611B5" w:rsidP="00081F9F">
      <w:pPr>
        <w:jc w:val="both"/>
        <w:rPr>
          <w:rFonts w:ascii="Arial" w:eastAsia="Times New Roman" w:hAnsi="Arial" w:cs="Arial"/>
        </w:rPr>
      </w:pPr>
      <w:r w:rsidRPr="00512AAD">
        <w:rPr>
          <w:rFonts w:ascii="Arial" w:eastAsia="Times New Roman" w:hAnsi="Arial" w:cs="Arial"/>
        </w:rPr>
        <w:t xml:space="preserve">Internal derangement (ID) of the temporomandibular joint (TMJ) encompasses a group of intra-articular disorders characterized by disruption of the normal anatomical and functional relationship between the articular disc, mandibular condyle, and glenoid </w:t>
      </w:r>
      <w:proofErr w:type="gramStart"/>
      <w:r w:rsidRPr="00512AAD">
        <w:rPr>
          <w:rFonts w:ascii="Arial" w:eastAsia="Times New Roman" w:hAnsi="Arial" w:cs="Arial"/>
        </w:rPr>
        <w:t>fossa.</w:t>
      </w:r>
      <w:r w:rsidR="00A836DE">
        <w:rPr>
          <w:rFonts w:ascii="Arial" w:eastAsia="Times New Roman" w:hAnsi="Arial" w:cs="Arial"/>
        </w:rPr>
        <w:t>[</w:t>
      </w:r>
      <w:proofErr w:type="gramEnd"/>
      <w:r w:rsidR="00A836DE">
        <w:rPr>
          <w:rFonts w:ascii="Arial" w:eastAsia="Times New Roman" w:hAnsi="Arial" w:cs="Arial"/>
        </w:rPr>
        <w:t>1]</w:t>
      </w:r>
      <w:r w:rsidRPr="00512AAD">
        <w:rPr>
          <w:rFonts w:ascii="Arial" w:eastAsia="Times New Roman" w:hAnsi="Arial" w:cs="Arial"/>
        </w:rPr>
        <w:t xml:space="preserve"> It represents one of the most prevalent intra-articular pathologies of the TMJ and constitutes a major proportion of temporomandibular disorders encountered in clinical practice. Patients commonly present with a constellation of symptoms including preauricular pain, joint noises such as clicking or crepitus, deviation or limitation of mandibular movements, and functional impairment affecting mastication, speech, and quality of </w:t>
      </w:r>
      <w:proofErr w:type="gramStart"/>
      <w:r w:rsidRPr="00512AAD">
        <w:rPr>
          <w:rFonts w:ascii="Arial" w:eastAsia="Times New Roman" w:hAnsi="Arial" w:cs="Arial"/>
        </w:rPr>
        <w:t>life</w:t>
      </w:r>
      <w:r w:rsidR="00A836DE">
        <w:rPr>
          <w:rFonts w:ascii="Arial" w:eastAsia="Times New Roman" w:hAnsi="Arial" w:cs="Arial"/>
        </w:rPr>
        <w:t>.[</w:t>
      </w:r>
      <w:proofErr w:type="gramEnd"/>
      <w:r w:rsidR="00A836DE">
        <w:rPr>
          <w:rFonts w:ascii="Arial" w:eastAsia="Times New Roman" w:hAnsi="Arial" w:cs="Arial"/>
        </w:rPr>
        <w:t>1,2]</w:t>
      </w:r>
    </w:p>
    <w:p w14:paraId="20DF85E3" w14:textId="77777777" w:rsidR="00F611B5" w:rsidRPr="00512AAD" w:rsidRDefault="00F611B5" w:rsidP="00081F9F">
      <w:pPr>
        <w:jc w:val="both"/>
        <w:rPr>
          <w:rFonts w:ascii="Arial" w:eastAsia="Times New Roman" w:hAnsi="Arial" w:cs="Arial"/>
        </w:rPr>
      </w:pPr>
      <w:r w:rsidRPr="00512AAD">
        <w:rPr>
          <w:rFonts w:ascii="Arial" w:eastAsia="Times New Roman" w:hAnsi="Arial" w:cs="Arial"/>
        </w:rPr>
        <w:t>Epidemiological studies suggest that TMJ disorders affect approximately 5–12% of the general population, with internal derangement accounting for the majority of cases involving intra-</w:t>
      </w:r>
      <w:r w:rsidRPr="00512AAD">
        <w:rPr>
          <w:rFonts w:ascii="Arial" w:eastAsia="Times New Roman" w:hAnsi="Arial" w:cs="Arial"/>
        </w:rPr>
        <w:lastRenderedPageBreak/>
        <w:t>articular pathology.</w:t>
      </w:r>
      <w:r w:rsidR="00A836DE">
        <w:rPr>
          <w:rFonts w:ascii="Arial" w:eastAsia="Times New Roman" w:hAnsi="Arial" w:cs="Arial"/>
        </w:rPr>
        <w:t>[3]</w:t>
      </w:r>
      <w:r w:rsidRPr="00512AAD">
        <w:rPr>
          <w:rFonts w:ascii="Arial" w:eastAsia="Times New Roman" w:hAnsi="Arial" w:cs="Arial"/>
        </w:rPr>
        <w:t xml:space="preserve"> The condition demonstrates a higher prevalence among young and middle-aged adults and shows a female predilection, possibly related to hormonal, anatomical, and psychosocial factors.</w:t>
      </w:r>
      <w:r w:rsidR="00A836DE">
        <w:rPr>
          <w:rFonts w:ascii="Arial" w:eastAsia="Times New Roman" w:hAnsi="Arial" w:cs="Arial"/>
        </w:rPr>
        <w:t>[4]</w:t>
      </w:r>
      <w:r w:rsidRPr="00512AAD">
        <w:rPr>
          <w:rFonts w:ascii="Arial" w:eastAsia="Times New Roman" w:hAnsi="Arial" w:cs="Arial"/>
        </w:rPr>
        <w:t xml:space="preserve"> Internal derangement may manifest as disc displacement with reduction, disc displacement without reduction, or more advanced stages associated with degenerative joint disease, reflecting its progressive nature when untreated or inadequately managed.</w:t>
      </w:r>
      <w:r w:rsidR="00A836DE">
        <w:rPr>
          <w:rFonts w:ascii="Arial" w:eastAsia="Times New Roman" w:hAnsi="Arial" w:cs="Arial"/>
        </w:rPr>
        <w:t>[5]</w:t>
      </w:r>
    </w:p>
    <w:p w14:paraId="3A20274A" w14:textId="77777777" w:rsidR="00F611B5" w:rsidRPr="00512AAD" w:rsidRDefault="00F611B5" w:rsidP="00081F9F">
      <w:pPr>
        <w:jc w:val="both"/>
        <w:rPr>
          <w:rFonts w:ascii="Arial" w:eastAsia="Times New Roman" w:hAnsi="Arial" w:cs="Arial"/>
        </w:rPr>
      </w:pPr>
      <w:r w:rsidRPr="00512AAD">
        <w:rPr>
          <w:rFonts w:ascii="Arial" w:eastAsia="Times New Roman" w:hAnsi="Arial" w:cs="Arial"/>
        </w:rPr>
        <w:t xml:space="preserve">The etiology of TMJ internal derangement is multifactorial and complex. Mechanical overload resulting from parafunctional habits such as bruxism, clenching, and abnormal occlusal forces plays a critical role in initiating disc displacement and joint stress. Traumatic insults, both </w:t>
      </w:r>
      <w:proofErr w:type="spellStart"/>
      <w:r w:rsidRPr="00512AAD">
        <w:rPr>
          <w:rFonts w:ascii="Arial" w:eastAsia="Times New Roman" w:hAnsi="Arial" w:cs="Arial"/>
        </w:rPr>
        <w:t>macrotrauma</w:t>
      </w:r>
      <w:proofErr w:type="spellEnd"/>
      <w:r w:rsidRPr="00512AAD">
        <w:rPr>
          <w:rFonts w:ascii="Arial" w:eastAsia="Times New Roman" w:hAnsi="Arial" w:cs="Arial"/>
        </w:rPr>
        <w:t xml:space="preserve"> and repetitive microtrauma, contribute to capsular strain and </w:t>
      </w:r>
      <w:proofErr w:type="spellStart"/>
      <w:r w:rsidRPr="00512AAD">
        <w:rPr>
          <w:rFonts w:ascii="Arial" w:eastAsia="Times New Roman" w:hAnsi="Arial" w:cs="Arial"/>
        </w:rPr>
        <w:t>discal</w:t>
      </w:r>
      <w:proofErr w:type="spellEnd"/>
      <w:r w:rsidRPr="00512AAD">
        <w:rPr>
          <w:rFonts w:ascii="Arial" w:eastAsia="Times New Roman" w:hAnsi="Arial" w:cs="Arial"/>
        </w:rPr>
        <w:t xml:space="preserve"> ligament </w:t>
      </w:r>
      <w:proofErr w:type="gramStart"/>
      <w:r w:rsidRPr="00512AAD">
        <w:rPr>
          <w:rFonts w:ascii="Arial" w:eastAsia="Times New Roman" w:hAnsi="Arial" w:cs="Arial"/>
        </w:rPr>
        <w:t>elongation.</w:t>
      </w:r>
      <w:r w:rsidR="00A836DE">
        <w:rPr>
          <w:rFonts w:ascii="Arial" w:eastAsia="Times New Roman" w:hAnsi="Arial" w:cs="Arial"/>
        </w:rPr>
        <w:t>[</w:t>
      </w:r>
      <w:proofErr w:type="gramEnd"/>
      <w:r w:rsidR="00A836DE">
        <w:rPr>
          <w:rFonts w:ascii="Arial" w:eastAsia="Times New Roman" w:hAnsi="Arial" w:cs="Arial"/>
        </w:rPr>
        <w:t>6,7]</w:t>
      </w:r>
      <w:r w:rsidRPr="00512AAD">
        <w:rPr>
          <w:rFonts w:ascii="Arial" w:eastAsia="Times New Roman" w:hAnsi="Arial" w:cs="Arial"/>
        </w:rPr>
        <w:t xml:space="preserve"> Additionally, psychosocial stress, postural abnormalities, and systemic factors further influence disease onset and progression. These factors collectively disrupt joint biomechanics, leading to altered disc-condyle coordination and abnormal loading patterns within the </w:t>
      </w:r>
      <w:proofErr w:type="gramStart"/>
      <w:r w:rsidRPr="00512AAD">
        <w:rPr>
          <w:rFonts w:ascii="Arial" w:eastAsia="Times New Roman" w:hAnsi="Arial" w:cs="Arial"/>
        </w:rPr>
        <w:t>joint.</w:t>
      </w:r>
      <w:r w:rsidR="00A836DE">
        <w:rPr>
          <w:rFonts w:ascii="Arial" w:eastAsia="Times New Roman" w:hAnsi="Arial" w:cs="Arial"/>
        </w:rPr>
        <w:t>[</w:t>
      </w:r>
      <w:proofErr w:type="gramEnd"/>
      <w:r w:rsidR="00A836DE">
        <w:rPr>
          <w:rFonts w:ascii="Arial" w:eastAsia="Times New Roman" w:hAnsi="Arial" w:cs="Arial"/>
        </w:rPr>
        <w:t>8]</w:t>
      </w:r>
    </w:p>
    <w:p w14:paraId="7E9002D8" w14:textId="77777777" w:rsidR="00F611B5" w:rsidRPr="00512AAD" w:rsidRDefault="00F611B5" w:rsidP="00081F9F">
      <w:pPr>
        <w:jc w:val="both"/>
        <w:rPr>
          <w:rFonts w:ascii="Arial" w:eastAsia="Times New Roman" w:hAnsi="Arial" w:cs="Arial"/>
        </w:rPr>
      </w:pPr>
      <w:r w:rsidRPr="00512AAD">
        <w:rPr>
          <w:rFonts w:ascii="Arial" w:eastAsia="Times New Roman" w:hAnsi="Arial" w:cs="Arial"/>
        </w:rPr>
        <w:t xml:space="preserve">Beyond mechanical factors, inflammatory and biochemical processes are increasingly recognized as central to the pathogenesis of TMJ internal derangement. Synovial inflammation is associated with elevated levels of pro-inflammatory cytokines, including interleukin-1β, tumor necrosis factor-α, and prostaglandin E2, as well as matrix metalloproteinases responsible for extracellular matrix degradation. These mediators contribute not only to pain and inflammation but also to progressive degeneration of the articular cartilage and disc. Consequently, TMJ internal derangement is now understood as a condition involving both structural derangement and inflammatory joint </w:t>
      </w:r>
      <w:proofErr w:type="gramStart"/>
      <w:r w:rsidRPr="00512AAD">
        <w:rPr>
          <w:rFonts w:ascii="Arial" w:eastAsia="Times New Roman" w:hAnsi="Arial" w:cs="Arial"/>
        </w:rPr>
        <w:t>disease.</w:t>
      </w:r>
      <w:r w:rsidR="00A836DE">
        <w:rPr>
          <w:rFonts w:ascii="Arial" w:eastAsia="Times New Roman" w:hAnsi="Arial" w:cs="Arial"/>
        </w:rPr>
        <w:t>[</w:t>
      </w:r>
      <w:proofErr w:type="gramEnd"/>
      <w:r w:rsidR="00A836DE">
        <w:rPr>
          <w:rFonts w:ascii="Arial" w:eastAsia="Times New Roman" w:hAnsi="Arial" w:cs="Arial"/>
        </w:rPr>
        <w:t>9,10]</w:t>
      </w:r>
    </w:p>
    <w:p w14:paraId="75CA04D0" w14:textId="77777777" w:rsidR="00F611B5" w:rsidRPr="00512AAD" w:rsidRDefault="00F611B5" w:rsidP="00081F9F">
      <w:pPr>
        <w:jc w:val="both"/>
        <w:rPr>
          <w:rFonts w:ascii="Arial" w:eastAsia="Times New Roman" w:hAnsi="Arial" w:cs="Arial"/>
        </w:rPr>
      </w:pPr>
      <w:r w:rsidRPr="00512AAD">
        <w:rPr>
          <w:rFonts w:ascii="Arial" w:eastAsia="Times New Roman" w:hAnsi="Arial" w:cs="Arial"/>
        </w:rPr>
        <w:t xml:space="preserve">Conservative management remains the cornerstone of initial treatment and includes patient education, behavioral modification, pharmacologic therapy, physiotherapy, and occlusal splint </w:t>
      </w:r>
      <w:proofErr w:type="gramStart"/>
      <w:r w:rsidRPr="00512AAD">
        <w:rPr>
          <w:rFonts w:ascii="Arial" w:eastAsia="Times New Roman" w:hAnsi="Arial" w:cs="Arial"/>
        </w:rPr>
        <w:t>therapy.</w:t>
      </w:r>
      <w:r w:rsidR="00A836DE">
        <w:rPr>
          <w:rFonts w:ascii="Arial" w:eastAsia="Times New Roman" w:hAnsi="Arial" w:cs="Arial"/>
        </w:rPr>
        <w:t>[</w:t>
      </w:r>
      <w:proofErr w:type="gramEnd"/>
      <w:r w:rsidR="00A836DE">
        <w:rPr>
          <w:rFonts w:ascii="Arial" w:eastAsia="Times New Roman" w:hAnsi="Arial" w:cs="Arial"/>
        </w:rPr>
        <w:t>11]</w:t>
      </w:r>
      <w:r w:rsidRPr="00512AAD">
        <w:rPr>
          <w:rFonts w:ascii="Arial" w:eastAsia="Times New Roman" w:hAnsi="Arial" w:cs="Arial"/>
        </w:rPr>
        <w:t xml:space="preserve"> Although these approaches are effective for a large proportion of patients, approximately 20–30% continue to experience persistent symptoms despite adequate conservative care. In such cases, minimally invasive treatment modalities serve as an essential therapeutic bridge between conservative measures and open surgical </w:t>
      </w:r>
      <w:proofErr w:type="gramStart"/>
      <w:r w:rsidRPr="00512AAD">
        <w:rPr>
          <w:rFonts w:ascii="Arial" w:eastAsia="Times New Roman" w:hAnsi="Arial" w:cs="Arial"/>
        </w:rPr>
        <w:t>intervention.</w:t>
      </w:r>
      <w:r w:rsidR="00A836DE">
        <w:rPr>
          <w:rFonts w:ascii="Arial" w:eastAsia="Times New Roman" w:hAnsi="Arial" w:cs="Arial"/>
        </w:rPr>
        <w:t>[</w:t>
      </w:r>
      <w:proofErr w:type="gramEnd"/>
      <w:r w:rsidR="00A836DE">
        <w:rPr>
          <w:rFonts w:ascii="Arial" w:eastAsia="Times New Roman" w:hAnsi="Arial" w:cs="Arial"/>
        </w:rPr>
        <w:t>10,12]</w:t>
      </w:r>
    </w:p>
    <w:p w14:paraId="62279293" w14:textId="77777777" w:rsidR="00F611B5" w:rsidRPr="00512AAD" w:rsidRDefault="00F611B5" w:rsidP="00081F9F">
      <w:pPr>
        <w:jc w:val="both"/>
        <w:rPr>
          <w:rFonts w:ascii="Arial" w:eastAsia="Times New Roman" w:hAnsi="Arial" w:cs="Arial"/>
        </w:rPr>
      </w:pPr>
      <w:r w:rsidRPr="00512AAD">
        <w:rPr>
          <w:rFonts w:ascii="Arial" w:eastAsia="Times New Roman" w:hAnsi="Arial" w:cs="Arial"/>
        </w:rPr>
        <w:t xml:space="preserve">Intra-articular (IA) injection therapy has emerged as a valuable minimally invasive approach aimed at directly targeting intra-articular pathology. By delivering therapeutic agents into the joint space, IA injections provide localized anti-inflammatory, lubricating, </w:t>
      </w:r>
      <w:proofErr w:type="spellStart"/>
      <w:r w:rsidRPr="00512AAD">
        <w:rPr>
          <w:rFonts w:ascii="Arial" w:eastAsia="Times New Roman" w:hAnsi="Arial" w:cs="Arial"/>
        </w:rPr>
        <w:t>neuromodulatory</w:t>
      </w:r>
      <w:proofErr w:type="spellEnd"/>
      <w:r w:rsidRPr="00512AAD">
        <w:rPr>
          <w:rFonts w:ascii="Arial" w:eastAsia="Times New Roman" w:hAnsi="Arial" w:cs="Arial"/>
        </w:rPr>
        <w:t xml:space="preserve">, or regenerative effects while minimizing systemic adverse reactions. Over the past decade, advances in regenerative medicine have further expanded the therapeutic scope of IA injections through biologic agents such as platelet-rich plasma, autologous conditioned serum, and injectable platelet </w:t>
      </w:r>
      <w:proofErr w:type="gramStart"/>
      <w:r w:rsidRPr="00512AAD">
        <w:rPr>
          <w:rFonts w:ascii="Arial" w:eastAsia="Times New Roman" w:hAnsi="Arial" w:cs="Arial"/>
        </w:rPr>
        <w:t>concentrates.</w:t>
      </w:r>
      <w:r w:rsidR="00A836DE">
        <w:rPr>
          <w:rFonts w:ascii="Arial" w:eastAsia="Times New Roman" w:hAnsi="Arial" w:cs="Arial"/>
        </w:rPr>
        <w:t>[</w:t>
      </w:r>
      <w:proofErr w:type="gramEnd"/>
      <w:r w:rsidR="00A836DE">
        <w:rPr>
          <w:rFonts w:ascii="Arial" w:eastAsia="Times New Roman" w:hAnsi="Arial" w:cs="Arial"/>
        </w:rPr>
        <w:t>13]</w:t>
      </w:r>
    </w:p>
    <w:p w14:paraId="232F0AB7" w14:textId="77777777" w:rsidR="00332793" w:rsidRPr="00512AAD" w:rsidRDefault="00F611B5" w:rsidP="00081F9F">
      <w:pPr>
        <w:jc w:val="both"/>
        <w:rPr>
          <w:rFonts w:ascii="Arial" w:eastAsia="Times New Roman" w:hAnsi="Arial" w:cs="Arial"/>
          <w:sz w:val="24"/>
          <w:szCs w:val="24"/>
        </w:rPr>
      </w:pPr>
      <w:r w:rsidRPr="00512AAD">
        <w:rPr>
          <w:rFonts w:ascii="Arial" w:eastAsia="Times New Roman" w:hAnsi="Arial" w:cs="Arial"/>
        </w:rPr>
        <w:t xml:space="preserve">Given the expanding range of injectable agents and the growing body of clinical evidence, there is a need for comprehensive evaluation and comparison of available IA therapies. Understanding the mechanisms of action, clinical efficacy, duration of benefit, safety profile, and appropriate indications of each injectable agent is crucial for optimizing patient outcomes. This review aims to critically synthesize current evidence on intra-articular injection therapies for TMJ </w:t>
      </w:r>
      <w:r w:rsidRPr="00512AAD">
        <w:rPr>
          <w:rFonts w:ascii="Arial" w:eastAsia="Times New Roman" w:hAnsi="Arial" w:cs="Arial"/>
        </w:rPr>
        <w:lastRenderedPageBreak/>
        <w:t>internal derangement and to provide a rational, evidence-based framework for clinical decision-</w:t>
      </w:r>
      <w:proofErr w:type="gramStart"/>
      <w:r w:rsidRPr="00512AAD">
        <w:rPr>
          <w:rFonts w:ascii="Arial" w:eastAsia="Times New Roman" w:hAnsi="Arial" w:cs="Arial"/>
        </w:rPr>
        <w:t>making.</w:t>
      </w:r>
      <w:r w:rsidR="00A836DE">
        <w:rPr>
          <w:rFonts w:ascii="Arial" w:eastAsia="Times New Roman" w:hAnsi="Arial" w:cs="Arial"/>
        </w:rPr>
        <w:t>[</w:t>
      </w:r>
      <w:proofErr w:type="gramEnd"/>
      <w:r w:rsidR="00A836DE">
        <w:rPr>
          <w:rFonts w:ascii="Arial" w:eastAsia="Times New Roman" w:hAnsi="Arial" w:cs="Arial"/>
        </w:rPr>
        <w:t>14]</w:t>
      </w:r>
      <w:r w:rsidR="003C7008" w:rsidRPr="00512AAD">
        <w:rPr>
          <w:rFonts w:ascii="Arial" w:hAnsi="Arial" w:cs="Arial"/>
        </w:rPr>
        <w:tab/>
      </w:r>
    </w:p>
    <w:p w14:paraId="5EBAC4E0" w14:textId="77777777" w:rsidR="00E15F1E" w:rsidRPr="00512AAD" w:rsidRDefault="00817495" w:rsidP="00512AAD">
      <w:pPr>
        <w:rPr>
          <w:rFonts w:ascii="Arial" w:hAnsi="Arial" w:cs="Arial"/>
          <w:b/>
        </w:rPr>
      </w:pPr>
      <w:r w:rsidRPr="00512AAD">
        <w:rPr>
          <w:rFonts w:ascii="Arial" w:hAnsi="Arial" w:cs="Arial"/>
          <w:b/>
        </w:rPr>
        <w:t xml:space="preserve"> PATHOPHYSIOLOGY OF TMJ INTERNAL DERANGEMENT</w:t>
      </w:r>
    </w:p>
    <w:p w14:paraId="3E1FC0A2" w14:textId="77777777" w:rsidR="00125698" w:rsidRPr="00512AAD" w:rsidRDefault="00125698" w:rsidP="00512AAD">
      <w:pPr>
        <w:rPr>
          <w:rFonts w:ascii="Arial" w:eastAsia="Times New Roman" w:hAnsi="Arial" w:cs="Arial"/>
          <w:b/>
        </w:rPr>
      </w:pPr>
      <w:r w:rsidRPr="00512AAD">
        <w:rPr>
          <w:rFonts w:ascii="Arial" w:eastAsia="Times New Roman" w:hAnsi="Arial" w:cs="Arial"/>
          <w:b/>
        </w:rPr>
        <w:t>Disc Displacement and Mechanical Dysfunction</w:t>
      </w:r>
    </w:p>
    <w:p w14:paraId="632DD8F9"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The articular disc is a biconcave fibrocartilaginous structure interposed between the mandibular condyle and the temporal bone. It plays a critical role in distributing functional loads, facilitating smooth mandibular movements, and maintaining joint stability. In internal derangement, the disc most commonly displaces anteriorly or anteromedially relative to the condylar head. Disc displacement with reduction is characterized by reciprocal clicking during mandibular opening and closing, whereas disc displacement without reduction results in restricted mouth opening and may present clinically as a closed lock.</w:t>
      </w:r>
    </w:p>
    <w:p w14:paraId="70E9A54A"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 xml:space="preserve">Mechanical derangement alters the normal biomechanics of the joint, leading to increased friction, abnormal loading patterns, and microtrauma to the articular surfaces. Over time, these changes contribute to progressive degeneration of the disc and articular cartilage, perpetuating pain and </w:t>
      </w:r>
      <w:proofErr w:type="gramStart"/>
      <w:r w:rsidRPr="00512AAD">
        <w:rPr>
          <w:rFonts w:ascii="Arial" w:eastAsia="Times New Roman" w:hAnsi="Arial" w:cs="Arial"/>
        </w:rPr>
        <w:t>dysfunction.</w:t>
      </w:r>
      <w:r w:rsidR="00A836DE">
        <w:rPr>
          <w:rFonts w:ascii="Arial" w:eastAsia="Times New Roman" w:hAnsi="Arial" w:cs="Arial"/>
        </w:rPr>
        <w:t>[</w:t>
      </w:r>
      <w:proofErr w:type="gramEnd"/>
      <w:r w:rsidR="00A836DE">
        <w:rPr>
          <w:rFonts w:ascii="Arial" w:eastAsia="Times New Roman" w:hAnsi="Arial" w:cs="Arial"/>
        </w:rPr>
        <w:t>15]</w:t>
      </w:r>
    </w:p>
    <w:p w14:paraId="4E770A1C" w14:textId="77777777" w:rsidR="00125698" w:rsidRPr="00512AAD" w:rsidRDefault="00125698" w:rsidP="00512AAD">
      <w:pPr>
        <w:rPr>
          <w:rFonts w:ascii="Arial" w:eastAsia="Times New Roman" w:hAnsi="Arial" w:cs="Arial"/>
          <w:b/>
        </w:rPr>
      </w:pPr>
      <w:r w:rsidRPr="00512AAD">
        <w:rPr>
          <w:rFonts w:ascii="Arial" w:eastAsia="Times New Roman" w:hAnsi="Arial" w:cs="Arial"/>
          <w:b/>
        </w:rPr>
        <w:t>Role of Inflammatory Mediators</w:t>
      </w:r>
    </w:p>
    <w:p w14:paraId="47CBA252"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Inflammation is a key contributor to the clinical manifestations of TMJ ID. Synovial fluid analyses have demonstrated elevated concentrations of pro</w:t>
      </w:r>
      <w:r w:rsidRPr="00512AAD">
        <w:rPr>
          <w:rFonts w:ascii="Arial" w:eastAsia="Times New Roman" w:hAnsi="Arial" w:cs="Arial"/>
        </w:rPr>
        <w:noBreakHyphen/>
        <w:t>inflammatory cytokines such as interleukin</w:t>
      </w:r>
      <w:r w:rsidRPr="00512AAD">
        <w:rPr>
          <w:rFonts w:ascii="Arial" w:eastAsia="Times New Roman" w:hAnsi="Arial" w:cs="Arial"/>
        </w:rPr>
        <w:noBreakHyphen/>
        <w:t>1β, tumor necrosis factor</w:t>
      </w:r>
      <w:r w:rsidRPr="00512AAD">
        <w:rPr>
          <w:rFonts w:ascii="Arial" w:eastAsia="Times New Roman" w:hAnsi="Arial" w:cs="Arial"/>
        </w:rPr>
        <w:noBreakHyphen/>
        <w:t>α, interleukin</w:t>
      </w:r>
      <w:r w:rsidRPr="00512AAD">
        <w:rPr>
          <w:rFonts w:ascii="Arial" w:eastAsia="Times New Roman" w:hAnsi="Arial" w:cs="Arial"/>
        </w:rPr>
        <w:noBreakHyphen/>
        <w:t>6, prostaglandin E2, and matrix metalloproteinases. These mediators promote cartilage degradation, synovial inflammation, nociceptive sensitization, and alterations in synovial fluid viscosity. Persistent synovitis establishes a vicious cycle of pain and joint dysfunction, providing a strong biological rationale for intra</w:t>
      </w:r>
      <w:r w:rsidRPr="00512AAD">
        <w:rPr>
          <w:rFonts w:ascii="Arial" w:eastAsia="Times New Roman" w:hAnsi="Arial" w:cs="Arial"/>
        </w:rPr>
        <w:noBreakHyphen/>
        <w:t>articular anti</w:t>
      </w:r>
      <w:r w:rsidRPr="00512AAD">
        <w:rPr>
          <w:rFonts w:ascii="Arial" w:eastAsia="Times New Roman" w:hAnsi="Arial" w:cs="Arial"/>
        </w:rPr>
        <w:noBreakHyphen/>
        <w:t>inflammatory therapy.</w:t>
      </w:r>
    </w:p>
    <w:p w14:paraId="6A1F0EEF" w14:textId="77777777" w:rsidR="00125698" w:rsidRPr="00512AAD" w:rsidRDefault="00125698" w:rsidP="00512AAD">
      <w:pPr>
        <w:rPr>
          <w:rFonts w:ascii="Arial" w:eastAsia="Times New Roman" w:hAnsi="Arial" w:cs="Arial"/>
          <w:b/>
        </w:rPr>
      </w:pPr>
      <w:r w:rsidRPr="00512AAD">
        <w:rPr>
          <w:rFonts w:ascii="Arial" w:eastAsia="Times New Roman" w:hAnsi="Arial" w:cs="Arial"/>
          <w:b/>
        </w:rPr>
        <w:t>Degenerative Joint Changes</w:t>
      </w:r>
    </w:p>
    <w:p w14:paraId="448CDD49"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Chronic internal derangement may progress to degenerative joint disease resembling osteoarthritis. Radiographic and histopathological findings include condylar flattening, osteophyte formation, erosion of articular cartilage, subchondral sclerosis, and reduced disc elasticity. These degenerative changes underscore the importance of therapeutic strategies that not only control inflammation but also restore joint lubrication and promote tissue repair.</w:t>
      </w:r>
    </w:p>
    <w:p w14:paraId="6B121A06" w14:textId="77777777" w:rsidR="00125698" w:rsidRPr="00512AAD" w:rsidRDefault="00125698" w:rsidP="00512AAD">
      <w:pPr>
        <w:rPr>
          <w:rFonts w:ascii="Arial" w:eastAsia="Times New Roman" w:hAnsi="Arial" w:cs="Arial"/>
          <w:b/>
        </w:rPr>
      </w:pPr>
      <w:r w:rsidRPr="00512AAD">
        <w:rPr>
          <w:rFonts w:ascii="Arial" w:eastAsia="Times New Roman" w:hAnsi="Arial" w:cs="Arial"/>
          <w:b/>
        </w:rPr>
        <w:t>OVERVIEW OF INTRA</w:t>
      </w:r>
      <w:r w:rsidRPr="00512AAD">
        <w:rPr>
          <w:rFonts w:ascii="Arial" w:eastAsia="Times New Roman" w:hAnsi="Arial" w:cs="Arial"/>
          <w:b/>
        </w:rPr>
        <w:noBreakHyphen/>
        <w:t>ARTICULAR INJECTABLE AGENTS</w:t>
      </w:r>
    </w:p>
    <w:p w14:paraId="307D5696"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Several pharmacologic and biologic agents have been employed for IA injection in TMJ internal derangement. The most commonly used include corticosteroids, hyaluronic acid, platelet</w:t>
      </w:r>
      <w:r w:rsidRPr="00512AAD">
        <w:rPr>
          <w:rFonts w:ascii="Arial" w:eastAsia="Times New Roman" w:hAnsi="Arial" w:cs="Arial"/>
        </w:rPr>
        <w:noBreakHyphen/>
        <w:t xml:space="preserve">rich plasma, and botulinum toxin A. Each agent differs in mechanism of action, duration of effect, and strength of supporting evidence, necessitating careful patient selection and individualized treatment </w:t>
      </w:r>
      <w:proofErr w:type="gramStart"/>
      <w:r w:rsidRPr="00512AAD">
        <w:rPr>
          <w:rFonts w:ascii="Arial" w:eastAsia="Times New Roman" w:hAnsi="Arial" w:cs="Arial"/>
        </w:rPr>
        <w:t>planning.</w:t>
      </w:r>
      <w:r w:rsidR="00A836DE">
        <w:rPr>
          <w:rFonts w:ascii="Arial" w:eastAsia="Times New Roman" w:hAnsi="Arial" w:cs="Arial"/>
        </w:rPr>
        <w:t>[</w:t>
      </w:r>
      <w:proofErr w:type="gramEnd"/>
      <w:r w:rsidR="00A836DE">
        <w:rPr>
          <w:rFonts w:ascii="Arial" w:eastAsia="Times New Roman" w:hAnsi="Arial" w:cs="Arial"/>
        </w:rPr>
        <w:t>15]</w:t>
      </w:r>
    </w:p>
    <w:p w14:paraId="536F7C74" w14:textId="77777777" w:rsidR="00125698" w:rsidRPr="00512AAD" w:rsidRDefault="00125698" w:rsidP="00512AAD">
      <w:pPr>
        <w:rPr>
          <w:rFonts w:ascii="Arial" w:eastAsia="Times New Roman" w:hAnsi="Arial" w:cs="Arial"/>
          <w:b/>
        </w:rPr>
      </w:pPr>
      <w:r w:rsidRPr="00512AAD">
        <w:rPr>
          <w:rFonts w:ascii="Arial" w:eastAsia="Times New Roman" w:hAnsi="Arial" w:cs="Arial"/>
          <w:b/>
        </w:rPr>
        <w:t>CORTICOSTEROID INJECTIONS</w:t>
      </w:r>
    </w:p>
    <w:p w14:paraId="77063E50" w14:textId="77777777" w:rsidR="00125698" w:rsidRPr="00512AAD" w:rsidRDefault="00125698" w:rsidP="00512AAD">
      <w:pPr>
        <w:rPr>
          <w:rFonts w:ascii="Arial" w:eastAsia="Times New Roman" w:hAnsi="Arial" w:cs="Arial"/>
          <w:b/>
        </w:rPr>
      </w:pPr>
      <w:r w:rsidRPr="00512AAD">
        <w:rPr>
          <w:rFonts w:ascii="Arial" w:eastAsia="Times New Roman" w:hAnsi="Arial" w:cs="Arial"/>
          <w:b/>
        </w:rPr>
        <w:lastRenderedPageBreak/>
        <w:t>Mechanism of Action</w:t>
      </w:r>
    </w:p>
    <w:p w14:paraId="45916A8A"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Corticosteroids exert potent anti</w:t>
      </w:r>
      <w:r w:rsidRPr="00512AAD">
        <w:rPr>
          <w:rFonts w:ascii="Arial" w:eastAsia="Times New Roman" w:hAnsi="Arial" w:cs="Arial"/>
        </w:rPr>
        <w:noBreakHyphen/>
        <w:t>inflammatory effects by inhibiting phospholipase A2 and suppressing the synthesis of prostaglandins and leukotrienes. Commonly used agents include methylprednisolone acetate and triamcinolone acetonide. By reducing synovial inflammation and vascular permeability, corticosteroids provide rapid symptomatic relief in acute inflammatory conditions of the TMJ.</w:t>
      </w:r>
    </w:p>
    <w:p w14:paraId="76B10420" w14:textId="77777777" w:rsidR="00125698" w:rsidRPr="00512AAD" w:rsidRDefault="00125698" w:rsidP="00512AAD">
      <w:pPr>
        <w:rPr>
          <w:rFonts w:ascii="Arial" w:eastAsia="Times New Roman" w:hAnsi="Arial" w:cs="Arial"/>
          <w:b/>
        </w:rPr>
      </w:pPr>
      <w:r w:rsidRPr="00512AAD">
        <w:rPr>
          <w:rFonts w:ascii="Arial" w:eastAsia="Times New Roman" w:hAnsi="Arial" w:cs="Arial"/>
          <w:b/>
        </w:rPr>
        <w:t>Clinical Evidence</w:t>
      </w:r>
    </w:p>
    <w:p w14:paraId="7FF83136" w14:textId="77777777" w:rsidR="006F4F88" w:rsidRPr="00512AAD" w:rsidRDefault="00125698" w:rsidP="00081F9F">
      <w:pPr>
        <w:jc w:val="both"/>
        <w:rPr>
          <w:rFonts w:ascii="Arial" w:eastAsia="Times New Roman" w:hAnsi="Arial" w:cs="Arial"/>
        </w:rPr>
      </w:pPr>
      <w:r w:rsidRPr="00512AAD">
        <w:rPr>
          <w:rFonts w:ascii="Arial" w:eastAsia="Times New Roman" w:hAnsi="Arial" w:cs="Arial"/>
        </w:rPr>
        <w:t>Multiple clinical studies have demonstrated significant short</w:t>
      </w:r>
      <w:r w:rsidRPr="00512AAD">
        <w:rPr>
          <w:rFonts w:ascii="Arial" w:eastAsia="Times New Roman" w:hAnsi="Arial" w:cs="Arial"/>
        </w:rPr>
        <w:noBreakHyphen/>
        <w:t>term pain reduction and improvement in mandibular mobility following IA corticosteroid injections. Benefits are typically observed within the first few weeks; however, the therapeutic effect often plateaus or diminishes after three months. Comparative studies indicate that corticosteroids do not provide superior long</w:t>
      </w:r>
      <w:r w:rsidRPr="00512AAD">
        <w:rPr>
          <w:rFonts w:ascii="Arial" w:eastAsia="Times New Roman" w:hAnsi="Arial" w:cs="Arial"/>
        </w:rPr>
        <w:noBreakHyphen/>
        <w:t>term outcomes when compared with hyaluronic acid or platelet</w:t>
      </w:r>
      <w:r w:rsidRPr="00512AAD">
        <w:rPr>
          <w:rFonts w:ascii="Arial" w:eastAsia="Times New Roman" w:hAnsi="Arial" w:cs="Arial"/>
        </w:rPr>
        <w:noBreakHyphen/>
        <w:t>rich plasma.</w:t>
      </w:r>
    </w:p>
    <w:p w14:paraId="6F84F2E7"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Limitations and Safety Considerations</w:t>
      </w:r>
    </w:p>
    <w:p w14:paraId="5A6785B9"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Repeated or frequent corticosteroid injections have been associated with chondrotoxicity, cartilage thinning, joint fibrosis, and potential acceleration of degenerative changes. Consequently, corticosteroids should be reserved for acute inflammatory exacerbations and used judiciously as part of a broader treatment strategy.</w:t>
      </w:r>
    </w:p>
    <w:p w14:paraId="5081E325"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HYALURONIC ACID</w:t>
      </w:r>
    </w:p>
    <w:p w14:paraId="21F3F396"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Mechanism of Action</w:t>
      </w:r>
    </w:p>
    <w:p w14:paraId="26D47F9C"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Hyaluronic acid is a naturally occurring glycosaminoglycan and a major component of synovial fluid. It enhances lubrication, shock absorption, and viscoelasticity of the joint while exerting mild anti</w:t>
      </w:r>
      <w:r w:rsidRPr="00512AAD">
        <w:rPr>
          <w:rFonts w:ascii="Arial" w:eastAsia="Times New Roman" w:hAnsi="Arial" w:cs="Arial"/>
        </w:rPr>
        <w:noBreakHyphen/>
        <w:t xml:space="preserve">inflammatory and analgesic effects. In TMJ internal derangement, both the concentration and molecular weight of endogenous HA are reduced, justifying the use of </w:t>
      </w:r>
      <w:proofErr w:type="spellStart"/>
      <w:r w:rsidRPr="00512AAD">
        <w:rPr>
          <w:rFonts w:ascii="Arial" w:eastAsia="Times New Roman" w:hAnsi="Arial" w:cs="Arial"/>
        </w:rPr>
        <w:t>viscosupplementation</w:t>
      </w:r>
      <w:proofErr w:type="spellEnd"/>
      <w:r w:rsidRPr="00512AAD">
        <w:rPr>
          <w:rFonts w:ascii="Arial" w:eastAsia="Times New Roman" w:hAnsi="Arial" w:cs="Arial"/>
        </w:rPr>
        <w:t>.</w:t>
      </w:r>
    </w:p>
    <w:p w14:paraId="41304D67"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Clinical Outcomes and Evidence</w:t>
      </w:r>
    </w:p>
    <w:p w14:paraId="75163810"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Numerous randomized controlled trials and systematic reviews have reported significant improvements in pain scores, maximal interincisal opening, and mandibular function following HA injections. HA has demonstrated superior medium</w:t>
      </w:r>
      <w:r w:rsidRPr="00512AAD">
        <w:rPr>
          <w:rFonts w:ascii="Arial" w:eastAsia="Times New Roman" w:hAnsi="Arial" w:cs="Arial"/>
        </w:rPr>
        <w:noBreakHyphen/>
        <w:t>term outcomes compared with corticosteroids and placebo, particularly when administered following arthrocentesis.</w:t>
      </w:r>
    </w:p>
    <w:p w14:paraId="7071C13C" w14:textId="77777777" w:rsidR="00125698" w:rsidRPr="00512AAD" w:rsidRDefault="00125698" w:rsidP="00081F9F">
      <w:pPr>
        <w:jc w:val="both"/>
        <w:rPr>
          <w:rFonts w:ascii="Arial" w:eastAsia="Times New Roman" w:hAnsi="Arial" w:cs="Arial"/>
          <w:b/>
        </w:rPr>
      </w:pPr>
      <w:r w:rsidRPr="00512AAD">
        <w:rPr>
          <w:rFonts w:ascii="Arial" w:eastAsia="Times New Roman" w:hAnsi="Arial" w:cs="Arial"/>
          <w:b/>
        </w:rPr>
        <w:t>Injection Protocols and Safety</w:t>
      </w:r>
    </w:p>
    <w:p w14:paraId="570F0BB6" w14:textId="77777777" w:rsidR="00125698" w:rsidRPr="00512AAD" w:rsidRDefault="00125698" w:rsidP="00081F9F">
      <w:pPr>
        <w:jc w:val="both"/>
        <w:rPr>
          <w:rFonts w:ascii="Arial" w:eastAsia="Times New Roman" w:hAnsi="Arial" w:cs="Arial"/>
        </w:rPr>
      </w:pPr>
      <w:r w:rsidRPr="00512AAD">
        <w:rPr>
          <w:rFonts w:ascii="Arial" w:eastAsia="Times New Roman" w:hAnsi="Arial" w:cs="Arial"/>
        </w:rPr>
        <w:t>Protocols vary from single high</w:t>
      </w:r>
      <w:r w:rsidRPr="00512AAD">
        <w:rPr>
          <w:rFonts w:ascii="Arial" w:eastAsia="Times New Roman" w:hAnsi="Arial" w:cs="Arial"/>
        </w:rPr>
        <w:noBreakHyphen/>
        <w:t>molecular</w:t>
      </w:r>
      <w:r w:rsidRPr="00512AAD">
        <w:rPr>
          <w:rFonts w:ascii="Arial" w:eastAsia="Times New Roman" w:hAnsi="Arial" w:cs="Arial"/>
        </w:rPr>
        <w:noBreakHyphen/>
        <w:t>weight injections to multiple weekly injections over three to five sessions. HA is generally well tolerated, with minimal adverse effects such as transient post</w:t>
      </w:r>
      <w:r w:rsidRPr="00512AAD">
        <w:rPr>
          <w:rFonts w:ascii="Arial" w:eastAsia="Times New Roman" w:hAnsi="Arial" w:cs="Arial"/>
        </w:rPr>
        <w:noBreakHyphen/>
        <w:t>injection discomfort or mild swelling.</w:t>
      </w:r>
    </w:p>
    <w:p w14:paraId="77413B20" w14:textId="77777777" w:rsidR="006F4F88" w:rsidRPr="00512AAD" w:rsidRDefault="006F4F88" w:rsidP="00081F9F">
      <w:pPr>
        <w:jc w:val="both"/>
        <w:rPr>
          <w:rFonts w:ascii="Arial" w:hAnsi="Arial" w:cs="Arial"/>
          <w:b/>
        </w:rPr>
      </w:pPr>
      <w:r w:rsidRPr="00512AAD">
        <w:rPr>
          <w:rFonts w:ascii="Arial" w:hAnsi="Arial" w:cs="Arial"/>
          <w:b/>
        </w:rPr>
        <w:t>PLATELET</w:t>
      </w:r>
      <w:r w:rsidRPr="00512AAD">
        <w:rPr>
          <w:rFonts w:ascii="Arial" w:hAnsi="Arial" w:cs="Arial"/>
          <w:b/>
        </w:rPr>
        <w:noBreakHyphen/>
        <w:t>RICH PLASMA</w:t>
      </w:r>
    </w:p>
    <w:p w14:paraId="1C863E0D" w14:textId="77777777" w:rsidR="006F4F88" w:rsidRPr="00512AAD" w:rsidRDefault="006F4F88" w:rsidP="00081F9F">
      <w:pPr>
        <w:jc w:val="both"/>
        <w:rPr>
          <w:rFonts w:ascii="Arial" w:hAnsi="Arial" w:cs="Arial"/>
          <w:b/>
        </w:rPr>
      </w:pPr>
      <w:r w:rsidRPr="00512AAD">
        <w:rPr>
          <w:rFonts w:ascii="Arial" w:hAnsi="Arial" w:cs="Arial"/>
          <w:b/>
        </w:rPr>
        <w:t>Mechanism of Action</w:t>
      </w:r>
    </w:p>
    <w:p w14:paraId="65074346" w14:textId="77777777" w:rsidR="006F4F88" w:rsidRPr="00512AAD" w:rsidRDefault="006F4F88" w:rsidP="00081F9F">
      <w:pPr>
        <w:jc w:val="both"/>
        <w:rPr>
          <w:rFonts w:ascii="Arial" w:hAnsi="Arial" w:cs="Arial"/>
        </w:rPr>
      </w:pPr>
      <w:r w:rsidRPr="00512AAD">
        <w:rPr>
          <w:rFonts w:ascii="Arial" w:hAnsi="Arial" w:cs="Arial"/>
        </w:rPr>
        <w:lastRenderedPageBreak/>
        <w:t>Platelet</w:t>
      </w:r>
      <w:r w:rsidRPr="00512AAD">
        <w:rPr>
          <w:rFonts w:ascii="Arial" w:hAnsi="Arial" w:cs="Arial"/>
        </w:rPr>
        <w:noBreakHyphen/>
        <w:t>rich plasma is an autologous blood product containing a high concentration of platelets and growth factors, including platelet</w:t>
      </w:r>
      <w:r w:rsidRPr="00512AAD">
        <w:rPr>
          <w:rFonts w:ascii="Arial" w:hAnsi="Arial" w:cs="Arial"/>
        </w:rPr>
        <w:noBreakHyphen/>
        <w:t>derived growth factor, transforming growth factor</w:t>
      </w:r>
      <w:r w:rsidRPr="00512AAD">
        <w:rPr>
          <w:rFonts w:ascii="Arial" w:hAnsi="Arial" w:cs="Arial"/>
        </w:rPr>
        <w:noBreakHyphen/>
        <w:t>β, insulin</w:t>
      </w:r>
      <w:r w:rsidRPr="00512AAD">
        <w:rPr>
          <w:rFonts w:ascii="Arial" w:hAnsi="Arial" w:cs="Arial"/>
        </w:rPr>
        <w:noBreakHyphen/>
        <w:t>like growth factor, and vascular endovascular endothelial growth factor, and epidermal growth factor. These bioactive molecules promote tissue regeneration, angiogenesis, chondrocyte proliferation, and extracellular matrix synthesis. PRP also modulates inflammatory pathways by down-regulating catabolic cytokines such as interleukin-1β and tumor necrosis factor-α, thereby restoring a more favorable intra-articular environment. Through these combined regenerative and anti-inflammatory actions, PRP addresses both the symptoms and the underlying pathophysiology of TMJ internal derangement.</w:t>
      </w:r>
    </w:p>
    <w:p w14:paraId="62ACCA5D"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Clinical Evidence and Outcomes</w:t>
      </w:r>
    </w:p>
    <w:p w14:paraId="19DC4E3E"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An increasing body of evidence supports the efficacy of PRP in TMJ internal derangement. Randomized controlled trials comparing PRP with hyaluronic acid and corticosteroids consistently demonstrate superior and longer-lasting improvements in pain reduction, mandibular mobility, and joint function. Several studies report sustained clinical benefits lasting 12–18 months following PRP injections, exceeding the duration observed with other injectable agents. Meta-analyses further corroborate PRP as the most effective intra-articular therapy in terms of long-term outcomes.</w:t>
      </w:r>
    </w:p>
    <w:p w14:paraId="33B26F0D"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Advantages</w:t>
      </w:r>
    </w:p>
    <w:p w14:paraId="5F5B06FC"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PRP offers several clinical advantages:</w:t>
      </w:r>
    </w:p>
    <w:p w14:paraId="4227D367"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Autologous nature with minimal risk of immunologic reaction</w:t>
      </w:r>
    </w:p>
    <w:p w14:paraId="0CE5F8CD"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Regenerative and chondroprotective potential</w:t>
      </w:r>
    </w:p>
    <w:p w14:paraId="6D8696E7"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Sustained pain relief and functional improvement</w:t>
      </w:r>
    </w:p>
    <w:p w14:paraId="5F58123A"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Favorable safety profile</w:t>
      </w:r>
    </w:p>
    <w:p w14:paraId="50C03414"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Limitations and Challenges</w:t>
      </w:r>
    </w:p>
    <w:p w14:paraId="789ACA84"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Despite promising results, PRP therapy is limited by variability in preparation protocols, including differences in platelet concentration, leukocyte content, and activation methods. This heterogeneity complicates direct comparison between studies and highlights the need for standardized preparation and administration guidelines.</w:t>
      </w:r>
    </w:p>
    <w:p w14:paraId="65580F54"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BOTULINUM TOXIN A</w:t>
      </w:r>
    </w:p>
    <w:p w14:paraId="7E510093"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Mechanism of Action</w:t>
      </w:r>
    </w:p>
    <w:p w14:paraId="048FF94C"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Botulinum toxin A inhibits acetylcholine release at presynaptic neuromuscular junctions, leading to temporary muscle relaxation. Additionally, it modulates nociceptive pathways by inhibiting the release of substance P, calcitonin gene-related peptide, and glutamate, thereby reducing peripheral and central sensitization. When used intra-</w:t>
      </w:r>
      <w:proofErr w:type="spellStart"/>
      <w:r w:rsidRPr="00512AAD">
        <w:rPr>
          <w:rFonts w:ascii="Arial" w:eastAsia="Times New Roman" w:hAnsi="Arial" w:cs="Arial"/>
        </w:rPr>
        <w:t>articularly</w:t>
      </w:r>
      <w:proofErr w:type="spellEnd"/>
      <w:r w:rsidRPr="00512AAD">
        <w:rPr>
          <w:rFonts w:ascii="Arial" w:eastAsia="Times New Roman" w:hAnsi="Arial" w:cs="Arial"/>
        </w:rPr>
        <w:t xml:space="preserve">, </w:t>
      </w:r>
      <w:proofErr w:type="spellStart"/>
      <w:r w:rsidRPr="00512AAD">
        <w:rPr>
          <w:rFonts w:ascii="Arial" w:eastAsia="Times New Roman" w:hAnsi="Arial" w:cs="Arial"/>
        </w:rPr>
        <w:t>BoNT</w:t>
      </w:r>
      <w:proofErr w:type="spellEnd"/>
      <w:r w:rsidRPr="00512AAD">
        <w:rPr>
          <w:rFonts w:ascii="Arial" w:eastAsia="Times New Roman" w:hAnsi="Arial" w:cs="Arial"/>
        </w:rPr>
        <w:t>-A is proposed to exert analgesic effects rather than mechanical joint modification.</w:t>
      </w:r>
    </w:p>
    <w:p w14:paraId="225B8FAF"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lastRenderedPageBreak/>
        <w:t>Clinical Evidence</w:t>
      </w:r>
    </w:p>
    <w:p w14:paraId="2DA3F375"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 xml:space="preserve">Evidence supporting intra-articular </w:t>
      </w:r>
      <w:proofErr w:type="spellStart"/>
      <w:r w:rsidRPr="00512AAD">
        <w:rPr>
          <w:rFonts w:ascii="Arial" w:eastAsia="Times New Roman" w:hAnsi="Arial" w:cs="Arial"/>
        </w:rPr>
        <w:t>BoNT</w:t>
      </w:r>
      <w:proofErr w:type="spellEnd"/>
      <w:r w:rsidRPr="00512AAD">
        <w:rPr>
          <w:rFonts w:ascii="Arial" w:eastAsia="Times New Roman" w:hAnsi="Arial" w:cs="Arial"/>
        </w:rPr>
        <w:t>-A injection for TMJ internal derangement remains limited and inconsistent. Some studies report modest pain reduction in patients with refractory TMJ pain, while others show no significant benefit over placebo or established injectables. Long-term efficacy data are sparse, and most studies involve small sample sizes.</w:t>
      </w:r>
    </w:p>
    <w:p w14:paraId="05BFA2E7"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Clinical Role and Limitations</w:t>
      </w:r>
    </w:p>
    <w:p w14:paraId="23D931C4"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 xml:space="preserve">Due to limited evidence, </w:t>
      </w:r>
      <w:proofErr w:type="spellStart"/>
      <w:r w:rsidRPr="00512AAD">
        <w:rPr>
          <w:rFonts w:ascii="Arial" w:eastAsia="Times New Roman" w:hAnsi="Arial" w:cs="Arial"/>
        </w:rPr>
        <w:t>BoNT</w:t>
      </w:r>
      <w:proofErr w:type="spellEnd"/>
      <w:r w:rsidRPr="00512AAD">
        <w:rPr>
          <w:rFonts w:ascii="Arial" w:eastAsia="Times New Roman" w:hAnsi="Arial" w:cs="Arial"/>
        </w:rPr>
        <w:t>-A is not recommended as a first-line intra-articular agent. Its use may be considered in select cases of chronic, treatment-resistant TMJ pain, particularly when muscular hyperactivity contributes significantly to symptomatology. Potential risks include transient joint laxity and altered biomechanics.</w:t>
      </w:r>
    </w:p>
    <w:p w14:paraId="5E56E85E" w14:textId="77777777" w:rsidR="006F4F88" w:rsidRPr="00512AAD" w:rsidRDefault="006F4F88" w:rsidP="00081F9F">
      <w:pPr>
        <w:jc w:val="both"/>
        <w:rPr>
          <w:rFonts w:ascii="Arial" w:eastAsia="Times New Roman" w:hAnsi="Arial" w:cs="Arial"/>
        </w:rPr>
      </w:pPr>
    </w:p>
    <w:p w14:paraId="471D58E2" w14:textId="77777777" w:rsidR="006F4F88" w:rsidRPr="00512AAD" w:rsidRDefault="006F4F88" w:rsidP="00081F9F">
      <w:pPr>
        <w:jc w:val="both"/>
        <w:rPr>
          <w:rFonts w:ascii="Arial" w:eastAsia="Times New Roman" w:hAnsi="Arial" w:cs="Arial"/>
        </w:rPr>
      </w:pPr>
    </w:p>
    <w:p w14:paraId="4BE79DCF" w14:textId="77777777" w:rsidR="006F4F88" w:rsidRPr="00512AAD" w:rsidRDefault="006F4F88" w:rsidP="00081F9F">
      <w:pPr>
        <w:jc w:val="both"/>
        <w:rPr>
          <w:rFonts w:ascii="Arial" w:eastAsia="Times New Roman" w:hAnsi="Arial" w:cs="Arial"/>
        </w:rPr>
      </w:pPr>
    </w:p>
    <w:p w14:paraId="0F9DE186"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ARTHROCENTESIS AS AN ADJUNCT TO INTRA-ARTICULAR INJECTIONS</w:t>
      </w:r>
    </w:p>
    <w:p w14:paraId="36E1848F" w14:textId="77777777" w:rsidR="006F4F88" w:rsidRPr="00512AAD" w:rsidRDefault="006F4F88" w:rsidP="00081F9F">
      <w:pPr>
        <w:jc w:val="both"/>
        <w:rPr>
          <w:rFonts w:ascii="Arial" w:eastAsia="Times New Roman" w:hAnsi="Arial" w:cs="Arial"/>
        </w:rPr>
      </w:pPr>
      <w:r w:rsidRPr="00512AAD">
        <w:rPr>
          <w:rFonts w:ascii="Arial" w:eastAsia="Times New Roman" w:hAnsi="Arial" w:cs="Arial"/>
        </w:rPr>
        <w:t xml:space="preserve">Arthrocentesis is frequently combined with intra-articular injections to enhance therapeutic outcomes. The procedure removes inflammatory mediators, disrupts intra-articular adhesions, and improves joint mobility while creating an optimal environment for injectable agents. Clinical studies consistently demonstrate superior outcomes when arthrocentesis is combined with hyaluronic acid or platelet-rich plasma compared with injection therapy alone. This combined approach is particularly effective in patients with closed lock or chronic internal </w:t>
      </w:r>
      <w:proofErr w:type="gramStart"/>
      <w:r w:rsidRPr="00512AAD">
        <w:rPr>
          <w:rFonts w:ascii="Arial" w:eastAsia="Times New Roman" w:hAnsi="Arial" w:cs="Arial"/>
        </w:rPr>
        <w:t>derangement.</w:t>
      </w:r>
      <w:r w:rsidR="00A836DE">
        <w:rPr>
          <w:rFonts w:ascii="Arial" w:eastAsia="Times New Roman" w:hAnsi="Arial" w:cs="Arial"/>
        </w:rPr>
        <w:t>[</w:t>
      </w:r>
      <w:proofErr w:type="gramEnd"/>
      <w:r w:rsidR="00A836DE">
        <w:rPr>
          <w:rFonts w:ascii="Arial" w:eastAsia="Times New Roman" w:hAnsi="Arial" w:cs="Arial"/>
        </w:rPr>
        <w:t>16]</w:t>
      </w:r>
    </w:p>
    <w:p w14:paraId="04A7223E" w14:textId="77777777" w:rsidR="006F4F88" w:rsidRPr="00512AAD" w:rsidRDefault="006F4F88" w:rsidP="00081F9F">
      <w:pPr>
        <w:jc w:val="both"/>
        <w:rPr>
          <w:rFonts w:ascii="Arial" w:eastAsia="Times New Roman" w:hAnsi="Arial" w:cs="Arial"/>
          <w:b/>
        </w:rPr>
      </w:pPr>
      <w:r w:rsidRPr="00512AAD">
        <w:rPr>
          <w:rFonts w:ascii="Arial" w:eastAsia="Times New Roman" w:hAnsi="Arial" w:cs="Arial"/>
          <w:b/>
        </w:rPr>
        <w:t>COMPARATIVE EVALUATION OF INTRA-ARTICULAR INJECTABLES</w:t>
      </w:r>
    </w:p>
    <w:p w14:paraId="1AD95228" w14:textId="77777777" w:rsidR="00E24486" w:rsidRPr="00512AAD" w:rsidRDefault="00E24486" w:rsidP="00081F9F">
      <w:pPr>
        <w:jc w:val="both"/>
        <w:rPr>
          <w:rFonts w:ascii="Arial" w:hAnsi="Arial" w:cs="Arial"/>
        </w:rPr>
      </w:pPr>
      <w:r w:rsidRPr="00512AAD">
        <w:rPr>
          <w:rFonts w:ascii="Arial" w:hAnsi="Arial" w:cs="Arial"/>
        </w:rPr>
        <w:t>When comparing currently available intra-articular agents, platelet-rich plasma (PRP) has emerged as the modality demonstrating the most durable and sustained clinical benefits in the management of TMJ internal derangement. The superior long-term outcomes associated with PRP are attributed to its biologic composition, which includes a high concentration of growth factors capable of modulating inflammation, promoting tissue regeneration, and enhancing cartilage repair. Multiple randomized controlled trials and meta-analyses have reported prolonged pain reduction, improved mandibular function, and increased maximal interincisal opening with PRP, particularly in patients with chronic internal derangement and early degenerative changes.</w:t>
      </w:r>
    </w:p>
    <w:p w14:paraId="1E3193C3" w14:textId="77777777" w:rsidR="00E24486" w:rsidRPr="00512AAD" w:rsidRDefault="00E24486" w:rsidP="00081F9F">
      <w:pPr>
        <w:jc w:val="both"/>
        <w:rPr>
          <w:rFonts w:ascii="Arial" w:hAnsi="Arial" w:cs="Arial"/>
        </w:rPr>
      </w:pPr>
      <w:r w:rsidRPr="00512AAD">
        <w:rPr>
          <w:rFonts w:ascii="Arial" w:hAnsi="Arial" w:cs="Arial"/>
        </w:rPr>
        <w:t xml:space="preserve">Hyaluronic acid (HA) represents the next most effective intra-articular agent, with a substantial body of evidence supporting its use in TMJ internal derangement. Its viscoelastic properties restore synovial fluid lubrication, improve shock absorption, and reduce friction between articulating surfaces. In addition to mechanical benefits, HA exhibits anti-inflammatory and analgesic effects by reducing cytokine activity within the synovial environment. Clinical studies consistently demonstrate that HA provides reliable medium-term symptom relief and functional </w:t>
      </w:r>
      <w:r w:rsidRPr="00512AAD">
        <w:rPr>
          <w:rFonts w:ascii="Arial" w:hAnsi="Arial" w:cs="Arial"/>
        </w:rPr>
        <w:lastRenderedPageBreak/>
        <w:t xml:space="preserve">improvement, especially when administered following arthrocentesis. HA is particularly effective in patients with disc displacement and early degenerative joint </w:t>
      </w:r>
      <w:proofErr w:type="gramStart"/>
      <w:r w:rsidRPr="00512AAD">
        <w:rPr>
          <w:rFonts w:ascii="Arial" w:hAnsi="Arial" w:cs="Arial"/>
        </w:rPr>
        <w:t>changes.</w:t>
      </w:r>
      <w:r w:rsidR="00A836DE">
        <w:rPr>
          <w:rFonts w:ascii="Arial" w:hAnsi="Arial" w:cs="Arial"/>
        </w:rPr>
        <w:t>[</w:t>
      </w:r>
      <w:proofErr w:type="gramEnd"/>
      <w:r w:rsidR="00A836DE">
        <w:rPr>
          <w:rFonts w:ascii="Arial" w:hAnsi="Arial" w:cs="Arial"/>
        </w:rPr>
        <w:t>17]</w:t>
      </w:r>
    </w:p>
    <w:p w14:paraId="6EFE6166" w14:textId="77777777" w:rsidR="00E24486" w:rsidRPr="00512AAD" w:rsidRDefault="00E24486" w:rsidP="00081F9F">
      <w:pPr>
        <w:jc w:val="both"/>
        <w:rPr>
          <w:rFonts w:ascii="Arial" w:hAnsi="Arial" w:cs="Arial"/>
        </w:rPr>
      </w:pPr>
      <w:r w:rsidRPr="00512AAD">
        <w:rPr>
          <w:rFonts w:ascii="Arial" w:hAnsi="Arial" w:cs="Arial"/>
        </w:rPr>
        <w:t>Corticosteroids remain valuable for their potent anti-inflammatory effects and rapid onset of action. Intra-articular corticosteroid injections provide prompt relief from acute synovitis-associated pain and inflammation, making them useful in selected patients experiencing acute exacerbations. However, the duration of benefit is typically short-lived, and repeated injections are associated with significant risks, including chondrotoxicity, cartilage thinning, joint fibrosis, and acceleration of degenerative changes. As a result, corticosteroids should be used sparingly and primarily as a short-term adjunct rather than a definitive long-term treatment strategy.</w:t>
      </w:r>
    </w:p>
    <w:p w14:paraId="2FEB83C9" w14:textId="77777777" w:rsidR="00E24486" w:rsidRPr="00512AAD" w:rsidRDefault="00E24486" w:rsidP="00081F9F">
      <w:pPr>
        <w:jc w:val="both"/>
        <w:rPr>
          <w:rFonts w:ascii="Arial" w:hAnsi="Arial" w:cs="Arial"/>
        </w:rPr>
      </w:pPr>
      <w:r w:rsidRPr="00512AAD">
        <w:rPr>
          <w:rFonts w:ascii="Arial" w:hAnsi="Arial" w:cs="Arial"/>
        </w:rPr>
        <w:t>Botulinum toxin A (</w:t>
      </w:r>
      <w:proofErr w:type="spellStart"/>
      <w:r w:rsidRPr="00512AAD">
        <w:rPr>
          <w:rFonts w:ascii="Arial" w:hAnsi="Arial" w:cs="Arial"/>
        </w:rPr>
        <w:t>BoNT</w:t>
      </w:r>
      <w:proofErr w:type="spellEnd"/>
      <w:r w:rsidRPr="00512AAD">
        <w:rPr>
          <w:rFonts w:ascii="Arial" w:hAnsi="Arial" w:cs="Arial"/>
        </w:rPr>
        <w:t xml:space="preserve">-A) has been explored as an intra-articular therapy due to its </w:t>
      </w:r>
      <w:proofErr w:type="spellStart"/>
      <w:r w:rsidRPr="00512AAD">
        <w:rPr>
          <w:rFonts w:ascii="Arial" w:hAnsi="Arial" w:cs="Arial"/>
        </w:rPr>
        <w:t>neuromodulatory</w:t>
      </w:r>
      <w:proofErr w:type="spellEnd"/>
      <w:r w:rsidRPr="00512AAD">
        <w:rPr>
          <w:rFonts w:ascii="Arial" w:hAnsi="Arial" w:cs="Arial"/>
        </w:rPr>
        <w:t xml:space="preserve"> and antinociceptive effects. While intramuscular use of </w:t>
      </w:r>
      <w:proofErr w:type="spellStart"/>
      <w:r w:rsidRPr="00512AAD">
        <w:rPr>
          <w:rFonts w:ascii="Arial" w:hAnsi="Arial" w:cs="Arial"/>
        </w:rPr>
        <w:t>BoNT</w:t>
      </w:r>
      <w:proofErr w:type="spellEnd"/>
      <w:r w:rsidRPr="00512AAD">
        <w:rPr>
          <w:rFonts w:ascii="Arial" w:hAnsi="Arial" w:cs="Arial"/>
        </w:rPr>
        <w:t xml:space="preserve">-A in masticatory muscles is well documented, intra-articular administration remains investigational. Current evidence regarding its efficacy is inconsistent, with variable clinical outcomes and limited long-term data. Concerns regarding altered joint mechanics and transient joint instability further restrict its routine use. At present, </w:t>
      </w:r>
      <w:proofErr w:type="spellStart"/>
      <w:r w:rsidRPr="00512AAD">
        <w:rPr>
          <w:rFonts w:ascii="Arial" w:hAnsi="Arial" w:cs="Arial"/>
        </w:rPr>
        <w:t>BoNT</w:t>
      </w:r>
      <w:proofErr w:type="spellEnd"/>
      <w:r w:rsidRPr="00512AAD">
        <w:rPr>
          <w:rFonts w:ascii="Arial" w:hAnsi="Arial" w:cs="Arial"/>
        </w:rPr>
        <w:t xml:space="preserve">-A may be considered only in carefully selected, refractory cases where conventional therapies have </w:t>
      </w:r>
      <w:proofErr w:type="gramStart"/>
      <w:r w:rsidRPr="00512AAD">
        <w:rPr>
          <w:rFonts w:ascii="Arial" w:hAnsi="Arial" w:cs="Arial"/>
        </w:rPr>
        <w:t>failed.</w:t>
      </w:r>
      <w:r w:rsidR="00A836DE">
        <w:rPr>
          <w:rFonts w:ascii="Arial" w:hAnsi="Arial" w:cs="Arial"/>
        </w:rPr>
        <w:t>[</w:t>
      </w:r>
      <w:proofErr w:type="gramEnd"/>
      <w:r w:rsidR="00A836DE">
        <w:rPr>
          <w:rFonts w:ascii="Arial" w:hAnsi="Arial" w:cs="Arial"/>
        </w:rPr>
        <w:t>17,18]</w:t>
      </w:r>
    </w:p>
    <w:p w14:paraId="792B8810" w14:textId="77777777" w:rsidR="00E24486" w:rsidRPr="00512AAD" w:rsidRDefault="00E24486" w:rsidP="00081F9F">
      <w:pPr>
        <w:jc w:val="both"/>
        <w:rPr>
          <w:rFonts w:ascii="Arial" w:eastAsia="Times New Roman" w:hAnsi="Arial" w:cs="Arial"/>
        </w:rPr>
      </w:pPr>
      <w:r w:rsidRPr="00512AAD">
        <w:rPr>
          <w:rFonts w:ascii="Arial" w:hAnsi="Arial" w:cs="Arial"/>
        </w:rPr>
        <w:t>In summary, selection of an appropriate intra-articular injectable should be guided by a comprehensive assessment of disease stage, inflammatory status, presence and extent of degenerative changes, symptom chronicity, and individual patient factors. An evidence-based, patient-specific approach is essential to maximize therapeutic benefits while minimizing potential risks.</w:t>
      </w:r>
    </w:p>
    <w:p w14:paraId="160FCA0C" w14:textId="77777777" w:rsidR="00E15F1E" w:rsidRPr="00512AAD" w:rsidRDefault="00CF4CBA" w:rsidP="00512AAD">
      <w:pPr>
        <w:rPr>
          <w:rFonts w:ascii="Arial" w:hAnsi="Arial" w:cs="Arial"/>
          <w:b/>
        </w:rPr>
      </w:pPr>
      <w:r w:rsidRPr="00512AAD">
        <w:rPr>
          <w:rFonts w:ascii="Arial" w:hAnsi="Arial" w:cs="Arial"/>
          <w:b/>
        </w:rPr>
        <w:t>Table 1:</w:t>
      </w:r>
      <w:r w:rsidR="00817495" w:rsidRPr="00512AAD">
        <w:rPr>
          <w:rFonts w:ascii="Arial" w:hAnsi="Arial" w:cs="Arial"/>
          <w:b/>
        </w:rPr>
        <w:t xml:space="preserve"> OVERVIEW OF INTRA-ARTICULAR INJECTABLES</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916"/>
        <w:gridCol w:w="3806"/>
        <w:gridCol w:w="1552"/>
        <w:gridCol w:w="2196"/>
      </w:tblGrid>
      <w:tr w:rsidR="00E15F1E" w:rsidRPr="00512AAD" w14:paraId="5CA3472F" w14:textId="77777777" w:rsidTr="001016F0">
        <w:trPr>
          <w:tblHeader/>
          <w:tblCellSpacing w:w="15" w:type="dxa"/>
        </w:trPr>
        <w:tc>
          <w:tcPr>
            <w:tcW w:w="0" w:type="auto"/>
            <w:vAlign w:val="center"/>
            <w:hideMark/>
          </w:tcPr>
          <w:p w14:paraId="76C6E820" w14:textId="77777777" w:rsidR="00E15F1E" w:rsidRPr="00512AAD" w:rsidRDefault="00E15F1E" w:rsidP="00512AAD">
            <w:pPr>
              <w:rPr>
                <w:rFonts w:ascii="Arial" w:hAnsi="Arial" w:cs="Arial"/>
              </w:rPr>
            </w:pPr>
            <w:r w:rsidRPr="00512AAD">
              <w:rPr>
                <w:rFonts w:ascii="Arial" w:hAnsi="Arial" w:cs="Arial"/>
              </w:rPr>
              <w:t>Injectable Type</w:t>
            </w:r>
          </w:p>
        </w:tc>
        <w:tc>
          <w:tcPr>
            <w:tcW w:w="0" w:type="auto"/>
            <w:vAlign w:val="center"/>
            <w:hideMark/>
          </w:tcPr>
          <w:p w14:paraId="47C4158D" w14:textId="77777777" w:rsidR="00E15F1E" w:rsidRPr="00512AAD" w:rsidRDefault="00E15F1E" w:rsidP="00512AAD">
            <w:pPr>
              <w:rPr>
                <w:rFonts w:ascii="Arial" w:hAnsi="Arial" w:cs="Arial"/>
              </w:rPr>
            </w:pPr>
            <w:r w:rsidRPr="00512AAD">
              <w:rPr>
                <w:rFonts w:ascii="Arial" w:hAnsi="Arial" w:cs="Arial"/>
              </w:rPr>
              <w:t>Mechanism</w:t>
            </w:r>
          </w:p>
        </w:tc>
        <w:tc>
          <w:tcPr>
            <w:tcW w:w="0" w:type="auto"/>
            <w:vAlign w:val="center"/>
            <w:hideMark/>
          </w:tcPr>
          <w:p w14:paraId="487B9ADD" w14:textId="77777777" w:rsidR="00E15F1E" w:rsidRPr="00512AAD" w:rsidRDefault="00E15F1E" w:rsidP="00512AAD">
            <w:pPr>
              <w:rPr>
                <w:rFonts w:ascii="Arial" w:hAnsi="Arial" w:cs="Arial"/>
              </w:rPr>
            </w:pPr>
            <w:r w:rsidRPr="00512AAD">
              <w:rPr>
                <w:rFonts w:ascii="Arial" w:hAnsi="Arial" w:cs="Arial"/>
              </w:rPr>
              <w:t>Evidence Strength</w:t>
            </w:r>
          </w:p>
        </w:tc>
        <w:tc>
          <w:tcPr>
            <w:tcW w:w="0" w:type="auto"/>
            <w:vAlign w:val="center"/>
            <w:hideMark/>
          </w:tcPr>
          <w:p w14:paraId="48F0E58E" w14:textId="77777777" w:rsidR="00E15F1E" w:rsidRPr="00512AAD" w:rsidRDefault="00E15F1E" w:rsidP="00512AAD">
            <w:pPr>
              <w:rPr>
                <w:rFonts w:ascii="Arial" w:hAnsi="Arial" w:cs="Arial"/>
              </w:rPr>
            </w:pPr>
            <w:r w:rsidRPr="00512AAD">
              <w:rPr>
                <w:rFonts w:ascii="Arial" w:hAnsi="Arial" w:cs="Arial"/>
              </w:rPr>
              <w:t>Duration of Effect</w:t>
            </w:r>
          </w:p>
        </w:tc>
      </w:tr>
      <w:tr w:rsidR="00E15F1E" w:rsidRPr="00512AAD" w14:paraId="468885D7" w14:textId="77777777" w:rsidTr="001016F0">
        <w:trPr>
          <w:tblCellSpacing w:w="15" w:type="dxa"/>
        </w:trPr>
        <w:tc>
          <w:tcPr>
            <w:tcW w:w="0" w:type="auto"/>
            <w:vAlign w:val="center"/>
            <w:hideMark/>
          </w:tcPr>
          <w:p w14:paraId="7EEEC4AA" w14:textId="77777777" w:rsidR="00E15F1E" w:rsidRPr="00512AAD" w:rsidRDefault="00E15F1E" w:rsidP="00512AAD">
            <w:pPr>
              <w:rPr>
                <w:rFonts w:ascii="Arial" w:hAnsi="Arial" w:cs="Arial"/>
              </w:rPr>
            </w:pPr>
            <w:r w:rsidRPr="00512AAD">
              <w:rPr>
                <w:rFonts w:ascii="Arial" w:hAnsi="Arial" w:cs="Arial"/>
              </w:rPr>
              <w:t>Corticosteroids</w:t>
            </w:r>
          </w:p>
        </w:tc>
        <w:tc>
          <w:tcPr>
            <w:tcW w:w="0" w:type="auto"/>
            <w:vAlign w:val="center"/>
            <w:hideMark/>
          </w:tcPr>
          <w:p w14:paraId="28FBB1DC" w14:textId="77777777" w:rsidR="00E15F1E" w:rsidRPr="00512AAD" w:rsidRDefault="00E15F1E" w:rsidP="00512AAD">
            <w:pPr>
              <w:rPr>
                <w:rFonts w:ascii="Arial" w:hAnsi="Arial" w:cs="Arial"/>
              </w:rPr>
            </w:pPr>
            <w:r w:rsidRPr="00512AAD">
              <w:rPr>
                <w:rFonts w:ascii="Arial" w:hAnsi="Arial" w:cs="Arial"/>
              </w:rPr>
              <w:t>Anti-inflammatory</w:t>
            </w:r>
          </w:p>
        </w:tc>
        <w:tc>
          <w:tcPr>
            <w:tcW w:w="0" w:type="auto"/>
            <w:vAlign w:val="center"/>
            <w:hideMark/>
          </w:tcPr>
          <w:p w14:paraId="5AE30163" w14:textId="77777777" w:rsidR="00E15F1E" w:rsidRPr="00512AAD" w:rsidRDefault="00E15F1E" w:rsidP="00512AAD">
            <w:pPr>
              <w:rPr>
                <w:rFonts w:ascii="Arial" w:hAnsi="Arial" w:cs="Arial"/>
              </w:rPr>
            </w:pPr>
            <w:r w:rsidRPr="00512AAD">
              <w:rPr>
                <w:rFonts w:ascii="Arial" w:hAnsi="Arial" w:cs="Arial"/>
              </w:rPr>
              <w:t>Moderate</w:t>
            </w:r>
          </w:p>
        </w:tc>
        <w:tc>
          <w:tcPr>
            <w:tcW w:w="0" w:type="auto"/>
            <w:vAlign w:val="center"/>
            <w:hideMark/>
          </w:tcPr>
          <w:p w14:paraId="51B92335" w14:textId="77777777" w:rsidR="00E15F1E" w:rsidRPr="00512AAD" w:rsidRDefault="00E15F1E" w:rsidP="00512AAD">
            <w:pPr>
              <w:rPr>
                <w:rFonts w:ascii="Arial" w:hAnsi="Arial" w:cs="Arial"/>
              </w:rPr>
            </w:pPr>
            <w:r w:rsidRPr="00512AAD">
              <w:rPr>
                <w:rFonts w:ascii="Arial" w:hAnsi="Arial" w:cs="Arial"/>
              </w:rPr>
              <w:t>Short-term (weeks–3 months)</w:t>
            </w:r>
          </w:p>
        </w:tc>
      </w:tr>
      <w:tr w:rsidR="00E15F1E" w:rsidRPr="00512AAD" w14:paraId="7FD5806F" w14:textId="77777777" w:rsidTr="001016F0">
        <w:trPr>
          <w:tblCellSpacing w:w="15" w:type="dxa"/>
        </w:trPr>
        <w:tc>
          <w:tcPr>
            <w:tcW w:w="0" w:type="auto"/>
            <w:vAlign w:val="center"/>
            <w:hideMark/>
          </w:tcPr>
          <w:p w14:paraId="7E835DEC" w14:textId="77777777" w:rsidR="00E15F1E" w:rsidRPr="00512AAD" w:rsidRDefault="00E15F1E" w:rsidP="00512AAD">
            <w:pPr>
              <w:rPr>
                <w:rFonts w:ascii="Arial" w:hAnsi="Arial" w:cs="Arial"/>
              </w:rPr>
            </w:pPr>
            <w:r w:rsidRPr="00512AAD">
              <w:rPr>
                <w:rFonts w:ascii="Arial" w:hAnsi="Arial" w:cs="Arial"/>
              </w:rPr>
              <w:t>Hyaluronic Acid</w:t>
            </w:r>
          </w:p>
        </w:tc>
        <w:tc>
          <w:tcPr>
            <w:tcW w:w="0" w:type="auto"/>
            <w:vAlign w:val="center"/>
            <w:hideMark/>
          </w:tcPr>
          <w:p w14:paraId="10B71841" w14:textId="77777777" w:rsidR="00E15F1E" w:rsidRPr="00512AAD" w:rsidRDefault="00E15F1E" w:rsidP="00512AAD">
            <w:pPr>
              <w:rPr>
                <w:rFonts w:ascii="Arial" w:hAnsi="Arial" w:cs="Arial"/>
              </w:rPr>
            </w:pPr>
            <w:r w:rsidRPr="00512AAD">
              <w:rPr>
                <w:rFonts w:ascii="Arial" w:hAnsi="Arial" w:cs="Arial"/>
              </w:rPr>
              <w:t>Lubrication, viscoelasticity, anti-inflammatory</w:t>
            </w:r>
          </w:p>
        </w:tc>
        <w:tc>
          <w:tcPr>
            <w:tcW w:w="0" w:type="auto"/>
            <w:vAlign w:val="center"/>
            <w:hideMark/>
          </w:tcPr>
          <w:p w14:paraId="5B2A3048" w14:textId="77777777" w:rsidR="00E15F1E" w:rsidRPr="00512AAD" w:rsidRDefault="00E15F1E" w:rsidP="00512AAD">
            <w:pPr>
              <w:rPr>
                <w:rFonts w:ascii="Arial" w:hAnsi="Arial" w:cs="Arial"/>
              </w:rPr>
            </w:pPr>
            <w:r w:rsidRPr="00512AAD">
              <w:rPr>
                <w:rFonts w:ascii="Arial" w:hAnsi="Arial" w:cs="Arial"/>
              </w:rPr>
              <w:t>Strong</w:t>
            </w:r>
          </w:p>
        </w:tc>
        <w:tc>
          <w:tcPr>
            <w:tcW w:w="0" w:type="auto"/>
            <w:vAlign w:val="center"/>
            <w:hideMark/>
          </w:tcPr>
          <w:p w14:paraId="7C8B1C9C" w14:textId="77777777" w:rsidR="00E15F1E" w:rsidRPr="00512AAD" w:rsidRDefault="00E15F1E" w:rsidP="00512AAD">
            <w:pPr>
              <w:rPr>
                <w:rFonts w:ascii="Arial" w:hAnsi="Arial" w:cs="Arial"/>
              </w:rPr>
            </w:pPr>
            <w:r w:rsidRPr="00512AAD">
              <w:rPr>
                <w:rFonts w:ascii="Arial" w:hAnsi="Arial" w:cs="Arial"/>
              </w:rPr>
              <w:t>Medium-term (3–9 months)</w:t>
            </w:r>
          </w:p>
        </w:tc>
      </w:tr>
      <w:tr w:rsidR="00E15F1E" w:rsidRPr="00512AAD" w14:paraId="4161A57C" w14:textId="77777777" w:rsidTr="001016F0">
        <w:trPr>
          <w:tblCellSpacing w:w="15" w:type="dxa"/>
        </w:trPr>
        <w:tc>
          <w:tcPr>
            <w:tcW w:w="0" w:type="auto"/>
            <w:vAlign w:val="center"/>
            <w:hideMark/>
          </w:tcPr>
          <w:p w14:paraId="3CAD1497" w14:textId="77777777" w:rsidR="00E15F1E" w:rsidRPr="00512AAD" w:rsidRDefault="00E15F1E" w:rsidP="00512AAD">
            <w:pPr>
              <w:rPr>
                <w:rFonts w:ascii="Arial" w:hAnsi="Arial" w:cs="Arial"/>
              </w:rPr>
            </w:pPr>
            <w:r w:rsidRPr="00512AAD">
              <w:rPr>
                <w:rFonts w:ascii="Arial" w:hAnsi="Arial" w:cs="Arial"/>
              </w:rPr>
              <w:t>Platelet-Rich Plasma</w:t>
            </w:r>
          </w:p>
        </w:tc>
        <w:tc>
          <w:tcPr>
            <w:tcW w:w="0" w:type="auto"/>
            <w:vAlign w:val="center"/>
            <w:hideMark/>
          </w:tcPr>
          <w:p w14:paraId="56FBBED8" w14:textId="77777777" w:rsidR="00E15F1E" w:rsidRPr="00512AAD" w:rsidRDefault="00E15F1E" w:rsidP="00512AAD">
            <w:pPr>
              <w:rPr>
                <w:rFonts w:ascii="Arial" w:hAnsi="Arial" w:cs="Arial"/>
              </w:rPr>
            </w:pPr>
            <w:r w:rsidRPr="00512AAD">
              <w:rPr>
                <w:rFonts w:ascii="Arial" w:hAnsi="Arial" w:cs="Arial"/>
              </w:rPr>
              <w:t>Regenerative, anti-inflammatory, chondroprotective</w:t>
            </w:r>
          </w:p>
        </w:tc>
        <w:tc>
          <w:tcPr>
            <w:tcW w:w="0" w:type="auto"/>
            <w:vAlign w:val="center"/>
            <w:hideMark/>
          </w:tcPr>
          <w:p w14:paraId="12D54415" w14:textId="77777777" w:rsidR="00E15F1E" w:rsidRPr="00512AAD" w:rsidRDefault="00E15F1E" w:rsidP="00512AAD">
            <w:pPr>
              <w:rPr>
                <w:rFonts w:ascii="Arial" w:hAnsi="Arial" w:cs="Arial"/>
              </w:rPr>
            </w:pPr>
            <w:r w:rsidRPr="00512AAD">
              <w:rPr>
                <w:rFonts w:ascii="Arial" w:hAnsi="Arial" w:cs="Arial"/>
              </w:rPr>
              <w:t>Strong</w:t>
            </w:r>
          </w:p>
        </w:tc>
        <w:tc>
          <w:tcPr>
            <w:tcW w:w="0" w:type="auto"/>
            <w:vAlign w:val="center"/>
            <w:hideMark/>
          </w:tcPr>
          <w:p w14:paraId="1AA1846A" w14:textId="77777777" w:rsidR="00E15F1E" w:rsidRPr="00512AAD" w:rsidRDefault="00E15F1E" w:rsidP="00512AAD">
            <w:pPr>
              <w:rPr>
                <w:rFonts w:ascii="Arial" w:hAnsi="Arial" w:cs="Arial"/>
              </w:rPr>
            </w:pPr>
            <w:r w:rsidRPr="00512AAD">
              <w:rPr>
                <w:rFonts w:ascii="Arial" w:hAnsi="Arial" w:cs="Arial"/>
              </w:rPr>
              <w:t>Long-term (6–18+ months)</w:t>
            </w:r>
          </w:p>
        </w:tc>
      </w:tr>
      <w:tr w:rsidR="00E15F1E" w:rsidRPr="00512AAD" w14:paraId="15DFADF8" w14:textId="77777777" w:rsidTr="001016F0">
        <w:trPr>
          <w:tblCellSpacing w:w="15" w:type="dxa"/>
        </w:trPr>
        <w:tc>
          <w:tcPr>
            <w:tcW w:w="0" w:type="auto"/>
            <w:vAlign w:val="center"/>
            <w:hideMark/>
          </w:tcPr>
          <w:p w14:paraId="5A164AC1" w14:textId="77777777" w:rsidR="00E15F1E" w:rsidRPr="00512AAD" w:rsidRDefault="00E15F1E" w:rsidP="00512AAD">
            <w:pPr>
              <w:rPr>
                <w:rFonts w:ascii="Arial" w:hAnsi="Arial" w:cs="Arial"/>
              </w:rPr>
            </w:pPr>
            <w:r w:rsidRPr="00512AAD">
              <w:rPr>
                <w:rFonts w:ascii="Arial" w:hAnsi="Arial" w:cs="Arial"/>
              </w:rPr>
              <w:t>Botulinum Toxin A</w:t>
            </w:r>
          </w:p>
        </w:tc>
        <w:tc>
          <w:tcPr>
            <w:tcW w:w="0" w:type="auto"/>
            <w:vAlign w:val="center"/>
            <w:hideMark/>
          </w:tcPr>
          <w:p w14:paraId="243EBD9C" w14:textId="77777777" w:rsidR="00E15F1E" w:rsidRPr="00512AAD" w:rsidRDefault="00E15F1E" w:rsidP="00512AAD">
            <w:pPr>
              <w:rPr>
                <w:rFonts w:ascii="Arial" w:hAnsi="Arial" w:cs="Arial"/>
              </w:rPr>
            </w:pPr>
            <w:proofErr w:type="spellStart"/>
            <w:r w:rsidRPr="00512AAD">
              <w:rPr>
                <w:rFonts w:ascii="Arial" w:hAnsi="Arial" w:cs="Arial"/>
              </w:rPr>
              <w:t>Neuromodulatory</w:t>
            </w:r>
            <w:proofErr w:type="spellEnd"/>
            <w:r w:rsidRPr="00512AAD">
              <w:rPr>
                <w:rFonts w:ascii="Arial" w:hAnsi="Arial" w:cs="Arial"/>
              </w:rPr>
              <w:t>, anti-nociceptive</w:t>
            </w:r>
          </w:p>
        </w:tc>
        <w:tc>
          <w:tcPr>
            <w:tcW w:w="0" w:type="auto"/>
            <w:vAlign w:val="center"/>
            <w:hideMark/>
          </w:tcPr>
          <w:p w14:paraId="15FCC7F1" w14:textId="77777777" w:rsidR="00E15F1E" w:rsidRPr="00512AAD" w:rsidRDefault="00E15F1E" w:rsidP="00512AAD">
            <w:pPr>
              <w:rPr>
                <w:rFonts w:ascii="Arial" w:hAnsi="Arial" w:cs="Arial"/>
              </w:rPr>
            </w:pPr>
            <w:r w:rsidRPr="00512AAD">
              <w:rPr>
                <w:rFonts w:ascii="Arial" w:hAnsi="Arial" w:cs="Arial"/>
              </w:rPr>
              <w:t>Emerging</w:t>
            </w:r>
          </w:p>
        </w:tc>
        <w:tc>
          <w:tcPr>
            <w:tcW w:w="0" w:type="auto"/>
            <w:vAlign w:val="center"/>
            <w:hideMark/>
          </w:tcPr>
          <w:p w14:paraId="1D8F19DB" w14:textId="77777777" w:rsidR="00E15F1E" w:rsidRPr="00512AAD" w:rsidRDefault="00E15F1E" w:rsidP="00512AAD">
            <w:pPr>
              <w:rPr>
                <w:rFonts w:ascii="Arial" w:hAnsi="Arial" w:cs="Arial"/>
              </w:rPr>
            </w:pPr>
            <w:r w:rsidRPr="00512AAD">
              <w:rPr>
                <w:rFonts w:ascii="Arial" w:hAnsi="Arial" w:cs="Arial"/>
              </w:rPr>
              <w:t>Variable</w:t>
            </w:r>
          </w:p>
        </w:tc>
      </w:tr>
    </w:tbl>
    <w:p w14:paraId="4121BA8A" w14:textId="77777777" w:rsidR="006F4F88" w:rsidRPr="00512AAD" w:rsidRDefault="006F4F88" w:rsidP="00512AAD">
      <w:pPr>
        <w:rPr>
          <w:rFonts w:ascii="Arial" w:hAnsi="Arial" w:cs="Arial"/>
        </w:rPr>
      </w:pPr>
    </w:p>
    <w:p w14:paraId="45FE29DB" w14:textId="77777777" w:rsidR="00E15F1E" w:rsidRPr="00512AAD" w:rsidRDefault="00CF4CBA" w:rsidP="00512AAD">
      <w:pPr>
        <w:rPr>
          <w:rFonts w:ascii="Arial" w:hAnsi="Arial" w:cs="Arial"/>
          <w:b/>
        </w:rPr>
      </w:pPr>
      <w:r w:rsidRPr="00512AAD">
        <w:rPr>
          <w:rFonts w:ascii="Arial" w:hAnsi="Arial" w:cs="Arial"/>
          <w:b/>
        </w:rPr>
        <w:t>TABLE 2</w:t>
      </w:r>
      <w:r w:rsidR="00817495" w:rsidRPr="00512AAD">
        <w:rPr>
          <w:rFonts w:ascii="Arial" w:hAnsi="Arial" w:cs="Arial"/>
          <w:b/>
        </w:rPr>
        <w:t>. COMPARATIVE EVALUATION OF INTRA-ARTICULAR AGENTS</w:t>
      </w:r>
    </w:p>
    <w:tbl>
      <w:tblPr>
        <w:tblStyle w:val="TableGrid"/>
        <w:tblW w:w="0" w:type="auto"/>
        <w:tblLook w:val="04A0" w:firstRow="1" w:lastRow="0" w:firstColumn="1" w:lastColumn="0" w:noHBand="0" w:noVBand="1"/>
      </w:tblPr>
      <w:tblGrid>
        <w:gridCol w:w="2394"/>
        <w:gridCol w:w="2394"/>
        <w:gridCol w:w="2394"/>
        <w:gridCol w:w="2394"/>
      </w:tblGrid>
      <w:tr w:rsidR="008915D3" w:rsidRPr="00512AAD" w14:paraId="199A44B1" w14:textId="77777777" w:rsidTr="008915D3">
        <w:tc>
          <w:tcPr>
            <w:tcW w:w="2394" w:type="dxa"/>
          </w:tcPr>
          <w:p w14:paraId="42989BB6" w14:textId="77777777" w:rsidR="008915D3" w:rsidRPr="00512AAD" w:rsidRDefault="008915D3" w:rsidP="00512AAD">
            <w:pPr>
              <w:rPr>
                <w:rFonts w:ascii="Arial" w:hAnsi="Arial" w:cs="Arial"/>
                <w:b/>
              </w:rPr>
            </w:pPr>
            <w:r w:rsidRPr="00512AAD">
              <w:rPr>
                <w:rFonts w:ascii="Arial" w:hAnsi="Arial" w:cs="Arial"/>
                <w:b/>
              </w:rPr>
              <w:t xml:space="preserve">Agent   </w:t>
            </w:r>
          </w:p>
        </w:tc>
        <w:tc>
          <w:tcPr>
            <w:tcW w:w="2394" w:type="dxa"/>
          </w:tcPr>
          <w:p w14:paraId="739A7732" w14:textId="77777777" w:rsidR="008915D3" w:rsidRPr="00512AAD" w:rsidRDefault="008915D3" w:rsidP="00512AAD">
            <w:pPr>
              <w:rPr>
                <w:rFonts w:ascii="Arial" w:hAnsi="Arial" w:cs="Arial"/>
                <w:b/>
              </w:rPr>
            </w:pPr>
            <w:r w:rsidRPr="00512AAD">
              <w:rPr>
                <w:rFonts w:ascii="Arial" w:hAnsi="Arial" w:cs="Arial"/>
                <w:b/>
              </w:rPr>
              <w:t xml:space="preserve">Primary Benefit          </w:t>
            </w:r>
          </w:p>
        </w:tc>
        <w:tc>
          <w:tcPr>
            <w:tcW w:w="2394" w:type="dxa"/>
          </w:tcPr>
          <w:p w14:paraId="07DBB074" w14:textId="77777777" w:rsidR="008915D3" w:rsidRPr="00512AAD" w:rsidRDefault="008915D3" w:rsidP="00512AAD">
            <w:pPr>
              <w:rPr>
                <w:rFonts w:ascii="Arial" w:hAnsi="Arial" w:cs="Arial"/>
                <w:b/>
              </w:rPr>
            </w:pPr>
            <w:r w:rsidRPr="00512AAD">
              <w:rPr>
                <w:rFonts w:ascii="Arial" w:hAnsi="Arial" w:cs="Arial"/>
                <w:b/>
              </w:rPr>
              <w:t xml:space="preserve">Evidence Strength       </w:t>
            </w:r>
          </w:p>
        </w:tc>
        <w:tc>
          <w:tcPr>
            <w:tcW w:w="2394" w:type="dxa"/>
          </w:tcPr>
          <w:p w14:paraId="120D0C37" w14:textId="77777777" w:rsidR="008915D3" w:rsidRPr="00512AAD" w:rsidRDefault="008915D3" w:rsidP="00512AAD">
            <w:pPr>
              <w:rPr>
                <w:rFonts w:ascii="Arial" w:hAnsi="Arial" w:cs="Arial"/>
                <w:b/>
              </w:rPr>
            </w:pPr>
            <w:r w:rsidRPr="00512AAD">
              <w:rPr>
                <w:rFonts w:ascii="Arial" w:hAnsi="Arial" w:cs="Arial"/>
                <w:b/>
              </w:rPr>
              <w:t xml:space="preserve">Duration of Benefit  </w:t>
            </w:r>
          </w:p>
        </w:tc>
      </w:tr>
      <w:tr w:rsidR="008915D3" w:rsidRPr="00512AAD" w14:paraId="25E10245" w14:textId="77777777" w:rsidTr="008915D3">
        <w:tc>
          <w:tcPr>
            <w:tcW w:w="2394" w:type="dxa"/>
          </w:tcPr>
          <w:p w14:paraId="4E4A024E" w14:textId="77777777" w:rsidR="008915D3" w:rsidRPr="00512AAD" w:rsidRDefault="008915D3" w:rsidP="00512AAD">
            <w:pPr>
              <w:rPr>
                <w:rFonts w:ascii="Arial" w:hAnsi="Arial" w:cs="Arial"/>
              </w:rPr>
            </w:pPr>
            <w:r w:rsidRPr="00512AAD">
              <w:rPr>
                <w:rFonts w:ascii="Arial" w:hAnsi="Arial" w:cs="Arial"/>
              </w:rPr>
              <w:lastRenderedPageBreak/>
              <w:t xml:space="preserve">Corticosteroids   </w:t>
            </w:r>
          </w:p>
        </w:tc>
        <w:tc>
          <w:tcPr>
            <w:tcW w:w="2394" w:type="dxa"/>
          </w:tcPr>
          <w:p w14:paraId="08475989" w14:textId="77777777" w:rsidR="008915D3" w:rsidRPr="00512AAD" w:rsidRDefault="008915D3" w:rsidP="00512AAD">
            <w:pPr>
              <w:rPr>
                <w:rFonts w:ascii="Arial" w:hAnsi="Arial" w:cs="Arial"/>
              </w:rPr>
            </w:pPr>
            <w:r w:rsidRPr="00512AAD">
              <w:rPr>
                <w:rFonts w:ascii="Arial" w:hAnsi="Arial" w:cs="Arial"/>
              </w:rPr>
              <w:t>Rapid inflammation relief</w:t>
            </w:r>
          </w:p>
        </w:tc>
        <w:tc>
          <w:tcPr>
            <w:tcW w:w="2394" w:type="dxa"/>
          </w:tcPr>
          <w:p w14:paraId="34427F2A" w14:textId="77777777" w:rsidR="008915D3" w:rsidRPr="00512AAD" w:rsidRDefault="008915D3" w:rsidP="00512AAD">
            <w:pPr>
              <w:rPr>
                <w:rFonts w:ascii="Arial" w:hAnsi="Arial" w:cs="Arial"/>
              </w:rPr>
            </w:pPr>
            <w:r w:rsidRPr="00512AAD">
              <w:rPr>
                <w:rFonts w:ascii="Arial" w:hAnsi="Arial" w:cs="Arial"/>
              </w:rPr>
              <w:t>Moderate</w:t>
            </w:r>
          </w:p>
        </w:tc>
        <w:tc>
          <w:tcPr>
            <w:tcW w:w="2394" w:type="dxa"/>
          </w:tcPr>
          <w:p w14:paraId="7615300B" w14:textId="77777777" w:rsidR="008915D3" w:rsidRPr="00512AAD" w:rsidRDefault="008915D3" w:rsidP="00512AAD">
            <w:pPr>
              <w:rPr>
                <w:rFonts w:ascii="Arial" w:hAnsi="Arial" w:cs="Arial"/>
              </w:rPr>
            </w:pPr>
            <w:r w:rsidRPr="00512AAD">
              <w:rPr>
                <w:rFonts w:ascii="Arial" w:hAnsi="Arial" w:cs="Arial"/>
              </w:rPr>
              <w:t xml:space="preserve">Weeks to 3 months    </w:t>
            </w:r>
          </w:p>
        </w:tc>
      </w:tr>
      <w:tr w:rsidR="008915D3" w:rsidRPr="00512AAD" w14:paraId="1114487A" w14:textId="77777777" w:rsidTr="008915D3">
        <w:tc>
          <w:tcPr>
            <w:tcW w:w="2394" w:type="dxa"/>
          </w:tcPr>
          <w:p w14:paraId="4420D6AD" w14:textId="77777777" w:rsidR="008915D3" w:rsidRPr="00512AAD" w:rsidRDefault="008915D3" w:rsidP="00512AAD">
            <w:pPr>
              <w:rPr>
                <w:rFonts w:ascii="Arial" w:hAnsi="Arial" w:cs="Arial"/>
              </w:rPr>
            </w:pPr>
            <w:r w:rsidRPr="00512AAD">
              <w:rPr>
                <w:rFonts w:ascii="Arial" w:hAnsi="Arial" w:cs="Arial"/>
              </w:rPr>
              <w:t xml:space="preserve">Hyaluronic Acid   </w:t>
            </w:r>
          </w:p>
        </w:tc>
        <w:tc>
          <w:tcPr>
            <w:tcW w:w="2394" w:type="dxa"/>
          </w:tcPr>
          <w:p w14:paraId="3AD87ADF" w14:textId="77777777" w:rsidR="008915D3" w:rsidRPr="00512AAD" w:rsidRDefault="008915D3" w:rsidP="00512AAD">
            <w:pPr>
              <w:rPr>
                <w:rFonts w:ascii="Arial" w:hAnsi="Arial" w:cs="Arial"/>
              </w:rPr>
            </w:pPr>
            <w:r w:rsidRPr="00512AAD">
              <w:rPr>
                <w:rFonts w:ascii="Arial" w:hAnsi="Arial" w:cs="Arial"/>
              </w:rPr>
              <w:t>Lubrication, anti-inflammatory</w:t>
            </w:r>
          </w:p>
        </w:tc>
        <w:tc>
          <w:tcPr>
            <w:tcW w:w="2394" w:type="dxa"/>
          </w:tcPr>
          <w:p w14:paraId="1DEE968E" w14:textId="77777777" w:rsidR="008915D3" w:rsidRPr="00512AAD" w:rsidRDefault="008915D3" w:rsidP="00512AAD">
            <w:pPr>
              <w:rPr>
                <w:rFonts w:ascii="Arial" w:hAnsi="Arial" w:cs="Arial"/>
              </w:rPr>
            </w:pPr>
            <w:r w:rsidRPr="00512AAD">
              <w:rPr>
                <w:rFonts w:ascii="Arial" w:hAnsi="Arial" w:cs="Arial"/>
              </w:rPr>
              <w:t>Strong</w:t>
            </w:r>
          </w:p>
        </w:tc>
        <w:tc>
          <w:tcPr>
            <w:tcW w:w="2394" w:type="dxa"/>
          </w:tcPr>
          <w:p w14:paraId="65127B62" w14:textId="77777777" w:rsidR="008915D3" w:rsidRPr="00512AAD" w:rsidRDefault="008915D3" w:rsidP="00512AAD">
            <w:pPr>
              <w:rPr>
                <w:rFonts w:ascii="Arial" w:hAnsi="Arial" w:cs="Arial"/>
              </w:rPr>
            </w:pPr>
            <w:r w:rsidRPr="00512AAD">
              <w:rPr>
                <w:rFonts w:ascii="Arial" w:hAnsi="Arial" w:cs="Arial"/>
              </w:rPr>
              <w:t xml:space="preserve">3 to 9 months        </w:t>
            </w:r>
          </w:p>
        </w:tc>
      </w:tr>
      <w:tr w:rsidR="008915D3" w:rsidRPr="00512AAD" w14:paraId="19D11F99" w14:textId="77777777" w:rsidTr="008915D3">
        <w:tc>
          <w:tcPr>
            <w:tcW w:w="2394" w:type="dxa"/>
          </w:tcPr>
          <w:p w14:paraId="522D3D0C" w14:textId="77777777" w:rsidR="008915D3" w:rsidRPr="00512AAD" w:rsidRDefault="008915D3" w:rsidP="00512AAD">
            <w:pPr>
              <w:rPr>
                <w:rFonts w:ascii="Arial" w:hAnsi="Arial" w:cs="Arial"/>
              </w:rPr>
            </w:pPr>
            <w:r w:rsidRPr="00512AAD">
              <w:rPr>
                <w:rFonts w:ascii="Arial" w:hAnsi="Arial" w:cs="Arial"/>
              </w:rPr>
              <w:t xml:space="preserve">PRP  </w:t>
            </w:r>
          </w:p>
        </w:tc>
        <w:tc>
          <w:tcPr>
            <w:tcW w:w="2394" w:type="dxa"/>
          </w:tcPr>
          <w:p w14:paraId="2C8BCF33" w14:textId="77777777" w:rsidR="008915D3" w:rsidRPr="00512AAD" w:rsidRDefault="008915D3" w:rsidP="00512AAD">
            <w:pPr>
              <w:rPr>
                <w:rFonts w:ascii="Arial" w:hAnsi="Arial" w:cs="Arial"/>
              </w:rPr>
            </w:pPr>
            <w:r w:rsidRPr="00512AAD">
              <w:rPr>
                <w:rFonts w:ascii="Arial" w:hAnsi="Arial" w:cs="Arial"/>
              </w:rPr>
              <w:t xml:space="preserve">Regenerative effects     </w:t>
            </w:r>
          </w:p>
        </w:tc>
        <w:tc>
          <w:tcPr>
            <w:tcW w:w="2394" w:type="dxa"/>
          </w:tcPr>
          <w:p w14:paraId="0A98A934" w14:textId="77777777" w:rsidR="008915D3" w:rsidRPr="00512AAD" w:rsidRDefault="008915D3" w:rsidP="00512AAD">
            <w:pPr>
              <w:rPr>
                <w:rFonts w:ascii="Arial" w:hAnsi="Arial" w:cs="Arial"/>
              </w:rPr>
            </w:pPr>
            <w:r w:rsidRPr="00512AAD">
              <w:rPr>
                <w:rFonts w:ascii="Arial" w:hAnsi="Arial" w:cs="Arial"/>
              </w:rPr>
              <w:t>Strong</w:t>
            </w:r>
          </w:p>
        </w:tc>
        <w:tc>
          <w:tcPr>
            <w:tcW w:w="2394" w:type="dxa"/>
          </w:tcPr>
          <w:p w14:paraId="1D9FE2EB" w14:textId="77777777" w:rsidR="008915D3" w:rsidRPr="00512AAD" w:rsidRDefault="008915D3" w:rsidP="00512AAD">
            <w:pPr>
              <w:rPr>
                <w:rFonts w:ascii="Arial" w:hAnsi="Arial" w:cs="Arial"/>
              </w:rPr>
            </w:pPr>
            <w:r w:rsidRPr="00512AAD">
              <w:rPr>
                <w:rFonts w:ascii="Arial" w:hAnsi="Arial" w:cs="Arial"/>
              </w:rPr>
              <w:t xml:space="preserve">6 to 18+ months      </w:t>
            </w:r>
          </w:p>
        </w:tc>
      </w:tr>
      <w:tr w:rsidR="008915D3" w:rsidRPr="00512AAD" w14:paraId="1E861B80" w14:textId="77777777" w:rsidTr="008915D3">
        <w:tc>
          <w:tcPr>
            <w:tcW w:w="2394" w:type="dxa"/>
          </w:tcPr>
          <w:p w14:paraId="06B5FC57" w14:textId="77777777" w:rsidR="008915D3" w:rsidRPr="00512AAD" w:rsidRDefault="008915D3" w:rsidP="00512AAD">
            <w:pPr>
              <w:rPr>
                <w:rFonts w:ascii="Arial" w:hAnsi="Arial" w:cs="Arial"/>
              </w:rPr>
            </w:pPr>
            <w:r w:rsidRPr="00512AAD">
              <w:rPr>
                <w:rFonts w:ascii="Arial" w:hAnsi="Arial" w:cs="Arial"/>
              </w:rPr>
              <w:t>Botulinum Toxin A</w:t>
            </w:r>
          </w:p>
        </w:tc>
        <w:tc>
          <w:tcPr>
            <w:tcW w:w="2394" w:type="dxa"/>
          </w:tcPr>
          <w:p w14:paraId="0E9E3B39" w14:textId="77777777" w:rsidR="008915D3" w:rsidRPr="00512AAD" w:rsidRDefault="008915D3" w:rsidP="00512AAD">
            <w:pPr>
              <w:rPr>
                <w:rFonts w:ascii="Arial" w:hAnsi="Arial" w:cs="Arial"/>
              </w:rPr>
            </w:pPr>
            <w:r w:rsidRPr="00512AAD">
              <w:rPr>
                <w:rFonts w:ascii="Arial" w:hAnsi="Arial" w:cs="Arial"/>
              </w:rPr>
              <w:t xml:space="preserve">Neural desensitization   </w:t>
            </w:r>
          </w:p>
        </w:tc>
        <w:tc>
          <w:tcPr>
            <w:tcW w:w="2394" w:type="dxa"/>
          </w:tcPr>
          <w:p w14:paraId="6752B439" w14:textId="77777777" w:rsidR="008915D3" w:rsidRPr="00512AAD" w:rsidRDefault="008915D3" w:rsidP="00512AAD">
            <w:pPr>
              <w:rPr>
                <w:rFonts w:ascii="Arial" w:hAnsi="Arial" w:cs="Arial"/>
              </w:rPr>
            </w:pPr>
            <w:r w:rsidRPr="00512AAD">
              <w:rPr>
                <w:rFonts w:ascii="Arial" w:hAnsi="Arial" w:cs="Arial"/>
              </w:rPr>
              <w:t>Strong</w:t>
            </w:r>
          </w:p>
        </w:tc>
        <w:tc>
          <w:tcPr>
            <w:tcW w:w="2394" w:type="dxa"/>
          </w:tcPr>
          <w:p w14:paraId="6AD8E996" w14:textId="77777777" w:rsidR="008915D3" w:rsidRPr="00512AAD" w:rsidRDefault="008915D3" w:rsidP="00512AAD">
            <w:pPr>
              <w:rPr>
                <w:rFonts w:ascii="Arial" w:hAnsi="Arial" w:cs="Arial"/>
              </w:rPr>
            </w:pPr>
            <w:r w:rsidRPr="00512AAD">
              <w:rPr>
                <w:rFonts w:ascii="Arial" w:hAnsi="Arial" w:cs="Arial"/>
              </w:rPr>
              <w:t>Variable</w:t>
            </w:r>
          </w:p>
        </w:tc>
      </w:tr>
    </w:tbl>
    <w:p w14:paraId="19D9C8A8" w14:textId="77777777" w:rsidR="00E15F1E" w:rsidRPr="00512AAD" w:rsidRDefault="00E15F1E" w:rsidP="00512AAD">
      <w:pPr>
        <w:rPr>
          <w:rFonts w:ascii="Arial" w:hAnsi="Arial" w:cs="Arial"/>
        </w:rPr>
      </w:pPr>
    </w:p>
    <w:p w14:paraId="52F38FA0" w14:textId="77777777" w:rsidR="00E15F1E" w:rsidRPr="00512AAD" w:rsidRDefault="00CF4CBA" w:rsidP="00512AAD">
      <w:pPr>
        <w:rPr>
          <w:rFonts w:ascii="Arial" w:hAnsi="Arial" w:cs="Arial"/>
          <w:b/>
        </w:rPr>
      </w:pPr>
      <w:r w:rsidRPr="00512AAD">
        <w:rPr>
          <w:rFonts w:ascii="Arial" w:hAnsi="Arial" w:cs="Arial"/>
          <w:b/>
        </w:rPr>
        <w:t>TABLE 3</w:t>
      </w:r>
      <w:r w:rsidR="00817495" w:rsidRPr="00512AAD">
        <w:rPr>
          <w:rFonts w:ascii="Arial" w:hAnsi="Arial" w:cs="Arial"/>
          <w:b/>
        </w:rPr>
        <w:t>. INJECTABLE RECOMMENDATION BY CLINICAL SCENARIO</w:t>
      </w:r>
    </w:p>
    <w:tbl>
      <w:tblPr>
        <w:tblStyle w:val="TableGrid"/>
        <w:tblW w:w="0" w:type="auto"/>
        <w:tblLook w:val="04A0" w:firstRow="1" w:lastRow="0" w:firstColumn="1" w:lastColumn="0" w:noHBand="0" w:noVBand="1"/>
      </w:tblPr>
      <w:tblGrid>
        <w:gridCol w:w="4788"/>
        <w:gridCol w:w="4788"/>
      </w:tblGrid>
      <w:tr w:rsidR="00A03021" w:rsidRPr="00512AAD" w14:paraId="0C0C3968" w14:textId="77777777" w:rsidTr="00A03021">
        <w:tc>
          <w:tcPr>
            <w:tcW w:w="4788" w:type="dxa"/>
          </w:tcPr>
          <w:p w14:paraId="64D9C89C" w14:textId="77777777" w:rsidR="00A03021" w:rsidRPr="00512AAD" w:rsidRDefault="00A03021" w:rsidP="00512AAD">
            <w:pPr>
              <w:rPr>
                <w:rFonts w:ascii="Arial" w:hAnsi="Arial" w:cs="Arial"/>
                <w:b/>
              </w:rPr>
            </w:pPr>
            <w:r w:rsidRPr="00512AAD">
              <w:rPr>
                <w:rFonts w:ascii="Arial" w:hAnsi="Arial" w:cs="Arial"/>
                <w:b/>
              </w:rPr>
              <w:t xml:space="preserve">Clinical Presentation                    </w:t>
            </w:r>
          </w:p>
        </w:tc>
        <w:tc>
          <w:tcPr>
            <w:tcW w:w="4788" w:type="dxa"/>
          </w:tcPr>
          <w:p w14:paraId="11F2008F" w14:textId="77777777" w:rsidR="00A03021" w:rsidRPr="00512AAD" w:rsidRDefault="00A03021" w:rsidP="00512AAD">
            <w:pPr>
              <w:rPr>
                <w:rFonts w:ascii="Arial" w:hAnsi="Arial" w:cs="Arial"/>
                <w:b/>
              </w:rPr>
            </w:pPr>
            <w:r w:rsidRPr="00512AAD">
              <w:rPr>
                <w:rFonts w:ascii="Arial" w:hAnsi="Arial" w:cs="Arial"/>
                <w:b/>
              </w:rPr>
              <w:t xml:space="preserve">Recommended IA Agent   </w:t>
            </w:r>
          </w:p>
        </w:tc>
      </w:tr>
      <w:tr w:rsidR="00A03021" w:rsidRPr="00512AAD" w14:paraId="54C24B9D" w14:textId="77777777" w:rsidTr="00A03021">
        <w:tc>
          <w:tcPr>
            <w:tcW w:w="4788" w:type="dxa"/>
          </w:tcPr>
          <w:p w14:paraId="4C02FAE3" w14:textId="77777777" w:rsidR="00A03021" w:rsidRPr="00512AAD" w:rsidRDefault="00A03021" w:rsidP="00512AAD">
            <w:pPr>
              <w:rPr>
                <w:rFonts w:ascii="Arial" w:hAnsi="Arial" w:cs="Arial"/>
              </w:rPr>
            </w:pPr>
            <w:r w:rsidRPr="00512AAD">
              <w:rPr>
                <w:rFonts w:ascii="Arial" w:hAnsi="Arial" w:cs="Arial"/>
              </w:rPr>
              <w:t xml:space="preserve">Acute synovitis with severe pain         </w:t>
            </w:r>
          </w:p>
        </w:tc>
        <w:tc>
          <w:tcPr>
            <w:tcW w:w="4788" w:type="dxa"/>
          </w:tcPr>
          <w:p w14:paraId="295FA178" w14:textId="77777777" w:rsidR="00A03021" w:rsidRPr="00512AAD" w:rsidRDefault="00A03021" w:rsidP="00512AAD">
            <w:pPr>
              <w:rPr>
                <w:rFonts w:ascii="Arial" w:hAnsi="Arial" w:cs="Arial"/>
              </w:rPr>
            </w:pPr>
            <w:r w:rsidRPr="00512AAD">
              <w:rPr>
                <w:rFonts w:ascii="Arial" w:hAnsi="Arial" w:cs="Arial"/>
              </w:rPr>
              <w:t xml:space="preserve">Corticosteroid         </w:t>
            </w:r>
          </w:p>
        </w:tc>
      </w:tr>
      <w:tr w:rsidR="00A03021" w:rsidRPr="00512AAD" w14:paraId="47BC0D51" w14:textId="77777777" w:rsidTr="00A03021">
        <w:tc>
          <w:tcPr>
            <w:tcW w:w="4788" w:type="dxa"/>
          </w:tcPr>
          <w:p w14:paraId="3CDBA9C4" w14:textId="77777777" w:rsidR="00A03021" w:rsidRPr="00512AAD" w:rsidRDefault="00A03021" w:rsidP="00512AAD">
            <w:pPr>
              <w:rPr>
                <w:rFonts w:ascii="Arial" w:hAnsi="Arial" w:cs="Arial"/>
              </w:rPr>
            </w:pPr>
            <w:r w:rsidRPr="00512AAD">
              <w:rPr>
                <w:rFonts w:ascii="Arial" w:hAnsi="Arial" w:cs="Arial"/>
              </w:rPr>
              <w:t xml:space="preserve">Chronic ID with disc displacement        </w:t>
            </w:r>
          </w:p>
        </w:tc>
        <w:tc>
          <w:tcPr>
            <w:tcW w:w="4788" w:type="dxa"/>
          </w:tcPr>
          <w:p w14:paraId="520C94FA" w14:textId="77777777" w:rsidR="00A03021" w:rsidRPr="00512AAD" w:rsidRDefault="00A03021" w:rsidP="00512AAD">
            <w:pPr>
              <w:rPr>
                <w:rFonts w:ascii="Arial" w:hAnsi="Arial" w:cs="Arial"/>
              </w:rPr>
            </w:pPr>
            <w:r w:rsidRPr="00512AAD">
              <w:rPr>
                <w:rFonts w:ascii="Arial" w:hAnsi="Arial" w:cs="Arial"/>
              </w:rPr>
              <w:t xml:space="preserve">HA or PRP              </w:t>
            </w:r>
          </w:p>
        </w:tc>
      </w:tr>
      <w:tr w:rsidR="00A03021" w:rsidRPr="00512AAD" w14:paraId="5D11F707" w14:textId="77777777" w:rsidTr="00A03021">
        <w:tc>
          <w:tcPr>
            <w:tcW w:w="4788" w:type="dxa"/>
          </w:tcPr>
          <w:p w14:paraId="1457B5BE" w14:textId="77777777" w:rsidR="00A03021" w:rsidRPr="00512AAD" w:rsidRDefault="00A03021" w:rsidP="00512AAD">
            <w:pPr>
              <w:rPr>
                <w:rFonts w:ascii="Arial" w:hAnsi="Arial" w:cs="Arial"/>
              </w:rPr>
            </w:pPr>
            <w:r w:rsidRPr="00512AAD">
              <w:rPr>
                <w:rFonts w:ascii="Arial" w:hAnsi="Arial" w:cs="Arial"/>
              </w:rPr>
              <w:t xml:space="preserve">Degenerative changes (early </w:t>
            </w:r>
            <w:proofErr w:type="gramStart"/>
            <w:r w:rsidRPr="00512AAD">
              <w:rPr>
                <w:rFonts w:ascii="Arial" w:hAnsi="Arial" w:cs="Arial"/>
              </w:rPr>
              <w:t xml:space="preserve">OA)   </w:t>
            </w:r>
            <w:proofErr w:type="gramEnd"/>
            <w:r w:rsidRPr="00512AAD">
              <w:rPr>
                <w:rFonts w:ascii="Arial" w:hAnsi="Arial" w:cs="Arial"/>
              </w:rPr>
              <w:t xml:space="preserve">       </w:t>
            </w:r>
          </w:p>
        </w:tc>
        <w:tc>
          <w:tcPr>
            <w:tcW w:w="4788" w:type="dxa"/>
          </w:tcPr>
          <w:p w14:paraId="03E40149" w14:textId="77777777" w:rsidR="00A03021" w:rsidRPr="00512AAD" w:rsidRDefault="00A03021" w:rsidP="00512AAD">
            <w:pPr>
              <w:rPr>
                <w:rFonts w:ascii="Arial" w:hAnsi="Arial" w:cs="Arial"/>
              </w:rPr>
            </w:pPr>
            <w:r w:rsidRPr="00512AAD">
              <w:rPr>
                <w:rFonts w:ascii="Arial" w:hAnsi="Arial" w:cs="Arial"/>
              </w:rPr>
              <w:t xml:space="preserve">PRP &gt; HA               </w:t>
            </w:r>
          </w:p>
        </w:tc>
      </w:tr>
      <w:tr w:rsidR="00A03021" w:rsidRPr="00512AAD" w14:paraId="47D5CD9D" w14:textId="77777777" w:rsidTr="00A03021">
        <w:tc>
          <w:tcPr>
            <w:tcW w:w="4788" w:type="dxa"/>
          </w:tcPr>
          <w:p w14:paraId="153EB983" w14:textId="77777777" w:rsidR="00A03021" w:rsidRPr="00512AAD" w:rsidRDefault="00A03021" w:rsidP="00512AAD">
            <w:pPr>
              <w:rPr>
                <w:rFonts w:ascii="Arial" w:hAnsi="Arial" w:cs="Arial"/>
              </w:rPr>
            </w:pPr>
            <w:r w:rsidRPr="00512AAD">
              <w:rPr>
                <w:rFonts w:ascii="Arial" w:hAnsi="Arial" w:cs="Arial"/>
              </w:rPr>
              <w:t xml:space="preserve">Refractory chronic TMJ pain              </w:t>
            </w:r>
          </w:p>
        </w:tc>
        <w:tc>
          <w:tcPr>
            <w:tcW w:w="4788" w:type="dxa"/>
          </w:tcPr>
          <w:p w14:paraId="225F94A2" w14:textId="77777777" w:rsidR="00A03021" w:rsidRPr="00512AAD" w:rsidRDefault="00A03021" w:rsidP="00512AAD">
            <w:pPr>
              <w:rPr>
                <w:rFonts w:ascii="Arial" w:hAnsi="Arial" w:cs="Arial"/>
              </w:rPr>
            </w:pPr>
            <w:proofErr w:type="spellStart"/>
            <w:r w:rsidRPr="00512AAD">
              <w:rPr>
                <w:rFonts w:ascii="Arial" w:hAnsi="Arial" w:cs="Arial"/>
              </w:rPr>
              <w:t>BoNT</w:t>
            </w:r>
            <w:proofErr w:type="spellEnd"/>
            <w:r w:rsidRPr="00512AAD">
              <w:rPr>
                <w:rFonts w:ascii="Arial" w:hAnsi="Arial" w:cs="Arial"/>
              </w:rPr>
              <w:t xml:space="preserve">-A (select cases)  </w:t>
            </w:r>
          </w:p>
        </w:tc>
      </w:tr>
      <w:tr w:rsidR="00A03021" w:rsidRPr="00512AAD" w14:paraId="2A177CAF" w14:textId="77777777" w:rsidTr="00A03021">
        <w:tc>
          <w:tcPr>
            <w:tcW w:w="4788" w:type="dxa"/>
          </w:tcPr>
          <w:p w14:paraId="703DD3CD" w14:textId="77777777" w:rsidR="00A03021" w:rsidRPr="00512AAD" w:rsidRDefault="00A03021" w:rsidP="00512AAD">
            <w:pPr>
              <w:rPr>
                <w:rFonts w:ascii="Arial" w:hAnsi="Arial" w:cs="Arial"/>
              </w:rPr>
            </w:pPr>
            <w:r w:rsidRPr="00512AAD">
              <w:rPr>
                <w:rFonts w:ascii="Arial" w:hAnsi="Arial" w:cs="Arial"/>
              </w:rPr>
              <w:t xml:space="preserve">Closed lock with severe limitation       </w:t>
            </w:r>
          </w:p>
        </w:tc>
        <w:tc>
          <w:tcPr>
            <w:tcW w:w="4788" w:type="dxa"/>
          </w:tcPr>
          <w:p w14:paraId="0EF36287" w14:textId="77777777" w:rsidR="00A03021" w:rsidRPr="00512AAD" w:rsidRDefault="00A03021" w:rsidP="00512AAD">
            <w:pPr>
              <w:rPr>
                <w:rFonts w:ascii="Arial" w:hAnsi="Arial" w:cs="Arial"/>
              </w:rPr>
            </w:pPr>
            <w:r w:rsidRPr="00512AAD">
              <w:rPr>
                <w:rFonts w:ascii="Arial" w:hAnsi="Arial" w:cs="Arial"/>
              </w:rPr>
              <w:t xml:space="preserve">Arthrocentesis + HA    </w:t>
            </w:r>
          </w:p>
        </w:tc>
      </w:tr>
    </w:tbl>
    <w:p w14:paraId="6216FC6C" w14:textId="77777777" w:rsidR="00A03021" w:rsidRPr="00512AAD" w:rsidRDefault="00A03021" w:rsidP="00512AAD">
      <w:pPr>
        <w:rPr>
          <w:rFonts w:ascii="Arial" w:hAnsi="Arial" w:cs="Arial"/>
        </w:rPr>
      </w:pPr>
    </w:p>
    <w:p w14:paraId="26DE9394" w14:textId="77777777" w:rsidR="00E15F1E" w:rsidRPr="00512AAD" w:rsidRDefault="00817495" w:rsidP="00512AAD">
      <w:pPr>
        <w:rPr>
          <w:rFonts w:ascii="Arial" w:hAnsi="Arial" w:cs="Arial"/>
          <w:b/>
        </w:rPr>
      </w:pPr>
      <w:r w:rsidRPr="00512AAD">
        <w:rPr>
          <w:rFonts w:ascii="Arial" w:hAnsi="Arial" w:cs="Arial"/>
          <w:b/>
        </w:rPr>
        <w:t>SAFETY CONSIDERATIONS</w:t>
      </w:r>
    </w:p>
    <w:p w14:paraId="43D04E29" w14:textId="77777777" w:rsidR="00E15F1E" w:rsidRPr="00512AAD" w:rsidRDefault="00817495" w:rsidP="00512AAD">
      <w:pPr>
        <w:rPr>
          <w:rFonts w:ascii="Arial" w:hAnsi="Arial" w:cs="Arial"/>
          <w:b/>
        </w:rPr>
      </w:pPr>
      <w:r w:rsidRPr="00512AAD">
        <w:rPr>
          <w:rFonts w:ascii="Arial" w:hAnsi="Arial" w:cs="Arial"/>
          <w:b/>
        </w:rPr>
        <w:t>CORTICOSTEROIDS</w:t>
      </w:r>
    </w:p>
    <w:p w14:paraId="295359FB" w14:textId="77777777" w:rsidR="00E15F1E" w:rsidRPr="00512AAD" w:rsidRDefault="00E15F1E" w:rsidP="00512AAD">
      <w:pPr>
        <w:rPr>
          <w:rFonts w:ascii="Arial" w:hAnsi="Arial" w:cs="Arial"/>
        </w:rPr>
      </w:pPr>
      <w:r w:rsidRPr="00512AAD">
        <w:rPr>
          <w:rFonts w:ascii="Arial" w:hAnsi="Arial" w:cs="Arial"/>
        </w:rPr>
        <w:t>Risk of chondrotoxicity</w:t>
      </w:r>
    </w:p>
    <w:p w14:paraId="7DAFB8EA" w14:textId="77777777" w:rsidR="00E15F1E" w:rsidRPr="00512AAD" w:rsidRDefault="00E15F1E" w:rsidP="00512AAD">
      <w:pPr>
        <w:rPr>
          <w:rFonts w:ascii="Arial" w:hAnsi="Arial" w:cs="Arial"/>
        </w:rPr>
      </w:pPr>
      <w:r w:rsidRPr="00512AAD">
        <w:rPr>
          <w:rFonts w:ascii="Arial" w:hAnsi="Arial" w:cs="Arial"/>
        </w:rPr>
        <w:t>Avoid repeated injections</w:t>
      </w:r>
    </w:p>
    <w:p w14:paraId="5955D4D4" w14:textId="77777777" w:rsidR="00E15F1E" w:rsidRPr="00512AAD" w:rsidRDefault="00E15F1E" w:rsidP="00512AAD">
      <w:pPr>
        <w:rPr>
          <w:rFonts w:ascii="Arial" w:hAnsi="Arial" w:cs="Arial"/>
        </w:rPr>
      </w:pPr>
      <w:r w:rsidRPr="00512AAD">
        <w:rPr>
          <w:rFonts w:ascii="Arial" w:hAnsi="Arial" w:cs="Arial"/>
        </w:rPr>
        <w:t>May accelerate degenerative changes</w:t>
      </w:r>
    </w:p>
    <w:p w14:paraId="4CD2B18A" w14:textId="77777777" w:rsidR="00E15F1E" w:rsidRPr="00512AAD" w:rsidRDefault="00E15F1E" w:rsidP="00512AAD">
      <w:pPr>
        <w:rPr>
          <w:rFonts w:ascii="Arial" w:hAnsi="Arial" w:cs="Arial"/>
          <w:b/>
        </w:rPr>
      </w:pPr>
      <w:r w:rsidRPr="00512AAD">
        <w:rPr>
          <w:rFonts w:ascii="Arial" w:hAnsi="Arial" w:cs="Arial"/>
          <w:b/>
        </w:rPr>
        <w:t>HA</w:t>
      </w:r>
    </w:p>
    <w:p w14:paraId="49F1E3E2" w14:textId="77777777" w:rsidR="00E15F1E" w:rsidRPr="00512AAD" w:rsidRDefault="00E15F1E" w:rsidP="00512AAD">
      <w:pPr>
        <w:rPr>
          <w:rFonts w:ascii="Arial" w:hAnsi="Arial" w:cs="Arial"/>
        </w:rPr>
      </w:pPr>
      <w:r w:rsidRPr="00512AAD">
        <w:rPr>
          <w:rFonts w:ascii="Arial" w:hAnsi="Arial" w:cs="Arial"/>
        </w:rPr>
        <w:t>Excellent safety profile</w:t>
      </w:r>
    </w:p>
    <w:p w14:paraId="5FC02C64" w14:textId="77777777" w:rsidR="00E15F1E" w:rsidRPr="00512AAD" w:rsidRDefault="00E15F1E" w:rsidP="00512AAD">
      <w:pPr>
        <w:rPr>
          <w:rFonts w:ascii="Arial" w:hAnsi="Arial" w:cs="Arial"/>
        </w:rPr>
      </w:pPr>
      <w:r w:rsidRPr="00512AAD">
        <w:rPr>
          <w:rFonts w:ascii="Arial" w:hAnsi="Arial" w:cs="Arial"/>
        </w:rPr>
        <w:t>Minimal swelling or sensitivity</w:t>
      </w:r>
    </w:p>
    <w:p w14:paraId="6A73E99E" w14:textId="77777777" w:rsidR="00E15F1E" w:rsidRPr="00512AAD" w:rsidRDefault="00E15F1E" w:rsidP="00512AAD">
      <w:pPr>
        <w:rPr>
          <w:rFonts w:ascii="Arial" w:hAnsi="Arial" w:cs="Arial"/>
          <w:b/>
        </w:rPr>
      </w:pPr>
      <w:r w:rsidRPr="00512AAD">
        <w:rPr>
          <w:rFonts w:ascii="Arial" w:hAnsi="Arial" w:cs="Arial"/>
          <w:b/>
        </w:rPr>
        <w:t>PRP</w:t>
      </w:r>
    </w:p>
    <w:p w14:paraId="7BD644D0" w14:textId="77777777" w:rsidR="00E15F1E" w:rsidRPr="00512AAD" w:rsidRDefault="00E15F1E" w:rsidP="00512AAD">
      <w:pPr>
        <w:rPr>
          <w:rFonts w:ascii="Arial" w:hAnsi="Arial" w:cs="Arial"/>
        </w:rPr>
      </w:pPr>
      <w:r w:rsidRPr="00512AAD">
        <w:rPr>
          <w:rFonts w:ascii="Arial" w:hAnsi="Arial" w:cs="Arial"/>
        </w:rPr>
        <w:t>Safe and autologous</w:t>
      </w:r>
    </w:p>
    <w:p w14:paraId="661AC769" w14:textId="77777777" w:rsidR="00E15F1E" w:rsidRPr="00512AAD" w:rsidRDefault="00E15F1E" w:rsidP="00512AAD">
      <w:pPr>
        <w:rPr>
          <w:rFonts w:ascii="Arial" w:hAnsi="Arial" w:cs="Arial"/>
        </w:rPr>
      </w:pPr>
      <w:r w:rsidRPr="00512AAD">
        <w:rPr>
          <w:rFonts w:ascii="Arial" w:hAnsi="Arial" w:cs="Arial"/>
        </w:rPr>
        <w:t>Mild post-injection discomfort possible</w:t>
      </w:r>
    </w:p>
    <w:p w14:paraId="2C60FE0F" w14:textId="77777777" w:rsidR="00E15F1E" w:rsidRPr="00512AAD" w:rsidRDefault="00E15F1E" w:rsidP="00512AAD">
      <w:pPr>
        <w:rPr>
          <w:rFonts w:ascii="Arial" w:hAnsi="Arial" w:cs="Arial"/>
          <w:b/>
        </w:rPr>
      </w:pPr>
      <w:proofErr w:type="spellStart"/>
      <w:r w:rsidRPr="00512AAD">
        <w:rPr>
          <w:rFonts w:ascii="Arial" w:hAnsi="Arial" w:cs="Arial"/>
          <w:b/>
        </w:rPr>
        <w:t>BoNT</w:t>
      </w:r>
      <w:proofErr w:type="spellEnd"/>
      <w:r w:rsidRPr="00512AAD">
        <w:rPr>
          <w:rFonts w:ascii="Arial" w:hAnsi="Arial" w:cs="Arial"/>
          <w:b/>
        </w:rPr>
        <w:t>-A</w:t>
      </w:r>
    </w:p>
    <w:p w14:paraId="1FFF430B" w14:textId="77777777" w:rsidR="00E15F1E" w:rsidRPr="00512AAD" w:rsidRDefault="00E15F1E" w:rsidP="00512AAD">
      <w:pPr>
        <w:rPr>
          <w:rFonts w:ascii="Arial" w:hAnsi="Arial" w:cs="Arial"/>
        </w:rPr>
      </w:pPr>
      <w:r w:rsidRPr="00512AAD">
        <w:rPr>
          <w:rFonts w:ascii="Arial" w:hAnsi="Arial" w:cs="Arial"/>
        </w:rPr>
        <w:t>Rare cases of joint laxity</w:t>
      </w:r>
    </w:p>
    <w:p w14:paraId="1EBBBC50" w14:textId="77777777" w:rsidR="00E15F1E" w:rsidRPr="00512AAD" w:rsidRDefault="00E15F1E" w:rsidP="00512AAD">
      <w:pPr>
        <w:rPr>
          <w:rFonts w:ascii="Arial" w:hAnsi="Arial" w:cs="Arial"/>
        </w:rPr>
      </w:pPr>
      <w:r w:rsidRPr="00512AAD">
        <w:rPr>
          <w:rFonts w:ascii="Arial" w:hAnsi="Arial" w:cs="Arial"/>
        </w:rPr>
        <w:t>Possible transient bite alterations</w:t>
      </w:r>
    </w:p>
    <w:p w14:paraId="23340F33" w14:textId="77777777" w:rsidR="0063655A" w:rsidRPr="00512AAD" w:rsidRDefault="0063655A" w:rsidP="00512AAD">
      <w:pPr>
        <w:rPr>
          <w:rFonts w:ascii="Arial" w:hAnsi="Arial" w:cs="Arial"/>
        </w:rPr>
      </w:pPr>
    </w:p>
    <w:p w14:paraId="1F37CB9B" w14:textId="77777777" w:rsidR="00E15F1E" w:rsidRPr="00512AAD" w:rsidRDefault="00817495" w:rsidP="00512AAD">
      <w:pPr>
        <w:rPr>
          <w:rFonts w:ascii="Arial" w:hAnsi="Arial" w:cs="Arial"/>
          <w:b/>
        </w:rPr>
      </w:pPr>
      <w:r w:rsidRPr="00512AAD">
        <w:rPr>
          <w:rFonts w:ascii="Arial" w:hAnsi="Arial" w:cs="Arial"/>
          <w:b/>
        </w:rPr>
        <w:t>FIGURE 1.  MECHANISM OF MAJOR IA AGENTS</w:t>
      </w:r>
    </w:p>
    <w:p w14:paraId="3A8AB600" w14:textId="77777777" w:rsidR="00E15F1E" w:rsidRPr="00512AAD" w:rsidRDefault="00E15F1E" w:rsidP="00512AAD">
      <w:pPr>
        <w:rPr>
          <w:rFonts w:ascii="Arial" w:hAnsi="Arial" w:cs="Arial"/>
        </w:rPr>
      </w:pPr>
      <w:r w:rsidRPr="00512AAD">
        <w:rPr>
          <w:rFonts w:ascii="Arial" w:hAnsi="Arial" w:cs="Arial"/>
        </w:rPr>
        <w:t>Corticosteroids ---&gt; ↓ Inflammation (Rapid) ---&gt; Short-term Relief</w:t>
      </w:r>
    </w:p>
    <w:p w14:paraId="7674FCC8" w14:textId="77777777" w:rsidR="00E15F1E" w:rsidRPr="00512AAD" w:rsidRDefault="00E15F1E" w:rsidP="00512AAD">
      <w:pPr>
        <w:rPr>
          <w:rFonts w:ascii="Arial" w:hAnsi="Arial" w:cs="Arial"/>
        </w:rPr>
      </w:pPr>
      <w:r w:rsidRPr="00512AAD">
        <w:rPr>
          <w:rFonts w:ascii="Arial" w:hAnsi="Arial" w:cs="Arial"/>
        </w:rPr>
        <w:lastRenderedPageBreak/>
        <w:t>Hyaluronic Acid ---&gt; ↑ Lubrication &amp; ↓ Inflammation ---&gt; Mid-term Relief</w:t>
      </w:r>
    </w:p>
    <w:p w14:paraId="01127C3F" w14:textId="77777777" w:rsidR="00E15F1E" w:rsidRPr="00512AAD" w:rsidRDefault="00E15F1E" w:rsidP="00512AAD">
      <w:pPr>
        <w:rPr>
          <w:rFonts w:ascii="Arial" w:hAnsi="Arial" w:cs="Arial"/>
        </w:rPr>
      </w:pPr>
      <w:r w:rsidRPr="00512AAD">
        <w:rPr>
          <w:rFonts w:ascii="Arial" w:hAnsi="Arial" w:cs="Arial"/>
        </w:rPr>
        <w:t>PRP ---&gt; ↑ Regeneration + ↓ Cytokines ---&gt; Long-term Improvement</w:t>
      </w:r>
    </w:p>
    <w:p w14:paraId="3D352C77" w14:textId="77777777" w:rsidR="00E15F1E" w:rsidRPr="00512AAD" w:rsidRDefault="00E15F1E" w:rsidP="00512AAD">
      <w:pPr>
        <w:rPr>
          <w:rFonts w:ascii="Arial" w:hAnsi="Arial" w:cs="Arial"/>
        </w:rPr>
      </w:pPr>
      <w:proofErr w:type="spellStart"/>
      <w:r w:rsidRPr="00512AAD">
        <w:rPr>
          <w:rFonts w:ascii="Arial" w:hAnsi="Arial" w:cs="Arial"/>
        </w:rPr>
        <w:t>BoNT</w:t>
      </w:r>
      <w:proofErr w:type="spellEnd"/>
      <w:r w:rsidRPr="00512AAD">
        <w:rPr>
          <w:rFonts w:ascii="Arial" w:hAnsi="Arial" w:cs="Arial"/>
        </w:rPr>
        <w:t>-A ---&gt; ↓ Neurotransmission ---&gt; Variable Pain Relief</w:t>
      </w:r>
    </w:p>
    <w:p w14:paraId="3BF7B82F" w14:textId="77777777" w:rsidR="0063655A" w:rsidRPr="00512AAD" w:rsidRDefault="0063655A" w:rsidP="00512AAD">
      <w:pPr>
        <w:rPr>
          <w:rFonts w:ascii="Arial" w:hAnsi="Arial" w:cs="Arial"/>
        </w:rPr>
      </w:pPr>
    </w:p>
    <w:p w14:paraId="2961B80B" w14:textId="77777777" w:rsidR="00CF4CBA" w:rsidRPr="00512AAD" w:rsidRDefault="00CF4CBA" w:rsidP="00512AAD">
      <w:pPr>
        <w:rPr>
          <w:rFonts w:ascii="Arial" w:hAnsi="Arial" w:cs="Arial"/>
        </w:rPr>
      </w:pPr>
    </w:p>
    <w:p w14:paraId="24DE5716" w14:textId="77777777" w:rsidR="00E15F1E" w:rsidRPr="00512AAD" w:rsidRDefault="00817495" w:rsidP="00512AAD">
      <w:pPr>
        <w:rPr>
          <w:rFonts w:ascii="Arial" w:hAnsi="Arial" w:cs="Arial"/>
          <w:b/>
        </w:rPr>
      </w:pPr>
      <w:r w:rsidRPr="00512AAD">
        <w:rPr>
          <w:rFonts w:ascii="Arial" w:hAnsi="Arial" w:cs="Arial"/>
          <w:b/>
        </w:rPr>
        <w:t>FIGURE 2.  RELATIVE DURATION OF CLINICAL BENEFIT</w:t>
      </w:r>
    </w:p>
    <w:p w14:paraId="00BFBFB6" w14:textId="77777777" w:rsidR="00E15F1E" w:rsidRPr="00512AAD" w:rsidRDefault="00E15F1E" w:rsidP="00512AAD">
      <w:pPr>
        <w:rPr>
          <w:rFonts w:ascii="Arial" w:hAnsi="Arial" w:cs="Arial"/>
        </w:rPr>
      </w:pPr>
      <w:r w:rsidRPr="00512AAD">
        <w:rPr>
          <w:rFonts w:ascii="Arial" w:hAnsi="Arial" w:cs="Arial"/>
        </w:rPr>
        <w:t>|----------------</w:t>
      </w:r>
      <w:r w:rsidR="00A03021" w:rsidRPr="00512AAD">
        <w:rPr>
          <w:rFonts w:ascii="Arial" w:hAnsi="Arial" w:cs="Arial"/>
        </w:rPr>
        <w:t>--------|---------------------</w:t>
      </w:r>
      <w:r w:rsidRPr="00512AAD">
        <w:rPr>
          <w:rFonts w:ascii="Arial" w:hAnsi="Arial" w:cs="Arial"/>
        </w:rPr>
        <w:t>|-----------------------</w:t>
      </w:r>
      <w:r w:rsidR="00A03021" w:rsidRPr="00512AAD">
        <w:rPr>
          <w:rFonts w:ascii="Arial" w:hAnsi="Arial" w:cs="Arial"/>
        </w:rPr>
        <w:t>------|</w:t>
      </w:r>
    </w:p>
    <w:p w14:paraId="572A5EFD" w14:textId="77777777" w:rsidR="00E15F1E" w:rsidRPr="00512AAD" w:rsidRDefault="00E15F1E" w:rsidP="00512AAD">
      <w:pPr>
        <w:rPr>
          <w:rFonts w:ascii="Arial" w:hAnsi="Arial" w:cs="Arial"/>
        </w:rPr>
      </w:pPr>
      <w:r w:rsidRPr="00512AAD">
        <w:rPr>
          <w:rFonts w:ascii="Arial" w:hAnsi="Arial" w:cs="Arial"/>
        </w:rPr>
        <w:t xml:space="preserve"> Corticosteroid</w:t>
      </w:r>
      <w:r w:rsidR="00CF4CBA" w:rsidRPr="00512AAD">
        <w:rPr>
          <w:rFonts w:ascii="Arial" w:hAnsi="Arial" w:cs="Arial"/>
        </w:rPr>
        <w:t xml:space="preserve">s      HA             </w:t>
      </w:r>
      <w:r w:rsidRPr="00512AAD">
        <w:rPr>
          <w:rFonts w:ascii="Arial" w:hAnsi="Arial" w:cs="Arial"/>
        </w:rPr>
        <w:t xml:space="preserve">  PRP                            </w:t>
      </w:r>
      <w:proofErr w:type="spellStart"/>
      <w:r w:rsidRPr="00512AAD">
        <w:rPr>
          <w:rFonts w:ascii="Arial" w:hAnsi="Arial" w:cs="Arial"/>
        </w:rPr>
        <w:t>BoNT</w:t>
      </w:r>
      <w:proofErr w:type="spellEnd"/>
      <w:r w:rsidRPr="00512AAD">
        <w:rPr>
          <w:rFonts w:ascii="Arial" w:hAnsi="Arial" w:cs="Arial"/>
        </w:rPr>
        <w:t>-A</w:t>
      </w:r>
    </w:p>
    <w:p w14:paraId="0F8B00C2" w14:textId="77777777" w:rsidR="00E15F1E" w:rsidRPr="00512AAD" w:rsidRDefault="00E15F1E" w:rsidP="00512AAD">
      <w:pPr>
        <w:rPr>
          <w:rFonts w:ascii="Arial" w:hAnsi="Arial" w:cs="Arial"/>
        </w:rPr>
      </w:pPr>
      <w:r w:rsidRPr="00512AAD">
        <w:rPr>
          <w:rFonts w:ascii="Arial" w:hAnsi="Arial" w:cs="Arial"/>
        </w:rPr>
        <w:t xml:space="preserve"> Weeks–3</w:t>
      </w:r>
      <w:r w:rsidR="00A03021" w:rsidRPr="00512AAD">
        <w:rPr>
          <w:rFonts w:ascii="Arial" w:hAnsi="Arial" w:cs="Arial"/>
        </w:rPr>
        <w:t xml:space="preserve"> </w:t>
      </w:r>
      <w:proofErr w:type="spellStart"/>
      <w:r w:rsidR="00A03021" w:rsidRPr="00512AAD">
        <w:rPr>
          <w:rFonts w:ascii="Arial" w:hAnsi="Arial" w:cs="Arial"/>
        </w:rPr>
        <w:t>mo</w:t>
      </w:r>
      <w:proofErr w:type="spellEnd"/>
      <w:r w:rsidR="00A03021" w:rsidRPr="00512AAD">
        <w:rPr>
          <w:rFonts w:ascii="Arial" w:hAnsi="Arial" w:cs="Arial"/>
        </w:rPr>
        <w:t xml:space="preserve">      </w:t>
      </w:r>
      <w:r w:rsidR="00CF4CBA" w:rsidRPr="00512AAD">
        <w:rPr>
          <w:rFonts w:ascii="Arial" w:hAnsi="Arial" w:cs="Arial"/>
        </w:rPr>
        <w:t xml:space="preserve"> </w:t>
      </w:r>
      <w:r w:rsidR="00A03021" w:rsidRPr="00512AAD">
        <w:rPr>
          <w:rFonts w:ascii="Arial" w:hAnsi="Arial" w:cs="Arial"/>
        </w:rPr>
        <w:t xml:space="preserve"> </w:t>
      </w:r>
      <w:r w:rsidRPr="00512AAD">
        <w:rPr>
          <w:rFonts w:ascii="Arial" w:hAnsi="Arial" w:cs="Arial"/>
        </w:rPr>
        <w:t xml:space="preserve"> 3–9</w:t>
      </w:r>
      <w:r w:rsidR="00CF4CBA" w:rsidRPr="00512AAD">
        <w:rPr>
          <w:rFonts w:ascii="Arial" w:hAnsi="Arial" w:cs="Arial"/>
        </w:rPr>
        <w:t xml:space="preserve"> </w:t>
      </w:r>
      <w:proofErr w:type="spellStart"/>
      <w:r w:rsidR="00CF4CBA" w:rsidRPr="00512AAD">
        <w:rPr>
          <w:rFonts w:ascii="Arial" w:hAnsi="Arial" w:cs="Arial"/>
        </w:rPr>
        <w:t>mo</w:t>
      </w:r>
      <w:proofErr w:type="spellEnd"/>
      <w:r w:rsidR="00CF4CBA" w:rsidRPr="00512AAD">
        <w:rPr>
          <w:rFonts w:ascii="Arial" w:hAnsi="Arial" w:cs="Arial"/>
        </w:rPr>
        <w:t xml:space="preserve">      </w:t>
      </w:r>
      <w:r w:rsidRPr="00512AAD">
        <w:rPr>
          <w:rFonts w:ascii="Arial" w:hAnsi="Arial" w:cs="Arial"/>
        </w:rPr>
        <w:t xml:space="preserve">  6–18</w:t>
      </w:r>
      <w:r w:rsidR="00A03021" w:rsidRPr="00512AAD">
        <w:rPr>
          <w:rFonts w:ascii="Arial" w:hAnsi="Arial" w:cs="Arial"/>
        </w:rPr>
        <w:t xml:space="preserve">+ </w:t>
      </w:r>
      <w:proofErr w:type="spellStart"/>
      <w:r w:rsidR="00A03021" w:rsidRPr="00512AAD">
        <w:rPr>
          <w:rFonts w:ascii="Arial" w:hAnsi="Arial" w:cs="Arial"/>
        </w:rPr>
        <w:t>mo</w:t>
      </w:r>
      <w:proofErr w:type="spellEnd"/>
      <w:r w:rsidR="00A03021" w:rsidRPr="00512AAD">
        <w:rPr>
          <w:rFonts w:ascii="Arial" w:hAnsi="Arial" w:cs="Arial"/>
        </w:rPr>
        <w:t xml:space="preserve">               </w:t>
      </w:r>
      <w:r w:rsidRPr="00512AAD">
        <w:rPr>
          <w:rFonts w:ascii="Arial" w:hAnsi="Arial" w:cs="Arial"/>
        </w:rPr>
        <w:t xml:space="preserve">    Variable</w:t>
      </w:r>
    </w:p>
    <w:p w14:paraId="62A8C02E" w14:textId="77777777" w:rsidR="001D2655" w:rsidRPr="00512AAD" w:rsidRDefault="001D2655" w:rsidP="00512AAD">
      <w:pPr>
        <w:rPr>
          <w:rFonts w:ascii="Arial" w:hAnsi="Arial" w:cs="Arial"/>
        </w:rPr>
      </w:pPr>
    </w:p>
    <w:p w14:paraId="7EE19D44" w14:textId="77777777" w:rsidR="00477CC1" w:rsidRPr="00512AAD" w:rsidRDefault="001D2655" w:rsidP="00512AAD">
      <w:pPr>
        <w:rPr>
          <w:rFonts w:ascii="Arial" w:hAnsi="Arial" w:cs="Arial"/>
          <w:b/>
        </w:rPr>
      </w:pPr>
      <w:r w:rsidRPr="00512AAD">
        <w:rPr>
          <w:rFonts w:ascii="Arial" w:hAnsi="Arial" w:cs="Arial"/>
          <w:b/>
        </w:rPr>
        <w:t xml:space="preserve">DISCUSSION </w:t>
      </w:r>
    </w:p>
    <w:p w14:paraId="305B43DF" w14:textId="77777777" w:rsidR="00477CC1" w:rsidRPr="00512AAD" w:rsidRDefault="00477CC1" w:rsidP="00081F9F">
      <w:pPr>
        <w:jc w:val="both"/>
        <w:rPr>
          <w:rFonts w:ascii="Arial" w:hAnsi="Arial" w:cs="Arial"/>
        </w:rPr>
      </w:pPr>
      <w:r w:rsidRPr="00512AAD">
        <w:rPr>
          <w:rFonts w:ascii="Arial" w:hAnsi="Arial" w:cs="Arial"/>
        </w:rPr>
        <w:t xml:space="preserve">Recent advances in temporomandibular joint research increasingly emphasize the role of biologic modulation rather than purely anti-inflammatory suppression. This paradigm shift explains the superior and sustained outcomes observed with platelet-based injectables compared to corticosteroids. PRP not only reduces inflammatory cytokines but also promotes fibrocartilage repair, synovial membrane healing, and normalization of synovial fluid composition. These effects address both symptoms and underlying joint </w:t>
      </w:r>
      <w:proofErr w:type="gramStart"/>
      <w:r w:rsidRPr="00512AAD">
        <w:rPr>
          <w:rFonts w:ascii="Arial" w:hAnsi="Arial" w:cs="Arial"/>
        </w:rPr>
        <w:t>pathology.</w:t>
      </w:r>
      <w:r w:rsidR="00A836DE">
        <w:rPr>
          <w:rFonts w:ascii="Arial" w:hAnsi="Arial" w:cs="Arial"/>
        </w:rPr>
        <w:t>[</w:t>
      </w:r>
      <w:proofErr w:type="gramEnd"/>
      <w:r w:rsidR="00A836DE">
        <w:rPr>
          <w:rFonts w:ascii="Arial" w:hAnsi="Arial" w:cs="Arial"/>
        </w:rPr>
        <w:t>1,2]</w:t>
      </w:r>
    </w:p>
    <w:p w14:paraId="384799C1" w14:textId="77777777" w:rsidR="00477CC1" w:rsidRPr="00512AAD" w:rsidRDefault="00477CC1" w:rsidP="00081F9F">
      <w:pPr>
        <w:jc w:val="both"/>
        <w:rPr>
          <w:rFonts w:ascii="Arial" w:hAnsi="Arial" w:cs="Arial"/>
        </w:rPr>
      </w:pPr>
      <w:r w:rsidRPr="00512AAD">
        <w:rPr>
          <w:rFonts w:ascii="Arial" w:hAnsi="Arial" w:cs="Arial"/>
        </w:rPr>
        <w:t>Hyaluronic acid continues to hold a critical role, particularly in patients with disc displacement without advanced degenerative changes. Its viscoelastic properties restore joint lubrication, reduce frictional stress, and improve disc–condyle coordination. Furthermore, HA has been shown to downregulate inflammatory mediators, making it suitable for both inflammatory and mechanical TMJ disorders.</w:t>
      </w:r>
      <w:r w:rsidR="00A836DE">
        <w:rPr>
          <w:rFonts w:ascii="Arial" w:hAnsi="Arial" w:cs="Arial"/>
        </w:rPr>
        <w:t>]19]</w:t>
      </w:r>
    </w:p>
    <w:p w14:paraId="2DE24F7D" w14:textId="77777777" w:rsidR="00477CC1" w:rsidRPr="00512AAD" w:rsidRDefault="00477CC1" w:rsidP="00081F9F">
      <w:pPr>
        <w:jc w:val="both"/>
        <w:rPr>
          <w:rFonts w:ascii="Arial" w:hAnsi="Arial" w:cs="Arial"/>
        </w:rPr>
      </w:pPr>
      <w:r w:rsidRPr="00512AAD">
        <w:rPr>
          <w:rFonts w:ascii="Arial" w:hAnsi="Arial" w:cs="Arial"/>
        </w:rPr>
        <w:t>Corticosteroids, despite their immediate pain-relieving effect, should be approached cautiously. Evidence increasingly suggests that repeated intra-articular steroid exposure may impair chondrocyte viability and accelerate degenerative remodeling. Therefore, their role should be restricted to acute synovitis or severe inflammatory exacerbations where rapid symptom control is essential.</w:t>
      </w:r>
    </w:p>
    <w:p w14:paraId="5E104819" w14:textId="77777777" w:rsidR="00477CC1" w:rsidRPr="00512AAD" w:rsidRDefault="00477CC1" w:rsidP="00081F9F">
      <w:pPr>
        <w:jc w:val="both"/>
        <w:rPr>
          <w:rFonts w:ascii="Arial" w:hAnsi="Arial" w:cs="Arial"/>
        </w:rPr>
      </w:pPr>
      <w:r w:rsidRPr="00512AAD">
        <w:rPr>
          <w:rFonts w:ascii="Arial" w:hAnsi="Arial" w:cs="Arial"/>
        </w:rPr>
        <w:t xml:space="preserve">The intra-articular use of botulinum toxin A remains controversial. While its </w:t>
      </w:r>
      <w:proofErr w:type="spellStart"/>
      <w:r w:rsidRPr="00512AAD">
        <w:rPr>
          <w:rFonts w:ascii="Arial" w:hAnsi="Arial" w:cs="Arial"/>
        </w:rPr>
        <w:t>neuromodulatory</w:t>
      </w:r>
      <w:proofErr w:type="spellEnd"/>
      <w:r w:rsidRPr="00512AAD">
        <w:rPr>
          <w:rFonts w:ascii="Arial" w:hAnsi="Arial" w:cs="Arial"/>
        </w:rPr>
        <w:t xml:space="preserve"> properties may benefit selected patients with chronic refractory pain, the lack of robust long-term data and concerns regarding altered joint biomechanics limit its routine use. Current literature supports </w:t>
      </w:r>
      <w:proofErr w:type="spellStart"/>
      <w:r w:rsidRPr="00512AAD">
        <w:rPr>
          <w:rFonts w:ascii="Arial" w:hAnsi="Arial" w:cs="Arial"/>
        </w:rPr>
        <w:t>BoNT</w:t>
      </w:r>
      <w:proofErr w:type="spellEnd"/>
      <w:r w:rsidRPr="00512AAD">
        <w:rPr>
          <w:rFonts w:ascii="Arial" w:hAnsi="Arial" w:cs="Arial"/>
        </w:rPr>
        <w:t>-A as an adjunct rather than a primary injectable agent.</w:t>
      </w:r>
    </w:p>
    <w:p w14:paraId="31AAD12F" w14:textId="77777777" w:rsidR="00477CC1" w:rsidRPr="00512AAD" w:rsidRDefault="00477CC1" w:rsidP="00081F9F">
      <w:pPr>
        <w:jc w:val="both"/>
        <w:rPr>
          <w:rFonts w:ascii="Arial" w:hAnsi="Arial" w:cs="Arial"/>
        </w:rPr>
      </w:pPr>
      <w:r w:rsidRPr="00512AAD">
        <w:rPr>
          <w:rFonts w:ascii="Arial" w:hAnsi="Arial" w:cs="Arial"/>
        </w:rPr>
        <w:t xml:space="preserve">Importantly, multiple studies highlight the synergistic benefit of arthrocentesis combined with IA injections. Lavage removes inflammatory mediators, breaks adhesions, and enhances the </w:t>
      </w:r>
      <w:r w:rsidRPr="00512AAD">
        <w:rPr>
          <w:rFonts w:ascii="Arial" w:hAnsi="Arial" w:cs="Arial"/>
        </w:rPr>
        <w:lastRenderedPageBreak/>
        <w:t>diffusion and efficacy of injectables such as HA and PRP. This combined approach appears particularly effective in closed-lock cases and chronic internal derangement.</w:t>
      </w:r>
    </w:p>
    <w:p w14:paraId="0127B359" w14:textId="77777777" w:rsidR="00477CC1" w:rsidRPr="00512AAD" w:rsidRDefault="00477CC1" w:rsidP="00081F9F">
      <w:pPr>
        <w:jc w:val="both"/>
        <w:rPr>
          <w:rFonts w:ascii="Arial" w:hAnsi="Arial" w:cs="Arial"/>
          <w:b/>
        </w:rPr>
      </w:pPr>
      <w:r w:rsidRPr="00512AAD">
        <w:rPr>
          <w:rFonts w:ascii="Arial" w:hAnsi="Arial" w:cs="Arial"/>
          <w:b/>
        </w:rPr>
        <w:t>FUTURE DIRECTIONS AND EMERGING THERAPIES</w:t>
      </w:r>
    </w:p>
    <w:p w14:paraId="6B180471" w14:textId="77777777" w:rsidR="00477CC1" w:rsidRPr="00512AAD" w:rsidRDefault="00477CC1" w:rsidP="00081F9F">
      <w:pPr>
        <w:jc w:val="both"/>
        <w:rPr>
          <w:rFonts w:ascii="Arial" w:hAnsi="Arial" w:cs="Arial"/>
        </w:rPr>
      </w:pPr>
      <w:r w:rsidRPr="00512AAD">
        <w:rPr>
          <w:rFonts w:ascii="Arial" w:hAnsi="Arial" w:cs="Arial"/>
        </w:rPr>
        <w:t>Future research in TMJ internal derangement is expected to focus on standardization of biologic injectables. Variability in PRP preparation methods—platelet concentration, leukocyte content, and activation techniques—continues to limit inter-study comparability. Establishing standardized protocols will enhance reproducibility and clinical translation.</w:t>
      </w:r>
    </w:p>
    <w:p w14:paraId="136F5C37" w14:textId="77777777" w:rsidR="00477CC1" w:rsidRPr="00512AAD" w:rsidRDefault="00477CC1" w:rsidP="00081F9F">
      <w:pPr>
        <w:jc w:val="both"/>
        <w:rPr>
          <w:rFonts w:ascii="Arial" w:hAnsi="Arial" w:cs="Arial"/>
        </w:rPr>
      </w:pPr>
      <w:r w:rsidRPr="00512AAD">
        <w:rPr>
          <w:rFonts w:ascii="Arial" w:hAnsi="Arial" w:cs="Arial"/>
        </w:rPr>
        <w:t>Emerging biologic agents such as injectable platelet-rich fibrin (</w:t>
      </w:r>
      <w:proofErr w:type="spellStart"/>
      <w:r w:rsidRPr="00512AAD">
        <w:rPr>
          <w:rFonts w:ascii="Arial" w:hAnsi="Arial" w:cs="Arial"/>
        </w:rPr>
        <w:t>i</w:t>
      </w:r>
      <w:proofErr w:type="spellEnd"/>
      <w:r w:rsidRPr="00512AAD">
        <w:rPr>
          <w:rFonts w:ascii="Arial" w:hAnsi="Arial" w:cs="Arial"/>
        </w:rPr>
        <w:t xml:space="preserve">-PRF), autologous conditioned serum, mesenchymal stem cell–derived products, and exosome-based therapies represent promising avenues. Early evidence suggests that </w:t>
      </w:r>
      <w:proofErr w:type="spellStart"/>
      <w:r w:rsidRPr="00512AAD">
        <w:rPr>
          <w:rFonts w:ascii="Arial" w:hAnsi="Arial" w:cs="Arial"/>
        </w:rPr>
        <w:t>i</w:t>
      </w:r>
      <w:proofErr w:type="spellEnd"/>
      <w:r w:rsidRPr="00512AAD">
        <w:rPr>
          <w:rFonts w:ascii="Arial" w:hAnsi="Arial" w:cs="Arial"/>
        </w:rPr>
        <w:t>-PRF may provide sustained growth factor release with improved regenerative potential compared to PRP, though high-quality randomized trials are still lacking.</w:t>
      </w:r>
    </w:p>
    <w:p w14:paraId="32315E0F" w14:textId="77777777" w:rsidR="0037543E" w:rsidRPr="00512AAD" w:rsidRDefault="0037543E" w:rsidP="00081F9F">
      <w:pPr>
        <w:jc w:val="both"/>
        <w:rPr>
          <w:rFonts w:ascii="Arial" w:hAnsi="Arial" w:cs="Arial"/>
        </w:rPr>
      </w:pPr>
      <w:r w:rsidRPr="00512AAD">
        <w:rPr>
          <w:rFonts w:ascii="Arial" w:hAnsi="Arial" w:cs="Arial"/>
        </w:rPr>
        <w:t>Injectable platelet-rich fibrin (</w:t>
      </w:r>
      <w:proofErr w:type="spellStart"/>
      <w:r w:rsidRPr="00512AAD">
        <w:rPr>
          <w:rFonts w:ascii="Arial" w:hAnsi="Arial" w:cs="Arial"/>
        </w:rPr>
        <w:t>i</w:t>
      </w:r>
      <w:proofErr w:type="spellEnd"/>
      <w:r w:rsidRPr="00512AAD">
        <w:rPr>
          <w:rFonts w:ascii="Arial" w:hAnsi="Arial" w:cs="Arial"/>
        </w:rPr>
        <w:t xml:space="preserve">-PRF) is a second-generation autologous platelet concentrate that has recently emerged as a promising biologic modality for the management of temporomandibular joint internal derangement. Unlike platelet-rich plasma, </w:t>
      </w:r>
      <w:proofErr w:type="spellStart"/>
      <w:r w:rsidRPr="00512AAD">
        <w:rPr>
          <w:rFonts w:ascii="Arial" w:hAnsi="Arial" w:cs="Arial"/>
        </w:rPr>
        <w:t>i</w:t>
      </w:r>
      <w:proofErr w:type="spellEnd"/>
      <w:r w:rsidRPr="00512AAD">
        <w:rPr>
          <w:rFonts w:ascii="Arial" w:hAnsi="Arial" w:cs="Arial"/>
        </w:rPr>
        <w:t>-PRF is prepared without the use of anticoagulants and is obtained through low-speed centrifugation protocols, resulting in a liquid formulation enriched with platelets, leukocytes, fibrinogen, and circulating stem cells. The absence of anticoagulants allows for physiological fibrin polymerization after injection, forming a three-dimensional fibrin scaffold within the joint space.</w:t>
      </w:r>
    </w:p>
    <w:p w14:paraId="2AF22225" w14:textId="77777777" w:rsidR="0037543E" w:rsidRPr="00512AAD" w:rsidRDefault="0037543E" w:rsidP="00081F9F">
      <w:pPr>
        <w:jc w:val="both"/>
        <w:rPr>
          <w:rFonts w:ascii="Arial" w:hAnsi="Arial" w:cs="Arial"/>
        </w:rPr>
      </w:pPr>
      <w:r w:rsidRPr="00512AAD">
        <w:rPr>
          <w:rFonts w:ascii="Arial" w:hAnsi="Arial" w:cs="Arial"/>
        </w:rPr>
        <w:t xml:space="preserve">The biologic advantage of </w:t>
      </w:r>
      <w:proofErr w:type="spellStart"/>
      <w:r w:rsidRPr="00512AAD">
        <w:rPr>
          <w:rFonts w:ascii="Arial" w:hAnsi="Arial" w:cs="Arial"/>
        </w:rPr>
        <w:t>i</w:t>
      </w:r>
      <w:proofErr w:type="spellEnd"/>
      <w:r w:rsidRPr="00512AAD">
        <w:rPr>
          <w:rFonts w:ascii="Arial" w:hAnsi="Arial" w:cs="Arial"/>
        </w:rPr>
        <w:t xml:space="preserve">-PRF lies in its sustained release of growth factors such as platelet-derived growth factor (PDGF), transforming growth factor-β (TGF-β), vascular endothelial growth factor (VEGF), and insulin-like growth factor (IGF). These mediators play a crucial role in angiogenesis, fibrocartilage regeneration, synovial membrane healing, and modulation of inflammatory cytokines. Compared to PRP, which releases growth factors rapidly, </w:t>
      </w:r>
      <w:proofErr w:type="spellStart"/>
      <w:r w:rsidRPr="00512AAD">
        <w:rPr>
          <w:rFonts w:ascii="Arial" w:hAnsi="Arial" w:cs="Arial"/>
        </w:rPr>
        <w:t>i</w:t>
      </w:r>
      <w:proofErr w:type="spellEnd"/>
      <w:r w:rsidRPr="00512AAD">
        <w:rPr>
          <w:rFonts w:ascii="Arial" w:hAnsi="Arial" w:cs="Arial"/>
        </w:rPr>
        <w:t>-PRF demonstrates a slower and more prolonged release profile, potentially resulting in extended clinical benefits and improved tissue remodeling.</w:t>
      </w:r>
    </w:p>
    <w:p w14:paraId="26149DDD" w14:textId="77777777" w:rsidR="0037543E" w:rsidRPr="00512AAD" w:rsidRDefault="0037543E" w:rsidP="00081F9F">
      <w:pPr>
        <w:jc w:val="both"/>
        <w:rPr>
          <w:rFonts w:ascii="Arial" w:hAnsi="Arial" w:cs="Arial"/>
        </w:rPr>
      </w:pPr>
      <w:r w:rsidRPr="00512AAD">
        <w:rPr>
          <w:rFonts w:ascii="Arial" w:hAnsi="Arial" w:cs="Arial"/>
        </w:rPr>
        <w:t xml:space="preserve">Preliminary clinical studies have reported significant reductions in pain intensity, improvement in maximal interincisal opening, and enhanced mandibular function following intra-articular </w:t>
      </w:r>
      <w:proofErr w:type="spellStart"/>
      <w:r w:rsidRPr="00512AAD">
        <w:rPr>
          <w:rFonts w:ascii="Arial" w:hAnsi="Arial" w:cs="Arial"/>
        </w:rPr>
        <w:t>i</w:t>
      </w:r>
      <w:proofErr w:type="spellEnd"/>
      <w:r w:rsidRPr="00512AAD">
        <w:rPr>
          <w:rFonts w:ascii="Arial" w:hAnsi="Arial" w:cs="Arial"/>
        </w:rPr>
        <w:t xml:space="preserve">-PRF injections in patients with TMJ internal derangement. The leukocyte-rich nature of </w:t>
      </w:r>
      <w:proofErr w:type="spellStart"/>
      <w:r w:rsidRPr="00512AAD">
        <w:rPr>
          <w:rFonts w:ascii="Arial" w:hAnsi="Arial" w:cs="Arial"/>
        </w:rPr>
        <w:t>i</w:t>
      </w:r>
      <w:proofErr w:type="spellEnd"/>
      <w:r w:rsidRPr="00512AAD">
        <w:rPr>
          <w:rFonts w:ascii="Arial" w:hAnsi="Arial" w:cs="Arial"/>
        </w:rPr>
        <w:t xml:space="preserve">-PRF may contribute to immunomodulatory effects, while the fibrin matrix supports cellular migration and extracellular matrix deposition. These properties make </w:t>
      </w:r>
      <w:proofErr w:type="spellStart"/>
      <w:r w:rsidRPr="00512AAD">
        <w:rPr>
          <w:rFonts w:ascii="Arial" w:hAnsi="Arial" w:cs="Arial"/>
        </w:rPr>
        <w:t>i</w:t>
      </w:r>
      <w:proofErr w:type="spellEnd"/>
      <w:r w:rsidRPr="00512AAD">
        <w:rPr>
          <w:rFonts w:ascii="Arial" w:hAnsi="Arial" w:cs="Arial"/>
        </w:rPr>
        <w:t>-PRF particularly suitable for early degenerative joint changes and chronic inflammatory TMJ conditions.</w:t>
      </w:r>
    </w:p>
    <w:p w14:paraId="7FF8F881" w14:textId="77777777" w:rsidR="0037543E" w:rsidRPr="00512AAD" w:rsidRDefault="0037543E" w:rsidP="00081F9F">
      <w:pPr>
        <w:jc w:val="both"/>
        <w:rPr>
          <w:rFonts w:ascii="Arial" w:hAnsi="Arial" w:cs="Arial"/>
        </w:rPr>
      </w:pPr>
      <w:r w:rsidRPr="00512AAD">
        <w:rPr>
          <w:rFonts w:ascii="Arial" w:hAnsi="Arial" w:cs="Arial"/>
        </w:rPr>
        <w:t xml:space="preserve">Despite its promising regenerative potential, the clinical application of </w:t>
      </w:r>
      <w:proofErr w:type="spellStart"/>
      <w:r w:rsidRPr="00512AAD">
        <w:rPr>
          <w:rFonts w:ascii="Arial" w:hAnsi="Arial" w:cs="Arial"/>
        </w:rPr>
        <w:t>i</w:t>
      </w:r>
      <w:proofErr w:type="spellEnd"/>
      <w:r w:rsidRPr="00512AAD">
        <w:rPr>
          <w:rFonts w:ascii="Arial" w:hAnsi="Arial" w:cs="Arial"/>
        </w:rPr>
        <w:t xml:space="preserve">-PRF in TMJ disorders remains in an early phase. Current evidence is limited to small cohort studies and short-term follow-ups, with significant heterogeneity in centrifugation protocols and injection volumes. Well-designed randomized controlled trials comparing </w:t>
      </w:r>
      <w:proofErr w:type="spellStart"/>
      <w:r w:rsidRPr="00512AAD">
        <w:rPr>
          <w:rFonts w:ascii="Arial" w:hAnsi="Arial" w:cs="Arial"/>
        </w:rPr>
        <w:t>i</w:t>
      </w:r>
      <w:proofErr w:type="spellEnd"/>
      <w:r w:rsidRPr="00512AAD">
        <w:rPr>
          <w:rFonts w:ascii="Arial" w:hAnsi="Arial" w:cs="Arial"/>
        </w:rPr>
        <w:t xml:space="preserve">-PRF with established injectables such as PRP and hyaluronic acid are required to define standardized protocols and long-term efficacy. Nevertheless, </w:t>
      </w:r>
      <w:proofErr w:type="spellStart"/>
      <w:r w:rsidRPr="00512AAD">
        <w:rPr>
          <w:rFonts w:ascii="Arial" w:hAnsi="Arial" w:cs="Arial"/>
        </w:rPr>
        <w:t>i</w:t>
      </w:r>
      <w:proofErr w:type="spellEnd"/>
      <w:r w:rsidRPr="00512AAD">
        <w:rPr>
          <w:rFonts w:ascii="Arial" w:hAnsi="Arial" w:cs="Arial"/>
        </w:rPr>
        <w:t xml:space="preserve">-PRF represents an emerging biologic therapy that may bridge the gap between </w:t>
      </w:r>
      <w:proofErr w:type="spellStart"/>
      <w:r w:rsidRPr="00512AAD">
        <w:rPr>
          <w:rFonts w:ascii="Arial" w:hAnsi="Arial" w:cs="Arial"/>
        </w:rPr>
        <w:t>viscosupplementation</w:t>
      </w:r>
      <w:proofErr w:type="spellEnd"/>
      <w:r w:rsidRPr="00512AAD">
        <w:rPr>
          <w:rFonts w:ascii="Arial" w:hAnsi="Arial" w:cs="Arial"/>
        </w:rPr>
        <w:t xml:space="preserve"> and advanced regenerative </w:t>
      </w:r>
      <w:proofErr w:type="gramStart"/>
      <w:r w:rsidRPr="00512AAD">
        <w:rPr>
          <w:rFonts w:ascii="Arial" w:hAnsi="Arial" w:cs="Arial"/>
        </w:rPr>
        <w:t>approaches.</w:t>
      </w:r>
      <w:r w:rsidR="00A836DE">
        <w:rPr>
          <w:rFonts w:ascii="Arial" w:hAnsi="Arial" w:cs="Arial"/>
        </w:rPr>
        <w:t>[</w:t>
      </w:r>
      <w:proofErr w:type="gramEnd"/>
      <w:r w:rsidR="00A836DE">
        <w:rPr>
          <w:rFonts w:ascii="Arial" w:hAnsi="Arial" w:cs="Arial"/>
        </w:rPr>
        <w:t>20]</w:t>
      </w:r>
    </w:p>
    <w:p w14:paraId="0D62692C" w14:textId="77777777" w:rsidR="0037543E" w:rsidRPr="00512AAD" w:rsidRDefault="0037543E" w:rsidP="00081F9F">
      <w:pPr>
        <w:jc w:val="both"/>
        <w:rPr>
          <w:rFonts w:ascii="Arial" w:hAnsi="Arial" w:cs="Arial"/>
        </w:rPr>
      </w:pPr>
      <w:r w:rsidRPr="00512AAD">
        <w:rPr>
          <w:rFonts w:ascii="Arial" w:hAnsi="Arial" w:cs="Arial"/>
        </w:rPr>
        <w:lastRenderedPageBreak/>
        <w:t>Recent advances in imaging technology have significantly enhanced the precision and safety of intra-articular injection techniques for temporomandibular joint disorders. Image-guided delivery using ultrasonography (USG) and cone-beam computed tomography (CBCT) allows accurate visualization of the TMJ anatomy, joint space, and surrounding neurovascular structures, thereby minimizing the risk of extra-articular placement and iatrogenic injury. Traditional landmark-based injection techniques are associated with considerable variability in accuracy, particularly in patients with altered joint anatomy, disc displacement, or degenerative changes. Image guidance addresses these limitations by enabling real-time or pre-procedural localization of the superior joint compartment.</w:t>
      </w:r>
    </w:p>
    <w:p w14:paraId="13697DA7" w14:textId="77777777" w:rsidR="0037543E" w:rsidRPr="00512AAD" w:rsidRDefault="0037543E" w:rsidP="00081F9F">
      <w:pPr>
        <w:jc w:val="both"/>
        <w:rPr>
          <w:rFonts w:ascii="Arial" w:hAnsi="Arial" w:cs="Arial"/>
        </w:rPr>
      </w:pPr>
      <w:r w:rsidRPr="00512AAD">
        <w:rPr>
          <w:rFonts w:ascii="Arial" w:hAnsi="Arial" w:cs="Arial"/>
        </w:rPr>
        <w:t>Ultrasound-guided intra-articular injections offer the advantage of real-time dynamic visualization without ionizing radiation. USG facilitates precise needle placement, assessment of joint effusion, and monitoring of injectate dispersion within the joint space. Several studies have demonstrated superior accuracy and improved clinical outcomes with ultrasound-guided injections compared to blind techniques, particularly in patients with limited mouth opening or advanced internal derangement. Additionally, ultrasound guidance enhances patient comfort, reduces procedural time, and allows immediate identification of complications such as vascular puncture.</w:t>
      </w:r>
    </w:p>
    <w:p w14:paraId="510619C7" w14:textId="77777777" w:rsidR="0037543E" w:rsidRPr="00512AAD" w:rsidRDefault="0037543E" w:rsidP="00081F9F">
      <w:pPr>
        <w:jc w:val="both"/>
        <w:rPr>
          <w:rFonts w:ascii="Arial" w:hAnsi="Arial" w:cs="Arial"/>
        </w:rPr>
      </w:pPr>
      <w:r w:rsidRPr="00512AAD">
        <w:rPr>
          <w:rFonts w:ascii="Arial" w:hAnsi="Arial" w:cs="Arial"/>
        </w:rPr>
        <w:t>Cone-beam computed tomography-guided injection techniques provide high-resolution three-dimensional visualization of bony landmarks and joint spaces, making them especially valuable in complex TMJ pathology, including severe degenerative joint disease, ankylosis, or postoperative joints. CBCT guidance ensures accurate needle trajectory planning and optimal injectate deposition, particularly when performing arthrocentesis-assisted injections or regenerative therapies. Although CBCT involves ionizing radiation, its use is justified in selected cases where anatomical distortion compromises the reliability of conventional approaches.</w:t>
      </w:r>
    </w:p>
    <w:p w14:paraId="7217C447" w14:textId="77777777" w:rsidR="0037543E" w:rsidRPr="00512AAD" w:rsidRDefault="0037543E" w:rsidP="00081F9F">
      <w:pPr>
        <w:jc w:val="both"/>
        <w:rPr>
          <w:rFonts w:ascii="Arial" w:hAnsi="Arial" w:cs="Arial"/>
        </w:rPr>
      </w:pPr>
      <w:r w:rsidRPr="00512AAD">
        <w:rPr>
          <w:rFonts w:ascii="Arial" w:hAnsi="Arial" w:cs="Arial"/>
        </w:rPr>
        <w:t xml:space="preserve">The integration of imaging-guided techniques is expected to play an increasingly important role in optimizing therapeutic outcomes of intra-articular injections. Precision-guided delivery enhances the efficacy of biologic agents such as PRP and </w:t>
      </w:r>
      <w:proofErr w:type="spellStart"/>
      <w:r w:rsidRPr="00512AAD">
        <w:rPr>
          <w:rFonts w:ascii="Arial" w:hAnsi="Arial" w:cs="Arial"/>
        </w:rPr>
        <w:t>i</w:t>
      </w:r>
      <w:proofErr w:type="spellEnd"/>
      <w:r w:rsidRPr="00512AAD">
        <w:rPr>
          <w:rFonts w:ascii="Arial" w:hAnsi="Arial" w:cs="Arial"/>
        </w:rPr>
        <w:t>-PRF by ensuring accurate intra-articular deposition and uniform distribution, thereby maximizing their regenerative potential. As technology continues to evolve, imaging-guided intra-articular injection may become the standard of care in managing complex and refractory TMJ disorders, aligning with the broader trend toward precision-based, minimally invasive interventions.</w:t>
      </w:r>
    </w:p>
    <w:p w14:paraId="14D1C198" w14:textId="77777777" w:rsidR="00477CC1" w:rsidRPr="00512AAD" w:rsidRDefault="00223FF1" w:rsidP="00081F9F">
      <w:pPr>
        <w:jc w:val="both"/>
        <w:rPr>
          <w:rFonts w:ascii="Arial" w:hAnsi="Arial" w:cs="Arial"/>
          <w:b/>
        </w:rPr>
      </w:pPr>
      <w:r w:rsidRPr="00512AAD">
        <w:rPr>
          <w:rFonts w:ascii="Arial" w:hAnsi="Arial" w:cs="Arial"/>
          <w:b/>
        </w:rPr>
        <w:t xml:space="preserve">CONCLUSION </w:t>
      </w:r>
    </w:p>
    <w:p w14:paraId="4DFCA9FA" w14:textId="77777777" w:rsidR="00477CC1" w:rsidRPr="00512AAD" w:rsidRDefault="00477CC1" w:rsidP="00081F9F">
      <w:pPr>
        <w:jc w:val="both"/>
        <w:rPr>
          <w:rFonts w:ascii="Arial" w:hAnsi="Arial" w:cs="Arial"/>
        </w:rPr>
      </w:pPr>
      <w:r w:rsidRPr="00512AAD">
        <w:rPr>
          <w:rFonts w:ascii="Arial" w:hAnsi="Arial" w:cs="Arial"/>
        </w:rPr>
        <w:t>Intra-articular injection therapies offer an effective, minimally invasive treatment modality for internal derangement of the temporomandibular joint, bridging the gap between conservative management and surgical intervention. Current evidence supports the preferential use of platelet-rich plasma and hyaluronic acid for sustained symptom relief and functional improvement, while corticosteroids should be reserved for acute inflammatory episodes. Botulinum toxin A remains an adjunctive option in carefully selected refractory cases.</w:t>
      </w:r>
    </w:p>
    <w:p w14:paraId="7111B9C7" w14:textId="77777777" w:rsidR="00477CC1" w:rsidRPr="00512AAD" w:rsidRDefault="00477CC1" w:rsidP="00081F9F">
      <w:pPr>
        <w:jc w:val="both"/>
        <w:rPr>
          <w:rFonts w:ascii="Arial" w:hAnsi="Arial" w:cs="Arial"/>
        </w:rPr>
      </w:pPr>
      <w:r w:rsidRPr="00512AAD">
        <w:rPr>
          <w:rFonts w:ascii="Arial" w:hAnsi="Arial" w:cs="Arial"/>
        </w:rPr>
        <w:t xml:space="preserve">The integration of arthrocentesis with IA injections significantly enhances therapeutic outcomes. As regenerative medicine continues to evolve, biologically driven therapies are likely to redefine </w:t>
      </w:r>
      <w:r w:rsidRPr="00512AAD">
        <w:rPr>
          <w:rFonts w:ascii="Arial" w:hAnsi="Arial" w:cs="Arial"/>
        </w:rPr>
        <w:lastRenderedPageBreak/>
        <w:t>the management of TMJ internal derangement. Well-designed long-term randomized controlled trials are essential to establish standardized protocols and optimize patient-specific treatment strategies.</w:t>
      </w:r>
    </w:p>
    <w:p w14:paraId="5010FEF4" w14:textId="77777777" w:rsidR="00512AAD" w:rsidRPr="00512AAD" w:rsidRDefault="00512AAD" w:rsidP="00081F9F">
      <w:pPr>
        <w:pStyle w:val="Heading2"/>
        <w:jc w:val="both"/>
        <w:rPr>
          <w:rFonts w:ascii="Arial" w:hAnsi="Arial" w:cs="Arial"/>
          <w:sz w:val="22"/>
          <w:szCs w:val="22"/>
        </w:rPr>
      </w:pPr>
      <w:r w:rsidRPr="00512AAD">
        <w:rPr>
          <w:rFonts w:ascii="Arial" w:hAnsi="Arial" w:cs="Arial"/>
          <w:sz w:val="22"/>
          <w:szCs w:val="22"/>
        </w:rPr>
        <w:t>REFERENCES</w:t>
      </w:r>
    </w:p>
    <w:p w14:paraId="3711B3A1"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Dimitroulis</w:t>
      </w:r>
      <w:proofErr w:type="spellEnd"/>
      <w:r w:rsidRPr="00512AAD">
        <w:rPr>
          <w:rFonts w:ascii="Arial" w:hAnsi="Arial" w:cs="Arial"/>
          <w:sz w:val="22"/>
          <w:szCs w:val="22"/>
        </w:rPr>
        <w:t xml:space="preserve"> G. The role of intra-articular therapies in the management of temporomandibular joint disorders. </w:t>
      </w:r>
      <w:r w:rsidRPr="00512AAD">
        <w:rPr>
          <w:rStyle w:val="Emphasis"/>
          <w:rFonts w:ascii="Arial" w:hAnsi="Arial" w:cs="Arial"/>
          <w:sz w:val="22"/>
          <w:szCs w:val="22"/>
        </w:rPr>
        <w:t xml:space="preserve">Int J Oral </w:t>
      </w:r>
      <w:proofErr w:type="spellStart"/>
      <w:r w:rsidRPr="00512AAD">
        <w:rPr>
          <w:rStyle w:val="Emphasis"/>
          <w:rFonts w:ascii="Arial" w:hAnsi="Arial" w:cs="Arial"/>
          <w:sz w:val="22"/>
          <w:szCs w:val="22"/>
        </w:rPr>
        <w:t>Maxillofac</w:t>
      </w:r>
      <w:proofErr w:type="spellEnd"/>
      <w:r w:rsidRPr="00512AAD">
        <w:rPr>
          <w:rStyle w:val="Emphasis"/>
          <w:rFonts w:ascii="Arial" w:hAnsi="Arial" w:cs="Arial"/>
          <w:sz w:val="22"/>
          <w:szCs w:val="22"/>
        </w:rPr>
        <w:t xml:space="preserve"> Surg</w:t>
      </w:r>
      <w:r w:rsidRPr="00512AAD">
        <w:rPr>
          <w:rFonts w:ascii="Arial" w:hAnsi="Arial" w:cs="Arial"/>
          <w:sz w:val="22"/>
          <w:szCs w:val="22"/>
        </w:rPr>
        <w:t>. 2018;47(6):659–667.</w:t>
      </w:r>
    </w:p>
    <w:p w14:paraId="3D24EAED" w14:textId="46FFAB20" w:rsidR="00512AAD" w:rsidRPr="00512AAD" w:rsidRDefault="003F256D" w:rsidP="00081F9F">
      <w:pPr>
        <w:pStyle w:val="NormalWeb"/>
        <w:numPr>
          <w:ilvl w:val="0"/>
          <w:numId w:val="23"/>
        </w:numPr>
        <w:spacing w:line="360" w:lineRule="auto"/>
        <w:jc w:val="both"/>
        <w:rPr>
          <w:rFonts w:ascii="Arial" w:hAnsi="Arial" w:cs="Arial"/>
          <w:sz w:val="22"/>
          <w:szCs w:val="22"/>
        </w:rPr>
      </w:pPr>
      <w:r w:rsidRPr="003F256D">
        <w:rPr>
          <w:rFonts w:ascii="Arial" w:hAnsi="Arial" w:cs="Arial"/>
          <w:sz w:val="22"/>
          <w:szCs w:val="22"/>
        </w:rPr>
        <w:t xml:space="preserve">Okeson, J. P. (2020). Management of temporomandibular disorders and occlusion (8th ed.). Mosby. </w:t>
      </w:r>
      <w:hyperlink r:id="rId7" w:history="1">
        <w:r w:rsidRPr="00D87EC9">
          <w:rPr>
            <w:rStyle w:val="Hyperlink"/>
            <w:rFonts w:ascii="Arial" w:hAnsi="Arial" w:cs="Arial"/>
            <w:sz w:val="22"/>
            <w:szCs w:val="22"/>
          </w:rPr>
          <w:t>https://www.elsevier.com/books/management-of-temporomandibular-disorders-and-occlusion/okeson/978-0-323-58210-0</w:t>
        </w:r>
      </w:hyperlink>
      <w:r>
        <w:rPr>
          <w:rFonts w:ascii="Arial" w:hAnsi="Arial" w:cs="Arial"/>
          <w:sz w:val="22"/>
          <w:szCs w:val="22"/>
        </w:rPr>
        <w:t xml:space="preserve"> </w:t>
      </w:r>
    </w:p>
    <w:p w14:paraId="4C554BDB"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Alstergren</w:t>
      </w:r>
      <w:proofErr w:type="spellEnd"/>
      <w:r w:rsidRPr="00512AAD">
        <w:rPr>
          <w:rFonts w:ascii="Arial" w:hAnsi="Arial" w:cs="Arial"/>
          <w:sz w:val="22"/>
          <w:szCs w:val="22"/>
        </w:rPr>
        <w:t xml:space="preserve"> P, Kopp S. Pain and synovial fluid mediator levels in temporomandibular joint arthritis. </w:t>
      </w:r>
      <w:r w:rsidRPr="00512AAD">
        <w:rPr>
          <w:rStyle w:val="Emphasis"/>
          <w:rFonts w:ascii="Arial" w:hAnsi="Arial" w:cs="Arial"/>
          <w:sz w:val="22"/>
          <w:szCs w:val="22"/>
        </w:rPr>
        <w:t xml:space="preserve">J Oral </w:t>
      </w:r>
      <w:proofErr w:type="spellStart"/>
      <w:r w:rsidRPr="00512AAD">
        <w:rPr>
          <w:rStyle w:val="Emphasis"/>
          <w:rFonts w:ascii="Arial" w:hAnsi="Arial" w:cs="Arial"/>
          <w:sz w:val="22"/>
          <w:szCs w:val="22"/>
        </w:rPr>
        <w:t>Rehabil</w:t>
      </w:r>
      <w:proofErr w:type="spellEnd"/>
      <w:r w:rsidRPr="00512AAD">
        <w:rPr>
          <w:rFonts w:ascii="Arial" w:hAnsi="Arial" w:cs="Arial"/>
          <w:sz w:val="22"/>
          <w:szCs w:val="22"/>
        </w:rPr>
        <w:t>. 2003;30(9):918–926.</w:t>
      </w:r>
    </w:p>
    <w:p w14:paraId="7F4BEE84"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t xml:space="preserve">Schiffman E, Look J, Hodges J, Swift J, Decker K, Hathaway K, et al. Randomized effectiveness study of intra-articular corticosteroid injection for temporomandibular joint disorders. </w:t>
      </w:r>
      <w:r w:rsidRPr="00512AAD">
        <w:rPr>
          <w:rStyle w:val="Emphasis"/>
          <w:rFonts w:ascii="Arial" w:hAnsi="Arial" w:cs="Arial"/>
          <w:sz w:val="22"/>
          <w:szCs w:val="22"/>
        </w:rPr>
        <w:t xml:space="preserve">J Oral </w:t>
      </w:r>
      <w:proofErr w:type="spellStart"/>
      <w:r w:rsidRPr="00512AAD">
        <w:rPr>
          <w:rStyle w:val="Emphasis"/>
          <w:rFonts w:ascii="Arial" w:hAnsi="Arial" w:cs="Arial"/>
          <w:sz w:val="22"/>
          <w:szCs w:val="22"/>
        </w:rPr>
        <w:t>Maxillofac</w:t>
      </w:r>
      <w:proofErr w:type="spellEnd"/>
      <w:r w:rsidRPr="00512AAD">
        <w:rPr>
          <w:rStyle w:val="Emphasis"/>
          <w:rFonts w:ascii="Arial" w:hAnsi="Arial" w:cs="Arial"/>
          <w:sz w:val="22"/>
          <w:szCs w:val="22"/>
        </w:rPr>
        <w:t xml:space="preserve"> Surg</w:t>
      </w:r>
      <w:r w:rsidRPr="00512AAD">
        <w:rPr>
          <w:rFonts w:ascii="Arial" w:hAnsi="Arial" w:cs="Arial"/>
          <w:sz w:val="22"/>
          <w:szCs w:val="22"/>
        </w:rPr>
        <w:t>. 2014;72(8):1479–1490.</w:t>
      </w:r>
    </w:p>
    <w:p w14:paraId="1F0A359E"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t xml:space="preserve">Stiles MA, </w:t>
      </w:r>
      <w:proofErr w:type="spellStart"/>
      <w:r w:rsidRPr="00512AAD">
        <w:rPr>
          <w:rFonts w:ascii="Arial" w:hAnsi="Arial" w:cs="Arial"/>
          <w:sz w:val="22"/>
          <w:szCs w:val="22"/>
        </w:rPr>
        <w:t>Holmlund</w:t>
      </w:r>
      <w:proofErr w:type="spellEnd"/>
      <w:r w:rsidRPr="00512AAD">
        <w:rPr>
          <w:rFonts w:ascii="Arial" w:hAnsi="Arial" w:cs="Arial"/>
          <w:sz w:val="22"/>
          <w:szCs w:val="22"/>
        </w:rPr>
        <w:t xml:space="preserve"> AB. Steroid effects on the temporomandibular joint. </w:t>
      </w:r>
      <w:r w:rsidRPr="00512AAD">
        <w:rPr>
          <w:rStyle w:val="Emphasis"/>
          <w:rFonts w:ascii="Arial" w:hAnsi="Arial" w:cs="Arial"/>
          <w:sz w:val="22"/>
          <w:szCs w:val="22"/>
        </w:rPr>
        <w:t xml:space="preserve">Oral Surg Oral Med Oral </w:t>
      </w:r>
      <w:proofErr w:type="spellStart"/>
      <w:r w:rsidRPr="00512AAD">
        <w:rPr>
          <w:rStyle w:val="Emphasis"/>
          <w:rFonts w:ascii="Arial" w:hAnsi="Arial" w:cs="Arial"/>
          <w:sz w:val="22"/>
          <w:szCs w:val="22"/>
        </w:rPr>
        <w:t>Pathol</w:t>
      </w:r>
      <w:proofErr w:type="spellEnd"/>
      <w:r w:rsidRPr="00512AAD">
        <w:rPr>
          <w:rFonts w:ascii="Arial" w:hAnsi="Arial" w:cs="Arial"/>
          <w:sz w:val="22"/>
          <w:szCs w:val="22"/>
        </w:rPr>
        <w:t>. 1994;78(1):6–12.</w:t>
      </w:r>
    </w:p>
    <w:p w14:paraId="65B7A505" w14:textId="48E3B938" w:rsidR="00512AAD" w:rsidRPr="00512AAD" w:rsidRDefault="00F12166" w:rsidP="00081F9F">
      <w:pPr>
        <w:pStyle w:val="NormalWeb"/>
        <w:numPr>
          <w:ilvl w:val="0"/>
          <w:numId w:val="23"/>
        </w:numPr>
        <w:spacing w:line="360" w:lineRule="auto"/>
        <w:jc w:val="both"/>
        <w:rPr>
          <w:rFonts w:ascii="Arial" w:hAnsi="Arial" w:cs="Arial"/>
          <w:sz w:val="22"/>
          <w:szCs w:val="22"/>
        </w:rPr>
      </w:pPr>
      <w:r w:rsidRPr="00F12166">
        <w:rPr>
          <w:rFonts w:ascii="Arial" w:hAnsi="Arial" w:cs="Arial"/>
          <w:sz w:val="22"/>
          <w:szCs w:val="22"/>
        </w:rPr>
        <w:t xml:space="preserve">Tanaka, E., </w:t>
      </w:r>
      <w:proofErr w:type="spellStart"/>
      <w:r w:rsidRPr="00F12166">
        <w:rPr>
          <w:rFonts w:ascii="Arial" w:hAnsi="Arial" w:cs="Arial"/>
          <w:sz w:val="22"/>
          <w:szCs w:val="22"/>
        </w:rPr>
        <w:t>Detamore</w:t>
      </w:r>
      <w:proofErr w:type="spellEnd"/>
      <w:r w:rsidRPr="00F12166">
        <w:rPr>
          <w:rFonts w:ascii="Arial" w:hAnsi="Arial" w:cs="Arial"/>
          <w:sz w:val="22"/>
          <w:szCs w:val="22"/>
        </w:rPr>
        <w:t xml:space="preserve">, M. S., &amp; </w:t>
      </w:r>
      <w:proofErr w:type="spellStart"/>
      <w:r w:rsidRPr="00F12166">
        <w:rPr>
          <w:rFonts w:ascii="Arial" w:hAnsi="Arial" w:cs="Arial"/>
          <w:sz w:val="22"/>
          <w:szCs w:val="22"/>
        </w:rPr>
        <w:t>Mercuri</w:t>
      </w:r>
      <w:proofErr w:type="spellEnd"/>
      <w:r w:rsidRPr="00F12166">
        <w:rPr>
          <w:rFonts w:ascii="Arial" w:hAnsi="Arial" w:cs="Arial"/>
          <w:sz w:val="22"/>
          <w:szCs w:val="22"/>
        </w:rPr>
        <w:t xml:space="preserve">, L. G. (2008). Degenerative disorders of the temporomandibular joint: Etiology, diagnosis, and treatment. Journal of Dental Research. </w:t>
      </w:r>
      <w:hyperlink r:id="rId8" w:history="1">
        <w:r w:rsidRPr="00D87EC9">
          <w:rPr>
            <w:rStyle w:val="Hyperlink"/>
            <w:rFonts w:ascii="Arial" w:hAnsi="Arial" w:cs="Arial"/>
            <w:sz w:val="22"/>
            <w:szCs w:val="22"/>
          </w:rPr>
          <w:t>https://doi.org/10.1177/154405910808700406</w:t>
        </w:r>
      </w:hyperlink>
      <w:r>
        <w:rPr>
          <w:rFonts w:ascii="Arial" w:hAnsi="Arial" w:cs="Arial"/>
          <w:sz w:val="22"/>
          <w:szCs w:val="22"/>
        </w:rPr>
        <w:t xml:space="preserve"> </w:t>
      </w:r>
    </w:p>
    <w:p w14:paraId="51429A9D"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Guarda-Nardini</w:t>
      </w:r>
      <w:proofErr w:type="spellEnd"/>
      <w:r w:rsidRPr="00512AAD">
        <w:rPr>
          <w:rFonts w:ascii="Arial" w:hAnsi="Arial" w:cs="Arial"/>
          <w:sz w:val="22"/>
          <w:szCs w:val="22"/>
        </w:rPr>
        <w:t xml:space="preserve"> L, </w:t>
      </w:r>
      <w:proofErr w:type="spellStart"/>
      <w:r w:rsidRPr="00512AAD">
        <w:rPr>
          <w:rFonts w:ascii="Arial" w:hAnsi="Arial" w:cs="Arial"/>
          <w:sz w:val="22"/>
          <w:szCs w:val="22"/>
        </w:rPr>
        <w:t>Ferronato</w:t>
      </w:r>
      <w:proofErr w:type="spellEnd"/>
      <w:r w:rsidRPr="00512AAD">
        <w:rPr>
          <w:rFonts w:ascii="Arial" w:hAnsi="Arial" w:cs="Arial"/>
          <w:sz w:val="22"/>
          <w:szCs w:val="22"/>
        </w:rPr>
        <w:t xml:space="preserve"> G, </w:t>
      </w:r>
      <w:proofErr w:type="spellStart"/>
      <w:r w:rsidRPr="00512AAD">
        <w:rPr>
          <w:rFonts w:ascii="Arial" w:hAnsi="Arial" w:cs="Arial"/>
          <w:sz w:val="22"/>
          <w:szCs w:val="22"/>
        </w:rPr>
        <w:t>Favero</w:t>
      </w:r>
      <w:proofErr w:type="spellEnd"/>
      <w:r w:rsidRPr="00512AAD">
        <w:rPr>
          <w:rFonts w:ascii="Arial" w:hAnsi="Arial" w:cs="Arial"/>
          <w:sz w:val="22"/>
          <w:szCs w:val="22"/>
        </w:rPr>
        <w:t xml:space="preserve"> L, </w:t>
      </w:r>
      <w:proofErr w:type="spellStart"/>
      <w:r w:rsidRPr="00512AAD">
        <w:rPr>
          <w:rFonts w:ascii="Arial" w:hAnsi="Arial" w:cs="Arial"/>
          <w:sz w:val="22"/>
          <w:szCs w:val="22"/>
        </w:rPr>
        <w:t>Manfredini</w:t>
      </w:r>
      <w:proofErr w:type="spellEnd"/>
      <w:r w:rsidRPr="00512AAD">
        <w:rPr>
          <w:rFonts w:ascii="Arial" w:hAnsi="Arial" w:cs="Arial"/>
          <w:sz w:val="22"/>
          <w:szCs w:val="22"/>
        </w:rPr>
        <w:t xml:space="preserve"> D. Hyaluronic acid injections in temporomandibular joint disorders: a systematic review. </w:t>
      </w:r>
      <w:r w:rsidRPr="00512AAD">
        <w:rPr>
          <w:rStyle w:val="Emphasis"/>
          <w:rFonts w:ascii="Arial" w:hAnsi="Arial" w:cs="Arial"/>
          <w:sz w:val="22"/>
          <w:szCs w:val="22"/>
        </w:rPr>
        <w:t xml:space="preserve">Oral Surg Oral Med Oral </w:t>
      </w:r>
      <w:proofErr w:type="spellStart"/>
      <w:r w:rsidRPr="00512AAD">
        <w:rPr>
          <w:rStyle w:val="Emphasis"/>
          <w:rFonts w:ascii="Arial" w:hAnsi="Arial" w:cs="Arial"/>
          <w:sz w:val="22"/>
          <w:szCs w:val="22"/>
        </w:rPr>
        <w:t>Pathol</w:t>
      </w:r>
      <w:proofErr w:type="spellEnd"/>
      <w:r w:rsidRPr="00512AAD">
        <w:rPr>
          <w:rStyle w:val="Emphasis"/>
          <w:rFonts w:ascii="Arial" w:hAnsi="Arial" w:cs="Arial"/>
          <w:sz w:val="22"/>
          <w:szCs w:val="22"/>
        </w:rPr>
        <w:t xml:space="preserve"> Oral </w:t>
      </w:r>
      <w:proofErr w:type="spellStart"/>
      <w:r w:rsidRPr="00512AAD">
        <w:rPr>
          <w:rStyle w:val="Emphasis"/>
          <w:rFonts w:ascii="Arial" w:hAnsi="Arial" w:cs="Arial"/>
          <w:sz w:val="22"/>
          <w:szCs w:val="22"/>
        </w:rPr>
        <w:t>Radiol</w:t>
      </w:r>
      <w:proofErr w:type="spellEnd"/>
      <w:r w:rsidRPr="00512AAD">
        <w:rPr>
          <w:rStyle w:val="Emphasis"/>
          <w:rFonts w:ascii="Arial" w:hAnsi="Arial" w:cs="Arial"/>
          <w:sz w:val="22"/>
          <w:szCs w:val="22"/>
        </w:rPr>
        <w:t xml:space="preserve"> </w:t>
      </w:r>
      <w:proofErr w:type="spellStart"/>
      <w:r w:rsidRPr="00512AAD">
        <w:rPr>
          <w:rStyle w:val="Emphasis"/>
          <w:rFonts w:ascii="Arial" w:hAnsi="Arial" w:cs="Arial"/>
          <w:sz w:val="22"/>
          <w:szCs w:val="22"/>
        </w:rPr>
        <w:t>Endod</w:t>
      </w:r>
      <w:proofErr w:type="spellEnd"/>
      <w:r w:rsidRPr="00512AAD">
        <w:rPr>
          <w:rFonts w:ascii="Arial" w:hAnsi="Arial" w:cs="Arial"/>
          <w:sz w:val="22"/>
          <w:szCs w:val="22"/>
        </w:rPr>
        <w:t>. 2012;114(2</w:t>
      </w:r>
      <w:proofErr w:type="gramStart"/>
      <w:r w:rsidRPr="00512AAD">
        <w:rPr>
          <w:rFonts w:ascii="Arial" w:hAnsi="Arial" w:cs="Arial"/>
          <w:sz w:val="22"/>
          <w:szCs w:val="22"/>
        </w:rPr>
        <w:t>):e</w:t>
      </w:r>
      <w:proofErr w:type="gramEnd"/>
      <w:r w:rsidRPr="00512AAD">
        <w:rPr>
          <w:rFonts w:ascii="Arial" w:hAnsi="Arial" w:cs="Arial"/>
          <w:sz w:val="22"/>
          <w:szCs w:val="22"/>
        </w:rPr>
        <w:t>118–e125.</w:t>
      </w:r>
    </w:p>
    <w:p w14:paraId="03326529" w14:textId="25511025" w:rsidR="00512AAD" w:rsidRPr="00512AAD" w:rsidRDefault="00544848" w:rsidP="00081F9F">
      <w:pPr>
        <w:pStyle w:val="NormalWeb"/>
        <w:numPr>
          <w:ilvl w:val="0"/>
          <w:numId w:val="23"/>
        </w:numPr>
        <w:spacing w:line="360" w:lineRule="auto"/>
        <w:jc w:val="both"/>
        <w:rPr>
          <w:rFonts w:ascii="Arial" w:hAnsi="Arial" w:cs="Arial"/>
          <w:sz w:val="22"/>
          <w:szCs w:val="22"/>
        </w:rPr>
      </w:pPr>
      <w:proofErr w:type="spellStart"/>
      <w:r w:rsidRPr="00544848">
        <w:rPr>
          <w:rFonts w:ascii="Arial" w:hAnsi="Arial" w:cs="Arial"/>
          <w:sz w:val="22"/>
          <w:szCs w:val="22"/>
        </w:rPr>
        <w:t>Manfredini</w:t>
      </w:r>
      <w:proofErr w:type="spellEnd"/>
      <w:r w:rsidRPr="00544848">
        <w:rPr>
          <w:rFonts w:ascii="Arial" w:hAnsi="Arial" w:cs="Arial"/>
          <w:sz w:val="22"/>
          <w:szCs w:val="22"/>
        </w:rPr>
        <w:t xml:space="preserve">, D., </w:t>
      </w:r>
      <w:proofErr w:type="spellStart"/>
      <w:r w:rsidRPr="00544848">
        <w:rPr>
          <w:rFonts w:ascii="Arial" w:hAnsi="Arial" w:cs="Arial"/>
          <w:sz w:val="22"/>
          <w:szCs w:val="22"/>
        </w:rPr>
        <w:t>Piccotti</w:t>
      </w:r>
      <w:proofErr w:type="spellEnd"/>
      <w:r w:rsidRPr="00544848">
        <w:rPr>
          <w:rFonts w:ascii="Arial" w:hAnsi="Arial" w:cs="Arial"/>
          <w:sz w:val="22"/>
          <w:szCs w:val="22"/>
        </w:rPr>
        <w:t xml:space="preserve">, F., &amp; </w:t>
      </w:r>
      <w:proofErr w:type="spellStart"/>
      <w:r w:rsidRPr="00544848">
        <w:rPr>
          <w:rFonts w:ascii="Arial" w:hAnsi="Arial" w:cs="Arial"/>
          <w:sz w:val="22"/>
          <w:szCs w:val="22"/>
        </w:rPr>
        <w:t>Guarda-Nardini</w:t>
      </w:r>
      <w:proofErr w:type="spellEnd"/>
      <w:r w:rsidRPr="00544848">
        <w:rPr>
          <w:rFonts w:ascii="Arial" w:hAnsi="Arial" w:cs="Arial"/>
          <w:sz w:val="22"/>
          <w:szCs w:val="22"/>
        </w:rPr>
        <w:t xml:space="preserve">, L. (2010). Hyaluronic acid in the treatment of TMJ disorders: a systematic review of the literature. </w:t>
      </w:r>
      <w:proofErr w:type="spellStart"/>
      <w:r w:rsidRPr="00544848">
        <w:rPr>
          <w:rFonts w:ascii="Arial" w:hAnsi="Arial" w:cs="Arial"/>
          <w:sz w:val="22"/>
          <w:szCs w:val="22"/>
        </w:rPr>
        <w:t>Cranio</w:t>
      </w:r>
      <w:proofErr w:type="spellEnd"/>
      <w:r w:rsidRPr="00544848">
        <w:rPr>
          <w:rFonts w:ascii="Arial" w:hAnsi="Arial" w:cs="Arial"/>
          <w:sz w:val="22"/>
          <w:szCs w:val="22"/>
        </w:rPr>
        <w:t xml:space="preserve">, 28(3), 166–176. </w:t>
      </w:r>
      <w:hyperlink r:id="rId9" w:history="1">
        <w:r w:rsidRPr="00D87EC9">
          <w:rPr>
            <w:rStyle w:val="Hyperlink"/>
            <w:rFonts w:ascii="Arial" w:hAnsi="Arial" w:cs="Arial"/>
            <w:sz w:val="22"/>
            <w:szCs w:val="22"/>
          </w:rPr>
          <w:t>https://doi.org/10.1179/crn.2010.023</w:t>
        </w:r>
      </w:hyperlink>
      <w:r>
        <w:rPr>
          <w:rFonts w:ascii="Arial" w:hAnsi="Arial" w:cs="Arial"/>
          <w:sz w:val="22"/>
          <w:szCs w:val="22"/>
        </w:rPr>
        <w:t xml:space="preserve"> </w:t>
      </w:r>
    </w:p>
    <w:p w14:paraId="3F5F8D7E" w14:textId="05AE690C" w:rsidR="00512AAD" w:rsidRPr="00512AAD" w:rsidRDefault="0012086B" w:rsidP="00081F9F">
      <w:pPr>
        <w:pStyle w:val="NormalWeb"/>
        <w:numPr>
          <w:ilvl w:val="0"/>
          <w:numId w:val="23"/>
        </w:numPr>
        <w:spacing w:line="360" w:lineRule="auto"/>
        <w:jc w:val="both"/>
        <w:rPr>
          <w:rFonts w:ascii="Arial" w:hAnsi="Arial" w:cs="Arial"/>
          <w:sz w:val="22"/>
          <w:szCs w:val="22"/>
        </w:rPr>
      </w:pPr>
      <w:proofErr w:type="spellStart"/>
      <w:r w:rsidRPr="0012086B">
        <w:rPr>
          <w:rFonts w:ascii="Arial" w:hAnsi="Arial" w:cs="Arial"/>
          <w:sz w:val="22"/>
          <w:szCs w:val="22"/>
        </w:rPr>
        <w:t>Hegab</w:t>
      </w:r>
      <w:proofErr w:type="spellEnd"/>
      <w:r w:rsidRPr="0012086B">
        <w:rPr>
          <w:rFonts w:ascii="Arial" w:hAnsi="Arial" w:cs="Arial"/>
          <w:sz w:val="22"/>
          <w:szCs w:val="22"/>
        </w:rPr>
        <w:t xml:space="preserve">, A. F., Ali, H. E., </w:t>
      </w:r>
      <w:proofErr w:type="spellStart"/>
      <w:r w:rsidRPr="0012086B">
        <w:rPr>
          <w:rFonts w:ascii="Arial" w:hAnsi="Arial" w:cs="Arial"/>
          <w:sz w:val="22"/>
          <w:szCs w:val="22"/>
        </w:rPr>
        <w:t>Elmasry</w:t>
      </w:r>
      <w:proofErr w:type="spellEnd"/>
      <w:r w:rsidRPr="0012086B">
        <w:rPr>
          <w:rFonts w:ascii="Arial" w:hAnsi="Arial" w:cs="Arial"/>
          <w:sz w:val="22"/>
          <w:szCs w:val="22"/>
        </w:rPr>
        <w:t xml:space="preserve">, M., &amp; </w:t>
      </w:r>
      <w:proofErr w:type="spellStart"/>
      <w:r w:rsidRPr="0012086B">
        <w:rPr>
          <w:rFonts w:ascii="Arial" w:hAnsi="Arial" w:cs="Arial"/>
          <w:sz w:val="22"/>
          <w:szCs w:val="22"/>
        </w:rPr>
        <w:t>Khallaf</w:t>
      </w:r>
      <w:proofErr w:type="spellEnd"/>
      <w:r w:rsidRPr="0012086B">
        <w:rPr>
          <w:rFonts w:ascii="Arial" w:hAnsi="Arial" w:cs="Arial"/>
          <w:sz w:val="22"/>
          <w:szCs w:val="22"/>
        </w:rPr>
        <w:t xml:space="preserve">, M. G. (2015). Platelet-Rich Plasma Injection as an Effective Treatment for Temporomandibular Joint Osteoarthritis. J Oral </w:t>
      </w:r>
      <w:proofErr w:type="spellStart"/>
      <w:r w:rsidRPr="0012086B">
        <w:rPr>
          <w:rFonts w:ascii="Arial" w:hAnsi="Arial" w:cs="Arial"/>
          <w:sz w:val="22"/>
          <w:szCs w:val="22"/>
        </w:rPr>
        <w:t>Maxillofac</w:t>
      </w:r>
      <w:proofErr w:type="spellEnd"/>
      <w:r w:rsidRPr="0012086B">
        <w:rPr>
          <w:rFonts w:ascii="Arial" w:hAnsi="Arial" w:cs="Arial"/>
          <w:sz w:val="22"/>
          <w:szCs w:val="22"/>
        </w:rPr>
        <w:t xml:space="preserve"> Surg, 73(9), 1706–1713. </w:t>
      </w:r>
      <w:hyperlink r:id="rId10" w:history="1">
        <w:r w:rsidRPr="00D87EC9">
          <w:rPr>
            <w:rStyle w:val="Hyperlink"/>
            <w:rFonts w:ascii="Arial" w:hAnsi="Arial" w:cs="Arial"/>
            <w:sz w:val="22"/>
            <w:szCs w:val="22"/>
          </w:rPr>
          <w:t>https://doi.org/10.1016/j.joms.2015.03.045</w:t>
        </w:r>
      </w:hyperlink>
      <w:r>
        <w:rPr>
          <w:rFonts w:ascii="Arial" w:hAnsi="Arial" w:cs="Arial"/>
          <w:sz w:val="22"/>
          <w:szCs w:val="22"/>
        </w:rPr>
        <w:t xml:space="preserve"> </w:t>
      </w:r>
    </w:p>
    <w:p w14:paraId="4FC3EC13"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t>Al-</w:t>
      </w:r>
      <w:proofErr w:type="spellStart"/>
      <w:r w:rsidRPr="00512AAD">
        <w:rPr>
          <w:rFonts w:ascii="Arial" w:hAnsi="Arial" w:cs="Arial"/>
          <w:sz w:val="22"/>
          <w:szCs w:val="22"/>
        </w:rPr>
        <w:t>Belasy</w:t>
      </w:r>
      <w:proofErr w:type="spellEnd"/>
      <w:r w:rsidRPr="00512AAD">
        <w:rPr>
          <w:rFonts w:ascii="Arial" w:hAnsi="Arial" w:cs="Arial"/>
          <w:sz w:val="22"/>
          <w:szCs w:val="22"/>
        </w:rPr>
        <w:t xml:space="preserve"> FA, </w:t>
      </w:r>
      <w:proofErr w:type="spellStart"/>
      <w:r w:rsidRPr="00512AAD">
        <w:rPr>
          <w:rFonts w:ascii="Arial" w:hAnsi="Arial" w:cs="Arial"/>
          <w:sz w:val="22"/>
          <w:szCs w:val="22"/>
        </w:rPr>
        <w:t>Dolwick</w:t>
      </w:r>
      <w:proofErr w:type="spellEnd"/>
      <w:r w:rsidRPr="00512AAD">
        <w:rPr>
          <w:rFonts w:ascii="Arial" w:hAnsi="Arial" w:cs="Arial"/>
          <w:sz w:val="22"/>
          <w:szCs w:val="22"/>
        </w:rPr>
        <w:t xml:space="preserve"> MF. Platelet-rich plasma injection as an effective treatment for temporomandibular joint internal derangement. </w:t>
      </w:r>
      <w:r w:rsidRPr="00512AAD">
        <w:rPr>
          <w:rStyle w:val="Emphasis"/>
          <w:rFonts w:ascii="Arial" w:hAnsi="Arial" w:cs="Arial"/>
          <w:sz w:val="22"/>
          <w:szCs w:val="22"/>
        </w:rPr>
        <w:t xml:space="preserve">J Oral </w:t>
      </w:r>
      <w:proofErr w:type="spellStart"/>
      <w:r w:rsidRPr="00512AAD">
        <w:rPr>
          <w:rStyle w:val="Emphasis"/>
          <w:rFonts w:ascii="Arial" w:hAnsi="Arial" w:cs="Arial"/>
          <w:sz w:val="22"/>
          <w:szCs w:val="22"/>
        </w:rPr>
        <w:t>Maxillofac</w:t>
      </w:r>
      <w:proofErr w:type="spellEnd"/>
      <w:r w:rsidRPr="00512AAD">
        <w:rPr>
          <w:rStyle w:val="Emphasis"/>
          <w:rFonts w:ascii="Arial" w:hAnsi="Arial" w:cs="Arial"/>
          <w:sz w:val="22"/>
          <w:szCs w:val="22"/>
        </w:rPr>
        <w:t xml:space="preserve"> Surg</w:t>
      </w:r>
      <w:r w:rsidRPr="00512AAD">
        <w:rPr>
          <w:rFonts w:ascii="Arial" w:hAnsi="Arial" w:cs="Arial"/>
          <w:sz w:val="22"/>
          <w:szCs w:val="22"/>
        </w:rPr>
        <w:t>. 2015;73(9):170–178.</w:t>
      </w:r>
    </w:p>
    <w:p w14:paraId="2A446274" w14:textId="44DB4E00" w:rsidR="00512AAD" w:rsidRPr="00512AAD" w:rsidRDefault="00C76E92" w:rsidP="00081F9F">
      <w:pPr>
        <w:pStyle w:val="NormalWeb"/>
        <w:numPr>
          <w:ilvl w:val="0"/>
          <w:numId w:val="23"/>
        </w:numPr>
        <w:spacing w:line="360" w:lineRule="auto"/>
        <w:jc w:val="both"/>
        <w:rPr>
          <w:rFonts w:ascii="Arial" w:hAnsi="Arial" w:cs="Arial"/>
          <w:sz w:val="22"/>
          <w:szCs w:val="22"/>
        </w:rPr>
      </w:pPr>
      <w:r w:rsidRPr="00C76E92">
        <w:rPr>
          <w:rFonts w:ascii="Arial" w:hAnsi="Arial" w:cs="Arial"/>
          <w:sz w:val="22"/>
          <w:szCs w:val="22"/>
        </w:rPr>
        <w:t xml:space="preserve">Nixdorf, D. R., </w:t>
      </w:r>
      <w:proofErr w:type="spellStart"/>
      <w:r w:rsidRPr="00C76E92">
        <w:rPr>
          <w:rFonts w:ascii="Arial" w:hAnsi="Arial" w:cs="Arial"/>
          <w:sz w:val="22"/>
          <w:szCs w:val="22"/>
        </w:rPr>
        <w:t>Heo</w:t>
      </w:r>
      <w:proofErr w:type="spellEnd"/>
      <w:r w:rsidRPr="00C76E92">
        <w:rPr>
          <w:rFonts w:ascii="Arial" w:hAnsi="Arial" w:cs="Arial"/>
          <w:sz w:val="22"/>
          <w:szCs w:val="22"/>
        </w:rPr>
        <w:t xml:space="preserve">, G., &amp; Major, P. W. (2002). Randomized controlled trial of botulinum toxin A for chronic myogenous orofacial pain. Pain, 99(3), 465–473. </w:t>
      </w:r>
      <w:hyperlink r:id="rId11" w:history="1">
        <w:r w:rsidRPr="00D87EC9">
          <w:rPr>
            <w:rStyle w:val="Hyperlink"/>
            <w:rFonts w:ascii="Arial" w:hAnsi="Arial" w:cs="Arial"/>
            <w:sz w:val="22"/>
            <w:szCs w:val="22"/>
          </w:rPr>
          <w:t>https://doi.org/10.1016/S0304-3959(02)00240-3</w:t>
        </w:r>
      </w:hyperlink>
      <w:r>
        <w:rPr>
          <w:rFonts w:ascii="Arial" w:hAnsi="Arial" w:cs="Arial"/>
          <w:sz w:val="22"/>
          <w:szCs w:val="22"/>
        </w:rPr>
        <w:t xml:space="preserve"> </w:t>
      </w:r>
    </w:p>
    <w:p w14:paraId="1C81D5E8" w14:textId="3B17647C" w:rsidR="00512AAD" w:rsidRPr="00512AAD" w:rsidRDefault="00E960C5" w:rsidP="00081F9F">
      <w:pPr>
        <w:pStyle w:val="NormalWeb"/>
        <w:numPr>
          <w:ilvl w:val="0"/>
          <w:numId w:val="23"/>
        </w:numPr>
        <w:spacing w:line="360" w:lineRule="auto"/>
        <w:jc w:val="both"/>
        <w:rPr>
          <w:rFonts w:ascii="Arial" w:hAnsi="Arial" w:cs="Arial"/>
          <w:sz w:val="22"/>
          <w:szCs w:val="22"/>
        </w:rPr>
      </w:pPr>
      <w:proofErr w:type="spellStart"/>
      <w:r w:rsidRPr="00E960C5">
        <w:rPr>
          <w:rFonts w:ascii="Arial" w:hAnsi="Arial" w:cs="Arial"/>
          <w:sz w:val="22"/>
          <w:szCs w:val="22"/>
        </w:rPr>
        <w:lastRenderedPageBreak/>
        <w:t>Nitzan</w:t>
      </w:r>
      <w:proofErr w:type="spellEnd"/>
      <w:r w:rsidRPr="00E960C5">
        <w:rPr>
          <w:rFonts w:ascii="Arial" w:hAnsi="Arial" w:cs="Arial"/>
          <w:sz w:val="22"/>
          <w:szCs w:val="22"/>
        </w:rPr>
        <w:t xml:space="preserve">, D. W., </w:t>
      </w:r>
      <w:proofErr w:type="spellStart"/>
      <w:r w:rsidRPr="00E960C5">
        <w:rPr>
          <w:rFonts w:ascii="Arial" w:hAnsi="Arial" w:cs="Arial"/>
          <w:sz w:val="22"/>
          <w:szCs w:val="22"/>
        </w:rPr>
        <w:t>Dolwick</w:t>
      </w:r>
      <w:proofErr w:type="spellEnd"/>
      <w:r w:rsidRPr="00E960C5">
        <w:rPr>
          <w:rFonts w:ascii="Arial" w:hAnsi="Arial" w:cs="Arial"/>
          <w:sz w:val="22"/>
          <w:szCs w:val="22"/>
        </w:rPr>
        <w:t xml:space="preserve">, M. F., &amp; Martinez, G. A. (1991). Temporomandibular joint arthrocentesis: a simplified treatment for severe, limited mouth opening. Journal of Oral and Maxillofacial Surgery, 49(11), 1163–1167. </w:t>
      </w:r>
      <w:hyperlink r:id="rId12" w:history="1">
        <w:r w:rsidRPr="00D87EC9">
          <w:rPr>
            <w:rStyle w:val="Hyperlink"/>
            <w:rFonts w:ascii="Arial" w:hAnsi="Arial" w:cs="Arial"/>
            <w:sz w:val="22"/>
            <w:szCs w:val="22"/>
          </w:rPr>
          <w:t>https://doi.org/10.1016/0278-2391(91)90409-f</w:t>
        </w:r>
      </w:hyperlink>
      <w:r>
        <w:rPr>
          <w:rFonts w:ascii="Arial" w:hAnsi="Arial" w:cs="Arial"/>
          <w:sz w:val="22"/>
          <w:szCs w:val="22"/>
        </w:rPr>
        <w:t xml:space="preserve"> </w:t>
      </w:r>
    </w:p>
    <w:p w14:paraId="3BF7EFFC" w14:textId="2DA7BADF" w:rsidR="00512AAD" w:rsidRPr="00512AAD" w:rsidRDefault="009C3099" w:rsidP="00081F9F">
      <w:pPr>
        <w:pStyle w:val="NormalWeb"/>
        <w:numPr>
          <w:ilvl w:val="0"/>
          <w:numId w:val="23"/>
        </w:numPr>
        <w:spacing w:line="360" w:lineRule="auto"/>
        <w:jc w:val="both"/>
        <w:rPr>
          <w:rFonts w:ascii="Arial" w:hAnsi="Arial" w:cs="Arial"/>
          <w:sz w:val="22"/>
          <w:szCs w:val="22"/>
        </w:rPr>
      </w:pPr>
      <w:proofErr w:type="spellStart"/>
      <w:r w:rsidRPr="009C3099">
        <w:rPr>
          <w:rFonts w:ascii="Arial" w:hAnsi="Arial" w:cs="Arial"/>
          <w:sz w:val="22"/>
          <w:szCs w:val="22"/>
        </w:rPr>
        <w:t>Miron</w:t>
      </w:r>
      <w:proofErr w:type="spellEnd"/>
      <w:r w:rsidRPr="009C3099">
        <w:rPr>
          <w:rFonts w:ascii="Arial" w:hAnsi="Arial" w:cs="Arial"/>
          <w:sz w:val="22"/>
          <w:szCs w:val="22"/>
        </w:rPr>
        <w:t xml:space="preserve">, R. J., Fujioka-Kobayashi, M., Hernandez, M., </w:t>
      </w:r>
      <w:proofErr w:type="spellStart"/>
      <w:r w:rsidRPr="009C3099">
        <w:rPr>
          <w:rFonts w:ascii="Arial" w:hAnsi="Arial" w:cs="Arial"/>
          <w:sz w:val="22"/>
          <w:szCs w:val="22"/>
        </w:rPr>
        <w:t>Kandalam</w:t>
      </w:r>
      <w:proofErr w:type="spellEnd"/>
      <w:r w:rsidRPr="009C3099">
        <w:rPr>
          <w:rFonts w:ascii="Arial" w:hAnsi="Arial" w:cs="Arial"/>
          <w:sz w:val="22"/>
          <w:szCs w:val="22"/>
        </w:rPr>
        <w:t xml:space="preserve">, U., Zhang, Y., </w:t>
      </w:r>
      <w:proofErr w:type="spellStart"/>
      <w:r w:rsidRPr="009C3099">
        <w:rPr>
          <w:rFonts w:ascii="Arial" w:hAnsi="Arial" w:cs="Arial"/>
          <w:sz w:val="22"/>
          <w:szCs w:val="22"/>
        </w:rPr>
        <w:t>Ghanaati</w:t>
      </w:r>
      <w:proofErr w:type="spellEnd"/>
      <w:r w:rsidRPr="009C3099">
        <w:rPr>
          <w:rFonts w:ascii="Arial" w:hAnsi="Arial" w:cs="Arial"/>
          <w:sz w:val="22"/>
          <w:szCs w:val="22"/>
        </w:rPr>
        <w:t xml:space="preserve">, S., &amp; </w:t>
      </w:r>
      <w:proofErr w:type="spellStart"/>
      <w:r w:rsidRPr="009C3099">
        <w:rPr>
          <w:rFonts w:ascii="Arial" w:hAnsi="Arial" w:cs="Arial"/>
          <w:sz w:val="22"/>
          <w:szCs w:val="22"/>
        </w:rPr>
        <w:t>Choukroun</w:t>
      </w:r>
      <w:proofErr w:type="spellEnd"/>
      <w:r w:rsidRPr="009C3099">
        <w:rPr>
          <w:rFonts w:ascii="Arial" w:hAnsi="Arial" w:cs="Arial"/>
          <w:sz w:val="22"/>
          <w:szCs w:val="22"/>
        </w:rPr>
        <w:t>, J. (2017). Injectable platelet rich fibrin (</w:t>
      </w:r>
      <w:proofErr w:type="spellStart"/>
      <w:r w:rsidRPr="009C3099">
        <w:rPr>
          <w:rFonts w:ascii="Arial" w:hAnsi="Arial" w:cs="Arial"/>
          <w:sz w:val="22"/>
          <w:szCs w:val="22"/>
        </w:rPr>
        <w:t>i</w:t>
      </w:r>
      <w:proofErr w:type="spellEnd"/>
      <w:r w:rsidRPr="009C3099">
        <w:rPr>
          <w:rFonts w:ascii="Arial" w:hAnsi="Arial" w:cs="Arial"/>
          <w:sz w:val="22"/>
          <w:szCs w:val="22"/>
        </w:rPr>
        <w:t xml:space="preserve">-PRF): opportunities in regenerative </w:t>
      </w:r>
      <w:proofErr w:type="gramStart"/>
      <w:r w:rsidRPr="009C3099">
        <w:rPr>
          <w:rFonts w:ascii="Arial" w:hAnsi="Arial" w:cs="Arial"/>
          <w:sz w:val="22"/>
          <w:szCs w:val="22"/>
        </w:rPr>
        <w:t>dentistry?.</w:t>
      </w:r>
      <w:proofErr w:type="gramEnd"/>
      <w:r w:rsidRPr="009C3099">
        <w:rPr>
          <w:rFonts w:ascii="Arial" w:hAnsi="Arial" w:cs="Arial"/>
          <w:sz w:val="22"/>
          <w:szCs w:val="22"/>
        </w:rPr>
        <w:t xml:space="preserve"> Clinical Oral Investigations, 21(8), 2619–2627. </w:t>
      </w:r>
      <w:hyperlink r:id="rId13" w:history="1">
        <w:r w:rsidRPr="00D87EC9">
          <w:rPr>
            <w:rStyle w:val="Hyperlink"/>
            <w:rFonts w:ascii="Arial" w:hAnsi="Arial" w:cs="Arial"/>
            <w:sz w:val="22"/>
            <w:szCs w:val="22"/>
          </w:rPr>
          <w:t>https://doi.org/10.1007/s00784-017-2063-9</w:t>
        </w:r>
      </w:hyperlink>
      <w:r>
        <w:rPr>
          <w:rFonts w:ascii="Arial" w:hAnsi="Arial" w:cs="Arial"/>
          <w:sz w:val="22"/>
          <w:szCs w:val="22"/>
        </w:rPr>
        <w:t xml:space="preserve"> </w:t>
      </w:r>
    </w:p>
    <w:p w14:paraId="31BE740F"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Mourão</w:t>
      </w:r>
      <w:proofErr w:type="spellEnd"/>
      <w:r w:rsidRPr="00512AAD">
        <w:rPr>
          <w:rFonts w:ascii="Arial" w:hAnsi="Arial" w:cs="Arial"/>
          <w:sz w:val="22"/>
          <w:szCs w:val="22"/>
        </w:rPr>
        <w:t xml:space="preserve"> CFAB, </w:t>
      </w:r>
      <w:proofErr w:type="spellStart"/>
      <w:r w:rsidRPr="00512AAD">
        <w:rPr>
          <w:rFonts w:ascii="Arial" w:hAnsi="Arial" w:cs="Arial"/>
          <w:sz w:val="22"/>
          <w:szCs w:val="22"/>
        </w:rPr>
        <w:t>Valiense</w:t>
      </w:r>
      <w:proofErr w:type="spellEnd"/>
      <w:r w:rsidRPr="00512AAD">
        <w:rPr>
          <w:rFonts w:ascii="Arial" w:hAnsi="Arial" w:cs="Arial"/>
          <w:sz w:val="22"/>
          <w:szCs w:val="22"/>
        </w:rPr>
        <w:t xml:space="preserve"> H, Melo ER, </w:t>
      </w:r>
      <w:proofErr w:type="spellStart"/>
      <w:r w:rsidRPr="00512AAD">
        <w:rPr>
          <w:rFonts w:ascii="Arial" w:hAnsi="Arial" w:cs="Arial"/>
          <w:sz w:val="22"/>
          <w:szCs w:val="22"/>
        </w:rPr>
        <w:t>Mourão</w:t>
      </w:r>
      <w:proofErr w:type="spellEnd"/>
      <w:r w:rsidRPr="00512AAD">
        <w:rPr>
          <w:rFonts w:ascii="Arial" w:hAnsi="Arial" w:cs="Arial"/>
          <w:sz w:val="22"/>
          <w:szCs w:val="22"/>
        </w:rPr>
        <w:t xml:space="preserve"> NBMF, Maia MDC. Obtention of injectable platelet-rich fibrin and its polymerization with bone graft. </w:t>
      </w:r>
      <w:r w:rsidRPr="00512AAD">
        <w:rPr>
          <w:rStyle w:val="Emphasis"/>
          <w:rFonts w:ascii="Arial" w:hAnsi="Arial" w:cs="Arial"/>
          <w:sz w:val="22"/>
          <w:szCs w:val="22"/>
        </w:rPr>
        <w:t xml:space="preserve">Clin Oral </w:t>
      </w:r>
      <w:proofErr w:type="spellStart"/>
      <w:r w:rsidRPr="00512AAD">
        <w:rPr>
          <w:rStyle w:val="Emphasis"/>
          <w:rFonts w:ascii="Arial" w:hAnsi="Arial" w:cs="Arial"/>
          <w:sz w:val="22"/>
          <w:szCs w:val="22"/>
        </w:rPr>
        <w:t>Investig</w:t>
      </w:r>
      <w:proofErr w:type="spellEnd"/>
      <w:r w:rsidRPr="00512AAD">
        <w:rPr>
          <w:rFonts w:ascii="Arial" w:hAnsi="Arial" w:cs="Arial"/>
          <w:sz w:val="22"/>
          <w:szCs w:val="22"/>
        </w:rPr>
        <w:t>. 2015;19(9):2259–2264.</w:t>
      </w:r>
    </w:p>
    <w:p w14:paraId="7277314C"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proofErr w:type="spellStart"/>
      <w:r w:rsidRPr="00512AAD">
        <w:rPr>
          <w:rFonts w:ascii="Arial" w:hAnsi="Arial" w:cs="Arial"/>
          <w:sz w:val="22"/>
          <w:szCs w:val="22"/>
        </w:rPr>
        <w:t>Pihut</w:t>
      </w:r>
      <w:proofErr w:type="spellEnd"/>
      <w:r w:rsidRPr="00512AAD">
        <w:rPr>
          <w:rFonts w:ascii="Arial" w:hAnsi="Arial" w:cs="Arial"/>
          <w:sz w:val="22"/>
          <w:szCs w:val="22"/>
        </w:rPr>
        <w:t xml:space="preserve"> M, </w:t>
      </w:r>
      <w:proofErr w:type="spellStart"/>
      <w:r w:rsidRPr="00512AAD">
        <w:rPr>
          <w:rFonts w:ascii="Arial" w:hAnsi="Arial" w:cs="Arial"/>
          <w:sz w:val="22"/>
          <w:szCs w:val="22"/>
        </w:rPr>
        <w:t>Szuta</w:t>
      </w:r>
      <w:proofErr w:type="spellEnd"/>
      <w:r w:rsidRPr="00512AAD">
        <w:rPr>
          <w:rFonts w:ascii="Arial" w:hAnsi="Arial" w:cs="Arial"/>
          <w:sz w:val="22"/>
          <w:szCs w:val="22"/>
        </w:rPr>
        <w:t xml:space="preserve"> M. Platelet-rich plasma and platelet-rich fibrin in the treatment of temporomandibular joint disorders: a systematic review. </w:t>
      </w:r>
      <w:r w:rsidRPr="00512AAD">
        <w:rPr>
          <w:rStyle w:val="Emphasis"/>
          <w:rFonts w:ascii="Arial" w:hAnsi="Arial" w:cs="Arial"/>
          <w:sz w:val="22"/>
          <w:szCs w:val="22"/>
        </w:rPr>
        <w:t>J Clin Med</w:t>
      </w:r>
      <w:r w:rsidRPr="00512AAD">
        <w:rPr>
          <w:rFonts w:ascii="Arial" w:hAnsi="Arial" w:cs="Arial"/>
          <w:sz w:val="22"/>
          <w:szCs w:val="22"/>
        </w:rPr>
        <w:t>. 2021;10(15):3484.</w:t>
      </w:r>
    </w:p>
    <w:p w14:paraId="61AB263F" w14:textId="5DC6A9B7" w:rsidR="00512AAD" w:rsidRPr="00512AAD" w:rsidRDefault="003C2338" w:rsidP="00081F9F">
      <w:pPr>
        <w:pStyle w:val="NormalWeb"/>
        <w:numPr>
          <w:ilvl w:val="0"/>
          <w:numId w:val="23"/>
        </w:numPr>
        <w:spacing w:line="360" w:lineRule="auto"/>
        <w:jc w:val="both"/>
        <w:rPr>
          <w:rFonts w:ascii="Arial" w:hAnsi="Arial" w:cs="Arial"/>
          <w:sz w:val="22"/>
          <w:szCs w:val="22"/>
        </w:rPr>
      </w:pPr>
      <w:proofErr w:type="spellStart"/>
      <w:r w:rsidRPr="003C2338">
        <w:rPr>
          <w:rFonts w:ascii="Arial" w:hAnsi="Arial" w:cs="Arial"/>
          <w:sz w:val="22"/>
          <w:szCs w:val="22"/>
        </w:rPr>
        <w:t>Yuce</w:t>
      </w:r>
      <w:proofErr w:type="spellEnd"/>
      <w:r w:rsidRPr="003C2338">
        <w:rPr>
          <w:rFonts w:ascii="Arial" w:hAnsi="Arial" w:cs="Arial"/>
          <w:sz w:val="22"/>
          <w:szCs w:val="22"/>
        </w:rPr>
        <w:t xml:space="preserve">, E., &amp; </w:t>
      </w:r>
      <w:proofErr w:type="spellStart"/>
      <w:r w:rsidRPr="003C2338">
        <w:rPr>
          <w:rFonts w:ascii="Arial" w:hAnsi="Arial" w:cs="Arial"/>
          <w:sz w:val="22"/>
          <w:szCs w:val="22"/>
        </w:rPr>
        <w:t>Komerik</w:t>
      </w:r>
      <w:proofErr w:type="spellEnd"/>
      <w:r w:rsidRPr="003C2338">
        <w:rPr>
          <w:rFonts w:ascii="Arial" w:hAnsi="Arial" w:cs="Arial"/>
          <w:sz w:val="22"/>
          <w:szCs w:val="22"/>
        </w:rPr>
        <w:t xml:space="preserve">, N. (2020). Comparison of the </w:t>
      </w:r>
      <w:proofErr w:type="spellStart"/>
      <w:r w:rsidRPr="003C2338">
        <w:rPr>
          <w:rFonts w:ascii="Arial" w:hAnsi="Arial" w:cs="Arial"/>
          <w:sz w:val="22"/>
          <w:szCs w:val="22"/>
        </w:rPr>
        <w:t>Efficiacy</w:t>
      </w:r>
      <w:proofErr w:type="spellEnd"/>
      <w:r w:rsidRPr="003C2338">
        <w:rPr>
          <w:rFonts w:ascii="Arial" w:hAnsi="Arial" w:cs="Arial"/>
          <w:sz w:val="22"/>
          <w:szCs w:val="22"/>
        </w:rPr>
        <w:t xml:space="preserve"> of Intra-Articular Injection of Liquid Platelet-Rich Fibrin and Hyaluronic Acid After in Conjunction </w:t>
      </w:r>
      <w:proofErr w:type="gramStart"/>
      <w:r w:rsidRPr="003C2338">
        <w:rPr>
          <w:rFonts w:ascii="Arial" w:hAnsi="Arial" w:cs="Arial"/>
          <w:sz w:val="22"/>
          <w:szCs w:val="22"/>
        </w:rPr>
        <w:t>With</w:t>
      </w:r>
      <w:proofErr w:type="gramEnd"/>
      <w:r w:rsidRPr="003C2338">
        <w:rPr>
          <w:rFonts w:ascii="Arial" w:hAnsi="Arial" w:cs="Arial"/>
          <w:sz w:val="22"/>
          <w:szCs w:val="22"/>
        </w:rPr>
        <w:t xml:space="preserve"> Arthrocentesis for the Treatment of Internal Temporomandibular Joint Derangements. Journal of Craniofacial Surgery. </w:t>
      </w:r>
      <w:hyperlink r:id="rId14" w:history="1">
        <w:r w:rsidRPr="00D87EC9">
          <w:rPr>
            <w:rStyle w:val="Hyperlink"/>
            <w:rFonts w:ascii="Arial" w:hAnsi="Arial" w:cs="Arial"/>
            <w:sz w:val="22"/>
            <w:szCs w:val="22"/>
          </w:rPr>
          <w:t>https://doi.org/10.1097/SCS.0000000000006545</w:t>
        </w:r>
      </w:hyperlink>
      <w:r>
        <w:rPr>
          <w:rFonts w:ascii="Arial" w:hAnsi="Arial" w:cs="Arial"/>
          <w:sz w:val="22"/>
          <w:szCs w:val="22"/>
        </w:rPr>
        <w:t xml:space="preserve"> </w:t>
      </w:r>
    </w:p>
    <w:p w14:paraId="7DE71F9E"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t>Al-</w:t>
      </w:r>
      <w:proofErr w:type="spellStart"/>
      <w:r w:rsidRPr="00512AAD">
        <w:rPr>
          <w:rFonts w:ascii="Arial" w:hAnsi="Arial" w:cs="Arial"/>
          <w:sz w:val="22"/>
          <w:szCs w:val="22"/>
        </w:rPr>
        <w:t>Mahdy</w:t>
      </w:r>
      <w:proofErr w:type="spellEnd"/>
      <w:r w:rsidRPr="00512AAD">
        <w:rPr>
          <w:rFonts w:ascii="Arial" w:hAnsi="Arial" w:cs="Arial"/>
          <w:sz w:val="22"/>
          <w:szCs w:val="22"/>
        </w:rPr>
        <w:t xml:space="preserve"> A, El-Fattah A, El-</w:t>
      </w:r>
      <w:proofErr w:type="spellStart"/>
      <w:r w:rsidRPr="00512AAD">
        <w:rPr>
          <w:rFonts w:ascii="Arial" w:hAnsi="Arial" w:cs="Arial"/>
          <w:sz w:val="22"/>
          <w:szCs w:val="22"/>
        </w:rPr>
        <w:t>Kassaby</w:t>
      </w:r>
      <w:proofErr w:type="spellEnd"/>
      <w:r w:rsidRPr="00512AAD">
        <w:rPr>
          <w:rFonts w:ascii="Arial" w:hAnsi="Arial" w:cs="Arial"/>
          <w:sz w:val="22"/>
          <w:szCs w:val="22"/>
        </w:rPr>
        <w:t xml:space="preserve"> M. Injectable platelet-rich fibrin versus platelet-rich plasma in temporomandibular joint internal derangement: a randomized clinical trial. </w:t>
      </w:r>
      <w:r w:rsidRPr="00512AAD">
        <w:rPr>
          <w:rStyle w:val="Emphasis"/>
          <w:rFonts w:ascii="Arial" w:hAnsi="Arial" w:cs="Arial"/>
          <w:sz w:val="22"/>
          <w:szCs w:val="22"/>
        </w:rPr>
        <w:t xml:space="preserve">Int J Oral </w:t>
      </w:r>
      <w:proofErr w:type="spellStart"/>
      <w:r w:rsidRPr="00512AAD">
        <w:rPr>
          <w:rStyle w:val="Emphasis"/>
          <w:rFonts w:ascii="Arial" w:hAnsi="Arial" w:cs="Arial"/>
          <w:sz w:val="22"/>
          <w:szCs w:val="22"/>
        </w:rPr>
        <w:t>Maxillofac</w:t>
      </w:r>
      <w:proofErr w:type="spellEnd"/>
      <w:r w:rsidRPr="00512AAD">
        <w:rPr>
          <w:rStyle w:val="Emphasis"/>
          <w:rFonts w:ascii="Arial" w:hAnsi="Arial" w:cs="Arial"/>
          <w:sz w:val="22"/>
          <w:szCs w:val="22"/>
        </w:rPr>
        <w:t xml:space="preserve"> Surg</w:t>
      </w:r>
      <w:r w:rsidRPr="00512AAD">
        <w:rPr>
          <w:rFonts w:ascii="Arial" w:hAnsi="Arial" w:cs="Arial"/>
          <w:sz w:val="22"/>
          <w:szCs w:val="22"/>
        </w:rPr>
        <w:t>. 2023;52(8):987–995.</w:t>
      </w:r>
    </w:p>
    <w:p w14:paraId="26B4DD59" w14:textId="03D863C8" w:rsidR="00512AAD" w:rsidRPr="00512AAD" w:rsidRDefault="00217081" w:rsidP="00081F9F">
      <w:pPr>
        <w:pStyle w:val="NormalWeb"/>
        <w:numPr>
          <w:ilvl w:val="0"/>
          <w:numId w:val="23"/>
        </w:numPr>
        <w:spacing w:line="360" w:lineRule="auto"/>
        <w:jc w:val="both"/>
        <w:rPr>
          <w:rFonts w:ascii="Arial" w:hAnsi="Arial" w:cs="Arial"/>
          <w:sz w:val="22"/>
          <w:szCs w:val="22"/>
        </w:rPr>
      </w:pPr>
      <w:proofErr w:type="spellStart"/>
      <w:r w:rsidRPr="00217081">
        <w:rPr>
          <w:rFonts w:ascii="Arial" w:hAnsi="Arial" w:cs="Arial"/>
          <w:sz w:val="22"/>
          <w:szCs w:val="22"/>
        </w:rPr>
        <w:t>Valesan</w:t>
      </w:r>
      <w:proofErr w:type="spellEnd"/>
      <w:r w:rsidRPr="00217081">
        <w:rPr>
          <w:rFonts w:ascii="Arial" w:hAnsi="Arial" w:cs="Arial"/>
          <w:sz w:val="22"/>
          <w:szCs w:val="22"/>
        </w:rPr>
        <w:t xml:space="preserve">, L. F., Da-Cas, C. D., </w:t>
      </w:r>
      <w:proofErr w:type="spellStart"/>
      <w:r w:rsidRPr="00217081">
        <w:rPr>
          <w:rFonts w:ascii="Arial" w:hAnsi="Arial" w:cs="Arial"/>
          <w:sz w:val="22"/>
          <w:szCs w:val="22"/>
        </w:rPr>
        <w:t>Réus</w:t>
      </w:r>
      <w:proofErr w:type="spellEnd"/>
      <w:r w:rsidRPr="00217081">
        <w:rPr>
          <w:rFonts w:ascii="Arial" w:hAnsi="Arial" w:cs="Arial"/>
          <w:sz w:val="22"/>
          <w:szCs w:val="22"/>
        </w:rPr>
        <w:t xml:space="preserve">, J. C., </w:t>
      </w:r>
      <w:proofErr w:type="spellStart"/>
      <w:r w:rsidRPr="00217081">
        <w:rPr>
          <w:rFonts w:ascii="Arial" w:hAnsi="Arial" w:cs="Arial"/>
          <w:sz w:val="22"/>
          <w:szCs w:val="22"/>
        </w:rPr>
        <w:t>Denardin</w:t>
      </w:r>
      <w:proofErr w:type="spellEnd"/>
      <w:r w:rsidRPr="00217081">
        <w:rPr>
          <w:rFonts w:ascii="Arial" w:hAnsi="Arial" w:cs="Arial"/>
          <w:sz w:val="22"/>
          <w:szCs w:val="22"/>
        </w:rPr>
        <w:t xml:space="preserve">, A. C. S., </w:t>
      </w:r>
      <w:proofErr w:type="spellStart"/>
      <w:r w:rsidRPr="00217081">
        <w:rPr>
          <w:rFonts w:ascii="Arial" w:hAnsi="Arial" w:cs="Arial"/>
          <w:sz w:val="22"/>
          <w:szCs w:val="22"/>
        </w:rPr>
        <w:t>Garanhani</w:t>
      </w:r>
      <w:proofErr w:type="spellEnd"/>
      <w:r w:rsidRPr="00217081">
        <w:rPr>
          <w:rFonts w:ascii="Arial" w:hAnsi="Arial" w:cs="Arial"/>
          <w:sz w:val="22"/>
          <w:szCs w:val="22"/>
        </w:rPr>
        <w:t xml:space="preserve">, R. R., </w:t>
      </w:r>
      <w:proofErr w:type="spellStart"/>
      <w:r w:rsidRPr="00217081">
        <w:rPr>
          <w:rFonts w:ascii="Arial" w:hAnsi="Arial" w:cs="Arial"/>
          <w:sz w:val="22"/>
          <w:szCs w:val="22"/>
        </w:rPr>
        <w:t>Bonotto</w:t>
      </w:r>
      <w:proofErr w:type="spellEnd"/>
      <w:r w:rsidRPr="00217081">
        <w:rPr>
          <w:rFonts w:ascii="Arial" w:hAnsi="Arial" w:cs="Arial"/>
          <w:sz w:val="22"/>
          <w:szCs w:val="22"/>
        </w:rPr>
        <w:t xml:space="preserve">, D., </w:t>
      </w:r>
      <w:proofErr w:type="spellStart"/>
      <w:r w:rsidRPr="00217081">
        <w:rPr>
          <w:rFonts w:ascii="Arial" w:hAnsi="Arial" w:cs="Arial"/>
          <w:sz w:val="22"/>
          <w:szCs w:val="22"/>
        </w:rPr>
        <w:t>Januzzi</w:t>
      </w:r>
      <w:proofErr w:type="spellEnd"/>
      <w:r w:rsidRPr="00217081">
        <w:rPr>
          <w:rFonts w:ascii="Arial" w:hAnsi="Arial" w:cs="Arial"/>
          <w:sz w:val="22"/>
          <w:szCs w:val="22"/>
        </w:rPr>
        <w:t xml:space="preserve">, E., &amp; de Souza, B. D. M. (2021). Prevalence of temporomandibular joint disorders: A systematic review and meta-analysis. Clinical Oral Investigations, 25(2), 441–453. </w:t>
      </w:r>
      <w:hyperlink r:id="rId15" w:history="1">
        <w:r w:rsidRPr="00D87EC9">
          <w:rPr>
            <w:rStyle w:val="Hyperlink"/>
            <w:rFonts w:ascii="Arial" w:hAnsi="Arial" w:cs="Arial"/>
            <w:sz w:val="22"/>
            <w:szCs w:val="22"/>
          </w:rPr>
          <w:t>https://doi.org/10.1007/s00784-020-03710-w</w:t>
        </w:r>
      </w:hyperlink>
      <w:r>
        <w:rPr>
          <w:rFonts w:ascii="Arial" w:hAnsi="Arial" w:cs="Arial"/>
          <w:sz w:val="22"/>
          <w:szCs w:val="22"/>
        </w:rPr>
        <w:t xml:space="preserve"> </w:t>
      </w:r>
    </w:p>
    <w:p w14:paraId="039C5702" w14:textId="77777777" w:rsidR="00512AAD" w:rsidRPr="00512AAD" w:rsidRDefault="00512AAD" w:rsidP="00081F9F">
      <w:pPr>
        <w:pStyle w:val="NormalWeb"/>
        <w:numPr>
          <w:ilvl w:val="0"/>
          <w:numId w:val="23"/>
        </w:numPr>
        <w:spacing w:line="360" w:lineRule="auto"/>
        <w:jc w:val="both"/>
        <w:rPr>
          <w:rFonts w:ascii="Arial" w:hAnsi="Arial" w:cs="Arial"/>
          <w:sz w:val="22"/>
          <w:szCs w:val="22"/>
        </w:rPr>
      </w:pPr>
      <w:r w:rsidRPr="00512AAD">
        <w:rPr>
          <w:rFonts w:ascii="Arial" w:hAnsi="Arial" w:cs="Arial"/>
          <w:sz w:val="22"/>
          <w:szCs w:val="22"/>
        </w:rPr>
        <w:t>Varela-</w:t>
      </w:r>
      <w:proofErr w:type="spellStart"/>
      <w:r w:rsidRPr="00512AAD">
        <w:rPr>
          <w:rFonts w:ascii="Arial" w:hAnsi="Arial" w:cs="Arial"/>
          <w:sz w:val="22"/>
          <w:szCs w:val="22"/>
        </w:rPr>
        <w:t>Centelles</w:t>
      </w:r>
      <w:proofErr w:type="spellEnd"/>
      <w:r w:rsidRPr="00512AAD">
        <w:rPr>
          <w:rFonts w:ascii="Arial" w:hAnsi="Arial" w:cs="Arial"/>
          <w:sz w:val="22"/>
          <w:szCs w:val="22"/>
        </w:rPr>
        <w:t xml:space="preserve"> P, </w:t>
      </w:r>
      <w:proofErr w:type="spellStart"/>
      <w:r w:rsidRPr="00512AAD">
        <w:rPr>
          <w:rFonts w:ascii="Arial" w:hAnsi="Arial" w:cs="Arial"/>
          <w:sz w:val="22"/>
          <w:szCs w:val="22"/>
        </w:rPr>
        <w:t>Seoane</w:t>
      </w:r>
      <w:proofErr w:type="spellEnd"/>
      <w:r w:rsidRPr="00512AAD">
        <w:rPr>
          <w:rFonts w:ascii="Arial" w:hAnsi="Arial" w:cs="Arial"/>
          <w:sz w:val="22"/>
          <w:szCs w:val="22"/>
        </w:rPr>
        <w:t xml:space="preserve">-Romero J, García-García A. Regenerative intra-articular therapies in temporomandibular joint disorders: current evidence and future perspectives. </w:t>
      </w:r>
      <w:r w:rsidRPr="00512AAD">
        <w:rPr>
          <w:rStyle w:val="Emphasis"/>
          <w:rFonts w:ascii="Arial" w:hAnsi="Arial" w:cs="Arial"/>
          <w:sz w:val="22"/>
          <w:szCs w:val="22"/>
        </w:rPr>
        <w:t xml:space="preserve">Oral Surg Oral Med Oral </w:t>
      </w:r>
      <w:proofErr w:type="spellStart"/>
      <w:r w:rsidRPr="00512AAD">
        <w:rPr>
          <w:rStyle w:val="Emphasis"/>
          <w:rFonts w:ascii="Arial" w:hAnsi="Arial" w:cs="Arial"/>
          <w:sz w:val="22"/>
          <w:szCs w:val="22"/>
        </w:rPr>
        <w:t>Pathol</w:t>
      </w:r>
      <w:proofErr w:type="spellEnd"/>
      <w:r w:rsidRPr="00512AAD">
        <w:rPr>
          <w:rStyle w:val="Emphasis"/>
          <w:rFonts w:ascii="Arial" w:hAnsi="Arial" w:cs="Arial"/>
          <w:sz w:val="22"/>
          <w:szCs w:val="22"/>
        </w:rPr>
        <w:t xml:space="preserve"> Oral </w:t>
      </w:r>
      <w:proofErr w:type="spellStart"/>
      <w:r w:rsidRPr="00512AAD">
        <w:rPr>
          <w:rStyle w:val="Emphasis"/>
          <w:rFonts w:ascii="Arial" w:hAnsi="Arial" w:cs="Arial"/>
          <w:sz w:val="22"/>
          <w:szCs w:val="22"/>
        </w:rPr>
        <w:t>Radiol</w:t>
      </w:r>
      <w:proofErr w:type="spellEnd"/>
      <w:r w:rsidRPr="00512AAD">
        <w:rPr>
          <w:rFonts w:ascii="Arial" w:hAnsi="Arial" w:cs="Arial"/>
          <w:sz w:val="22"/>
          <w:szCs w:val="22"/>
        </w:rPr>
        <w:t>. 2024;137(1):45–56.</w:t>
      </w:r>
    </w:p>
    <w:p w14:paraId="1FC299A2" w14:textId="07FD60D7" w:rsidR="00E15F1E" w:rsidRPr="00512AAD" w:rsidRDefault="00E71AC9" w:rsidP="00081F9F">
      <w:pPr>
        <w:pStyle w:val="NormalWeb"/>
        <w:numPr>
          <w:ilvl w:val="0"/>
          <w:numId w:val="23"/>
        </w:numPr>
        <w:spacing w:line="360" w:lineRule="auto"/>
        <w:jc w:val="both"/>
        <w:rPr>
          <w:rFonts w:ascii="Arial" w:hAnsi="Arial" w:cs="Arial"/>
          <w:sz w:val="22"/>
          <w:szCs w:val="22"/>
        </w:rPr>
      </w:pPr>
      <w:proofErr w:type="spellStart"/>
      <w:r w:rsidRPr="00E71AC9">
        <w:rPr>
          <w:rFonts w:ascii="Arial" w:hAnsi="Arial" w:cs="Arial"/>
          <w:sz w:val="22"/>
          <w:szCs w:val="22"/>
        </w:rPr>
        <w:t>Bousnaki</w:t>
      </w:r>
      <w:proofErr w:type="spellEnd"/>
      <w:r w:rsidRPr="00E71AC9">
        <w:rPr>
          <w:rFonts w:ascii="Arial" w:hAnsi="Arial" w:cs="Arial"/>
          <w:sz w:val="22"/>
          <w:szCs w:val="22"/>
        </w:rPr>
        <w:t xml:space="preserve">, M., </w:t>
      </w:r>
      <w:proofErr w:type="spellStart"/>
      <w:r w:rsidRPr="00E71AC9">
        <w:rPr>
          <w:rFonts w:ascii="Arial" w:hAnsi="Arial" w:cs="Arial"/>
          <w:sz w:val="22"/>
          <w:szCs w:val="22"/>
        </w:rPr>
        <w:t>Bakopoulou</w:t>
      </w:r>
      <w:proofErr w:type="spellEnd"/>
      <w:r w:rsidRPr="00E71AC9">
        <w:rPr>
          <w:rFonts w:ascii="Arial" w:hAnsi="Arial" w:cs="Arial"/>
          <w:sz w:val="22"/>
          <w:szCs w:val="22"/>
        </w:rPr>
        <w:t xml:space="preserve">, A., &amp; </w:t>
      </w:r>
      <w:proofErr w:type="spellStart"/>
      <w:r w:rsidRPr="00E71AC9">
        <w:rPr>
          <w:rFonts w:ascii="Arial" w:hAnsi="Arial" w:cs="Arial"/>
          <w:sz w:val="22"/>
          <w:szCs w:val="22"/>
        </w:rPr>
        <w:t>Koidis</w:t>
      </w:r>
      <w:proofErr w:type="spellEnd"/>
      <w:r w:rsidRPr="00E71AC9">
        <w:rPr>
          <w:rFonts w:ascii="Arial" w:hAnsi="Arial" w:cs="Arial"/>
          <w:sz w:val="22"/>
          <w:szCs w:val="22"/>
        </w:rPr>
        <w:t xml:space="preserve">, P. (2018). Platelet-rich plasma for the therapeutic management of temporomandibular joint disorders: a systematic review. International Journal of Oral and Maxillofacial Surgery, 47(2), 188–198. </w:t>
      </w:r>
      <w:hyperlink r:id="rId16" w:history="1">
        <w:r w:rsidRPr="00D87EC9">
          <w:rPr>
            <w:rStyle w:val="Hyperlink"/>
            <w:rFonts w:ascii="Arial" w:hAnsi="Arial" w:cs="Arial"/>
            <w:sz w:val="22"/>
            <w:szCs w:val="22"/>
          </w:rPr>
          <w:t>https://doi.org/10.1016/j.ijom.2017.09.014</w:t>
        </w:r>
      </w:hyperlink>
      <w:r>
        <w:rPr>
          <w:rFonts w:ascii="Arial" w:hAnsi="Arial" w:cs="Arial"/>
          <w:sz w:val="22"/>
          <w:szCs w:val="22"/>
        </w:rPr>
        <w:t xml:space="preserve"> </w:t>
      </w:r>
    </w:p>
    <w:sectPr w:rsidR="00E15F1E" w:rsidRPr="00512AAD" w:rsidSect="00EF38F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F3CC8" w14:textId="77777777" w:rsidR="00196AB5" w:rsidRDefault="00196AB5" w:rsidP="000C41D1">
      <w:pPr>
        <w:spacing w:after="0" w:line="240" w:lineRule="auto"/>
      </w:pPr>
      <w:r>
        <w:separator/>
      </w:r>
    </w:p>
  </w:endnote>
  <w:endnote w:type="continuationSeparator" w:id="0">
    <w:p w14:paraId="1AD54B40" w14:textId="77777777" w:rsidR="00196AB5" w:rsidRDefault="00196AB5" w:rsidP="000C4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8034" w14:textId="77777777" w:rsidR="000C41D1" w:rsidRDefault="000C4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1376F" w14:textId="77777777" w:rsidR="000C41D1" w:rsidRDefault="000C4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A07E6" w14:textId="77777777" w:rsidR="000C41D1" w:rsidRDefault="000C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D2FCC" w14:textId="77777777" w:rsidR="00196AB5" w:rsidRDefault="00196AB5" w:rsidP="000C41D1">
      <w:pPr>
        <w:spacing w:after="0" w:line="240" w:lineRule="auto"/>
      </w:pPr>
      <w:r>
        <w:separator/>
      </w:r>
    </w:p>
  </w:footnote>
  <w:footnote w:type="continuationSeparator" w:id="0">
    <w:p w14:paraId="7B2EA5CF" w14:textId="77777777" w:rsidR="00196AB5" w:rsidRDefault="00196AB5" w:rsidP="000C4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79B98" w14:textId="61670DDE" w:rsidR="000C41D1" w:rsidRDefault="000C41D1">
    <w:pPr>
      <w:pStyle w:val="Header"/>
    </w:pPr>
    <w:r>
      <w:rPr>
        <w:noProof/>
      </w:rPr>
      <w:pict w14:anchorId="2B291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9667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457E2" w14:textId="065FE577" w:rsidR="000C41D1" w:rsidRDefault="000C41D1">
    <w:pPr>
      <w:pStyle w:val="Header"/>
    </w:pPr>
    <w:r>
      <w:rPr>
        <w:noProof/>
      </w:rPr>
      <w:pict w14:anchorId="40513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9667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2E6EF" w14:textId="74A888FC" w:rsidR="000C41D1" w:rsidRDefault="000C41D1">
    <w:pPr>
      <w:pStyle w:val="Header"/>
    </w:pPr>
    <w:r>
      <w:rPr>
        <w:noProof/>
      </w:rPr>
      <w:pict w14:anchorId="33D104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9667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530"/>
    <w:multiLevelType w:val="multilevel"/>
    <w:tmpl w:val="B30E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E1039"/>
    <w:multiLevelType w:val="multilevel"/>
    <w:tmpl w:val="1CD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53876"/>
    <w:multiLevelType w:val="multilevel"/>
    <w:tmpl w:val="6A2A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91CB5"/>
    <w:multiLevelType w:val="multilevel"/>
    <w:tmpl w:val="01FE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80FB2"/>
    <w:multiLevelType w:val="multilevel"/>
    <w:tmpl w:val="9A52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313CA"/>
    <w:multiLevelType w:val="multilevel"/>
    <w:tmpl w:val="D89C5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D1EAA"/>
    <w:multiLevelType w:val="multilevel"/>
    <w:tmpl w:val="1DD0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2F46F7"/>
    <w:multiLevelType w:val="multilevel"/>
    <w:tmpl w:val="64E2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A1918"/>
    <w:multiLevelType w:val="multilevel"/>
    <w:tmpl w:val="B4E8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728EC"/>
    <w:multiLevelType w:val="multilevel"/>
    <w:tmpl w:val="3AEA8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3C40EB"/>
    <w:multiLevelType w:val="multilevel"/>
    <w:tmpl w:val="8204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C030F7"/>
    <w:multiLevelType w:val="multilevel"/>
    <w:tmpl w:val="6822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B1F64"/>
    <w:multiLevelType w:val="multilevel"/>
    <w:tmpl w:val="D9C0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292F03"/>
    <w:multiLevelType w:val="multilevel"/>
    <w:tmpl w:val="876C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0A7970"/>
    <w:multiLevelType w:val="multilevel"/>
    <w:tmpl w:val="FCA0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36097"/>
    <w:multiLevelType w:val="multilevel"/>
    <w:tmpl w:val="9AA4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04452"/>
    <w:multiLevelType w:val="multilevel"/>
    <w:tmpl w:val="A47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E94685"/>
    <w:multiLevelType w:val="multilevel"/>
    <w:tmpl w:val="1B968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E97B54"/>
    <w:multiLevelType w:val="multilevel"/>
    <w:tmpl w:val="1724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0D1A93"/>
    <w:multiLevelType w:val="multilevel"/>
    <w:tmpl w:val="3BEC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928B6"/>
    <w:multiLevelType w:val="multilevel"/>
    <w:tmpl w:val="0B24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84563F"/>
    <w:multiLevelType w:val="multilevel"/>
    <w:tmpl w:val="D6AC1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7A0631"/>
    <w:multiLevelType w:val="multilevel"/>
    <w:tmpl w:val="7C22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
  </w:num>
  <w:num w:numId="4">
    <w:abstractNumId w:val="17"/>
  </w:num>
  <w:num w:numId="5">
    <w:abstractNumId w:val="0"/>
  </w:num>
  <w:num w:numId="6">
    <w:abstractNumId w:val="20"/>
  </w:num>
  <w:num w:numId="7">
    <w:abstractNumId w:val="4"/>
  </w:num>
  <w:num w:numId="8">
    <w:abstractNumId w:val="16"/>
  </w:num>
  <w:num w:numId="9">
    <w:abstractNumId w:val="22"/>
  </w:num>
  <w:num w:numId="10">
    <w:abstractNumId w:val="13"/>
  </w:num>
  <w:num w:numId="11">
    <w:abstractNumId w:val="19"/>
  </w:num>
  <w:num w:numId="12">
    <w:abstractNumId w:val="11"/>
  </w:num>
  <w:num w:numId="13">
    <w:abstractNumId w:val="10"/>
  </w:num>
  <w:num w:numId="14">
    <w:abstractNumId w:val="2"/>
  </w:num>
  <w:num w:numId="15">
    <w:abstractNumId w:val="15"/>
  </w:num>
  <w:num w:numId="16">
    <w:abstractNumId w:val="18"/>
  </w:num>
  <w:num w:numId="17">
    <w:abstractNumId w:val="14"/>
  </w:num>
  <w:num w:numId="18">
    <w:abstractNumId w:val="12"/>
  </w:num>
  <w:num w:numId="19">
    <w:abstractNumId w:val="7"/>
  </w:num>
  <w:num w:numId="20">
    <w:abstractNumId w:val="5"/>
  </w:num>
  <w:num w:numId="21">
    <w:abstractNumId w:val="9"/>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87CEC"/>
    <w:rsid w:val="00004E41"/>
    <w:rsid w:val="00081F9F"/>
    <w:rsid w:val="000B4D47"/>
    <w:rsid w:val="000C41D1"/>
    <w:rsid w:val="000F7FD0"/>
    <w:rsid w:val="001016F0"/>
    <w:rsid w:val="0012086B"/>
    <w:rsid w:val="00125698"/>
    <w:rsid w:val="001862B5"/>
    <w:rsid w:val="00196AB5"/>
    <w:rsid w:val="001D2655"/>
    <w:rsid w:val="00217081"/>
    <w:rsid w:val="00223FF1"/>
    <w:rsid w:val="002364A2"/>
    <w:rsid w:val="00263B2C"/>
    <w:rsid w:val="002E04D3"/>
    <w:rsid w:val="002F0CF4"/>
    <w:rsid w:val="00332793"/>
    <w:rsid w:val="00350BAC"/>
    <w:rsid w:val="0037543E"/>
    <w:rsid w:val="003B07B1"/>
    <w:rsid w:val="003C2338"/>
    <w:rsid w:val="003C7008"/>
    <w:rsid w:val="003F256D"/>
    <w:rsid w:val="00477CC1"/>
    <w:rsid w:val="004905A5"/>
    <w:rsid w:val="004E3B37"/>
    <w:rsid w:val="004F009F"/>
    <w:rsid w:val="00512AAD"/>
    <w:rsid w:val="00512CE9"/>
    <w:rsid w:val="00544848"/>
    <w:rsid w:val="00610D84"/>
    <w:rsid w:val="0063655A"/>
    <w:rsid w:val="00662E10"/>
    <w:rsid w:val="006659B5"/>
    <w:rsid w:val="006D589E"/>
    <w:rsid w:val="006F4F88"/>
    <w:rsid w:val="00745572"/>
    <w:rsid w:val="00787CEC"/>
    <w:rsid w:val="00795F5A"/>
    <w:rsid w:val="007A47B6"/>
    <w:rsid w:val="00817495"/>
    <w:rsid w:val="008434C8"/>
    <w:rsid w:val="008915D3"/>
    <w:rsid w:val="009A5551"/>
    <w:rsid w:val="009C3099"/>
    <w:rsid w:val="009F470C"/>
    <w:rsid w:val="00A03021"/>
    <w:rsid w:val="00A45A20"/>
    <w:rsid w:val="00A836DE"/>
    <w:rsid w:val="00AD601D"/>
    <w:rsid w:val="00B24C81"/>
    <w:rsid w:val="00B82C51"/>
    <w:rsid w:val="00C76E92"/>
    <w:rsid w:val="00CF4CBA"/>
    <w:rsid w:val="00D34C1A"/>
    <w:rsid w:val="00D91E96"/>
    <w:rsid w:val="00D936A4"/>
    <w:rsid w:val="00E0197B"/>
    <w:rsid w:val="00E055C8"/>
    <w:rsid w:val="00E15F1E"/>
    <w:rsid w:val="00E178C0"/>
    <w:rsid w:val="00E17FBE"/>
    <w:rsid w:val="00E24486"/>
    <w:rsid w:val="00E71AC9"/>
    <w:rsid w:val="00E87894"/>
    <w:rsid w:val="00E960C5"/>
    <w:rsid w:val="00EA1283"/>
    <w:rsid w:val="00EF38F4"/>
    <w:rsid w:val="00F12166"/>
    <w:rsid w:val="00F611B5"/>
    <w:rsid w:val="00F7186B"/>
    <w:rsid w:val="00F93BFF"/>
    <w:rsid w:val="00FD2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F54567"/>
  <w15:docId w15:val="{96A18D4C-40AE-4FBD-AF5D-7D7C671E3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8F4"/>
  </w:style>
  <w:style w:type="paragraph" w:styleId="Heading2">
    <w:name w:val="heading 2"/>
    <w:basedOn w:val="Normal"/>
    <w:link w:val="Heading2Char"/>
    <w:uiPriority w:val="9"/>
    <w:qFormat/>
    <w:rsid w:val="001256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56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15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77CC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7CC1"/>
    <w:rPr>
      <w:i/>
      <w:iCs/>
    </w:rPr>
  </w:style>
  <w:style w:type="character" w:styleId="Strong">
    <w:name w:val="Strong"/>
    <w:basedOn w:val="DefaultParagraphFont"/>
    <w:uiPriority w:val="22"/>
    <w:qFormat/>
    <w:rsid w:val="00477CC1"/>
    <w:rPr>
      <w:b/>
      <w:bCs/>
    </w:rPr>
  </w:style>
  <w:style w:type="character" w:customStyle="1" w:styleId="Heading2Char">
    <w:name w:val="Heading 2 Char"/>
    <w:basedOn w:val="DefaultParagraphFont"/>
    <w:link w:val="Heading2"/>
    <w:uiPriority w:val="9"/>
    <w:rsid w:val="001256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569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263B2C"/>
    <w:rPr>
      <w:color w:val="0000FF" w:themeColor="hyperlink"/>
      <w:u w:val="single"/>
    </w:rPr>
  </w:style>
  <w:style w:type="character" w:styleId="UnresolvedMention">
    <w:name w:val="Unresolved Mention"/>
    <w:basedOn w:val="DefaultParagraphFont"/>
    <w:uiPriority w:val="99"/>
    <w:semiHidden/>
    <w:unhideWhenUsed/>
    <w:rsid w:val="00263B2C"/>
    <w:rPr>
      <w:color w:val="605E5C"/>
      <w:shd w:val="clear" w:color="auto" w:fill="E1DFDD"/>
    </w:rPr>
  </w:style>
  <w:style w:type="paragraph" w:styleId="Header">
    <w:name w:val="header"/>
    <w:basedOn w:val="Normal"/>
    <w:link w:val="HeaderChar"/>
    <w:uiPriority w:val="99"/>
    <w:unhideWhenUsed/>
    <w:rsid w:val="000C4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1D1"/>
  </w:style>
  <w:style w:type="paragraph" w:styleId="Footer">
    <w:name w:val="footer"/>
    <w:basedOn w:val="Normal"/>
    <w:link w:val="FooterChar"/>
    <w:uiPriority w:val="99"/>
    <w:unhideWhenUsed/>
    <w:rsid w:val="000C4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20537">
      <w:bodyDiv w:val="1"/>
      <w:marLeft w:val="0"/>
      <w:marRight w:val="0"/>
      <w:marTop w:val="0"/>
      <w:marBottom w:val="0"/>
      <w:divBdr>
        <w:top w:val="none" w:sz="0" w:space="0" w:color="auto"/>
        <w:left w:val="none" w:sz="0" w:space="0" w:color="auto"/>
        <w:bottom w:val="none" w:sz="0" w:space="0" w:color="auto"/>
        <w:right w:val="none" w:sz="0" w:space="0" w:color="auto"/>
      </w:divBdr>
      <w:divsChild>
        <w:div w:id="1473325070">
          <w:marLeft w:val="0"/>
          <w:marRight w:val="0"/>
          <w:marTop w:val="0"/>
          <w:marBottom w:val="0"/>
          <w:divBdr>
            <w:top w:val="none" w:sz="0" w:space="0" w:color="auto"/>
            <w:left w:val="none" w:sz="0" w:space="0" w:color="auto"/>
            <w:bottom w:val="none" w:sz="0" w:space="0" w:color="auto"/>
            <w:right w:val="none" w:sz="0" w:space="0" w:color="auto"/>
          </w:divBdr>
        </w:div>
        <w:div w:id="725907731">
          <w:marLeft w:val="0"/>
          <w:marRight w:val="0"/>
          <w:marTop w:val="0"/>
          <w:marBottom w:val="0"/>
          <w:divBdr>
            <w:top w:val="none" w:sz="0" w:space="0" w:color="auto"/>
            <w:left w:val="none" w:sz="0" w:space="0" w:color="auto"/>
            <w:bottom w:val="none" w:sz="0" w:space="0" w:color="auto"/>
            <w:right w:val="none" w:sz="0" w:space="0" w:color="auto"/>
          </w:divBdr>
        </w:div>
        <w:div w:id="2109738745">
          <w:marLeft w:val="0"/>
          <w:marRight w:val="0"/>
          <w:marTop w:val="0"/>
          <w:marBottom w:val="0"/>
          <w:divBdr>
            <w:top w:val="none" w:sz="0" w:space="0" w:color="auto"/>
            <w:left w:val="none" w:sz="0" w:space="0" w:color="auto"/>
            <w:bottom w:val="none" w:sz="0" w:space="0" w:color="auto"/>
            <w:right w:val="none" w:sz="0" w:space="0" w:color="auto"/>
          </w:divBdr>
        </w:div>
      </w:divsChild>
    </w:div>
    <w:div w:id="150294993">
      <w:bodyDiv w:val="1"/>
      <w:marLeft w:val="0"/>
      <w:marRight w:val="0"/>
      <w:marTop w:val="0"/>
      <w:marBottom w:val="0"/>
      <w:divBdr>
        <w:top w:val="none" w:sz="0" w:space="0" w:color="auto"/>
        <w:left w:val="none" w:sz="0" w:space="0" w:color="auto"/>
        <w:bottom w:val="none" w:sz="0" w:space="0" w:color="auto"/>
        <w:right w:val="none" w:sz="0" w:space="0" w:color="auto"/>
      </w:divBdr>
    </w:div>
    <w:div w:id="319887603">
      <w:bodyDiv w:val="1"/>
      <w:marLeft w:val="0"/>
      <w:marRight w:val="0"/>
      <w:marTop w:val="0"/>
      <w:marBottom w:val="0"/>
      <w:divBdr>
        <w:top w:val="none" w:sz="0" w:space="0" w:color="auto"/>
        <w:left w:val="none" w:sz="0" w:space="0" w:color="auto"/>
        <w:bottom w:val="none" w:sz="0" w:space="0" w:color="auto"/>
        <w:right w:val="none" w:sz="0" w:space="0" w:color="auto"/>
      </w:divBdr>
    </w:div>
    <w:div w:id="385639664">
      <w:bodyDiv w:val="1"/>
      <w:marLeft w:val="0"/>
      <w:marRight w:val="0"/>
      <w:marTop w:val="0"/>
      <w:marBottom w:val="0"/>
      <w:divBdr>
        <w:top w:val="none" w:sz="0" w:space="0" w:color="auto"/>
        <w:left w:val="none" w:sz="0" w:space="0" w:color="auto"/>
        <w:bottom w:val="none" w:sz="0" w:space="0" w:color="auto"/>
        <w:right w:val="none" w:sz="0" w:space="0" w:color="auto"/>
      </w:divBdr>
    </w:div>
    <w:div w:id="526917139">
      <w:bodyDiv w:val="1"/>
      <w:marLeft w:val="0"/>
      <w:marRight w:val="0"/>
      <w:marTop w:val="0"/>
      <w:marBottom w:val="0"/>
      <w:divBdr>
        <w:top w:val="none" w:sz="0" w:space="0" w:color="auto"/>
        <w:left w:val="none" w:sz="0" w:space="0" w:color="auto"/>
        <w:bottom w:val="none" w:sz="0" w:space="0" w:color="auto"/>
        <w:right w:val="none" w:sz="0" w:space="0" w:color="auto"/>
      </w:divBdr>
      <w:divsChild>
        <w:div w:id="1472869724">
          <w:marLeft w:val="0"/>
          <w:marRight w:val="0"/>
          <w:marTop w:val="0"/>
          <w:marBottom w:val="0"/>
          <w:divBdr>
            <w:top w:val="none" w:sz="0" w:space="0" w:color="auto"/>
            <w:left w:val="none" w:sz="0" w:space="0" w:color="auto"/>
            <w:bottom w:val="none" w:sz="0" w:space="0" w:color="auto"/>
            <w:right w:val="none" w:sz="0" w:space="0" w:color="auto"/>
          </w:divBdr>
          <w:divsChild>
            <w:div w:id="1706758264">
              <w:marLeft w:val="0"/>
              <w:marRight w:val="0"/>
              <w:marTop w:val="0"/>
              <w:marBottom w:val="0"/>
              <w:divBdr>
                <w:top w:val="none" w:sz="0" w:space="0" w:color="auto"/>
                <w:left w:val="none" w:sz="0" w:space="0" w:color="auto"/>
                <w:bottom w:val="none" w:sz="0" w:space="0" w:color="auto"/>
                <w:right w:val="none" w:sz="0" w:space="0" w:color="auto"/>
              </w:divBdr>
              <w:divsChild>
                <w:div w:id="1093428163">
                  <w:marLeft w:val="0"/>
                  <w:marRight w:val="0"/>
                  <w:marTop w:val="0"/>
                  <w:marBottom w:val="0"/>
                  <w:divBdr>
                    <w:top w:val="none" w:sz="0" w:space="0" w:color="auto"/>
                    <w:left w:val="none" w:sz="0" w:space="0" w:color="auto"/>
                    <w:bottom w:val="none" w:sz="0" w:space="0" w:color="auto"/>
                    <w:right w:val="none" w:sz="0" w:space="0" w:color="auto"/>
                  </w:divBdr>
                  <w:divsChild>
                    <w:div w:id="790319355">
                      <w:marLeft w:val="0"/>
                      <w:marRight w:val="0"/>
                      <w:marTop w:val="0"/>
                      <w:marBottom w:val="0"/>
                      <w:divBdr>
                        <w:top w:val="none" w:sz="0" w:space="0" w:color="auto"/>
                        <w:left w:val="none" w:sz="0" w:space="0" w:color="auto"/>
                        <w:bottom w:val="none" w:sz="0" w:space="0" w:color="auto"/>
                        <w:right w:val="none" w:sz="0" w:space="0" w:color="auto"/>
                      </w:divBdr>
                      <w:divsChild>
                        <w:div w:id="225453106">
                          <w:marLeft w:val="0"/>
                          <w:marRight w:val="0"/>
                          <w:marTop w:val="0"/>
                          <w:marBottom w:val="0"/>
                          <w:divBdr>
                            <w:top w:val="none" w:sz="0" w:space="0" w:color="auto"/>
                            <w:left w:val="none" w:sz="0" w:space="0" w:color="auto"/>
                            <w:bottom w:val="none" w:sz="0" w:space="0" w:color="auto"/>
                            <w:right w:val="none" w:sz="0" w:space="0" w:color="auto"/>
                          </w:divBdr>
                          <w:divsChild>
                            <w:div w:id="1715038606">
                              <w:marLeft w:val="0"/>
                              <w:marRight w:val="0"/>
                              <w:marTop w:val="0"/>
                              <w:marBottom w:val="0"/>
                              <w:divBdr>
                                <w:top w:val="none" w:sz="0" w:space="0" w:color="auto"/>
                                <w:left w:val="none" w:sz="0" w:space="0" w:color="auto"/>
                                <w:bottom w:val="none" w:sz="0" w:space="0" w:color="auto"/>
                                <w:right w:val="none" w:sz="0" w:space="0" w:color="auto"/>
                              </w:divBdr>
                              <w:divsChild>
                                <w:div w:id="611017340">
                                  <w:marLeft w:val="0"/>
                                  <w:marRight w:val="0"/>
                                  <w:marTop w:val="0"/>
                                  <w:marBottom w:val="0"/>
                                  <w:divBdr>
                                    <w:top w:val="none" w:sz="0" w:space="0" w:color="auto"/>
                                    <w:left w:val="none" w:sz="0" w:space="0" w:color="auto"/>
                                    <w:bottom w:val="none" w:sz="0" w:space="0" w:color="auto"/>
                                    <w:right w:val="none" w:sz="0" w:space="0" w:color="auto"/>
                                  </w:divBdr>
                                  <w:divsChild>
                                    <w:div w:id="1270044572">
                                      <w:marLeft w:val="0"/>
                                      <w:marRight w:val="0"/>
                                      <w:marTop w:val="0"/>
                                      <w:marBottom w:val="0"/>
                                      <w:divBdr>
                                        <w:top w:val="none" w:sz="0" w:space="0" w:color="auto"/>
                                        <w:left w:val="none" w:sz="0" w:space="0" w:color="auto"/>
                                        <w:bottom w:val="none" w:sz="0" w:space="0" w:color="auto"/>
                                        <w:right w:val="none" w:sz="0" w:space="0" w:color="auto"/>
                                      </w:divBdr>
                                      <w:divsChild>
                                        <w:div w:id="1406609653">
                                          <w:marLeft w:val="0"/>
                                          <w:marRight w:val="0"/>
                                          <w:marTop w:val="0"/>
                                          <w:marBottom w:val="0"/>
                                          <w:divBdr>
                                            <w:top w:val="none" w:sz="0" w:space="0" w:color="auto"/>
                                            <w:left w:val="none" w:sz="0" w:space="0" w:color="auto"/>
                                            <w:bottom w:val="none" w:sz="0" w:space="0" w:color="auto"/>
                                            <w:right w:val="none" w:sz="0" w:space="0" w:color="auto"/>
                                          </w:divBdr>
                                          <w:divsChild>
                                            <w:div w:id="18167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6687402">
      <w:bodyDiv w:val="1"/>
      <w:marLeft w:val="0"/>
      <w:marRight w:val="0"/>
      <w:marTop w:val="0"/>
      <w:marBottom w:val="0"/>
      <w:divBdr>
        <w:top w:val="none" w:sz="0" w:space="0" w:color="auto"/>
        <w:left w:val="none" w:sz="0" w:space="0" w:color="auto"/>
        <w:bottom w:val="none" w:sz="0" w:space="0" w:color="auto"/>
        <w:right w:val="none" w:sz="0" w:space="0" w:color="auto"/>
      </w:divBdr>
    </w:div>
    <w:div w:id="710421888">
      <w:bodyDiv w:val="1"/>
      <w:marLeft w:val="0"/>
      <w:marRight w:val="0"/>
      <w:marTop w:val="0"/>
      <w:marBottom w:val="0"/>
      <w:divBdr>
        <w:top w:val="none" w:sz="0" w:space="0" w:color="auto"/>
        <w:left w:val="none" w:sz="0" w:space="0" w:color="auto"/>
        <w:bottom w:val="none" w:sz="0" w:space="0" w:color="auto"/>
        <w:right w:val="none" w:sz="0" w:space="0" w:color="auto"/>
      </w:divBdr>
      <w:divsChild>
        <w:div w:id="739594252">
          <w:marLeft w:val="0"/>
          <w:marRight w:val="0"/>
          <w:marTop w:val="0"/>
          <w:marBottom w:val="0"/>
          <w:divBdr>
            <w:top w:val="none" w:sz="0" w:space="0" w:color="auto"/>
            <w:left w:val="none" w:sz="0" w:space="0" w:color="auto"/>
            <w:bottom w:val="none" w:sz="0" w:space="0" w:color="auto"/>
            <w:right w:val="none" w:sz="0" w:space="0" w:color="auto"/>
          </w:divBdr>
          <w:divsChild>
            <w:div w:id="369185235">
              <w:marLeft w:val="0"/>
              <w:marRight w:val="0"/>
              <w:marTop w:val="0"/>
              <w:marBottom w:val="0"/>
              <w:divBdr>
                <w:top w:val="none" w:sz="0" w:space="0" w:color="auto"/>
                <w:left w:val="none" w:sz="0" w:space="0" w:color="auto"/>
                <w:bottom w:val="none" w:sz="0" w:space="0" w:color="auto"/>
                <w:right w:val="none" w:sz="0" w:space="0" w:color="auto"/>
              </w:divBdr>
            </w:div>
          </w:divsChild>
        </w:div>
        <w:div w:id="517736764">
          <w:marLeft w:val="0"/>
          <w:marRight w:val="0"/>
          <w:marTop w:val="0"/>
          <w:marBottom w:val="0"/>
          <w:divBdr>
            <w:top w:val="none" w:sz="0" w:space="0" w:color="auto"/>
            <w:left w:val="none" w:sz="0" w:space="0" w:color="auto"/>
            <w:bottom w:val="none" w:sz="0" w:space="0" w:color="auto"/>
            <w:right w:val="none" w:sz="0" w:space="0" w:color="auto"/>
          </w:divBdr>
          <w:divsChild>
            <w:div w:id="73013801">
              <w:marLeft w:val="0"/>
              <w:marRight w:val="0"/>
              <w:marTop w:val="0"/>
              <w:marBottom w:val="0"/>
              <w:divBdr>
                <w:top w:val="none" w:sz="0" w:space="0" w:color="auto"/>
                <w:left w:val="none" w:sz="0" w:space="0" w:color="auto"/>
                <w:bottom w:val="none" w:sz="0" w:space="0" w:color="auto"/>
                <w:right w:val="none" w:sz="0" w:space="0" w:color="auto"/>
              </w:divBdr>
            </w:div>
          </w:divsChild>
        </w:div>
        <w:div w:id="584654983">
          <w:marLeft w:val="0"/>
          <w:marRight w:val="0"/>
          <w:marTop w:val="0"/>
          <w:marBottom w:val="0"/>
          <w:divBdr>
            <w:top w:val="none" w:sz="0" w:space="0" w:color="auto"/>
            <w:left w:val="none" w:sz="0" w:space="0" w:color="auto"/>
            <w:bottom w:val="none" w:sz="0" w:space="0" w:color="auto"/>
            <w:right w:val="none" w:sz="0" w:space="0" w:color="auto"/>
          </w:divBdr>
          <w:divsChild>
            <w:div w:id="991710905">
              <w:marLeft w:val="0"/>
              <w:marRight w:val="0"/>
              <w:marTop w:val="0"/>
              <w:marBottom w:val="0"/>
              <w:divBdr>
                <w:top w:val="none" w:sz="0" w:space="0" w:color="auto"/>
                <w:left w:val="none" w:sz="0" w:space="0" w:color="auto"/>
                <w:bottom w:val="none" w:sz="0" w:space="0" w:color="auto"/>
                <w:right w:val="none" w:sz="0" w:space="0" w:color="auto"/>
              </w:divBdr>
            </w:div>
          </w:divsChild>
        </w:div>
        <w:div w:id="876234698">
          <w:marLeft w:val="0"/>
          <w:marRight w:val="0"/>
          <w:marTop w:val="0"/>
          <w:marBottom w:val="0"/>
          <w:divBdr>
            <w:top w:val="none" w:sz="0" w:space="0" w:color="auto"/>
            <w:left w:val="none" w:sz="0" w:space="0" w:color="auto"/>
            <w:bottom w:val="none" w:sz="0" w:space="0" w:color="auto"/>
            <w:right w:val="none" w:sz="0" w:space="0" w:color="auto"/>
          </w:divBdr>
          <w:divsChild>
            <w:div w:id="97332982">
              <w:marLeft w:val="0"/>
              <w:marRight w:val="0"/>
              <w:marTop w:val="0"/>
              <w:marBottom w:val="0"/>
              <w:divBdr>
                <w:top w:val="none" w:sz="0" w:space="0" w:color="auto"/>
                <w:left w:val="none" w:sz="0" w:space="0" w:color="auto"/>
                <w:bottom w:val="none" w:sz="0" w:space="0" w:color="auto"/>
                <w:right w:val="none" w:sz="0" w:space="0" w:color="auto"/>
              </w:divBdr>
            </w:div>
          </w:divsChild>
        </w:div>
        <w:div w:id="818380092">
          <w:marLeft w:val="0"/>
          <w:marRight w:val="0"/>
          <w:marTop w:val="0"/>
          <w:marBottom w:val="0"/>
          <w:divBdr>
            <w:top w:val="none" w:sz="0" w:space="0" w:color="auto"/>
            <w:left w:val="none" w:sz="0" w:space="0" w:color="auto"/>
            <w:bottom w:val="none" w:sz="0" w:space="0" w:color="auto"/>
            <w:right w:val="none" w:sz="0" w:space="0" w:color="auto"/>
          </w:divBdr>
          <w:divsChild>
            <w:div w:id="88502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8331">
      <w:bodyDiv w:val="1"/>
      <w:marLeft w:val="0"/>
      <w:marRight w:val="0"/>
      <w:marTop w:val="0"/>
      <w:marBottom w:val="0"/>
      <w:divBdr>
        <w:top w:val="none" w:sz="0" w:space="0" w:color="auto"/>
        <w:left w:val="none" w:sz="0" w:space="0" w:color="auto"/>
        <w:bottom w:val="none" w:sz="0" w:space="0" w:color="auto"/>
        <w:right w:val="none" w:sz="0" w:space="0" w:color="auto"/>
      </w:divBdr>
    </w:div>
    <w:div w:id="869340002">
      <w:bodyDiv w:val="1"/>
      <w:marLeft w:val="0"/>
      <w:marRight w:val="0"/>
      <w:marTop w:val="0"/>
      <w:marBottom w:val="0"/>
      <w:divBdr>
        <w:top w:val="none" w:sz="0" w:space="0" w:color="auto"/>
        <w:left w:val="none" w:sz="0" w:space="0" w:color="auto"/>
        <w:bottom w:val="none" w:sz="0" w:space="0" w:color="auto"/>
        <w:right w:val="none" w:sz="0" w:space="0" w:color="auto"/>
      </w:divBdr>
    </w:div>
    <w:div w:id="1339038978">
      <w:bodyDiv w:val="1"/>
      <w:marLeft w:val="0"/>
      <w:marRight w:val="0"/>
      <w:marTop w:val="0"/>
      <w:marBottom w:val="0"/>
      <w:divBdr>
        <w:top w:val="none" w:sz="0" w:space="0" w:color="auto"/>
        <w:left w:val="none" w:sz="0" w:space="0" w:color="auto"/>
        <w:bottom w:val="none" w:sz="0" w:space="0" w:color="auto"/>
        <w:right w:val="none" w:sz="0" w:space="0" w:color="auto"/>
      </w:divBdr>
    </w:div>
    <w:div w:id="1377315340">
      <w:bodyDiv w:val="1"/>
      <w:marLeft w:val="0"/>
      <w:marRight w:val="0"/>
      <w:marTop w:val="0"/>
      <w:marBottom w:val="0"/>
      <w:divBdr>
        <w:top w:val="none" w:sz="0" w:space="0" w:color="auto"/>
        <w:left w:val="none" w:sz="0" w:space="0" w:color="auto"/>
        <w:bottom w:val="none" w:sz="0" w:space="0" w:color="auto"/>
        <w:right w:val="none" w:sz="0" w:space="0" w:color="auto"/>
      </w:divBdr>
    </w:div>
    <w:div w:id="1405492323">
      <w:bodyDiv w:val="1"/>
      <w:marLeft w:val="0"/>
      <w:marRight w:val="0"/>
      <w:marTop w:val="0"/>
      <w:marBottom w:val="0"/>
      <w:divBdr>
        <w:top w:val="none" w:sz="0" w:space="0" w:color="auto"/>
        <w:left w:val="none" w:sz="0" w:space="0" w:color="auto"/>
        <w:bottom w:val="none" w:sz="0" w:space="0" w:color="auto"/>
        <w:right w:val="none" w:sz="0" w:space="0" w:color="auto"/>
      </w:divBdr>
    </w:div>
    <w:div w:id="1533030005">
      <w:bodyDiv w:val="1"/>
      <w:marLeft w:val="0"/>
      <w:marRight w:val="0"/>
      <w:marTop w:val="0"/>
      <w:marBottom w:val="0"/>
      <w:divBdr>
        <w:top w:val="none" w:sz="0" w:space="0" w:color="auto"/>
        <w:left w:val="none" w:sz="0" w:space="0" w:color="auto"/>
        <w:bottom w:val="none" w:sz="0" w:space="0" w:color="auto"/>
        <w:right w:val="none" w:sz="0" w:space="0" w:color="auto"/>
      </w:divBdr>
      <w:divsChild>
        <w:div w:id="1089279153">
          <w:marLeft w:val="0"/>
          <w:marRight w:val="0"/>
          <w:marTop w:val="0"/>
          <w:marBottom w:val="0"/>
          <w:divBdr>
            <w:top w:val="none" w:sz="0" w:space="0" w:color="auto"/>
            <w:left w:val="none" w:sz="0" w:space="0" w:color="auto"/>
            <w:bottom w:val="none" w:sz="0" w:space="0" w:color="auto"/>
            <w:right w:val="none" w:sz="0" w:space="0" w:color="auto"/>
          </w:divBdr>
          <w:divsChild>
            <w:div w:id="416485155">
              <w:marLeft w:val="0"/>
              <w:marRight w:val="0"/>
              <w:marTop w:val="0"/>
              <w:marBottom w:val="0"/>
              <w:divBdr>
                <w:top w:val="none" w:sz="0" w:space="0" w:color="auto"/>
                <w:left w:val="none" w:sz="0" w:space="0" w:color="auto"/>
                <w:bottom w:val="none" w:sz="0" w:space="0" w:color="auto"/>
                <w:right w:val="none" w:sz="0" w:space="0" w:color="auto"/>
              </w:divBdr>
            </w:div>
          </w:divsChild>
        </w:div>
        <w:div w:id="2036613528">
          <w:marLeft w:val="0"/>
          <w:marRight w:val="0"/>
          <w:marTop w:val="0"/>
          <w:marBottom w:val="0"/>
          <w:divBdr>
            <w:top w:val="none" w:sz="0" w:space="0" w:color="auto"/>
            <w:left w:val="none" w:sz="0" w:space="0" w:color="auto"/>
            <w:bottom w:val="none" w:sz="0" w:space="0" w:color="auto"/>
            <w:right w:val="none" w:sz="0" w:space="0" w:color="auto"/>
          </w:divBdr>
          <w:divsChild>
            <w:div w:id="590504523">
              <w:marLeft w:val="0"/>
              <w:marRight w:val="0"/>
              <w:marTop w:val="0"/>
              <w:marBottom w:val="0"/>
              <w:divBdr>
                <w:top w:val="none" w:sz="0" w:space="0" w:color="auto"/>
                <w:left w:val="none" w:sz="0" w:space="0" w:color="auto"/>
                <w:bottom w:val="none" w:sz="0" w:space="0" w:color="auto"/>
                <w:right w:val="none" w:sz="0" w:space="0" w:color="auto"/>
              </w:divBdr>
            </w:div>
          </w:divsChild>
        </w:div>
        <w:div w:id="477957846">
          <w:marLeft w:val="0"/>
          <w:marRight w:val="0"/>
          <w:marTop w:val="0"/>
          <w:marBottom w:val="0"/>
          <w:divBdr>
            <w:top w:val="none" w:sz="0" w:space="0" w:color="auto"/>
            <w:left w:val="none" w:sz="0" w:space="0" w:color="auto"/>
            <w:bottom w:val="none" w:sz="0" w:space="0" w:color="auto"/>
            <w:right w:val="none" w:sz="0" w:space="0" w:color="auto"/>
          </w:divBdr>
          <w:divsChild>
            <w:div w:id="268466555">
              <w:marLeft w:val="0"/>
              <w:marRight w:val="0"/>
              <w:marTop w:val="0"/>
              <w:marBottom w:val="0"/>
              <w:divBdr>
                <w:top w:val="none" w:sz="0" w:space="0" w:color="auto"/>
                <w:left w:val="none" w:sz="0" w:space="0" w:color="auto"/>
                <w:bottom w:val="none" w:sz="0" w:space="0" w:color="auto"/>
                <w:right w:val="none" w:sz="0" w:space="0" w:color="auto"/>
              </w:divBdr>
            </w:div>
          </w:divsChild>
        </w:div>
        <w:div w:id="1723863708">
          <w:marLeft w:val="0"/>
          <w:marRight w:val="0"/>
          <w:marTop w:val="0"/>
          <w:marBottom w:val="0"/>
          <w:divBdr>
            <w:top w:val="none" w:sz="0" w:space="0" w:color="auto"/>
            <w:left w:val="none" w:sz="0" w:space="0" w:color="auto"/>
            <w:bottom w:val="none" w:sz="0" w:space="0" w:color="auto"/>
            <w:right w:val="none" w:sz="0" w:space="0" w:color="auto"/>
          </w:divBdr>
          <w:divsChild>
            <w:div w:id="1991278030">
              <w:marLeft w:val="0"/>
              <w:marRight w:val="0"/>
              <w:marTop w:val="0"/>
              <w:marBottom w:val="0"/>
              <w:divBdr>
                <w:top w:val="none" w:sz="0" w:space="0" w:color="auto"/>
                <w:left w:val="none" w:sz="0" w:space="0" w:color="auto"/>
                <w:bottom w:val="none" w:sz="0" w:space="0" w:color="auto"/>
                <w:right w:val="none" w:sz="0" w:space="0" w:color="auto"/>
              </w:divBdr>
            </w:div>
          </w:divsChild>
        </w:div>
        <w:div w:id="1558013307">
          <w:marLeft w:val="0"/>
          <w:marRight w:val="0"/>
          <w:marTop w:val="0"/>
          <w:marBottom w:val="0"/>
          <w:divBdr>
            <w:top w:val="none" w:sz="0" w:space="0" w:color="auto"/>
            <w:left w:val="none" w:sz="0" w:space="0" w:color="auto"/>
            <w:bottom w:val="none" w:sz="0" w:space="0" w:color="auto"/>
            <w:right w:val="none" w:sz="0" w:space="0" w:color="auto"/>
          </w:divBdr>
          <w:divsChild>
            <w:div w:id="19170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5157">
      <w:bodyDiv w:val="1"/>
      <w:marLeft w:val="0"/>
      <w:marRight w:val="0"/>
      <w:marTop w:val="0"/>
      <w:marBottom w:val="0"/>
      <w:divBdr>
        <w:top w:val="none" w:sz="0" w:space="0" w:color="auto"/>
        <w:left w:val="none" w:sz="0" w:space="0" w:color="auto"/>
        <w:bottom w:val="none" w:sz="0" w:space="0" w:color="auto"/>
        <w:right w:val="none" w:sz="0" w:space="0" w:color="auto"/>
      </w:divBdr>
    </w:div>
    <w:div w:id="1597597897">
      <w:bodyDiv w:val="1"/>
      <w:marLeft w:val="0"/>
      <w:marRight w:val="0"/>
      <w:marTop w:val="0"/>
      <w:marBottom w:val="0"/>
      <w:divBdr>
        <w:top w:val="none" w:sz="0" w:space="0" w:color="auto"/>
        <w:left w:val="none" w:sz="0" w:space="0" w:color="auto"/>
        <w:bottom w:val="none" w:sz="0" w:space="0" w:color="auto"/>
        <w:right w:val="none" w:sz="0" w:space="0" w:color="auto"/>
      </w:divBdr>
    </w:div>
    <w:div w:id="1815872638">
      <w:bodyDiv w:val="1"/>
      <w:marLeft w:val="0"/>
      <w:marRight w:val="0"/>
      <w:marTop w:val="0"/>
      <w:marBottom w:val="0"/>
      <w:divBdr>
        <w:top w:val="none" w:sz="0" w:space="0" w:color="auto"/>
        <w:left w:val="none" w:sz="0" w:space="0" w:color="auto"/>
        <w:bottom w:val="none" w:sz="0" w:space="0" w:color="auto"/>
        <w:right w:val="none" w:sz="0" w:space="0" w:color="auto"/>
      </w:divBdr>
    </w:div>
    <w:div w:id="2001345043">
      <w:bodyDiv w:val="1"/>
      <w:marLeft w:val="0"/>
      <w:marRight w:val="0"/>
      <w:marTop w:val="0"/>
      <w:marBottom w:val="0"/>
      <w:divBdr>
        <w:top w:val="none" w:sz="0" w:space="0" w:color="auto"/>
        <w:left w:val="none" w:sz="0" w:space="0" w:color="auto"/>
        <w:bottom w:val="none" w:sz="0" w:space="0" w:color="auto"/>
        <w:right w:val="none" w:sz="0" w:space="0" w:color="auto"/>
      </w:divBdr>
    </w:div>
    <w:div w:id="2025668640">
      <w:bodyDiv w:val="1"/>
      <w:marLeft w:val="0"/>
      <w:marRight w:val="0"/>
      <w:marTop w:val="0"/>
      <w:marBottom w:val="0"/>
      <w:divBdr>
        <w:top w:val="none" w:sz="0" w:space="0" w:color="auto"/>
        <w:left w:val="none" w:sz="0" w:space="0" w:color="auto"/>
        <w:bottom w:val="none" w:sz="0" w:space="0" w:color="auto"/>
        <w:right w:val="none" w:sz="0" w:space="0" w:color="auto"/>
      </w:divBdr>
    </w:div>
    <w:div w:id="205908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54405910808700406" TargetMode="External"/><Relationship Id="rId13" Type="http://schemas.openxmlformats.org/officeDocument/2006/relationships/hyperlink" Target="https://doi.org/10.1007/s00784-017-2063-9"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elsevier.com/books/management-of-temporomandibular-disorders-and-occlusion/okeson/978-0-323-58210-0" TargetMode="External"/><Relationship Id="rId12" Type="http://schemas.openxmlformats.org/officeDocument/2006/relationships/hyperlink" Target="https://doi.org/10.1016/0278-2391(91)90409-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ijom.2017.09.01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304-3959(02)00240-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07/s00784-020-03710-w" TargetMode="External"/><Relationship Id="rId23" Type="http://schemas.openxmlformats.org/officeDocument/2006/relationships/fontTable" Target="fontTable.xml"/><Relationship Id="rId10" Type="http://schemas.openxmlformats.org/officeDocument/2006/relationships/hyperlink" Target="https://doi.org/10.1016/j.joms.2015.03.04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79/crn.2010.023" TargetMode="External"/><Relationship Id="rId14" Type="http://schemas.openxmlformats.org/officeDocument/2006/relationships/hyperlink" Target="https://doi.org/10.1097/SCS.000000000000654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451</TotalTime>
  <Pages>13</Pages>
  <Words>5172</Words>
  <Characters>29486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Smile</dc:creator>
  <cp:keywords/>
  <dc:description/>
  <cp:lastModifiedBy>SDI 1084</cp:lastModifiedBy>
  <cp:revision>67</cp:revision>
  <dcterms:created xsi:type="dcterms:W3CDTF">2025-11-25T07:21:00Z</dcterms:created>
  <dcterms:modified xsi:type="dcterms:W3CDTF">2026-01-03T08:05:00Z</dcterms:modified>
</cp:coreProperties>
</file>