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52F15" w14:textId="77777777" w:rsidR="00960BD6" w:rsidRDefault="00960BD6" w:rsidP="006B5716">
      <w:pPr>
        <w:jc w:val="center"/>
        <w:rPr>
          <w:rFonts w:ascii="Arial" w:hAnsi="Arial" w:cs="Arial"/>
          <w:b/>
          <w:bCs/>
          <w:sz w:val="36"/>
          <w:szCs w:val="36"/>
        </w:rPr>
      </w:pPr>
      <w:r w:rsidRPr="00960BD6">
        <w:rPr>
          <w:rFonts w:ascii="Arial" w:hAnsi="Arial" w:cs="Arial"/>
          <w:b/>
          <w:bCs/>
          <w:sz w:val="36"/>
          <w:szCs w:val="36"/>
        </w:rPr>
        <w:t xml:space="preserve">Case report </w:t>
      </w:r>
    </w:p>
    <w:p w14:paraId="592F236C" w14:textId="77777777" w:rsidR="00960BD6" w:rsidRDefault="00960BD6" w:rsidP="006B5716">
      <w:pPr>
        <w:jc w:val="center"/>
        <w:rPr>
          <w:rFonts w:ascii="Arial" w:hAnsi="Arial" w:cs="Arial"/>
          <w:b/>
          <w:bCs/>
          <w:sz w:val="36"/>
          <w:szCs w:val="36"/>
        </w:rPr>
      </w:pPr>
    </w:p>
    <w:p w14:paraId="4D78EA62" w14:textId="0F5C0B6E" w:rsidR="006B5716" w:rsidRPr="00DD619F" w:rsidRDefault="006B5716" w:rsidP="006B5716">
      <w:pPr>
        <w:jc w:val="center"/>
        <w:rPr>
          <w:rFonts w:ascii="Arial" w:hAnsi="Arial" w:cs="Arial"/>
          <w:b/>
          <w:bCs/>
          <w:sz w:val="36"/>
          <w:szCs w:val="36"/>
        </w:rPr>
      </w:pPr>
      <w:r w:rsidRPr="00DD619F">
        <w:rPr>
          <w:rFonts w:ascii="Arial" w:hAnsi="Arial" w:cs="Arial"/>
          <w:b/>
          <w:bCs/>
          <w:sz w:val="36"/>
          <w:szCs w:val="36"/>
        </w:rPr>
        <w:t xml:space="preserve">When a Lumbar Mass </w:t>
      </w:r>
      <w:bookmarkStart w:id="0" w:name="_Hlk218243581"/>
      <w:r w:rsidRPr="00DD619F">
        <w:rPr>
          <w:rFonts w:ascii="Arial" w:hAnsi="Arial" w:cs="Arial"/>
          <w:b/>
          <w:bCs/>
          <w:sz w:val="36"/>
          <w:szCs w:val="36"/>
        </w:rPr>
        <w:t xml:space="preserve">Is Not Renal: A Rare </w:t>
      </w:r>
      <w:bookmarkEnd w:id="0"/>
      <w:r w:rsidRPr="00DD619F">
        <w:rPr>
          <w:rFonts w:ascii="Arial" w:hAnsi="Arial" w:cs="Arial"/>
          <w:b/>
          <w:bCs/>
          <w:sz w:val="36"/>
          <w:szCs w:val="36"/>
        </w:rPr>
        <w:t xml:space="preserve">Adrenocortical </w:t>
      </w:r>
      <w:proofErr w:type="spellStart"/>
      <w:r w:rsidRPr="00DD619F">
        <w:rPr>
          <w:rFonts w:ascii="Arial" w:hAnsi="Arial" w:cs="Arial"/>
          <w:b/>
          <w:bCs/>
          <w:sz w:val="36"/>
          <w:szCs w:val="36"/>
        </w:rPr>
        <w:t>Oncocytic</w:t>
      </w:r>
      <w:proofErr w:type="spellEnd"/>
      <w:r w:rsidRPr="00DD619F">
        <w:rPr>
          <w:rFonts w:ascii="Arial" w:hAnsi="Arial" w:cs="Arial"/>
          <w:b/>
          <w:bCs/>
          <w:sz w:val="36"/>
          <w:szCs w:val="36"/>
        </w:rPr>
        <w:t xml:space="preserve"> Neoplasm</w:t>
      </w:r>
    </w:p>
    <w:p w14:paraId="33B922DB" w14:textId="77777777" w:rsidR="00332084" w:rsidRDefault="00332084" w:rsidP="00DD619F">
      <w:pPr>
        <w:pStyle w:val="Affiliation"/>
        <w:spacing w:after="0" w:line="240" w:lineRule="auto"/>
        <w:rPr>
          <w:rFonts w:ascii="Arial" w:hAnsi="Arial" w:cs="Arial"/>
          <w:i/>
        </w:rPr>
      </w:pPr>
      <w:bookmarkStart w:id="1" w:name="_GoBack"/>
      <w:bookmarkEnd w:id="1"/>
    </w:p>
    <w:p w14:paraId="7CB25A1D" w14:textId="77777777" w:rsidR="00960BD6" w:rsidRDefault="00960BD6" w:rsidP="00DD619F">
      <w:pPr>
        <w:pStyle w:val="Affiliation"/>
        <w:spacing w:after="0" w:line="240" w:lineRule="auto"/>
        <w:rPr>
          <w:rFonts w:ascii="Arial" w:hAnsi="Arial" w:cs="Arial"/>
          <w:i/>
        </w:rPr>
      </w:pPr>
    </w:p>
    <w:p w14:paraId="749DA158" w14:textId="77777777" w:rsidR="00DD619F" w:rsidRPr="00DD619F" w:rsidRDefault="00DD619F" w:rsidP="006B5716">
      <w:pPr>
        <w:jc w:val="center"/>
        <w:rPr>
          <w:rFonts w:ascii="Arial" w:hAnsi="Arial" w:cs="Arial"/>
          <w:b/>
          <w:bCs/>
        </w:rPr>
      </w:pPr>
    </w:p>
    <w:p w14:paraId="5E4392A5" w14:textId="77777777" w:rsidR="00DD619F" w:rsidRPr="00DD619F" w:rsidRDefault="00DD619F" w:rsidP="00AB063C">
      <w:pPr>
        <w:rPr>
          <w:rFonts w:ascii="Arial" w:hAnsi="Arial" w:cs="Arial"/>
          <w:b/>
          <w:bCs/>
        </w:rPr>
      </w:pPr>
      <w:r w:rsidRPr="00DD619F">
        <w:rPr>
          <w:rFonts w:ascii="Arial" w:hAnsi="Arial" w:cs="Arial"/>
          <w:b/>
          <w:bCs/>
        </w:rPr>
        <w:t xml:space="preserve">ABSTRACT </w:t>
      </w:r>
    </w:p>
    <w:p w14:paraId="615DB083" w14:textId="77777777" w:rsidR="00AB063C" w:rsidRPr="00AB063C" w:rsidRDefault="00AB063C" w:rsidP="00AB063C">
      <w:pPr>
        <w:rPr>
          <w:rFonts w:ascii="Arial" w:hAnsi="Arial" w:cs="Arial"/>
          <w:sz w:val="20"/>
          <w:szCs w:val="20"/>
        </w:rPr>
      </w:pPr>
      <w:r w:rsidRPr="00AB063C">
        <w:rPr>
          <w:rFonts w:ascii="Arial" w:hAnsi="Arial" w:cs="Arial"/>
          <w:b/>
          <w:bCs/>
          <w:sz w:val="20"/>
          <w:szCs w:val="20"/>
        </w:rPr>
        <w:t>Introduction:</w:t>
      </w:r>
      <w:r w:rsidR="00DD619F">
        <w:rPr>
          <w:rFonts w:ascii="Arial" w:hAnsi="Arial" w:cs="Arial"/>
          <w:sz w:val="20"/>
          <w:szCs w:val="20"/>
        </w:rPr>
        <w:t xml:space="preserve"> </w:t>
      </w:r>
      <w:r w:rsidRPr="00AB063C">
        <w:rPr>
          <w:rFonts w:ascii="Arial" w:hAnsi="Arial" w:cs="Arial"/>
          <w:sz w:val="20"/>
          <w:szCs w:val="20"/>
        </w:rPr>
        <w:t xml:space="preserve">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(AONs) are rare tumors of the adrenal cortex characterized by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histology. Due to their rarity, variable malignant potential, and nonspecific clinical presentation, preoperative diagnosis remains challenging.</w:t>
      </w:r>
    </w:p>
    <w:p w14:paraId="624972FF" w14:textId="77777777" w:rsidR="00AB063C" w:rsidRPr="00AB063C" w:rsidRDefault="00AB063C" w:rsidP="00AB063C">
      <w:pPr>
        <w:rPr>
          <w:rFonts w:ascii="Arial" w:hAnsi="Arial" w:cs="Arial"/>
          <w:sz w:val="20"/>
          <w:szCs w:val="20"/>
        </w:rPr>
      </w:pPr>
      <w:r w:rsidRPr="00AB063C">
        <w:rPr>
          <w:rFonts w:ascii="Arial" w:hAnsi="Arial" w:cs="Arial"/>
          <w:b/>
          <w:bCs/>
          <w:sz w:val="20"/>
          <w:szCs w:val="20"/>
        </w:rPr>
        <w:t>Case Presentation:</w:t>
      </w:r>
      <w:r w:rsidR="00DD619F">
        <w:rPr>
          <w:rFonts w:ascii="Arial" w:hAnsi="Arial" w:cs="Arial"/>
          <w:sz w:val="20"/>
          <w:szCs w:val="20"/>
        </w:rPr>
        <w:t xml:space="preserve"> </w:t>
      </w:r>
      <w:r w:rsidRPr="00AB063C">
        <w:rPr>
          <w:rFonts w:ascii="Arial" w:hAnsi="Arial" w:cs="Arial"/>
          <w:sz w:val="20"/>
          <w:szCs w:val="20"/>
        </w:rPr>
        <w:t xml:space="preserve">A 38-year-old female presented with </w:t>
      </w:r>
      <w:r w:rsidR="00FF5F73">
        <w:rPr>
          <w:rFonts w:ascii="Arial" w:hAnsi="Arial" w:cs="Arial"/>
          <w:sz w:val="20"/>
          <w:szCs w:val="20"/>
        </w:rPr>
        <w:t xml:space="preserve">back pain to Orthopedics OPD for which </w:t>
      </w:r>
      <w:r w:rsidR="00FF5F73" w:rsidRPr="00AB063C">
        <w:rPr>
          <w:rFonts w:ascii="Arial" w:hAnsi="Arial" w:cs="Arial"/>
          <w:sz w:val="20"/>
          <w:szCs w:val="20"/>
        </w:rPr>
        <w:t xml:space="preserve">Contrast-enhanced computed tomography </w:t>
      </w:r>
      <w:r w:rsidR="00FF5F73">
        <w:rPr>
          <w:rFonts w:ascii="Arial" w:hAnsi="Arial" w:cs="Arial"/>
          <w:sz w:val="20"/>
          <w:szCs w:val="20"/>
        </w:rPr>
        <w:t>was done</w:t>
      </w:r>
      <w:r w:rsidRPr="00AB063C">
        <w:rPr>
          <w:rFonts w:ascii="Arial" w:hAnsi="Arial" w:cs="Arial"/>
          <w:sz w:val="20"/>
          <w:szCs w:val="20"/>
        </w:rPr>
        <w:t>.</w:t>
      </w:r>
      <w:r w:rsidR="00FF5F73">
        <w:rPr>
          <w:rFonts w:ascii="Arial" w:hAnsi="Arial" w:cs="Arial"/>
          <w:sz w:val="20"/>
          <w:szCs w:val="20"/>
        </w:rPr>
        <w:t xml:space="preserve"> It </w:t>
      </w:r>
      <w:r w:rsidR="00FF5F73" w:rsidRPr="00AB063C">
        <w:rPr>
          <w:rFonts w:ascii="Arial" w:hAnsi="Arial" w:cs="Arial"/>
          <w:sz w:val="20"/>
          <w:szCs w:val="20"/>
        </w:rPr>
        <w:t>revealed a large, well-defined left adrenal mass without evidence of invasion.</w:t>
      </w:r>
      <w:r w:rsidRPr="00AB063C">
        <w:rPr>
          <w:rFonts w:ascii="Arial" w:hAnsi="Arial" w:cs="Arial"/>
          <w:sz w:val="20"/>
          <w:szCs w:val="20"/>
        </w:rPr>
        <w:t xml:space="preserve"> </w:t>
      </w:r>
      <w:r w:rsidR="00FF5F73">
        <w:rPr>
          <w:rFonts w:ascii="Arial" w:hAnsi="Arial" w:cs="Arial"/>
          <w:sz w:val="20"/>
          <w:szCs w:val="20"/>
        </w:rPr>
        <w:t xml:space="preserve">After which she was referred to surgery OPD and then to Urology OPD for further management. </w:t>
      </w:r>
      <w:r w:rsidRPr="00AB063C">
        <w:rPr>
          <w:rFonts w:ascii="Arial" w:hAnsi="Arial" w:cs="Arial"/>
          <w:sz w:val="20"/>
          <w:szCs w:val="20"/>
        </w:rPr>
        <w:t xml:space="preserve">Clinical evaluation and hormonal workup suggested a non-functioning adrenal tumor.  The patient underwent open left adrenalectomy. Histopathological examination confirmed an 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 of uncertain malignant potential based on Lin–Weiss–Bisceglia criteria. The postoperative period was uneventful, and the patient remains disease-free on follow-up.</w:t>
      </w:r>
    </w:p>
    <w:p w14:paraId="36CD7F92" w14:textId="77777777" w:rsidR="00AB063C" w:rsidRDefault="00AB063C" w:rsidP="00AB063C">
      <w:pPr>
        <w:rPr>
          <w:rFonts w:ascii="Arial" w:hAnsi="Arial" w:cs="Arial"/>
          <w:sz w:val="20"/>
          <w:szCs w:val="20"/>
        </w:rPr>
      </w:pPr>
      <w:r w:rsidRPr="00AB063C">
        <w:rPr>
          <w:rFonts w:ascii="Arial" w:hAnsi="Arial" w:cs="Arial"/>
          <w:b/>
          <w:bCs/>
          <w:sz w:val="20"/>
          <w:szCs w:val="20"/>
        </w:rPr>
        <w:t>Conclusion:</w:t>
      </w:r>
      <w:r w:rsidR="00DD619F">
        <w:rPr>
          <w:rFonts w:ascii="Arial" w:hAnsi="Arial" w:cs="Arial"/>
          <w:sz w:val="20"/>
          <w:szCs w:val="20"/>
        </w:rPr>
        <w:t xml:space="preserve"> </w:t>
      </w:r>
      <w:r w:rsidRPr="00AB063C">
        <w:rPr>
          <w:rFonts w:ascii="Arial" w:hAnsi="Arial" w:cs="Arial"/>
          <w:sz w:val="20"/>
          <w:szCs w:val="20"/>
        </w:rPr>
        <w:t>AONs are rare adrenal tumors that may present with mass effect rather than hormonal symptoms. Complete surgical excision is the treatment of choice. Long-term follow-up is essential due to unpredictable biological behavior.</w:t>
      </w:r>
    </w:p>
    <w:p w14:paraId="04A3E334" w14:textId="77777777" w:rsidR="0079748C" w:rsidRPr="00AB063C" w:rsidRDefault="0079748C" w:rsidP="00AB063C">
      <w:pPr>
        <w:rPr>
          <w:rFonts w:ascii="Arial" w:hAnsi="Arial" w:cs="Arial"/>
          <w:sz w:val="20"/>
          <w:szCs w:val="20"/>
        </w:rPr>
      </w:pPr>
    </w:p>
    <w:p w14:paraId="1E4FE93B" w14:textId="77777777" w:rsidR="00AB063C" w:rsidRDefault="00AB063C" w:rsidP="00AB063C">
      <w:pPr>
        <w:rPr>
          <w:rFonts w:ascii="Arial" w:hAnsi="Arial" w:cs="Arial"/>
          <w:i/>
          <w:iCs/>
          <w:sz w:val="20"/>
          <w:szCs w:val="20"/>
        </w:rPr>
      </w:pPr>
      <w:r w:rsidRPr="00AB063C">
        <w:rPr>
          <w:rFonts w:ascii="Arial" w:hAnsi="Arial" w:cs="Arial"/>
          <w:b/>
          <w:bCs/>
          <w:i/>
          <w:iCs/>
          <w:sz w:val="20"/>
          <w:szCs w:val="20"/>
        </w:rPr>
        <w:t>Keywords</w:t>
      </w:r>
      <w:r w:rsidR="00DD619F">
        <w:rPr>
          <w:rFonts w:ascii="Arial" w:hAnsi="Arial" w:cs="Arial"/>
          <w:b/>
          <w:bCs/>
          <w:i/>
          <w:iCs/>
          <w:sz w:val="20"/>
          <w:szCs w:val="20"/>
        </w:rPr>
        <w:t xml:space="preserve">: </w:t>
      </w:r>
      <w:r w:rsidRPr="00AB063C">
        <w:rPr>
          <w:rFonts w:ascii="Arial" w:hAnsi="Arial" w:cs="Arial"/>
          <w:i/>
          <w:iCs/>
          <w:sz w:val="20"/>
          <w:szCs w:val="20"/>
        </w:rPr>
        <w:t xml:space="preserve">Adrenocortical </w:t>
      </w:r>
      <w:proofErr w:type="spellStart"/>
      <w:r w:rsidRPr="00AB063C">
        <w:rPr>
          <w:rFonts w:ascii="Arial" w:hAnsi="Arial" w:cs="Arial"/>
          <w:i/>
          <w:iCs/>
          <w:sz w:val="20"/>
          <w:szCs w:val="20"/>
        </w:rPr>
        <w:t>oncocytic</w:t>
      </w:r>
      <w:proofErr w:type="spellEnd"/>
      <w:r w:rsidRPr="00AB063C">
        <w:rPr>
          <w:rFonts w:ascii="Arial" w:hAnsi="Arial" w:cs="Arial"/>
          <w:i/>
          <w:iCs/>
          <w:sz w:val="20"/>
          <w:szCs w:val="20"/>
        </w:rPr>
        <w:t xml:space="preserve"> neoplasm; Adrenal tumor; Lumbar mass; Adrenalectomy; Rare adrenal neoplasm</w:t>
      </w:r>
    </w:p>
    <w:p w14:paraId="7AB33DC5" w14:textId="77777777" w:rsidR="0079748C" w:rsidRPr="00AB063C" w:rsidRDefault="0079748C" w:rsidP="00AB063C">
      <w:pPr>
        <w:rPr>
          <w:rFonts w:ascii="Arial" w:hAnsi="Arial" w:cs="Arial"/>
          <w:b/>
          <w:bCs/>
          <w:i/>
          <w:iCs/>
          <w:sz w:val="20"/>
          <w:szCs w:val="20"/>
        </w:rPr>
      </w:pPr>
    </w:p>
    <w:p w14:paraId="49559764" w14:textId="77777777" w:rsidR="0079748C" w:rsidRPr="0079748C" w:rsidRDefault="0079748C" w:rsidP="00AB063C">
      <w:pPr>
        <w:rPr>
          <w:rFonts w:ascii="Arial" w:hAnsi="Arial" w:cs="Arial"/>
          <w:b/>
          <w:bCs/>
        </w:rPr>
      </w:pPr>
      <w:r w:rsidRPr="0079748C">
        <w:rPr>
          <w:rFonts w:ascii="Arial" w:hAnsi="Arial" w:cs="Arial"/>
          <w:b/>
          <w:bCs/>
        </w:rPr>
        <w:t xml:space="preserve">INTRODUCTION </w:t>
      </w:r>
    </w:p>
    <w:p w14:paraId="739DB5A9" w14:textId="77777777" w:rsidR="00AB063C" w:rsidRPr="00AB063C" w:rsidRDefault="00AB063C" w:rsidP="00AB063C">
      <w:pPr>
        <w:rPr>
          <w:rFonts w:ascii="Arial" w:hAnsi="Arial" w:cs="Arial"/>
          <w:sz w:val="20"/>
          <w:szCs w:val="20"/>
        </w:rPr>
      </w:pP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are tumors composed predominantly of oncocytes—large polygonal cells with abundant eosinophilic granular cytoplasm rich in mitochondria. While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tumors are commonly described in organs such as the kidney, thyroid, and salivary glands, their occurrence in the adrenal cortex is extremely rare. 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(AONs) represent a distinct pathological entity first described in the late 1980s and account for a very small percentage of adrenal </w:t>
      </w:r>
      <w:proofErr w:type="gramStart"/>
      <w:r w:rsidRPr="00AB063C">
        <w:rPr>
          <w:rFonts w:ascii="Arial" w:hAnsi="Arial" w:cs="Arial"/>
          <w:sz w:val="20"/>
          <w:szCs w:val="20"/>
        </w:rPr>
        <w:t>tumors.</w:t>
      </w:r>
      <w:r w:rsidR="005206D8" w:rsidRPr="0079748C">
        <w:rPr>
          <w:rFonts w:ascii="Arial" w:hAnsi="Arial" w:cs="Arial"/>
          <w:sz w:val="20"/>
          <w:szCs w:val="20"/>
          <w:vertAlign w:val="superscript"/>
        </w:rPr>
        <w:t>[</w:t>
      </w:r>
      <w:proofErr w:type="gramEnd"/>
      <w:r w:rsidR="005206D8" w:rsidRPr="0079748C">
        <w:rPr>
          <w:rFonts w:ascii="Arial" w:hAnsi="Arial" w:cs="Arial"/>
          <w:sz w:val="20"/>
          <w:szCs w:val="20"/>
          <w:vertAlign w:val="superscript"/>
        </w:rPr>
        <w:t>1,2]</w:t>
      </w:r>
    </w:p>
    <w:p w14:paraId="044F088A"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AONs are classified into benign, malignant, and tumors of uncertain malignant potential using the Lin–Weiss–Bisceglia (LWB) criteria, which modify the traditional Weiss criteria to account for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w:t>
      </w:r>
      <w:proofErr w:type="gramStart"/>
      <w:r w:rsidRPr="00AB063C">
        <w:rPr>
          <w:rFonts w:ascii="Arial" w:hAnsi="Arial" w:cs="Arial"/>
          <w:sz w:val="20"/>
          <w:szCs w:val="20"/>
        </w:rPr>
        <w:t>histology.</w:t>
      </w:r>
      <w:r w:rsidR="005206D8" w:rsidRPr="0079748C">
        <w:rPr>
          <w:rFonts w:ascii="Arial" w:hAnsi="Arial" w:cs="Arial"/>
          <w:sz w:val="20"/>
          <w:szCs w:val="20"/>
          <w:vertAlign w:val="superscript"/>
        </w:rPr>
        <w:t>[</w:t>
      </w:r>
      <w:proofErr w:type="gramEnd"/>
      <w:r w:rsidR="005206D8" w:rsidRPr="0079748C">
        <w:rPr>
          <w:rFonts w:ascii="Arial" w:hAnsi="Arial" w:cs="Arial"/>
          <w:sz w:val="20"/>
          <w:szCs w:val="20"/>
          <w:vertAlign w:val="superscript"/>
        </w:rPr>
        <w:t>2,3]</w:t>
      </w:r>
      <w:r w:rsidRPr="00AB063C">
        <w:rPr>
          <w:rFonts w:ascii="Arial" w:hAnsi="Arial" w:cs="Arial"/>
          <w:sz w:val="20"/>
          <w:szCs w:val="20"/>
        </w:rPr>
        <w:t xml:space="preserve"> Most reported AONs are non-functional and are incidentally detected; however, large tumors may present with abdominal or lumbar pain due to mass effect.</w:t>
      </w:r>
      <w:r w:rsidR="005206D8" w:rsidRPr="0079748C">
        <w:rPr>
          <w:rFonts w:ascii="Arial" w:hAnsi="Arial" w:cs="Arial"/>
          <w:sz w:val="20"/>
          <w:szCs w:val="20"/>
          <w:vertAlign w:val="superscript"/>
        </w:rPr>
        <w:t>[1,3]</w:t>
      </w:r>
    </w:p>
    <w:p w14:paraId="67073839" w14:textId="77777777" w:rsidR="00AB063C" w:rsidRPr="00AB063C" w:rsidRDefault="00AB063C" w:rsidP="00AB063C">
      <w:pPr>
        <w:rPr>
          <w:rFonts w:ascii="Arial" w:hAnsi="Arial" w:cs="Arial"/>
          <w:sz w:val="20"/>
          <w:szCs w:val="20"/>
        </w:rPr>
      </w:pPr>
      <w:r w:rsidRPr="00AB063C">
        <w:rPr>
          <w:rFonts w:ascii="Arial" w:hAnsi="Arial" w:cs="Arial"/>
          <w:sz w:val="20"/>
          <w:szCs w:val="20"/>
        </w:rPr>
        <w:lastRenderedPageBreak/>
        <w:t xml:space="preserve">Given their rarity and lack of characteristic clinical or radiological features, AONs pose diagnostic and therapeutic challenges. We report a rare case of a non-functional 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 presenting as a left lumbar mass in a 38-year-old female, highlighting diagnostic considerations, surgical management, and histopathological features.</w:t>
      </w:r>
    </w:p>
    <w:p w14:paraId="1B04D55A" w14:textId="77777777" w:rsidR="00AB063C" w:rsidRPr="00AB063C" w:rsidRDefault="00AB063C" w:rsidP="00AB063C">
      <w:pPr>
        <w:rPr>
          <w:rFonts w:ascii="Arial" w:hAnsi="Arial" w:cs="Arial"/>
        </w:rPr>
      </w:pPr>
    </w:p>
    <w:p w14:paraId="23798DBA"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CASE REPORT</w:t>
      </w:r>
    </w:p>
    <w:p w14:paraId="093EDC9C" w14:textId="77777777" w:rsidR="00AB063C" w:rsidRPr="00AB063C" w:rsidRDefault="00AB063C" w:rsidP="00AB063C">
      <w:pPr>
        <w:rPr>
          <w:rFonts w:ascii="Arial" w:hAnsi="Arial" w:cs="Arial"/>
          <w:sz w:val="20"/>
          <w:szCs w:val="20"/>
        </w:rPr>
      </w:pPr>
      <w:r w:rsidRPr="00AB063C">
        <w:rPr>
          <w:rFonts w:ascii="Arial" w:hAnsi="Arial" w:cs="Arial"/>
          <w:sz w:val="20"/>
          <w:szCs w:val="20"/>
        </w:rPr>
        <w:t>A 38-year-old female presented to the</w:t>
      </w:r>
      <w:r w:rsidR="00CD683A" w:rsidRPr="0079748C">
        <w:rPr>
          <w:rFonts w:ascii="Arial" w:hAnsi="Arial" w:cs="Arial"/>
          <w:sz w:val="20"/>
          <w:szCs w:val="20"/>
        </w:rPr>
        <w:t xml:space="preserve"> orthopedics OPD with complaints of back pain for which CT lumbar spine was done. On CT, incidental left </w:t>
      </w:r>
      <w:proofErr w:type="spellStart"/>
      <w:r w:rsidR="00CD683A" w:rsidRPr="0079748C">
        <w:rPr>
          <w:rFonts w:ascii="Arial" w:hAnsi="Arial" w:cs="Arial"/>
          <w:sz w:val="20"/>
          <w:szCs w:val="20"/>
        </w:rPr>
        <w:t>reteroperitoneal</w:t>
      </w:r>
      <w:proofErr w:type="spellEnd"/>
      <w:r w:rsidR="00CD683A" w:rsidRPr="0079748C">
        <w:rPr>
          <w:rFonts w:ascii="Arial" w:hAnsi="Arial" w:cs="Arial"/>
          <w:sz w:val="20"/>
          <w:szCs w:val="20"/>
        </w:rPr>
        <w:t xml:space="preserve"> mass was seen for which she was referred to </w:t>
      </w:r>
      <w:r w:rsidRPr="00AB063C">
        <w:rPr>
          <w:rFonts w:ascii="Arial" w:hAnsi="Arial" w:cs="Arial"/>
          <w:sz w:val="20"/>
          <w:szCs w:val="20"/>
        </w:rPr>
        <w:t xml:space="preserve">general surgery </w:t>
      </w:r>
      <w:r w:rsidR="00CD683A" w:rsidRPr="0079748C">
        <w:rPr>
          <w:rFonts w:ascii="Arial" w:hAnsi="Arial" w:cs="Arial"/>
          <w:sz w:val="20"/>
          <w:szCs w:val="20"/>
        </w:rPr>
        <w:t xml:space="preserve">OPD. </w:t>
      </w:r>
      <w:proofErr w:type="spellStart"/>
      <w:r w:rsidR="00CD683A" w:rsidRPr="0079748C">
        <w:rPr>
          <w:rFonts w:ascii="Arial" w:hAnsi="Arial" w:cs="Arial"/>
          <w:sz w:val="20"/>
          <w:szCs w:val="20"/>
        </w:rPr>
        <w:t>Afterwhich</w:t>
      </w:r>
      <w:proofErr w:type="spellEnd"/>
      <w:r w:rsidR="00CD683A" w:rsidRPr="0079748C">
        <w:rPr>
          <w:rFonts w:ascii="Arial" w:hAnsi="Arial" w:cs="Arial"/>
          <w:sz w:val="20"/>
          <w:szCs w:val="20"/>
        </w:rPr>
        <w:t xml:space="preserve"> she was referred to </w:t>
      </w:r>
      <w:proofErr w:type="spellStart"/>
      <w:r w:rsidR="00CD683A" w:rsidRPr="0079748C">
        <w:rPr>
          <w:rFonts w:ascii="Arial" w:hAnsi="Arial" w:cs="Arial"/>
          <w:sz w:val="20"/>
          <w:szCs w:val="20"/>
        </w:rPr>
        <w:t>urosurgery</w:t>
      </w:r>
      <w:proofErr w:type="spellEnd"/>
      <w:r w:rsidR="00CD683A" w:rsidRPr="0079748C">
        <w:rPr>
          <w:rFonts w:ascii="Arial" w:hAnsi="Arial" w:cs="Arial"/>
          <w:sz w:val="20"/>
          <w:szCs w:val="20"/>
        </w:rPr>
        <w:t xml:space="preserve"> department for further evaluation and management. </w:t>
      </w:r>
      <w:r w:rsidRPr="00AB063C">
        <w:rPr>
          <w:rFonts w:ascii="Arial" w:hAnsi="Arial" w:cs="Arial"/>
          <w:sz w:val="20"/>
          <w:szCs w:val="20"/>
        </w:rPr>
        <w:t xml:space="preserve"> </w:t>
      </w:r>
      <w:r w:rsidR="00CD683A" w:rsidRPr="0079748C">
        <w:rPr>
          <w:rFonts w:ascii="Arial" w:hAnsi="Arial" w:cs="Arial"/>
          <w:sz w:val="20"/>
          <w:szCs w:val="20"/>
        </w:rPr>
        <w:t xml:space="preserve">She presented to </w:t>
      </w:r>
      <w:proofErr w:type="spellStart"/>
      <w:r w:rsidR="00CD683A" w:rsidRPr="0079748C">
        <w:rPr>
          <w:rFonts w:ascii="Arial" w:hAnsi="Arial" w:cs="Arial"/>
          <w:sz w:val="20"/>
          <w:szCs w:val="20"/>
        </w:rPr>
        <w:t>urosurgery</w:t>
      </w:r>
      <w:proofErr w:type="spellEnd"/>
      <w:r w:rsidR="00CD683A" w:rsidRPr="0079748C">
        <w:rPr>
          <w:rFonts w:ascii="Arial" w:hAnsi="Arial" w:cs="Arial"/>
          <w:sz w:val="20"/>
          <w:szCs w:val="20"/>
        </w:rPr>
        <w:t xml:space="preserve"> </w:t>
      </w:r>
      <w:proofErr w:type="spellStart"/>
      <w:r w:rsidR="00CD683A" w:rsidRPr="0079748C">
        <w:rPr>
          <w:rFonts w:ascii="Arial" w:hAnsi="Arial" w:cs="Arial"/>
          <w:sz w:val="20"/>
          <w:szCs w:val="20"/>
        </w:rPr>
        <w:t>opd</w:t>
      </w:r>
      <w:proofErr w:type="spellEnd"/>
      <w:r w:rsidR="00CD683A" w:rsidRPr="0079748C">
        <w:rPr>
          <w:rFonts w:ascii="Arial" w:hAnsi="Arial" w:cs="Arial"/>
          <w:sz w:val="20"/>
          <w:szCs w:val="20"/>
        </w:rPr>
        <w:t xml:space="preserve"> </w:t>
      </w:r>
      <w:r w:rsidRPr="00AB063C">
        <w:rPr>
          <w:rFonts w:ascii="Arial" w:hAnsi="Arial" w:cs="Arial"/>
          <w:sz w:val="20"/>
          <w:szCs w:val="20"/>
        </w:rPr>
        <w:t xml:space="preserve">with complaints of </w:t>
      </w:r>
      <w:r w:rsidR="00CD683A" w:rsidRPr="0079748C">
        <w:rPr>
          <w:rFonts w:ascii="Arial" w:hAnsi="Arial" w:cs="Arial"/>
          <w:sz w:val="20"/>
          <w:szCs w:val="20"/>
        </w:rPr>
        <w:t xml:space="preserve">intermittent, dull-aching left flank pain for the past 3 months, which progressed to a feeling of fullness in the left lumbar region over the last 2 months. </w:t>
      </w:r>
      <w:r w:rsidRPr="00AB063C">
        <w:rPr>
          <w:rFonts w:ascii="Arial" w:hAnsi="Arial" w:cs="Arial"/>
          <w:sz w:val="20"/>
          <w:szCs w:val="20"/>
        </w:rPr>
        <w:t xml:space="preserve">There was no history of fever, weight loss, anorexia, </w:t>
      </w:r>
      <w:r w:rsidR="00CD683A" w:rsidRPr="0079748C">
        <w:rPr>
          <w:rFonts w:ascii="Arial" w:hAnsi="Arial" w:cs="Arial"/>
          <w:sz w:val="20"/>
          <w:szCs w:val="20"/>
        </w:rPr>
        <w:t xml:space="preserve">hematuria, trauma </w:t>
      </w:r>
      <w:r w:rsidRPr="00AB063C">
        <w:rPr>
          <w:rFonts w:ascii="Arial" w:hAnsi="Arial" w:cs="Arial"/>
          <w:sz w:val="20"/>
          <w:szCs w:val="20"/>
        </w:rPr>
        <w:t>or gastrointestinal symptoms such as vomiting or altered bowel habits.</w:t>
      </w:r>
    </w:p>
    <w:p w14:paraId="4BA1FD73"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There were no symptoms suggestive of hormonal excess such as hypertension, episodic headaches, palpitations, excessive sweating, weight gain, menstrual irregularities, hirsutism, or virilization. The patient had no significant past medical illness and no </w:t>
      </w:r>
      <w:r w:rsidR="00CD683A" w:rsidRPr="0079748C">
        <w:rPr>
          <w:rFonts w:ascii="Arial" w:hAnsi="Arial" w:cs="Arial"/>
          <w:sz w:val="20"/>
          <w:szCs w:val="20"/>
        </w:rPr>
        <w:t xml:space="preserve">significant </w:t>
      </w:r>
      <w:r w:rsidRPr="00AB063C">
        <w:rPr>
          <w:rFonts w:ascii="Arial" w:hAnsi="Arial" w:cs="Arial"/>
          <w:sz w:val="20"/>
          <w:szCs w:val="20"/>
        </w:rPr>
        <w:t>prior surgical history. Family history was non-contributory.</w:t>
      </w:r>
    </w:p>
    <w:p w14:paraId="20850822"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t>Clinical Examination</w:t>
      </w:r>
    </w:p>
    <w:p w14:paraId="2A95D4A6" w14:textId="77777777" w:rsidR="00CD683A" w:rsidRPr="0079748C" w:rsidRDefault="00AB063C" w:rsidP="00CD683A">
      <w:pPr>
        <w:rPr>
          <w:rFonts w:ascii="Arial" w:hAnsi="Arial" w:cs="Arial"/>
          <w:sz w:val="20"/>
          <w:szCs w:val="20"/>
        </w:rPr>
      </w:pPr>
      <w:r w:rsidRPr="00AB063C">
        <w:rPr>
          <w:rFonts w:ascii="Arial" w:hAnsi="Arial" w:cs="Arial"/>
          <w:sz w:val="20"/>
          <w:szCs w:val="20"/>
        </w:rPr>
        <w:t xml:space="preserve">On general physical examination, the patient was hemodynamically stable with normal vital signs. No features of Cushing’s syndrome or virilization were observed. </w:t>
      </w:r>
    </w:p>
    <w:p w14:paraId="510BA50B" w14:textId="77777777" w:rsidR="00CD683A" w:rsidRPr="0079748C" w:rsidRDefault="00CD683A" w:rsidP="00CD683A">
      <w:pPr>
        <w:rPr>
          <w:rFonts w:ascii="Arial" w:hAnsi="Arial" w:cs="Arial"/>
          <w:sz w:val="20"/>
          <w:szCs w:val="20"/>
        </w:rPr>
      </w:pPr>
      <w:r w:rsidRPr="0079748C">
        <w:rPr>
          <w:rFonts w:ascii="Arial" w:hAnsi="Arial" w:cs="Arial"/>
          <w:sz w:val="20"/>
          <w:szCs w:val="20"/>
        </w:rPr>
        <w:t>Abdominal inspection revealed a firm, ill-defined swelling measuring approximately 15×8×5 cm in the left lumbar region, extending into the left hypochondrium and flank</w:t>
      </w:r>
      <w:r w:rsidR="002A5AAF">
        <w:rPr>
          <w:rFonts w:ascii="Arial" w:hAnsi="Arial" w:cs="Arial"/>
          <w:sz w:val="20"/>
          <w:szCs w:val="20"/>
        </w:rPr>
        <w:t xml:space="preserve"> as seen in Fig. 1</w:t>
      </w:r>
      <w:r w:rsidRPr="0079748C">
        <w:rPr>
          <w:rFonts w:ascii="Arial" w:hAnsi="Arial" w:cs="Arial"/>
          <w:sz w:val="20"/>
          <w:szCs w:val="20"/>
        </w:rPr>
        <w:t>. The overlying skin was normal, and the mass did not move with respiration. No visible pulsations or dilated veins were noted.</w:t>
      </w:r>
    </w:p>
    <w:p w14:paraId="46C76E70" w14:textId="77777777" w:rsidR="00AB063C" w:rsidRPr="00AB063C" w:rsidRDefault="00CD683A" w:rsidP="00CD683A">
      <w:pPr>
        <w:rPr>
          <w:rFonts w:ascii="Arial" w:hAnsi="Arial" w:cs="Arial"/>
          <w:sz w:val="20"/>
          <w:szCs w:val="20"/>
        </w:rPr>
      </w:pPr>
      <w:r w:rsidRPr="0079748C">
        <w:rPr>
          <w:rFonts w:ascii="Arial" w:hAnsi="Arial" w:cs="Arial"/>
          <w:sz w:val="20"/>
          <w:szCs w:val="20"/>
        </w:rPr>
        <w:t xml:space="preserve">On palpation, the mass was mildly tender, non-reducible, with ill-defined margins. The upper margin extended into the left hypochondrium, medial up to the umbilicus, and laterally into the flank. </w:t>
      </w:r>
      <w:r w:rsidR="00AB063C" w:rsidRPr="00AB063C">
        <w:rPr>
          <w:rFonts w:ascii="Arial" w:hAnsi="Arial" w:cs="Arial"/>
          <w:sz w:val="20"/>
          <w:szCs w:val="20"/>
        </w:rPr>
        <w:t>There was no hepatosplenomegaly or ascites.</w:t>
      </w:r>
    </w:p>
    <w:p w14:paraId="6BE4978D" w14:textId="77777777" w:rsidR="00AB063C" w:rsidRPr="0079748C" w:rsidRDefault="00AB063C" w:rsidP="00AB063C">
      <w:pPr>
        <w:rPr>
          <w:rFonts w:ascii="Arial" w:hAnsi="Arial" w:cs="Arial"/>
          <w:sz w:val="20"/>
          <w:szCs w:val="20"/>
        </w:rPr>
      </w:pPr>
      <w:r w:rsidRPr="00AB063C">
        <w:rPr>
          <w:rFonts w:ascii="Arial" w:hAnsi="Arial" w:cs="Arial"/>
          <w:sz w:val="20"/>
          <w:szCs w:val="20"/>
        </w:rPr>
        <w:t>Routine hematological and biochemical investigations</w:t>
      </w:r>
      <w:r w:rsidR="00CD683A" w:rsidRPr="0079748C">
        <w:rPr>
          <w:rFonts w:ascii="Arial" w:hAnsi="Arial" w:cs="Arial"/>
          <w:sz w:val="20"/>
          <w:szCs w:val="20"/>
        </w:rPr>
        <w:t xml:space="preserve"> </w:t>
      </w:r>
      <w:r w:rsidRPr="00AB063C">
        <w:rPr>
          <w:rFonts w:ascii="Arial" w:hAnsi="Arial" w:cs="Arial"/>
          <w:sz w:val="20"/>
          <w:szCs w:val="20"/>
        </w:rPr>
        <w:t>were within normal limits.</w:t>
      </w:r>
      <w:r w:rsidR="006E133C" w:rsidRPr="0079748C">
        <w:rPr>
          <w:rFonts w:ascii="Arial" w:hAnsi="Arial" w:cs="Arial"/>
          <w:sz w:val="20"/>
          <w:szCs w:val="20"/>
        </w:rPr>
        <w:t xml:space="preserve"> 24 hours urine Vanillyl </w:t>
      </w:r>
      <w:proofErr w:type="spellStart"/>
      <w:r w:rsidR="006E133C" w:rsidRPr="0079748C">
        <w:rPr>
          <w:rFonts w:ascii="Arial" w:hAnsi="Arial" w:cs="Arial"/>
          <w:sz w:val="20"/>
          <w:szCs w:val="20"/>
        </w:rPr>
        <w:t>Mandelic</w:t>
      </w:r>
      <w:proofErr w:type="spellEnd"/>
      <w:r w:rsidR="006E133C" w:rsidRPr="0079748C">
        <w:rPr>
          <w:rFonts w:ascii="Arial" w:hAnsi="Arial" w:cs="Arial"/>
          <w:sz w:val="20"/>
          <w:szCs w:val="20"/>
        </w:rPr>
        <w:t xml:space="preserve"> Acid, Plasm free </w:t>
      </w:r>
      <w:proofErr w:type="spellStart"/>
      <w:r w:rsidR="006E133C" w:rsidRPr="0079748C">
        <w:rPr>
          <w:rFonts w:ascii="Arial" w:hAnsi="Arial" w:cs="Arial"/>
          <w:sz w:val="20"/>
          <w:szCs w:val="20"/>
        </w:rPr>
        <w:t>metanephrins</w:t>
      </w:r>
      <w:proofErr w:type="spellEnd"/>
      <w:r w:rsidR="006E133C" w:rsidRPr="0079748C">
        <w:rPr>
          <w:rFonts w:ascii="Arial" w:hAnsi="Arial" w:cs="Arial"/>
          <w:sz w:val="20"/>
          <w:szCs w:val="20"/>
        </w:rPr>
        <w:t xml:space="preserve">, free </w:t>
      </w:r>
      <w:proofErr w:type="spellStart"/>
      <w:r w:rsidR="006E133C" w:rsidRPr="0079748C">
        <w:rPr>
          <w:rFonts w:ascii="Arial" w:hAnsi="Arial" w:cs="Arial"/>
          <w:sz w:val="20"/>
          <w:szCs w:val="20"/>
        </w:rPr>
        <w:t>normetanephrins</w:t>
      </w:r>
      <w:proofErr w:type="spellEnd"/>
      <w:r w:rsidR="006E133C" w:rsidRPr="0079748C">
        <w:rPr>
          <w:rFonts w:ascii="Arial" w:hAnsi="Arial" w:cs="Arial"/>
          <w:sz w:val="20"/>
          <w:szCs w:val="20"/>
        </w:rPr>
        <w:t xml:space="preserve"> and serum cortisol were also within normal limits. </w:t>
      </w:r>
      <w:r w:rsidR="006E133C" w:rsidRPr="00AB063C">
        <w:rPr>
          <w:rFonts w:ascii="Arial" w:hAnsi="Arial" w:cs="Arial"/>
          <w:sz w:val="20"/>
          <w:szCs w:val="20"/>
        </w:rPr>
        <w:t>These findings suggested a non-functioning adrenal mass.</w:t>
      </w:r>
    </w:p>
    <w:p w14:paraId="3B96E666" w14:textId="77777777" w:rsidR="006E133C" w:rsidRDefault="006E133C" w:rsidP="00AB063C">
      <w:pPr>
        <w:rPr>
          <w:rFonts w:ascii="Arial" w:hAnsi="Arial" w:cs="Arial"/>
          <w:sz w:val="20"/>
          <w:szCs w:val="20"/>
        </w:rPr>
      </w:pPr>
      <w:r w:rsidRPr="006E133C">
        <w:rPr>
          <w:rFonts w:ascii="Arial" w:hAnsi="Arial" w:cs="Arial"/>
          <w:sz w:val="20"/>
          <w:szCs w:val="20"/>
        </w:rPr>
        <w:t xml:space="preserve">A </w:t>
      </w:r>
      <w:r w:rsidRPr="0079748C">
        <w:rPr>
          <w:rFonts w:ascii="Arial" w:hAnsi="Arial" w:cs="Arial"/>
          <w:sz w:val="20"/>
          <w:szCs w:val="20"/>
        </w:rPr>
        <w:t xml:space="preserve">Fine needle aspiration </w:t>
      </w:r>
      <w:proofErr w:type="gramStart"/>
      <w:r w:rsidRPr="0079748C">
        <w:rPr>
          <w:rFonts w:ascii="Arial" w:hAnsi="Arial" w:cs="Arial"/>
          <w:sz w:val="20"/>
          <w:szCs w:val="20"/>
        </w:rPr>
        <w:t>cytology(</w:t>
      </w:r>
      <w:proofErr w:type="gramEnd"/>
      <w:r w:rsidRPr="0079748C">
        <w:rPr>
          <w:rFonts w:ascii="Arial" w:hAnsi="Arial" w:cs="Arial"/>
          <w:sz w:val="20"/>
          <w:szCs w:val="20"/>
        </w:rPr>
        <w:t>FNAC)</w:t>
      </w:r>
      <w:r w:rsidRPr="006E133C">
        <w:rPr>
          <w:rFonts w:ascii="Arial" w:hAnsi="Arial" w:cs="Arial"/>
          <w:sz w:val="20"/>
          <w:szCs w:val="20"/>
        </w:rPr>
        <w:t xml:space="preserve"> of the left retroperitoneal pararenal mass was performed. The IHC panel showed that the lesional cells expressed Calretinin, Melan A, Inhibin (focal), Chromogranin A, and Cytokeratin (focal). The tumor cells were negative for GATA-3, Pax8, HepPar-1, and CD10.The MIB-1 proliferation index was approximately 4–6%.</w:t>
      </w:r>
    </w:p>
    <w:p w14:paraId="2711995E" w14:textId="77777777" w:rsidR="00D56BAB" w:rsidRDefault="00D56BAB" w:rsidP="00AB063C">
      <w:pPr>
        <w:rPr>
          <w:rFonts w:ascii="Arial" w:hAnsi="Arial" w:cs="Arial"/>
          <w:sz w:val="20"/>
          <w:szCs w:val="20"/>
        </w:rPr>
      </w:pPr>
    </w:p>
    <w:p w14:paraId="69357B78" w14:textId="77777777" w:rsidR="00D56BAB" w:rsidRPr="00D56BAB" w:rsidRDefault="00D56BAB" w:rsidP="00D56BAB">
      <w:pPr>
        <w:rPr>
          <w:rFonts w:ascii="Arial" w:hAnsi="Arial" w:cs="Arial"/>
          <w:sz w:val="20"/>
          <w:szCs w:val="20"/>
        </w:rPr>
      </w:pPr>
      <w:r w:rsidRPr="00D56BAB">
        <w:rPr>
          <w:rFonts w:ascii="Arial" w:hAnsi="Arial" w:cs="Arial"/>
          <w:noProof/>
          <w:sz w:val="20"/>
          <w:szCs w:val="20"/>
        </w:rPr>
        <w:lastRenderedPageBreak/>
        <w:drawing>
          <wp:inline distT="0" distB="0" distL="0" distR="0" wp14:anchorId="66A98FC6" wp14:editId="02ABE659">
            <wp:extent cx="2813050" cy="2344420"/>
            <wp:effectExtent l="0" t="0" r="6350" b="0"/>
            <wp:docPr id="2044774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5248" cy="2354586"/>
                    </a:xfrm>
                    <a:prstGeom prst="rect">
                      <a:avLst/>
                    </a:prstGeom>
                    <a:noFill/>
                    <a:ln>
                      <a:noFill/>
                    </a:ln>
                  </pic:spPr>
                </pic:pic>
              </a:graphicData>
            </a:graphic>
          </wp:inline>
        </w:drawing>
      </w:r>
    </w:p>
    <w:p w14:paraId="43CEA002" w14:textId="77777777" w:rsidR="00D56BAB" w:rsidRPr="00AB063C" w:rsidRDefault="00AD79A9" w:rsidP="00AB063C">
      <w:pPr>
        <w:rPr>
          <w:rFonts w:ascii="Arial" w:hAnsi="Arial" w:cs="Arial"/>
          <w:sz w:val="20"/>
          <w:szCs w:val="20"/>
        </w:rPr>
      </w:pPr>
      <w:r>
        <w:rPr>
          <w:rFonts w:ascii="Arial" w:hAnsi="Arial" w:cs="Arial"/>
          <w:sz w:val="20"/>
          <w:szCs w:val="20"/>
        </w:rPr>
        <w:t>Fig. 1: Visible swelling over left lumbar and left hypochondrium region</w:t>
      </w:r>
    </w:p>
    <w:p w14:paraId="68DD3867"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t>Radiological Evaluation</w:t>
      </w:r>
    </w:p>
    <w:p w14:paraId="09C9B2CB"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Contrast-enhanced computed tomography (CECT) of the abdomen revealed a well-defined, heterogeneously enhancing mass measuring approximately </w:t>
      </w:r>
      <w:r w:rsidR="006E133C" w:rsidRPr="0079748C">
        <w:rPr>
          <w:rFonts w:ascii="Arial" w:hAnsi="Arial" w:cs="Arial"/>
          <w:sz w:val="20"/>
          <w:szCs w:val="20"/>
        </w:rPr>
        <w:t>15×8×5 cm arising from the left adrenal gland, displacing adjacent structures</w:t>
      </w:r>
      <w:r w:rsidR="002A5AAF">
        <w:rPr>
          <w:rFonts w:ascii="Arial" w:hAnsi="Arial" w:cs="Arial"/>
          <w:sz w:val="20"/>
          <w:szCs w:val="20"/>
        </w:rPr>
        <w:t xml:space="preserve"> (Fig.2)</w:t>
      </w:r>
      <w:r w:rsidR="006E133C" w:rsidRPr="0079748C">
        <w:rPr>
          <w:rFonts w:ascii="Arial" w:hAnsi="Arial" w:cs="Arial"/>
          <w:sz w:val="20"/>
          <w:szCs w:val="20"/>
        </w:rPr>
        <w:t>.</w:t>
      </w:r>
      <w:r w:rsidRPr="00AB063C">
        <w:rPr>
          <w:rFonts w:ascii="Arial" w:hAnsi="Arial" w:cs="Arial"/>
          <w:sz w:val="20"/>
          <w:szCs w:val="20"/>
        </w:rPr>
        <w:t xml:space="preserve"> No evidence of local invasion, vascular involvement, lymphadenopathy, or distant metastasis was noted.</w:t>
      </w:r>
    </w:p>
    <w:p w14:paraId="19DCD464" w14:textId="77777777" w:rsidR="007E2248" w:rsidRDefault="00AB063C" w:rsidP="00AB063C">
      <w:pPr>
        <w:rPr>
          <w:rFonts w:ascii="Arial" w:hAnsi="Arial" w:cs="Arial"/>
          <w:sz w:val="20"/>
          <w:szCs w:val="20"/>
        </w:rPr>
      </w:pPr>
      <w:r w:rsidRPr="00AB063C">
        <w:rPr>
          <w:rFonts w:ascii="Arial" w:hAnsi="Arial" w:cs="Arial"/>
          <w:sz w:val="20"/>
          <w:szCs w:val="20"/>
        </w:rPr>
        <w:t>Based on clinical and radiological findings, a diagnosis of a left adrenal neoplasm with suspicion of malignancy was considered due to the large tumor size.</w:t>
      </w:r>
    </w:p>
    <w:p w14:paraId="47CCAE1C" w14:textId="77777777" w:rsidR="00AD79A9" w:rsidRPr="00AD79A9" w:rsidRDefault="0064518C" w:rsidP="00AD79A9">
      <w:pPr>
        <w:rPr>
          <w:rFonts w:ascii="Arial" w:hAnsi="Arial" w:cs="Arial"/>
          <w:sz w:val="20"/>
          <w:szCs w:val="20"/>
        </w:rPr>
      </w:pPr>
      <w:r>
        <w:rPr>
          <w:noProof/>
        </w:rPr>
        <w:drawing>
          <wp:inline distT="0" distB="0" distL="0" distR="0" wp14:anchorId="44A46883" wp14:editId="724A52DD">
            <wp:extent cx="2171700" cy="2662421"/>
            <wp:effectExtent l="0" t="0" r="0" b="5080"/>
            <wp:docPr id="8859309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5535" cy="2679382"/>
                    </a:xfrm>
                    <a:prstGeom prst="rect">
                      <a:avLst/>
                    </a:prstGeom>
                    <a:noFill/>
                    <a:ln>
                      <a:noFill/>
                    </a:ln>
                  </pic:spPr>
                </pic:pic>
              </a:graphicData>
            </a:graphic>
          </wp:inline>
        </w:drawing>
      </w:r>
      <w:r>
        <w:rPr>
          <w:noProof/>
        </w:rPr>
        <w:drawing>
          <wp:inline distT="0" distB="0" distL="0" distR="0" wp14:anchorId="2859C9FE" wp14:editId="17A6E9B8">
            <wp:extent cx="2538552" cy="2666564"/>
            <wp:effectExtent l="0" t="0" r="0" b="635"/>
            <wp:docPr id="115489037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3891" cy="2672172"/>
                    </a:xfrm>
                    <a:prstGeom prst="rect">
                      <a:avLst/>
                    </a:prstGeom>
                    <a:noFill/>
                    <a:ln>
                      <a:noFill/>
                    </a:ln>
                  </pic:spPr>
                </pic:pic>
              </a:graphicData>
            </a:graphic>
          </wp:inline>
        </w:drawing>
      </w:r>
    </w:p>
    <w:p w14:paraId="12404157" w14:textId="77777777" w:rsidR="007E2248" w:rsidRPr="007E2248" w:rsidRDefault="0064518C" w:rsidP="007E2248">
      <w:pPr>
        <w:rPr>
          <w:rFonts w:ascii="Arial" w:hAnsi="Arial" w:cs="Arial"/>
          <w:sz w:val="20"/>
          <w:szCs w:val="20"/>
        </w:rPr>
      </w:pPr>
      <w:r>
        <w:rPr>
          <w:rFonts w:ascii="Arial" w:hAnsi="Arial" w:cs="Arial"/>
          <w:sz w:val="20"/>
          <w:szCs w:val="20"/>
        </w:rPr>
        <w:t xml:space="preserve">Fig. 2: </w:t>
      </w:r>
      <w:r w:rsidR="002A5AAF">
        <w:rPr>
          <w:rFonts w:ascii="Arial" w:hAnsi="Arial" w:cs="Arial"/>
          <w:sz w:val="20"/>
          <w:szCs w:val="20"/>
        </w:rPr>
        <w:t>shows adrenal mass on CECT scan coronal and transverse sections respectively</w:t>
      </w:r>
    </w:p>
    <w:p w14:paraId="46175FED" w14:textId="77777777" w:rsidR="007E2248" w:rsidRPr="007E2248" w:rsidRDefault="007E2248" w:rsidP="007E2248">
      <w:pPr>
        <w:rPr>
          <w:rFonts w:ascii="Arial" w:hAnsi="Arial" w:cs="Arial"/>
          <w:sz w:val="20"/>
          <w:szCs w:val="20"/>
        </w:rPr>
      </w:pPr>
    </w:p>
    <w:p w14:paraId="09C7DF38" w14:textId="77777777" w:rsidR="007E2248" w:rsidRDefault="007E2248" w:rsidP="00AB063C">
      <w:pPr>
        <w:rPr>
          <w:rFonts w:ascii="Arial" w:hAnsi="Arial" w:cs="Arial"/>
          <w:sz w:val="20"/>
          <w:szCs w:val="20"/>
        </w:rPr>
      </w:pPr>
    </w:p>
    <w:p w14:paraId="53CB0BD5" w14:textId="77777777" w:rsidR="002A5AAF" w:rsidRPr="00AB063C" w:rsidRDefault="002A5AAF" w:rsidP="00AB063C">
      <w:pPr>
        <w:rPr>
          <w:rFonts w:ascii="Arial" w:hAnsi="Arial" w:cs="Arial"/>
          <w:sz w:val="20"/>
          <w:szCs w:val="20"/>
        </w:rPr>
      </w:pPr>
    </w:p>
    <w:p w14:paraId="2F91D5D4"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lastRenderedPageBreak/>
        <w:t>Surgical Management</w:t>
      </w:r>
    </w:p>
    <w:p w14:paraId="08C4EBA1" w14:textId="77777777" w:rsidR="00AB063C" w:rsidRPr="00AB063C" w:rsidRDefault="00AB063C" w:rsidP="00AB063C">
      <w:pPr>
        <w:rPr>
          <w:rFonts w:ascii="Arial" w:hAnsi="Arial" w:cs="Arial"/>
          <w:sz w:val="20"/>
          <w:szCs w:val="20"/>
        </w:rPr>
      </w:pPr>
      <w:r w:rsidRPr="00AB063C">
        <w:rPr>
          <w:rFonts w:ascii="Arial" w:hAnsi="Arial" w:cs="Arial"/>
          <w:sz w:val="20"/>
          <w:szCs w:val="20"/>
        </w:rPr>
        <w:t>Given the size of the tumor and the potential for malignancy, the patient was planned for surgical excision. An open left adrenalectomy was performed via a transabdominal approach.</w:t>
      </w:r>
    </w:p>
    <w:p w14:paraId="05902927" w14:textId="77777777" w:rsidR="00AB063C" w:rsidRDefault="00AB063C" w:rsidP="00AB063C">
      <w:pPr>
        <w:rPr>
          <w:rFonts w:ascii="Arial" w:hAnsi="Arial" w:cs="Arial"/>
          <w:sz w:val="20"/>
          <w:szCs w:val="20"/>
        </w:rPr>
      </w:pPr>
      <w:r w:rsidRPr="00AB063C">
        <w:rPr>
          <w:rFonts w:ascii="Arial" w:hAnsi="Arial" w:cs="Arial"/>
          <w:sz w:val="20"/>
          <w:szCs w:val="20"/>
        </w:rPr>
        <w:t>Intraoperatively, a large, well-encapsulated mass arising from the left adrenal gland was identified. The tumor was firm in consistency and showed no gross invasion into surrounding organs or major vessels. Complete excision of the tumor along with the adrenal gland was achieved</w:t>
      </w:r>
      <w:r w:rsidR="002A5AAF">
        <w:rPr>
          <w:rFonts w:ascii="Arial" w:hAnsi="Arial" w:cs="Arial"/>
          <w:sz w:val="20"/>
          <w:szCs w:val="20"/>
        </w:rPr>
        <w:t xml:space="preserve"> as seen in Fig.3</w:t>
      </w:r>
      <w:r w:rsidRPr="00AB063C">
        <w:rPr>
          <w:rFonts w:ascii="Arial" w:hAnsi="Arial" w:cs="Arial"/>
          <w:sz w:val="20"/>
          <w:szCs w:val="20"/>
        </w:rPr>
        <w:t xml:space="preserve">. </w:t>
      </w:r>
      <w:r w:rsidR="006E133C" w:rsidRPr="0079748C">
        <w:rPr>
          <w:rFonts w:ascii="Arial" w:hAnsi="Arial" w:cs="Arial"/>
          <w:sz w:val="20"/>
          <w:szCs w:val="20"/>
        </w:rPr>
        <w:t>T</w:t>
      </w:r>
      <w:r w:rsidRPr="00AB063C">
        <w:rPr>
          <w:rFonts w:ascii="Arial" w:hAnsi="Arial" w:cs="Arial"/>
          <w:sz w:val="20"/>
          <w:szCs w:val="20"/>
        </w:rPr>
        <w:t>he specimen was sent for histopathological examination</w:t>
      </w:r>
      <w:r w:rsidR="006E133C" w:rsidRPr="0079748C">
        <w:rPr>
          <w:rFonts w:ascii="Arial" w:hAnsi="Arial" w:cs="Arial"/>
          <w:sz w:val="20"/>
          <w:szCs w:val="20"/>
        </w:rPr>
        <w:t xml:space="preserve"> which revealed Adrenocortical </w:t>
      </w:r>
      <w:proofErr w:type="spellStart"/>
      <w:r w:rsidR="006E133C" w:rsidRPr="0079748C">
        <w:rPr>
          <w:rFonts w:ascii="Arial" w:hAnsi="Arial" w:cs="Arial"/>
          <w:sz w:val="20"/>
          <w:szCs w:val="20"/>
        </w:rPr>
        <w:t>oncocytic</w:t>
      </w:r>
      <w:proofErr w:type="spellEnd"/>
      <w:r w:rsidR="006E133C" w:rsidRPr="0079748C">
        <w:rPr>
          <w:rFonts w:ascii="Arial" w:hAnsi="Arial" w:cs="Arial"/>
          <w:sz w:val="20"/>
          <w:szCs w:val="20"/>
        </w:rPr>
        <w:t xml:space="preserve"> neoplasm of uncertain malignant potential (according to Lin–Weiss–Bisceglia criteria)</w:t>
      </w:r>
      <w:r w:rsidR="002A5AAF">
        <w:rPr>
          <w:rFonts w:ascii="Arial" w:hAnsi="Arial" w:cs="Arial"/>
          <w:sz w:val="20"/>
          <w:szCs w:val="20"/>
        </w:rPr>
        <w:t xml:space="preserve"> as seen in Fig.4</w:t>
      </w:r>
      <w:r w:rsidRPr="00AB063C">
        <w:rPr>
          <w:rFonts w:ascii="Arial" w:hAnsi="Arial" w:cs="Arial"/>
          <w:sz w:val="20"/>
          <w:szCs w:val="20"/>
        </w:rPr>
        <w:t>.</w:t>
      </w:r>
    </w:p>
    <w:p w14:paraId="06877059" w14:textId="77777777" w:rsidR="007E2248" w:rsidRDefault="007E2248" w:rsidP="00AB063C">
      <w:pPr>
        <w:rPr>
          <w:rFonts w:ascii="Arial" w:hAnsi="Arial" w:cs="Arial"/>
          <w:sz w:val="20"/>
          <w:szCs w:val="20"/>
        </w:rPr>
      </w:pPr>
    </w:p>
    <w:p w14:paraId="14EDBC22" w14:textId="77777777" w:rsidR="002A5AAF" w:rsidRDefault="007E2248" w:rsidP="007E2248">
      <w:pPr>
        <w:rPr>
          <w:rFonts w:ascii="Arial" w:hAnsi="Arial" w:cs="Arial"/>
          <w:sz w:val="20"/>
          <w:szCs w:val="20"/>
        </w:rPr>
      </w:pPr>
      <w:r w:rsidRPr="007E2248">
        <w:rPr>
          <w:rFonts w:ascii="Arial" w:hAnsi="Arial" w:cs="Arial"/>
          <w:noProof/>
          <w:sz w:val="20"/>
          <w:szCs w:val="20"/>
        </w:rPr>
        <w:drawing>
          <wp:inline distT="0" distB="0" distL="0" distR="0" wp14:anchorId="79610684" wp14:editId="24C708DE">
            <wp:extent cx="3911111" cy="2001520"/>
            <wp:effectExtent l="0" t="0" r="0" b="0"/>
            <wp:docPr id="3023436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5321" cy="2024144"/>
                    </a:xfrm>
                    <a:prstGeom prst="rect">
                      <a:avLst/>
                    </a:prstGeom>
                    <a:noFill/>
                    <a:ln>
                      <a:noFill/>
                    </a:ln>
                  </pic:spPr>
                </pic:pic>
              </a:graphicData>
            </a:graphic>
          </wp:inline>
        </w:drawing>
      </w:r>
    </w:p>
    <w:p w14:paraId="7F5727DC" w14:textId="77777777" w:rsidR="007E2248" w:rsidRPr="007E2248" w:rsidRDefault="002A5AAF" w:rsidP="007E2248">
      <w:pPr>
        <w:rPr>
          <w:rFonts w:ascii="Arial" w:hAnsi="Arial" w:cs="Arial"/>
          <w:sz w:val="20"/>
          <w:szCs w:val="20"/>
        </w:rPr>
      </w:pPr>
      <w:r>
        <w:rPr>
          <w:rFonts w:ascii="Arial" w:hAnsi="Arial" w:cs="Arial"/>
          <w:sz w:val="20"/>
          <w:szCs w:val="20"/>
        </w:rPr>
        <w:t>Fig. 3: shows excised specimen of adrenal mass weighing 1.9kg with its cross section</w:t>
      </w:r>
      <w:r w:rsidR="007E2248" w:rsidRPr="007E2248">
        <w:rPr>
          <w:rFonts w:ascii="Arial" w:hAnsi="Arial" w:cs="Arial"/>
          <w:noProof/>
          <w:sz w:val="20"/>
          <w:szCs w:val="20"/>
        </w:rPr>
        <w:drawing>
          <wp:inline distT="0" distB="0" distL="0" distR="0" wp14:anchorId="3AAF00A5" wp14:editId="66B87DAD">
            <wp:extent cx="2997200" cy="2854706"/>
            <wp:effectExtent l="0" t="0" r="0" b="3175"/>
            <wp:docPr id="4532697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9463" cy="2885435"/>
                    </a:xfrm>
                    <a:prstGeom prst="rect">
                      <a:avLst/>
                    </a:prstGeom>
                    <a:noFill/>
                    <a:ln>
                      <a:noFill/>
                    </a:ln>
                  </pic:spPr>
                </pic:pic>
              </a:graphicData>
            </a:graphic>
          </wp:inline>
        </w:drawing>
      </w:r>
    </w:p>
    <w:p w14:paraId="4DA11603" w14:textId="77777777" w:rsidR="007E2248" w:rsidRDefault="002A5AAF" w:rsidP="007E2248">
      <w:pPr>
        <w:rPr>
          <w:rFonts w:ascii="Arial" w:hAnsi="Arial" w:cs="Arial"/>
          <w:sz w:val="20"/>
          <w:szCs w:val="20"/>
        </w:rPr>
      </w:pPr>
      <w:r>
        <w:rPr>
          <w:rFonts w:ascii="Arial" w:hAnsi="Arial" w:cs="Arial"/>
          <w:sz w:val="20"/>
          <w:szCs w:val="20"/>
        </w:rPr>
        <w:t xml:space="preserve">Fig. 4: shows </w:t>
      </w:r>
      <w:r w:rsidRPr="005F7082">
        <w:rPr>
          <w:rFonts w:ascii="Times New Roman" w:hAnsi="Times New Roman" w:cs="Times New Roman"/>
          <w:sz w:val="22"/>
          <w:szCs w:val="22"/>
        </w:rPr>
        <w:t>H&amp;E slide of the mass on 10x magnification shows all tumor cells</w:t>
      </w:r>
    </w:p>
    <w:p w14:paraId="37D64AEE" w14:textId="77777777" w:rsidR="007E2248" w:rsidRDefault="007E2248" w:rsidP="007E2248">
      <w:pPr>
        <w:rPr>
          <w:rFonts w:ascii="Arial" w:hAnsi="Arial" w:cs="Arial"/>
          <w:sz w:val="20"/>
          <w:szCs w:val="20"/>
        </w:rPr>
      </w:pPr>
    </w:p>
    <w:p w14:paraId="33055E22" w14:textId="77777777" w:rsidR="007E2248" w:rsidRDefault="007E2248" w:rsidP="007E2248">
      <w:pPr>
        <w:rPr>
          <w:rFonts w:ascii="Arial" w:hAnsi="Arial" w:cs="Arial"/>
          <w:sz w:val="20"/>
          <w:szCs w:val="20"/>
        </w:rPr>
      </w:pPr>
    </w:p>
    <w:p w14:paraId="6FF917BD" w14:textId="77777777" w:rsidR="00E65566" w:rsidRDefault="00E65566" w:rsidP="00AB063C">
      <w:pPr>
        <w:rPr>
          <w:rFonts w:ascii="Arial" w:hAnsi="Arial" w:cs="Arial"/>
          <w:b/>
          <w:bCs/>
          <w:sz w:val="20"/>
          <w:szCs w:val="20"/>
        </w:rPr>
      </w:pPr>
    </w:p>
    <w:p w14:paraId="4210A240" w14:textId="77777777" w:rsidR="00AB063C" w:rsidRPr="00AB063C" w:rsidRDefault="00AB063C" w:rsidP="00AB063C">
      <w:pPr>
        <w:rPr>
          <w:rFonts w:ascii="Arial" w:hAnsi="Arial" w:cs="Arial"/>
          <w:b/>
          <w:bCs/>
          <w:sz w:val="20"/>
          <w:szCs w:val="20"/>
        </w:rPr>
      </w:pPr>
      <w:r w:rsidRPr="00AB063C">
        <w:rPr>
          <w:rFonts w:ascii="Arial" w:hAnsi="Arial" w:cs="Arial"/>
          <w:b/>
          <w:bCs/>
          <w:sz w:val="20"/>
          <w:szCs w:val="20"/>
        </w:rPr>
        <w:lastRenderedPageBreak/>
        <w:t>Postoperative Course and Follow-Up</w:t>
      </w:r>
    </w:p>
    <w:p w14:paraId="132D3D01" w14:textId="77777777" w:rsidR="00AB063C" w:rsidRDefault="00AB063C" w:rsidP="00AB063C">
      <w:pPr>
        <w:rPr>
          <w:rFonts w:ascii="Arial" w:hAnsi="Arial" w:cs="Arial"/>
          <w:sz w:val="20"/>
          <w:szCs w:val="20"/>
        </w:rPr>
      </w:pPr>
      <w:r w:rsidRPr="00AB063C">
        <w:rPr>
          <w:rFonts w:ascii="Arial" w:hAnsi="Arial" w:cs="Arial"/>
          <w:sz w:val="20"/>
          <w:szCs w:val="20"/>
        </w:rPr>
        <w:t xml:space="preserve">The postoperative period was uneventful. The patient was started on oral feeds on postoperative day </w:t>
      </w:r>
      <w:r w:rsidR="00D567BC" w:rsidRPr="0079748C">
        <w:rPr>
          <w:rFonts w:ascii="Arial" w:hAnsi="Arial" w:cs="Arial"/>
          <w:sz w:val="20"/>
          <w:szCs w:val="20"/>
        </w:rPr>
        <w:t>2</w:t>
      </w:r>
      <w:r w:rsidRPr="00AB063C">
        <w:rPr>
          <w:rFonts w:ascii="Arial" w:hAnsi="Arial" w:cs="Arial"/>
          <w:sz w:val="20"/>
          <w:szCs w:val="20"/>
        </w:rPr>
        <w:t xml:space="preserve"> and was discharged on postoperative day </w:t>
      </w:r>
      <w:r w:rsidR="00D567BC" w:rsidRPr="0079748C">
        <w:rPr>
          <w:rFonts w:ascii="Arial" w:hAnsi="Arial" w:cs="Arial"/>
          <w:sz w:val="20"/>
          <w:szCs w:val="20"/>
        </w:rPr>
        <w:t>10</w:t>
      </w:r>
      <w:r w:rsidRPr="00AB063C">
        <w:rPr>
          <w:rFonts w:ascii="Arial" w:hAnsi="Arial" w:cs="Arial"/>
          <w:sz w:val="20"/>
          <w:szCs w:val="20"/>
        </w:rPr>
        <w:t xml:space="preserve"> in stable condition. At follow-up visits</w:t>
      </w:r>
      <w:r w:rsidR="00D567BC" w:rsidRPr="0079748C">
        <w:rPr>
          <w:rFonts w:ascii="Arial" w:hAnsi="Arial" w:cs="Arial"/>
          <w:sz w:val="20"/>
          <w:szCs w:val="20"/>
        </w:rPr>
        <w:t xml:space="preserve"> </w:t>
      </w:r>
      <w:proofErr w:type="spellStart"/>
      <w:r w:rsidR="00D567BC" w:rsidRPr="0079748C">
        <w:rPr>
          <w:rFonts w:ascii="Arial" w:hAnsi="Arial" w:cs="Arial"/>
          <w:sz w:val="20"/>
          <w:szCs w:val="20"/>
        </w:rPr>
        <w:t>upto</w:t>
      </w:r>
      <w:proofErr w:type="spellEnd"/>
      <w:r w:rsidR="00D567BC" w:rsidRPr="0079748C">
        <w:rPr>
          <w:rFonts w:ascii="Arial" w:hAnsi="Arial" w:cs="Arial"/>
          <w:sz w:val="20"/>
          <w:szCs w:val="20"/>
        </w:rPr>
        <w:t xml:space="preserve"> three months</w:t>
      </w:r>
      <w:r w:rsidRPr="00AB063C">
        <w:rPr>
          <w:rFonts w:ascii="Arial" w:hAnsi="Arial" w:cs="Arial"/>
          <w:sz w:val="20"/>
          <w:szCs w:val="20"/>
        </w:rPr>
        <w:t xml:space="preserve">, the patient remained asymptomatic. </w:t>
      </w:r>
    </w:p>
    <w:p w14:paraId="498A1B57" w14:textId="77777777" w:rsidR="0079748C" w:rsidRPr="00AB063C" w:rsidRDefault="0079748C" w:rsidP="00AB063C">
      <w:pPr>
        <w:rPr>
          <w:rFonts w:ascii="Arial" w:hAnsi="Arial" w:cs="Arial"/>
          <w:sz w:val="20"/>
          <w:szCs w:val="20"/>
        </w:rPr>
      </w:pPr>
    </w:p>
    <w:p w14:paraId="5247B97D"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DISCUSSION</w:t>
      </w:r>
    </w:p>
    <w:p w14:paraId="24A3C4EE"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are rare tumors with fewer than a few hundred cases reported </w:t>
      </w:r>
      <w:proofErr w:type="gramStart"/>
      <w:r w:rsidRPr="00AB063C">
        <w:rPr>
          <w:rFonts w:ascii="Arial" w:hAnsi="Arial" w:cs="Arial"/>
          <w:sz w:val="20"/>
          <w:szCs w:val="20"/>
        </w:rPr>
        <w:t>worldwide.</w:t>
      </w:r>
      <w:r w:rsidR="005206D8" w:rsidRPr="0079748C">
        <w:rPr>
          <w:rFonts w:ascii="Arial" w:hAnsi="Arial" w:cs="Arial"/>
          <w:sz w:val="20"/>
          <w:szCs w:val="20"/>
          <w:vertAlign w:val="superscript"/>
        </w:rPr>
        <w:t>[</w:t>
      </w:r>
      <w:proofErr w:type="gramEnd"/>
      <w:r w:rsidR="005206D8" w:rsidRPr="0079748C">
        <w:rPr>
          <w:rFonts w:ascii="Arial" w:hAnsi="Arial" w:cs="Arial"/>
          <w:sz w:val="20"/>
          <w:szCs w:val="20"/>
          <w:vertAlign w:val="superscript"/>
        </w:rPr>
        <w:t>1,3]</w:t>
      </w:r>
      <w:r w:rsidRPr="00AB063C">
        <w:rPr>
          <w:rFonts w:ascii="Arial" w:hAnsi="Arial" w:cs="Arial"/>
          <w:sz w:val="20"/>
          <w:szCs w:val="20"/>
        </w:rPr>
        <w:t xml:space="preserve"> These tumors predominantly affect adults, with a slight female preponderance, and are usually detected in the fourth to fifth decade of life.</w:t>
      </w:r>
      <w:r w:rsidR="005206D8" w:rsidRPr="0079748C">
        <w:rPr>
          <w:rFonts w:ascii="Arial" w:hAnsi="Arial" w:cs="Arial"/>
          <w:sz w:val="20"/>
          <w:szCs w:val="20"/>
          <w:vertAlign w:val="superscript"/>
        </w:rPr>
        <w:t>[2]</w:t>
      </w:r>
      <w:r w:rsidRPr="00AB063C">
        <w:rPr>
          <w:rFonts w:ascii="Arial" w:hAnsi="Arial" w:cs="Arial"/>
          <w:sz w:val="20"/>
          <w:szCs w:val="20"/>
        </w:rPr>
        <w:t xml:space="preserve"> The majority of AONs are non-functional</w:t>
      </w:r>
      <w:r w:rsidR="005206D8" w:rsidRPr="0079748C">
        <w:rPr>
          <w:rFonts w:ascii="Arial" w:hAnsi="Arial" w:cs="Arial"/>
          <w:sz w:val="20"/>
          <w:szCs w:val="20"/>
          <w:vertAlign w:val="superscript"/>
        </w:rPr>
        <w:t>[3]</w:t>
      </w:r>
      <w:r w:rsidRPr="00AB063C">
        <w:rPr>
          <w:rFonts w:ascii="Arial" w:hAnsi="Arial" w:cs="Arial"/>
          <w:sz w:val="20"/>
          <w:szCs w:val="20"/>
        </w:rPr>
        <w:t>, as observed in the present case.</w:t>
      </w:r>
    </w:p>
    <w:p w14:paraId="39C6B41B" w14:textId="77777777" w:rsidR="00AB063C" w:rsidRPr="0079748C" w:rsidRDefault="00AB063C" w:rsidP="00AB063C">
      <w:pPr>
        <w:rPr>
          <w:rFonts w:ascii="Arial" w:hAnsi="Arial" w:cs="Arial"/>
          <w:sz w:val="20"/>
          <w:szCs w:val="20"/>
        </w:rPr>
      </w:pPr>
      <w:r w:rsidRPr="00AB063C">
        <w:rPr>
          <w:rFonts w:ascii="Arial" w:hAnsi="Arial" w:cs="Arial"/>
          <w:sz w:val="20"/>
          <w:szCs w:val="20"/>
        </w:rPr>
        <w:t xml:space="preserve">Clinically, AONs may remain asymptomatic and are often discovered incidentally during imaging for unrelated conditions. When symptomatic, presentations are usually due to mass effect, including abdominal or lumbar </w:t>
      </w:r>
      <w:proofErr w:type="gramStart"/>
      <w:r w:rsidRPr="00AB063C">
        <w:rPr>
          <w:rFonts w:ascii="Arial" w:hAnsi="Arial" w:cs="Arial"/>
          <w:sz w:val="20"/>
          <w:szCs w:val="20"/>
        </w:rPr>
        <w:t>pain</w:t>
      </w:r>
      <w:r w:rsidR="005206D8" w:rsidRPr="0079748C">
        <w:rPr>
          <w:rFonts w:ascii="Arial" w:hAnsi="Arial" w:cs="Arial"/>
          <w:sz w:val="20"/>
          <w:szCs w:val="20"/>
          <w:vertAlign w:val="superscript"/>
        </w:rPr>
        <w:t>[</w:t>
      </w:r>
      <w:proofErr w:type="gramEnd"/>
      <w:r w:rsidR="005206D8" w:rsidRPr="0079748C">
        <w:rPr>
          <w:rFonts w:ascii="Arial" w:hAnsi="Arial" w:cs="Arial"/>
          <w:sz w:val="20"/>
          <w:szCs w:val="20"/>
          <w:vertAlign w:val="superscript"/>
        </w:rPr>
        <w:t>3]</w:t>
      </w:r>
      <w:r w:rsidRPr="00AB063C">
        <w:rPr>
          <w:rFonts w:ascii="Arial" w:hAnsi="Arial" w:cs="Arial"/>
          <w:sz w:val="20"/>
          <w:szCs w:val="20"/>
        </w:rPr>
        <w:t>, as seen in our patient.</w:t>
      </w:r>
    </w:p>
    <w:p w14:paraId="16F83AE4" w14:textId="77777777" w:rsidR="00D567BC" w:rsidRPr="00D567BC" w:rsidRDefault="00D567BC" w:rsidP="00D567BC">
      <w:pPr>
        <w:rPr>
          <w:rFonts w:ascii="Arial" w:hAnsi="Arial" w:cs="Arial"/>
          <w:sz w:val="20"/>
          <w:szCs w:val="20"/>
        </w:rPr>
      </w:pPr>
      <w:r w:rsidRPr="00D567BC">
        <w:rPr>
          <w:rFonts w:ascii="Arial" w:hAnsi="Arial" w:cs="Arial"/>
          <w:sz w:val="20"/>
          <w:szCs w:val="20"/>
        </w:rPr>
        <w:t>Adrenocortical neoplasms are rare and require meticulous preoperative evaluation to rule out functional tumors, especially pheochromocytoma, due to perioperative hemodynamic risks.</w:t>
      </w:r>
      <w:r w:rsidR="005206D8" w:rsidRPr="0079748C">
        <w:rPr>
          <w:rFonts w:ascii="Arial" w:hAnsi="Arial" w:cs="Arial"/>
          <w:sz w:val="20"/>
          <w:szCs w:val="20"/>
          <w:vertAlign w:val="superscript"/>
        </w:rPr>
        <w:t>[5]</w:t>
      </w:r>
      <w:r w:rsidRPr="00D567BC">
        <w:rPr>
          <w:rFonts w:ascii="Arial" w:hAnsi="Arial" w:cs="Arial"/>
          <w:sz w:val="20"/>
          <w:szCs w:val="20"/>
        </w:rPr>
        <w:t xml:space="preserve"> In this case, biochemical screening including plasma </w:t>
      </w:r>
      <w:proofErr w:type="spellStart"/>
      <w:r w:rsidRPr="00D567BC">
        <w:rPr>
          <w:rFonts w:ascii="Arial" w:hAnsi="Arial" w:cs="Arial"/>
          <w:sz w:val="20"/>
          <w:szCs w:val="20"/>
        </w:rPr>
        <w:t>metanephrines</w:t>
      </w:r>
      <w:proofErr w:type="spellEnd"/>
      <w:r w:rsidRPr="00D567BC">
        <w:rPr>
          <w:rFonts w:ascii="Arial" w:hAnsi="Arial" w:cs="Arial"/>
          <w:sz w:val="20"/>
          <w:szCs w:val="20"/>
        </w:rPr>
        <w:t xml:space="preserve"> and urinary catecholamines was unremarkable, effectively excluding pheochromocytoma.</w:t>
      </w:r>
    </w:p>
    <w:p w14:paraId="4BF7F074" w14:textId="77777777" w:rsidR="00D567BC" w:rsidRPr="00AB063C" w:rsidRDefault="00D567BC" w:rsidP="00AB063C">
      <w:pPr>
        <w:rPr>
          <w:rFonts w:ascii="Arial" w:hAnsi="Arial" w:cs="Arial"/>
          <w:sz w:val="20"/>
          <w:szCs w:val="20"/>
          <w:vertAlign w:val="superscript"/>
        </w:rPr>
      </w:pPr>
      <w:r w:rsidRPr="00D567BC">
        <w:rPr>
          <w:rFonts w:ascii="Arial" w:hAnsi="Arial" w:cs="Arial"/>
          <w:sz w:val="20"/>
          <w:szCs w:val="20"/>
        </w:rPr>
        <w:t xml:space="preserve">Although the tumor was non-functional, awareness of potential adrenal crisis during adrenal surgery is essential. If encountered, adrenal insufficiency can be managed with prompt corticosteroid, </w:t>
      </w:r>
      <w:proofErr w:type="gramStart"/>
      <w:r w:rsidRPr="00D567BC">
        <w:rPr>
          <w:rFonts w:ascii="Arial" w:hAnsi="Arial" w:cs="Arial"/>
          <w:sz w:val="20"/>
          <w:szCs w:val="20"/>
        </w:rPr>
        <w:t>ionotropic  support</w:t>
      </w:r>
      <w:proofErr w:type="gramEnd"/>
      <w:r w:rsidRPr="00D567BC">
        <w:rPr>
          <w:rFonts w:ascii="Arial" w:hAnsi="Arial" w:cs="Arial"/>
          <w:sz w:val="20"/>
          <w:szCs w:val="20"/>
        </w:rPr>
        <w:t xml:space="preserve"> and fluid resuscitation.</w:t>
      </w:r>
      <w:r w:rsidR="005206D8" w:rsidRPr="0079748C">
        <w:rPr>
          <w:rFonts w:ascii="Arial" w:hAnsi="Arial" w:cs="Arial"/>
          <w:sz w:val="20"/>
          <w:szCs w:val="20"/>
          <w:vertAlign w:val="superscript"/>
        </w:rPr>
        <w:t>[5]</w:t>
      </w:r>
    </w:p>
    <w:p w14:paraId="01D071C1" w14:textId="77777777" w:rsidR="00AB063C" w:rsidRPr="00AB063C" w:rsidRDefault="00AB063C" w:rsidP="00AB063C">
      <w:pPr>
        <w:rPr>
          <w:rFonts w:ascii="Arial" w:hAnsi="Arial" w:cs="Arial"/>
          <w:sz w:val="20"/>
          <w:szCs w:val="20"/>
          <w:vertAlign w:val="superscript"/>
        </w:rPr>
      </w:pPr>
      <w:r w:rsidRPr="00AB063C">
        <w:rPr>
          <w:rFonts w:ascii="Arial" w:hAnsi="Arial" w:cs="Arial"/>
          <w:sz w:val="20"/>
          <w:szCs w:val="20"/>
        </w:rPr>
        <w:t xml:space="preserve">Radiological differentiation between benign and malignant adrenal tumors remains difficult. Features such as large size, heterogeneity, and delayed contrast washout may raise suspicion of malignancy but are not </w:t>
      </w:r>
      <w:proofErr w:type="gramStart"/>
      <w:r w:rsidRPr="00AB063C">
        <w:rPr>
          <w:rFonts w:ascii="Arial" w:hAnsi="Arial" w:cs="Arial"/>
          <w:sz w:val="20"/>
          <w:szCs w:val="20"/>
        </w:rPr>
        <w:t>definitive.</w:t>
      </w:r>
      <w:r w:rsidR="005206D8" w:rsidRPr="0079748C">
        <w:rPr>
          <w:rFonts w:ascii="Arial" w:hAnsi="Arial" w:cs="Arial"/>
          <w:sz w:val="20"/>
          <w:szCs w:val="20"/>
          <w:vertAlign w:val="superscript"/>
        </w:rPr>
        <w:t>[</w:t>
      </w:r>
      <w:proofErr w:type="gramEnd"/>
      <w:r w:rsidR="005206D8" w:rsidRPr="0079748C">
        <w:rPr>
          <w:rFonts w:ascii="Arial" w:hAnsi="Arial" w:cs="Arial"/>
          <w:sz w:val="20"/>
          <w:szCs w:val="20"/>
          <w:vertAlign w:val="superscript"/>
        </w:rPr>
        <w:t>4,7]</w:t>
      </w:r>
      <w:r w:rsidRPr="00AB063C">
        <w:rPr>
          <w:rFonts w:ascii="Arial" w:hAnsi="Arial" w:cs="Arial"/>
          <w:sz w:val="20"/>
          <w:szCs w:val="20"/>
        </w:rPr>
        <w:t xml:space="preserve"> Therefore, histopathological examination remains the gold standard for diagnosis.</w:t>
      </w:r>
      <w:r w:rsidR="005206D8" w:rsidRPr="0079748C">
        <w:rPr>
          <w:rFonts w:ascii="Arial" w:hAnsi="Arial" w:cs="Arial"/>
          <w:sz w:val="20"/>
          <w:szCs w:val="20"/>
          <w:vertAlign w:val="superscript"/>
        </w:rPr>
        <w:t>[1,4]</w:t>
      </w:r>
    </w:p>
    <w:p w14:paraId="34A8A3E6" w14:textId="77777777" w:rsidR="00AB063C" w:rsidRPr="00AB063C" w:rsidRDefault="00AB063C" w:rsidP="00AB063C">
      <w:pPr>
        <w:rPr>
          <w:rFonts w:ascii="Arial" w:hAnsi="Arial" w:cs="Arial"/>
          <w:sz w:val="20"/>
          <w:szCs w:val="20"/>
          <w:vertAlign w:val="superscript"/>
        </w:rPr>
      </w:pPr>
      <w:r w:rsidRPr="00AB063C">
        <w:rPr>
          <w:rFonts w:ascii="Arial" w:hAnsi="Arial" w:cs="Arial"/>
          <w:sz w:val="20"/>
          <w:szCs w:val="20"/>
        </w:rPr>
        <w:t xml:space="preserve">The Lin–Weiss–Bisceglia criteria are specifically designed for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adrenal tumors and classify them into benign, malignant, and borderline (uncertain malignant potential) categories. Surgical excision is recommended for all large adrenal tumors (&gt;6 cm) or when malignancy cannot be excluded.</w:t>
      </w:r>
      <w:r w:rsidR="005206D8" w:rsidRPr="0079748C">
        <w:rPr>
          <w:rFonts w:ascii="Arial" w:hAnsi="Arial" w:cs="Arial"/>
          <w:sz w:val="20"/>
          <w:szCs w:val="20"/>
          <w:vertAlign w:val="superscript"/>
        </w:rPr>
        <w:t>[7]</w:t>
      </w:r>
    </w:p>
    <w:p w14:paraId="44A47D88" w14:textId="77777777" w:rsidR="00AB063C" w:rsidRPr="00AB063C" w:rsidRDefault="00AB063C" w:rsidP="00AB063C">
      <w:pPr>
        <w:rPr>
          <w:rFonts w:ascii="Arial" w:hAnsi="Arial" w:cs="Arial"/>
          <w:sz w:val="20"/>
          <w:szCs w:val="20"/>
          <w:vertAlign w:val="superscript"/>
        </w:rPr>
      </w:pPr>
      <w:r w:rsidRPr="00AB063C">
        <w:rPr>
          <w:rFonts w:ascii="Arial" w:hAnsi="Arial" w:cs="Arial"/>
          <w:sz w:val="20"/>
          <w:szCs w:val="20"/>
        </w:rPr>
        <w:t xml:space="preserve">Complete surgical resection offers excellent prognosis for benign and borderline tumors. However, due to unpredictable behavior, long-term follow-up with periodic imaging is </w:t>
      </w:r>
      <w:proofErr w:type="gramStart"/>
      <w:r w:rsidRPr="00AB063C">
        <w:rPr>
          <w:rFonts w:ascii="Arial" w:hAnsi="Arial" w:cs="Arial"/>
          <w:sz w:val="20"/>
          <w:szCs w:val="20"/>
        </w:rPr>
        <w:t>advised.</w:t>
      </w:r>
      <w:r w:rsidR="005206D8" w:rsidRPr="0079748C">
        <w:rPr>
          <w:rFonts w:ascii="Arial" w:hAnsi="Arial" w:cs="Arial"/>
          <w:sz w:val="20"/>
          <w:szCs w:val="20"/>
          <w:vertAlign w:val="superscript"/>
        </w:rPr>
        <w:t>[</w:t>
      </w:r>
      <w:proofErr w:type="gramEnd"/>
      <w:r w:rsidR="005206D8" w:rsidRPr="0079748C">
        <w:rPr>
          <w:rFonts w:ascii="Arial" w:hAnsi="Arial" w:cs="Arial"/>
          <w:sz w:val="20"/>
          <w:szCs w:val="20"/>
          <w:vertAlign w:val="superscript"/>
        </w:rPr>
        <w:t>6,8]</w:t>
      </w:r>
    </w:p>
    <w:p w14:paraId="7570A61E" w14:textId="77777777" w:rsidR="00AB063C" w:rsidRDefault="00AB063C" w:rsidP="00AB063C">
      <w:pPr>
        <w:rPr>
          <w:rFonts w:ascii="Arial" w:hAnsi="Arial" w:cs="Arial"/>
          <w:sz w:val="20"/>
          <w:szCs w:val="20"/>
        </w:rPr>
      </w:pPr>
    </w:p>
    <w:p w14:paraId="7DA1B352" w14:textId="77777777" w:rsidR="0079748C" w:rsidRDefault="0079748C" w:rsidP="00AB063C">
      <w:pPr>
        <w:rPr>
          <w:rFonts w:ascii="Arial" w:hAnsi="Arial" w:cs="Arial"/>
          <w:sz w:val="20"/>
          <w:szCs w:val="20"/>
        </w:rPr>
      </w:pPr>
    </w:p>
    <w:p w14:paraId="3F695CAE" w14:textId="77777777" w:rsidR="0079748C" w:rsidRPr="00AB063C" w:rsidRDefault="0079748C" w:rsidP="00AB063C">
      <w:pPr>
        <w:rPr>
          <w:rFonts w:ascii="Arial" w:hAnsi="Arial" w:cs="Arial"/>
          <w:sz w:val="20"/>
          <w:szCs w:val="20"/>
        </w:rPr>
      </w:pPr>
    </w:p>
    <w:p w14:paraId="48155DD8" w14:textId="77777777" w:rsidR="00AB063C" w:rsidRPr="00AB063C" w:rsidRDefault="0079748C" w:rsidP="00AB063C">
      <w:pPr>
        <w:rPr>
          <w:rFonts w:ascii="Arial" w:hAnsi="Arial" w:cs="Arial"/>
          <w:b/>
          <w:bCs/>
          <w:sz w:val="22"/>
          <w:szCs w:val="22"/>
        </w:rPr>
      </w:pPr>
      <w:r w:rsidRPr="0079748C">
        <w:rPr>
          <w:rFonts w:ascii="Arial" w:hAnsi="Arial" w:cs="Arial"/>
          <w:b/>
          <w:bCs/>
          <w:sz w:val="22"/>
          <w:szCs w:val="22"/>
        </w:rPr>
        <w:t>CONCLUSION</w:t>
      </w:r>
    </w:p>
    <w:p w14:paraId="76BE111D" w14:textId="77777777" w:rsidR="00AB063C" w:rsidRPr="00AB063C" w:rsidRDefault="00AB063C" w:rsidP="00AB063C">
      <w:pPr>
        <w:rPr>
          <w:rFonts w:ascii="Arial" w:hAnsi="Arial" w:cs="Arial"/>
          <w:sz w:val="20"/>
          <w:szCs w:val="20"/>
        </w:rPr>
      </w:pPr>
      <w:r w:rsidRPr="00AB063C">
        <w:rPr>
          <w:rFonts w:ascii="Arial" w:hAnsi="Arial" w:cs="Arial"/>
          <w:sz w:val="20"/>
          <w:szCs w:val="20"/>
        </w:rPr>
        <w:t xml:space="preserve">Adrenocortical </w:t>
      </w:r>
      <w:proofErr w:type="spellStart"/>
      <w:r w:rsidRPr="00AB063C">
        <w:rPr>
          <w:rFonts w:ascii="Arial" w:hAnsi="Arial" w:cs="Arial"/>
          <w:sz w:val="20"/>
          <w:szCs w:val="20"/>
        </w:rPr>
        <w:t>oncocytic</w:t>
      </w:r>
      <w:proofErr w:type="spellEnd"/>
      <w:r w:rsidRPr="00AB063C">
        <w:rPr>
          <w:rFonts w:ascii="Arial" w:hAnsi="Arial" w:cs="Arial"/>
          <w:sz w:val="20"/>
          <w:szCs w:val="20"/>
        </w:rPr>
        <w:t xml:space="preserve"> neoplasms are rare adrenal tumors with variable malignant potential. They may present as a lumbar mass without hormonal manifestations. Surgical excision remains the cornerstone of management, and histopathological evaluation is essential for definitive diagnosis. </w:t>
      </w:r>
      <w:r w:rsidR="00D567BC" w:rsidRPr="0079748C">
        <w:rPr>
          <w:rFonts w:ascii="Arial" w:hAnsi="Arial" w:cs="Arial"/>
          <w:sz w:val="20"/>
          <w:szCs w:val="20"/>
        </w:rPr>
        <w:t xml:space="preserve">This case underscores the surgical approach to a rare adrenal </w:t>
      </w:r>
      <w:proofErr w:type="spellStart"/>
      <w:r w:rsidR="00D567BC" w:rsidRPr="0079748C">
        <w:rPr>
          <w:rFonts w:ascii="Arial" w:hAnsi="Arial" w:cs="Arial"/>
          <w:sz w:val="20"/>
          <w:szCs w:val="20"/>
        </w:rPr>
        <w:t>oncocytic</w:t>
      </w:r>
      <w:proofErr w:type="spellEnd"/>
      <w:r w:rsidR="00D567BC" w:rsidRPr="0079748C">
        <w:rPr>
          <w:rFonts w:ascii="Arial" w:hAnsi="Arial" w:cs="Arial"/>
          <w:sz w:val="20"/>
          <w:szCs w:val="20"/>
        </w:rPr>
        <w:t xml:space="preserve"> neoplasm presenting as a left-sided retroperitoneal mass. Early diagnosis and prompt surgical excision lead to favorable outcomes. </w:t>
      </w:r>
      <w:r w:rsidRPr="00AB063C">
        <w:rPr>
          <w:rFonts w:ascii="Arial" w:hAnsi="Arial" w:cs="Arial"/>
          <w:sz w:val="20"/>
          <w:szCs w:val="20"/>
        </w:rPr>
        <w:t>Long-term follow-up is recommended due to the risk of recurrence.</w:t>
      </w:r>
    </w:p>
    <w:p w14:paraId="74A38A15" w14:textId="77777777" w:rsidR="00AB063C" w:rsidRPr="00AB063C" w:rsidRDefault="00AB063C" w:rsidP="00AB063C">
      <w:pPr>
        <w:rPr>
          <w:rFonts w:ascii="Arial" w:hAnsi="Arial" w:cs="Arial"/>
          <w:sz w:val="20"/>
          <w:szCs w:val="20"/>
        </w:rPr>
      </w:pPr>
    </w:p>
    <w:p w14:paraId="40F52DE8"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PATIENT CONSENT</w:t>
      </w:r>
    </w:p>
    <w:p w14:paraId="18EEF4E0" w14:textId="77777777" w:rsidR="00AB063C" w:rsidRPr="00AB063C" w:rsidRDefault="00AB063C" w:rsidP="00AB063C">
      <w:pPr>
        <w:rPr>
          <w:rFonts w:ascii="Arial" w:hAnsi="Arial" w:cs="Arial"/>
          <w:sz w:val="20"/>
          <w:szCs w:val="20"/>
        </w:rPr>
      </w:pPr>
      <w:r w:rsidRPr="00AB063C">
        <w:rPr>
          <w:rFonts w:ascii="Arial" w:hAnsi="Arial" w:cs="Arial"/>
          <w:sz w:val="20"/>
          <w:szCs w:val="20"/>
        </w:rPr>
        <w:t>Written informed consent was obtained from the patient for publication of this case report and accompanying images.</w:t>
      </w:r>
    </w:p>
    <w:p w14:paraId="2234F5D1" w14:textId="77777777" w:rsidR="00AB063C" w:rsidRPr="00AB063C" w:rsidRDefault="00AB063C" w:rsidP="00AB063C">
      <w:pPr>
        <w:rPr>
          <w:rFonts w:ascii="Arial" w:hAnsi="Arial" w:cs="Arial"/>
          <w:sz w:val="20"/>
          <w:szCs w:val="20"/>
        </w:rPr>
      </w:pPr>
    </w:p>
    <w:p w14:paraId="64C70E7E"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CONFLICTS OF INTEREST</w:t>
      </w:r>
    </w:p>
    <w:p w14:paraId="4383E11F" w14:textId="77777777" w:rsidR="00AB063C" w:rsidRPr="00AB063C" w:rsidRDefault="00AB063C" w:rsidP="00AB063C">
      <w:pPr>
        <w:rPr>
          <w:rFonts w:ascii="Arial" w:hAnsi="Arial" w:cs="Arial"/>
          <w:sz w:val="20"/>
          <w:szCs w:val="20"/>
        </w:rPr>
      </w:pPr>
      <w:r w:rsidRPr="00AB063C">
        <w:rPr>
          <w:rFonts w:ascii="Arial" w:hAnsi="Arial" w:cs="Arial"/>
          <w:sz w:val="20"/>
          <w:szCs w:val="20"/>
        </w:rPr>
        <w:t>The authors declare no conflicts of interest.</w:t>
      </w:r>
    </w:p>
    <w:p w14:paraId="35604AF0" w14:textId="77777777" w:rsidR="00AB063C" w:rsidRPr="00AB063C" w:rsidRDefault="00AB063C" w:rsidP="00AB063C">
      <w:pPr>
        <w:rPr>
          <w:rFonts w:ascii="Arial" w:hAnsi="Arial" w:cs="Arial"/>
          <w:sz w:val="20"/>
          <w:szCs w:val="20"/>
        </w:rPr>
      </w:pPr>
    </w:p>
    <w:p w14:paraId="4A27A983" w14:textId="77777777" w:rsidR="00AB063C" w:rsidRPr="00AB063C" w:rsidRDefault="0079748C" w:rsidP="00AB063C">
      <w:pPr>
        <w:rPr>
          <w:rFonts w:ascii="Arial" w:hAnsi="Arial" w:cs="Arial"/>
          <w:b/>
          <w:bCs/>
          <w:sz w:val="22"/>
          <w:szCs w:val="22"/>
        </w:rPr>
      </w:pPr>
      <w:r w:rsidRPr="00AB063C">
        <w:rPr>
          <w:rFonts w:ascii="Arial" w:hAnsi="Arial" w:cs="Arial"/>
          <w:b/>
          <w:bCs/>
          <w:sz w:val="22"/>
          <w:szCs w:val="22"/>
        </w:rPr>
        <w:t xml:space="preserve">REFERENCES </w:t>
      </w:r>
    </w:p>
    <w:p w14:paraId="78689E00" w14:textId="376684CE"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Bisceglia, M., Ludovico, O., Di Mattia, A., Ben-Dor, D., Sandbank, J., Pasquinelli, G., Lau, S. K., &amp; Weiss, L. M. (2004). Adrenocortical </w:t>
      </w:r>
      <w:proofErr w:type="spellStart"/>
      <w:r w:rsidRPr="002D72A1">
        <w:rPr>
          <w:rFonts w:ascii="Arial" w:hAnsi="Arial" w:cs="Arial"/>
          <w:sz w:val="20"/>
          <w:szCs w:val="20"/>
        </w:rPr>
        <w:t>oncocytic</w:t>
      </w:r>
      <w:proofErr w:type="spellEnd"/>
      <w:r w:rsidRPr="002D72A1">
        <w:rPr>
          <w:rFonts w:ascii="Arial" w:hAnsi="Arial" w:cs="Arial"/>
          <w:sz w:val="20"/>
          <w:szCs w:val="20"/>
        </w:rPr>
        <w:t xml:space="preserve"> tumors: report of 10 cases and review of the literature. *International Journal of Surgical Pathology*, *12*(3), 231-243. </w:t>
      </w:r>
      <w:hyperlink r:id="rId12" w:history="1">
        <w:r w:rsidRPr="0081018C">
          <w:rPr>
            <w:rStyle w:val="Hyperlink"/>
            <w:rFonts w:ascii="Arial" w:hAnsi="Arial" w:cs="Arial"/>
            <w:sz w:val="20"/>
            <w:szCs w:val="20"/>
          </w:rPr>
          <w:t>https://doi.org/10.1177/106689690401200304</w:t>
        </w:r>
      </w:hyperlink>
    </w:p>
    <w:p w14:paraId="5B5EF4A1" w14:textId="4C3900C9"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Lin, B. T., </w:t>
      </w:r>
      <w:proofErr w:type="spellStart"/>
      <w:r w:rsidRPr="002D72A1">
        <w:rPr>
          <w:rFonts w:ascii="Arial" w:hAnsi="Arial" w:cs="Arial"/>
          <w:sz w:val="20"/>
          <w:szCs w:val="20"/>
        </w:rPr>
        <w:t>Bonsib</w:t>
      </w:r>
      <w:proofErr w:type="spellEnd"/>
      <w:r w:rsidRPr="002D72A1">
        <w:rPr>
          <w:rFonts w:ascii="Arial" w:hAnsi="Arial" w:cs="Arial"/>
          <w:sz w:val="20"/>
          <w:szCs w:val="20"/>
        </w:rPr>
        <w:t xml:space="preserve">, S. M., Mierau, G. W., Weiss, L. M., &amp; Medeiros, L. J. (1998). </w:t>
      </w:r>
      <w:proofErr w:type="spellStart"/>
      <w:r w:rsidRPr="002D72A1">
        <w:rPr>
          <w:rFonts w:ascii="Arial" w:hAnsi="Arial" w:cs="Arial"/>
          <w:sz w:val="20"/>
          <w:szCs w:val="20"/>
        </w:rPr>
        <w:t>Oncocytic</w:t>
      </w:r>
      <w:proofErr w:type="spellEnd"/>
      <w:r w:rsidRPr="002D72A1">
        <w:rPr>
          <w:rFonts w:ascii="Arial" w:hAnsi="Arial" w:cs="Arial"/>
          <w:sz w:val="20"/>
          <w:szCs w:val="20"/>
        </w:rPr>
        <w:t xml:space="preserve"> adrenocortical neoplasms: A report of seven cases and review of the literature. American Journal of Surgical Pathology, 22(5), 603-614. </w:t>
      </w:r>
      <w:hyperlink r:id="rId13" w:history="1">
        <w:r w:rsidRPr="0081018C">
          <w:rPr>
            <w:rStyle w:val="Hyperlink"/>
            <w:rFonts w:ascii="Arial" w:hAnsi="Arial" w:cs="Arial"/>
            <w:sz w:val="20"/>
            <w:szCs w:val="20"/>
          </w:rPr>
          <w:t>https://doi.org/10.1097/00000478-199805000-00012</w:t>
        </w:r>
      </w:hyperlink>
    </w:p>
    <w:p w14:paraId="314A6C9C" w14:textId="2D146211"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Wong, D. D., Spagnolo, D. V., Bisceglia, M., </w:t>
      </w:r>
      <w:proofErr w:type="spellStart"/>
      <w:r w:rsidRPr="002D72A1">
        <w:rPr>
          <w:rFonts w:ascii="Arial" w:hAnsi="Arial" w:cs="Arial"/>
          <w:sz w:val="20"/>
          <w:szCs w:val="20"/>
        </w:rPr>
        <w:t>Havlat</w:t>
      </w:r>
      <w:proofErr w:type="spellEnd"/>
      <w:r w:rsidRPr="002D72A1">
        <w:rPr>
          <w:rFonts w:ascii="Arial" w:hAnsi="Arial" w:cs="Arial"/>
          <w:sz w:val="20"/>
          <w:szCs w:val="20"/>
        </w:rPr>
        <w:t xml:space="preserve">, M., McCallum, D., &amp; Platten, M. A. (2011). </w:t>
      </w:r>
      <w:proofErr w:type="spellStart"/>
      <w:r w:rsidRPr="002D72A1">
        <w:rPr>
          <w:rFonts w:ascii="Arial" w:hAnsi="Arial" w:cs="Arial"/>
          <w:sz w:val="20"/>
          <w:szCs w:val="20"/>
        </w:rPr>
        <w:t>Oncocytic</w:t>
      </w:r>
      <w:proofErr w:type="spellEnd"/>
      <w:r w:rsidRPr="002D72A1">
        <w:rPr>
          <w:rFonts w:ascii="Arial" w:hAnsi="Arial" w:cs="Arial"/>
          <w:sz w:val="20"/>
          <w:szCs w:val="20"/>
        </w:rPr>
        <w:t xml:space="preserve"> adrenocortical neoplasms—a clinicopathologic study of 13 new cases emphasizing the importance of their recognition. Human Pathology, 42(4), 489-499. </w:t>
      </w:r>
      <w:hyperlink r:id="rId14" w:history="1">
        <w:r w:rsidRPr="0081018C">
          <w:rPr>
            <w:rStyle w:val="Hyperlink"/>
            <w:rFonts w:ascii="Arial" w:hAnsi="Arial" w:cs="Arial"/>
            <w:sz w:val="20"/>
            <w:szCs w:val="20"/>
          </w:rPr>
          <w:t>https://doi.org/10.1016/j.humpath.2010.08.010</w:t>
        </w:r>
      </w:hyperlink>
    </w:p>
    <w:p w14:paraId="0954AC89" w14:textId="3A480E46"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Aubert, S., </w:t>
      </w:r>
      <w:proofErr w:type="spellStart"/>
      <w:r w:rsidRPr="002D72A1">
        <w:rPr>
          <w:rFonts w:ascii="Arial" w:hAnsi="Arial" w:cs="Arial"/>
          <w:sz w:val="20"/>
          <w:szCs w:val="20"/>
        </w:rPr>
        <w:t>Wacrenier</w:t>
      </w:r>
      <w:proofErr w:type="spellEnd"/>
      <w:r w:rsidRPr="002D72A1">
        <w:rPr>
          <w:rFonts w:ascii="Arial" w:hAnsi="Arial" w:cs="Arial"/>
          <w:sz w:val="20"/>
          <w:szCs w:val="20"/>
        </w:rPr>
        <w:t xml:space="preserve">, A., Leroy, X., Devos, P., </w:t>
      </w:r>
      <w:proofErr w:type="spellStart"/>
      <w:r w:rsidRPr="002D72A1">
        <w:rPr>
          <w:rFonts w:ascii="Arial" w:hAnsi="Arial" w:cs="Arial"/>
          <w:sz w:val="20"/>
          <w:szCs w:val="20"/>
        </w:rPr>
        <w:t>Carnaille</w:t>
      </w:r>
      <w:proofErr w:type="spellEnd"/>
      <w:r w:rsidRPr="002D72A1">
        <w:rPr>
          <w:rFonts w:ascii="Arial" w:hAnsi="Arial" w:cs="Arial"/>
          <w:sz w:val="20"/>
          <w:szCs w:val="20"/>
        </w:rPr>
        <w:t xml:space="preserve">, B., </w:t>
      </w:r>
      <w:proofErr w:type="spellStart"/>
      <w:r w:rsidRPr="002D72A1">
        <w:rPr>
          <w:rFonts w:ascii="Arial" w:hAnsi="Arial" w:cs="Arial"/>
          <w:sz w:val="20"/>
          <w:szCs w:val="20"/>
        </w:rPr>
        <w:t>Proye</w:t>
      </w:r>
      <w:proofErr w:type="spellEnd"/>
      <w:r w:rsidRPr="002D72A1">
        <w:rPr>
          <w:rFonts w:ascii="Arial" w:hAnsi="Arial" w:cs="Arial"/>
          <w:sz w:val="20"/>
          <w:szCs w:val="20"/>
        </w:rPr>
        <w:t xml:space="preserve">, C., Wemeau, J. L., </w:t>
      </w:r>
      <w:proofErr w:type="spellStart"/>
      <w:r w:rsidRPr="002D72A1">
        <w:rPr>
          <w:rFonts w:ascii="Arial" w:hAnsi="Arial" w:cs="Arial"/>
          <w:sz w:val="20"/>
          <w:szCs w:val="20"/>
        </w:rPr>
        <w:t>Lecomte-Houcke</w:t>
      </w:r>
      <w:proofErr w:type="spellEnd"/>
      <w:r w:rsidRPr="002D72A1">
        <w:rPr>
          <w:rFonts w:ascii="Arial" w:hAnsi="Arial" w:cs="Arial"/>
          <w:sz w:val="20"/>
          <w:szCs w:val="20"/>
        </w:rPr>
        <w:t xml:space="preserve">, M., &amp; </w:t>
      </w:r>
      <w:proofErr w:type="spellStart"/>
      <w:r w:rsidRPr="002D72A1">
        <w:rPr>
          <w:rFonts w:ascii="Arial" w:hAnsi="Arial" w:cs="Arial"/>
          <w:sz w:val="20"/>
          <w:szCs w:val="20"/>
        </w:rPr>
        <w:t>Leteurtre</w:t>
      </w:r>
      <w:proofErr w:type="spellEnd"/>
      <w:r w:rsidRPr="002D72A1">
        <w:rPr>
          <w:rFonts w:ascii="Arial" w:hAnsi="Arial" w:cs="Arial"/>
          <w:sz w:val="20"/>
          <w:szCs w:val="20"/>
        </w:rPr>
        <w:t xml:space="preserve">, E. (2002). Weiss system revisited: A clinicopathologic and immunohistochemical study of 49 adrenocortical tumors. American Journal of Surgical Pathology, 26(12), 1612-1619. </w:t>
      </w:r>
      <w:hyperlink r:id="rId15" w:history="1">
        <w:r w:rsidRPr="0081018C">
          <w:rPr>
            <w:rStyle w:val="Hyperlink"/>
            <w:rFonts w:ascii="Arial" w:hAnsi="Arial" w:cs="Arial"/>
            <w:sz w:val="20"/>
            <w:szCs w:val="20"/>
          </w:rPr>
          <w:t>https://doi.org/10.1097/00000478-200212000-00009</w:t>
        </w:r>
      </w:hyperlink>
    </w:p>
    <w:p w14:paraId="13297927" w14:textId="697A0668" w:rsidR="00AB063C" w:rsidRPr="00AB063C" w:rsidRDefault="00AB063C" w:rsidP="00AB063C">
      <w:pPr>
        <w:numPr>
          <w:ilvl w:val="0"/>
          <w:numId w:val="2"/>
        </w:numPr>
        <w:rPr>
          <w:rFonts w:ascii="Arial" w:hAnsi="Arial" w:cs="Arial"/>
          <w:sz w:val="20"/>
          <w:szCs w:val="20"/>
        </w:rPr>
      </w:pPr>
      <w:r w:rsidRPr="00AB063C">
        <w:rPr>
          <w:rFonts w:ascii="Arial" w:hAnsi="Arial" w:cs="Arial"/>
          <w:sz w:val="20"/>
          <w:szCs w:val="20"/>
        </w:rPr>
        <w:t xml:space="preserve">Erickson LA. Adrenocortical carcinoma: update on pathology and molecular genetics. </w:t>
      </w:r>
      <w:proofErr w:type="spellStart"/>
      <w:r w:rsidRPr="00AB063C">
        <w:rPr>
          <w:rFonts w:ascii="Arial" w:hAnsi="Arial" w:cs="Arial"/>
          <w:i/>
          <w:iCs/>
          <w:sz w:val="20"/>
          <w:szCs w:val="20"/>
        </w:rPr>
        <w:t>Endocr</w:t>
      </w:r>
      <w:proofErr w:type="spellEnd"/>
      <w:r w:rsidRPr="00AB063C">
        <w:rPr>
          <w:rFonts w:ascii="Arial" w:hAnsi="Arial" w:cs="Arial"/>
          <w:i/>
          <w:iCs/>
          <w:sz w:val="20"/>
          <w:szCs w:val="20"/>
        </w:rPr>
        <w:t xml:space="preserve"> </w:t>
      </w:r>
      <w:proofErr w:type="spellStart"/>
      <w:r w:rsidRPr="00AB063C">
        <w:rPr>
          <w:rFonts w:ascii="Arial" w:hAnsi="Arial" w:cs="Arial"/>
          <w:i/>
          <w:iCs/>
          <w:sz w:val="20"/>
          <w:szCs w:val="20"/>
        </w:rPr>
        <w:t>Pathol</w:t>
      </w:r>
      <w:proofErr w:type="spellEnd"/>
      <w:r w:rsidRPr="00AB063C">
        <w:rPr>
          <w:rFonts w:ascii="Arial" w:hAnsi="Arial" w:cs="Arial"/>
          <w:sz w:val="20"/>
          <w:szCs w:val="20"/>
        </w:rPr>
        <w:t>. 2010;21(3):123-132.</w:t>
      </w:r>
    </w:p>
    <w:p w14:paraId="340632B6" w14:textId="07A04497"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Kebebew, E., Reiff, E., Duh, Q. Y., Clark, O. H., &amp; McMillan, A. (2006). Extent of disease at presentation and outcome for adrenocortical carcinoma: Have we made </w:t>
      </w:r>
      <w:proofErr w:type="gramStart"/>
      <w:r w:rsidRPr="002D72A1">
        <w:rPr>
          <w:rFonts w:ascii="Arial" w:hAnsi="Arial" w:cs="Arial"/>
          <w:sz w:val="20"/>
          <w:szCs w:val="20"/>
        </w:rPr>
        <w:t>progress?.</w:t>
      </w:r>
      <w:proofErr w:type="gramEnd"/>
      <w:r w:rsidRPr="002D72A1">
        <w:rPr>
          <w:rFonts w:ascii="Arial" w:hAnsi="Arial" w:cs="Arial"/>
          <w:sz w:val="20"/>
          <w:szCs w:val="20"/>
        </w:rPr>
        <w:t xml:space="preserve"> World Journal of Surgery, 30(5), 872-878. </w:t>
      </w:r>
      <w:hyperlink r:id="rId16" w:history="1">
        <w:r w:rsidRPr="0081018C">
          <w:rPr>
            <w:rStyle w:val="Hyperlink"/>
            <w:rFonts w:ascii="Arial" w:hAnsi="Arial" w:cs="Arial"/>
            <w:sz w:val="20"/>
            <w:szCs w:val="20"/>
          </w:rPr>
          <w:t>https://doi.org/10.1007/s00268-005-0329-x</w:t>
        </w:r>
      </w:hyperlink>
    </w:p>
    <w:p w14:paraId="06EA852F" w14:textId="2F81E1FA" w:rsidR="002D72A1" w:rsidRDefault="002D72A1" w:rsidP="00AB063C">
      <w:pPr>
        <w:numPr>
          <w:ilvl w:val="0"/>
          <w:numId w:val="2"/>
        </w:numPr>
        <w:rPr>
          <w:rFonts w:ascii="Arial" w:hAnsi="Arial" w:cs="Arial"/>
          <w:sz w:val="20"/>
          <w:szCs w:val="20"/>
        </w:rPr>
      </w:pPr>
      <w:r w:rsidRPr="002D72A1">
        <w:rPr>
          <w:rFonts w:ascii="Arial" w:hAnsi="Arial" w:cs="Arial"/>
          <w:sz w:val="20"/>
          <w:szCs w:val="20"/>
        </w:rPr>
        <w:t xml:space="preserve">Sturgeon, C., Shen, W. T., Clark, O. H., Duh, Q. Y., &amp; Kebebew, E. (2006). Risk assessment in 457 adrenal cortical carcinomas: how much does tumor size predict the likelihood of malignancy? Journal of the American College of Surgeons, 202(3), 423-430. </w:t>
      </w:r>
      <w:hyperlink r:id="rId17" w:history="1">
        <w:r w:rsidRPr="0081018C">
          <w:rPr>
            <w:rStyle w:val="Hyperlink"/>
            <w:rFonts w:ascii="Arial" w:hAnsi="Arial" w:cs="Arial"/>
            <w:sz w:val="20"/>
            <w:szCs w:val="20"/>
          </w:rPr>
          <w:t>https://doi.org/10.1016/j.jamcollsurg.2005.11.005</w:t>
        </w:r>
      </w:hyperlink>
    </w:p>
    <w:p w14:paraId="2135C951" w14:textId="0C07162D" w:rsidR="00AB063C" w:rsidRPr="00AB063C" w:rsidRDefault="00AB063C" w:rsidP="00AB063C">
      <w:pPr>
        <w:numPr>
          <w:ilvl w:val="0"/>
          <w:numId w:val="2"/>
        </w:numPr>
        <w:rPr>
          <w:rFonts w:ascii="Arial" w:hAnsi="Arial" w:cs="Arial"/>
          <w:sz w:val="20"/>
          <w:szCs w:val="20"/>
        </w:rPr>
      </w:pPr>
      <w:r w:rsidRPr="00AB063C">
        <w:rPr>
          <w:rFonts w:ascii="Arial" w:hAnsi="Arial" w:cs="Arial"/>
          <w:sz w:val="20"/>
          <w:szCs w:val="20"/>
        </w:rPr>
        <w:t xml:space="preserve">Medeiros LJ, Weiss LM. New developments in the pathologic diagnosis of adrenal cortical neoplasms. </w:t>
      </w:r>
      <w:r w:rsidRPr="00AB063C">
        <w:rPr>
          <w:rFonts w:ascii="Arial" w:hAnsi="Arial" w:cs="Arial"/>
          <w:i/>
          <w:iCs/>
          <w:sz w:val="20"/>
          <w:szCs w:val="20"/>
        </w:rPr>
        <w:t xml:space="preserve">Adv </w:t>
      </w:r>
      <w:proofErr w:type="spellStart"/>
      <w:r w:rsidRPr="00AB063C">
        <w:rPr>
          <w:rFonts w:ascii="Arial" w:hAnsi="Arial" w:cs="Arial"/>
          <w:i/>
          <w:iCs/>
          <w:sz w:val="20"/>
          <w:szCs w:val="20"/>
        </w:rPr>
        <w:t>Anat</w:t>
      </w:r>
      <w:proofErr w:type="spellEnd"/>
      <w:r w:rsidRPr="00AB063C">
        <w:rPr>
          <w:rFonts w:ascii="Arial" w:hAnsi="Arial" w:cs="Arial"/>
          <w:i/>
          <w:iCs/>
          <w:sz w:val="20"/>
          <w:szCs w:val="20"/>
        </w:rPr>
        <w:t xml:space="preserve"> </w:t>
      </w:r>
      <w:proofErr w:type="spellStart"/>
      <w:r w:rsidRPr="00AB063C">
        <w:rPr>
          <w:rFonts w:ascii="Arial" w:hAnsi="Arial" w:cs="Arial"/>
          <w:i/>
          <w:iCs/>
          <w:sz w:val="20"/>
          <w:szCs w:val="20"/>
        </w:rPr>
        <w:t>Pathol</w:t>
      </w:r>
      <w:proofErr w:type="spellEnd"/>
      <w:r w:rsidRPr="00AB063C">
        <w:rPr>
          <w:rFonts w:ascii="Arial" w:hAnsi="Arial" w:cs="Arial"/>
          <w:sz w:val="20"/>
          <w:szCs w:val="20"/>
        </w:rPr>
        <w:t>. 2000;7(2):125-144.</w:t>
      </w:r>
    </w:p>
    <w:p w14:paraId="2778F707" w14:textId="77777777" w:rsidR="00AF4DE0" w:rsidRPr="00DD619F" w:rsidRDefault="00AF4DE0">
      <w:pPr>
        <w:rPr>
          <w:rFonts w:ascii="Arial" w:hAnsi="Arial" w:cs="Arial"/>
        </w:rPr>
      </w:pPr>
    </w:p>
    <w:sectPr w:rsidR="00AF4DE0" w:rsidRPr="00DD619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2C00B" w14:textId="77777777" w:rsidR="00106A0B" w:rsidRDefault="00106A0B" w:rsidP="00F53AB9">
      <w:pPr>
        <w:spacing w:after="0" w:line="240" w:lineRule="auto"/>
      </w:pPr>
      <w:r>
        <w:separator/>
      </w:r>
    </w:p>
  </w:endnote>
  <w:endnote w:type="continuationSeparator" w:id="0">
    <w:p w14:paraId="22E623C2" w14:textId="77777777" w:rsidR="00106A0B" w:rsidRDefault="00106A0B" w:rsidP="00F53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1C800" w14:textId="77777777" w:rsidR="00F53AB9" w:rsidRDefault="00F5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23E0" w14:textId="77777777" w:rsidR="00F53AB9" w:rsidRDefault="00F53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3F3F" w14:textId="77777777" w:rsidR="00F53AB9" w:rsidRDefault="00F5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53E2" w14:textId="77777777" w:rsidR="00106A0B" w:rsidRDefault="00106A0B" w:rsidP="00F53AB9">
      <w:pPr>
        <w:spacing w:after="0" w:line="240" w:lineRule="auto"/>
      </w:pPr>
      <w:r>
        <w:separator/>
      </w:r>
    </w:p>
  </w:footnote>
  <w:footnote w:type="continuationSeparator" w:id="0">
    <w:p w14:paraId="74D7225C" w14:textId="77777777" w:rsidR="00106A0B" w:rsidRDefault="00106A0B" w:rsidP="00F53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85265" w14:textId="5887E5A3" w:rsidR="00F53AB9" w:rsidRDefault="00F53AB9">
    <w:pPr>
      <w:pStyle w:val="Header"/>
    </w:pPr>
    <w:r>
      <w:rPr>
        <w:noProof/>
      </w:rPr>
      <w:pict w14:anchorId="3A8D4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92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C3CB" w14:textId="4799DC16" w:rsidR="00F53AB9" w:rsidRDefault="00F53AB9">
    <w:pPr>
      <w:pStyle w:val="Header"/>
    </w:pPr>
    <w:r>
      <w:rPr>
        <w:noProof/>
      </w:rPr>
      <w:pict w14:anchorId="50D2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92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3F2D" w14:textId="651F3098" w:rsidR="00F53AB9" w:rsidRDefault="00F53AB9">
    <w:pPr>
      <w:pStyle w:val="Header"/>
    </w:pPr>
    <w:r>
      <w:rPr>
        <w:noProof/>
      </w:rPr>
      <w:pict w14:anchorId="44900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992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B3EE6"/>
    <w:multiLevelType w:val="multilevel"/>
    <w:tmpl w:val="738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6F4A88"/>
    <w:multiLevelType w:val="multilevel"/>
    <w:tmpl w:val="272C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3C"/>
    <w:rsid w:val="000D75B8"/>
    <w:rsid w:val="00106A0B"/>
    <w:rsid w:val="00150044"/>
    <w:rsid w:val="001955EA"/>
    <w:rsid w:val="002466A0"/>
    <w:rsid w:val="002A5AAF"/>
    <w:rsid w:val="002D72A1"/>
    <w:rsid w:val="00332084"/>
    <w:rsid w:val="00377CF1"/>
    <w:rsid w:val="003E380E"/>
    <w:rsid w:val="00471C20"/>
    <w:rsid w:val="005206D8"/>
    <w:rsid w:val="005B79F7"/>
    <w:rsid w:val="00633C26"/>
    <w:rsid w:val="0064518C"/>
    <w:rsid w:val="006B5716"/>
    <w:rsid w:val="006E133C"/>
    <w:rsid w:val="0079748C"/>
    <w:rsid w:val="007B5CC8"/>
    <w:rsid w:val="007E2248"/>
    <w:rsid w:val="00906E04"/>
    <w:rsid w:val="0092182A"/>
    <w:rsid w:val="00923FA0"/>
    <w:rsid w:val="00960BD6"/>
    <w:rsid w:val="00993020"/>
    <w:rsid w:val="009B01E2"/>
    <w:rsid w:val="009C0A02"/>
    <w:rsid w:val="00AB063C"/>
    <w:rsid w:val="00AD79A9"/>
    <w:rsid w:val="00AF4DE0"/>
    <w:rsid w:val="00CD683A"/>
    <w:rsid w:val="00D567BC"/>
    <w:rsid w:val="00D56BAB"/>
    <w:rsid w:val="00DD619F"/>
    <w:rsid w:val="00E04A07"/>
    <w:rsid w:val="00E65566"/>
    <w:rsid w:val="00E7778F"/>
    <w:rsid w:val="00EF0FF3"/>
    <w:rsid w:val="00F53AB9"/>
    <w:rsid w:val="00FF5F73"/>
    <w:rsid w:val="00FF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223F20"/>
  <w15:chartTrackingRefBased/>
  <w15:docId w15:val="{1334A34A-2F29-4C6B-8912-1274888E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63C"/>
    <w:rPr>
      <w:rFonts w:eastAsiaTheme="majorEastAsia" w:cstheme="majorBidi"/>
      <w:color w:val="272727" w:themeColor="text1" w:themeTint="D8"/>
    </w:rPr>
  </w:style>
  <w:style w:type="paragraph" w:styleId="Title">
    <w:name w:val="Title"/>
    <w:basedOn w:val="Normal"/>
    <w:next w:val="Normal"/>
    <w:link w:val="TitleChar"/>
    <w:uiPriority w:val="10"/>
    <w:qFormat/>
    <w:rsid w:val="00AB0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63C"/>
    <w:pPr>
      <w:spacing w:before="160"/>
      <w:jc w:val="center"/>
    </w:pPr>
    <w:rPr>
      <w:i/>
      <w:iCs/>
      <w:color w:val="404040" w:themeColor="text1" w:themeTint="BF"/>
    </w:rPr>
  </w:style>
  <w:style w:type="character" w:customStyle="1" w:styleId="QuoteChar">
    <w:name w:val="Quote Char"/>
    <w:basedOn w:val="DefaultParagraphFont"/>
    <w:link w:val="Quote"/>
    <w:uiPriority w:val="29"/>
    <w:rsid w:val="00AB063C"/>
    <w:rPr>
      <w:i/>
      <w:iCs/>
      <w:color w:val="404040" w:themeColor="text1" w:themeTint="BF"/>
    </w:rPr>
  </w:style>
  <w:style w:type="paragraph" w:styleId="ListParagraph">
    <w:name w:val="List Paragraph"/>
    <w:basedOn w:val="Normal"/>
    <w:uiPriority w:val="34"/>
    <w:qFormat/>
    <w:rsid w:val="00AB063C"/>
    <w:pPr>
      <w:ind w:left="720"/>
      <w:contextualSpacing/>
    </w:pPr>
  </w:style>
  <w:style w:type="character" w:styleId="IntenseEmphasis">
    <w:name w:val="Intense Emphasis"/>
    <w:basedOn w:val="DefaultParagraphFont"/>
    <w:uiPriority w:val="21"/>
    <w:qFormat/>
    <w:rsid w:val="00AB063C"/>
    <w:rPr>
      <w:i/>
      <w:iCs/>
      <w:color w:val="2F5496" w:themeColor="accent1" w:themeShade="BF"/>
    </w:rPr>
  </w:style>
  <w:style w:type="paragraph" w:styleId="IntenseQuote">
    <w:name w:val="Intense Quote"/>
    <w:basedOn w:val="Normal"/>
    <w:next w:val="Normal"/>
    <w:link w:val="IntenseQuoteChar"/>
    <w:uiPriority w:val="30"/>
    <w:qFormat/>
    <w:rsid w:val="00AB0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63C"/>
    <w:rPr>
      <w:i/>
      <w:iCs/>
      <w:color w:val="2F5496" w:themeColor="accent1" w:themeShade="BF"/>
    </w:rPr>
  </w:style>
  <w:style w:type="character" w:styleId="IntenseReference">
    <w:name w:val="Intense Reference"/>
    <w:basedOn w:val="DefaultParagraphFont"/>
    <w:uiPriority w:val="32"/>
    <w:qFormat/>
    <w:rsid w:val="00AB063C"/>
    <w:rPr>
      <w:b/>
      <w:bCs/>
      <w:smallCaps/>
      <w:color w:val="2F5496" w:themeColor="accent1" w:themeShade="BF"/>
      <w:spacing w:val="5"/>
    </w:rPr>
  </w:style>
  <w:style w:type="paragraph" w:customStyle="1" w:styleId="Affiliation">
    <w:name w:val="Affiliation"/>
    <w:basedOn w:val="Normal"/>
    <w:rsid w:val="00DD619F"/>
    <w:pPr>
      <w:spacing w:after="240" w:line="240" w:lineRule="exact"/>
      <w:jc w:val="right"/>
    </w:pPr>
    <w:rPr>
      <w:rFonts w:ascii="Helvetica" w:eastAsia="Times New Roman" w:hAnsi="Helvetica" w:cs="Times New Roman"/>
      <w:kern w:val="0"/>
      <w:sz w:val="20"/>
      <w:szCs w:val="20"/>
      <w14:ligatures w14:val="none"/>
    </w:rPr>
  </w:style>
  <w:style w:type="paragraph" w:styleId="NormalWeb">
    <w:name w:val="Normal (Web)"/>
    <w:basedOn w:val="Normal"/>
    <w:uiPriority w:val="99"/>
    <w:semiHidden/>
    <w:unhideWhenUsed/>
    <w:rsid w:val="007E2248"/>
    <w:rPr>
      <w:rFonts w:ascii="Times New Roman" w:hAnsi="Times New Roman" w:cs="Times New Roman"/>
    </w:rPr>
  </w:style>
  <w:style w:type="character" w:styleId="Hyperlink">
    <w:name w:val="Hyperlink"/>
    <w:basedOn w:val="DefaultParagraphFont"/>
    <w:uiPriority w:val="99"/>
    <w:unhideWhenUsed/>
    <w:rsid w:val="00960BD6"/>
    <w:rPr>
      <w:color w:val="0563C1" w:themeColor="hyperlink"/>
      <w:u w:val="single"/>
    </w:rPr>
  </w:style>
  <w:style w:type="character" w:styleId="UnresolvedMention">
    <w:name w:val="Unresolved Mention"/>
    <w:basedOn w:val="DefaultParagraphFont"/>
    <w:uiPriority w:val="99"/>
    <w:semiHidden/>
    <w:unhideWhenUsed/>
    <w:rsid w:val="00960BD6"/>
    <w:rPr>
      <w:color w:val="605E5C"/>
      <w:shd w:val="clear" w:color="auto" w:fill="E1DFDD"/>
    </w:rPr>
  </w:style>
  <w:style w:type="table" w:styleId="TableGrid">
    <w:name w:val="Table Grid"/>
    <w:basedOn w:val="TableNormal"/>
    <w:uiPriority w:val="39"/>
    <w:rsid w:val="00332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AB9"/>
  </w:style>
  <w:style w:type="paragraph" w:styleId="Footer">
    <w:name w:val="footer"/>
    <w:basedOn w:val="Normal"/>
    <w:link w:val="FooterChar"/>
    <w:uiPriority w:val="99"/>
    <w:unhideWhenUsed/>
    <w:rsid w:val="00F53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97/00000478-199805000-0001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10.1177/106689690401200304" TargetMode="External"/><Relationship Id="rId17" Type="http://schemas.openxmlformats.org/officeDocument/2006/relationships/hyperlink" Target="https://doi.org/10.1016/j.jamcollsurg.2005.11.00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7/s00268-005-0329-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7/00000478-200212000-00009" TargetMode="External"/><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humpath.2010.08.01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17</cp:revision>
  <dcterms:created xsi:type="dcterms:W3CDTF">2025-12-17T15:30:00Z</dcterms:created>
  <dcterms:modified xsi:type="dcterms:W3CDTF">2026-01-02T09:52:00Z</dcterms:modified>
</cp:coreProperties>
</file>