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EF014" w14:textId="77777777" w:rsidR="00FB0A39" w:rsidRDefault="00FB0A39" w:rsidP="00C87059">
      <w:pPr>
        <w:pStyle w:val="Heading2"/>
        <w:rPr>
          <w:rFonts w:ascii="Arial" w:hAnsi="Arial" w:cs="Arial"/>
        </w:rPr>
      </w:pPr>
      <w:r w:rsidRPr="005570DE">
        <w:rPr>
          <w:rFonts w:ascii="Arial" w:hAnsi="Arial" w:cs="Arial"/>
        </w:rPr>
        <w:t xml:space="preserve">Cardioprotective Effect of Methanolic Stem Bark Extract of </w:t>
      </w:r>
      <w:r w:rsidRPr="005570DE">
        <w:rPr>
          <w:rStyle w:val="Emphasis"/>
          <w:rFonts w:ascii="Arial" w:hAnsi="Arial" w:cs="Arial"/>
        </w:rPr>
        <w:t xml:space="preserve">Vitex </w:t>
      </w:r>
      <w:proofErr w:type="spellStart"/>
      <w:r w:rsidRPr="005570DE">
        <w:rPr>
          <w:rStyle w:val="Emphasis"/>
          <w:rFonts w:ascii="Arial" w:hAnsi="Arial" w:cs="Arial"/>
        </w:rPr>
        <w:t>doniana</w:t>
      </w:r>
      <w:proofErr w:type="spellEnd"/>
      <w:r w:rsidRPr="005570DE">
        <w:rPr>
          <w:rFonts w:ascii="Arial" w:hAnsi="Arial" w:cs="Arial"/>
        </w:rPr>
        <w:t xml:space="preserve"> Against Gentamicin-Induced </w:t>
      </w:r>
      <w:proofErr w:type="spellStart"/>
      <w:r w:rsidRPr="005570DE">
        <w:rPr>
          <w:rFonts w:ascii="Arial" w:hAnsi="Arial" w:cs="Arial"/>
        </w:rPr>
        <w:t>Dyslipidaemia</w:t>
      </w:r>
      <w:proofErr w:type="spellEnd"/>
      <w:r w:rsidRPr="005570DE">
        <w:rPr>
          <w:rFonts w:ascii="Arial" w:hAnsi="Arial" w:cs="Arial"/>
        </w:rPr>
        <w:t xml:space="preserve"> and Myocardial Damage in Wistar Rats</w:t>
      </w:r>
    </w:p>
    <w:p w14:paraId="6B72CD6D" w14:textId="2E624D5A" w:rsidR="008C310B" w:rsidRDefault="008C310B" w:rsidP="008C310B">
      <w:pPr>
        <w:pStyle w:val="Heading2"/>
        <w:spacing w:after="0"/>
        <w:jc w:val="right"/>
        <w:rPr>
          <w:rFonts w:ascii="Arial" w:hAnsi="Arial" w:cs="Arial"/>
          <w:sz w:val="20"/>
          <w:szCs w:val="20"/>
        </w:rPr>
      </w:pPr>
    </w:p>
    <w:p w14:paraId="0C3E3457" w14:textId="77777777" w:rsidR="00EC17A9" w:rsidRPr="008C310B" w:rsidRDefault="00EC17A9" w:rsidP="008C310B">
      <w:pPr>
        <w:pStyle w:val="Heading2"/>
        <w:spacing w:after="0"/>
        <w:jc w:val="right"/>
        <w:rPr>
          <w:rFonts w:ascii="Arial" w:hAnsi="Arial" w:cs="Arial"/>
          <w:sz w:val="20"/>
          <w:szCs w:val="20"/>
        </w:rPr>
      </w:pPr>
      <w:bookmarkStart w:id="0" w:name="_GoBack"/>
      <w:bookmarkEnd w:id="0"/>
    </w:p>
    <w:p w14:paraId="07513DD5" w14:textId="77777777" w:rsidR="00B31226" w:rsidRPr="005570DE" w:rsidRDefault="005570DE" w:rsidP="00B31226">
      <w:pPr>
        <w:pStyle w:val="Heading2"/>
        <w:rPr>
          <w:rFonts w:ascii="Arial" w:hAnsi="Arial" w:cs="Arial"/>
          <w:sz w:val="22"/>
          <w:szCs w:val="22"/>
        </w:rPr>
      </w:pPr>
      <w:r w:rsidRPr="005570DE">
        <w:rPr>
          <w:rFonts w:ascii="Arial" w:hAnsi="Arial" w:cs="Arial"/>
          <w:sz w:val="22"/>
          <w:szCs w:val="22"/>
        </w:rPr>
        <w:t>ABSTRACT</w:t>
      </w:r>
    </w:p>
    <w:p w14:paraId="52BDC263" w14:textId="77777777" w:rsidR="00B31226" w:rsidRPr="005570DE" w:rsidRDefault="00B31226" w:rsidP="00B31226">
      <w:pPr>
        <w:pStyle w:val="NormalWeb"/>
        <w:jc w:val="both"/>
        <w:rPr>
          <w:rFonts w:ascii="Arial" w:hAnsi="Arial" w:cs="Arial"/>
          <w:sz w:val="22"/>
          <w:szCs w:val="22"/>
        </w:rPr>
      </w:pPr>
      <w:r w:rsidRPr="005570DE">
        <w:rPr>
          <w:rFonts w:ascii="Arial" w:hAnsi="Arial" w:cs="Arial"/>
          <w:sz w:val="22"/>
          <w:szCs w:val="22"/>
        </w:rPr>
        <w:t xml:space="preserve">Gentamicin, a widely used aminoglycoside antibiotic, is associated with cardiotoxic effects largely mediated by oxidative stress and lipid metabolic disturbances. This study evaluated the cardioprotective potential of methanolic stem bark extract of </w:t>
      </w:r>
      <w:r w:rsidRPr="005570DE">
        <w:rPr>
          <w:rStyle w:val="Emphasis"/>
          <w:rFonts w:ascii="Arial" w:hAnsi="Arial" w:cs="Arial"/>
          <w:sz w:val="22"/>
          <w:szCs w:val="22"/>
        </w:rPr>
        <w:t xml:space="preserve">Vitex </w:t>
      </w:r>
      <w:proofErr w:type="spellStart"/>
      <w:r w:rsidRPr="005570DE">
        <w:rPr>
          <w:rStyle w:val="Emphasis"/>
          <w:rFonts w:ascii="Arial" w:hAnsi="Arial" w:cs="Arial"/>
          <w:sz w:val="22"/>
          <w:szCs w:val="22"/>
        </w:rPr>
        <w:t>doniana</w:t>
      </w:r>
      <w:proofErr w:type="spellEnd"/>
      <w:r w:rsidRPr="005570DE">
        <w:rPr>
          <w:rFonts w:ascii="Arial" w:hAnsi="Arial" w:cs="Arial"/>
          <w:sz w:val="22"/>
          <w:szCs w:val="22"/>
        </w:rPr>
        <w:t xml:space="preserve"> (MSEVD) against gentamicin-induced cardiac injury in Wistar rats. Thirty-six female rats were divided into six groups and treated for 12 days with normal saline, gentamicin (100 mg/kg), gentamicin plus graded doses of MSEVD (100, 200, and 400 mg/kg), or gentamicin plus silymarin (75 mg/kg). Serum lipid profile parameters (TC, TG, HDL-c, LDL-c, VLDL-c) and atherogenic index (AI) were evaluated, alongside histopathological examination of heart tissues. Gentamicin administration significantly increased TC, TG, LDL-c, and AI, while reducing HDL-c, indicating marked </w:t>
      </w:r>
      <w:proofErr w:type="spellStart"/>
      <w:r w:rsidRPr="005570DE">
        <w:rPr>
          <w:rFonts w:ascii="Arial" w:hAnsi="Arial" w:cs="Arial"/>
          <w:sz w:val="22"/>
          <w:szCs w:val="22"/>
        </w:rPr>
        <w:t>dyslipidaemia</w:t>
      </w:r>
      <w:proofErr w:type="spellEnd"/>
      <w:r w:rsidRPr="005570DE">
        <w:rPr>
          <w:rFonts w:ascii="Arial" w:hAnsi="Arial" w:cs="Arial"/>
          <w:sz w:val="22"/>
          <w:szCs w:val="22"/>
        </w:rPr>
        <w:t xml:space="preserve"> and elevated cardiovascular risk. Co-administration of MSEVD significantly ameliorated these alterations in a dose-dependent manner, with the 400 mg/kg dose showing near-complete normalization of lipid indices and superior reduction in VLDL-c compared with the reference drug. Histopathological findings corroborated the biochemical results, showing severe myocardial degeneration, necrosis, inflammation, and vascular damage in gentamicin-treated rats, while MSEVD markedly preserved myocardial architecture, particularly at higher doses. These findings demonstrate that methanolic stem bark extract of </w:t>
      </w:r>
      <w:r w:rsidRPr="005570DE">
        <w:rPr>
          <w:rStyle w:val="Emphasis"/>
          <w:rFonts w:ascii="Arial" w:hAnsi="Arial" w:cs="Arial"/>
          <w:sz w:val="22"/>
          <w:szCs w:val="22"/>
        </w:rPr>
        <w:t xml:space="preserve">Vitex </w:t>
      </w:r>
      <w:proofErr w:type="spellStart"/>
      <w:r w:rsidRPr="005570DE">
        <w:rPr>
          <w:rStyle w:val="Emphasis"/>
          <w:rFonts w:ascii="Arial" w:hAnsi="Arial" w:cs="Arial"/>
          <w:sz w:val="22"/>
          <w:szCs w:val="22"/>
        </w:rPr>
        <w:t>doniana</w:t>
      </w:r>
      <w:proofErr w:type="spellEnd"/>
      <w:r w:rsidRPr="005570DE">
        <w:rPr>
          <w:rFonts w:ascii="Arial" w:hAnsi="Arial" w:cs="Arial"/>
          <w:sz w:val="22"/>
          <w:szCs w:val="22"/>
        </w:rPr>
        <w:t xml:space="preserve"> exerts significant cardioprotective and </w:t>
      </w:r>
      <w:proofErr w:type="spellStart"/>
      <w:r w:rsidRPr="005570DE">
        <w:rPr>
          <w:rFonts w:ascii="Arial" w:hAnsi="Arial" w:cs="Arial"/>
          <w:sz w:val="22"/>
          <w:szCs w:val="22"/>
        </w:rPr>
        <w:t>hypolipidaemic</w:t>
      </w:r>
      <w:proofErr w:type="spellEnd"/>
      <w:r w:rsidRPr="005570DE">
        <w:rPr>
          <w:rFonts w:ascii="Arial" w:hAnsi="Arial" w:cs="Arial"/>
          <w:sz w:val="22"/>
          <w:szCs w:val="22"/>
        </w:rPr>
        <w:t xml:space="preserve"> effects against gentamicin-induced cardiac injury, supporting its potential as a natural therapeutic agent in drug-induced cardiotoxicity.</w:t>
      </w:r>
    </w:p>
    <w:p w14:paraId="54D72EAA" w14:textId="77777777" w:rsidR="00B31226" w:rsidRPr="005570DE" w:rsidRDefault="00B31226" w:rsidP="00B31226">
      <w:pPr>
        <w:pStyle w:val="NormalWeb"/>
        <w:jc w:val="both"/>
        <w:rPr>
          <w:rFonts w:ascii="Arial" w:hAnsi="Arial" w:cs="Arial"/>
          <w:sz w:val="20"/>
          <w:szCs w:val="20"/>
        </w:rPr>
      </w:pPr>
      <w:r w:rsidRPr="005570DE">
        <w:rPr>
          <w:rStyle w:val="Strong"/>
          <w:rFonts w:ascii="Arial" w:hAnsi="Arial" w:cs="Arial"/>
          <w:sz w:val="20"/>
          <w:szCs w:val="20"/>
        </w:rPr>
        <w:t>Keywords:</w:t>
      </w:r>
      <w:r w:rsidRPr="005570DE">
        <w:rPr>
          <w:rFonts w:ascii="Arial" w:hAnsi="Arial" w:cs="Arial"/>
          <w:sz w:val="20"/>
          <w:szCs w:val="20"/>
        </w:rPr>
        <w:t xml:space="preserve"> Vitex </w:t>
      </w:r>
      <w:proofErr w:type="spellStart"/>
      <w:r w:rsidRPr="005570DE">
        <w:rPr>
          <w:rFonts w:ascii="Arial" w:hAnsi="Arial" w:cs="Arial"/>
          <w:sz w:val="20"/>
          <w:szCs w:val="20"/>
        </w:rPr>
        <w:t>doniana</w:t>
      </w:r>
      <w:proofErr w:type="spellEnd"/>
      <w:r w:rsidRPr="005570DE">
        <w:rPr>
          <w:rFonts w:ascii="Arial" w:hAnsi="Arial" w:cs="Arial"/>
          <w:sz w:val="20"/>
          <w:szCs w:val="20"/>
        </w:rPr>
        <w:t>; Gentamicin-induced cardiotoxicity; Serum lipid profile; Atherogenic index; Histopathology</w:t>
      </w:r>
    </w:p>
    <w:p w14:paraId="5E261117" w14:textId="77777777" w:rsidR="00B31226" w:rsidRPr="005570DE" w:rsidRDefault="00B31226" w:rsidP="00B31226">
      <w:pPr>
        <w:spacing w:before="100" w:beforeAutospacing="1" w:after="100" w:afterAutospacing="1" w:line="276" w:lineRule="auto"/>
        <w:jc w:val="both"/>
        <w:outlineLvl w:val="1"/>
        <w:rPr>
          <w:rFonts w:ascii="Arial" w:eastAsia="Times New Roman" w:hAnsi="Arial" w:cs="Arial"/>
          <w:b/>
          <w:bCs/>
        </w:rPr>
      </w:pPr>
      <w:r w:rsidRPr="005570DE">
        <w:rPr>
          <w:rFonts w:ascii="Arial" w:eastAsia="Times New Roman" w:hAnsi="Arial" w:cs="Arial"/>
          <w:b/>
          <w:bCs/>
        </w:rPr>
        <w:t>1</w:t>
      </w:r>
      <w:r w:rsidRPr="005570DE">
        <w:rPr>
          <w:rFonts w:ascii="Arial" w:eastAsia="Times New Roman" w:hAnsi="Arial" w:cs="Arial"/>
          <w:b/>
          <w:bCs/>
        </w:rPr>
        <w:tab/>
      </w:r>
      <w:r w:rsidR="00955041" w:rsidRPr="005570DE">
        <w:rPr>
          <w:rFonts w:ascii="Arial" w:eastAsia="Times New Roman" w:hAnsi="Arial" w:cs="Arial"/>
          <w:b/>
          <w:bCs/>
        </w:rPr>
        <w:t>INTRODUCTION</w:t>
      </w:r>
    </w:p>
    <w:p w14:paraId="756A7751" w14:textId="77777777" w:rsidR="00B31226" w:rsidRPr="005570DE" w:rsidRDefault="00B31226" w:rsidP="00B31226">
      <w:pPr>
        <w:spacing w:before="100" w:beforeAutospacing="1" w:after="100" w:afterAutospacing="1" w:line="276" w:lineRule="auto"/>
        <w:jc w:val="both"/>
        <w:rPr>
          <w:rFonts w:ascii="Arial" w:eastAsia="Times New Roman" w:hAnsi="Arial" w:cs="Arial"/>
        </w:rPr>
        <w:sectPr w:rsidR="00B31226" w:rsidRPr="005570DE" w:rsidSect="003924A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10706813" w14:textId="77777777" w:rsidR="00B31226" w:rsidRPr="00955041" w:rsidRDefault="00B31226" w:rsidP="00B31226">
      <w:pPr>
        <w:spacing w:before="100" w:beforeAutospacing="1" w:after="100" w:afterAutospacing="1" w:line="276" w:lineRule="auto"/>
        <w:jc w:val="both"/>
        <w:rPr>
          <w:rFonts w:ascii="Arial" w:eastAsia="Times New Roman" w:hAnsi="Arial" w:cs="Arial"/>
          <w:sz w:val="20"/>
          <w:szCs w:val="20"/>
        </w:rPr>
      </w:pPr>
      <w:r w:rsidRPr="00955041">
        <w:rPr>
          <w:rFonts w:ascii="Arial" w:eastAsia="Times New Roman" w:hAnsi="Arial" w:cs="Arial"/>
          <w:sz w:val="20"/>
          <w:szCs w:val="20"/>
        </w:rPr>
        <w:t xml:space="preserve">Cardiovascular diseases remain a leading cause of morbidity and mortality worldwide, driving research into preventative and therapeutic strategies that mitigate cardiac injury from disease or xenobiotic exposure. Medicinal plants rich in bioactive phytochemicals have been explored for their cardioprotective properties, largely due to antioxidant, anti-inflammatory, and lipid-modulating effects (Mahmoud, Al-Rawi, &amp; Hama, 2021). Vitex </w:t>
      </w:r>
      <w:proofErr w:type="spellStart"/>
      <w:r w:rsidRPr="00955041">
        <w:rPr>
          <w:rFonts w:ascii="Arial" w:eastAsia="Times New Roman" w:hAnsi="Arial" w:cs="Arial"/>
          <w:sz w:val="20"/>
          <w:szCs w:val="20"/>
        </w:rPr>
        <w:t>doniana</w:t>
      </w:r>
      <w:proofErr w:type="spellEnd"/>
      <w:r w:rsidRPr="00955041">
        <w:rPr>
          <w:rFonts w:ascii="Arial" w:eastAsia="Times New Roman" w:hAnsi="Arial" w:cs="Arial"/>
          <w:sz w:val="20"/>
          <w:szCs w:val="20"/>
        </w:rPr>
        <w:t xml:space="preserve">, a tropical plant indigenous to West Africa and widely used in traditional medicine, is reputed to exhibit diverse pharmacological activities including antihypertensive, antioxidant, and anti-inflammatory effects—properties that could influence cardiovascular function (Mahmoud et al., 2021; Yakubu et al., 2015). Phytochemical analyses have identified flavonoids, saponins, alkaloids, phenols, terpenoids, and glycosides in V. </w:t>
      </w:r>
      <w:proofErr w:type="spellStart"/>
      <w:r w:rsidRPr="00955041">
        <w:rPr>
          <w:rFonts w:ascii="Arial" w:eastAsia="Times New Roman" w:hAnsi="Arial" w:cs="Arial"/>
          <w:sz w:val="20"/>
          <w:szCs w:val="20"/>
        </w:rPr>
        <w:t>doniana</w:t>
      </w:r>
      <w:proofErr w:type="spellEnd"/>
      <w:r w:rsidRPr="00955041">
        <w:rPr>
          <w:rFonts w:ascii="Arial" w:eastAsia="Times New Roman" w:hAnsi="Arial" w:cs="Arial"/>
          <w:sz w:val="20"/>
          <w:szCs w:val="20"/>
        </w:rPr>
        <w:t xml:space="preserve"> extracts, all of which are compounds associated with modulation of oxidative stress and tissue protection in experimental models (Mahmoud et al., 2021; </w:t>
      </w:r>
      <w:proofErr w:type="spellStart"/>
      <w:r w:rsidRPr="00955041">
        <w:rPr>
          <w:rFonts w:ascii="Arial" w:eastAsia="Times New Roman" w:hAnsi="Arial" w:cs="Arial"/>
          <w:sz w:val="20"/>
          <w:szCs w:val="20"/>
        </w:rPr>
        <w:t>Sulaiman</w:t>
      </w:r>
      <w:proofErr w:type="spellEnd"/>
      <w:r w:rsidRPr="00955041">
        <w:rPr>
          <w:rFonts w:ascii="Arial" w:eastAsia="Times New Roman" w:hAnsi="Arial" w:cs="Arial"/>
          <w:sz w:val="20"/>
          <w:szCs w:val="20"/>
        </w:rPr>
        <w:t xml:space="preserve">, </w:t>
      </w:r>
      <w:proofErr w:type="spellStart"/>
      <w:r w:rsidRPr="00955041">
        <w:rPr>
          <w:rFonts w:ascii="Arial" w:eastAsia="Times New Roman" w:hAnsi="Arial" w:cs="Arial"/>
          <w:sz w:val="20"/>
          <w:szCs w:val="20"/>
        </w:rPr>
        <w:t>Dahiru</w:t>
      </w:r>
      <w:proofErr w:type="spellEnd"/>
      <w:r w:rsidRPr="00955041">
        <w:rPr>
          <w:rFonts w:ascii="Arial" w:eastAsia="Times New Roman" w:hAnsi="Arial" w:cs="Arial"/>
          <w:sz w:val="20"/>
          <w:szCs w:val="20"/>
        </w:rPr>
        <w:t>, Jada, &amp;</w:t>
      </w:r>
      <w:proofErr w:type="spellStart"/>
      <w:r w:rsidRPr="00955041">
        <w:rPr>
          <w:rFonts w:ascii="Arial" w:eastAsia="Times New Roman" w:hAnsi="Arial" w:cs="Arial"/>
          <w:sz w:val="20"/>
          <w:szCs w:val="20"/>
        </w:rPr>
        <w:t>Hayatu</w:t>
      </w:r>
      <w:proofErr w:type="spellEnd"/>
      <w:r w:rsidRPr="00955041">
        <w:rPr>
          <w:rFonts w:ascii="Arial" w:eastAsia="Times New Roman" w:hAnsi="Arial" w:cs="Arial"/>
          <w:sz w:val="20"/>
          <w:szCs w:val="20"/>
        </w:rPr>
        <w:t>, 2021).</w:t>
      </w:r>
    </w:p>
    <w:p w14:paraId="435547F1" w14:textId="77777777" w:rsidR="00B31226" w:rsidRPr="00955041" w:rsidRDefault="00B31226" w:rsidP="00B31226">
      <w:pPr>
        <w:spacing w:before="100" w:beforeAutospacing="1" w:after="100" w:afterAutospacing="1" w:line="276" w:lineRule="auto"/>
        <w:jc w:val="both"/>
        <w:rPr>
          <w:rFonts w:ascii="Arial" w:eastAsia="Times New Roman" w:hAnsi="Arial" w:cs="Arial"/>
          <w:sz w:val="20"/>
          <w:szCs w:val="20"/>
        </w:rPr>
      </w:pPr>
      <w:r w:rsidRPr="00955041">
        <w:rPr>
          <w:rFonts w:ascii="Arial" w:eastAsia="Times New Roman" w:hAnsi="Arial" w:cs="Arial"/>
          <w:sz w:val="20"/>
          <w:szCs w:val="20"/>
        </w:rPr>
        <w:t xml:space="preserve">Empirical studies using rat models have demonstrated that stem bark extracts of Vitex </w:t>
      </w:r>
      <w:proofErr w:type="spellStart"/>
      <w:r w:rsidRPr="00955041">
        <w:rPr>
          <w:rFonts w:ascii="Arial" w:eastAsia="Times New Roman" w:hAnsi="Arial" w:cs="Arial"/>
          <w:sz w:val="20"/>
          <w:szCs w:val="20"/>
        </w:rPr>
        <w:t>doniana</w:t>
      </w:r>
      <w:proofErr w:type="spellEnd"/>
      <w:r w:rsidRPr="00955041">
        <w:rPr>
          <w:rFonts w:ascii="Arial" w:eastAsia="Times New Roman" w:hAnsi="Arial" w:cs="Arial"/>
          <w:sz w:val="20"/>
          <w:szCs w:val="20"/>
        </w:rPr>
        <w:t xml:space="preserve"> can exert </w:t>
      </w:r>
      <w:proofErr w:type="spellStart"/>
      <w:r w:rsidRPr="00955041">
        <w:rPr>
          <w:rFonts w:ascii="Arial" w:eastAsia="Times New Roman" w:hAnsi="Arial" w:cs="Arial"/>
          <w:sz w:val="20"/>
          <w:szCs w:val="20"/>
        </w:rPr>
        <w:t>cardiocurative</w:t>
      </w:r>
      <w:proofErr w:type="spellEnd"/>
      <w:r w:rsidRPr="00955041">
        <w:rPr>
          <w:rFonts w:ascii="Arial" w:eastAsia="Times New Roman" w:hAnsi="Arial" w:cs="Arial"/>
          <w:sz w:val="20"/>
          <w:szCs w:val="20"/>
        </w:rPr>
        <w:t xml:space="preserve"> effects. For example, aqueous and ethanol stem bark extracts significantly lowered elevated </w:t>
      </w:r>
      <w:r w:rsidRPr="00955041">
        <w:rPr>
          <w:rFonts w:ascii="Arial" w:eastAsia="Times New Roman" w:hAnsi="Arial" w:cs="Arial"/>
          <w:sz w:val="20"/>
          <w:szCs w:val="20"/>
        </w:rPr>
        <w:lastRenderedPageBreak/>
        <w:t>serum markers of cardiotoxicity and improved lipid profiles in doxorubicin-induced cardiac injury in rats, suggesting potential protective and treatment effects against chemically mediated cardiotoxicity (Sulaiman et al., 2021). Although these findings are promising, research targeting heart function specifically in the context of aminoglycoside antibiotic exposure remains sparse.</w:t>
      </w:r>
    </w:p>
    <w:p w14:paraId="39B5B461" w14:textId="77777777" w:rsidR="00B31226" w:rsidRPr="00955041" w:rsidRDefault="00B31226" w:rsidP="00B31226">
      <w:pPr>
        <w:spacing w:before="100" w:beforeAutospacing="1" w:after="100" w:afterAutospacing="1" w:line="276" w:lineRule="auto"/>
        <w:jc w:val="both"/>
        <w:rPr>
          <w:rFonts w:ascii="Arial" w:eastAsia="Times New Roman" w:hAnsi="Arial" w:cs="Arial"/>
          <w:sz w:val="20"/>
          <w:szCs w:val="20"/>
        </w:rPr>
      </w:pPr>
      <w:r w:rsidRPr="00955041">
        <w:rPr>
          <w:rFonts w:ascii="Arial" w:eastAsia="Times New Roman" w:hAnsi="Arial" w:cs="Arial"/>
          <w:sz w:val="20"/>
          <w:szCs w:val="20"/>
        </w:rPr>
        <w:t xml:space="preserve">Gentamicin is a commonly used aminoglycoside antibiotic with established efficacy against Gram-negative bacterial infections. However, its clinical utility is often limited by notable adverse effects such as </w:t>
      </w:r>
      <w:r w:rsidRPr="00955041">
        <w:rPr>
          <w:rFonts w:ascii="Arial" w:eastAsia="Times New Roman" w:hAnsi="Arial" w:cs="Arial"/>
          <w:bCs/>
          <w:sz w:val="20"/>
          <w:szCs w:val="20"/>
        </w:rPr>
        <w:t>nephrotoxicity, ototoxicity, and cardiotoxicity</w:t>
      </w:r>
      <w:r w:rsidRPr="00955041">
        <w:rPr>
          <w:rFonts w:ascii="Arial" w:eastAsia="Times New Roman" w:hAnsi="Arial" w:cs="Arial"/>
          <w:sz w:val="20"/>
          <w:szCs w:val="20"/>
        </w:rPr>
        <w:t xml:space="preserve">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In experimental rat models, gentamicin exposure has been associated with </w:t>
      </w:r>
      <w:r w:rsidRPr="00955041">
        <w:rPr>
          <w:rFonts w:ascii="Arial" w:eastAsia="Times New Roman" w:hAnsi="Arial" w:cs="Arial"/>
          <w:bCs/>
          <w:sz w:val="20"/>
          <w:szCs w:val="20"/>
        </w:rPr>
        <w:t>oxidative stress-mediated cardiac damage</w:t>
      </w:r>
      <w:r w:rsidRPr="00955041">
        <w:rPr>
          <w:rFonts w:ascii="Arial" w:eastAsia="Times New Roman" w:hAnsi="Arial" w:cs="Arial"/>
          <w:sz w:val="20"/>
          <w:szCs w:val="20"/>
        </w:rPr>
        <w:t>, including alterations in cardiac protein expression linked to contraction and membrane integrity, as well as increases in lipid peroxidation markers indicative of functional impairment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Çakmak, 2023). These cardiotoxic effects may reflect broader </w:t>
      </w:r>
      <w:r w:rsidRPr="00955041">
        <w:rPr>
          <w:rFonts w:ascii="Arial" w:eastAsia="Times New Roman" w:hAnsi="Arial" w:cs="Arial"/>
          <w:bCs/>
          <w:sz w:val="20"/>
          <w:szCs w:val="20"/>
        </w:rPr>
        <w:t>oxidant-antioxidant imbalances</w:t>
      </w:r>
      <w:r w:rsidRPr="00955041">
        <w:rPr>
          <w:rFonts w:ascii="Arial" w:eastAsia="Times New Roman" w:hAnsi="Arial" w:cs="Arial"/>
          <w:sz w:val="20"/>
          <w:szCs w:val="20"/>
        </w:rPr>
        <w:t xml:space="preserve"> that compromise myocardial structure and function, underscoring the need for interventions that can counteract gentamicin-induced oxidative injury.</w:t>
      </w:r>
    </w:p>
    <w:p w14:paraId="0AD5C030" w14:textId="77777777" w:rsidR="00B31226" w:rsidRPr="00955041" w:rsidRDefault="00B31226" w:rsidP="00B31226">
      <w:pPr>
        <w:spacing w:before="100" w:beforeAutospacing="1" w:after="100" w:afterAutospacing="1" w:line="276" w:lineRule="auto"/>
        <w:jc w:val="both"/>
        <w:rPr>
          <w:rFonts w:ascii="Arial" w:eastAsia="Times New Roman" w:hAnsi="Arial" w:cs="Arial"/>
          <w:sz w:val="20"/>
          <w:szCs w:val="20"/>
        </w:rPr>
      </w:pPr>
      <w:r w:rsidRPr="00955041">
        <w:rPr>
          <w:rFonts w:ascii="Arial" w:eastAsia="Times New Roman" w:hAnsi="Arial" w:cs="Arial"/>
          <w:sz w:val="20"/>
          <w:szCs w:val="20"/>
        </w:rPr>
        <w:t xml:space="preserve">Despite the traditional use of Vitex </w:t>
      </w:r>
      <w:proofErr w:type="spellStart"/>
      <w:r w:rsidRPr="00955041">
        <w:rPr>
          <w:rFonts w:ascii="Arial" w:eastAsia="Times New Roman" w:hAnsi="Arial" w:cs="Arial"/>
          <w:sz w:val="20"/>
          <w:szCs w:val="20"/>
        </w:rPr>
        <w:t>doniana</w:t>
      </w:r>
      <w:proofErr w:type="spellEnd"/>
      <w:r w:rsidRPr="00955041">
        <w:rPr>
          <w:rFonts w:ascii="Arial" w:eastAsia="Times New Roman" w:hAnsi="Arial" w:cs="Arial"/>
          <w:sz w:val="20"/>
          <w:szCs w:val="20"/>
        </w:rPr>
        <w:t xml:space="preserve"> and evidence of its </w:t>
      </w:r>
      <w:proofErr w:type="spellStart"/>
      <w:r w:rsidRPr="00955041">
        <w:rPr>
          <w:rFonts w:ascii="Arial" w:eastAsia="Times New Roman" w:hAnsi="Arial" w:cs="Arial"/>
          <w:sz w:val="20"/>
          <w:szCs w:val="20"/>
        </w:rPr>
        <w:t>cardiocurative</w:t>
      </w:r>
      <w:proofErr w:type="spellEnd"/>
      <w:r w:rsidRPr="00955041">
        <w:rPr>
          <w:rFonts w:ascii="Arial" w:eastAsia="Times New Roman" w:hAnsi="Arial" w:cs="Arial"/>
          <w:sz w:val="20"/>
          <w:szCs w:val="20"/>
        </w:rPr>
        <w:t xml:space="preserve"> potential in other toxin-induced heart injury models, there is a </w:t>
      </w:r>
      <w:r w:rsidRPr="00955041">
        <w:rPr>
          <w:rFonts w:ascii="Arial" w:eastAsia="Times New Roman" w:hAnsi="Arial" w:cs="Arial"/>
          <w:bCs/>
          <w:sz w:val="20"/>
          <w:szCs w:val="20"/>
        </w:rPr>
        <w:t>knowledge gap regarding its effect on heart function indices following gentamicin exposure</w:t>
      </w:r>
      <w:r w:rsidRPr="00955041">
        <w:rPr>
          <w:rFonts w:ascii="Arial" w:eastAsia="Times New Roman" w:hAnsi="Arial" w:cs="Arial"/>
          <w:sz w:val="20"/>
          <w:szCs w:val="20"/>
        </w:rPr>
        <w:t xml:space="preserve">. Most existing studies focus on chemotherapeutic toxin models such as doxorubicin, rather than aminoglycoside antibiotics, and there is limited data on methanolic stem bark extracts in this specific context. This </w:t>
      </w:r>
      <w:r w:rsidRPr="00955041">
        <w:rPr>
          <w:rFonts w:ascii="Arial" w:eastAsia="Times New Roman" w:hAnsi="Arial" w:cs="Arial"/>
          <w:bCs/>
          <w:sz w:val="20"/>
          <w:szCs w:val="20"/>
        </w:rPr>
        <w:t>gap in pharmacological understanding</w:t>
      </w:r>
      <w:r w:rsidRPr="00955041">
        <w:rPr>
          <w:rFonts w:ascii="Arial" w:eastAsia="Times New Roman" w:hAnsi="Arial" w:cs="Arial"/>
          <w:sz w:val="20"/>
          <w:szCs w:val="20"/>
        </w:rPr>
        <w:t xml:space="preserve"> represents the central problem addressed in this study: </w:t>
      </w:r>
      <w:r w:rsidRPr="00955041">
        <w:rPr>
          <w:rFonts w:ascii="Arial" w:eastAsia="Times New Roman" w:hAnsi="Arial" w:cs="Arial"/>
          <w:i/>
          <w:iCs/>
          <w:sz w:val="20"/>
          <w:szCs w:val="20"/>
        </w:rPr>
        <w:t xml:space="preserve">can methanolic stem bark extract of 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i/>
          <w:iCs/>
          <w:sz w:val="20"/>
          <w:szCs w:val="20"/>
        </w:rPr>
        <w:t xml:space="preserve"> ameliorate gentamicin-induced alterations in cardiac function indices in Wistar rats?</w:t>
      </w:r>
      <w:r w:rsidRPr="00955041">
        <w:rPr>
          <w:rFonts w:ascii="Arial" w:eastAsia="Times New Roman" w:hAnsi="Arial" w:cs="Arial"/>
          <w:sz w:val="20"/>
          <w:szCs w:val="20"/>
        </w:rPr>
        <w:t xml:space="preserve"> Addressing this question provides insights into both the therapeutic potential of Vitex </w:t>
      </w:r>
      <w:proofErr w:type="spellStart"/>
      <w:r w:rsidRPr="00955041">
        <w:rPr>
          <w:rFonts w:ascii="Arial" w:eastAsia="Times New Roman" w:hAnsi="Arial" w:cs="Arial"/>
          <w:sz w:val="20"/>
          <w:szCs w:val="20"/>
        </w:rPr>
        <w:t>doniana</w:t>
      </w:r>
      <w:proofErr w:type="spellEnd"/>
      <w:r w:rsidRPr="00955041">
        <w:rPr>
          <w:rFonts w:ascii="Arial" w:eastAsia="Times New Roman" w:hAnsi="Arial" w:cs="Arial"/>
          <w:sz w:val="20"/>
          <w:szCs w:val="20"/>
        </w:rPr>
        <w:t xml:space="preserve"> and the broader search for botanical </w:t>
      </w:r>
      <w:proofErr w:type="spellStart"/>
      <w:r w:rsidRPr="00955041">
        <w:rPr>
          <w:rFonts w:ascii="Arial" w:eastAsia="Times New Roman" w:hAnsi="Arial" w:cs="Arial"/>
          <w:sz w:val="20"/>
          <w:szCs w:val="20"/>
        </w:rPr>
        <w:t>cardioprotectants</w:t>
      </w:r>
      <w:proofErr w:type="spellEnd"/>
      <w:r w:rsidRPr="00955041">
        <w:rPr>
          <w:rFonts w:ascii="Arial" w:eastAsia="Times New Roman" w:hAnsi="Arial" w:cs="Arial"/>
          <w:sz w:val="20"/>
          <w:szCs w:val="20"/>
        </w:rPr>
        <w:t xml:space="preserve"> against drug-induced cardiac dysfunction.</w:t>
      </w:r>
    </w:p>
    <w:p w14:paraId="453AA7D6" w14:textId="77777777" w:rsidR="00B31226" w:rsidRPr="005570DE" w:rsidRDefault="00B31226" w:rsidP="00B31226">
      <w:pPr>
        <w:spacing w:line="276" w:lineRule="auto"/>
        <w:jc w:val="both"/>
        <w:rPr>
          <w:rFonts w:ascii="Arial" w:hAnsi="Arial" w:cs="Arial"/>
          <w:b/>
        </w:rPr>
      </w:pPr>
      <w:r w:rsidRPr="005570DE">
        <w:rPr>
          <w:rFonts w:ascii="Arial" w:hAnsi="Arial" w:cs="Arial"/>
          <w:b/>
        </w:rPr>
        <w:t>2</w:t>
      </w:r>
      <w:r w:rsidRPr="005570DE">
        <w:rPr>
          <w:rFonts w:ascii="Arial" w:hAnsi="Arial" w:cs="Arial"/>
          <w:b/>
        </w:rPr>
        <w:tab/>
      </w:r>
      <w:r w:rsidR="00955041" w:rsidRPr="005570DE">
        <w:rPr>
          <w:rFonts w:ascii="Arial" w:hAnsi="Arial" w:cs="Arial"/>
          <w:b/>
        </w:rPr>
        <w:t>METHODS</w:t>
      </w:r>
    </w:p>
    <w:p w14:paraId="764591A2" w14:textId="77777777" w:rsidR="00B31226" w:rsidRPr="005570DE" w:rsidRDefault="00B31226" w:rsidP="00B31226">
      <w:pPr>
        <w:spacing w:line="276" w:lineRule="auto"/>
        <w:jc w:val="both"/>
        <w:rPr>
          <w:rFonts w:ascii="Arial" w:hAnsi="Arial" w:cs="Arial"/>
          <w:color w:val="000000" w:themeColor="text1"/>
        </w:rPr>
      </w:pPr>
      <w:r w:rsidRPr="005570DE">
        <w:rPr>
          <w:rFonts w:ascii="Arial" w:hAnsi="Arial" w:cs="Arial"/>
        </w:rPr>
        <w:t xml:space="preserve">The experimental protocol used in the study was approved by the ethics committee of University of Ilorin, Ilorin Nigeria </w:t>
      </w:r>
      <w:proofErr w:type="spellStart"/>
      <w:r w:rsidRPr="005570DE">
        <w:rPr>
          <w:rFonts w:ascii="Arial" w:hAnsi="Arial" w:cs="Arial"/>
        </w:rPr>
        <w:t>kwara</w:t>
      </w:r>
      <w:proofErr w:type="spellEnd"/>
      <w:r w:rsidRPr="005570DE">
        <w:rPr>
          <w:rFonts w:ascii="Arial" w:hAnsi="Arial" w:cs="Arial"/>
        </w:rPr>
        <w:t xml:space="preserve"> state for </w:t>
      </w:r>
      <w:proofErr w:type="gramStart"/>
      <w:r w:rsidRPr="005570DE">
        <w:rPr>
          <w:rFonts w:ascii="Arial" w:hAnsi="Arial" w:cs="Arial"/>
        </w:rPr>
        <w:t>animals</w:t>
      </w:r>
      <w:proofErr w:type="gramEnd"/>
      <w:r w:rsidRPr="005570DE">
        <w:rPr>
          <w:rFonts w:ascii="Arial" w:hAnsi="Arial" w:cs="Arial"/>
        </w:rPr>
        <w:t xml:space="preserve"> experimentation</w:t>
      </w:r>
      <w:r w:rsidRPr="005570DE">
        <w:rPr>
          <w:rFonts w:ascii="Arial" w:hAnsi="Arial" w:cs="Arial"/>
          <w:b/>
        </w:rPr>
        <w:t xml:space="preserve">.  </w:t>
      </w:r>
      <w:proofErr w:type="gramStart"/>
      <w:r w:rsidRPr="005570DE">
        <w:rPr>
          <w:rFonts w:ascii="Arial" w:hAnsi="Arial" w:cs="Arial"/>
          <w:color w:val="000000" w:themeColor="text1"/>
        </w:rPr>
        <w:t>Thirty six</w:t>
      </w:r>
      <w:proofErr w:type="gramEnd"/>
      <w:r w:rsidRPr="005570DE">
        <w:rPr>
          <w:rFonts w:ascii="Arial" w:hAnsi="Arial" w:cs="Arial"/>
          <w:color w:val="000000" w:themeColor="text1"/>
        </w:rPr>
        <w:t xml:space="preserve"> (36) female Wister albino rats (aged 8–12 weeks and body weight: 130–190g) used in this study were obtained from the Animal House of the Department of Biochemistry, University of Ilorin, Ilorin, Nigeria, Kwara State. The rats were handled in accordance with international principles guiding the use and handling of experimental animals (National Research council, USA, 2011). The rats were maintained on standard rat feed and potable water which were made available </w:t>
      </w:r>
      <w:r w:rsidRPr="005570DE">
        <w:rPr>
          <w:rFonts w:ascii="Arial" w:hAnsi="Arial" w:cs="Arial"/>
          <w:i/>
          <w:color w:val="000000" w:themeColor="text1"/>
        </w:rPr>
        <w:t>ad libitum</w:t>
      </w:r>
      <w:r w:rsidRPr="005570DE">
        <w:rPr>
          <w:rFonts w:ascii="Arial" w:hAnsi="Arial" w:cs="Arial"/>
          <w:color w:val="000000" w:themeColor="text1"/>
        </w:rPr>
        <w:t>. The rats were maintained at an ambient temperature between 28 and 30° humidity of 55±5%, and standard (natural) photoperiod of approximately 12/12 hours of alternating light and dark periodicity</w:t>
      </w:r>
    </w:p>
    <w:p w14:paraId="65F0EC56" w14:textId="77777777" w:rsidR="00B31226" w:rsidRPr="005570DE" w:rsidRDefault="00B31226" w:rsidP="00B31226">
      <w:pPr>
        <w:spacing w:line="276" w:lineRule="auto"/>
        <w:jc w:val="both"/>
        <w:rPr>
          <w:rFonts w:ascii="Arial" w:hAnsi="Arial" w:cs="Arial"/>
          <w:b/>
        </w:rPr>
        <w:sectPr w:rsidR="00B31226" w:rsidRPr="005570DE" w:rsidSect="003924A2">
          <w:type w:val="continuous"/>
          <w:pgSz w:w="12240" w:h="15840"/>
          <w:pgMar w:top="1440" w:right="1440" w:bottom="1440" w:left="1440" w:header="720" w:footer="720" w:gutter="0"/>
          <w:cols w:space="720"/>
          <w:docGrid w:linePitch="360"/>
        </w:sectPr>
      </w:pPr>
    </w:p>
    <w:p w14:paraId="66A77C14" w14:textId="77777777" w:rsidR="00B31226" w:rsidRPr="005570DE" w:rsidRDefault="00B31226" w:rsidP="00B31226">
      <w:pPr>
        <w:spacing w:line="276" w:lineRule="auto"/>
        <w:jc w:val="both"/>
        <w:rPr>
          <w:rFonts w:ascii="Arial" w:hAnsi="Arial" w:cs="Arial"/>
          <w:b/>
        </w:rPr>
      </w:pPr>
      <w:r w:rsidRPr="005570DE">
        <w:rPr>
          <w:rFonts w:ascii="Arial" w:hAnsi="Arial" w:cs="Arial"/>
          <w:b/>
        </w:rPr>
        <w:lastRenderedPageBreak/>
        <w:t>2</w:t>
      </w:r>
      <w:r w:rsidR="00955041">
        <w:rPr>
          <w:rFonts w:ascii="Arial" w:hAnsi="Arial" w:cs="Arial"/>
          <w:b/>
        </w:rPr>
        <w:t xml:space="preserve">.1 </w:t>
      </w:r>
      <w:r w:rsidRPr="005570DE">
        <w:rPr>
          <w:rFonts w:ascii="Arial" w:hAnsi="Arial" w:cs="Arial"/>
          <w:b/>
        </w:rPr>
        <w:tab/>
        <w:t>Experimental Protocol</w:t>
      </w:r>
    </w:p>
    <w:p w14:paraId="424FE721"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matured stem bark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was collected from </w:t>
      </w:r>
      <w:proofErr w:type="spellStart"/>
      <w:r w:rsidRPr="00955041">
        <w:rPr>
          <w:rFonts w:ascii="Arial" w:hAnsi="Arial" w:cs="Arial"/>
          <w:color w:val="000000" w:themeColor="text1"/>
          <w:sz w:val="20"/>
          <w:szCs w:val="20"/>
        </w:rPr>
        <w:t>Maraba</w:t>
      </w:r>
      <w:proofErr w:type="spellEnd"/>
      <w:r w:rsidRPr="00955041">
        <w:rPr>
          <w:rFonts w:ascii="Arial" w:hAnsi="Arial" w:cs="Arial"/>
          <w:color w:val="000000" w:themeColor="text1"/>
          <w:sz w:val="20"/>
          <w:szCs w:val="20"/>
        </w:rPr>
        <w:t xml:space="preserve">, Ilorin, </w:t>
      </w:r>
      <w:proofErr w:type="spellStart"/>
      <w:r w:rsidRPr="00955041">
        <w:rPr>
          <w:rFonts w:ascii="Arial" w:hAnsi="Arial" w:cs="Arial"/>
          <w:color w:val="000000" w:themeColor="text1"/>
          <w:sz w:val="20"/>
          <w:szCs w:val="20"/>
        </w:rPr>
        <w:t>kwara</w:t>
      </w:r>
      <w:proofErr w:type="spellEnd"/>
      <w:r w:rsidRPr="00955041">
        <w:rPr>
          <w:rFonts w:ascii="Arial" w:hAnsi="Arial" w:cs="Arial"/>
          <w:color w:val="000000" w:themeColor="text1"/>
          <w:sz w:val="20"/>
          <w:szCs w:val="20"/>
        </w:rPr>
        <w:t xml:space="preserve"> state. The stem bark was identified and authenticated at the department of Plant Biology university of Ilorin, </w:t>
      </w:r>
      <w:proofErr w:type="spellStart"/>
      <w:r w:rsidRPr="00955041">
        <w:rPr>
          <w:rFonts w:ascii="Arial" w:hAnsi="Arial" w:cs="Arial"/>
          <w:color w:val="000000" w:themeColor="text1"/>
          <w:sz w:val="20"/>
          <w:szCs w:val="20"/>
        </w:rPr>
        <w:t>kwara</w:t>
      </w:r>
      <w:proofErr w:type="spellEnd"/>
      <w:r w:rsidRPr="00955041">
        <w:rPr>
          <w:rFonts w:ascii="Arial" w:hAnsi="Arial" w:cs="Arial"/>
          <w:color w:val="000000" w:themeColor="text1"/>
          <w:sz w:val="20"/>
          <w:szCs w:val="20"/>
        </w:rPr>
        <w:t xml:space="preserve"> state with voucher number UILH/001/1065/2022. The stem bark was washed and air dried under the shade for a Period of two weeks after which they were cut into small pieces and pulverized into fine powder using a grinding machine. 250g of the pulverized stem bark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was macerated in 2.5 liters (2500ml) of methanol at room temperature for 5 days but intermittently shaken to ensure complete dissolution. Thereafter, the solution was filtered with cotton wool and then with the 110 mm Whatman filter paper. The resultant filtrate was concentrated in a vacuo using a rotary evaporator (BUCHI Rotavapor concentrated in Model R-215, Switzerland) with the Vacuum Module V-801 Easy Vac Switzerland) set at a revolution of 70 rpm and a temperature at 36°C before it was completely dried over a water bath preset at 40°C.</w:t>
      </w:r>
    </w:p>
    <w:p w14:paraId="0E62AAFE" w14:textId="77777777" w:rsidR="00B31226" w:rsidRPr="00955041" w:rsidRDefault="00B31226" w:rsidP="00B31226">
      <w:pPr>
        <w:tabs>
          <w:tab w:val="left" w:pos="2130"/>
        </w:tabs>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animals were divided into six groups of 6 rats each in a cage and were treated for 12 days as </w:t>
      </w:r>
      <w:proofErr w:type="spellStart"/>
      <w:r w:rsidRPr="00955041">
        <w:rPr>
          <w:rFonts w:ascii="Arial" w:hAnsi="Arial" w:cs="Arial"/>
          <w:color w:val="000000" w:themeColor="text1"/>
          <w:sz w:val="20"/>
          <w:szCs w:val="20"/>
        </w:rPr>
        <w:t>follows;Group</w:t>
      </w:r>
      <w:proofErr w:type="spellEnd"/>
      <w:r w:rsidRPr="00955041">
        <w:rPr>
          <w:rFonts w:ascii="Arial" w:hAnsi="Arial" w:cs="Arial"/>
          <w:color w:val="000000" w:themeColor="text1"/>
          <w:sz w:val="20"/>
          <w:szCs w:val="20"/>
        </w:rPr>
        <w:t xml:space="preserve"> A: received 1ml of 0.9% normal saline </w:t>
      </w:r>
      <w:proofErr w:type="spellStart"/>
      <w:r w:rsidRPr="00955041">
        <w:rPr>
          <w:rFonts w:ascii="Arial" w:hAnsi="Arial" w:cs="Arial"/>
          <w:color w:val="000000" w:themeColor="text1"/>
          <w:sz w:val="20"/>
          <w:szCs w:val="20"/>
        </w:rPr>
        <w:t>intraperitonaelly</w:t>
      </w:r>
      <w:proofErr w:type="spellEnd"/>
      <w:r w:rsidRPr="00955041">
        <w:rPr>
          <w:rFonts w:ascii="Arial" w:hAnsi="Arial" w:cs="Arial"/>
          <w:color w:val="000000" w:themeColor="text1"/>
          <w:sz w:val="20"/>
          <w:szCs w:val="20"/>
        </w:rPr>
        <w:t xml:space="preserv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),Group B</w:t>
      </w:r>
      <w:r w:rsidRPr="00955041">
        <w:rPr>
          <w:rFonts w:ascii="Arial" w:hAnsi="Arial" w:cs="Arial"/>
          <w:b/>
          <w:color w:val="000000" w:themeColor="text1"/>
          <w:sz w:val="20"/>
          <w:szCs w:val="20"/>
        </w:rPr>
        <w:t>:</w:t>
      </w:r>
      <w:r w:rsidRPr="00955041">
        <w:rPr>
          <w:rFonts w:ascii="Arial" w:hAnsi="Arial" w:cs="Arial"/>
          <w:color w:val="000000" w:themeColor="text1"/>
          <w:sz w:val="20"/>
          <w:szCs w:val="20"/>
        </w:rPr>
        <w:t xml:space="preserve"> received 100mg/kg body weight of gentamicin in 0.9% normal saline </w:t>
      </w:r>
      <w:proofErr w:type="spellStart"/>
      <w:r w:rsidRPr="00955041">
        <w:rPr>
          <w:rFonts w:ascii="Arial" w:hAnsi="Arial" w:cs="Arial"/>
          <w:color w:val="000000" w:themeColor="text1"/>
          <w:sz w:val="20"/>
          <w:szCs w:val="20"/>
        </w:rPr>
        <w:t>intraperitonaelly,</w:t>
      </w:r>
      <w:r w:rsidRPr="00955041">
        <w:rPr>
          <w:rFonts w:ascii="Arial" w:hAnsi="Arial" w:cs="Arial"/>
          <w:b/>
          <w:color w:val="000000" w:themeColor="text1"/>
          <w:sz w:val="20"/>
          <w:szCs w:val="20"/>
        </w:rPr>
        <w:t>Gtroup</w:t>
      </w:r>
      <w:proofErr w:type="spellEnd"/>
      <w:r w:rsidRPr="00955041">
        <w:rPr>
          <w:rFonts w:ascii="Arial" w:hAnsi="Arial" w:cs="Arial"/>
          <w:b/>
          <w:color w:val="000000" w:themeColor="text1"/>
          <w:sz w:val="20"/>
          <w:szCs w:val="20"/>
        </w:rPr>
        <w:t xml:space="preserve"> C: </w:t>
      </w:r>
      <w:r w:rsidRPr="00955041">
        <w:rPr>
          <w:rFonts w:ascii="Arial" w:hAnsi="Arial" w:cs="Arial"/>
          <w:color w:val="000000" w:themeColor="text1"/>
          <w:sz w:val="20"/>
          <w:szCs w:val="20"/>
        </w:rPr>
        <w:t xml:space="preserve">received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extract in normal saline per ox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w:t>
      </w:r>
      <w:proofErr w:type="spellStart"/>
      <w:r w:rsidRPr="00955041">
        <w:rPr>
          <w:rFonts w:ascii="Arial" w:hAnsi="Arial" w:cs="Arial"/>
          <w:color w:val="000000" w:themeColor="text1"/>
          <w:sz w:val="20"/>
          <w:szCs w:val="20"/>
        </w:rPr>
        <w:t>days,Group</w:t>
      </w:r>
      <w:proofErr w:type="spellEnd"/>
      <w:r w:rsidRPr="00955041">
        <w:rPr>
          <w:rFonts w:ascii="Arial" w:hAnsi="Arial" w:cs="Arial"/>
          <w:color w:val="000000" w:themeColor="text1"/>
          <w:sz w:val="20"/>
          <w:szCs w:val="20"/>
        </w:rPr>
        <w:t xml:space="preserve"> D</w:t>
      </w:r>
      <w:r w:rsidRPr="00955041">
        <w:rPr>
          <w:rFonts w:ascii="Arial" w:hAnsi="Arial" w:cs="Arial"/>
          <w:b/>
          <w:color w:val="000000" w:themeColor="text1"/>
          <w:sz w:val="20"/>
          <w:szCs w:val="20"/>
        </w:rPr>
        <w:t xml:space="preserve">: </w:t>
      </w:r>
      <w:r w:rsidRPr="00955041">
        <w:rPr>
          <w:rFonts w:ascii="Arial" w:hAnsi="Arial" w:cs="Arial"/>
          <w:color w:val="000000" w:themeColor="text1"/>
          <w:sz w:val="20"/>
          <w:szCs w:val="20"/>
        </w:rPr>
        <w:t xml:space="preserve">received200mg/kg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extract in normal saline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w:t>
      </w:r>
      <w:proofErr w:type="spellStart"/>
      <w:r w:rsidRPr="00955041">
        <w:rPr>
          <w:rFonts w:ascii="Arial" w:hAnsi="Arial" w:cs="Arial"/>
          <w:color w:val="000000" w:themeColor="text1"/>
          <w:sz w:val="20"/>
          <w:szCs w:val="20"/>
        </w:rPr>
        <w:t>days,Group</w:t>
      </w:r>
      <w:proofErr w:type="spellEnd"/>
      <w:r w:rsidRPr="00955041">
        <w:rPr>
          <w:rFonts w:ascii="Arial" w:hAnsi="Arial" w:cs="Arial"/>
          <w:color w:val="000000" w:themeColor="text1"/>
          <w:sz w:val="20"/>
          <w:szCs w:val="20"/>
        </w:rPr>
        <w:t xml:space="preserve"> E:</w:t>
      </w:r>
      <w:r w:rsidRPr="00955041">
        <w:rPr>
          <w:rFonts w:ascii="Arial" w:hAnsi="Arial" w:cs="Arial"/>
          <w:b/>
          <w:color w:val="000000" w:themeColor="text1"/>
          <w:sz w:val="20"/>
          <w:szCs w:val="20"/>
        </w:rPr>
        <w:t xml:space="preserve"> </w:t>
      </w:r>
      <w:r w:rsidRPr="00955041">
        <w:rPr>
          <w:rFonts w:ascii="Arial" w:hAnsi="Arial" w:cs="Arial"/>
          <w:color w:val="000000" w:themeColor="text1"/>
          <w:sz w:val="20"/>
          <w:szCs w:val="20"/>
        </w:rPr>
        <w:t xml:space="preserve">received400mg/kg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r w:rsidRPr="00955041">
        <w:rPr>
          <w:rFonts w:ascii="Arial" w:hAnsi="Arial" w:cs="Arial"/>
          <w:i/>
          <w:color w:val="000000" w:themeColor="text1"/>
          <w:sz w:val="20"/>
          <w:szCs w:val="20"/>
        </w:rPr>
        <w:t xml:space="preserve">Vitex </w:t>
      </w:r>
      <w:proofErr w:type="spellStart"/>
      <w:r w:rsidRPr="00955041">
        <w:rPr>
          <w:rFonts w:ascii="Arial" w:hAnsi="Arial" w:cs="Arial"/>
          <w:i/>
          <w:color w:val="000000" w:themeColor="text1"/>
          <w:sz w:val="20"/>
          <w:szCs w:val="20"/>
        </w:rPr>
        <w:t>doniana</w:t>
      </w:r>
      <w:proofErr w:type="spellEnd"/>
      <w:r w:rsidRPr="00955041">
        <w:rPr>
          <w:rFonts w:ascii="Arial" w:hAnsi="Arial" w:cs="Arial"/>
          <w:color w:val="000000" w:themeColor="text1"/>
          <w:sz w:val="20"/>
          <w:szCs w:val="20"/>
        </w:rPr>
        <w:t xml:space="preserve"> extract in normal saline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w:t>
      </w:r>
      <w:proofErr w:type="spellStart"/>
      <w:r w:rsidRPr="00955041">
        <w:rPr>
          <w:rFonts w:ascii="Arial" w:hAnsi="Arial" w:cs="Arial"/>
          <w:color w:val="000000" w:themeColor="text1"/>
          <w:sz w:val="20"/>
          <w:szCs w:val="20"/>
        </w:rPr>
        <w:t>days,Group</w:t>
      </w:r>
      <w:proofErr w:type="spellEnd"/>
      <w:r w:rsidRPr="00955041">
        <w:rPr>
          <w:rFonts w:ascii="Arial" w:hAnsi="Arial" w:cs="Arial"/>
          <w:color w:val="000000" w:themeColor="text1"/>
          <w:sz w:val="20"/>
          <w:szCs w:val="20"/>
        </w:rPr>
        <w:t xml:space="preserve"> F</w:t>
      </w:r>
      <w:r w:rsidRPr="00955041">
        <w:rPr>
          <w:rFonts w:ascii="Arial" w:hAnsi="Arial" w:cs="Arial"/>
          <w:b/>
          <w:color w:val="000000" w:themeColor="text1"/>
          <w:sz w:val="20"/>
          <w:szCs w:val="20"/>
        </w:rPr>
        <w:t xml:space="preserve">: </w:t>
      </w:r>
      <w:r w:rsidRPr="00955041">
        <w:rPr>
          <w:rFonts w:ascii="Arial" w:hAnsi="Arial" w:cs="Arial"/>
          <w:color w:val="000000" w:themeColor="text1"/>
          <w:sz w:val="20"/>
          <w:szCs w:val="20"/>
        </w:rPr>
        <w:t xml:space="preserve">received75mg/kg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w:t>
      </w:r>
      <w:proofErr w:type="spellStart"/>
      <w:r w:rsidRPr="00955041">
        <w:rPr>
          <w:rFonts w:ascii="Arial" w:hAnsi="Arial" w:cs="Arial"/>
          <w:color w:val="000000" w:themeColor="text1"/>
          <w:sz w:val="20"/>
          <w:szCs w:val="20"/>
        </w:rPr>
        <w:t>sylimarin</w:t>
      </w:r>
      <w:proofErr w:type="spellEnd"/>
      <w:r w:rsidRPr="00955041">
        <w:rPr>
          <w:rFonts w:ascii="Arial" w:hAnsi="Arial" w:cs="Arial"/>
          <w:color w:val="000000" w:themeColor="text1"/>
          <w:sz w:val="20"/>
          <w:szCs w:val="20"/>
        </w:rPr>
        <w:t xml:space="preserve"> extract in normal saline p.o. orally and 100mg/kg </w:t>
      </w:r>
      <w:proofErr w:type="spellStart"/>
      <w:r w:rsidRPr="00955041">
        <w:rPr>
          <w:rFonts w:ascii="Arial" w:hAnsi="Arial" w:cs="Arial"/>
          <w:color w:val="000000" w:themeColor="text1"/>
          <w:sz w:val="20"/>
          <w:szCs w:val="20"/>
        </w:rPr>
        <w:t>bw</w:t>
      </w:r>
      <w:proofErr w:type="spellEnd"/>
      <w:r w:rsidRPr="00955041">
        <w:rPr>
          <w:rFonts w:ascii="Arial" w:hAnsi="Arial" w:cs="Arial"/>
          <w:color w:val="000000" w:themeColor="text1"/>
          <w:sz w:val="20"/>
          <w:szCs w:val="20"/>
        </w:rPr>
        <w:t xml:space="preserve"> of gentamicin in 0.9% normal saline </w:t>
      </w:r>
      <w:proofErr w:type="spellStart"/>
      <w:r w:rsidRPr="00955041">
        <w:rPr>
          <w:rFonts w:ascii="Arial" w:hAnsi="Arial" w:cs="Arial"/>
          <w:color w:val="000000" w:themeColor="text1"/>
          <w:sz w:val="20"/>
          <w:szCs w:val="20"/>
        </w:rPr>
        <w:t>i.p</w:t>
      </w:r>
      <w:proofErr w:type="spellEnd"/>
      <w:r w:rsidRPr="00955041">
        <w:rPr>
          <w:rFonts w:ascii="Arial" w:hAnsi="Arial" w:cs="Arial"/>
          <w:color w:val="000000" w:themeColor="text1"/>
          <w:sz w:val="20"/>
          <w:szCs w:val="20"/>
        </w:rPr>
        <w:t xml:space="preserve"> concurrently for 12 days.</w:t>
      </w:r>
    </w:p>
    <w:p w14:paraId="7A46891E" w14:textId="77777777" w:rsidR="00B31226" w:rsidRPr="00955041" w:rsidRDefault="00B31226" w:rsidP="00B31226">
      <w:pPr>
        <w:tabs>
          <w:tab w:val="right" w:pos="9360"/>
        </w:tabs>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2.1</w:t>
      </w:r>
      <w:r w:rsidR="00955041" w:rsidRPr="00955041">
        <w:rPr>
          <w:rFonts w:ascii="Arial" w:hAnsi="Arial" w:cs="Arial"/>
          <w:b/>
          <w:color w:val="000000" w:themeColor="text1"/>
          <w:sz w:val="20"/>
          <w:szCs w:val="20"/>
        </w:rPr>
        <w:t>.1</w:t>
      </w:r>
      <w:r w:rsidRPr="00955041">
        <w:rPr>
          <w:rFonts w:ascii="Arial" w:hAnsi="Arial" w:cs="Arial"/>
          <w:b/>
          <w:color w:val="000000" w:themeColor="text1"/>
          <w:sz w:val="20"/>
          <w:szCs w:val="20"/>
        </w:rPr>
        <w:t xml:space="preserve">    Blood Sample Collection </w:t>
      </w:r>
    </w:p>
    <w:p w14:paraId="7F074299" w14:textId="77777777" w:rsidR="00B31226" w:rsidRPr="005570DE" w:rsidRDefault="00B31226" w:rsidP="00B31226">
      <w:pPr>
        <w:tabs>
          <w:tab w:val="right" w:pos="9360"/>
        </w:tabs>
        <w:spacing w:line="276" w:lineRule="auto"/>
        <w:jc w:val="both"/>
        <w:rPr>
          <w:rFonts w:ascii="Arial" w:hAnsi="Arial" w:cs="Arial"/>
          <w:b/>
          <w:color w:val="000000" w:themeColor="text1"/>
        </w:rPr>
      </w:pPr>
      <w:r w:rsidRPr="005570DE">
        <w:rPr>
          <w:rFonts w:ascii="Arial" w:hAnsi="Arial" w:cs="Arial"/>
          <w:color w:val="000000" w:themeColor="text1"/>
        </w:rPr>
        <w:t xml:space="preserve">At the end of the 12 days experimental period, the rats were weighed and fasted overnight but drinking water was made available </w:t>
      </w:r>
      <w:r w:rsidRPr="005570DE">
        <w:rPr>
          <w:rFonts w:ascii="Arial" w:hAnsi="Arial" w:cs="Arial"/>
          <w:i/>
          <w:color w:val="000000" w:themeColor="text1"/>
        </w:rPr>
        <w:t xml:space="preserve">ad libitum </w:t>
      </w:r>
      <w:r w:rsidRPr="005570DE">
        <w:rPr>
          <w:rFonts w:ascii="Arial" w:hAnsi="Arial" w:cs="Arial"/>
          <w:color w:val="000000" w:themeColor="text1"/>
        </w:rPr>
        <w:t>before they were sacrificed on the 13</w:t>
      </w:r>
      <w:r w:rsidRPr="005570DE">
        <w:rPr>
          <w:rFonts w:ascii="Arial" w:hAnsi="Arial" w:cs="Arial"/>
          <w:color w:val="000000" w:themeColor="text1"/>
          <w:vertAlign w:val="superscript"/>
        </w:rPr>
        <w:t>th</w:t>
      </w:r>
      <w:r w:rsidRPr="005570DE">
        <w:rPr>
          <w:rFonts w:ascii="Arial" w:hAnsi="Arial" w:cs="Arial"/>
          <w:color w:val="000000" w:themeColor="text1"/>
        </w:rPr>
        <w:t xml:space="preserve"> day. Animals were euthanized by diethyl ether anesthesia and the whole blood of each animal was collected via cardiac puncture using fine 21G Needle and 5ml Syringe without causing damage to the heart tissues. The blood samples were centrifuged at 3000 rpm for 15 minutes, serum was separated and preserved for further analysis. The </w:t>
      </w:r>
      <w:proofErr w:type="gramStart"/>
      <w:r w:rsidRPr="005570DE">
        <w:rPr>
          <w:rFonts w:ascii="Arial" w:hAnsi="Arial" w:cs="Arial"/>
          <w:color w:val="000000" w:themeColor="text1"/>
        </w:rPr>
        <w:t>rats</w:t>
      </w:r>
      <w:proofErr w:type="gramEnd"/>
      <w:r w:rsidRPr="005570DE">
        <w:rPr>
          <w:rFonts w:ascii="Arial" w:hAnsi="Arial" w:cs="Arial"/>
          <w:color w:val="000000" w:themeColor="text1"/>
        </w:rPr>
        <w:t xml:space="preserve"> hearts were identified, harvested, and weighed and was immediately preserved in a refrigerator until further processing. The serum was used for various biochemical analysis.</w:t>
      </w:r>
    </w:p>
    <w:p w14:paraId="5492EDC7" w14:textId="77777777" w:rsidR="00B31226" w:rsidRPr="00955041" w:rsidRDefault="00B31226" w:rsidP="00B31226">
      <w:pPr>
        <w:tabs>
          <w:tab w:val="left" w:pos="2130"/>
          <w:tab w:val="left" w:pos="5430"/>
        </w:tabs>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2.</w:t>
      </w:r>
      <w:r w:rsidR="00955041" w:rsidRPr="00955041">
        <w:rPr>
          <w:rFonts w:ascii="Arial" w:hAnsi="Arial" w:cs="Arial"/>
          <w:b/>
          <w:color w:val="000000" w:themeColor="text1"/>
          <w:sz w:val="20"/>
          <w:szCs w:val="20"/>
        </w:rPr>
        <w:t>1.</w:t>
      </w:r>
      <w:r w:rsidRPr="00955041">
        <w:rPr>
          <w:rFonts w:ascii="Arial" w:hAnsi="Arial" w:cs="Arial"/>
          <w:b/>
          <w:color w:val="000000" w:themeColor="text1"/>
          <w:sz w:val="20"/>
          <w:szCs w:val="20"/>
        </w:rPr>
        <w:t>2      Preparation of Tissue Homogenate</w:t>
      </w:r>
      <w:r w:rsidRPr="00955041">
        <w:rPr>
          <w:rFonts w:ascii="Arial" w:hAnsi="Arial" w:cs="Arial"/>
          <w:b/>
          <w:color w:val="000000" w:themeColor="text1"/>
          <w:sz w:val="20"/>
          <w:szCs w:val="20"/>
        </w:rPr>
        <w:tab/>
      </w:r>
    </w:p>
    <w:p w14:paraId="23B8D16C" w14:textId="77777777" w:rsidR="00B31226" w:rsidRPr="005570DE" w:rsidRDefault="00B31226" w:rsidP="00B31226">
      <w:pPr>
        <w:tabs>
          <w:tab w:val="left" w:pos="2130"/>
        </w:tabs>
        <w:spacing w:line="276" w:lineRule="auto"/>
        <w:jc w:val="both"/>
        <w:rPr>
          <w:rFonts w:ascii="Arial" w:hAnsi="Arial" w:cs="Arial"/>
          <w:color w:val="000000" w:themeColor="text1"/>
        </w:rPr>
      </w:pPr>
      <w:r w:rsidRPr="005570DE">
        <w:rPr>
          <w:rFonts w:ascii="Arial" w:hAnsi="Arial" w:cs="Arial"/>
          <w:color w:val="000000" w:themeColor="text1"/>
        </w:rPr>
        <w:t>After the rats were sacrifice, their hearts were isolated from the dissected rats. The isolated tissues were cleansed with blotting pepper to remove blood stain and weighed, then stored immediately in ice cold 0.25M sucrose solution. The heart organs were subjected to homogenization using mortar and pestle in ice-cold 0.25M sucrose solution. The homogenates were centrifuged at 4000rpm for 15 minutes and the supernatants was decanted and stored in the freezer (-5</w:t>
      </w:r>
      <w:r w:rsidRPr="005570DE">
        <w:rPr>
          <w:rFonts w:ascii="Arial" w:hAnsi="Arial" w:cs="Arial"/>
          <w:color w:val="000000" w:themeColor="text1"/>
          <w:vertAlign w:val="superscript"/>
        </w:rPr>
        <w:t>o</w:t>
      </w:r>
      <w:r w:rsidRPr="005570DE">
        <w:rPr>
          <w:rFonts w:ascii="Arial" w:hAnsi="Arial" w:cs="Arial"/>
          <w:color w:val="000000" w:themeColor="text1"/>
        </w:rPr>
        <w:t xml:space="preserve">C) until required for further analysis. </w:t>
      </w:r>
    </w:p>
    <w:p w14:paraId="0446E5D1" w14:textId="77777777" w:rsidR="00B31226" w:rsidRPr="005570DE" w:rsidRDefault="00B31226" w:rsidP="00B31226">
      <w:pPr>
        <w:tabs>
          <w:tab w:val="left" w:pos="2130"/>
        </w:tabs>
        <w:spacing w:line="276" w:lineRule="auto"/>
        <w:jc w:val="both"/>
        <w:rPr>
          <w:rFonts w:ascii="Arial" w:hAnsi="Arial" w:cs="Arial"/>
          <w:b/>
          <w:color w:val="000000" w:themeColor="text1"/>
        </w:rPr>
      </w:pPr>
      <w:r w:rsidRPr="005570DE">
        <w:rPr>
          <w:rFonts w:ascii="Arial" w:hAnsi="Arial" w:cs="Arial"/>
          <w:b/>
          <w:color w:val="000000" w:themeColor="text1"/>
        </w:rPr>
        <w:t>2.</w:t>
      </w:r>
      <w:r w:rsidR="00955041">
        <w:rPr>
          <w:rFonts w:ascii="Arial" w:hAnsi="Arial" w:cs="Arial"/>
          <w:b/>
          <w:color w:val="000000" w:themeColor="text1"/>
        </w:rPr>
        <w:t>2</w:t>
      </w:r>
      <w:r w:rsidRPr="005570DE">
        <w:rPr>
          <w:rFonts w:ascii="Arial" w:hAnsi="Arial" w:cs="Arial"/>
          <w:b/>
          <w:color w:val="000000" w:themeColor="text1"/>
        </w:rPr>
        <w:t xml:space="preserve">        lipid Profile Analysis</w:t>
      </w:r>
    </w:p>
    <w:p w14:paraId="2EEB44A4" w14:textId="77777777" w:rsidR="00B31226" w:rsidRPr="00955041" w:rsidRDefault="00B31226" w:rsidP="00B31226">
      <w:pPr>
        <w:tabs>
          <w:tab w:val="left" w:pos="2130"/>
        </w:tabs>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2.</w:t>
      </w:r>
      <w:r w:rsidR="00955041" w:rsidRPr="00955041">
        <w:rPr>
          <w:rFonts w:ascii="Arial" w:hAnsi="Arial" w:cs="Arial"/>
          <w:b/>
          <w:color w:val="000000" w:themeColor="text1"/>
          <w:sz w:val="20"/>
          <w:szCs w:val="20"/>
        </w:rPr>
        <w:t>2</w:t>
      </w:r>
      <w:r w:rsidRPr="00955041">
        <w:rPr>
          <w:rFonts w:ascii="Arial" w:hAnsi="Arial" w:cs="Arial"/>
          <w:b/>
          <w:color w:val="000000" w:themeColor="text1"/>
          <w:sz w:val="20"/>
          <w:szCs w:val="20"/>
        </w:rPr>
        <w:t>.1     Determination of Serum Total Cholesterol</w:t>
      </w:r>
    </w:p>
    <w:p w14:paraId="12B50685"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total cholesterol in the serum was assayed by the method of Fredrickson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(1967).</w:t>
      </w:r>
    </w:p>
    <w:p w14:paraId="45C7E5F9" w14:textId="77777777" w:rsidR="00B31226" w:rsidRPr="00955041" w:rsidRDefault="00B31226" w:rsidP="00B31226">
      <w:pPr>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Principle: </w:t>
      </w:r>
      <w:r w:rsidRPr="00955041">
        <w:rPr>
          <w:rFonts w:ascii="Arial" w:hAnsi="Arial" w:cs="Arial"/>
          <w:color w:val="000000" w:themeColor="text1"/>
          <w:sz w:val="20"/>
          <w:szCs w:val="20"/>
        </w:rPr>
        <w:t xml:space="preserve">The principle is based on the enzymatic hydrolysis and oxidation as described by Fredrickson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(1967). The formation of </w:t>
      </w:r>
      <w:proofErr w:type="spellStart"/>
      <w:r w:rsidRPr="00955041">
        <w:rPr>
          <w:rFonts w:ascii="Arial" w:hAnsi="Arial" w:cs="Arial"/>
          <w:color w:val="000000" w:themeColor="text1"/>
          <w:sz w:val="20"/>
          <w:szCs w:val="20"/>
        </w:rPr>
        <w:t>quinoneimine</w:t>
      </w:r>
      <w:proofErr w:type="spellEnd"/>
      <w:r w:rsidRPr="00955041">
        <w:rPr>
          <w:rFonts w:ascii="Arial" w:hAnsi="Arial" w:cs="Arial"/>
          <w:color w:val="000000" w:themeColor="text1"/>
          <w:sz w:val="20"/>
          <w:szCs w:val="20"/>
        </w:rPr>
        <w:t xml:space="preserve"> from 4-aminoantipyrine and phenol in the presence of hydrogen </w:t>
      </w:r>
      <w:r w:rsidRPr="00955041">
        <w:rPr>
          <w:rFonts w:ascii="Arial" w:hAnsi="Arial" w:cs="Arial"/>
          <w:color w:val="000000" w:themeColor="text1"/>
          <w:sz w:val="20"/>
          <w:szCs w:val="20"/>
        </w:rPr>
        <w:lastRenderedPageBreak/>
        <w:t>peroxide is catalyzed by peroxidase. The peroxidase catalyzed reaction is dependent on the concentration of H</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O</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 xml:space="preserve"> formed from cholesterol and molecular oxygen.</w:t>
      </w:r>
    </w:p>
    <w:p w14:paraId="20CE4A24"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14:anchorId="4AF620E8" wp14:editId="5F594E27">
                <wp:simplePos x="0" y="0"/>
                <wp:positionH relativeFrom="column">
                  <wp:posOffset>1428750</wp:posOffset>
                </wp:positionH>
                <wp:positionV relativeFrom="paragraph">
                  <wp:posOffset>160020</wp:posOffset>
                </wp:positionV>
                <wp:extent cx="885825" cy="9525"/>
                <wp:effectExtent l="0" t="76200" r="28575" b="857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5825" cy="95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C02F09" id="_x0000_t32" coordsize="21600,21600" o:spt="32" o:oned="t" path="m,l21600,21600e" filled="f">
                <v:path arrowok="t" fillok="f" o:connecttype="none"/>
                <o:lock v:ext="edit" shapetype="t"/>
              </v:shapetype>
              <v:shape id="Straight Arrow Connector 18" o:spid="_x0000_s1026" type="#_x0000_t32" style="position:absolute;margin-left:112.5pt;margin-top:12.6pt;width:69.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" strokecolor="black [3213]" strokeweight=".5pt">
                <v:stroke endarrow="block" joinstyle="miter"/>
                <o:lock v:ext="edit" shapetype="f"/>
              </v:shape>
            </w:pict>
          </mc:Fallback>
        </mc:AlternateContent>
      </w:r>
      <w:r w:rsidRPr="00955041">
        <w:rPr>
          <w:rFonts w:ascii="Arial" w:hAnsi="Arial" w:cs="Arial"/>
          <w:color w:val="000000" w:themeColor="text1"/>
          <w:sz w:val="20"/>
          <w:szCs w:val="20"/>
        </w:rPr>
        <w:t>Cholesterol ester + H</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 xml:space="preserve">O      </w:t>
      </w:r>
      <w:r w:rsidRPr="00955041">
        <w:rPr>
          <w:rFonts w:ascii="Arial" w:hAnsi="Arial" w:cs="Arial"/>
          <w:color w:val="000000" w:themeColor="text1"/>
          <w:sz w:val="20"/>
          <w:szCs w:val="20"/>
          <w:vertAlign w:val="superscript"/>
        </w:rPr>
        <w:t>cholesterol esterase</w:t>
      </w:r>
      <w:r w:rsidRPr="00955041">
        <w:rPr>
          <w:rFonts w:ascii="Arial" w:hAnsi="Arial" w:cs="Arial"/>
          <w:color w:val="000000" w:themeColor="text1"/>
          <w:sz w:val="20"/>
          <w:szCs w:val="20"/>
        </w:rPr>
        <w:t xml:space="preserve">    Cholesterol + Fatty Acids</w:t>
      </w:r>
      <w:r w:rsidRPr="00955041">
        <w:rPr>
          <w:rFonts w:ascii="Arial" w:hAnsi="Arial" w:cs="Arial"/>
          <w:color w:val="000000" w:themeColor="text1"/>
          <w:sz w:val="20"/>
          <w:szCs w:val="20"/>
        </w:rPr>
        <w:tab/>
      </w:r>
      <w:r w:rsidRPr="00955041">
        <w:rPr>
          <w:rFonts w:ascii="Arial" w:hAnsi="Arial" w:cs="Arial"/>
          <w:color w:val="000000" w:themeColor="text1"/>
          <w:sz w:val="20"/>
          <w:szCs w:val="20"/>
        </w:rPr>
        <w:tab/>
      </w:r>
      <w:r w:rsidRPr="00955041">
        <w:rPr>
          <w:rFonts w:ascii="Arial" w:hAnsi="Arial" w:cs="Arial"/>
          <w:color w:val="000000" w:themeColor="text1"/>
          <w:sz w:val="20"/>
          <w:szCs w:val="20"/>
        </w:rPr>
        <w:tab/>
      </w:r>
    </w:p>
    <w:p w14:paraId="24FF01E6"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noProof/>
          <w:color w:val="000000" w:themeColor="text1"/>
          <w:sz w:val="20"/>
          <w:szCs w:val="20"/>
        </w:rPr>
        <mc:AlternateContent>
          <mc:Choice Requires="wps">
            <w:drawing>
              <wp:anchor distT="4294967295" distB="4294967295" distL="114300" distR="114300" simplePos="0" relativeHeight="251660288" behindDoc="0" locked="0" layoutInCell="1" allowOverlap="1" wp14:anchorId="00182143" wp14:editId="38C0BAD1">
                <wp:simplePos x="0" y="0"/>
                <wp:positionH relativeFrom="column">
                  <wp:posOffset>1476375</wp:posOffset>
                </wp:positionH>
                <wp:positionV relativeFrom="paragraph">
                  <wp:posOffset>130809</wp:posOffset>
                </wp:positionV>
                <wp:extent cx="838200" cy="0"/>
                <wp:effectExtent l="0" t="76200" r="1905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EBD9A2" id="Straight Arrow Connector 17" o:spid="_x0000_s1026" type="#_x0000_t32" style="position:absolute;margin-left:116.25pt;margin-top:10.3pt;width:66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" strokecolor="black [3213]" strokeweight=".5pt">
                <v:stroke endarrow="block" joinstyle="miter"/>
                <o:lock v:ext="edit" shapetype="f"/>
              </v:shape>
            </w:pict>
          </mc:Fallback>
        </mc:AlternateContent>
      </w:r>
      <w:r w:rsidRPr="00955041">
        <w:rPr>
          <w:rFonts w:ascii="Arial" w:hAnsi="Arial" w:cs="Arial"/>
          <w:color w:val="000000" w:themeColor="text1"/>
          <w:sz w:val="20"/>
          <w:szCs w:val="20"/>
        </w:rPr>
        <w:t xml:space="preserve">Cholesterol + Fatty Acids     </w:t>
      </w:r>
      <w:r w:rsidRPr="00955041">
        <w:rPr>
          <w:rFonts w:ascii="Arial" w:hAnsi="Arial" w:cs="Arial"/>
          <w:color w:val="000000" w:themeColor="text1"/>
          <w:sz w:val="20"/>
          <w:szCs w:val="20"/>
          <w:vertAlign w:val="superscript"/>
        </w:rPr>
        <w:t>Cholesterol oxidase</w:t>
      </w:r>
      <w:r w:rsidRPr="00955041">
        <w:rPr>
          <w:rFonts w:ascii="Arial" w:hAnsi="Arial" w:cs="Arial"/>
          <w:color w:val="000000" w:themeColor="text1"/>
          <w:sz w:val="20"/>
          <w:szCs w:val="20"/>
        </w:rPr>
        <w:t xml:space="preserve">   Cholesten-3-one + H</w:t>
      </w:r>
      <w:r w:rsidRPr="00955041">
        <w:rPr>
          <w:rFonts w:ascii="Arial" w:hAnsi="Arial" w:cs="Arial"/>
          <w:color w:val="000000" w:themeColor="text1"/>
          <w:sz w:val="20"/>
          <w:szCs w:val="20"/>
          <w:vertAlign w:val="subscript"/>
        </w:rPr>
        <w:t>2</w:t>
      </w:r>
      <w:r w:rsidRPr="00955041">
        <w:rPr>
          <w:rFonts w:ascii="Arial" w:hAnsi="Arial" w:cs="Arial"/>
          <w:color w:val="000000" w:themeColor="text1"/>
          <w:sz w:val="20"/>
          <w:szCs w:val="20"/>
        </w:rPr>
        <w:t>O</w:t>
      </w:r>
      <w:r w:rsidRPr="00955041">
        <w:rPr>
          <w:rFonts w:ascii="Arial" w:hAnsi="Arial" w:cs="Arial"/>
          <w:color w:val="000000" w:themeColor="text1"/>
          <w:sz w:val="20"/>
          <w:szCs w:val="20"/>
          <w:vertAlign w:val="subscript"/>
        </w:rPr>
        <w:t>2</w:t>
      </w:r>
    </w:p>
    <w:p w14:paraId="65F89E95"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noProof/>
          <w:color w:val="000000" w:themeColor="text1"/>
          <w:sz w:val="20"/>
          <w:szCs w:val="20"/>
        </w:rPr>
        <mc:AlternateContent>
          <mc:Choice Requires="wps">
            <w:drawing>
              <wp:anchor distT="0" distB="0" distL="114300" distR="114300" simplePos="0" relativeHeight="251661312" behindDoc="0" locked="0" layoutInCell="1" allowOverlap="1" wp14:anchorId="54CBB599" wp14:editId="2602959C">
                <wp:simplePos x="0" y="0"/>
                <wp:positionH relativeFrom="column">
                  <wp:posOffset>2343150</wp:posOffset>
                </wp:positionH>
                <wp:positionV relativeFrom="paragraph">
                  <wp:posOffset>149225</wp:posOffset>
                </wp:positionV>
                <wp:extent cx="476250" cy="9525"/>
                <wp:effectExtent l="0" t="76200" r="19050" b="857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95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1B23C1" id="Straight Arrow Connector 16" o:spid="_x0000_s1026" type="#_x0000_t32" style="position:absolute;margin-left:184.5pt;margin-top:11.75pt;width:3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" strokecolor="black [3213]" strokeweight=".5pt">
                <v:stroke endarrow="block" joinstyle="miter"/>
                <o:lock v:ext="edit" shapetype="f"/>
              </v:shape>
            </w:pict>
          </mc:Fallback>
        </mc:AlternateContent>
      </w:r>
      <w:r w:rsidRPr="00955041">
        <w:rPr>
          <w:rFonts w:ascii="Arial" w:hAnsi="Arial" w:cs="Arial"/>
          <w:color w:val="000000" w:themeColor="text1"/>
          <w:sz w:val="20"/>
          <w:szCs w:val="20"/>
        </w:rPr>
        <w:t>2H</w:t>
      </w:r>
      <w:r w:rsidRPr="00955041">
        <w:rPr>
          <w:rFonts w:ascii="Cambria Math" w:hAnsi="Cambria Math" w:cs="Cambria Math"/>
          <w:color w:val="000000" w:themeColor="text1"/>
          <w:sz w:val="20"/>
          <w:szCs w:val="20"/>
        </w:rPr>
        <w:t>₂</w:t>
      </w:r>
      <w:r w:rsidRPr="00955041">
        <w:rPr>
          <w:rFonts w:ascii="Arial" w:hAnsi="Arial" w:cs="Arial"/>
          <w:color w:val="000000" w:themeColor="text1"/>
          <w:sz w:val="20"/>
          <w:szCs w:val="20"/>
        </w:rPr>
        <w:t>O</w:t>
      </w:r>
      <w:r w:rsidRPr="00955041">
        <w:rPr>
          <w:rFonts w:ascii="Cambria Math" w:hAnsi="Cambria Math" w:cs="Cambria Math"/>
          <w:color w:val="000000" w:themeColor="text1"/>
          <w:sz w:val="20"/>
          <w:szCs w:val="20"/>
        </w:rPr>
        <w:t>₂</w:t>
      </w:r>
      <w:r w:rsidRPr="00955041">
        <w:rPr>
          <w:rFonts w:ascii="Arial" w:hAnsi="Arial" w:cs="Arial"/>
          <w:color w:val="000000" w:themeColor="text1"/>
          <w:sz w:val="20"/>
          <w:szCs w:val="20"/>
        </w:rPr>
        <w:t xml:space="preserve"> + 4-Amino antipyrine + Phenol      </w:t>
      </w:r>
      <w:r w:rsidRPr="00955041">
        <w:rPr>
          <w:rFonts w:ascii="Arial" w:hAnsi="Arial" w:cs="Arial"/>
          <w:noProof/>
          <w:color w:val="000000" w:themeColor="text1"/>
          <w:sz w:val="20"/>
          <w:szCs w:val="20"/>
          <w:vertAlign w:val="superscript"/>
        </w:rPr>
        <w:t>peroxidase</w:t>
      </w:r>
      <w:r w:rsidR="00627D2D" w:rsidRPr="00955041">
        <w:rPr>
          <w:rFonts w:ascii="Arial" w:hAnsi="Arial" w:cs="Arial"/>
          <w:color w:val="000000" w:themeColor="text1"/>
          <w:sz w:val="20"/>
          <w:szCs w:val="20"/>
        </w:rPr>
        <w:t xml:space="preserve">   </w:t>
      </w:r>
      <w:proofErr w:type="spellStart"/>
      <w:r w:rsidRPr="00955041">
        <w:rPr>
          <w:rFonts w:ascii="Arial" w:hAnsi="Arial" w:cs="Arial"/>
          <w:color w:val="000000" w:themeColor="text1"/>
          <w:sz w:val="20"/>
          <w:szCs w:val="20"/>
        </w:rPr>
        <w:t>Quinoneimine</w:t>
      </w:r>
      <w:proofErr w:type="spellEnd"/>
      <w:r w:rsidRPr="00955041">
        <w:rPr>
          <w:rFonts w:ascii="Arial" w:hAnsi="Arial" w:cs="Arial"/>
          <w:color w:val="000000" w:themeColor="text1"/>
          <w:sz w:val="20"/>
          <w:szCs w:val="20"/>
        </w:rPr>
        <w:t xml:space="preserve"> + 4H</w:t>
      </w:r>
      <w:r w:rsidRPr="00955041">
        <w:rPr>
          <w:rFonts w:ascii="Cambria Math" w:hAnsi="Cambria Math" w:cs="Cambria Math"/>
          <w:color w:val="000000" w:themeColor="text1"/>
          <w:sz w:val="20"/>
          <w:szCs w:val="20"/>
        </w:rPr>
        <w:t>₂</w:t>
      </w:r>
      <w:r w:rsidRPr="00955041">
        <w:rPr>
          <w:rFonts w:ascii="Arial" w:hAnsi="Arial" w:cs="Arial"/>
          <w:color w:val="000000" w:themeColor="text1"/>
          <w:sz w:val="20"/>
          <w:szCs w:val="20"/>
        </w:rPr>
        <w:t>O</w:t>
      </w:r>
    </w:p>
    <w:p w14:paraId="0DE8A5A8" w14:textId="77777777" w:rsidR="00B31226" w:rsidRPr="00955041" w:rsidRDefault="00B31226" w:rsidP="00B31226">
      <w:pPr>
        <w:spacing w:before="24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Procedure: </w:t>
      </w:r>
      <w:r w:rsidRPr="00955041">
        <w:rPr>
          <w:rFonts w:ascii="Arial" w:hAnsi="Arial" w:cs="Arial"/>
          <w:color w:val="000000" w:themeColor="text1"/>
          <w:sz w:val="20"/>
          <w:szCs w:val="20"/>
        </w:rPr>
        <w:t>Using a micropipette, 20ul each of appropriately diluted sample, standard and distilled water were pipetted into different test tubes and were labeled sample, standard and blank respectively. 2000ul of working reagent composing of 4-aminoantipyrine, phenol, peroxide, cholesterol esterase, cholesterol oxidase and buffer (pH 6.8) were added to each test tube. The reaction constituents were thoroughly mixed and incubated at 37ᵒC for 5min. The absorbance of sample and standard were read against the blank at 546nm.</w:t>
      </w:r>
    </w:p>
    <w:p w14:paraId="3127C43F" w14:textId="77777777" w:rsidR="00B31226" w:rsidRPr="00955041" w:rsidRDefault="00B31226" w:rsidP="00B31226">
      <w:pPr>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Calculation: </w:t>
      </w:r>
      <w:r w:rsidRPr="00955041">
        <w:rPr>
          <w:rFonts w:ascii="Arial" w:hAnsi="Arial" w:cs="Arial"/>
          <w:color w:val="000000" w:themeColor="text1"/>
          <w:sz w:val="20"/>
          <w:szCs w:val="20"/>
        </w:rPr>
        <w:t xml:space="preserve">Concentration of cholesterol (mmol/L)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vertAlign w:val="superscript"/>
              </w:rPr>
              <m:t>Asample × Concentration of standard</m:t>
            </m:r>
          </m:num>
          <m:den>
            <m:r>
              <m:rPr>
                <m:sty m:val="p"/>
              </m:rPr>
              <w:rPr>
                <w:rFonts w:ascii="Cambria Math" w:hAnsi="Cambria Math" w:cs="Arial"/>
                <w:color w:val="000000" w:themeColor="text1"/>
                <w:sz w:val="20"/>
                <w:szCs w:val="20"/>
              </w:rPr>
              <m:t>A</m:t>
            </m:r>
            <m:r>
              <m:rPr>
                <m:sty m:val="p"/>
              </m:rPr>
              <w:rPr>
                <w:rFonts w:ascii="Cambria Math" w:hAnsi="Cambria Math" w:cs="Arial"/>
                <w:color w:val="000000" w:themeColor="text1"/>
                <w:sz w:val="20"/>
                <w:szCs w:val="20"/>
                <w:vertAlign w:val="subscript"/>
              </w:rPr>
              <m:t>standard</m:t>
            </m:r>
          </m:den>
        </m:f>
      </m:oMath>
    </w:p>
    <w:p w14:paraId="5DA070CA"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Concentration of standard = 5.10 mmol/L</w:t>
      </w:r>
    </w:p>
    <w:p w14:paraId="6F13CF4B" w14:textId="77777777" w:rsidR="00B31226" w:rsidRPr="00955041" w:rsidRDefault="00B31226" w:rsidP="00B31226">
      <w:pPr>
        <w:spacing w:line="276" w:lineRule="auto"/>
        <w:jc w:val="both"/>
        <w:rPr>
          <w:rFonts w:ascii="Arial" w:hAnsi="Arial" w:cs="Arial"/>
          <w:color w:val="000000" w:themeColor="text1"/>
          <w:sz w:val="20"/>
          <w:szCs w:val="20"/>
        </w:rPr>
      </w:pPr>
      <w:r w:rsidRPr="005570DE">
        <w:rPr>
          <w:rFonts w:ascii="Arial" w:hAnsi="Arial" w:cs="Arial"/>
          <w:b/>
          <w:color w:val="000000" w:themeColor="text1"/>
        </w:rPr>
        <w:t xml:space="preserve"> </w:t>
      </w:r>
      <w:r w:rsidRPr="00955041">
        <w:rPr>
          <w:rFonts w:ascii="Arial" w:hAnsi="Arial" w:cs="Arial"/>
          <w:b/>
          <w:color w:val="000000" w:themeColor="text1"/>
          <w:sz w:val="20"/>
          <w:szCs w:val="20"/>
        </w:rPr>
        <w:t>2.</w:t>
      </w:r>
      <w:r w:rsidR="00955041" w:rsidRPr="00955041">
        <w:rPr>
          <w:rFonts w:ascii="Arial" w:hAnsi="Arial" w:cs="Arial"/>
          <w:b/>
          <w:color w:val="000000" w:themeColor="text1"/>
          <w:sz w:val="20"/>
          <w:szCs w:val="20"/>
        </w:rPr>
        <w:t>2</w:t>
      </w:r>
      <w:r w:rsidRPr="00955041">
        <w:rPr>
          <w:rFonts w:ascii="Arial" w:hAnsi="Arial" w:cs="Arial"/>
          <w:b/>
          <w:color w:val="000000" w:themeColor="text1"/>
          <w:sz w:val="20"/>
          <w:szCs w:val="20"/>
        </w:rPr>
        <w:t>.2      Determination of Serum Triglycerides</w:t>
      </w:r>
    </w:p>
    <w:p w14:paraId="66046F3F"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The method </w:t>
      </w:r>
      <w:proofErr w:type="gramStart"/>
      <w:r w:rsidRPr="00955041">
        <w:rPr>
          <w:rFonts w:ascii="Arial" w:hAnsi="Arial" w:cs="Arial"/>
          <w:color w:val="000000" w:themeColor="text1"/>
          <w:sz w:val="20"/>
          <w:szCs w:val="20"/>
        </w:rPr>
        <w:t>describe</w:t>
      </w:r>
      <w:proofErr w:type="gramEnd"/>
      <w:r w:rsidRPr="00955041">
        <w:rPr>
          <w:rFonts w:ascii="Arial" w:hAnsi="Arial" w:cs="Arial"/>
          <w:color w:val="000000" w:themeColor="text1"/>
          <w:sz w:val="20"/>
          <w:szCs w:val="20"/>
        </w:rPr>
        <w:t xml:space="preserve"> by Hainline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(1980) was used for the determination of serum triglyceride concentration.</w:t>
      </w:r>
    </w:p>
    <w:p w14:paraId="532CBF98"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Principle: </w:t>
      </w:r>
      <w:r w:rsidRPr="00955041">
        <w:rPr>
          <w:rFonts w:ascii="Arial" w:hAnsi="Arial" w:cs="Arial"/>
          <w:color w:val="000000" w:themeColor="text1"/>
          <w:sz w:val="20"/>
          <w:szCs w:val="20"/>
        </w:rPr>
        <w:t xml:space="preserve">Triglyceride is determined after enzymatic hydrolysis with lipases. The indicator is </w:t>
      </w:r>
      <w:proofErr w:type="spellStart"/>
      <w:r w:rsidRPr="00955041">
        <w:rPr>
          <w:rFonts w:ascii="Arial" w:hAnsi="Arial" w:cs="Arial"/>
          <w:color w:val="000000" w:themeColor="text1"/>
          <w:sz w:val="20"/>
          <w:szCs w:val="20"/>
        </w:rPr>
        <w:t>quinoneimine</w:t>
      </w:r>
      <w:proofErr w:type="spellEnd"/>
      <w:r w:rsidRPr="00955041">
        <w:rPr>
          <w:rFonts w:ascii="Arial" w:hAnsi="Arial" w:cs="Arial"/>
          <w:color w:val="000000" w:themeColor="text1"/>
          <w:sz w:val="20"/>
          <w:szCs w:val="20"/>
        </w:rPr>
        <w:t xml:space="preserve"> formed from hydrogen-peroxide, 4-aminophenazome and 4-chlorophenol under the catalytic influence of peroxidase.</w:t>
      </w:r>
    </w:p>
    <w:p w14:paraId="76BEFFC9"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Procedure: </w:t>
      </w:r>
      <w:r w:rsidRPr="00955041">
        <w:rPr>
          <w:rFonts w:ascii="Arial" w:hAnsi="Arial" w:cs="Arial"/>
          <w:color w:val="000000" w:themeColor="text1"/>
          <w:sz w:val="20"/>
          <w:szCs w:val="20"/>
        </w:rPr>
        <w:t xml:space="preserve">Using a micropipette, 10ul of appropriately diluted sample, standard and distilled water were pipetted into clean test tubes labelled sample, standard and blank respectively. 100ul of working reagent comprising of 4-aminophenazone, ATP, lipases, </w:t>
      </w:r>
      <w:proofErr w:type="spellStart"/>
      <w:r w:rsidRPr="00955041">
        <w:rPr>
          <w:rFonts w:ascii="Arial" w:hAnsi="Arial" w:cs="Arial"/>
          <w:color w:val="000000" w:themeColor="text1"/>
          <w:sz w:val="20"/>
          <w:szCs w:val="20"/>
        </w:rPr>
        <w:t>glycerokinase</w:t>
      </w:r>
      <w:proofErr w:type="spellEnd"/>
      <w:r w:rsidRPr="00955041">
        <w:rPr>
          <w:rFonts w:ascii="Arial" w:hAnsi="Arial" w:cs="Arial"/>
          <w:color w:val="000000" w:themeColor="text1"/>
          <w:sz w:val="20"/>
          <w:szCs w:val="20"/>
        </w:rPr>
        <w:t>, glyceryl-3-phosphate oxidase and peroxidase were added to each test tube. The solution was mixed, left undisturbed for 10min at room temperature (20-25 0 C). The absorbance of sample and standard was measured against the blank within 60 min at 500nm.</w:t>
      </w:r>
    </w:p>
    <w:p w14:paraId="1867AC7F"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Calculation:</w:t>
      </w:r>
    </w:p>
    <w:p w14:paraId="5C513BF5" w14:textId="77777777" w:rsidR="00627D2D" w:rsidRPr="00955041" w:rsidRDefault="00627D2D"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m:oMathPara>
        <m:oMath>
          <m:r>
            <m:rPr>
              <m:sty m:val="p"/>
            </m:rPr>
            <w:rPr>
              <w:rFonts w:ascii="Cambria Math" w:hAnsi="Cambria Math" w:cs="Arial"/>
              <w:color w:val="000000" w:themeColor="text1"/>
              <w:sz w:val="20"/>
              <w:szCs w:val="20"/>
            </w:rPr>
            <m:t xml:space="preserve">Concentration of TG (mmol/L)= </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A</m:t>
              </m:r>
              <m:r>
                <m:rPr>
                  <m:sty m:val="p"/>
                </m:rPr>
                <w:rPr>
                  <w:rFonts w:ascii="Cambria Math" w:hAnsi="Cambria Math" w:cs="Arial"/>
                  <w:color w:val="000000" w:themeColor="text1"/>
                  <w:sz w:val="20"/>
                  <w:szCs w:val="20"/>
                  <w:vertAlign w:val="subscript"/>
                </w:rPr>
                <m:t>sample</m:t>
              </m:r>
              <m:r>
                <m:rPr>
                  <m:sty m:val="p"/>
                </m:rPr>
                <w:rPr>
                  <w:rFonts w:ascii="Cambria Math" w:hAnsi="Cambria Math" w:cs="Arial"/>
                  <w:color w:val="000000" w:themeColor="text1"/>
                  <w:sz w:val="20"/>
                  <w:szCs w:val="20"/>
                </w:rPr>
                <m:t xml:space="preserve"> × Concentration of standard </m:t>
              </m:r>
            </m:num>
            <m:den>
              <m:r>
                <m:rPr>
                  <m:sty m:val="p"/>
                </m:rPr>
                <w:rPr>
                  <w:rFonts w:ascii="Cambria Math" w:hAnsi="Cambria Math" w:cs="Arial"/>
                  <w:color w:val="000000" w:themeColor="text1"/>
                  <w:sz w:val="20"/>
                  <w:szCs w:val="20"/>
                </w:rPr>
                <m:t xml:space="preserve"> A</m:t>
              </m:r>
              <m:r>
                <m:rPr>
                  <m:sty m:val="p"/>
                </m:rPr>
                <w:rPr>
                  <w:rFonts w:ascii="Cambria Math" w:hAnsi="Cambria Math" w:cs="Arial"/>
                  <w:color w:val="000000" w:themeColor="text1"/>
                  <w:sz w:val="20"/>
                  <w:szCs w:val="20"/>
                  <w:vertAlign w:val="subscript"/>
                </w:rPr>
                <m:t>standard</m:t>
              </m:r>
            </m:den>
          </m:f>
        </m:oMath>
      </m:oMathPara>
    </w:p>
    <w:p w14:paraId="33760C35" w14:textId="77777777" w:rsidR="00627D2D" w:rsidRPr="00955041" w:rsidRDefault="00627D2D" w:rsidP="00B31226">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w:p>
    <w:p w14:paraId="52BF1DCD" w14:textId="77777777" w:rsidR="00B31226" w:rsidRPr="00955041" w:rsidRDefault="00B31226" w:rsidP="00B31226">
      <w:pPr>
        <w:tabs>
          <w:tab w:val="left" w:pos="0"/>
          <w:tab w:val="left" w:pos="720"/>
          <w:tab w:val="left" w:pos="5040"/>
          <w:tab w:val="left" w:pos="6390"/>
          <w:tab w:val="left" w:pos="7470"/>
        </w:tabs>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Concentration of standard = 2.21 mmol/L</w:t>
      </w:r>
    </w:p>
    <w:p w14:paraId="08E7256E" w14:textId="77777777" w:rsidR="00B31226" w:rsidRPr="005570DE" w:rsidRDefault="00B31226" w:rsidP="00B31226">
      <w:pPr>
        <w:spacing w:line="276" w:lineRule="auto"/>
        <w:jc w:val="both"/>
        <w:rPr>
          <w:rFonts w:ascii="Arial" w:hAnsi="Arial" w:cs="Arial"/>
          <w:b/>
          <w:color w:val="000000" w:themeColor="text1"/>
        </w:rPr>
      </w:pPr>
    </w:p>
    <w:p w14:paraId="2693AC47" w14:textId="77777777" w:rsidR="00B31226" w:rsidRPr="005570DE" w:rsidRDefault="00B31226" w:rsidP="00B31226">
      <w:pPr>
        <w:spacing w:line="276" w:lineRule="auto"/>
        <w:jc w:val="both"/>
        <w:rPr>
          <w:rFonts w:ascii="Arial" w:hAnsi="Arial" w:cs="Arial"/>
          <w:b/>
          <w:color w:val="000000" w:themeColor="text1"/>
        </w:rPr>
      </w:pPr>
      <w:r w:rsidRPr="005570DE">
        <w:rPr>
          <w:rFonts w:ascii="Arial" w:hAnsi="Arial" w:cs="Arial"/>
          <w:b/>
          <w:color w:val="000000" w:themeColor="text1"/>
        </w:rPr>
        <w:t>2.</w:t>
      </w:r>
      <w:r w:rsidR="00955041">
        <w:rPr>
          <w:rFonts w:ascii="Arial" w:hAnsi="Arial" w:cs="Arial"/>
          <w:b/>
          <w:color w:val="000000" w:themeColor="text1"/>
        </w:rPr>
        <w:t>2</w:t>
      </w:r>
      <w:r w:rsidRPr="005570DE">
        <w:rPr>
          <w:rFonts w:ascii="Arial" w:hAnsi="Arial" w:cs="Arial"/>
          <w:b/>
          <w:color w:val="000000" w:themeColor="text1"/>
        </w:rPr>
        <w:t>.3     Determination of Serum High Density Lipoprotein-Cholesterol Concentration</w:t>
      </w:r>
    </w:p>
    <w:p w14:paraId="0A44E5EE" w14:textId="77777777" w:rsidR="00B31226" w:rsidRPr="00955041" w:rsidRDefault="00B31226" w:rsidP="00B31226">
      <w:pPr>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HDL-cholesterol concentration in serum was determined by adopting the procedure described by Albers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(1978).</w:t>
      </w:r>
    </w:p>
    <w:p w14:paraId="10358F8A" w14:textId="77777777" w:rsidR="00B31226" w:rsidRPr="00955041" w:rsidRDefault="00B31226" w:rsidP="00B31226">
      <w:pPr>
        <w:spacing w:after="0"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 xml:space="preserve">Principle: </w:t>
      </w:r>
      <w:r w:rsidRPr="00955041">
        <w:rPr>
          <w:rFonts w:ascii="Arial" w:hAnsi="Arial" w:cs="Arial"/>
          <w:color w:val="000000" w:themeColor="text1"/>
          <w:sz w:val="20"/>
          <w:szCs w:val="20"/>
        </w:rPr>
        <w:t xml:space="preserve">Low density lipoprotein-cholesterol (LDL), very </w:t>
      </w:r>
      <w:proofErr w:type="gramStart"/>
      <w:r w:rsidRPr="00955041">
        <w:rPr>
          <w:rFonts w:ascii="Arial" w:hAnsi="Arial" w:cs="Arial"/>
          <w:color w:val="000000" w:themeColor="text1"/>
          <w:sz w:val="20"/>
          <w:szCs w:val="20"/>
        </w:rPr>
        <w:t>low density</w:t>
      </w:r>
      <w:proofErr w:type="gramEnd"/>
      <w:r w:rsidRPr="00955041">
        <w:rPr>
          <w:rFonts w:ascii="Arial" w:hAnsi="Arial" w:cs="Arial"/>
          <w:color w:val="000000" w:themeColor="text1"/>
          <w:sz w:val="20"/>
          <w:szCs w:val="20"/>
        </w:rPr>
        <w:t xml:space="preserve"> lipoprotein cholesterol (VLDL) and chylomicron fractions are precipitated quantitatively following addition of </w:t>
      </w:r>
      <w:proofErr w:type="spellStart"/>
      <w:r w:rsidRPr="00955041">
        <w:rPr>
          <w:rFonts w:ascii="Arial" w:hAnsi="Arial" w:cs="Arial"/>
          <w:color w:val="000000" w:themeColor="text1"/>
          <w:sz w:val="20"/>
          <w:szCs w:val="20"/>
        </w:rPr>
        <w:t>phosphotungstic</w:t>
      </w:r>
      <w:proofErr w:type="spellEnd"/>
      <w:r w:rsidRPr="00955041">
        <w:rPr>
          <w:rFonts w:ascii="Arial" w:hAnsi="Arial" w:cs="Arial"/>
          <w:color w:val="000000" w:themeColor="text1"/>
          <w:sz w:val="20"/>
          <w:szCs w:val="20"/>
        </w:rPr>
        <w:t xml:space="preserve"> acid in the presence of magnesium ions. After centrifugation, the cholesterol concentration in the HDL fraction, which remains in the supernatant, was determined spectrophotometrically at 546nm.</w:t>
      </w:r>
    </w:p>
    <w:p w14:paraId="71D05DD2" w14:textId="77777777" w:rsidR="00B31226" w:rsidRPr="00955041" w:rsidRDefault="00B31226" w:rsidP="00B31226">
      <w:pPr>
        <w:spacing w:after="0" w:line="276" w:lineRule="auto"/>
        <w:jc w:val="both"/>
        <w:rPr>
          <w:rFonts w:ascii="Arial" w:hAnsi="Arial" w:cs="Arial"/>
          <w:color w:val="000000" w:themeColor="text1"/>
          <w:sz w:val="20"/>
          <w:szCs w:val="20"/>
        </w:rPr>
      </w:pPr>
      <w:r w:rsidRPr="00955041">
        <w:rPr>
          <w:rFonts w:ascii="Arial" w:hAnsi="Arial" w:cs="Arial"/>
          <w:b/>
          <w:color w:val="000000" w:themeColor="text1"/>
          <w:sz w:val="20"/>
          <w:szCs w:val="20"/>
        </w:rPr>
        <w:t>Procedure:</w:t>
      </w:r>
      <w:r w:rsidRPr="00955041">
        <w:rPr>
          <w:rFonts w:ascii="Arial" w:hAnsi="Arial" w:cs="Arial"/>
          <w:color w:val="000000" w:themeColor="text1"/>
          <w:sz w:val="20"/>
          <w:szCs w:val="20"/>
        </w:rPr>
        <w:t xml:space="preserve"> Using a micropipette, 200ul of appropriate diluted sample, standard and distilled water were pipetted into clean test tubes labelled sample, standard and blank respectively. 500ul of working reagent comprising of </w:t>
      </w:r>
      <w:proofErr w:type="spellStart"/>
      <w:r w:rsidRPr="00955041">
        <w:rPr>
          <w:rFonts w:ascii="Arial" w:hAnsi="Arial" w:cs="Arial"/>
          <w:color w:val="000000" w:themeColor="text1"/>
          <w:sz w:val="20"/>
          <w:szCs w:val="20"/>
        </w:rPr>
        <w:t>phosphotungstic</w:t>
      </w:r>
      <w:proofErr w:type="spellEnd"/>
      <w:r w:rsidRPr="00955041">
        <w:rPr>
          <w:rFonts w:ascii="Arial" w:hAnsi="Arial" w:cs="Arial"/>
          <w:color w:val="000000" w:themeColor="text1"/>
          <w:sz w:val="20"/>
          <w:szCs w:val="20"/>
        </w:rPr>
        <w:t xml:space="preserve"> acid and </w:t>
      </w:r>
      <w:proofErr w:type="spellStart"/>
      <w:r w:rsidRPr="00955041">
        <w:rPr>
          <w:rFonts w:ascii="Arial" w:hAnsi="Arial" w:cs="Arial"/>
          <w:color w:val="000000" w:themeColor="text1"/>
          <w:sz w:val="20"/>
          <w:szCs w:val="20"/>
        </w:rPr>
        <w:t>magnessium</w:t>
      </w:r>
      <w:proofErr w:type="spellEnd"/>
      <w:r w:rsidRPr="00955041">
        <w:rPr>
          <w:rFonts w:ascii="Arial" w:hAnsi="Arial" w:cs="Arial"/>
          <w:color w:val="000000" w:themeColor="text1"/>
          <w:sz w:val="20"/>
          <w:szCs w:val="20"/>
        </w:rPr>
        <w:t xml:space="preserve"> chloride were added to each test tube. The solution was mixed and left undisturbed for 10min at room temperature. This was then centrifuged at 4000 </w:t>
      </w:r>
      <w:proofErr w:type="spellStart"/>
      <w:r w:rsidRPr="00955041">
        <w:rPr>
          <w:rFonts w:ascii="Arial" w:hAnsi="Arial" w:cs="Arial"/>
          <w:color w:val="000000" w:themeColor="text1"/>
          <w:sz w:val="20"/>
          <w:szCs w:val="20"/>
        </w:rPr>
        <w:t>rmp</w:t>
      </w:r>
      <w:proofErr w:type="spellEnd"/>
      <w:r w:rsidRPr="00955041">
        <w:rPr>
          <w:rFonts w:ascii="Arial" w:hAnsi="Arial" w:cs="Arial"/>
          <w:color w:val="000000" w:themeColor="text1"/>
          <w:sz w:val="20"/>
          <w:szCs w:val="20"/>
        </w:rPr>
        <w:t xml:space="preserve"> for </w:t>
      </w:r>
      <w:r w:rsidRPr="00955041">
        <w:rPr>
          <w:rFonts w:ascii="Arial" w:hAnsi="Arial" w:cs="Arial"/>
          <w:color w:val="000000" w:themeColor="text1"/>
          <w:sz w:val="20"/>
          <w:szCs w:val="20"/>
        </w:rPr>
        <w:lastRenderedPageBreak/>
        <w:t>10 minutes. The clear supernatant was separated off within two hours and the cholesterol content determined by the CHOD-PAP method earlier described.</w:t>
      </w:r>
    </w:p>
    <w:p w14:paraId="61AC466F" w14:textId="77777777" w:rsidR="00627D2D" w:rsidRPr="00955041" w:rsidRDefault="00627D2D" w:rsidP="00627D2D">
      <w:pPr>
        <w:tabs>
          <w:tab w:val="left" w:pos="0"/>
          <w:tab w:val="left" w:pos="720"/>
          <w:tab w:val="left" w:pos="5040"/>
          <w:tab w:val="left" w:pos="6390"/>
          <w:tab w:val="left" w:pos="7470"/>
        </w:tabs>
        <w:spacing w:after="0" w:line="276" w:lineRule="auto"/>
        <w:jc w:val="both"/>
        <w:rPr>
          <w:rFonts w:ascii="Arial" w:hAnsi="Arial" w:cs="Arial"/>
          <w:b/>
          <w:color w:val="000000" w:themeColor="text1"/>
          <w:sz w:val="20"/>
          <w:szCs w:val="20"/>
        </w:rPr>
      </w:pPr>
      <m:oMathPara>
        <m:oMath>
          <m:r>
            <m:rPr>
              <m:sty m:val="p"/>
            </m:rPr>
            <w:rPr>
              <w:rFonts w:ascii="Cambria Math" w:hAnsi="Cambria Math" w:cs="Arial"/>
              <w:color w:val="000000" w:themeColor="text1"/>
              <w:sz w:val="20"/>
              <w:szCs w:val="20"/>
            </w:rPr>
            <m:t xml:space="preserve">Concentration of HDL cholesterol (mmol/L) </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A</m:t>
              </m:r>
              <m:r>
                <m:rPr>
                  <m:sty m:val="p"/>
                </m:rPr>
                <w:rPr>
                  <w:rFonts w:ascii="Cambria Math" w:hAnsi="Cambria Math" w:cs="Arial"/>
                  <w:color w:val="000000" w:themeColor="text1"/>
                  <w:sz w:val="20"/>
                  <w:szCs w:val="20"/>
                  <w:vertAlign w:val="subscript"/>
                </w:rPr>
                <m:t>sample</m:t>
              </m:r>
              <m:r>
                <m:rPr>
                  <m:sty m:val="p"/>
                </m:rPr>
                <w:rPr>
                  <w:rFonts w:ascii="Cambria Math" w:hAnsi="Cambria Math" w:cs="Arial"/>
                  <w:color w:val="000000" w:themeColor="text1"/>
                  <w:sz w:val="20"/>
                  <w:szCs w:val="20"/>
                </w:rPr>
                <m:t xml:space="preserve"> × Concentration of standard </m:t>
              </m:r>
            </m:num>
            <m:den>
              <m:r>
                <m:rPr>
                  <m:sty m:val="p"/>
                </m:rPr>
                <w:rPr>
                  <w:rFonts w:ascii="Cambria Math" w:hAnsi="Cambria Math" w:cs="Arial"/>
                  <w:color w:val="000000" w:themeColor="text1"/>
                  <w:sz w:val="20"/>
                  <w:szCs w:val="20"/>
                </w:rPr>
                <m:t xml:space="preserve"> A</m:t>
              </m:r>
              <m:r>
                <m:rPr>
                  <m:sty m:val="p"/>
                </m:rPr>
                <w:rPr>
                  <w:rFonts w:ascii="Cambria Math" w:hAnsi="Cambria Math" w:cs="Arial"/>
                  <w:color w:val="000000" w:themeColor="text1"/>
                  <w:sz w:val="20"/>
                  <w:szCs w:val="20"/>
                  <w:vertAlign w:val="subscript"/>
                </w:rPr>
                <m:t>standard</m:t>
              </m:r>
            </m:den>
          </m:f>
        </m:oMath>
      </m:oMathPara>
    </w:p>
    <w:p w14:paraId="291707FD" w14:textId="77777777" w:rsidR="00627D2D" w:rsidRPr="00955041" w:rsidRDefault="00627D2D" w:rsidP="00B31226">
      <w:pPr>
        <w:spacing w:after="0" w:line="276" w:lineRule="auto"/>
        <w:jc w:val="both"/>
        <w:rPr>
          <w:rFonts w:ascii="Arial" w:hAnsi="Arial" w:cs="Arial"/>
          <w:color w:val="000000" w:themeColor="text1"/>
          <w:sz w:val="20"/>
          <w:szCs w:val="20"/>
        </w:rPr>
      </w:pPr>
    </w:p>
    <w:p w14:paraId="739A2B75" w14:textId="77777777" w:rsidR="00B31226" w:rsidRPr="00955041" w:rsidRDefault="00B31226" w:rsidP="00B31226">
      <w:pPr>
        <w:spacing w:line="276" w:lineRule="auto"/>
        <w:jc w:val="both"/>
        <w:rPr>
          <w:rFonts w:ascii="Arial" w:hAnsi="Arial" w:cs="Arial"/>
          <w:b/>
          <w:color w:val="000000" w:themeColor="text1"/>
          <w:sz w:val="20"/>
          <w:szCs w:val="20"/>
        </w:rPr>
      </w:pPr>
      <w:proofErr w:type="spellStart"/>
      <w:r w:rsidRPr="00955041">
        <w:rPr>
          <w:rFonts w:ascii="Arial" w:hAnsi="Arial" w:cs="Arial"/>
          <w:color w:val="000000" w:themeColor="text1"/>
          <w:sz w:val="20"/>
          <w:szCs w:val="20"/>
        </w:rPr>
        <w:t>Concentratin</w:t>
      </w:r>
      <w:proofErr w:type="spellEnd"/>
      <w:r w:rsidRPr="00955041">
        <w:rPr>
          <w:rFonts w:ascii="Arial" w:hAnsi="Arial" w:cs="Arial"/>
          <w:color w:val="000000" w:themeColor="text1"/>
          <w:sz w:val="20"/>
          <w:szCs w:val="20"/>
        </w:rPr>
        <w:t xml:space="preserve"> of standard = 5.10 mmol/L</w:t>
      </w:r>
    </w:p>
    <w:p w14:paraId="7C820A55" w14:textId="77777777" w:rsidR="00B31226" w:rsidRPr="00955041" w:rsidRDefault="00B31226" w:rsidP="00B31226">
      <w:pPr>
        <w:spacing w:line="276" w:lineRule="auto"/>
        <w:jc w:val="both"/>
        <w:rPr>
          <w:rFonts w:ascii="Arial" w:hAnsi="Arial" w:cs="Arial"/>
          <w:b/>
          <w:color w:val="000000" w:themeColor="text1"/>
          <w:sz w:val="20"/>
          <w:szCs w:val="20"/>
        </w:rPr>
      </w:pPr>
      <w:r w:rsidRPr="00955041">
        <w:rPr>
          <w:rFonts w:ascii="Arial" w:hAnsi="Arial" w:cs="Arial"/>
          <w:b/>
          <w:color w:val="000000" w:themeColor="text1"/>
          <w:sz w:val="20"/>
          <w:szCs w:val="20"/>
        </w:rPr>
        <w:t>Determination of Serum Low Density Lipoprotein-Cholesterol Concentration</w:t>
      </w:r>
    </w:p>
    <w:p w14:paraId="23D34F33"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Serum low density lipoprotein-cholesterol concentration was calculated using the formula described by Friedwald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(1972). The equation is expressed as:</w:t>
      </w:r>
    </w:p>
    <w:p w14:paraId="7C9215CA"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LDL Cholesterol (mmol/l) = Total Cholesterol −VLDL-C − HDL-C</w:t>
      </w:r>
    </w:p>
    <w:p w14:paraId="0B5AE46A" w14:textId="77777777" w:rsidR="00B31226" w:rsidRPr="005570DE" w:rsidRDefault="00B31226" w:rsidP="00B31226">
      <w:pPr>
        <w:spacing w:line="276" w:lineRule="auto"/>
        <w:jc w:val="both"/>
        <w:rPr>
          <w:rFonts w:ascii="Arial" w:hAnsi="Arial" w:cs="Arial"/>
          <w:b/>
          <w:color w:val="000000" w:themeColor="text1"/>
        </w:rPr>
      </w:pPr>
      <w:r w:rsidRPr="005570DE">
        <w:rPr>
          <w:rFonts w:ascii="Arial" w:hAnsi="Arial" w:cs="Arial"/>
          <w:b/>
          <w:color w:val="000000" w:themeColor="text1"/>
        </w:rPr>
        <w:t>2.</w:t>
      </w:r>
      <w:r w:rsidR="00955041">
        <w:rPr>
          <w:rFonts w:ascii="Arial" w:hAnsi="Arial" w:cs="Arial"/>
          <w:b/>
          <w:color w:val="000000" w:themeColor="text1"/>
        </w:rPr>
        <w:t>2</w:t>
      </w:r>
      <w:r w:rsidRPr="005570DE">
        <w:rPr>
          <w:rFonts w:ascii="Arial" w:hAnsi="Arial" w:cs="Arial"/>
          <w:b/>
          <w:color w:val="000000" w:themeColor="text1"/>
        </w:rPr>
        <w:t xml:space="preserve">.4     Determination of Very </w:t>
      </w:r>
      <w:proofErr w:type="gramStart"/>
      <w:r w:rsidRPr="005570DE">
        <w:rPr>
          <w:rFonts w:ascii="Arial" w:hAnsi="Arial" w:cs="Arial"/>
          <w:b/>
          <w:color w:val="000000" w:themeColor="text1"/>
        </w:rPr>
        <w:t>Low Density</w:t>
      </w:r>
      <w:proofErr w:type="gramEnd"/>
      <w:r w:rsidRPr="005570DE">
        <w:rPr>
          <w:rFonts w:ascii="Arial" w:hAnsi="Arial" w:cs="Arial"/>
          <w:b/>
          <w:color w:val="000000" w:themeColor="text1"/>
        </w:rPr>
        <w:t xml:space="preserve"> Lipoprotein-cholesterol (VLDL-c)</w:t>
      </w:r>
    </w:p>
    <w:p w14:paraId="38F97E11"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VLDL-C= TAG/2.</w:t>
      </w:r>
    </w:p>
    <w:p w14:paraId="5666178F"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b/>
          <w:color w:val="000000" w:themeColor="text1"/>
          <w:sz w:val="20"/>
          <w:szCs w:val="20"/>
        </w:rPr>
        <w:t>Atherogenic index (AI)</w:t>
      </w:r>
    </w:p>
    <w:p w14:paraId="25A2AA6F"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Atherogenic index (AI) was calculated using the method described by (</w:t>
      </w:r>
      <w:proofErr w:type="spellStart"/>
      <w:r w:rsidRPr="00955041">
        <w:rPr>
          <w:rFonts w:ascii="Arial" w:hAnsi="Arial" w:cs="Arial"/>
          <w:color w:val="000000" w:themeColor="text1"/>
          <w:sz w:val="20"/>
          <w:szCs w:val="20"/>
        </w:rPr>
        <w:t>Abbort</w:t>
      </w:r>
      <w:proofErr w:type="spellEnd"/>
      <w:r w:rsidRPr="00955041">
        <w:rPr>
          <w:rFonts w:ascii="Arial" w:hAnsi="Arial" w:cs="Arial"/>
          <w:color w:val="000000" w:themeColor="text1"/>
          <w:sz w:val="20"/>
          <w:szCs w:val="20"/>
        </w:rPr>
        <w:t xml:space="preserve"> </w:t>
      </w:r>
      <w:r w:rsidRPr="00955041">
        <w:rPr>
          <w:rFonts w:ascii="Arial" w:hAnsi="Arial" w:cs="Arial"/>
          <w:i/>
          <w:color w:val="000000" w:themeColor="text1"/>
          <w:sz w:val="20"/>
          <w:szCs w:val="20"/>
        </w:rPr>
        <w:t>et al.,</w:t>
      </w:r>
      <w:r w:rsidRPr="00955041">
        <w:rPr>
          <w:rFonts w:ascii="Arial" w:hAnsi="Arial" w:cs="Arial"/>
          <w:color w:val="000000" w:themeColor="text1"/>
          <w:sz w:val="20"/>
          <w:szCs w:val="20"/>
        </w:rPr>
        <w:t xml:space="preserve"> 1988) as LDL-c (mmol/L) ÷ HDL-c (Mmol/L).</w:t>
      </w:r>
    </w:p>
    <w:p w14:paraId="6C7123DC" w14:textId="77777777" w:rsidR="00B31226" w:rsidRPr="00955041" w:rsidRDefault="00B31226" w:rsidP="00B31226">
      <w:pPr>
        <w:spacing w:line="276" w:lineRule="auto"/>
        <w:jc w:val="both"/>
        <w:rPr>
          <w:rFonts w:ascii="Arial" w:hAnsi="Arial" w:cs="Arial"/>
          <w:color w:val="000000" w:themeColor="text1"/>
          <w:sz w:val="20"/>
          <w:szCs w:val="20"/>
        </w:rPr>
      </w:pPr>
      <w:r w:rsidRPr="00955041">
        <w:rPr>
          <w:rFonts w:ascii="Arial" w:hAnsi="Arial" w:cs="Arial"/>
          <w:b/>
          <w:color w:val="000000" w:themeColor="text1"/>
          <w:sz w:val="20"/>
          <w:szCs w:val="20"/>
        </w:rPr>
        <w:t xml:space="preserve">Histological Analysis </w:t>
      </w:r>
    </w:p>
    <w:p w14:paraId="4B79B053" w14:textId="77777777" w:rsidR="00B31226" w:rsidRPr="00955041" w:rsidRDefault="00B31226" w:rsidP="00B31226">
      <w:pPr>
        <w:tabs>
          <w:tab w:val="left" w:pos="4470"/>
        </w:tabs>
        <w:autoSpaceDE w:val="0"/>
        <w:autoSpaceDN w:val="0"/>
        <w:adjustRightInd w:val="0"/>
        <w:spacing w:after="0" w:line="276" w:lineRule="auto"/>
        <w:jc w:val="both"/>
        <w:rPr>
          <w:rFonts w:ascii="Arial" w:hAnsi="Arial" w:cs="Arial"/>
          <w:color w:val="000000" w:themeColor="text1"/>
          <w:sz w:val="20"/>
          <w:szCs w:val="20"/>
        </w:rPr>
      </w:pPr>
      <w:r w:rsidRPr="00955041">
        <w:rPr>
          <w:rFonts w:ascii="Arial" w:hAnsi="Arial" w:cs="Arial"/>
          <w:color w:val="000000" w:themeColor="text1"/>
          <w:sz w:val="20"/>
          <w:szCs w:val="20"/>
        </w:rPr>
        <w:t xml:space="preserve">A specimen (representing each experimental group) of each of the tissue studied were fixed in 10% formalin. The specimens were dehydrated in ascending grades of ethanol, cleared in xylene, and processed to paraffin blocks, sectioned (5µm thick) and stained with </w:t>
      </w:r>
      <w:proofErr w:type="spellStart"/>
      <w:r w:rsidRPr="00955041">
        <w:rPr>
          <w:rFonts w:ascii="Arial" w:hAnsi="Arial" w:cs="Arial"/>
          <w:color w:val="000000" w:themeColor="text1"/>
          <w:sz w:val="20"/>
          <w:szCs w:val="20"/>
        </w:rPr>
        <w:t>Hematoxyline</w:t>
      </w:r>
      <w:proofErr w:type="spellEnd"/>
      <w:r w:rsidRPr="00955041">
        <w:rPr>
          <w:rFonts w:ascii="Arial" w:hAnsi="Arial" w:cs="Arial"/>
          <w:color w:val="000000" w:themeColor="text1"/>
          <w:sz w:val="20"/>
          <w:szCs w:val="20"/>
        </w:rPr>
        <w:t xml:space="preserve"> and </w:t>
      </w:r>
      <w:proofErr w:type="spellStart"/>
      <w:r w:rsidRPr="00955041">
        <w:rPr>
          <w:rFonts w:ascii="Arial" w:hAnsi="Arial" w:cs="Arial"/>
          <w:color w:val="000000" w:themeColor="text1"/>
          <w:sz w:val="20"/>
          <w:szCs w:val="20"/>
        </w:rPr>
        <w:t>Eosine</w:t>
      </w:r>
      <w:proofErr w:type="spellEnd"/>
      <w:r w:rsidRPr="00955041">
        <w:rPr>
          <w:rFonts w:ascii="Arial" w:hAnsi="Arial" w:cs="Arial"/>
          <w:color w:val="000000" w:themeColor="text1"/>
          <w:sz w:val="20"/>
          <w:szCs w:val="20"/>
        </w:rPr>
        <w:t xml:space="preserve"> stain. They were examine using light microscopy for demonstration of pathological changes (Drury and Wallington, 1973).</w:t>
      </w:r>
    </w:p>
    <w:p w14:paraId="166E2E4E" w14:textId="77777777" w:rsidR="00B31226" w:rsidRPr="005570DE" w:rsidRDefault="00B31226" w:rsidP="00B31226">
      <w:pPr>
        <w:spacing w:line="276" w:lineRule="auto"/>
        <w:jc w:val="both"/>
        <w:rPr>
          <w:rFonts w:ascii="Arial" w:hAnsi="Arial" w:cs="Arial"/>
          <w:b/>
          <w:color w:val="000000" w:themeColor="text1"/>
        </w:rPr>
      </w:pPr>
    </w:p>
    <w:p w14:paraId="1BF32B1F" w14:textId="77777777" w:rsidR="00B31226" w:rsidRPr="005570DE" w:rsidRDefault="00B31226" w:rsidP="00B31226">
      <w:pPr>
        <w:tabs>
          <w:tab w:val="left" w:pos="2130"/>
        </w:tabs>
        <w:spacing w:line="276" w:lineRule="auto"/>
        <w:jc w:val="both"/>
        <w:rPr>
          <w:rFonts w:ascii="Arial" w:hAnsi="Arial" w:cs="Arial"/>
          <w:color w:val="000000" w:themeColor="text1"/>
        </w:rPr>
      </w:pPr>
      <w:r w:rsidRPr="005570DE">
        <w:rPr>
          <w:rFonts w:ascii="Arial" w:eastAsia="Calibri" w:hAnsi="Arial" w:cs="Arial"/>
          <w:b/>
          <w:color w:val="000000" w:themeColor="text1"/>
        </w:rPr>
        <w:t xml:space="preserve">3    </w:t>
      </w:r>
      <w:r w:rsidR="00955041" w:rsidRPr="005570DE">
        <w:rPr>
          <w:rFonts w:ascii="Arial" w:eastAsia="Calibri" w:hAnsi="Arial" w:cs="Arial"/>
          <w:b/>
          <w:color w:val="000000" w:themeColor="text1"/>
        </w:rPr>
        <w:t>RESULTS</w:t>
      </w:r>
    </w:p>
    <w:p w14:paraId="5ACA145C" w14:textId="77777777" w:rsidR="00B31226" w:rsidRPr="00955041" w:rsidRDefault="00B31226" w:rsidP="00955041">
      <w:pPr>
        <w:tabs>
          <w:tab w:val="left" w:pos="2130"/>
        </w:tabs>
        <w:spacing w:line="276" w:lineRule="auto"/>
        <w:jc w:val="both"/>
        <w:rPr>
          <w:rFonts w:ascii="Arial" w:eastAsiaTheme="minorEastAsia" w:hAnsi="Arial" w:cs="Arial"/>
          <w:color w:val="000000" w:themeColor="text1"/>
          <w:sz w:val="20"/>
          <w:szCs w:val="20"/>
        </w:rPr>
      </w:pPr>
      <w:r w:rsidRPr="00955041">
        <w:rPr>
          <w:rFonts w:ascii="Arial" w:hAnsi="Arial" w:cs="Arial"/>
          <w:color w:val="000000" w:themeColor="text1"/>
          <w:sz w:val="20"/>
          <w:szCs w:val="20"/>
        </w:rPr>
        <w:t xml:space="preserve">All data were expressed as the mean of four replicates ± standard error of mean (S.E.M). Statistical evaluation was performed with Graph pad software and SPSS version 25 using one way analysis of variance (ANOVA), followed by </w:t>
      </w:r>
      <w:proofErr w:type="spellStart"/>
      <w:r w:rsidRPr="00955041">
        <w:rPr>
          <w:rFonts w:ascii="Arial" w:hAnsi="Arial" w:cs="Arial"/>
          <w:color w:val="000000" w:themeColor="text1"/>
          <w:sz w:val="20"/>
          <w:szCs w:val="20"/>
        </w:rPr>
        <w:t>Duncans</w:t>
      </w:r>
      <w:proofErr w:type="spellEnd"/>
      <w:r w:rsidRPr="00955041">
        <w:rPr>
          <w:rFonts w:ascii="Arial" w:hAnsi="Arial" w:cs="Arial"/>
          <w:color w:val="000000" w:themeColor="text1"/>
          <w:sz w:val="20"/>
          <w:szCs w:val="20"/>
        </w:rPr>
        <w:t xml:space="preserve">’ </w:t>
      </w:r>
      <w:proofErr w:type="spellStart"/>
      <w:r w:rsidRPr="00955041">
        <w:rPr>
          <w:rFonts w:ascii="Arial" w:hAnsi="Arial" w:cs="Arial"/>
          <w:color w:val="000000" w:themeColor="text1"/>
          <w:sz w:val="20"/>
          <w:szCs w:val="20"/>
        </w:rPr>
        <w:t>posthoc</w:t>
      </w:r>
      <w:proofErr w:type="spellEnd"/>
      <w:r w:rsidRPr="00955041">
        <w:rPr>
          <w:rFonts w:ascii="Arial" w:hAnsi="Arial" w:cs="Arial"/>
          <w:color w:val="000000" w:themeColor="text1"/>
          <w:sz w:val="20"/>
          <w:szCs w:val="20"/>
        </w:rPr>
        <w:t xml:space="preserve"> test for multiple comparison. Values were considered statistically significant at P&lt;0.05 (confidence level</w:t>
      </w:r>
      <m:oMath>
        <m:r>
          <w:rPr>
            <w:rFonts w:ascii="Cambria Math" w:hAnsi="Cambria Math" w:cs="Arial"/>
            <w:color w:val="000000" w:themeColor="text1"/>
            <w:sz w:val="20"/>
            <w:szCs w:val="20"/>
          </w:rPr>
          <m:t>=</m:t>
        </m:r>
      </m:oMath>
      <w:r w:rsidRPr="00955041">
        <w:rPr>
          <w:rFonts w:ascii="Arial" w:eastAsiaTheme="minorEastAsia" w:hAnsi="Arial" w:cs="Arial"/>
          <w:color w:val="000000" w:themeColor="text1"/>
          <w:sz w:val="20"/>
          <w:szCs w:val="20"/>
        </w:rPr>
        <w:t>95).</w:t>
      </w:r>
    </w:p>
    <w:p w14:paraId="157BEDEF" w14:textId="77777777" w:rsidR="00B31226" w:rsidRPr="00955041" w:rsidRDefault="00B31226" w:rsidP="00B31226">
      <w:pPr>
        <w:pStyle w:val="NormalWeb"/>
        <w:rPr>
          <w:rFonts w:ascii="Arial" w:hAnsi="Arial" w:cs="Arial"/>
          <w:sz w:val="20"/>
          <w:szCs w:val="20"/>
        </w:rPr>
      </w:pPr>
      <w:r w:rsidRPr="00955041">
        <w:rPr>
          <w:rFonts w:ascii="Arial" w:hAnsi="Arial" w:cs="Arial"/>
          <w:sz w:val="20"/>
          <w:szCs w:val="20"/>
        </w:rPr>
        <w:t xml:space="preserve">Table 1 presents the effect of methanolic stem bark extract of </w:t>
      </w:r>
      <w:r w:rsidRPr="00955041">
        <w:rPr>
          <w:rStyle w:val="Emphasis"/>
          <w:rFonts w:ascii="Arial" w:hAnsi="Arial" w:cs="Arial"/>
          <w:sz w:val="20"/>
          <w:szCs w:val="20"/>
        </w:rPr>
        <w:t xml:space="preserve">Vitex </w:t>
      </w:r>
      <w:proofErr w:type="spellStart"/>
      <w:r w:rsidRPr="00955041">
        <w:rPr>
          <w:rStyle w:val="Emphasis"/>
          <w:rFonts w:ascii="Arial" w:hAnsi="Arial" w:cs="Arial"/>
          <w:sz w:val="20"/>
          <w:szCs w:val="20"/>
        </w:rPr>
        <w:t>doniana</w:t>
      </w:r>
      <w:proofErr w:type="spellEnd"/>
      <w:r w:rsidRPr="00955041">
        <w:rPr>
          <w:rFonts w:ascii="Arial" w:hAnsi="Arial" w:cs="Arial"/>
          <w:sz w:val="20"/>
          <w:szCs w:val="20"/>
        </w:rPr>
        <w:t xml:space="preserve"> (MSEVD) on serum lipid markers total cholesterol (TC), triglycerides (TG), and high-density lipoprotein cholesterol (HDL-c) in gentamicin-exposed rats.</w:t>
      </w:r>
    </w:p>
    <w:p w14:paraId="4E639B80" w14:textId="77777777" w:rsidR="00B31226" w:rsidRPr="00955041" w:rsidRDefault="00B31226" w:rsidP="00B31226">
      <w:pPr>
        <w:pStyle w:val="NormalWeb"/>
        <w:jc w:val="both"/>
        <w:rPr>
          <w:rFonts w:ascii="Arial" w:hAnsi="Arial" w:cs="Arial"/>
          <w:sz w:val="20"/>
          <w:szCs w:val="20"/>
        </w:rPr>
      </w:pPr>
      <w:r w:rsidRPr="00955041">
        <w:rPr>
          <w:rStyle w:val="Strong"/>
          <w:rFonts w:ascii="Arial" w:hAnsi="Arial" w:cs="Arial"/>
          <w:sz w:val="20"/>
          <w:szCs w:val="20"/>
        </w:rPr>
        <w:t>Effect of Gentamicin (GEN) Administration</w:t>
      </w:r>
    </w:p>
    <w:p w14:paraId="5E5167BF" w14:textId="77777777" w:rsidR="00B31226" w:rsidRPr="00955041" w:rsidRDefault="00B31226" w:rsidP="00B31226">
      <w:pPr>
        <w:pStyle w:val="NormalWeb"/>
        <w:jc w:val="both"/>
        <w:rPr>
          <w:rFonts w:ascii="Arial" w:hAnsi="Arial" w:cs="Arial"/>
          <w:sz w:val="20"/>
          <w:szCs w:val="20"/>
        </w:rPr>
      </w:pPr>
      <w:r w:rsidRPr="00955041">
        <w:rPr>
          <w:rFonts w:ascii="Arial" w:hAnsi="Arial" w:cs="Arial"/>
          <w:sz w:val="20"/>
          <w:szCs w:val="20"/>
        </w:rPr>
        <w:t xml:space="preserve">Rats treated with gentamicin alone (100 mg/kg) showed a marked and statistically significant increase in TC and TG levels compared with the normal control group (p &lt; 0.05). Specifically, TC increased from 46.69 ± 0.98 mmol/L in the control to 64.61 ± 1.15 mmol/L, while TG rose from 12.59 ± 0.52 mmol/L to 17.84 ± 0.64 mmol/L. Conversely, HDL-c was significantly reduced (25.20 ± 2.59 mmol/L) relative to the control (31.81 ± 0.68 mmol/L). These changes indicate that gentamicin induces </w:t>
      </w:r>
      <w:proofErr w:type="spellStart"/>
      <w:r w:rsidRPr="00955041">
        <w:rPr>
          <w:rFonts w:ascii="Arial" w:hAnsi="Arial" w:cs="Arial"/>
          <w:sz w:val="20"/>
          <w:szCs w:val="20"/>
        </w:rPr>
        <w:t>dyslipidaemia</w:t>
      </w:r>
      <w:proofErr w:type="spellEnd"/>
      <w:r w:rsidRPr="00955041">
        <w:rPr>
          <w:rFonts w:ascii="Arial" w:hAnsi="Arial" w:cs="Arial"/>
          <w:sz w:val="20"/>
          <w:szCs w:val="20"/>
        </w:rPr>
        <w:t xml:space="preserve">, characterized by </w:t>
      </w:r>
      <w:proofErr w:type="spellStart"/>
      <w:r w:rsidRPr="00955041">
        <w:rPr>
          <w:rFonts w:ascii="Arial" w:hAnsi="Arial" w:cs="Arial"/>
          <w:sz w:val="20"/>
          <w:szCs w:val="20"/>
        </w:rPr>
        <w:t>hypercholesterolaemia</w:t>
      </w:r>
      <w:proofErr w:type="spellEnd"/>
      <w:r w:rsidRPr="00955041">
        <w:rPr>
          <w:rFonts w:ascii="Arial" w:hAnsi="Arial" w:cs="Arial"/>
          <w:sz w:val="20"/>
          <w:szCs w:val="20"/>
        </w:rPr>
        <w:t xml:space="preserve">, </w:t>
      </w:r>
      <w:proofErr w:type="spellStart"/>
      <w:r w:rsidRPr="00955041">
        <w:rPr>
          <w:rFonts w:ascii="Arial" w:hAnsi="Arial" w:cs="Arial"/>
          <w:sz w:val="20"/>
          <w:szCs w:val="20"/>
        </w:rPr>
        <w:t>hypertriglyceridaemia</w:t>
      </w:r>
      <w:proofErr w:type="spellEnd"/>
      <w:r w:rsidRPr="00955041">
        <w:rPr>
          <w:rFonts w:ascii="Arial" w:hAnsi="Arial" w:cs="Arial"/>
          <w:sz w:val="20"/>
          <w:szCs w:val="20"/>
        </w:rPr>
        <w:t>, and reduced cardioprotective HDL-c levels, likely due to oxidative stress and metabolic disruption associated with gentamicin toxicity.</w:t>
      </w:r>
    </w:p>
    <w:p w14:paraId="7405F9F4" w14:textId="77777777" w:rsidR="00B31226" w:rsidRPr="00955041" w:rsidRDefault="00B31226" w:rsidP="00B31226">
      <w:pPr>
        <w:pStyle w:val="NormalWeb"/>
        <w:jc w:val="both"/>
        <w:rPr>
          <w:rFonts w:ascii="Arial" w:hAnsi="Arial" w:cs="Arial"/>
          <w:sz w:val="20"/>
          <w:szCs w:val="20"/>
        </w:rPr>
      </w:pPr>
      <w:r w:rsidRPr="00955041">
        <w:rPr>
          <w:rStyle w:val="Strong"/>
          <w:rFonts w:ascii="Arial" w:hAnsi="Arial" w:cs="Arial"/>
          <w:sz w:val="20"/>
          <w:szCs w:val="20"/>
        </w:rPr>
        <w:t xml:space="preserve">Effect of </w:t>
      </w:r>
      <w:r w:rsidRPr="00955041">
        <w:rPr>
          <w:rStyle w:val="Emphasis"/>
          <w:rFonts w:ascii="Arial" w:hAnsi="Arial" w:cs="Arial"/>
          <w:b/>
          <w:bCs/>
          <w:sz w:val="20"/>
          <w:szCs w:val="20"/>
        </w:rPr>
        <w:t xml:space="preserve">Vitex </w:t>
      </w:r>
      <w:proofErr w:type="spellStart"/>
      <w:r w:rsidRPr="00955041">
        <w:rPr>
          <w:rStyle w:val="Emphasis"/>
          <w:rFonts w:ascii="Arial" w:hAnsi="Arial" w:cs="Arial"/>
          <w:b/>
          <w:bCs/>
          <w:sz w:val="20"/>
          <w:szCs w:val="20"/>
        </w:rPr>
        <w:t>doniana</w:t>
      </w:r>
      <w:proofErr w:type="spellEnd"/>
      <w:r w:rsidRPr="00955041">
        <w:rPr>
          <w:rStyle w:val="Strong"/>
          <w:rFonts w:ascii="Arial" w:hAnsi="Arial" w:cs="Arial"/>
          <w:sz w:val="20"/>
          <w:szCs w:val="20"/>
        </w:rPr>
        <w:t xml:space="preserve"> Extract on Gentamicin-Induced </w:t>
      </w:r>
      <w:proofErr w:type="spellStart"/>
      <w:r w:rsidRPr="00955041">
        <w:rPr>
          <w:rStyle w:val="Strong"/>
          <w:rFonts w:ascii="Arial" w:hAnsi="Arial" w:cs="Arial"/>
          <w:sz w:val="20"/>
          <w:szCs w:val="20"/>
        </w:rPr>
        <w:t>Dyslipidaemia</w:t>
      </w:r>
      <w:proofErr w:type="spellEnd"/>
    </w:p>
    <w:p w14:paraId="2452F13D" w14:textId="77777777" w:rsidR="00B31226" w:rsidRPr="00955041" w:rsidRDefault="00B31226" w:rsidP="00B31226">
      <w:pPr>
        <w:pStyle w:val="NormalWeb"/>
        <w:jc w:val="both"/>
        <w:rPr>
          <w:rFonts w:ascii="Arial" w:hAnsi="Arial" w:cs="Arial"/>
          <w:b/>
          <w:bCs/>
          <w:sz w:val="20"/>
          <w:szCs w:val="20"/>
        </w:rPr>
      </w:pPr>
      <w:r w:rsidRPr="00955041">
        <w:rPr>
          <w:rFonts w:ascii="Arial" w:hAnsi="Arial" w:cs="Arial"/>
          <w:sz w:val="20"/>
          <w:szCs w:val="20"/>
        </w:rPr>
        <w:lastRenderedPageBreak/>
        <w:t>Co-administration of MSEVD at all tested doses (100, 200, and 400 mg/kg) significantly ameliorated gentamicin-induced lipid abnormalities. TC and TG values in all extract-treated groups were comparable to those of the normal control and significantly lower than the gentamicin-only group (p &lt; 0.05). This suggests that MSEVD effectively prevented the elevation of atherogenic lipids caused by gentamicin.</w:t>
      </w:r>
    </w:p>
    <w:p w14:paraId="1CFD84B5" w14:textId="77777777" w:rsidR="00B31226" w:rsidRPr="00955041" w:rsidRDefault="00B31226" w:rsidP="00B31226">
      <w:pPr>
        <w:pStyle w:val="NormalWeb"/>
        <w:jc w:val="both"/>
        <w:rPr>
          <w:rFonts w:ascii="Arial" w:hAnsi="Arial" w:cs="Arial"/>
          <w:sz w:val="20"/>
          <w:szCs w:val="20"/>
        </w:rPr>
      </w:pPr>
      <w:r w:rsidRPr="00955041">
        <w:rPr>
          <w:rFonts w:ascii="Arial" w:hAnsi="Arial" w:cs="Arial"/>
          <w:sz w:val="20"/>
          <w:szCs w:val="20"/>
        </w:rPr>
        <w:t>Regarding HDL-c, treatment with MSEVD resulted in a dose-related improvement. The 100 mg/kg and 400 mg/kg extract doses restored HDL-c levels to values comparable with or slightly higher than the normal control, indicating a strong protective effect on lipid metabolism. The 200 mg/kg dose showed an intermediate response, not significantly different from either the control or the gentamicin group, suggesting partial restoration.</w:t>
      </w:r>
    </w:p>
    <w:p w14:paraId="44D8DB89" w14:textId="77777777" w:rsidR="00B31226" w:rsidRPr="00955041" w:rsidRDefault="00B31226" w:rsidP="00B31226">
      <w:pPr>
        <w:pStyle w:val="NormalWeb"/>
        <w:jc w:val="both"/>
        <w:rPr>
          <w:rStyle w:val="Strong"/>
          <w:rFonts w:ascii="Arial" w:hAnsi="Arial" w:cs="Arial"/>
          <w:sz w:val="20"/>
          <w:szCs w:val="20"/>
        </w:rPr>
      </w:pPr>
      <w:r w:rsidRPr="00955041">
        <w:rPr>
          <w:rStyle w:val="Strong"/>
          <w:rFonts w:ascii="Arial" w:hAnsi="Arial" w:cs="Arial"/>
          <w:sz w:val="20"/>
          <w:szCs w:val="20"/>
        </w:rPr>
        <w:t>Comparison with Reference Drug (RFD)</w:t>
      </w:r>
    </w:p>
    <w:p w14:paraId="4E6AF10F" w14:textId="77777777" w:rsidR="007B608D" w:rsidRPr="00955041" w:rsidRDefault="00B31226" w:rsidP="00B31226">
      <w:pPr>
        <w:pStyle w:val="NormalWeb"/>
        <w:jc w:val="both"/>
        <w:rPr>
          <w:rFonts w:ascii="Arial" w:hAnsi="Arial" w:cs="Arial"/>
          <w:sz w:val="20"/>
          <w:szCs w:val="20"/>
        </w:rPr>
      </w:pPr>
      <w:r w:rsidRPr="00955041">
        <w:rPr>
          <w:rFonts w:ascii="Arial" w:hAnsi="Arial" w:cs="Arial"/>
          <w:sz w:val="20"/>
          <w:szCs w:val="20"/>
        </w:rPr>
        <w:t>The reference drug group (GEN + RFD) also significantly reduced TC and TG levels compared with the gentamicin-only group, with values similar to the control group. HDL-c levels in this group showed partial recovery, comparable to the intermediate response observed with the 200 mg/kg MSEVD dose. Notably, the higher dose of MSEVD (400 mg/kg) produced HDL-c levels that were equal to or higher than those observed with the reference drug, suggesting comparable or superior lipid-modulating efficacy.</w:t>
      </w:r>
    </w:p>
    <w:p w14:paraId="77AEA191" w14:textId="77777777" w:rsidR="00B31226" w:rsidRPr="005570DE" w:rsidRDefault="00B31226" w:rsidP="00B31226">
      <w:pPr>
        <w:autoSpaceDE w:val="0"/>
        <w:autoSpaceDN w:val="0"/>
        <w:adjustRightInd w:val="0"/>
        <w:spacing w:after="0" w:line="276" w:lineRule="auto"/>
        <w:jc w:val="both"/>
        <w:rPr>
          <w:rFonts w:ascii="Arial" w:hAnsi="Arial" w:cs="Arial"/>
          <w:b/>
          <w:color w:val="000000" w:themeColor="text1"/>
          <w:shd w:val="clear" w:color="auto" w:fill="FFFFFF"/>
        </w:rPr>
      </w:pPr>
      <w:r w:rsidRPr="005570DE">
        <w:rPr>
          <w:rFonts w:ascii="Arial" w:hAnsi="Arial" w:cs="Arial"/>
          <w:b/>
          <w:color w:val="000000" w:themeColor="text1"/>
          <w:shd w:val="clear" w:color="auto" w:fill="FFFFFF"/>
        </w:rPr>
        <w:t xml:space="preserve">Table 1: Effect of methanol stem bark extract </w:t>
      </w:r>
      <w:proofErr w:type="spellStart"/>
      <w:r w:rsidRPr="005570DE">
        <w:rPr>
          <w:rFonts w:ascii="Arial" w:hAnsi="Arial" w:cs="Arial"/>
          <w:b/>
          <w:color w:val="000000" w:themeColor="text1"/>
          <w:shd w:val="clear" w:color="auto" w:fill="FFFFFF"/>
        </w:rPr>
        <w:t>of</w:t>
      </w:r>
      <w:r w:rsidRPr="005570DE">
        <w:rPr>
          <w:rFonts w:ascii="Arial" w:hAnsi="Arial" w:cs="Arial"/>
          <w:b/>
          <w:i/>
          <w:color w:val="000000" w:themeColor="text1"/>
          <w:shd w:val="clear" w:color="auto" w:fill="FFFFFF"/>
        </w:rPr>
        <w:t>Vitex</w:t>
      </w:r>
      <w:proofErr w:type="spellEnd"/>
      <w:r w:rsidRPr="005570DE">
        <w:rPr>
          <w:rFonts w:ascii="Arial" w:hAnsi="Arial" w:cs="Arial"/>
          <w:b/>
          <w:i/>
          <w:color w:val="000000" w:themeColor="text1"/>
          <w:shd w:val="clear" w:color="auto" w:fill="FFFFFF"/>
        </w:rPr>
        <w:t xml:space="preserve"> </w:t>
      </w:r>
      <w:proofErr w:type="spellStart"/>
      <w:r w:rsidRPr="005570DE">
        <w:rPr>
          <w:rFonts w:ascii="Arial" w:hAnsi="Arial" w:cs="Arial"/>
          <w:b/>
          <w:i/>
          <w:color w:val="000000" w:themeColor="text1"/>
          <w:shd w:val="clear" w:color="auto" w:fill="FFFFFF"/>
        </w:rPr>
        <w:t>doniana</w:t>
      </w:r>
      <w:proofErr w:type="spellEnd"/>
      <w:r w:rsidRPr="005570DE">
        <w:rPr>
          <w:rFonts w:ascii="Arial" w:hAnsi="Arial" w:cs="Arial"/>
          <w:b/>
          <w:color w:val="000000" w:themeColor="text1"/>
          <w:shd w:val="clear" w:color="auto" w:fill="FFFFFF"/>
        </w:rPr>
        <w:t xml:space="preserve"> of gentamicin exposed rats on serum lipids makers (TC, T</w:t>
      </w:r>
      <w:r w:rsidRPr="005570DE">
        <w:rPr>
          <w:rFonts w:ascii="Arial" w:hAnsi="Arial" w:cs="Arial"/>
          <w:b/>
        </w:rPr>
        <w:t>G and HDL-c</w:t>
      </w:r>
      <w:r w:rsidRPr="005570DE">
        <w:rPr>
          <w:rFonts w:ascii="Arial" w:hAnsi="Arial" w:cs="Arial"/>
          <w:b/>
          <w:color w:val="000000" w:themeColor="text1"/>
          <w:shd w:val="clear" w:color="auto" w:fill="FFFFFF"/>
        </w:rPr>
        <w:t>)</w:t>
      </w:r>
    </w:p>
    <w:p w14:paraId="01791EB5" w14:textId="77777777" w:rsidR="00B31226" w:rsidRPr="005570DE" w:rsidRDefault="00B31226" w:rsidP="00B31226">
      <w:pPr>
        <w:autoSpaceDE w:val="0"/>
        <w:autoSpaceDN w:val="0"/>
        <w:adjustRightInd w:val="0"/>
        <w:spacing w:after="0" w:line="276" w:lineRule="auto"/>
        <w:rPr>
          <w:rFonts w:ascii="Arial" w:hAnsi="Arial" w:cs="Arial"/>
          <w:b/>
          <w:color w:val="000000" w:themeColor="text1"/>
          <w:shd w:val="clear" w:color="auto" w:fill="FFFFFF"/>
        </w:rPr>
      </w:pPr>
    </w:p>
    <w:tbl>
      <w:tblPr>
        <w:tblStyle w:val="ListTable6Colorful1"/>
        <w:tblW w:w="0" w:type="auto"/>
        <w:tblLook w:val="04A0" w:firstRow="1" w:lastRow="0" w:firstColumn="1" w:lastColumn="0" w:noHBand="0" w:noVBand="1"/>
      </w:tblPr>
      <w:tblGrid>
        <w:gridCol w:w="2529"/>
        <w:gridCol w:w="2046"/>
        <w:gridCol w:w="1829"/>
        <w:gridCol w:w="2030"/>
      </w:tblGrid>
      <w:tr w:rsidR="00B31226" w:rsidRPr="00955041" w14:paraId="7B2EE142" w14:textId="77777777" w:rsidTr="00944E2F">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29" w:type="dxa"/>
          </w:tcPr>
          <w:p w14:paraId="1E9BAFF1"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Groups</w:t>
            </w:r>
          </w:p>
        </w:tc>
        <w:tc>
          <w:tcPr>
            <w:tcW w:w="2046" w:type="dxa"/>
          </w:tcPr>
          <w:p w14:paraId="55B96E24"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55041">
              <w:rPr>
                <w:rFonts w:ascii="Arial" w:hAnsi="Arial" w:cs="Arial"/>
                <w:sz w:val="20"/>
                <w:szCs w:val="20"/>
              </w:rPr>
              <w:t>TC(</w:t>
            </w:r>
            <w:proofErr w:type="gramEnd"/>
            <w:r w:rsidRPr="00955041">
              <w:rPr>
                <w:rFonts w:ascii="Arial" w:hAnsi="Arial" w:cs="Arial"/>
                <w:sz w:val="20"/>
                <w:szCs w:val="20"/>
              </w:rPr>
              <w:t>mmol/L)</w:t>
            </w:r>
          </w:p>
        </w:tc>
        <w:tc>
          <w:tcPr>
            <w:tcW w:w="1829" w:type="dxa"/>
          </w:tcPr>
          <w:p w14:paraId="45C34C42"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55041">
              <w:rPr>
                <w:rFonts w:ascii="Arial" w:hAnsi="Arial" w:cs="Arial"/>
                <w:sz w:val="20"/>
                <w:szCs w:val="20"/>
              </w:rPr>
              <w:t>TG(</w:t>
            </w:r>
            <w:proofErr w:type="gramEnd"/>
            <w:r w:rsidRPr="00955041">
              <w:rPr>
                <w:rFonts w:ascii="Arial" w:hAnsi="Arial" w:cs="Arial"/>
                <w:sz w:val="20"/>
                <w:szCs w:val="20"/>
              </w:rPr>
              <w:t>mmol/L)</w:t>
            </w:r>
          </w:p>
        </w:tc>
        <w:tc>
          <w:tcPr>
            <w:tcW w:w="2030" w:type="dxa"/>
          </w:tcPr>
          <w:p w14:paraId="705154CB"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HDL-c(mmol/L)</w:t>
            </w:r>
          </w:p>
        </w:tc>
      </w:tr>
      <w:tr w:rsidR="00B31226" w:rsidRPr="00955041" w14:paraId="0F16E15E" w14:textId="77777777" w:rsidTr="00944E2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529" w:type="dxa"/>
            <w:shd w:val="clear" w:color="auto" w:fill="auto"/>
          </w:tcPr>
          <w:p w14:paraId="5084A85F"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Control(</w:t>
            </w:r>
            <w:proofErr w:type="gramEnd"/>
            <w:r w:rsidRPr="00955041">
              <w:rPr>
                <w:rFonts w:ascii="Arial" w:hAnsi="Arial" w:cs="Arial"/>
                <w:sz w:val="20"/>
                <w:szCs w:val="20"/>
              </w:rPr>
              <w:t>Normal saline)</w:t>
            </w:r>
          </w:p>
        </w:tc>
        <w:tc>
          <w:tcPr>
            <w:tcW w:w="2046" w:type="dxa"/>
            <w:shd w:val="clear" w:color="auto" w:fill="auto"/>
          </w:tcPr>
          <w:p w14:paraId="0C3C270C"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46.69</w:t>
            </w:r>
            <w:r w:rsidRPr="00955041">
              <w:rPr>
                <w:rFonts w:ascii="Arial" w:eastAsia="Times New Roman" w:hAnsi="Arial" w:cs="Arial"/>
                <w:sz w:val="20"/>
                <w:szCs w:val="20"/>
              </w:rPr>
              <w:t>±0.98</w:t>
            </w:r>
            <w:r w:rsidRPr="00955041">
              <w:rPr>
                <w:rFonts w:ascii="Arial" w:eastAsia="Times New Roman" w:hAnsi="Arial" w:cs="Arial"/>
                <w:sz w:val="20"/>
                <w:szCs w:val="20"/>
                <w:vertAlign w:val="superscript"/>
              </w:rPr>
              <w:t>a</w:t>
            </w:r>
          </w:p>
        </w:tc>
        <w:tc>
          <w:tcPr>
            <w:tcW w:w="1829" w:type="dxa"/>
            <w:shd w:val="clear" w:color="auto" w:fill="auto"/>
          </w:tcPr>
          <w:p w14:paraId="7AB2A55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eastAsia="Times New Roman" w:hAnsi="Arial" w:cs="Arial"/>
                <w:sz w:val="20"/>
                <w:szCs w:val="20"/>
              </w:rPr>
              <w:t>12.59±0.52</w:t>
            </w:r>
            <w:r w:rsidRPr="00955041">
              <w:rPr>
                <w:rFonts w:ascii="Arial" w:eastAsia="Times New Roman" w:hAnsi="Arial" w:cs="Arial"/>
                <w:sz w:val="20"/>
                <w:szCs w:val="20"/>
                <w:vertAlign w:val="superscript"/>
              </w:rPr>
              <w:t>a</w:t>
            </w:r>
          </w:p>
        </w:tc>
        <w:tc>
          <w:tcPr>
            <w:tcW w:w="2030" w:type="dxa"/>
            <w:shd w:val="clear" w:color="auto" w:fill="auto"/>
          </w:tcPr>
          <w:tbl>
            <w:tblPr>
              <w:tblW w:w="1552" w:type="dxa"/>
              <w:tblCellMar>
                <w:left w:w="0" w:type="dxa"/>
                <w:right w:w="0" w:type="dxa"/>
              </w:tblCellMar>
              <w:tblLook w:val="04A0" w:firstRow="1" w:lastRow="0" w:firstColumn="1" w:lastColumn="0" w:noHBand="0" w:noVBand="1"/>
            </w:tblPr>
            <w:tblGrid>
              <w:gridCol w:w="1552"/>
            </w:tblGrid>
            <w:tr w:rsidR="00B31226" w:rsidRPr="00955041" w14:paraId="45D27AF4" w14:textId="77777777" w:rsidTr="00944E2F">
              <w:trPr>
                <w:trHeight w:val="122"/>
              </w:trPr>
              <w:tc>
                <w:tcPr>
                  <w:tcW w:w="0" w:type="auto"/>
                  <w:tcBorders>
                    <w:top w:val="nil"/>
                    <w:left w:val="nil"/>
                    <w:bottom w:val="nil"/>
                    <w:right w:val="nil"/>
                  </w:tcBorders>
                  <w:noWrap/>
                  <w:tcMar>
                    <w:top w:w="15" w:type="dxa"/>
                    <w:left w:w="15" w:type="dxa"/>
                    <w:bottom w:w="0" w:type="dxa"/>
                    <w:right w:w="15" w:type="dxa"/>
                  </w:tcMar>
                  <w:vAlign w:val="bottom"/>
                  <w:hideMark/>
                </w:tcPr>
                <w:p w14:paraId="327ECEDB" w14:textId="77777777" w:rsidR="00B31226" w:rsidRPr="00955041" w:rsidRDefault="00B31226" w:rsidP="00944E2F">
                  <w:pPr>
                    <w:spacing w:after="0" w:line="276" w:lineRule="auto"/>
                    <w:jc w:val="both"/>
                    <w:rPr>
                      <w:rFonts w:ascii="Arial" w:eastAsia="Times New Roman" w:hAnsi="Arial" w:cs="Arial"/>
                      <w:sz w:val="20"/>
                      <w:szCs w:val="20"/>
                      <w:vertAlign w:val="superscript"/>
                    </w:rPr>
                  </w:pPr>
                  <w:r w:rsidRPr="00955041">
                    <w:rPr>
                      <w:rFonts w:ascii="Arial" w:eastAsia="Times New Roman" w:hAnsi="Arial" w:cs="Arial"/>
                      <w:sz w:val="20"/>
                      <w:szCs w:val="20"/>
                    </w:rPr>
                    <w:t>31.81±0.68</w:t>
                  </w:r>
                  <w:r w:rsidRPr="00955041">
                    <w:rPr>
                      <w:rFonts w:ascii="Arial" w:eastAsia="Times New Roman" w:hAnsi="Arial" w:cs="Arial"/>
                      <w:sz w:val="20"/>
                      <w:szCs w:val="20"/>
                      <w:vertAlign w:val="superscript"/>
                    </w:rPr>
                    <w:t>a</w:t>
                  </w:r>
                </w:p>
              </w:tc>
            </w:tr>
          </w:tbl>
          <w:p w14:paraId="36C3C2D9"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4A259747" w14:textId="77777777" w:rsidTr="00944E2F">
        <w:trPr>
          <w:trHeight w:val="541"/>
        </w:trPr>
        <w:tc>
          <w:tcPr>
            <w:cnfStyle w:val="001000000000" w:firstRow="0" w:lastRow="0" w:firstColumn="1" w:lastColumn="0" w:oddVBand="0" w:evenVBand="0" w:oddHBand="0" w:evenHBand="0" w:firstRowFirstColumn="0" w:firstRowLastColumn="0" w:lastRowFirstColumn="0" w:lastRowLastColumn="0"/>
            <w:tcW w:w="2529" w:type="dxa"/>
          </w:tcPr>
          <w:p w14:paraId="7BD08127"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GEN(</w:t>
            </w:r>
            <w:proofErr w:type="gramEnd"/>
            <w:r w:rsidRPr="00955041">
              <w:rPr>
                <w:rFonts w:ascii="Arial" w:hAnsi="Arial" w:cs="Arial"/>
                <w:sz w:val="20"/>
                <w:szCs w:val="20"/>
              </w:rPr>
              <w:t>100mg/kg)</w:t>
            </w:r>
          </w:p>
        </w:tc>
        <w:tc>
          <w:tcPr>
            <w:tcW w:w="2046" w:type="dxa"/>
          </w:tcPr>
          <w:p w14:paraId="08F7A33E"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64.61</w:t>
            </w:r>
            <w:r w:rsidRPr="00955041">
              <w:rPr>
                <w:rFonts w:ascii="Arial" w:eastAsia="Times New Roman" w:hAnsi="Arial" w:cs="Arial"/>
                <w:sz w:val="20"/>
                <w:szCs w:val="20"/>
              </w:rPr>
              <w:t>±1.15</w:t>
            </w:r>
            <w:r w:rsidRPr="00955041">
              <w:rPr>
                <w:rFonts w:ascii="Arial" w:eastAsia="Times New Roman" w:hAnsi="Arial" w:cs="Arial"/>
                <w:sz w:val="20"/>
                <w:szCs w:val="20"/>
                <w:vertAlign w:val="superscript"/>
              </w:rPr>
              <w:t>b</w:t>
            </w:r>
          </w:p>
        </w:tc>
        <w:tc>
          <w:tcPr>
            <w:tcW w:w="1829" w:type="dxa"/>
          </w:tcPr>
          <w:p w14:paraId="1F3E2E8F"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17.84</w:t>
            </w:r>
            <w:r w:rsidRPr="00955041">
              <w:rPr>
                <w:rFonts w:ascii="Arial" w:eastAsia="Times New Roman" w:hAnsi="Arial" w:cs="Arial"/>
                <w:sz w:val="20"/>
                <w:szCs w:val="20"/>
              </w:rPr>
              <w:t>±0.64</w:t>
            </w:r>
            <w:r w:rsidRPr="00955041">
              <w:rPr>
                <w:rFonts w:ascii="Arial" w:eastAsia="Times New Roman" w:hAnsi="Arial" w:cs="Arial"/>
                <w:sz w:val="20"/>
                <w:szCs w:val="20"/>
                <w:vertAlign w:val="superscript"/>
              </w:rPr>
              <w:t>b</w:t>
            </w:r>
          </w:p>
        </w:tc>
        <w:tc>
          <w:tcPr>
            <w:tcW w:w="2030" w:type="dxa"/>
          </w:tcPr>
          <w:p w14:paraId="2F8CDDCC"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25.20</w:t>
            </w:r>
            <w:r w:rsidRPr="00955041">
              <w:rPr>
                <w:rFonts w:ascii="Arial" w:eastAsia="Times New Roman" w:hAnsi="Arial" w:cs="Arial"/>
                <w:sz w:val="20"/>
                <w:szCs w:val="20"/>
              </w:rPr>
              <w:t>±2.59</w:t>
            </w:r>
            <w:r w:rsidRPr="00955041">
              <w:rPr>
                <w:rFonts w:ascii="Arial" w:eastAsia="Times New Roman" w:hAnsi="Arial" w:cs="Arial"/>
                <w:sz w:val="20"/>
                <w:szCs w:val="20"/>
                <w:vertAlign w:val="superscript"/>
              </w:rPr>
              <w:t>b</w:t>
            </w:r>
          </w:p>
        </w:tc>
      </w:tr>
      <w:tr w:rsidR="00B31226" w:rsidRPr="00955041" w14:paraId="65216F04" w14:textId="77777777" w:rsidTr="00944E2F">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29" w:type="dxa"/>
            <w:shd w:val="clear" w:color="auto" w:fill="auto"/>
          </w:tcPr>
          <w:p w14:paraId="1F29532A"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GEN.+100MSEVD</w:t>
            </w:r>
          </w:p>
        </w:tc>
        <w:tc>
          <w:tcPr>
            <w:tcW w:w="2046" w:type="dxa"/>
            <w:shd w:val="clear" w:color="auto" w:fill="auto"/>
          </w:tcPr>
          <w:p w14:paraId="0F6839F8"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43.63</w:t>
            </w:r>
            <w:r w:rsidRPr="00955041">
              <w:rPr>
                <w:rFonts w:ascii="Arial" w:eastAsia="Times New Roman" w:hAnsi="Arial" w:cs="Arial"/>
                <w:sz w:val="20"/>
                <w:szCs w:val="20"/>
              </w:rPr>
              <w:t>±1.62</w:t>
            </w:r>
            <w:r w:rsidRPr="00955041">
              <w:rPr>
                <w:rFonts w:ascii="Arial" w:eastAsia="Times New Roman" w:hAnsi="Arial" w:cs="Arial"/>
                <w:sz w:val="20"/>
                <w:szCs w:val="20"/>
                <w:vertAlign w:val="superscript"/>
              </w:rPr>
              <w:t>a</w:t>
            </w:r>
          </w:p>
        </w:tc>
        <w:tc>
          <w:tcPr>
            <w:tcW w:w="1829" w:type="dxa"/>
            <w:shd w:val="clear" w:color="auto" w:fill="auto"/>
          </w:tcPr>
          <w:p w14:paraId="2C848C0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13.49</w:t>
            </w:r>
            <w:r w:rsidRPr="00955041">
              <w:rPr>
                <w:rFonts w:ascii="Arial" w:eastAsia="Times New Roman" w:hAnsi="Arial" w:cs="Arial"/>
                <w:sz w:val="20"/>
                <w:szCs w:val="20"/>
              </w:rPr>
              <w:t>±0.36</w:t>
            </w:r>
            <w:r w:rsidRPr="00955041">
              <w:rPr>
                <w:rFonts w:ascii="Arial" w:eastAsia="Times New Roman" w:hAnsi="Arial" w:cs="Arial"/>
                <w:sz w:val="20"/>
                <w:szCs w:val="20"/>
                <w:vertAlign w:val="superscript"/>
              </w:rPr>
              <w:t>a</w:t>
            </w:r>
          </w:p>
        </w:tc>
        <w:tc>
          <w:tcPr>
            <w:tcW w:w="2030" w:type="dxa"/>
            <w:shd w:val="clear" w:color="auto" w:fill="auto"/>
          </w:tcPr>
          <w:p w14:paraId="73FDA7F6"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33.53</w:t>
            </w:r>
            <w:r w:rsidRPr="00955041">
              <w:rPr>
                <w:rFonts w:ascii="Arial" w:eastAsia="Times New Roman" w:hAnsi="Arial" w:cs="Arial"/>
                <w:sz w:val="20"/>
                <w:szCs w:val="20"/>
              </w:rPr>
              <w:t>±1.78</w:t>
            </w:r>
            <w:r w:rsidRPr="00955041">
              <w:rPr>
                <w:rFonts w:ascii="Arial" w:eastAsia="Times New Roman" w:hAnsi="Arial" w:cs="Arial"/>
                <w:sz w:val="20"/>
                <w:szCs w:val="20"/>
                <w:vertAlign w:val="superscript"/>
              </w:rPr>
              <w:t>a</w:t>
            </w:r>
          </w:p>
        </w:tc>
      </w:tr>
      <w:tr w:rsidR="00B31226" w:rsidRPr="00955041" w14:paraId="1FF92BD0" w14:textId="77777777" w:rsidTr="00944E2F">
        <w:trPr>
          <w:trHeight w:val="541"/>
        </w:trPr>
        <w:tc>
          <w:tcPr>
            <w:cnfStyle w:val="001000000000" w:firstRow="0" w:lastRow="0" w:firstColumn="1" w:lastColumn="0" w:oddVBand="0" w:evenVBand="0" w:oddHBand="0" w:evenHBand="0" w:firstRowFirstColumn="0" w:firstRowLastColumn="0" w:lastRowFirstColumn="0" w:lastRowLastColumn="0"/>
            <w:tcW w:w="2529" w:type="dxa"/>
          </w:tcPr>
          <w:p w14:paraId="4EACE6F6"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GEN.+200MSEVD</w:t>
            </w:r>
          </w:p>
        </w:tc>
        <w:tc>
          <w:tcPr>
            <w:tcW w:w="2046" w:type="dxa"/>
          </w:tcPr>
          <w:p w14:paraId="5A254488"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47.34</w:t>
            </w:r>
            <w:r w:rsidRPr="00955041">
              <w:rPr>
                <w:rFonts w:ascii="Arial" w:eastAsia="Times New Roman" w:hAnsi="Arial" w:cs="Arial"/>
                <w:sz w:val="20"/>
                <w:szCs w:val="20"/>
              </w:rPr>
              <w:t>±1.70</w:t>
            </w:r>
            <w:r w:rsidRPr="00955041">
              <w:rPr>
                <w:rFonts w:ascii="Arial" w:eastAsia="Times New Roman" w:hAnsi="Arial" w:cs="Arial"/>
                <w:sz w:val="20"/>
                <w:szCs w:val="20"/>
                <w:vertAlign w:val="superscript"/>
              </w:rPr>
              <w:t>a</w:t>
            </w:r>
          </w:p>
        </w:tc>
        <w:tc>
          <w:tcPr>
            <w:tcW w:w="1829" w:type="dxa"/>
          </w:tcPr>
          <w:p w14:paraId="62C2F516"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12.83</w:t>
            </w:r>
            <w:r w:rsidRPr="00955041">
              <w:rPr>
                <w:rFonts w:ascii="Arial" w:eastAsia="Times New Roman" w:hAnsi="Arial" w:cs="Arial"/>
                <w:sz w:val="20"/>
                <w:szCs w:val="20"/>
              </w:rPr>
              <w:t>±0.81</w:t>
            </w:r>
            <w:r w:rsidRPr="00955041">
              <w:rPr>
                <w:rFonts w:ascii="Arial" w:eastAsia="Times New Roman" w:hAnsi="Arial" w:cs="Arial"/>
                <w:sz w:val="20"/>
                <w:szCs w:val="20"/>
                <w:vertAlign w:val="superscript"/>
              </w:rPr>
              <w:t>a</w:t>
            </w:r>
          </w:p>
        </w:tc>
        <w:tc>
          <w:tcPr>
            <w:tcW w:w="2030" w:type="dxa"/>
          </w:tcPr>
          <w:p w14:paraId="6C414B78"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29.77</w:t>
            </w:r>
            <w:r w:rsidRPr="00955041">
              <w:rPr>
                <w:rFonts w:ascii="Arial" w:eastAsia="Times New Roman" w:hAnsi="Arial" w:cs="Arial"/>
                <w:sz w:val="20"/>
                <w:szCs w:val="20"/>
              </w:rPr>
              <w:t>±0.87</w:t>
            </w:r>
            <w:r w:rsidRPr="00955041">
              <w:rPr>
                <w:rFonts w:ascii="Arial" w:eastAsia="Times New Roman" w:hAnsi="Arial" w:cs="Arial"/>
                <w:sz w:val="20"/>
                <w:szCs w:val="20"/>
                <w:vertAlign w:val="superscript"/>
              </w:rPr>
              <w:t>ab</w:t>
            </w:r>
          </w:p>
        </w:tc>
      </w:tr>
      <w:tr w:rsidR="00B31226" w:rsidRPr="00955041" w14:paraId="37A9C5F2" w14:textId="77777777" w:rsidTr="00944E2F">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29" w:type="dxa"/>
            <w:shd w:val="clear" w:color="auto" w:fill="auto"/>
          </w:tcPr>
          <w:p w14:paraId="35128FB9"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GEN.+400MSEVD</w:t>
            </w:r>
          </w:p>
        </w:tc>
        <w:tc>
          <w:tcPr>
            <w:tcW w:w="2046" w:type="dxa"/>
            <w:shd w:val="clear" w:color="auto" w:fill="auto"/>
          </w:tcPr>
          <w:p w14:paraId="242078C9"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44.68</w:t>
            </w:r>
            <w:r w:rsidRPr="00955041">
              <w:rPr>
                <w:rFonts w:ascii="Arial" w:eastAsia="Times New Roman" w:hAnsi="Arial" w:cs="Arial"/>
                <w:sz w:val="20"/>
                <w:szCs w:val="20"/>
              </w:rPr>
              <w:t>±1.30</w:t>
            </w:r>
            <w:r w:rsidRPr="00955041">
              <w:rPr>
                <w:rFonts w:ascii="Arial" w:eastAsia="Times New Roman" w:hAnsi="Arial" w:cs="Arial"/>
                <w:sz w:val="20"/>
                <w:szCs w:val="20"/>
                <w:vertAlign w:val="superscript"/>
              </w:rPr>
              <w:t>a</w:t>
            </w:r>
          </w:p>
        </w:tc>
        <w:tc>
          <w:tcPr>
            <w:tcW w:w="1829" w:type="dxa"/>
            <w:shd w:val="clear" w:color="auto" w:fill="auto"/>
          </w:tcPr>
          <w:p w14:paraId="0CC682E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12.39</w:t>
            </w:r>
            <w:r w:rsidRPr="00955041">
              <w:rPr>
                <w:rFonts w:ascii="Arial" w:eastAsia="Times New Roman" w:hAnsi="Arial" w:cs="Arial"/>
                <w:sz w:val="20"/>
                <w:szCs w:val="20"/>
              </w:rPr>
              <w:t>±0.84</w:t>
            </w:r>
            <w:r w:rsidRPr="00955041">
              <w:rPr>
                <w:rFonts w:ascii="Arial" w:eastAsia="Times New Roman" w:hAnsi="Arial" w:cs="Arial"/>
                <w:sz w:val="20"/>
                <w:szCs w:val="20"/>
                <w:vertAlign w:val="superscript"/>
              </w:rPr>
              <w:t>a</w:t>
            </w:r>
          </w:p>
        </w:tc>
        <w:tc>
          <w:tcPr>
            <w:tcW w:w="2030" w:type="dxa"/>
            <w:shd w:val="clear" w:color="auto" w:fill="auto"/>
          </w:tcPr>
          <w:p w14:paraId="369971A6"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34.44</w:t>
            </w:r>
            <w:r w:rsidRPr="00955041">
              <w:rPr>
                <w:rFonts w:ascii="Arial" w:eastAsia="Times New Roman" w:hAnsi="Arial" w:cs="Arial"/>
                <w:sz w:val="20"/>
                <w:szCs w:val="20"/>
              </w:rPr>
              <w:t>±2.51</w:t>
            </w:r>
            <w:r w:rsidRPr="00955041">
              <w:rPr>
                <w:rFonts w:ascii="Arial" w:eastAsia="Times New Roman" w:hAnsi="Arial" w:cs="Arial"/>
                <w:sz w:val="20"/>
                <w:szCs w:val="20"/>
                <w:vertAlign w:val="superscript"/>
              </w:rPr>
              <w:t>a</w:t>
            </w:r>
          </w:p>
        </w:tc>
      </w:tr>
      <w:tr w:rsidR="00B31226" w:rsidRPr="00955041" w14:paraId="4D8A4FC1" w14:textId="77777777" w:rsidTr="00944E2F">
        <w:trPr>
          <w:trHeight w:val="265"/>
        </w:trPr>
        <w:tc>
          <w:tcPr>
            <w:cnfStyle w:val="001000000000" w:firstRow="0" w:lastRow="0" w:firstColumn="1" w:lastColumn="0" w:oddVBand="0" w:evenVBand="0" w:oddHBand="0" w:evenHBand="0" w:firstRowFirstColumn="0" w:firstRowLastColumn="0" w:lastRowFirstColumn="0" w:lastRowLastColumn="0"/>
            <w:tcW w:w="2529" w:type="dxa"/>
          </w:tcPr>
          <w:p w14:paraId="071BAA30"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GEN.+RFD</w:t>
            </w:r>
          </w:p>
        </w:tc>
        <w:tc>
          <w:tcPr>
            <w:tcW w:w="2046" w:type="dxa"/>
          </w:tcPr>
          <w:p w14:paraId="4B5C9BAC"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44.86</w:t>
            </w:r>
            <w:r w:rsidRPr="00955041">
              <w:rPr>
                <w:rFonts w:ascii="Arial" w:eastAsia="Times New Roman" w:hAnsi="Arial" w:cs="Arial"/>
                <w:sz w:val="20"/>
                <w:szCs w:val="20"/>
              </w:rPr>
              <w:t>±1.85</w:t>
            </w:r>
            <w:r w:rsidRPr="00955041">
              <w:rPr>
                <w:rFonts w:ascii="Arial" w:eastAsia="Times New Roman" w:hAnsi="Arial" w:cs="Arial"/>
                <w:sz w:val="20"/>
                <w:szCs w:val="20"/>
                <w:vertAlign w:val="superscript"/>
              </w:rPr>
              <w:t>a</w:t>
            </w:r>
          </w:p>
        </w:tc>
        <w:tc>
          <w:tcPr>
            <w:tcW w:w="1829" w:type="dxa"/>
          </w:tcPr>
          <w:p w14:paraId="3ACD0414"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13.93</w:t>
            </w:r>
            <w:r w:rsidRPr="00955041">
              <w:rPr>
                <w:rFonts w:ascii="Arial" w:eastAsia="Times New Roman" w:hAnsi="Arial" w:cs="Arial"/>
                <w:sz w:val="20"/>
                <w:szCs w:val="20"/>
              </w:rPr>
              <w:t>±0.16</w:t>
            </w:r>
            <w:r w:rsidRPr="00955041">
              <w:rPr>
                <w:rFonts w:ascii="Arial" w:eastAsia="Times New Roman" w:hAnsi="Arial" w:cs="Arial"/>
                <w:sz w:val="20"/>
                <w:szCs w:val="20"/>
                <w:vertAlign w:val="superscript"/>
              </w:rPr>
              <w:t>a</w:t>
            </w:r>
          </w:p>
        </w:tc>
        <w:tc>
          <w:tcPr>
            <w:tcW w:w="2030" w:type="dxa"/>
          </w:tcPr>
          <w:p w14:paraId="66225100"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30.41</w:t>
            </w:r>
            <w:r w:rsidRPr="00955041">
              <w:rPr>
                <w:rFonts w:ascii="Arial" w:eastAsia="Times New Roman" w:hAnsi="Arial" w:cs="Arial"/>
                <w:sz w:val="20"/>
                <w:szCs w:val="20"/>
              </w:rPr>
              <w:t>±0.48</w:t>
            </w:r>
            <w:r w:rsidRPr="00955041">
              <w:rPr>
                <w:rFonts w:ascii="Arial" w:eastAsia="Times New Roman" w:hAnsi="Arial" w:cs="Arial"/>
                <w:sz w:val="20"/>
                <w:szCs w:val="20"/>
                <w:vertAlign w:val="superscript"/>
              </w:rPr>
              <w:t>ab</w:t>
            </w:r>
          </w:p>
        </w:tc>
      </w:tr>
    </w:tbl>
    <w:p w14:paraId="4E228863" w14:textId="77777777" w:rsidR="00B31226" w:rsidRPr="005570DE" w:rsidRDefault="00B31226" w:rsidP="00B31226">
      <w:pPr>
        <w:spacing w:line="276" w:lineRule="auto"/>
        <w:jc w:val="both"/>
        <w:rPr>
          <w:rFonts w:ascii="Arial" w:hAnsi="Arial" w:cs="Arial"/>
          <w:i/>
          <w:iCs/>
          <w:color w:val="000000" w:themeColor="text1"/>
        </w:rPr>
      </w:pPr>
      <w:r w:rsidRPr="00955041">
        <w:rPr>
          <w:rFonts w:ascii="Arial" w:hAnsi="Arial" w:cs="Arial"/>
          <w:color w:val="000000" w:themeColor="text1"/>
          <w:sz w:val="20"/>
          <w:szCs w:val="20"/>
        </w:rPr>
        <w:t xml:space="preserve">Values are mean ± SEM of four replicates and are considered statistically significant at p&lt;0.05. Values with different letters superscripts are significantly different (p&lt;0.05) from the control. NC= Normal control, GM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Gentamicin, RFD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Reference drug, MSEVD</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Methanol stem bark extract of </w:t>
      </w:r>
      <w:r w:rsidRPr="00955041">
        <w:rPr>
          <w:rFonts w:ascii="Arial" w:hAnsi="Arial" w:cs="Arial"/>
          <w:i/>
          <w:iCs/>
          <w:color w:val="000000" w:themeColor="text1"/>
          <w:sz w:val="20"/>
          <w:szCs w:val="20"/>
        </w:rPr>
        <w:t xml:space="preserve">Vitex </w:t>
      </w:r>
      <w:proofErr w:type="spellStart"/>
      <w:r w:rsidRPr="00955041">
        <w:rPr>
          <w:rFonts w:ascii="Arial" w:hAnsi="Arial" w:cs="Arial"/>
          <w:i/>
          <w:iCs/>
          <w:color w:val="000000" w:themeColor="text1"/>
          <w:sz w:val="20"/>
          <w:szCs w:val="20"/>
        </w:rPr>
        <w:t>doniana</w:t>
      </w:r>
      <w:proofErr w:type="spellEnd"/>
      <w:r w:rsidRPr="005570DE">
        <w:rPr>
          <w:rFonts w:ascii="Arial" w:hAnsi="Arial" w:cs="Arial"/>
          <w:i/>
          <w:iCs/>
          <w:color w:val="000000" w:themeColor="text1"/>
        </w:rPr>
        <w:t>.</w:t>
      </w:r>
    </w:p>
    <w:p w14:paraId="1DD71FAC"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Table 2 summarizes the effects of gentamicin and graded doses of methanolic stem bark extract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(MSEVD) on low-density lipoprotein cholesterol (LDL-c), very-low-density lipoprotein cholesterol (VLDL-c), and the atherogenic index (AI), which collectively reflect cardiovascular risk.</w:t>
      </w:r>
    </w:p>
    <w:p w14:paraId="60E6DDED"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b/>
          <w:bCs/>
          <w:sz w:val="20"/>
          <w:szCs w:val="20"/>
        </w:rPr>
        <w:t>Effect of Gentamicin Administration</w:t>
      </w:r>
    </w:p>
    <w:p w14:paraId="13DCC223"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Rats treated with gentamicin alone (100 mg/kg) exhibited a </w:t>
      </w:r>
      <w:r w:rsidRPr="00955041">
        <w:rPr>
          <w:rFonts w:ascii="Arial" w:eastAsia="Times New Roman" w:hAnsi="Arial" w:cs="Arial"/>
          <w:bCs/>
          <w:sz w:val="20"/>
          <w:szCs w:val="20"/>
        </w:rPr>
        <w:t>marked and statistically significant increase in LDL-c and AI</w:t>
      </w:r>
      <w:r w:rsidRPr="00955041">
        <w:rPr>
          <w:rFonts w:ascii="Arial" w:eastAsia="Times New Roman" w:hAnsi="Arial" w:cs="Arial"/>
          <w:sz w:val="20"/>
          <w:szCs w:val="20"/>
        </w:rPr>
        <w:t xml:space="preserve"> compared with the normal control group (p &lt; 0.05). LDL-c rose sharply from 4.16 ± 1.54 mmol/L in the control to 14.48 ± 2.00 mmol/L, while AI increased from 0.13 ± 0.05 to 0.62 ± 0.14. These findings indicate severe </w:t>
      </w:r>
      <w:proofErr w:type="spellStart"/>
      <w:r w:rsidRPr="00955041">
        <w:rPr>
          <w:rFonts w:ascii="Arial" w:eastAsia="Times New Roman" w:hAnsi="Arial" w:cs="Arial"/>
          <w:sz w:val="20"/>
          <w:szCs w:val="20"/>
        </w:rPr>
        <w:t>dyslipidaemia</w:t>
      </w:r>
      <w:proofErr w:type="spellEnd"/>
      <w:r w:rsidRPr="00955041">
        <w:rPr>
          <w:rFonts w:ascii="Arial" w:eastAsia="Times New Roman" w:hAnsi="Arial" w:cs="Arial"/>
          <w:sz w:val="20"/>
          <w:szCs w:val="20"/>
        </w:rPr>
        <w:t xml:space="preserve"> and elevated atherogenic risk induced by gentamicin. In contrast, VLDL-c showed no significant change relative to the control, suggesting that gentamicin predominantly affected LDL-related lipid metabolism rather than VLDL production.</w:t>
      </w:r>
    </w:p>
    <w:p w14:paraId="171087EB"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b/>
          <w:bCs/>
          <w:sz w:val="20"/>
          <w:szCs w:val="20"/>
        </w:rPr>
        <w:t xml:space="preserve">Effect of </w:t>
      </w:r>
      <w:r w:rsidRPr="00955041">
        <w:rPr>
          <w:rFonts w:ascii="Arial" w:eastAsia="Times New Roman" w:hAnsi="Arial" w:cs="Arial"/>
          <w:b/>
          <w:bCs/>
          <w:i/>
          <w:iCs/>
          <w:sz w:val="20"/>
          <w:szCs w:val="20"/>
        </w:rPr>
        <w:t xml:space="preserve">Vitex </w:t>
      </w:r>
      <w:proofErr w:type="spellStart"/>
      <w:r w:rsidRPr="00955041">
        <w:rPr>
          <w:rFonts w:ascii="Arial" w:eastAsia="Times New Roman" w:hAnsi="Arial" w:cs="Arial"/>
          <w:b/>
          <w:bCs/>
          <w:i/>
          <w:iCs/>
          <w:sz w:val="20"/>
          <w:szCs w:val="20"/>
        </w:rPr>
        <w:t>doniana</w:t>
      </w:r>
      <w:proofErr w:type="spellEnd"/>
      <w:r w:rsidRPr="00955041">
        <w:rPr>
          <w:rFonts w:ascii="Arial" w:eastAsia="Times New Roman" w:hAnsi="Arial" w:cs="Arial"/>
          <w:b/>
          <w:bCs/>
          <w:sz w:val="20"/>
          <w:szCs w:val="20"/>
        </w:rPr>
        <w:t xml:space="preserve"> Extract on Gentamicin-Induced Lipid Alterations</w:t>
      </w:r>
      <w:r w:rsidRPr="00955041">
        <w:rPr>
          <w:rFonts w:ascii="Arial" w:eastAsia="Times New Roman" w:hAnsi="Arial" w:cs="Arial"/>
          <w:sz w:val="20"/>
          <w:szCs w:val="20"/>
        </w:rPr>
        <w:t xml:space="preserve"> </w:t>
      </w:r>
    </w:p>
    <w:p w14:paraId="703AF59F"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lastRenderedPageBreak/>
        <w:t xml:space="preserve">Co-administration of MSEVD at all tested doses (100, 200, and 400 mg/kg) </w:t>
      </w:r>
      <w:r w:rsidRPr="00955041">
        <w:rPr>
          <w:rFonts w:ascii="Arial" w:eastAsia="Times New Roman" w:hAnsi="Arial" w:cs="Arial"/>
          <w:bCs/>
          <w:sz w:val="20"/>
          <w:szCs w:val="20"/>
        </w:rPr>
        <w:t>significantly attenuated the gentamicin-induced elevation in LDL-c and AI</w:t>
      </w:r>
      <w:r w:rsidRPr="00955041">
        <w:rPr>
          <w:rFonts w:ascii="Arial" w:eastAsia="Times New Roman" w:hAnsi="Arial" w:cs="Arial"/>
          <w:sz w:val="20"/>
          <w:szCs w:val="20"/>
        </w:rPr>
        <w:t>, restoring these parameters to levels comparable with the normal control (p &lt; 0.05).</w:t>
      </w:r>
    </w:p>
    <w:p w14:paraId="20EDB7E5" w14:textId="77777777" w:rsidR="00B31226" w:rsidRPr="00955041" w:rsidRDefault="00B31226" w:rsidP="00B31226">
      <w:pPr>
        <w:numPr>
          <w:ilvl w:val="0"/>
          <w:numId w:val="1"/>
        </w:num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At </w:t>
      </w:r>
      <w:r w:rsidRPr="00955041">
        <w:rPr>
          <w:rFonts w:ascii="Arial" w:eastAsia="Times New Roman" w:hAnsi="Arial" w:cs="Arial"/>
          <w:bCs/>
          <w:sz w:val="20"/>
          <w:szCs w:val="20"/>
        </w:rPr>
        <w:t>100 mg/kg MSEVD</w:t>
      </w:r>
      <w:r w:rsidRPr="00955041">
        <w:rPr>
          <w:rFonts w:ascii="Arial" w:eastAsia="Times New Roman" w:hAnsi="Arial" w:cs="Arial"/>
          <w:sz w:val="20"/>
          <w:szCs w:val="20"/>
        </w:rPr>
        <w:t>, LDL-c and AI were markedly reduced, indicating substantial protection against gentamicin-induced atherogenic changes.</w:t>
      </w:r>
    </w:p>
    <w:p w14:paraId="5AB48BA8" w14:textId="77777777" w:rsidR="00B31226" w:rsidRPr="00955041" w:rsidRDefault="00B31226" w:rsidP="00B31226">
      <w:pPr>
        <w:numPr>
          <w:ilvl w:val="0"/>
          <w:numId w:val="1"/>
        </w:num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The </w:t>
      </w:r>
      <w:r w:rsidRPr="00955041">
        <w:rPr>
          <w:rFonts w:ascii="Arial" w:eastAsia="Times New Roman" w:hAnsi="Arial" w:cs="Arial"/>
          <w:bCs/>
          <w:sz w:val="20"/>
          <w:szCs w:val="20"/>
        </w:rPr>
        <w:t>200 mg/kg dose</w:t>
      </w:r>
      <w:r w:rsidRPr="00955041">
        <w:rPr>
          <w:rFonts w:ascii="Arial" w:eastAsia="Times New Roman" w:hAnsi="Arial" w:cs="Arial"/>
          <w:sz w:val="20"/>
          <w:szCs w:val="20"/>
        </w:rPr>
        <w:t xml:space="preserve"> also normalized LDL-c and AI, although LDL-c remained slightly higher than the control, suggesting partial but meaningful improvement.</w:t>
      </w:r>
    </w:p>
    <w:p w14:paraId="5B5E8019" w14:textId="77777777" w:rsidR="00B31226" w:rsidRPr="00955041" w:rsidRDefault="00B31226" w:rsidP="00B31226">
      <w:pPr>
        <w:numPr>
          <w:ilvl w:val="0"/>
          <w:numId w:val="1"/>
        </w:num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Notably, the </w:t>
      </w:r>
      <w:r w:rsidRPr="00955041">
        <w:rPr>
          <w:rFonts w:ascii="Arial" w:eastAsia="Times New Roman" w:hAnsi="Arial" w:cs="Arial"/>
          <w:bCs/>
          <w:sz w:val="20"/>
          <w:szCs w:val="20"/>
        </w:rPr>
        <w:t>400 mg/kg MSEVD dose produced the most pronounced protective effect</w:t>
      </w:r>
      <w:r w:rsidRPr="00955041">
        <w:rPr>
          <w:rFonts w:ascii="Arial" w:eastAsia="Times New Roman" w:hAnsi="Arial" w:cs="Arial"/>
          <w:sz w:val="20"/>
          <w:szCs w:val="20"/>
        </w:rPr>
        <w:t xml:space="preserve">, reducing LDL-c and AI to values almost identical to the control group. In addition, this dose caused a </w:t>
      </w:r>
      <w:r w:rsidRPr="00955041">
        <w:rPr>
          <w:rFonts w:ascii="Arial" w:eastAsia="Times New Roman" w:hAnsi="Arial" w:cs="Arial"/>
          <w:bCs/>
          <w:sz w:val="20"/>
          <w:szCs w:val="20"/>
        </w:rPr>
        <w:t>significant reduction in VLDL-</w:t>
      </w:r>
      <w:r w:rsidRPr="00955041">
        <w:rPr>
          <w:rFonts w:ascii="Arial" w:eastAsia="Times New Roman" w:hAnsi="Arial" w:cs="Arial"/>
          <w:b/>
          <w:bCs/>
          <w:sz w:val="20"/>
          <w:szCs w:val="20"/>
        </w:rPr>
        <w:t>c</w:t>
      </w:r>
      <w:r w:rsidRPr="00955041">
        <w:rPr>
          <w:rFonts w:ascii="Arial" w:eastAsia="Times New Roman" w:hAnsi="Arial" w:cs="Arial"/>
          <w:sz w:val="20"/>
          <w:szCs w:val="20"/>
        </w:rPr>
        <w:t xml:space="preserve"> compared with both the control and </w:t>
      </w:r>
    </w:p>
    <w:p w14:paraId="536537A4" w14:textId="77777777" w:rsidR="00B31226" w:rsidRPr="00955041" w:rsidRDefault="00B31226" w:rsidP="00B31226">
      <w:pPr>
        <w:spacing w:before="100" w:beforeAutospacing="1" w:after="100" w:afterAutospacing="1" w:line="240" w:lineRule="auto"/>
        <w:ind w:left="720"/>
        <w:jc w:val="both"/>
        <w:rPr>
          <w:rFonts w:ascii="Arial" w:eastAsia="Times New Roman" w:hAnsi="Arial" w:cs="Arial"/>
          <w:sz w:val="20"/>
          <w:szCs w:val="20"/>
        </w:rPr>
      </w:pPr>
    </w:p>
    <w:p w14:paraId="6D147261" w14:textId="77777777" w:rsidR="00B31226" w:rsidRPr="00955041" w:rsidRDefault="00B31226" w:rsidP="00B31226">
      <w:pPr>
        <w:spacing w:before="100" w:beforeAutospacing="1" w:after="100" w:afterAutospacing="1" w:line="240" w:lineRule="auto"/>
        <w:ind w:left="720"/>
        <w:jc w:val="both"/>
        <w:rPr>
          <w:rFonts w:ascii="Arial" w:eastAsia="Times New Roman" w:hAnsi="Arial" w:cs="Arial"/>
          <w:sz w:val="20"/>
          <w:szCs w:val="20"/>
        </w:rPr>
      </w:pPr>
      <w:r w:rsidRPr="00955041">
        <w:rPr>
          <w:rFonts w:ascii="Arial" w:eastAsia="Times New Roman" w:hAnsi="Arial" w:cs="Arial"/>
          <w:sz w:val="20"/>
          <w:szCs w:val="20"/>
        </w:rPr>
        <w:t>gentamicin-only groups (p &lt; 0.05), indicating a broader lipid-lowering action at higher extract concentration.</w:t>
      </w:r>
    </w:p>
    <w:p w14:paraId="4474F158"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b/>
          <w:bCs/>
          <w:sz w:val="20"/>
          <w:szCs w:val="20"/>
        </w:rPr>
        <w:t>Comparison with Reference Drug (RFD)</w:t>
      </w:r>
      <w:r w:rsidRPr="00955041">
        <w:rPr>
          <w:rFonts w:ascii="Arial" w:eastAsia="Times New Roman" w:hAnsi="Arial" w:cs="Arial"/>
          <w:sz w:val="20"/>
          <w:szCs w:val="20"/>
        </w:rPr>
        <w:t xml:space="preserve"> The reference drug group (GEN + RFD) similarly showed significant reductions in LDL-c and AI compared with the gentamicin-only group, with values comparable to the control. However, VLDL-c levels remained unchanged, suggesting that while the reference drug effectively mitigated LDL-related risk, it had limited influence on VLDL-c. In contrast, high-dose MSEVD (400 mg/kg) demonstrated superior efficacy by significantly lowering VLDL-c in addition to LDL-c and AI.</w:t>
      </w:r>
    </w:p>
    <w:p w14:paraId="555B8B6B" w14:textId="77777777" w:rsidR="00B31226" w:rsidRPr="00955041" w:rsidRDefault="00B31226" w:rsidP="00B31226">
      <w:pPr>
        <w:autoSpaceDE w:val="0"/>
        <w:autoSpaceDN w:val="0"/>
        <w:adjustRightInd w:val="0"/>
        <w:spacing w:after="0" w:line="276" w:lineRule="auto"/>
        <w:rPr>
          <w:rFonts w:ascii="Arial" w:hAnsi="Arial" w:cs="Arial"/>
          <w:b/>
          <w:color w:val="000000" w:themeColor="text1"/>
          <w:sz w:val="20"/>
          <w:szCs w:val="20"/>
          <w:shd w:val="clear" w:color="auto" w:fill="FFFFFF"/>
        </w:rPr>
      </w:pPr>
      <w:bookmarkStart w:id="1" w:name="_Hlk218786581"/>
      <w:r w:rsidRPr="00955041">
        <w:rPr>
          <w:rFonts w:ascii="Arial" w:hAnsi="Arial" w:cs="Arial"/>
          <w:b/>
          <w:color w:val="000000" w:themeColor="text1"/>
          <w:sz w:val="20"/>
          <w:szCs w:val="20"/>
          <w:shd w:val="clear" w:color="auto" w:fill="FFFFFF"/>
        </w:rPr>
        <w:t xml:space="preserve">Table 2: Effect of methanol stem bark extract of </w:t>
      </w:r>
      <w:r w:rsidRPr="00955041">
        <w:rPr>
          <w:rFonts w:ascii="Arial" w:hAnsi="Arial" w:cs="Arial"/>
          <w:b/>
          <w:i/>
          <w:color w:val="000000" w:themeColor="text1"/>
          <w:sz w:val="20"/>
          <w:szCs w:val="20"/>
          <w:shd w:val="clear" w:color="auto" w:fill="FFFFFF"/>
        </w:rPr>
        <w:t xml:space="preserve">Vitex </w:t>
      </w:r>
      <w:proofErr w:type="spellStart"/>
      <w:r w:rsidRPr="00955041">
        <w:rPr>
          <w:rFonts w:ascii="Arial" w:hAnsi="Arial" w:cs="Arial"/>
          <w:b/>
          <w:i/>
          <w:color w:val="000000" w:themeColor="text1"/>
          <w:sz w:val="20"/>
          <w:szCs w:val="20"/>
          <w:shd w:val="clear" w:color="auto" w:fill="FFFFFF"/>
        </w:rPr>
        <w:t>doniana</w:t>
      </w:r>
      <w:proofErr w:type="spellEnd"/>
      <w:r w:rsidRPr="00955041">
        <w:rPr>
          <w:rFonts w:ascii="Arial" w:hAnsi="Arial" w:cs="Arial"/>
          <w:b/>
          <w:color w:val="000000" w:themeColor="text1"/>
          <w:sz w:val="20"/>
          <w:szCs w:val="20"/>
          <w:shd w:val="clear" w:color="auto" w:fill="FFFFFF"/>
        </w:rPr>
        <w:t xml:space="preserve"> on gentamicin exposed rats on serum lipids makers (LDL-c, VLDL-c</w:t>
      </w:r>
      <w:r w:rsidRPr="00955041">
        <w:rPr>
          <w:rFonts w:ascii="Arial" w:hAnsi="Arial" w:cs="Arial"/>
          <w:b/>
          <w:sz w:val="20"/>
          <w:szCs w:val="20"/>
        </w:rPr>
        <w:t xml:space="preserve"> and AI</w:t>
      </w:r>
      <w:r w:rsidRPr="00955041">
        <w:rPr>
          <w:rFonts w:ascii="Arial" w:hAnsi="Arial" w:cs="Arial"/>
          <w:b/>
          <w:color w:val="000000" w:themeColor="text1"/>
          <w:sz w:val="20"/>
          <w:szCs w:val="20"/>
          <w:shd w:val="clear" w:color="auto" w:fill="FFFFFF"/>
        </w:rPr>
        <w:t>)</w:t>
      </w:r>
    </w:p>
    <w:p w14:paraId="34006888" w14:textId="77777777" w:rsidR="00B31226" w:rsidRPr="00955041" w:rsidRDefault="00B31226" w:rsidP="00B31226">
      <w:pPr>
        <w:tabs>
          <w:tab w:val="left" w:pos="1814"/>
          <w:tab w:val="left" w:pos="2243"/>
        </w:tabs>
        <w:autoSpaceDE w:val="0"/>
        <w:autoSpaceDN w:val="0"/>
        <w:adjustRightInd w:val="0"/>
        <w:spacing w:after="0" w:line="276" w:lineRule="auto"/>
        <w:rPr>
          <w:rFonts w:ascii="Arial" w:hAnsi="Arial" w:cs="Arial"/>
          <w:b/>
          <w:color w:val="000000" w:themeColor="text1"/>
          <w:sz w:val="20"/>
          <w:szCs w:val="20"/>
          <w:shd w:val="clear" w:color="auto" w:fill="FFFFFF"/>
        </w:rPr>
      </w:pPr>
      <w:r w:rsidRPr="00955041">
        <w:rPr>
          <w:rFonts w:ascii="Arial" w:hAnsi="Arial" w:cs="Arial"/>
          <w:b/>
          <w:color w:val="000000" w:themeColor="text1"/>
          <w:sz w:val="20"/>
          <w:szCs w:val="20"/>
          <w:shd w:val="clear" w:color="auto" w:fill="FFFFFF"/>
        </w:rPr>
        <w:tab/>
      </w:r>
      <w:r w:rsidRPr="00955041">
        <w:rPr>
          <w:rFonts w:ascii="Arial" w:hAnsi="Arial" w:cs="Arial"/>
          <w:b/>
          <w:color w:val="000000" w:themeColor="text1"/>
          <w:sz w:val="20"/>
          <w:szCs w:val="20"/>
          <w:shd w:val="clear" w:color="auto" w:fill="FFFFFF"/>
        </w:rPr>
        <w:tab/>
      </w:r>
    </w:p>
    <w:tbl>
      <w:tblPr>
        <w:tblStyle w:val="ListTable6Colorful1"/>
        <w:tblW w:w="0" w:type="auto"/>
        <w:tblLayout w:type="fixed"/>
        <w:tblLook w:val="04A0" w:firstRow="1" w:lastRow="0" w:firstColumn="1" w:lastColumn="0" w:noHBand="0" w:noVBand="1"/>
      </w:tblPr>
      <w:tblGrid>
        <w:gridCol w:w="2070"/>
        <w:gridCol w:w="1980"/>
        <w:gridCol w:w="2093"/>
        <w:gridCol w:w="1837"/>
        <w:gridCol w:w="274"/>
      </w:tblGrid>
      <w:tr w:rsidR="00B31226" w:rsidRPr="00955041" w14:paraId="1B2EC114" w14:textId="77777777" w:rsidTr="00944E2F">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070" w:type="dxa"/>
          </w:tcPr>
          <w:p w14:paraId="0EB6E906" w14:textId="77777777" w:rsidR="00B31226" w:rsidRPr="00955041" w:rsidRDefault="00B31226" w:rsidP="00944E2F">
            <w:pPr>
              <w:tabs>
                <w:tab w:val="right" w:pos="1976"/>
              </w:tabs>
              <w:spacing w:line="276" w:lineRule="auto"/>
              <w:jc w:val="both"/>
              <w:rPr>
                <w:rFonts w:ascii="Arial" w:hAnsi="Arial" w:cs="Arial"/>
                <w:sz w:val="20"/>
                <w:szCs w:val="20"/>
              </w:rPr>
            </w:pPr>
            <w:r w:rsidRPr="00955041">
              <w:rPr>
                <w:rFonts w:ascii="Arial" w:hAnsi="Arial" w:cs="Arial"/>
                <w:sz w:val="20"/>
                <w:szCs w:val="20"/>
              </w:rPr>
              <w:t>GROUPS</w:t>
            </w:r>
            <w:r w:rsidRPr="00955041">
              <w:rPr>
                <w:rFonts w:ascii="Arial" w:hAnsi="Arial" w:cs="Arial"/>
                <w:sz w:val="20"/>
                <w:szCs w:val="20"/>
              </w:rPr>
              <w:tab/>
            </w:r>
          </w:p>
        </w:tc>
        <w:tc>
          <w:tcPr>
            <w:tcW w:w="1980" w:type="dxa"/>
          </w:tcPr>
          <w:p w14:paraId="1A1646D3"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LDL-c(mmol/L)</w:t>
            </w:r>
          </w:p>
        </w:tc>
        <w:tc>
          <w:tcPr>
            <w:tcW w:w="2093" w:type="dxa"/>
          </w:tcPr>
          <w:p w14:paraId="63A7D69B"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VLDL-c(mmol/L)</w:t>
            </w:r>
          </w:p>
        </w:tc>
        <w:tc>
          <w:tcPr>
            <w:tcW w:w="1837" w:type="dxa"/>
          </w:tcPr>
          <w:p w14:paraId="38E0DCDD"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55041">
              <w:rPr>
                <w:rFonts w:ascii="Arial" w:hAnsi="Arial" w:cs="Arial"/>
                <w:sz w:val="20"/>
                <w:szCs w:val="20"/>
              </w:rPr>
              <w:t xml:space="preserve">   AI</w:t>
            </w:r>
          </w:p>
        </w:tc>
        <w:tc>
          <w:tcPr>
            <w:tcW w:w="274" w:type="dxa"/>
          </w:tcPr>
          <w:p w14:paraId="2585DAFC" w14:textId="77777777" w:rsidR="00B31226" w:rsidRPr="00955041" w:rsidRDefault="00B31226" w:rsidP="00944E2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B31226" w:rsidRPr="00955041" w14:paraId="3071FBD2" w14:textId="77777777" w:rsidTr="00944E2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6BB1D356"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Control(</w:t>
            </w:r>
            <w:proofErr w:type="gramEnd"/>
            <w:r w:rsidRPr="00955041">
              <w:rPr>
                <w:rFonts w:ascii="Arial" w:hAnsi="Arial" w:cs="Arial"/>
                <w:sz w:val="20"/>
                <w:szCs w:val="20"/>
              </w:rPr>
              <w:t>Normal saline)</w:t>
            </w:r>
          </w:p>
        </w:tc>
        <w:tc>
          <w:tcPr>
            <w:tcW w:w="1980" w:type="dxa"/>
            <w:shd w:val="clear" w:color="auto" w:fill="auto"/>
          </w:tcPr>
          <w:p w14:paraId="2005777D"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4.16</w:t>
            </w:r>
            <w:r w:rsidRPr="00955041">
              <w:rPr>
                <w:rFonts w:ascii="Arial" w:eastAsia="Times New Roman" w:hAnsi="Arial" w:cs="Arial"/>
                <w:sz w:val="20"/>
                <w:szCs w:val="20"/>
              </w:rPr>
              <w:t>±1.54</w:t>
            </w:r>
            <w:r w:rsidRPr="00955041">
              <w:rPr>
                <w:rFonts w:ascii="Arial" w:eastAsia="Times New Roman" w:hAnsi="Arial" w:cs="Arial"/>
                <w:sz w:val="20"/>
                <w:szCs w:val="20"/>
                <w:vertAlign w:val="superscript"/>
              </w:rPr>
              <w:t>a</w:t>
            </w:r>
          </w:p>
        </w:tc>
        <w:tc>
          <w:tcPr>
            <w:tcW w:w="2093" w:type="dxa"/>
            <w:shd w:val="clear" w:color="auto" w:fill="auto"/>
          </w:tcPr>
          <w:p w14:paraId="0CC5C9F5"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5.72</w:t>
            </w:r>
            <w:r w:rsidRPr="00955041">
              <w:rPr>
                <w:rFonts w:ascii="Arial" w:eastAsia="Times New Roman" w:hAnsi="Arial" w:cs="Arial"/>
                <w:sz w:val="20"/>
                <w:szCs w:val="20"/>
              </w:rPr>
              <w:t>±0.24</w:t>
            </w:r>
            <w:r w:rsidRPr="00955041">
              <w:rPr>
                <w:rFonts w:ascii="Arial" w:eastAsia="Times New Roman" w:hAnsi="Arial" w:cs="Arial"/>
                <w:sz w:val="20"/>
                <w:szCs w:val="20"/>
                <w:vertAlign w:val="superscript"/>
              </w:rPr>
              <w:t>a</w:t>
            </w:r>
          </w:p>
        </w:tc>
        <w:tc>
          <w:tcPr>
            <w:tcW w:w="1837" w:type="dxa"/>
            <w:shd w:val="clear" w:color="auto" w:fill="auto"/>
          </w:tcPr>
          <w:p w14:paraId="1AE183CA"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0.13</w:t>
            </w:r>
            <w:r w:rsidRPr="00955041">
              <w:rPr>
                <w:rFonts w:ascii="Arial" w:eastAsia="Times New Roman" w:hAnsi="Arial" w:cs="Arial"/>
                <w:sz w:val="20"/>
                <w:szCs w:val="20"/>
              </w:rPr>
              <w:t>±0.05</w:t>
            </w:r>
            <w:r w:rsidRPr="00955041">
              <w:rPr>
                <w:rFonts w:ascii="Arial" w:eastAsia="Times New Roman" w:hAnsi="Arial" w:cs="Arial"/>
                <w:sz w:val="20"/>
                <w:szCs w:val="20"/>
                <w:vertAlign w:val="superscript"/>
              </w:rPr>
              <w:t>a</w:t>
            </w:r>
          </w:p>
        </w:tc>
        <w:tc>
          <w:tcPr>
            <w:tcW w:w="274" w:type="dxa"/>
            <w:shd w:val="clear" w:color="auto" w:fill="auto"/>
          </w:tcPr>
          <w:p w14:paraId="5889904F"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6B4535C0" w14:textId="77777777" w:rsidTr="00944E2F">
        <w:trPr>
          <w:trHeight w:val="262"/>
        </w:trPr>
        <w:tc>
          <w:tcPr>
            <w:cnfStyle w:val="001000000000" w:firstRow="0" w:lastRow="0" w:firstColumn="1" w:lastColumn="0" w:oddVBand="0" w:evenVBand="0" w:oddHBand="0" w:evenHBand="0" w:firstRowFirstColumn="0" w:firstRowLastColumn="0" w:lastRowFirstColumn="0" w:lastRowLastColumn="0"/>
            <w:tcW w:w="2070" w:type="dxa"/>
          </w:tcPr>
          <w:p w14:paraId="1FD667F4" w14:textId="77777777" w:rsidR="00B31226" w:rsidRPr="00955041" w:rsidRDefault="00B31226" w:rsidP="00944E2F">
            <w:pPr>
              <w:spacing w:line="276" w:lineRule="auto"/>
              <w:jc w:val="both"/>
              <w:rPr>
                <w:rFonts w:ascii="Arial" w:hAnsi="Arial" w:cs="Arial"/>
                <w:sz w:val="20"/>
                <w:szCs w:val="20"/>
              </w:rPr>
            </w:pPr>
            <w:proofErr w:type="gramStart"/>
            <w:r w:rsidRPr="00955041">
              <w:rPr>
                <w:rFonts w:ascii="Arial" w:hAnsi="Arial" w:cs="Arial"/>
                <w:sz w:val="20"/>
                <w:szCs w:val="20"/>
              </w:rPr>
              <w:t>GEN(</w:t>
            </w:r>
            <w:proofErr w:type="gramEnd"/>
            <w:r w:rsidRPr="00955041">
              <w:rPr>
                <w:rFonts w:ascii="Arial" w:hAnsi="Arial" w:cs="Arial"/>
                <w:sz w:val="20"/>
                <w:szCs w:val="20"/>
              </w:rPr>
              <w:t>100mg/kg)</w:t>
            </w:r>
          </w:p>
        </w:tc>
        <w:tc>
          <w:tcPr>
            <w:tcW w:w="1980" w:type="dxa"/>
          </w:tcPr>
          <w:p w14:paraId="7F5ECC1C"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14.48</w:t>
            </w:r>
            <w:r w:rsidRPr="00955041">
              <w:rPr>
                <w:rFonts w:ascii="Arial" w:eastAsia="Times New Roman" w:hAnsi="Arial" w:cs="Arial"/>
                <w:sz w:val="20"/>
                <w:szCs w:val="20"/>
              </w:rPr>
              <w:t>±2.00</w:t>
            </w:r>
            <w:r w:rsidRPr="00955041">
              <w:rPr>
                <w:rFonts w:ascii="Arial" w:eastAsia="Times New Roman" w:hAnsi="Arial" w:cs="Arial"/>
                <w:sz w:val="20"/>
                <w:szCs w:val="20"/>
                <w:vertAlign w:val="superscript"/>
              </w:rPr>
              <w:t>b</w:t>
            </w:r>
          </w:p>
        </w:tc>
        <w:tc>
          <w:tcPr>
            <w:tcW w:w="2093" w:type="dxa"/>
          </w:tcPr>
          <w:p w14:paraId="72C95185"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6.18</w:t>
            </w:r>
            <w:r w:rsidRPr="00955041">
              <w:rPr>
                <w:rFonts w:ascii="Arial" w:eastAsia="Times New Roman" w:hAnsi="Arial" w:cs="Arial"/>
                <w:sz w:val="20"/>
                <w:szCs w:val="20"/>
              </w:rPr>
              <w:t>±0.57</w:t>
            </w:r>
            <w:r w:rsidRPr="00955041">
              <w:rPr>
                <w:rFonts w:ascii="Arial" w:eastAsia="Times New Roman" w:hAnsi="Arial" w:cs="Arial"/>
                <w:sz w:val="20"/>
                <w:szCs w:val="20"/>
                <w:vertAlign w:val="superscript"/>
              </w:rPr>
              <w:t>a</w:t>
            </w:r>
          </w:p>
        </w:tc>
        <w:tc>
          <w:tcPr>
            <w:tcW w:w="1837" w:type="dxa"/>
          </w:tcPr>
          <w:p w14:paraId="30494531"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0.62</w:t>
            </w:r>
            <w:r w:rsidRPr="00955041">
              <w:rPr>
                <w:rFonts w:ascii="Arial" w:eastAsia="Times New Roman" w:hAnsi="Arial" w:cs="Arial"/>
                <w:sz w:val="20"/>
                <w:szCs w:val="20"/>
              </w:rPr>
              <w:t>±0.14</w:t>
            </w:r>
            <w:r w:rsidRPr="00955041">
              <w:rPr>
                <w:rFonts w:ascii="Arial" w:eastAsia="Times New Roman" w:hAnsi="Arial" w:cs="Arial"/>
                <w:sz w:val="20"/>
                <w:szCs w:val="20"/>
                <w:vertAlign w:val="superscript"/>
              </w:rPr>
              <w:t>b</w:t>
            </w:r>
          </w:p>
        </w:tc>
        <w:tc>
          <w:tcPr>
            <w:tcW w:w="274" w:type="dxa"/>
          </w:tcPr>
          <w:p w14:paraId="05F0359B"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1226" w:rsidRPr="00955041" w14:paraId="132F8F9C" w14:textId="77777777" w:rsidTr="00944E2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592BFAAA"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GEN.+100MSEVD</w:t>
            </w:r>
          </w:p>
        </w:tc>
        <w:tc>
          <w:tcPr>
            <w:tcW w:w="1980" w:type="dxa"/>
            <w:shd w:val="clear" w:color="auto" w:fill="auto"/>
          </w:tcPr>
          <w:p w14:paraId="073C259A"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5.77</w:t>
            </w:r>
            <w:r w:rsidRPr="00955041">
              <w:rPr>
                <w:rFonts w:ascii="Arial" w:eastAsia="Times New Roman" w:hAnsi="Arial" w:cs="Arial"/>
                <w:sz w:val="20"/>
                <w:szCs w:val="20"/>
              </w:rPr>
              <w:t>±1.82</w:t>
            </w:r>
            <w:r w:rsidRPr="00955041">
              <w:rPr>
                <w:rFonts w:ascii="Arial" w:eastAsia="Times New Roman" w:hAnsi="Arial" w:cs="Arial"/>
                <w:sz w:val="20"/>
                <w:szCs w:val="20"/>
                <w:vertAlign w:val="superscript"/>
              </w:rPr>
              <w:t>a</w:t>
            </w:r>
          </w:p>
        </w:tc>
        <w:tc>
          <w:tcPr>
            <w:tcW w:w="2093" w:type="dxa"/>
            <w:shd w:val="clear" w:color="auto" w:fill="auto"/>
          </w:tcPr>
          <w:p w14:paraId="297B3041"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6.13</w:t>
            </w:r>
            <w:r w:rsidRPr="00955041">
              <w:rPr>
                <w:rFonts w:ascii="Arial" w:eastAsia="Times New Roman" w:hAnsi="Arial" w:cs="Arial"/>
                <w:sz w:val="20"/>
                <w:szCs w:val="20"/>
              </w:rPr>
              <w:t>±0.16</w:t>
            </w:r>
            <w:r w:rsidRPr="00955041">
              <w:rPr>
                <w:rFonts w:ascii="Arial" w:eastAsia="Times New Roman" w:hAnsi="Arial" w:cs="Arial"/>
                <w:sz w:val="20"/>
                <w:szCs w:val="20"/>
                <w:vertAlign w:val="superscript"/>
              </w:rPr>
              <w:t>a</w:t>
            </w:r>
          </w:p>
        </w:tc>
        <w:tc>
          <w:tcPr>
            <w:tcW w:w="1837" w:type="dxa"/>
            <w:shd w:val="clear" w:color="auto" w:fill="auto"/>
          </w:tcPr>
          <w:p w14:paraId="75F70700"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0.18</w:t>
            </w:r>
            <w:r w:rsidRPr="00955041">
              <w:rPr>
                <w:rFonts w:ascii="Arial" w:eastAsia="Times New Roman" w:hAnsi="Arial" w:cs="Arial"/>
                <w:sz w:val="20"/>
                <w:szCs w:val="20"/>
              </w:rPr>
              <w:t>±0.62</w:t>
            </w:r>
            <w:r w:rsidRPr="00955041">
              <w:rPr>
                <w:rFonts w:ascii="Arial" w:eastAsia="Times New Roman" w:hAnsi="Arial" w:cs="Arial"/>
                <w:sz w:val="20"/>
                <w:szCs w:val="20"/>
                <w:vertAlign w:val="superscript"/>
              </w:rPr>
              <w:t>a</w:t>
            </w:r>
          </w:p>
        </w:tc>
        <w:tc>
          <w:tcPr>
            <w:tcW w:w="274" w:type="dxa"/>
            <w:shd w:val="clear" w:color="auto" w:fill="auto"/>
          </w:tcPr>
          <w:p w14:paraId="20D47F97"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1DD6F198" w14:textId="77777777" w:rsidTr="00944E2F">
        <w:trPr>
          <w:trHeight w:val="342"/>
        </w:trPr>
        <w:tc>
          <w:tcPr>
            <w:cnfStyle w:val="001000000000" w:firstRow="0" w:lastRow="0" w:firstColumn="1" w:lastColumn="0" w:oddVBand="0" w:evenVBand="0" w:oddHBand="0" w:evenHBand="0" w:firstRowFirstColumn="0" w:firstRowLastColumn="0" w:lastRowFirstColumn="0" w:lastRowLastColumn="0"/>
            <w:tcW w:w="2070" w:type="dxa"/>
          </w:tcPr>
          <w:p w14:paraId="22A51FA7"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GEN+200MSEVD</w:t>
            </w:r>
          </w:p>
        </w:tc>
        <w:tc>
          <w:tcPr>
            <w:tcW w:w="1980" w:type="dxa"/>
          </w:tcPr>
          <w:p w14:paraId="33BC0430"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8.19</w:t>
            </w:r>
            <w:r w:rsidRPr="00955041">
              <w:rPr>
                <w:rFonts w:ascii="Arial" w:eastAsia="Times New Roman" w:hAnsi="Arial" w:cs="Arial"/>
                <w:sz w:val="20"/>
                <w:szCs w:val="20"/>
              </w:rPr>
              <w:t>±0.00</w:t>
            </w:r>
            <w:r w:rsidRPr="00955041">
              <w:rPr>
                <w:rFonts w:ascii="Arial" w:eastAsia="Times New Roman" w:hAnsi="Arial" w:cs="Arial"/>
                <w:sz w:val="20"/>
                <w:szCs w:val="20"/>
                <w:vertAlign w:val="superscript"/>
              </w:rPr>
              <w:t>a</w:t>
            </w:r>
          </w:p>
        </w:tc>
        <w:tc>
          <w:tcPr>
            <w:tcW w:w="2093" w:type="dxa"/>
          </w:tcPr>
          <w:p w14:paraId="4EF979F5"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5.83</w:t>
            </w:r>
            <w:r w:rsidRPr="00955041">
              <w:rPr>
                <w:rFonts w:ascii="Arial" w:eastAsia="Times New Roman" w:hAnsi="Arial" w:cs="Arial"/>
                <w:sz w:val="20"/>
                <w:szCs w:val="20"/>
              </w:rPr>
              <w:t>±0.22</w:t>
            </w:r>
            <w:r w:rsidRPr="00955041">
              <w:rPr>
                <w:rFonts w:ascii="Arial" w:eastAsia="Times New Roman" w:hAnsi="Arial" w:cs="Arial"/>
                <w:sz w:val="20"/>
                <w:szCs w:val="20"/>
                <w:vertAlign w:val="superscript"/>
              </w:rPr>
              <w:t>a</w:t>
            </w:r>
          </w:p>
        </w:tc>
        <w:tc>
          <w:tcPr>
            <w:tcW w:w="1837" w:type="dxa"/>
          </w:tcPr>
          <w:p w14:paraId="53C881A5"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0.28</w:t>
            </w:r>
            <w:r w:rsidRPr="00955041">
              <w:rPr>
                <w:rFonts w:ascii="Arial" w:eastAsia="Times New Roman" w:hAnsi="Arial" w:cs="Arial"/>
                <w:sz w:val="20"/>
                <w:szCs w:val="20"/>
              </w:rPr>
              <w:t>±0.06</w:t>
            </w:r>
            <w:r w:rsidRPr="00955041">
              <w:rPr>
                <w:rFonts w:ascii="Arial" w:eastAsia="Times New Roman" w:hAnsi="Arial" w:cs="Arial"/>
                <w:sz w:val="20"/>
                <w:szCs w:val="20"/>
                <w:vertAlign w:val="superscript"/>
              </w:rPr>
              <w:t>a</w:t>
            </w:r>
          </w:p>
        </w:tc>
        <w:tc>
          <w:tcPr>
            <w:tcW w:w="274" w:type="dxa"/>
          </w:tcPr>
          <w:p w14:paraId="4E228862"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1226" w:rsidRPr="00955041" w14:paraId="2BDAEC97" w14:textId="77777777" w:rsidTr="00944E2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59FF0D76"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GEN.+400MSEVD</w:t>
            </w:r>
          </w:p>
        </w:tc>
        <w:tc>
          <w:tcPr>
            <w:tcW w:w="1980" w:type="dxa"/>
            <w:shd w:val="clear" w:color="auto" w:fill="auto"/>
          </w:tcPr>
          <w:p w14:paraId="28B45F61"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4.24</w:t>
            </w:r>
            <w:r w:rsidRPr="00955041">
              <w:rPr>
                <w:rFonts w:ascii="Arial" w:eastAsia="Times New Roman" w:hAnsi="Arial" w:cs="Arial"/>
                <w:sz w:val="20"/>
                <w:szCs w:val="20"/>
              </w:rPr>
              <w:t>±0.94</w:t>
            </w:r>
            <w:r w:rsidRPr="00955041">
              <w:rPr>
                <w:rFonts w:ascii="Arial" w:eastAsia="Times New Roman" w:hAnsi="Arial" w:cs="Arial"/>
                <w:sz w:val="20"/>
                <w:szCs w:val="20"/>
                <w:vertAlign w:val="superscript"/>
              </w:rPr>
              <w:t>a</w:t>
            </w:r>
          </w:p>
        </w:tc>
        <w:tc>
          <w:tcPr>
            <w:tcW w:w="2093" w:type="dxa"/>
            <w:shd w:val="clear" w:color="auto" w:fill="auto"/>
          </w:tcPr>
          <w:p w14:paraId="2ABBDB37"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2.70</w:t>
            </w:r>
            <w:r w:rsidRPr="00955041">
              <w:rPr>
                <w:rFonts w:ascii="Arial" w:eastAsia="Times New Roman" w:hAnsi="Arial" w:cs="Arial"/>
                <w:sz w:val="20"/>
                <w:szCs w:val="20"/>
              </w:rPr>
              <w:t>±0.13</w:t>
            </w:r>
            <w:r w:rsidRPr="00955041">
              <w:rPr>
                <w:rFonts w:ascii="Arial" w:eastAsia="Times New Roman" w:hAnsi="Arial" w:cs="Arial"/>
                <w:sz w:val="20"/>
                <w:szCs w:val="20"/>
                <w:vertAlign w:val="superscript"/>
              </w:rPr>
              <w:t>b</w:t>
            </w:r>
          </w:p>
        </w:tc>
        <w:tc>
          <w:tcPr>
            <w:tcW w:w="1837" w:type="dxa"/>
            <w:shd w:val="clear" w:color="auto" w:fill="auto"/>
          </w:tcPr>
          <w:p w14:paraId="03D591B2"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0.12</w:t>
            </w:r>
            <w:r w:rsidRPr="00955041">
              <w:rPr>
                <w:rFonts w:ascii="Arial" w:eastAsia="Times New Roman" w:hAnsi="Arial" w:cs="Arial"/>
                <w:sz w:val="20"/>
                <w:szCs w:val="20"/>
              </w:rPr>
              <w:t>±0.18</w:t>
            </w:r>
            <w:r w:rsidRPr="00955041">
              <w:rPr>
                <w:rFonts w:ascii="Arial" w:eastAsia="Times New Roman" w:hAnsi="Arial" w:cs="Arial"/>
                <w:sz w:val="20"/>
                <w:szCs w:val="20"/>
                <w:vertAlign w:val="superscript"/>
              </w:rPr>
              <w:t>a</w:t>
            </w:r>
          </w:p>
        </w:tc>
        <w:tc>
          <w:tcPr>
            <w:tcW w:w="274" w:type="dxa"/>
            <w:shd w:val="clear" w:color="auto" w:fill="auto"/>
          </w:tcPr>
          <w:p w14:paraId="3342FC6F" w14:textId="77777777" w:rsidR="00B31226" w:rsidRPr="00955041" w:rsidRDefault="00B31226" w:rsidP="00944E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1226" w:rsidRPr="00955041" w14:paraId="32D6BB82" w14:textId="77777777" w:rsidTr="00944E2F">
        <w:trPr>
          <w:trHeight w:val="423"/>
        </w:trPr>
        <w:tc>
          <w:tcPr>
            <w:cnfStyle w:val="001000000000" w:firstRow="0" w:lastRow="0" w:firstColumn="1" w:lastColumn="0" w:oddVBand="0" w:evenVBand="0" w:oddHBand="0" w:evenHBand="0" w:firstRowFirstColumn="0" w:firstRowLastColumn="0" w:lastRowFirstColumn="0" w:lastRowLastColumn="0"/>
            <w:tcW w:w="2070" w:type="dxa"/>
          </w:tcPr>
          <w:p w14:paraId="08B33486" w14:textId="77777777" w:rsidR="00B31226" w:rsidRPr="00955041" w:rsidRDefault="00B31226" w:rsidP="00944E2F">
            <w:pPr>
              <w:spacing w:line="276" w:lineRule="auto"/>
              <w:jc w:val="both"/>
              <w:rPr>
                <w:rFonts w:ascii="Arial" w:hAnsi="Arial" w:cs="Arial"/>
                <w:sz w:val="20"/>
                <w:szCs w:val="20"/>
              </w:rPr>
            </w:pPr>
            <w:r w:rsidRPr="00955041">
              <w:rPr>
                <w:rFonts w:ascii="Arial" w:hAnsi="Arial" w:cs="Arial"/>
                <w:sz w:val="20"/>
                <w:szCs w:val="20"/>
              </w:rPr>
              <w:t>GEN.+RFD</w:t>
            </w:r>
          </w:p>
        </w:tc>
        <w:tc>
          <w:tcPr>
            <w:tcW w:w="1980" w:type="dxa"/>
          </w:tcPr>
          <w:p w14:paraId="5DF2C016"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5.62</w:t>
            </w:r>
            <w:r w:rsidRPr="00955041">
              <w:rPr>
                <w:rFonts w:ascii="Arial" w:eastAsia="Times New Roman" w:hAnsi="Arial" w:cs="Arial"/>
                <w:sz w:val="20"/>
                <w:szCs w:val="20"/>
              </w:rPr>
              <w:t>±1.38</w:t>
            </w:r>
            <w:r w:rsidRPr="00955041">
              <w:rPr>
                <w:rFonts w:ascii="Arial" w:eastAsia="Times New Roman" w:hAnsi="Arial" w:cs="Arial"/>
                <w:sz w:val="20"/>
                <w:szCs w:val="20"/>
                <w:vertAlign w:val="superscript"/>
              </w:rPr>
              <w:t>a</w:t>
            </w:r>
          </w:p>
        </w:tc>
        <w:tc>
          <w:tcPr>
            <w:tcW w:w="2093" w:type="dxa"/>
          </w:tcPr>
          <w:p w14:paraId="44BFE9CD"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6.33</w:t>
            </w:r>
            <w:r w:rsidRPr="00955041">
              <w:rPr>
                <w:rFonts w:ascii="Arial" w:eastAsia="Times New Roman" w:hAnsi="Arial" w:cs="Arial"/>
                <w:sz w:val="20"/>
                <w:szCs w:val="20"/>
              </w:rPr>
              <w:t>±0.07</w:t>
            </w:r>
            <w:r w:rsidRPr="00955041">
              <w:rPr>
                <w:rFonts w:ascii="Arial" w:eastAsia="Times New Roman" w:hAnsi="Arial" w:cs="Arial"/>
                <w:sz w:val="20"/>
                <w:szCs w:val="20"/>
                <w:vertAlign w:val="superscript"/>
              </w:rPr>
              <w:t>a</w:t>
            </w:r>
          </w:p>
        </w:tc>
        <w:tc>
          <w:tcPr>
            <w:tcW w:w="1837" w:type="dxa"/>
          </w:tcPr>
          <w:p w14:paraId="11794733"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55041">
              <w:rPr>
                <w:rFonts w:ascii="Arial" w:hAnsi="Arial" w:cs="Arial"/>
                <w:sz w:val="20"/>
                <w:szCs w:val="20"/>
              </w:rPr>
              <w:t>0.19</w:t>
            </w:r>
            <w:r w:rsidRPr="00955041">
              <w:rPr>
                <w:rFonts w:ascii="Arial" w:eastAsia="Times New Roman" w:hAnsi="Arial" w:cs="Arial"/>
                <w:sz w:val="20"/>
                <w:szCs w:val="20"/>
              </w:rPr>
              <w:t>±0.04</w:t>
            </w:r>
            <w:r w:rsidRPr="00955041">
              <w:rPr>
                <w:rFonts w:ascii="Arial" w:eastAsia="Times New Roman" w:hAnsi="Arial" w:cs="Arial"/>
                <w:sz w:val="20"/>
                <w:szCs w:val="20"/>
                <w:vertAlign w:val="superscript"/>
              </w:rPr>
              <w:t>a</w:t>
            </w:r>
          </w:p>
        </w:tc>
        <w:tc>
          <w:tcPr>
            <w:tcW w:w="274" w:type="dxa"/>
          </w:tcPr>
          <w:p w14:paraId="74AD2E50" w14:textId="77777777" w:rsidR="00B31226" w:rsidRPr="00955041" w:rsidRDefault="00B31226" w:rsidP="00944E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2E43B39" w14:textId="77777777" w:rsidR="007B608D" w:rsidRPr="00955041" w:rsidRDefault="00B31226" w:rsidP="00B31226">
      <w:pPr>
        <w:spacing w:line="276" w:lineRule="auto"/>
        <w:jc w:val="both"/>
        <w:rPr>
          <w:rFonts w:ascii="Arial" w:hAnsi="Arial" w:cs="Arial"/>
          <w:i/>
          <w:iCs/>
          <w:color w:val="000000" w:themeColor="text1"/>
          <w:sz w:val="20"/>
          <w:szCs w:val="20"/>
        </w:rPr>
      </w:pPr>
      <w:r w:rsidRPr="00955041">
        <w:rPr>
          <w:rFonts w:ascii="Arial" w:hAnsi="Arial" w:cs="Arial"/>
          <w:color w:val="000000" w:themeColor="text1"/>
          <w:sz w:val="20"/>
          <w:szCs w:val="20"/>
        </w:rPr>
        <w:t xml:space="preserve">Values are mean ± SEM of four replicates and are considered statistically significant at p&lt;0.05. Values with different letters superscripts are significantly different (p&lt;0.05) from the control. NC= Normal control, GM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Gentamicin, RFD </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Reference drug, MSEVD</w:t>
      </w:r>
      <m:oMath>
        <m:r>
          <w:rPr>
            <w:rFonts w:ascii="Cambria Math" w:hAnsi="Cambria Math" w:cs="Arial"/>
            <w:color w:val="000000" w:themeColor="text1"/>
            <w:sz w:val="20"/>
            <w:szCs w:val="20"/>
          </w:rPr>
          <m:t>=</m:t>
        </m:r>
      </m:oMath>
      <w:r w:rsidRPr="00955041">
        <w:rPr>
          <w:rFonts w:ascii="Arial" w:hAnsi="Arial" w:cs="Arial"/>
          <w:color w:val="000000" w:themeColor="text1"/>
          <w:sz w:val="20"/>
          <w:szCs w:val="20"/>
        </w:rPr>
        <w:t xml:space="preserve">Methanol stem bark extract of </w:t>
      </w:r>
      <w:r w:rsidRPr="00955041">
        <w:rPr>
          <w:rFonts w:ascii="Arial" w:hAnsi="Arial" w:cs="Arial"/>
          <w:i/>
          <w:iCs/>
          <w:color w:val="000000" w:themeColor="text1"/>
          <w:sz w:val="20"/>
          <w:szCs w:val="20"/>
        </w:rPr>
        <w:t xml:space="preserve">Vitex </w:t>
      </w:r>
      <w:proofErr w:type="spellStart"/>
      <w:r w:rsidRPr="00955041">
        <w:rPr>
          <w:rFonts w:ascii="Arial" w:hAnsi="Arial" w:cs="Arial"/>
          <w:i/>
          <w:iCs/>
          <w:color w:val="000000" w:themeColor="text1"/>
          <w:sz w:val="20"/>
          <w:szCs w:val="20"/>
        </w:rPr>
        <w:t>doniana</w:t>
      </w:r>
      <w:proofErr w:type="spellEnd"/>
      <w:r w:rsidRPr="00955041">
        <w:rPr>
          <w:rFonts w:ascii="Arial" w:hAnsi="Arial" w:cs="Arial"/>
          <w:i/>
          <w:iCs/>
          <w:color w:val="000000" w:themeColor="text1"/>
          <w:sz w:val="20"/>
          <w:szCs w:val="20"/>
        </w:rPr>
        <w:t>.</w:t>
      </w:r>
      <w:bookmarkEnd w:id="1"/>
    </w:p>
    <w:p w14:paraId="38C0E11C" w14:textId="77777777" w:rsidR="00EE0D7C" w:rsidRPr="00955041" w:rsidRDefault="00EE0D7C" w:rsidP="00B31226">
      <w:pPr>
        <w:spacing w:line="276" w:lineRule="auto"/>
        <w:jc w:val="both"/>
        <w:rPr>
          <w:rFonts w:ascii="Arial" w:hAnsi="Arial" w:cs="Arial"/>
          <w:i/>
          <w:iCs/>
          <w:color w:val="000000" w:themeColor="text1"/>
          <w:sz w:val="20"/>
          <w:szCs w:val="20"/>
        </w:rPr>
      </w:pPr>
    </w:p>
    <w:p w14:paraId="5A88BC1F" w14:textId="77777777" w:rsidR="00EE0D7C" w:rsidRPr="005570DE" w:rsidRDefault="00EE0D7C" w:rsidP="00B31226">
      <w:pPr>
        <w:spacing w:line="276" w:lineRule="auto"/>
        <w:jc w:val="both"/>
        <w:rPr>
          <w:rFonts w:ascii="Arial" w:hAnsi="Arial" w:cs="Arial"/>
          <w:i/>
          <w:iCs/>
          <w:color w:val="000000" w:themeColor="text1"/>
        </w:rPr>
      </w:pPr>
    </w:p>
    <w:p w14:paraId="4AA5E001" w14:textId="77777777" w:rsidR="00EE0D7C" w:rsidRPr="005570DE" w:rsidRDefault="00EE0D7C" w:rsidP="00B31226">
      <w:pPr>
        <w:spacing w:line="276" w:lineRule="auto"/>
        <w:jc w:val="both"/>
        <w:rPr>
          <w:rFonts w:ascii="Arial" w:hAnsi="Arial" w:cs="Arial"/>
          <w:i/>
          <w:iCs/>
          <w:color w:val="000000" w:themeColor="text1"/>
        </w:rPr>
      </w:pPr>
    </w:p>
    <w:p w14:paraId="588F7209" w14:textId="77777777" w:rsidR="00EE0D7C" w:rsidRPr="005570DE" w:rsidRDefault="00EE0D7C" w:rsidP="00B31226">
      <w:pPr>
        <w:spacing w:line="276" w:lineRule="auto"/>
        <w:jc w:val="both"/>
        <w:rPr>
          <w:rFonts w:ascii="Arial" w:hAnsi="Arial" w:cs="Arial"/>
          <w:i/>
          <w:iCs/>
          <w:color w:val="000000" w:themeColor="text1"/>
        </w:rPr>
      </w:pPr>
    </w:p>
    <w:p w14:paraId="12169DC9" w14:textId="77777777" w:rsidR="00EE0D7C" w:rsidRPr="005570DE" w:rsidRDefault="00EE0D7C" w:rsidP="00B31226">
      <w:pPr>
        <w:spacing w:line="276" w:lineRule="auto"/>
        <w:jc w:val="both"/>
        <w:rPr>
          <w:rFonts w:ascii="Arial" w:hAnsi="Arial" w:cs="Arial"/>
          <w:i/>
          <w:iCs/>
          <w:color w:val="000000" w:themeColor="text1"/>
        </w:rPr>
      </w:pPr>
    </w:p>
    <w:p w14:paraId="08AFEBAF" w14:textId="77777777" w:rsidR="00EE0D7C" w:rsidRPr="005570DE" w:rsidRDefault="00EE0D7C" w:rsidP="00B31226">
      <w:pPr>
        <w:spacing w:line="276" w:lineRule="auto"/>
        <w:jc w:val="both"/>
        <w:rPr>
          <w:rFonts w:ascii="Arial" w:hAnsi="Arial" w:cs="Arial"/>
          <w:i/>
          <w:iCs/>
          <w:color w:val="000000" w:themeColor="text1"/>
        </w:rPr>
      </w:pPr>
    </w:p>
    <w:p w14:paraId="5FF14CDF" w14:textId="77777777" w:rsidR="00EE0D7C" w:rsidRPr="005570DE" w:rsidRDefault="00EE0D7C" w:rsidP="00B31226">
      <w:pPr>
        <w:spacing w:line="276" w:lineRule="auto"/>
        <w:jc w:val="both"/>
        <w:rPr>
          <w:rFonts w:ascii="Arial" w:hAnsi="Arial" w:cs="Arial"/>
          <w:i/>
          <w:iCs/>
          <w:color w:val="000000" w:themeColor="text1"/>
        </w:rPr>
      </w:pPr>
    </w:p>
    <w:p w14:paraId="471EFEF9" w14:textId="77777777" w:rsidR="00B31226" w:rsidRPr="005570DE" w:rsidRDefault="00B31226" w:rsidP="00B31226">
      <w:pPr>
        <w:spacing w:line="276" w:lineRule="auto"/>
        <w:jc w:val="both"/>
        <w:rPr>
          <w:rFonts w:ascii="Arial" w:hAnsi="Arial" w:cs="Arial"/>
          <w:color w:val="000000" w:themeColor="text1"/>
        </w:rPr>
      </w:pPr>
      <w:bookmarkStart w:id="2" w:name="_Hlk218786618"/>
      <w:r w:rsidRPr="005570DE">
        <w:rPr>
          <w:rFonts w:ascii="Arial" w:hAnsi="Arial" w:cs="Arial"/>
          <w:b/>
          <w:color w:val="000000" w:themeColor="text1"/>
        </w:rPr>
        <w:lastRenderedPageBreak/>
        <w:t xml:space="preserve">Histopathology effects of concurrent administration of gentamicin and methanol stem bark extract of </w:t>
      </w:r>
      <w:r w:rsidRPr="005570DE">
        <w:rPr>
          <w:rFonts w:ascii="Arial" w:hAnsi="Arial" w:cs="Arial"/>
          <w:b/>
          <w:i/>
          <w:color w:val="000000" w:themeColor="text1"/>
        </w:rPr>
        <w:t xml:space="preserve">Vitex </w:t>
      </w:r>
      <w:proofErr w:type="spellStart"/>
      <w:r w:rsidRPr="005570DE">
        <w:rPr>
          <w:rFonts w:ascii="Arial" w:hAnsi="Arial" w:cs="Arial"/>
          <w:b/>
          <w:i/>
          <w:color w:val="000000" w:themeColor="text1"/>
        </w:rPr>
        <w:t>doniana</w:t>
      </w:r>
      <w:proofErr w:type="spellEnd"/>
      <w:r w:rsidRPr="005570DE">
        <w:rPr>
          <w:rFonts w:ascii="Arial" w:hAnsi="Arial" w:cs="Arial"/>
          <w:b/>
          <w:color w:val="000000" w:themeColor="text1"/>
        </w:rPr>
        <w:t xml:space="preserve"> on heart histology.</w:t>
      </w:r>
    </w:p>
    <w:p w14:paraId="0B2868E2" w14:textId="77777777" w:rsidR="00B31226" w:rsidRPr="005570DE" w:rsidRDefault="00B31226" w:rsidP="00B31226">
      <w:pPr>
        <w:spacing w:line="276" w:lineRule="auto"/>
        <w:jc w:val="both"/>
        <w:rPr>
          <w:rFonts w:ascii="Arial" w:hAnsi="Arial" w:cs="Arial"/>
          <w:b/>
        </w:rPr>
      </w:pPr>
    </w:p>
    <w:p w14:paraId="284C5216" w14:textId="77777777" w:rsidR="00B31226" w:rsidRPr="005570DE" w:rsidRDefault="00B31226" w:rsidP="00B31226">
      <w:pPr>
        <w:spacing w:line="276" w:lineRule="auto"/>
        <w:jc w:val="both"/>
        <w:rPr>
          <w:rFonts w:ascii="Arial" w:hAnsi="Arial" w:cs="Arial"/>
          <w:b/>
        </w:rPr>
      </w:pPr>
      <w:r w:rsidRPr="005570DE">
        <w:rPr>
          <w:rFonts w:ascii="Arial" w:hAnsi="Arial" w:cs="Arial"/>
          <w:b/>
          <w:noProof/>
        </w:rPr>
        <w:drawing>
          <wp:inline distT="0" distB="0" distL="0" distR="0" wp14:anchorId="4C325225" wp14:editId="4186326D">
            <wp:extent cx="1543050" cy="1266825"/>
            <wp:effectExtent l="19050" t="0" r="0" b="0"/>
            <wp:docPr id="23" name="Picture 23" descr="A picture containing bir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ird, mountain&#10;&#10;Description automatically generated"/>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a:ln>
                      <a:noFill/>
                    </a:ln>
                  </pic:spPr>
                </pic:pic>
              </a:graphicData>
            </a:graphic>
          </wp:inline>
        </w:drawing>
      </w:r>
      <w:r w:rsidRPr="005570DE">
        <w:rPr>
          <w:rFonts w:ascii="Arial" w:hAnsi="Arial" w:cs="Arial"/>
          <w:b/>
          <w:noProof/>
        </w:rPr>
        <w:drawing>
          <wp:inline distT="0" distB="0" distL="0" distR="0" wp14:anchorId="54496965" wp14:editId="1F5D33D1">
            <wp:extent cx="1457325" cy="1266825"/>
            <wp:effectExtent l="19050" t="0" r="9525" b="0"/>
            <wp:docPr id="25" name="Picture 25" descr="A picture containing mountain, clos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ountain, close, fabric&#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r w:rsidRPr="005570DE">
        <w:rPr>
          <w:rFonts w:ascii="Arial" w:hAnsi="Arial" w:cs="Arial"/>
          <w:b/>
          <w:noProof/>
        </w:rPr>
        <w:drawing>
          <wp:inline distT="0" distB="0" distL="0" distR="0" wp14:anchorId="55999086" wp14:editId="7F4A35F9">
            <wp:extent cx="1638300" cy="1266825"/>
            <wp:effectExtent l="19050" t="0" r="0" b="0"/>
            <wp:docPr id="28" name="Picture 28"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abric&#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266825"/>
                    </a:xfrm>
                    <a:prstGeom prst="rect">
                      <a:avLst/>
                    </a:prstGeom>
                    <a:noFill/>
                    <a:ln>
                      <a:noFill/>
                    </a:ln>
                  </pic:spPr>
                </pic:pic>
              </a:graphicData>
            </a:graphic>
          </wp:inline>
        </w:drawing>
      </w:r>
    </w:p>
    <w:p w14:paraId="12F5E160" w14:textId="77777777" w:rsidR="00B31226" w:rsidRPr="005570DE" w:rsidRDefault="00B31226" w:rsidP="00B31226">
      <w:pPr>
        <w:spacing w:line="276" w:lineRule="auto"/>
        <w:jc w:val="both"/>
        <w:rPr>
          <w:rFonts w:ascii="Arial" w:hAnsi="Arial" w:cs="Arial"/>
          <w:b/>
        </w:rPr>
      </w:pPr>
      <w:r w:rsidRPr="005570DE">
        <w:rPr>
          <w:rFonts w:ascii="Arial" w:hAnsi="Arial" w:cs="Arial"/>
          <w:b/>
          <w:noProof/>
        </w:rPr>
        <w:drawing>
          <wp:inline distT="0" distB="0" distL="0" distR="0" wp14:anchorId="5D0594BB" wp14:editId="3A27ACC4">
            <wp:extent cx="1371600" cy="1038225"/>
            <wp:effectExtent l="19050" t="0" r="0" b="0"/>
            <wp:docPr id="3" name="Picture 50"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10;&#10;Description automatically generated"/>
                    <pic:cNvPicPr>
                      <a:picLocks noChangeAspect="1" noChangeArrowheads="1"/>
                    </pic:cNvPicPr>
                  </pic:nvPicPr>
                  <pic:blipFill>
                    <a:blip r:embed="rId17"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r w:rsidRPr="005570DE">
        <w:rPr>
          <w:rFonts w:ascii="Arial" w:hAnsi="Arial" w:cs="Arial"/>
          <w:b/>
          <w:noProof/>
        </w:rPr>
        <w:drawing>
          <wp:inline distT="0" distB="0" distL="0" distR="0" wp14:anchorId="1F1BA516" wp14:editId="0298F438">
            <wp:extent cx="1562100" cy="1038225"/>
            <wp:effectExtent l="19050" t="0" r="0" b="0"/>
            <wp:docPr id="4" name="Picture 48" descr="A close 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eaf&#10;&#10;Description automatically generated with medium confidence"/>
                    <pic:cNvPicPr>
                      <a:picLocks noChangeAspect="1" noChangeArrowheads="1"/>
                    </pic:cNvPicPr>
                  </pic:nvPicPr>
                  <pic:blipFill>
                    <a:blip r:embed="rId18"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65035" cy="1040176"/>
                    </a:xfrm>
                    <a:prstGeom prst="rect">
                      <a:avLst/>
                    </a:prstGeom>
                    <a:noFill/>
                    <a:ln>
                      <a:noFill/>
                    </a:ln>
                  </pic:spPr>
                </pic:pic>
              </a:graphicData>
            </a:graphic>
          </wp:inline>
        </w:drawing>
      </w:r>
      <w:r w:rsidRPr="005570DE">
        <w:rPr>
          <w:rFonts w:ascii="Arial" w:hAnsi="Arial" w:cs="Arial"/>
          <w:b/>
          <w:noProof/>
        </w:rPr>
        <w:drawing>
          <wp:inline distT="0" distB="0" distL="0" distR="0" wp14:anchorId="40DDB6CD" wp14:editId="14BAA1A2">
            <wp:extent cx="1666875" cy="1038225"/>
            <wp:effectExtent l="19050" t="0" r="9525" b="0"/>
            <wp:docPr id="53" name="Picture 53" descr="A picture containing mountai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ountain, colorful&#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74105" cy="1042728"/>
                    </a:xfrm>
                    <a:prstGeom prst="rect">
                      <a:avLst/>
                    </a:prstGeom>
                    <a:noFill/>
                    <a:ln>
                      <a:noFill/>
                    </a:ln>
                  </pic:spPr>
                </pic:pic>
              </a:graphicData>
            </a:graphic>
          </wp:inline>
        </w:drawing>
      </w:r>
      <w:bookmarkEnd w:id="2"/>
    </w:p>
    <w:p w14:paraId="7DD3C902" w14:textId="77777777" w:rsidR="00B31226" w:rsidRPr="005570DE" w:rsidRDefault="00955041" w:rsidP="00B31226">
      <w:pPr>
        <w:spacing w:line="276" w:lineRule="auto"/>
        <w:jc w:val="both"/>
        <w:rPr>
          <w:rFonts w:ascii="Arial" w:hAnsi="Arial" w:cs="Arial"/>
          <w:b/>
        </w:rPr>
      </w:pPr>
      <w:r>
        <w:rPr>
          <w:rFonts w:ascii="Arial" w:hAnsi="Arial" w:cs="Arial"/>
          <w:b/>
        </w:rPr>
        <w:t xml:space="preserve">Plate 1-6: </w:t>
      </w:r>
      <w:r w:rsidRPr="005570DE">
        <w:rPr>
          <w:rFonts w:ascii="Arial" w:hAnsi="Arial" w:cs="Arial"/>
          <w:color w:val="000000" w:themeColor="text1"/>
        </w:rPr>
        <w:t>Photomicrographs of the heart of a representative of all experimental groups</w:t>
      </w:r>
    </w:p>
    <w:p w14:paraId="40D34737" w14:textId="77777777" w:rsidR="00B31226" w:rsidRPr="00955041" w:rsidRDefault="00B31226" w:rsidP="00B31226">
      <w:pPr>
        <w:spacing w:line="276" w:lineRule="auto"/>
        <w:jc w:val="both"/>
        <w:rPr>
          <w:rFonts w:ascii="Arial" w:hAnsi="Arial" w:cs="Arial"/>
          <w:sz w:val="20"/>
          <w:szCs w:val="20"/>
        </w:rPr>
      </w:pPr>
      <w:r w:rsidRPr="00955041">
        <w:rPr>
          <w:rFonts w:ascii="Arial" w:hAnsi="Arial" w:cs="Arial"/>
          <w:b/>
          <w:sz w:val="20"/>
          <w:szCs w:val="20"/>
        </w:rPr>
        <w:t>Plate 1</w:t>
      </w:r>
      <w:r w:rsidRPr="00955041">
        <w:rPr>
          <w:rFonts w:ascii="Arial" w:hAnsi="Arial" w:cs="Arial"/>
          <w:sz w:val="20"/>
          <w:szCs w:val="20"/>
        </w:rPr>
        <w:t>: A cross-sectional representative of a control, group A (0.9% normal saline) showing normal myocardial fibers with evidence of striation and cardiomyocytes showing normal deep basophilic nuclei and eosinophilic sarcoplasm, arterioles were visibly prominent (×400 magnification, hematoxylin-eosin stain).</w:t>
      </w:r>
      <w:r w:rsidRPr="00955041">
        <w:rPr>
          <w:rFonts w:ascii="Arial" w:hAnsi="Arial" w:cs="Arial"/>
          <w:b/>
          <w:sz w:val="20"/>
          <w:szCs w:val="20"/>
        </w:rPr>
        <w:t xml:space="preserve"> Plate 2:</w:t>
      </w:r>
      <w:r w:rsidRPr="00955041">
        <w:rPr>
          <w:rFonts w:ascii="Arial" w:hAnsi="Arial" w:cs="Arial"/>
          <w:sz w:val="20"/>
          <w:szCs w:val="20"/>
        </w:rPr>
        <w:t xml:space="preserve"> Group B (Gentamicin 100mg/kg BW), myocardial arterioles were severely destroyed and myocardial </w:t>
      </w:r>
      <w:proofErr w:type="spellStart"/>
      <w:r w:rsidRPr="00955041">
        <w:rPr>
          <w:rFonts w:ascii="Arial" w:hAnsi="Arial" w:cs="Arial"/>
          <w:sz w:val="20"/>
          <w:szCs w:val="20"/>
        </w:rPr>
        <w:t>fibres</w:t>
      </w:r>
      <w:proofErr w:type="spellEnd"/>
      <w:r w:rsidRPr="00955041">
        <w:rPr>
          <w:rFonts w:ascii="Arial" w:hAnsi="Arial" w:cs="Arial"/>
          <w:sz w:val="20"/>
          <w:szCs w:val="20"/>
        </w:rPr>
        <w:t xml:space="preserve"> showed increased cellularity which on high magnification had swollen </w:t>
      </w:r>
      <w:proofErr w:type="spellStart"/>
      <w:r w:rsidRPr="00955041">
        <w:rPr>
          <w:rFonts w:ascii="Arial" w:hAnsi="Arial" w:cs="Arial"/>
          <w:sz w:val="20"/>
          <w:szCs w:val="20"/>
        </w:rPr>
        <w:t>hypereosinophilic</w:t>
      </w:r>
      <w:proofErr w:type="spellEnd"/>
      <w:r w:rsidRPr="00955041">
        <w:rPr>
          <w:rFonts w:ascii="Arial" w:hAnsi="Arial" w:cs="Arial"/>
          <w:sz w:val="20"/>
          <w:szCs w:val="20"/>
        </w:rPr>
        <w:t xml:space="preserve"> sarcoplasm and necrotic nuclei and increase number of interstitial </w:t>
      </w:r>
      <w:proofErr w:type="gramStart"/>
      <w:r w:rsidRPr="00955041">
        <w:rPr>
          <w:rFonts w:ascii="Arial" w:hAnsi="Arial" w:cs="Arial"/>
          <w:sz w:val="20"/>
          <w:szCs w:val="20"/>
        </w:rPr>
        <w:t>fibroblast</w:t>
      </w:r>
      <w:proofErr w:type="gramEnd"/>
      <w:r w:rsidRPr="00955041">
        <w:rPr>
          <w:rFonts w:ascii="Arial" w:hAnsi="Arial" w:cs="Arial"/>
          <w:sz w:val="20"/>
          <w:szCs w:val="20"/>
        </w:rPr>
        <w:t xml:space="preserve">. The arterioles were infiltrated by lymphocytes and macrophages which also were within cardiomyocytes </w:t>
      </w:r>
      <w:proofErr w:type="spellStart"/>
      <w:r w:rsidRPr="00955041">
        <w:rPr>
          <w:rFonts w:ascii="Arial" w:hAnsi="Arial" w:cs="Arial"/>
          <w:sz w:val="20"/>
          <w:szCs w:val="20"/>
        </w:rPr>
        <w:t>fibres</w:t>
      </w:r>
      <w:proofErr w:type="spellEnd"/>
      <w:r w:rsidRPr="00955041">
        <w:rPr>
          <w:rFonts w:ascii="Arial" w:hAnsi="Arial" w:cs="Arial"/>
          <w:sz w:val="20"/>
          <w:szCs w:val="20"/>
        </w:rPr>
        <w:t>, H &amp; E X400.</w:t>
      </w:r>
      <w:r w:rsidRPr="00955041">
        <w:rPr>
          <w:rFonts w:ascii="Arial" w:hAnsi="Arial" w:cs="Arial"/>
          <w:b/>
          <w:sz w:val="20"/>
          <w:szCs w:val="20"/>
        </w:rPr>
        <w:t xml:space="preserve"> Plate 3</w:t>
      </w:r>
      <w:r w:rsidRPr="00955041">
        <w:rPr>
          <w:rFonts w:ascii="Arial" w:hAnsi="Arial" w:cs="Arial"/>
          <w:sz w:val="20"/>
          <w:szCs w:val="20"/>
        </w:rPr>
        <w:t xml:space="preserve">: Group C (Gentamicin 100mg/kg body weight + 100mg/kg BW of </w:t>
      </w:r>
      <w:r w:rsidRPr="00955041">
        <w:rPr>
          <w:rFonts w:ascii="Arial" w:hAnsi="Arial" w:cs="Arial"/>
          <w:i/>
          <w:sz w:val="20"/>
          <w:szCs w:val="20"/>
        </w:rPr>
        <w:t xml:space="preserve">Vitex </w:t>
      </w:r>
      <w:proofErr w:type="spellStart"/>
      <w:r w:rsidRPr="00955041">
        <w:rPr>
          <w:rFonts w:ascii="Arial" w:hAnsi="Arial" w:cs="Arial"/>
          <w:i/>
          <w:sz w:val="20"/>
          <w:szCs w:val="20"/>
        </w:rPr>
        <w:t>doniana</w:t>
      </w:r>
      <w:proofErr w:type="spellEnd"/>
      <w:r w:rsidRPr="00955041">
        <w:rPr>
          <w:rFonts w:ascii="Arial" w:hAnsi="Arial" w:cs="Arial"/>
          <w:sz w:val="20"/>
          <w:szCs w:val="20"/>
        </w:rPr>
        <w:t xml:space="preserve"> extract), myocardial arterioles were severely destroyed, with occasional thrombosis and myocardial </w:t>
      </w:r>
      <w:proofErr w:type="spellStart"/>
      <w:r w:rsidRPr="00955041">
        <w:rPr>
          <w:rFonts w:ascii="Arial" w:hAnsi="Arial" w:cs="Arial"/>
          <w:sz w:val="20"/>
          <w:szCs w:val="20"/>
        </w:rPr>
        <w:t>fibres</w:t>
      </w:r>
      <w:proofErr w:type="spellEnd"/>
      <w:r w:rsidRPr="00955041">
        <w:rPr>
          <w:rFonts w:ascii="Arial" w:hAnsi="Arial" w:cs="Arial"/>
          <w:sz w:val="20"/>
          <w:szCs w:val="20"/>
        </w:rPr>
        <w:t xml:space="preserve"> showed increased cellularity which on high magnification had swollen </w:t>
      </w:r>
      <w:proofErr w:type="spellStart"/>
      <w:r w:rsidRPr="00955041">
        <w:rPr>
          <w:rFonts w:ascii="Arial" w:hAnsi="Arial" w:cs="Arial"/>
          <w:sz w:val="20"/>
          <w:szCs w:val="20"/>
        </w:rPr>
        <w:t>hypereosinophilic</w:t>
      </w:r>
      <w:proofErr w:type="spellEnd"/>
      <w:r w:rsidRPr="00955041">
        <w:rPr>
          <w:rFonts w:ascii="Arial" w:hAnsi="Arial" w:cs="Arial"/>
          <w:sz w:val="20"/>
          <w:szCs w:val="20"/>
        </w:rPr>
        <w:t xml:space="preserve"> cytoplasm and necrotic nuclei and occasional rowing of nuclei depicting regeneration. The arterioles were infiltrated by lymphocytes which also were within cardiomyocytes </w:t>
      </w:r>
      <w:proofErr w:type="spellStart"/>
      <w:r w:rsidRPr="00955041">
        <w:rPr>
          <w:rFonts w:ascii="Arial" w:hAnsi="Arial" w:cs="Arial"/>
          <w:sz w:val="20"/>
          <w:szCs w:val="20"/>
        </w:rPr>
        <w:t>fibres</w:t>
      </w:r>
      <w:proofErr w:type="spellEnd"/>
      <w:r w:rsidRPr="00955041">
        <w:rPr>
          <w:rFonts w:ascii="Arial" w:hAnsi="Arial" w:cs="Arial"/>
          <w:sz w:val="20"/>
          <w:szCs w:val="20"/>
        </w:rPr>
        <w:t xml:space="preserve">. </w:t>
      </w:r>
      <w:r w:rsidRPr="00955041">
        <w:rPr>
          <w:rFonts w:ascii="Arial" w:hAnsi="Arial" w:cs="Arial"/>
          <w:b/>
          <w:sz w:val="20"/>
          <w:szCs w:val="20"/>
        </w:rPr>
        <w:t xml:space="preserve">Plate </w:t>
      </w:r>
      <w:proofErr w:type="gramStart"/>
      <w:r w:rsidRPr="00955041">
        <w:rPr>
          <w:rFonts w:ascii="Arial" w:hAnsi="Arial" w:cs="Arial"/>
          <w:b/>
          <w:sz w:val="20"/>
          <w:szCs w:val="20"/>
        </w:rPr>
        <w:t>4:</w:t>
      </w:r>
      <w:r w:rsidRPr="00955041">
        <w:rPr>
          <w:rFonts w:ascii="Arial" w:hAnsi="Arial" w:cs="Arial"/>
          <w:sz w:val="20"/>
          <w:szCs w:val="20"/>
        </w:rPr>
        <w:t>Group</w:t>
      </w:r>
      <w:proofErr w:type="gramEnd"/>
      <w:r w:rsidRPr="00955041">
        <w:rPr>
          <w:rFonts w:ascii="Arial" w:hAnsi="Arial" w:cs="Arial"/>
          <w:sz w:val="20"/>
          <w:szCs w:val="20"/>
        </w:rPr>
        <w:t xml:space="preserve"> D (</w:t>
      </w:r>
      <w:r w:rsidRPr="00955041">
        <w:rPr>
          <w:rFonts w:ascii="Arial" w:hAnsi="Arial" w:cs="Arial"/>
          <w:sz w:val="20"/>
          <w:szCs w:val="20"/>
          <w:lang w:val="it-IT"/>
        </w:rPr>
        <w:t xml:space="preserve">Gentamicin 100mg/kg </w:t>
      </w:r>
      <w:r w:rsidRPr="00955041">
        <w:rPr>
          <w:rFonts w:ascii="Arial" w:hAnsi="Arial" w:cs="Arial"/>
          <w:sz w:val="20"/>
          <w:szCs w:val="20"/>
        </w:rPr>
        <w:t>body weight</w:t>
      </w:r>
      <w:r w:rsidRPr="00955041">
        <w:rPr>
          <w:rFonts w:ascii="Arial" w:hAnsi="Arial" w:cs="Arial"/>
          <w:sz w:val="20"/>
          <w:szCs w:val="20"/>
          <w:lang w:val="it-IT"/>
        </w:rPr>
        <w:t xml:space="preserve"> + 200mg/kg BW</w:t>
      </w:r>
      <w:r w:rsidRPr="00955041">
        <w:rPr>
          <w:rFonts w:ascii="Arial" w:hAnsi="Arial" w:cs="Arial"/>
          <w:i/>
          <w:sz w:val="20"/>
          <w:szCs w:val="20"/>
          <w:lang w:val="it-IT"/>
        </w:rPr>
        <w:t xml:space="preserve">Vitex doniana </w:t>
      </w:r>
      <w:r w:rsidRPr="00955041">
        <w:rPr>
          <w:rFonts w:ascii="Arial" w:hAnsi="Arial" w:cs="Arial"/>
          <w:sz w:val="20"/>
          <w:szCs w:val="20"/>
          <w:lang w:val="it-IT"/>
        </w:rPr>
        <w:t>extract)</w:t>
      </w:r>
      <w:r w:rsidRPr="00955041">
        <w:rPr>
          <w:rFonts w:ascii="Arial" w:hAnsi="Arial" w:cs="Arial"/>
          <w:sz w:val="20"/>
          <w:szCs w:val="20"/>
        </w:rPr>
        <w:t xml:space="preserve">, myocardial arterioles were infiltrated by inflammatory cells and myocardial fibers showed increased cellularity which on high magnification had swollen </w:t>
      </w:r>
      <w:proofErr w:type="spellStart"/>
      <w:r w:rsidRPr="00955041">
        <w:rPr>
          <w:rFonts w:ascii="Arial" w:hAnsi="Arial" w:cs="Arial"/>
          <w:sz w:val="20"/>
          <w:szCs w:val="20"/>
        </w:rPr>
        <w:t>hypereosinophilic</w:t>
      </w:r>
      <w:proofErr w:type="spellEnd"/>
      <w:r w:rsidRPr="00955041">
        <w:rPr>
          <w:rFonts w:ascii="Arial" w:hAnsi="Arial" w:cs="Arial"/>
          <w:sz w:val="20"/>
          <w:szCs w:val="20"/>
        </w:rPr>
        <w:t xml:space="preserve"> cytoplasm and necrotic nuclei and were destroyed.</w:t>
      </w:r>
      <w:r w:rsidRPr="00955041">
        <w:rPr>
          <w:rFonts w:ascii="Arial" w:hAnsi="Arial" w:cs="Arial"/>
          <w:b/>
          <w:sz w:val="20"/>
          <w:szCs w:val="20"/>
        </w:rPr>
        <w:t xml:space="preserve"> Plate 5:</w:t>
      </w:r>
      <w:r w:rsidRPr="00955041">
        <w:rPr>
          <w:rFonts w:ascii="Arial" w:hAnsi="Arial" w:cs="Arial"/>
          <w:sz w:val="20"/>
          <w:szCs w:val="20"/>
        </w:rPr>
        <w:t xml:space="preserve"> Rat heart, group E (Gentamicin 100mg/kg body weight + 400mg/kg </w:t>
      </w:r>
      <w:proofErr w:type="spellStart"/>
      <w:r w:rsidRPr="00955041">
        <w:rPr>
          <w:rFonts w:ascii="Arial" w:hAnsi="Arial" w:cs="Arial"/>
          <w:sz w:val="20"/>
          <w:szCs w:val="20"/>
        </w:rPr>
        <w:t>BW</w:t>
      </w:r>
      <w:r w:rsidRPr="00955041">
        <w:rPr>
          <w:rFonts w:ascii="Arial" w:hAnsi="Arial" w:cs="Arial"/>
          <w:i/>
          <w:sz w:val="20"/>
          <w:szCs w:val="20"/>
        </w:rPr>
        <w:t>Vitex</w:t>
      </w:r>
      <w:proofErr w:type="spellEnd"/>
      <w:r w:rsidRPr="00955041">
        <w:rPr>
          <w:rFonts w:ascii="Arial" w:hAnsi="Arial" w:cs="Arial"/>
          <w:i/>
          <w:sz w:val="20"/>
          <w:szCs w:val="20"/>
        </w:rPr>
        <w:t xml:space="preserve"> </w:t>
      </w:r>
      <w:proofErr w:type="spellStart"/>
      <w:r w:rsidRPr="00955041">
        <w:rPr>
          <w:rFonts w:ascii="Arial" w:hAnsi="Arial" w:cs="Arial"/>
          <w:i/>
          <w:sz w:val="20"/>
          <w:szCs w:val="20"/>
        </w:rPr>
        <w:t>doniana</w:t>
      </w:r>
      <w:r w:rsidRPr="00955041">
        <w:rPr>
          <w:rFonts w:ascii="Arial" w:hAnsi="Arial" w:cs="Arial"/>
          <w:sz w:val="20"/>
          <w:szCs w:val="20"/>
        </w:rPr>
        <w:t>stem</w:t>
      </w:r>
      <w:proofErr w:type="spellEnd"/>
      <w:r w:rsidRPr="00955041">
        <w:rPr>
          <w:rFonts w:ascii="Arial" w:hAnsi="Arial" w:cs="Arial"/>
          <w:sz w:val="20"/>
          <w:szCs w:val="20"/>
        </w:rPr>
        <w:t xml:space="preserve"> bark extract), Mild cardiomyocytes degeneration and necrosis, H &amp; E X400.</w:t>
      </w:r>
      <w:r w:rsidRPr="00955041">
        <w:rPr>
          <w:rFonts w:ascii="Arial" w:hAnsi="Arial" w:cs="Arial"/>
          <w:b/>
          <w:sz w:val="20"/>
          <w:szCs w:val="20"/>
        </w:rPr>
        <w:t xml:space="preserve"> Plate </w:t>
      </w:r>
      <w:proofErr w:type="gramStart"/>
      <w:r w:rsidRPr="00955041">
        <w:rPr>
          <w:rFonts w:ascii="Arial" w:hAnsi="Arial" w:cs="Arial"/>
          <w:b/>
          <w:sz w:val="20"/>
          <w:szCs w:val="20"/>
        </w:rPr>
        <w:t>6:</w:t>
      </w:r>
      <w:r w:rsidRPr="00955041">
        <w:rPr>
          <w:rFonts w:ascii="Arial" w:hAnsi="Arial" w:cs="Arial"/>
          <w:sz w:val="20"/>
          <w:szCs w:val="20"/>
        </w:rPr>
        <w:t>group</w:t>
      </w:r>
      <w:proofErr w:type="gramEnd"/>
      <w:r w:rsidRPr="00955041">
        <w:rPr>
          <w:rFonts w:ascii="Arial" w:hAnsi="Arial" w:cs="Arial"/>
          <w:sz w:val="20"/>
          <w:szCs w:val="20"/>
        </w:rPr>
        <w:t xml:space="preserve"> F (Gentamicin 100mg/kg BW + 75mg </w:t>
      </w:r>
      <w:proofErr w:type="spellStart"/>
      <w:r w:rsidRPr="00955041">
        <w:rPr>
          <w:rFonts w:ascii="Arial" w:hAnsi="Arial" w:cs="Arial"/>
          <w:sz w:val="20"/>
          <w:szCs w:val="20"/>
        </w:rPr>
        <w:t>sylimarin</w:t>
      </w:r>
      <w:proofErr w:type="spellEnd"/>
      <w:r w:rsidRPr="00955041">
        <w:rPr>
          <w:rFonts w:ascii="Arial" w:hAnsi="Arial" w:cs="Arial"/>
          <w:sz w:val="20"/>
          <w:szCs w:val="20"/>
        </w:rPr>
        <w:t xml:space="preserve">);multifocal occasional cardiomyocytes degeneration and necrosis, there was </w:t>
      </w:r>
      <w:proofErr w:type="spellStart"/>
      <w:r w:rsidRPr="00955041">
        <w:rPr>
          <w:rFonts w:ascii="Arial" w:hAnsi="Arial" w:cs="Arial"/>
          <w:sz w:val="20"/>
          <w:szCs w:val="20"/>
        </w:rPr>
        <w:t>haemorrhage</w:t>
      </w:r>
      <w:proofErr w:type="spellEnd"/>
      <w:r w:rsidRPr="00955041">
        <w:rPr>
          <w:rFonts w:ascii="Arial" w:hAnsi="Arial" w:cs="Arial"/>
          <w:sz w:val="20"/>
          <w:szCs w:val="20"/>
        </w:rPr>
        <w:t xml:space="preserve"> in </w:t>
      </w:r>
      <w:proofErr w:type="spellStart"/>
      <w:r w:rsidRPr="00955041">
        <w:rPr>
          <w:rFonts w:ascii="Arial" w:hAnsi="Arial" w:cs="Arial"/>
          <w:sz w:val="20"/>
          <w:szCs w:val="20"/>
        </w:rPr>
        <w:t>interstial</w:t>
      </w:r>
      <w:proofErr w:type="spellEnd"/>
      <w:r w:rsidRPr="00955041">
        <w:rPr>
          <w:rFonts w:ascii="Arial" w:hAnsi="Arial" w:cs="Arial"/>
          <w:sz w:val="20"/>
          <w:szCs w:val="20"/>
        </w:rPr>
        <w:t xml:space="preserve"> and increased fibroplasia, H &amp; E X400. </w:t>
      </w:r>
    </w:p>
    <w:p w14:paraId="045FDBA1" w14:textId="77777777" w:rsidR="00B31226" w:rsidRPr="00955041" w:rsidRDefault="007B608D" w:rsidP="00B31226">
      <w:pPr>
        <w:rPr>
          <w:rStyle w:val="Strong"/>
          <w:rFonts w:ascii="Arial" w:hAnsi="Arial" w:cs="Arial"/>
          <w:bCs w:val="0"/>
        </w:rPr>
      </w:pPr>
      <w:r w:rsidRPr="00955041">
        <w:rPr>
          <w:rStyle w:val="Strong"/>
          <w:rFonts w:ascii="Arial" w:hAnsi="Arial" w:cs="Arial"/>
          <w:bCs w:val="0"/>
        </w:rPr>
        <w:t xml:space="preserve">4      </w:t>
      </w:r>
      <w:r w:rsidR="00B31226" w:rsidRPr="00955041">
        <w:rPr>
          <w:rStyle w:val="Strong"/>
          <w:rFonts w:ascii="Arial" w:hAnsi="Arial" w:cs="Arial"/>
          <w:bCs w:val="0"/>
        </w:rPr>
        <w:t>Discussion</w:t>
      </w:r>
    </w:p>
    <w:p w14:paraId="6C797060"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The present study demonstrates that gentamicin administration induces marked </w:t>
      </w:r>
      <w:proofErr w:type="spellStart"/>
      <w:r w:rsidRPr="00955041">
        <w:rPr>
          <w:rFonts w:ascii="Arial" w:eastAsia="Times New Roman" w:hAnsi="Arial" w:cs="Arial"/>
          <w:sz w:val="20"/>
          <w:szCs w:val="20"/>
        </w:rPr>
        <w:t>dyslipidaemia</w:t>
      </w:r>
      <w:proofErr w:type="spellEnd"/>
      <w:r w:rsidRPr="00955041">
        <w:rPr>
          <w:rFonts w:ascii="Arial" w:eastAsia="Times New Roman" w:hAnsi="Arial" w:cs="Arial"/>
          <w:sz w:val="20"/>
          <w:szCs w:val="20"/>
        </w:rPr>
        <w:t xml:space="preserve"> and structural myocardial damage, while concurrent treatment with methanolic stem bark extract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(MSEVD) significantly attenuates these adverse effects in a dose-dependent manner. The elevation of serum total cholesterol, triglycerides, LDL-c, VLDL-c, and atherogenic index, accompanied by reduced HDL-c in gentamicin-treated rats, confirms the cardiotoxic potential of gentamicin. These findings are consistent with earlier reports indicating that gentamicin induces oxidative stress–mediated lipid metabolic disturbances and myocardial injury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Çakmak, 2023).</w:t>
      </w:r>
    </w:p>
    <w:p w14:paraId="09D8F842"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lastRenderedPageBreak/>
        <w:t xml:space="preserve">The </w:t>
      </w:r>
      <w:proofErr w:type="spellStart"/>
      <w:r w:rsidRPr="00955041">
        <w:rPr>
          <w:rFonts w:ascii="Arial" w:eastAsia="Times New Roman" w:hAnsi="Arial" w:cs="Arial"/>
          <w:sz w:val="20"/>
          <w:szCs w:val="20"/>
        </w:rPr>
        <w:t>dyslipidaemic</w:t>
      </w:r>
      <w:proofErr w:type="spellEnd"/>
      <w:r w:rsidRPr="00955041">
        <w:rPr>
          <w:rFonts w:ascii="Arial" w:eastAsia="Times New Roman" w:hAnsi="Arial" w:cs="Arial"/>
          <w:sz w:val="20"/>
          <w:szCs w:val="20"/>
        </w:rPr>
        <w:t xml:space="preserve"> profile observed in the gentamicin-only group aligns with studies demonstrating that aminoglycoside antibiotics disrupt lipid homeostasis and enhance lipid peroxidation, thereby increasing cardiovascular risk (Hamdy et al., 2024; Elgendy et al., 2023). Elevated LDL-c and atherogenic index are particularly significant, as these parameters are strongly associated with atherogenesis and impaired cardiac function (Abbott et al., 1988; Shaker et al., 2025). Similar lipid derangements have been reported in doxorubicin- and </w:t>
      </w:r>
      <w:proofErr w:type="spellStart"/>
      <w:r w:rsidRPr="00955041">
        <w:rPr>
          <w:rFonts w:ascii="Arial" w:eastAsia="Times New Roman" w:hAnsi="Arial" w:cs="Arial"/>
          <w:sz w:val="20"/>
          <w:szCs w:val="20"/>
        </w:rPr>
        <w:t>tilmicosin</w:t>
      </w:r>
      <w:proofErr w:type="spellEnd"/>
      <w:r w:rsidRPr="00955041">
        <w:rPr>
          <w:rFonts w:ascii="Arial" w:eastAsia="Times New Roman" w:hAnsi="Arial" w:cs="Arial"/>
          <w:sz w:val="20"/>
          <w:szCs w:val="20"/>
        </w:rPr>
        <w:t>-induced cardiotoxicity models, suggesting a common oxidative and inflammatory pathway underlying drug-induced cardiac injury (Sulaiman et al., 2021; Elgendy et al., 2023).</w:t>
      </w:r>
    </w:p>
    <w:p w14:paraId="63B8A64F"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Co-administration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extract significantly ameliorated gentamicin-induced lipid abnormalities, restoring serum lipid parameters toward normal values. This </w:t>
      </w:r>
      <w:proofErr w:type="spellStart"/>
      <w:r w:rsidRPr="00955041">
        <w:rPr>
          <w:rFonts w:ascii="Arial" w:eastAsia="Times New Roman" w:hAnsi="Arial" w:cs="Arial"/>
          <w:sz w:val="20"/>
          <w:szCs w:val="20"/>
        </w:rPr>
        <w:t>hypolipidaemic</w:t>
      </w:r>
      <w:proofErr w:type="spellEnd"/>
      <w:r w:rsidRPr="00955041">
        <w:rPr>
          <w:rFonts w:ascii="Arial" w:eastAsia="Times New Roman" w:hAnsi="Arial" w:cs="Arial"/>
          <w:sz w:val="20"/>
          <w:szCs w:val="20"/>
        </w:rPr>
        <w:t xml:space="preserve"> effect is consistent with earlier findings by Sulaiman et al. (2021), who reported that aqueous and ethanol stem bark extracts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significantly reduced TC, TG, and LDL-c while increasing HDL-c in doxorubicin-induced cardiotoxicity. Similarly, Mahmoud et al. (2025) highlighted the lipid-modulating and antioxidant potential of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attributing these effects to its rich phytochemical composition, including flavonoids, phenolics, terpenoids, and saponins.</w:t>
      </w:r>
    </w:p>
    <w:p w14:paraId="3DD11697"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Comparable cardioprotective effects have been reported for other medicinal plants. Iqbal et al. (2025) demonstrated that </w:t>
      </w:r>
      <w:r w:rsidRPr="00955041">
        <w:rPr>
          <w:rFonts w:ascii="Arial" w:eastAsia="Times New Roman" w:hAnsi="Arial" w:cs="Arial"/>
          <w:i/>
          <w:iCs/>
          <w:sz w:val="20"/>
          <w:szCs w:val="20"/>
        </w:rPr>
        <w:t>Jatropha mollissima</w:t>
      </w:r>
      <w:r w:rsidRPr="00955041">
        <w:rPr>
          <w:rFonts w:ascii="Arial" w:eastAsia="Times New Roman" w:hAnsi="Arial" w:cs="Arial"/>
          <w:sz w:val="20"/>
          <w:szCs w:val="20"/>
        </w:rPr>
        <w:t xml:space="preserve"> extract significantly improved lipid profiles and reduced oxidative stress in doxorubicin-treated rats. Singh et al. (2025) reported that a brazilin-enriched extract of </w:t>
      </w:r>
      <w:proofErr w:type="spellStart"/>
      <w:r w:rsidRPr="00955041">
        <w:rPr>
          <w:rFonts w:ascii="Arial" w:eastAsia="Times New Roman" w:hAnsi="Arial" w:cs="Arial"/>
          <w:i/>
          <w:iCs/>
          <w:sz w:val="20"/>
          <w:szCs w:val="20"/>
        </w:rPr>
        <w:t>Caesalpinia</w:t>
      </w:r>
      <w:proofErr w:type="spellEnd"/>
      <w:r w:rsidRPr="00955041">
        <w:rPr>
          <w:rFonts w:ascii="Arial" w:eastAsia="Times New Roman" w:hAnsi="Arial" w:cs="Arial"/>
          <w:i/>
          <w:iCs/>
          <w:sz w:val="20"/>
          <w:szCs w:val="20"/>
        </w:rPr>
        <w:t xml:space="preserve"> </w:t>
      </w:r>
      <w:proofErr w:type="spellStart"/>
      <w:r w:rsidRPr="00955041">
        <w:rPr>
          <w:rFonts w:ascii="Arial" w:eastAsia="Times New Roman" w:hAnsi="Arial" w:cs="Arial"/>
          <w:i/>
          <w:iCs/>
          <w:sz w:val="20"/>
          <w:szCs w:val="20"/>
        </w:rPr>
        <w:t>sappan</w:t>
      </w:r>
      <w:proofErr w:type="spellEnd"/>
      <w:r w:rsidRPr="00955041">
        <w:rPr>
          <w:rFonts w:ascii="Arial" w:eastAsia="Times New Roman" w:hAnsi="Arial" w:cs="Arial"/>
          <w:sz w:val="20"/>
          <w:szCs w:val="20"/>
        </w:rPr>
        <w:t xml:space="preserve"> normalized lipid parameters and attenuated myocardial injury. Likewise, Hibiscus </w:t>
      </w:r>
      <w:r w:rsidRPr="00955041">
        <w:rPr>
          <w:rFonts w:ascii="Arial" w:eastAsia="Times New Roman" w:hAnsi="Arial" w:cs="Arial"/>
          <w:i/>
          <w:iCs/>
          <w:sz w:val="20"/>
          <w:szCs w:val="20"/>
        </w:rPr>
        <w:t>rosa-sinensis</w:t>
      </w:r>
      <w:r w:rsidRPr="00955041">
        <w:rPr>
          <w:rFonts w:ascii="Arial" w:eastAsia="Times New Roman" w:hAnsi="Arial" w:cs="Arial"/>
          <w:sz w:val="20"/>
          <w:szCs w:val="20"/>
        </w:rPr>
        <w:t xml:space="preserve"> extracts have been shown to protect against chemotherapy-induced cardiomyopathy through antioxidant-mediated mechanisms (None et al., 2025).</w:t>
      </w:r>
    </w:p>
    <w:p w14:paraId="195C7C4B"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The observed reduction in VLDL-c and atherogenic index at higher doses of MSEVD further supports its anti-atherogenic potential. Similar reductions in atherogenic indices have been reported with curcumin and ginsenosides in gentamicin- and chemotherapy-induced cardiotoxicity models, respectively (Hamdy et al., 2024; Zare-Zardini et al., 2024). These findings reinforce the role of phytochemicals in modulating lipid transport and reducing cardiovascular risk.</w:t>
      </w:r>
    </w:p>
    <w:p w14:paraId="0C191022" w14:textId="77777777" w:rsidR="00B31226" w:rsidRPr="00955041" w:rsidRDefault="00B31226" w:rsidP="00B31226">
      <w:pPr>
        <w:spacing w:before="100" w:beforeAutospacing="1" w:after="100" w:afterAutospacing="1" w:line="240" w:lineRule="auto"/>
        <w:jc w:val="both"/>
        <w:rPr>
          <w:rFonts w:ascii="Arial" w:eastAsia="Times New Roman" w:hAnsi="Arial" w:cs="Arial"/>
          <w:sz w:val="20"/>
          <w:szCs w:val="20"/>
        </w:rPr>
      </w:pPr>
      <w:r w:rsidRPr="00955041">
        <w:rPr>
          <w:rFonts w:ascii="Arial" w:eastAsia="Times New Roman" w:hAnsi="Arial" w:cs="Arial"/>
          <w:sz w:val="20"/>
          <w:szCs w:val="20"/>
        </w:rPr>
        <w:t xml:space="preserve">Histopathological findings in the present study further corroborate the biochemical data. Gentamicin-treated rats exhibited severe myocardial degeneration, necrosis, inflammatory cell infiltration, and vascular disruption, confirming gentamicin-induced cardiotoxicity. These pathological alterations are consistent with reports by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and Çakmak (2023), who documented similar myocardial damage following gentamicin exposure. In contrast, MSEVD-treated groups showed dose-dependent preservation of myocardial architecture, with reduced inflammation and minimal necrosis at higher doses. This pattern of histological protection mirrors findings reported for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xml:space="preserve"> (</w:t>
      </w:r>
      <w:proofErr w:type="spellStart"/>
      <w:r w:rsidRPr="00955041">
        <w:rPr>
          <w:rFonts w:ascii="Arial" w:eastAsia="Times New Roman" w:hAnsi="Arial" w:cs="Arial"/>
          <w:sz w:val="20"/>
          <w:szCs w:val="20"/>
        </w:rPr>
        <w:t>Sulaiman</w:t>
      </w:r>
      <w:proofErr w:type="spellEnd"/>
      <w:r w:rsidRPr="00955041">
        <w:rPr>
          <w:rFonts w:ascii="Arial" w:eastAsia="Times New Roman" w:hAnsi="Arial" w:cs="Arial"/>
          <w:sz w:val="20"/>
          <w:szCs w:val="20"/>
        </w:rPr>
        <w:t xml:space="preserve"> et al., 2021), </w:t>
      </w:r>
      <w:r w:rsidRPr="00955041">
        <w:rPr>
          <w:rFonts w:ascii="Arial" w:eastAsia="Times New Roman" w:hAnsi="Arial" w:cs="Arial"/>
          <w:i/>
          <w:iCs/>
          <w:sz w:val="20"/>
          <w:szCs w:val="20"/>
        </w:rPr>
        <w:t>Jatropha mollissima</w:t>
      </w:r>
      <w:r w:rsidRPr="00955041">
        <w:rPr>
          <w:rFonts w:ascii="Arial" w:eastAsia="Times New Roman" w:hAnsi="Arial" w:cs="Arial"/>
          <w:sz w:val="20"/>
          <w:szCs w:val="20"/>
        </w:rPr>
        <w:t xml:space="preserve"> (Iqbal et al., 2025), and </w:t>
      </w:r>
      <w:proofErr w:type="spellStart"/>
      <w:r w:rsidRPr="00955041">
        <w:rPr>
          <w:rFonts w:ascii="Arial" w:eastAsia="Times New Roman" w:hAnsi="Arial" w:cs="Arial"/>
          <w:i/>
          <w:iCs/>
          <w:sz w:val="20"/>
          <w:szCs w:val="20"/>
        </w:rPr>
        <w:t>Caesalpinia</w:t>
      </w:r>
      <w:proofErr w:type="spellEnd"/>
      <w:r w:rsidRPr="00955041">
        <w:rPr>
          <w:rFonts w:ascii="Arial" w:eastAsia="Times New Roman" w:hAnsi="Arial" w:cs="Arial"/>
          <w:i/>
          <w:iCs/>
          <w:sz w:val="20"/>
          <w:szCs w:val="20"/>
        </w:rPr>
        <w:t xml:space="preserve"> </w:t>
      </w:r>
      <w:proofErr w:type="spellStart"/>
      <w:r w:rsidRPr="00955041">
        <w:rPr>
          <w:rFonts w:ascii="Arial" w:eastAsia="Times New Roman" w:hAnsi="Arial" w:cs="Arial"/>
          <w:i/>
          <w:iCs/>
          <w:sz w:val="20"/>
          <w:szCs w:val="20"/>
        </w:rPr>
        <w:t>sappan</w:t>
      </w:r>
      <w:proofErr w:type="spellEnd"/>
      <w:r w:rsidRPr="00955041">
        <w:rPr>
          <w:rFonts w:ascii="Arial" w:eastAsia="Times New Roman" w:hAnsi="Arial" w:cs="Arial"/>
          <w:sz w:val="20"/>
          <w:szCs w:val="20"/>
        </w:rPr>
        <w:t xml:space="preserve"> (Singh et al., 2025).</w:t>
      </w:r>
    </w:p>
    <w:p w14:paraId="388C9562" w14:textId="77777777" w:rsidR="00B31226" w:rsidRPr="005570DE" w:rsidRDefault="00B31226" w:rsidP="00B31226">
      <w:pPr>
        <w:spacing w:before="100" w:beforeAutospacing="1" w:after="100" w:afterAutospacing="1" w:line="240" w:lineRule="auto"/>
        <w:jc w:val="both"/>
        <w:rPr>
          <w:rFonts w:ascii="Arial" w:eastAsia="Times New Roman" w:hAnsi="Arial" w:cs="Arial"/>
          <w:sz w:val="24"/>
          <w:szCs w:val="24"/>
        </w:rPr>
      </w:pPr>
      <w:r w:rsidRPr="00955041">
        <w:rPr>
          <w:rFonts w:ascii="Arial" w:eastAsia="Times New Roman" w:hAnsi="Arial" w:cs="Arial"/>
          <w:sz w:val="20"/>
          <w:szCs w:val="20"/>
        </w:rPr>
        <w:t>Mechanistically, drug-induced cardiotoxicity is largely mediated by excessive reactive oxygen species generation, mitochondrial dysfunction, and disruption of endogenous antioxidant defenses (</w:t>
      </w:r>
      <w:proofErr w:type="spellStart"/>
      <w:r w:rsidRPr="00955041">
        <w:rPr>
          <w:rFonts w:ascii="Arial" w:eastAsia="Times New Roman" w:hAnsi="Arial" w:cs="Arial"/>
          <w:sz w:val="20"/>
          <w:szCs w:val="20"/>
        </w:rPr>
        <w:t>Meligy</w:t>
      </w:r>
      <w:proofErr w:type="spellEnd"/>
      <w:r w:rsidRPr="00955041">
        <w:rPr>
          <w:rFonts w:ascii="Arial" w:eastAsia="Times New Roman" w:hAnsi="Arial" w:cs="Arial"/>
          <w:sz w:val="20"/>
          <w:szCs w:val="20"/>
        </w:rPr>
        <w:t xml:space="preserve"> et al., 2022; Çakmak, 2023). Flavonoids and phenolic compounds, which are abundant in </w:t>
      </w:r>
      <w:r w:rsidRPr="00955041">
        <w:rPr>
          <w:rFonts w:ascii="Arial" w:eastAsia="Times New Roman" w:hAnsi="Arial" w:cs="Arial"/>
          <w:i/>
          <w:iCs/>
          <w:sz w:val="20"/>
          <w:szCs w:val="20"/>
        </w:rPr>
        <w:t xml:space="preserve">Vitex </w:t>
      </w:r>
      <w:proofErr w:type="spellStart"/>
      <w:r w:rsidRPr="00955041">
        <w:rPr>
          <w:rFonts w:ascii="Arial" w:eastAsia="Times New Roman" w:hAnsi="Arial" w:cs="Arial"/>
          <w:i/>
          <w:iCs/>
          <w:sz w:val="20"/>
          <w:szCs w:val="20"/>
        </w:rPr>
        <w:t>doniana</w:t>
      </w:r>
      <w:proofErr w:type="spellEnd"/>
      <w:r w:rsidRPr="00955041">
        <w:rPr>
          <w:rFonts w:ascii="Arial" w:eastAsia="Times New Roman" w:hAnsi="Arial" w:cs="Arial"/>
          <w:sz w:val="20"/>
          <w:szCs w:val="20"/>
        </w:rPr>
        <w:t>, are known to scavenge free radicals, enhance antioxidant enzyme activity, and stabilize cellular membranes (Mahmoud et al., 2025; Shaker et al., 2025). The concordance between improved lipid profiles and preserved myocardial histology observed in this study strongly suggests that antioxidant and anti-inflammatory mechanisms underlie the cardioprotective effects of MSEVD</w:t>
      </w:r>
      <w:r w:rsidRPr="005570DE">
        <w:rPr>
          <w:rFonts w:ascii="Arial" w:eastAsia="Times New Roman" w:hAnsi="Arial" w:cs="Arial"/>
          <w:sz w:val="24"/>
          <w:szCs w:val="24"/>
        </w:rPr>
        <w:t>.</w:t>
      </w:r>
    </w:p>
    <w:p w14:paraId="044BB0D0" w14:textId="77777777" w:rsidR="00B31226" w:rsidRPr="005570DE" w:rsidRDefault="007B608D" w:rsidP="00B31226">
      <w:pPr>
        <w:pStyle w:val="Heading2"/>
        <w:rPr>
          <w:rFonts w:ascii="Arial" w:hAnsi="Arial" w:cs="Arial"/>
          <w:sz w:val="24"/>
          <w:szCs w:val="24"/>
        </w:rPr>
      </w:pPr>
      <w:r w:rsidRPr="005570DE">
        <w:rPr>
          <w:rFonts w:ascii="Arial" w:hAnsi="Arial" w:cs="Arial"/>
          <w:sz w:val="24"/>
          <w:szCs w:val="24"/>
        </w:rPr>
        <w:t xml:space="preserve">5     </w:t>
      </w:r>
      <w:proofErr w:type="gramStart"/>
      <w:r w:rsidR="00C87059" w:rsidRPr="005570DE">
        <w:rPr>
          <w:rFonts w:ascii="Arial" w:hAnsi="Arial" w:cs="Arial"/>
          <w:sz w:val="24"/>
          <w:szCs w:val="24"/>
        </w:rPr>
        <w:t>CONCLUSION</w:t>
      </w:r>
      <w:proofErr w:type="gramEnd"/>
      <w:r w:rsidR="00C87059" w:rsidRPr="005570DE">
        <w:rPr>
          <w:rFonts w:ascii="Arial" w:hAnsi="Arial" w:cs="Arial"/>
          <w:sz w:val="24"/>
          <w:szCs w:val="24"/>
        </w:rPr>
        <w:t xml:space="preserve"> </w:t>
      </w:r>
    </w:p>
    <w:p w14:paraId="66CAD7BA" w14:textId="0A0428D3" w:rsidR="00B31226" w:rsidRDefault="00B31226" w:rsidP="00B31226">
      <w:pPr>
        <w:pStyle w:val="NormalWeb"/>
        <w:jc w:val="both"/>
        <w:rPr>
          <w:rFonts w:ascii="Arial" w:hAnsi="Arial" w:cs="Arial"/>
          <w:sz w:val="20"/>
          <w:szCs w:val="20"/>
        </w:rPr>
      </w:pPr>
      <w:proofErr w:type="gramStart"/>
      <w:r w:rsidRPr="00C87059">
        <w:rPr>
          <w:rFonts w:ascii="Arial" w:hAnsi="Arial" w:cs="Arial"/>
          <w:sz w:val="20"/>
          <w:szCs w:val="20"/>
        </w:rPr>
        <w:t>This results</w:t>
      </w:r>
      <w:proofErr w:type="gramEnd"/>
      <w:r w:rsidRPr="00C87059">
        <w:rPr>
          <w:rFonts w:ascii="Arial" w:hAnsi="Arial" w:cs="Arial"/>
          <w:sz w:val="20"/>
          <w:szCs w:val="20"/>
        </w:rPr>
        <w:t xml:space="preserve"> demonstrates that gentamicin induces significant </w:t>
      </w:r>
      <w:proofErr w:type="spellStart"/>
      <w:r w:rsidRPr="00C87059">
        <w:rPr>
          <w:rFonts w:ascii="Arial" w:hAnsi="Arial" w:cs="Arial"/>
          <w:sz w:val="20"/>
          <w:szCs w:val="20"/>
        </w:rPr>
        <w:t>dyslipidaemia</w:t>
      </w:r>
      <w:proofErr w:type="spellEnd"/>
      <w:r w:rsidRPr="00C87059">
        <w:rPr>
          <w:rFonts w:ascii="Arial" w:hAnsi="Arial" w:cs="Arial"/>
          <w:sz w:val="20"/>
          <w:szCs w:val="20"/>
        </w:rPr>
        <w:t xml:space="preserve"> and myocardial histopathological damage in Wistar rats, confirming its cardiotoxic potential. Methanolic stem bark extract of </w:t>
      </w:r>
      <w:r w:rsidRPr="00C87059">
        <w:rPr>
          <w:rStyle w:val="Emphasis"/>
          <w:rFonts w:ascii="Arial" w:hAnsi="Arial" w:cs="Arial"/>
          <w:sz w:val="20"/>
          <w:szCs w:val="20"/>
        </w:rPr>
        <w:t xml:space="preserve">Vitex </w:t>
      </w:r>
      <w:proofErr w:type="spellStart"/>
      <w:r w:rsidRPr="00C87059">
        <w:rPr>
          <w:rStyle w:val="Emphasis"/>
          <w:rFonts w:ascii="Arial" w:hAnsi="Arial" w:cs="Arial"/>
          <w:sz w:val="20"/>
          <w:szCs w:val="20"/>
        </w:rPr>
        <w:t>doniana</w:t>
      </w:r>
      <w:proofErr w:type="spellEnd"/>
      <w:r w:rsidRPr="00C87059">
        <w:rPr>
          <w:rFonts w:ascii="Arial" w:hAnsi="Arial" w:cs="Arial"/>
          <w:sz w:val="20"/>
          <w:szCs w:val="20"/>
        </w:rPr>
        <w:t xml:space="preserve"> effectively ameliorated these adverse effects in a dose-dependent manner by normalizing serum lipid profiles, reducing atherogenic risk, and preserving cardiac tissue architecture. The 400 mg/kg dose exhibited the strongest cardioprotective effect and showed comparable or superior efficacy to the reference drug. These findings provide experimental evidence supporting the traditional use of </w:t>
      </w:r>
      <w:r w:rsidRPr="00C87059">
        <w:rPr>
          <w:rStyle w:val="Emphasis"/>
          <w:rFonts w:ascii="Arial" w:hAnsi="Arial" w:cs="Arial"/>
          <w:sz w:val="20"/>
          <w:szCs w:val="20"/>
        </w:rPr>
        <w:t xml:space="preserve">Vitex </w:t>
      </w:r>
      <w:proofErr w:type="spellStart"/>
      <w:r w:rsidRPr="00C87059">
        <w:rPr>
          <w:rStyle w:val="Emphasis"/>
          <w:rFonts w:ascii="Arial" w:hAnsi="Arial" w:cs="Arial"/>
          <w:sz w:val="20"/>
          <w:szCs w:val="20"/>
        </w:rPr>
        <w:lastRenderedPageBreak/>
        <w:t>doniana</w:t>
      </w:r>
      <w:proofErr w:type="spellEnd"/>
      <w:r w:rsidRPr="00C87059">
        <w:rPr>
          <w:rFonts w:ascii="Arial" w:hAnsi="Arial" w:cs="Arial"/>
          <w:sz w:val="20"/>
          <w:szCs w:val="20"/>
        </w:rPr>
        <w:t xml:space="preserve"> and highlight its potential as a natural cardioprotective agent against gentamicin-induced cardiac toxicity</w:t>
      </w:r>
      <w:r w:rsidR="008B0550">
        <w:rPr>
          <w:rFonts w:ascii="Arial" w:hAnsi="Arial" w:cs="Arial"/>
          <w:sz w:val="20"/>
          <w:szCs w:val="20"/>
        </w:rPr>
        <w:t>.</w:t>
      </w:r>
    </w:p>
    <w:p w14:paraId="53E8C044" w14:textId="77777777" w:rsidR="008B0550" w:rsidRPr="008B0550" w:rsidRDefault="008B0550" w:rsidP="008B0550">
      <w:pPr>
        <w:pStyle w:val="NormalWeb"/>
        <w:jc w:val="both"/>
        <w:rPr>
          <w:rFonts w:ascii="Arial" w:hAnsi="Arial" w:cs="Arial"/>
          <w:sz w:val="20"/>
          <w:szCs w:val="20"/>
        </w:rPr>
      </w:pPr>
      <w:r w:rsidRPr="008B0550">
        <w:rPr>
          <w:rFonts w:ascii="Arial" w:hAnsi="Arial" w:cs="Arial"/>
          <w:sz w:val="20"/>
          <w:szCs w:val="20"/>
        </w:rPr>
        <w:t>COMPETING INTERESTS DISCLAIMER:</w:t>
      </w:r>
    </w:p>
    <w:p w14:paraId="2324E332" w14:textId="77777777" w:rsidR="008B0550" w:rsidRPr="008B0550" w:rsidRDefault="008B0550" w:rsidP="008B0550">
      <w:pPr>
        <w:pStyle w:val="NormalWeb"/>
        <w:jc w:val="both"/>
        <w:rPr>
          <w:rFonts w:ascii="Arial" w:hAnsi="Arial" w:cs="Arial"/>
          <w:sz w:val="20"/>
          <w:szCs w:val="20"/>
        </w:rPr>
      </w:pPr>
      <w:r w:rsidRPr="008B0550">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592CBD9E" w14:textId="77777777" w:rsidR="008B0550" w:rsidRPr="008B0550" w:rsidRDefault="008B0550" w:rsidP="008B0550">
      <w:pPr>
        <w:pStyle w:val="NormalWeb"/>
        <w:jc w:val="both"/>
        <w:rPr>
          <w:rFonts w:ascii="Arial" w:hAnsi="Arial" w:cs="Arial"/>
          <w:sz w:val="20"/>
          <w:szCs w:val="20"/>
        </w:rPr>
      </w:pPr>
    </w:p>
    <w:p w14:paraId="5331AC08" w14:textId="77777777" w:rsidR="008B0550" w:rsidRPr="00C87059" w:rsidRDefault="008B0550" w:rsidP="00B31226">
      <w:pPr>
        <w:pStyle w:val="NormalWeb"/>
        <w:jc w:val="both"/>
        <w:rPr>
          <w:rFonts w:ascii="Arial" w:hAnsi="Arial" w:cs="Arial"/>
          <w:sz w:val="20"/>
          <w:szCs w:val="20"/>
        </w:rPr>
      </w:pPr>
    </w:p>
    <w:p w14:paraId="0EC2F54E" w14:textId="77777777" w:rsidR="00B31226" w:rsidRPr="005570DE" w:rsidRDefault="00B31226">
      <w:pPr>
        <w:rPr>
          <w:rFonts w:ascii="Arial" w:hAnsi="Arial" w:cs="Arial"/>
        </w:rPr>
      </w:pPr>
    </w:p>
    <w:p w14:paraId="6849790A" w14:textId="77777777" w:rsidR="00B31226" w:rsidRPr="005570DE" w:rsidRDefault="00B31226" w:rsidP="00B31226">
      <w:pPr>
        <w:spacing w:line="276" w:lineRule="auto"/>
        <w:jc w:val="both"/>
        <w:rPr>
          <w:rFonts w:ascii="Arial" w:hAnsi="Arial" w:cs="Arial"/>
          <w:b/>
        </w:rPr>
      </w:pPr>
      <w:r w:rsidRPr="005570DE">
        <w:rPr>
          <w:rFonts w:ascii="Arial" w:hAnsi="Arial" w:cs="Arial"/>
          <w:b/>
        </w:rPr>
        <w:t xml:space="preserve">References </w:t>
      </w:r>
    </w:p>
    <w:p w14:paraId="65B56E50" w14:textId="77777777" w:rsidR="00B31226" w:rsidRDefault="00B31226" w:rsidP="00C87059">
      <w:pPr>
        <w:spacing w:after="0" w:line="240" w:lineRule="auto"/>
        <w:jc w:val="both"/>
        <w:rPr>
          <w:rFonts w:ascii="Arial" w:hAnsi="Arial" w:cs="Arial"/>
          <w:sz w:val="24"/>
          <w:szCs w:val="24"/>
        </w:rPr>
      </w:pPr>
      <w:r w:rsidRPr="005570DE">
        <w:rPr>
          <w:rFonts w:ascii="Arial" w:hAnsi="Arial" w:cs="Arial"/>
          <w:sz w:val="24"/>
          <w:szCs w:val="24"/>
        </w:rPr>
        <w:t xml:space="preserve">Abbott, R. D., Wilson, P. W., Kannel, W. B., &amp; Castelli, W. P. (1988). High density </w:t>
      </w:r>
    </w:p>
    <w:p w14:paraId="7C55F2A9" w14:textId="77777777" w:rsidR="00C87059" w:rsidRPr="005570DE" w:rsidRDefault="00C87059" w:rsidP="00C87059">
      <w:pPr>
        <w:spacing w:after="0" w:line="240" w:lineRule="auto"/>
        <w:ind w:left="720"/>
        <w:jc w:val="both"/>
        <w:rPr>
          <w:rFonts w:ascii="Arial" w:hAnsi="Arial" w:cs="Arial"/>
          <w:sz w:val="24"/>
          <w:szCs w:val="24"/>
        </w:rPr>
      </w:pPr>
      <w:r w:rsidRPr="005570DE">
        <w:rPr>
          <w:rFonts w:ascii="Arial" w:hAnsi="Arial" w:cs="Arial"/>
          <w:sz w:val="24"/>
          <w:szCs w:val="24"/>
        </w:rPr>
        <w:t xml:space="preserve">lipoprotein cholesterol, total cholesterol screening, and myocardial infarction. </w:t>
      </w:r>
      <w:r w:rsidRPr="005570DE">
        <w:rPr>
          <w:rStyle w:val="Emphasis"/>
          <w:rFonts w:ascii="Arial" w:hAnsi="Arial" w:cs="Arial"/>
          <w:sz w:val="24"/>
          <w:szCs w:val="24"/>
        </w:rPr>
        <w:t>Arteriosclerosis, 8</w:t>
      </w:r>
      <w:r w:rsidRPr="005570DE">
        <w:rPr>
          <w:rFonts w:ascii="Arial" w:hAnsi="Arial" w:cs="Arial"/>
          <w:sz w:val="24"/>
          <w:szCs w:val="24"/>
        </w:rPr>
        <w:t>(3), 207–211.</w:t>
      </w:r>
    </w:p>
    <w:p w14:paraId="084B4A6A" w14:textId="77777777" w:rsidR="00C87059" w:rsidRPr="005570DE" w:rsidRDefault="00C87059" w:rsidP="00C87059">
      <w:pPr>
        <w:spacing w:after="0" w:line="240" w:lineRule="auto"/>
        <w:jc w:val="both"/>
        <w:rPr>
          <w:rFonts w:ascii="Arial" w:hAnsi="Arial" w:cs="Arial"/>
          <w:sz w:val="24"/>
          <w:szCs w:val="24"/>
        </w:rPr>
      </w:pPr>
    </w:p>
    <w:p w14:paraId="4B72724A" w14:textId="77777777" w:rsidR="00B31226" w:rsidRPr="005570DE" w:rsidRDefault="00B31226" w:rsidP="00B31226">
      <w:pPr>
        <w:spacing w:after="0" w:line="240" w:lineRule="auto"/>
        <w:ind w:left="720"/>
        <w:jc w:val="both"/>
        <w:rPr>
          <w:rFonts w:ascii="Arial" w:hAnsi="Arial" w:cs="Arial"/>
          <w:sz w:val="24"/>
          <w:szCs w:val="24"/>
        </w:rPr>
      </w:pPr>
    </w:p>
    <w:p w14:paraId="00975A0D" w14:textId="77777777" w:rsidR="00B31226" w:rsidRDefault="00B31226" w:rsidP="00C87059">
      <w:pPr>
        <w:spacing w:after="0" w:line="240" w:lineRule="auto"/>
        <w:jc w:val="both"/>
        <w:rPr>
          <w:rStyle w:val="Emphasis"/>
          <w:rFonts w:ascii="Arial" w:hAnsi="Arial" w:cs="Arial"/>
          <w:sz w:val="24"/>
          <w:szCs w:val="24"/>
        </w:rPr>
      </w:pPr>
      <w:r w:rsidRPr="005570DE">
        <w:rPr>
          <w:rFonts w:ascii="Arial" w:hAnsi="Arial" w:cs="Arial"/>
          <w:sz w:val="24"/>
          <w:szCs w:val="24"/>
        </w:rPr>
        <w:t>Çakmak, T. (2023). Exploring the impacts of Pycnogenol on pentraxin-3 levels in the heart</w:t>
      </w:r>
      <w:r w:rsidR="00C87059">
        <w:rPr>
          <w:rFonts w:ascii="Arial" w:hAnsi="Arial" w:cs="Arial"/>
          <w:sz w:val="24"/>
          <w:szCs w:val="24"/>
        </w:rPr>
        <w:tab/>
      </w:r>
      <w:r w:rsidR="00C87059" w:rsidRPr="005570DE">
        <w:rPr>
          <w:rFonts w:ascii="Arial" w:hAnsi="Arial" w:cs="Arial"/>
          <w:sz w:val="24"/>
          <w:szCs w:val="24"/>
        </w:rPr>
        <w:t xml:space="preserve">tissue of rats administered with gentamicin. </w:t>
      </w:r>
      <w:r w:rsidR="00C87059" w:rsidRPr="005570DE">
        <w:rPr>
          <w:rStyle w:val="Emphasis"/>
          <w:rFonts w:ascii="Arial" w:hAnsi="Arial" w:cs="Arial"/>
          <w:sz w:val="24"/>
          <w:szCs w:val="24"/>
        </w:rPr>
        <w:t xml:space="preserve">Anatolian Current Medical Journal, </w:t>
      </w:r>
    </w:p>
    <w:p w14:paraId="49665E0B" w14:textId="77777777" w:rsidR="00C87059" w:rsidRPr="005570DE" w:rsidRDefault="00C87059" w:rsidP="00C87059">
      <w:pPr>
        <w:spacing w:after="0" w:line="240" w:lineRule="auto"/>
        <w:jc w:val="both"/>
        <w:rPr>
          <w:rFonts w:ascii="Arial" w:hAnsi="Arial" w:cs="Arial"/>
          <w:sz w:val="24"/>
          <w:szCs w:val="24"/>
        </w:rPr>
      </w:pPr>
      <w:r>
        <w:rPr>
          <w:rFonts w:ascii="Arial" w:hAnsi="Arial" w:cs="Arial"/>
          <w:sz w:val="24"/>
          <w:szCs w:val="24"/>
        </w:rPr>
        <w:tab/>
      </w:r>
      <w:r w:rsidRPr="005570DE">
        <w:rPr>
          <w:rStyle w:val="Emphasis"/>
          <w:rFonts w:ascii="Arial" w:hAnsi="Arial" w:cs="Arial"/>
          <w:sz w:val="24"/>
          <w:szCs w:val="24"/>
        </w:rPr>
        <w:t>5</w:t>
      </w:r>
      <w:r w:rsidRPr="005570DE">
        <w:rPr>
          <w:rFonts w:ascii="Arial" w:hAnsi="Arial" w:cs="Arial"/>
          <w:sz w:val="24"/>
          <w:szCs w:val="24"/>
        </w:rPr>
        <w:t>(4), 227–234.</w:t>
      </w:r>
    </w:p>
    <w:p w14:paraId="7732A41C" w14:textId="77777777" w:rsidR="00B31226" w:rsidRPr="005570DE" w:rsidRDefault="00B31226" w:rsidP="00B31226">
      <w:pPr>
        <w:spacing w:after="0" w:line="240" w:lineRule="auto"/>
        <w:jc w:val="both"/>
        <w:rPr>
          <w:rFonts w:ascii="Arial" w:hAnsi="Arial" w:cs="Arial"/>
          <w:sz w:val="24"/>
          <w:szCs w:val="24"/>
        </w:rPr>
      </w:pPr>
    </w:p>
    <w:p w14:paraId="6CCEC2DA" w14:textId="77777777" w:rsidR="00B31226" w:rsidRDefault="00B31226" w:rsidP="00C87059">
      <w:pPr>
        <w:spacing w:after="0" w:line="240" w:lineRule="auto"/>
        <w:jc w:val="both"/>
        <w:rPr>
          <w:rFonts w:ascii="Arial" w:hAnsi="Arial" w:cs="Arial"/>
        </w:rPr>
      </w:pPr>
      <w:r w:rsidRPr="005570DE">
        <w:rPr>
          <w:rFonts w:ascii="Arial" w:hAnsi="Arial" w:cs="Arial"/>
        </w:rPr>
        <w:t xml:space="preserve">Elgendy, S. A., Soliman, M. M., </w:t>
      </w:r>
      <w:proofErr w:type="spellStart"/>
      <w:r w:rsidRPr="005570DE">
        <w:rPr>
          <w:rFonts w:ascii="Arial" w:hAnsi="Arial" w:cs="Arial"/>
        </w:rPr>
        <w:t>Ghamry</w:t>
      </w:r>
      <w:proofErr w:type="spellEnd"/>
      <w:r w:rsidRPr="005570DE">
        <w:rPr>
          <w:rFonts w:ascii="Arial" w:hAnsi="Arial" w:cs="Arial"/>
        </w:rPr>
        <w:t xml:space="preserve">, H. I., </w:t>
      </w:r>
      <w:proofErr w:type="spellStart"/>
      <w:r w:rsidRPr="005570DE">
        <w:rPr>
          <w:rFonts w:ascii="Arial" w:hAnsi="Arial" w:cs="Arial"/>
        </w:rPr>
        <w:t>Shukry</w:t>
      </w:r>
      <w:proofErr w:type="spellEnd"/>
      <w:r w:rsidRPr="005570DE">
        <w:rPr>
          <w:rFonts w:ascii="Arial" w:hAnsi="Arial" w:cs="Arial"/>
        </w:rPr>
        <w:t xml:space="preserve">, M., Mohammed, L. A., Nasr, H. E., &amp; </w:t>
      </w:r>
    </w:p>
    <w:p w14:paraId="531608A0" w14:textId="77777777" w:rsidR="00C87059" w:rsidRPr="00C87059" w:rsidRDefault="00C87059" w:rsidP="00C87059">
      <w:pPr>
        <w:spacing w:after="0" w:line="240" w:lineRule="auto"/>
        <w:ind w:left="720"/>
        <w:jc w:val="both"/>
        <w:rPr>
          <w:rFonts w:ascii="Arial" w:hAnsi="Arial" w:cs="Arial"/>
        </w:rPr>
      </w:pPr>
      <w:proofErr w:type="spellStart"/>
      <w:r w:rsidRPr="005570DE">
        <w:rPr>
          <w:rFonts w:ascii="Arial" w:hAnsi="Arial" w:cs="Arial"/>
        </w:rPr>
        <w:t>Elnoury</w:t>
      </w:r>
      <w:proofErr w:type="spellEnd"/>
      <w:r w:rsidRPr="005570DE">
        <w:rPr>
          <w:rFonts w:ascii="Arial" w:hAnsi="Arial" w:cs="Arial"/>
        </w:rPr>
        <w:t xml:space="preserve">, H. A. (2023). </w:t>
      </w:r>
      <w:proofErr w:type="spellStart"/>
      <w:r w:rsidRPr="005570DE">
        <w:rPr>
          <w:rFonts w:ascii="Arial" w:hAnsi="Arial" w:cs="Arial"/>
        </w:rPr>
        <w:t>Tilmicosin</w:t>
      </w:r>
      <w:proofErr w:type="spellEnd"/>
      <w:r w:rsidRPr="005570DE">
        <w:rPr>
          <w:rFonts w:ascii="Arial" w:hAnsi="Arial" w:cs="Arial"/>
        </w:rPr>
        <w:t xml:space="preserve">-induced cardiotoxicity and protection by </w:t>
      </w:r>
      <w:r w:rsidRPr="005570DE">
        <w:rPr>
          <w:rStyle w:val="Emphasis"/>
          <w:rFonts w:ascii="Arial" w:hAnsi="Arial" w:cs="Arial"/>
        </w:rPr>
        <w:t>Rhodiola rosea</w:t>
      </w:r>
      <w:r w:rsidRPr="005570DE">
        <w:rPr>
          <w:rFonts w:ascii="Arial" w:hAnsi="Arial" w:cs="Arial"/>
        </w:rPr>
        <w:t xml:space="preserve"> extract. </w:t>
      </w:r>
      <w:r w:rsidRPr="005570DE">
        <w:rPr>
          <w:rStyle w:val="Emphasis"/>
          <w:rFonts w:ascii="Arial" w:hAnsi="Arial" w:cs="Arial"/>
        </w:rPr>
        <w:t>Toxics, 11</w:t>
      </w:r>
      <w:r w:rsidRPr="005570DE">
        <w:rPr>
          <w:rFonts w:ascii="Arial" w:hAnsi="Arial" w:cs="Arial"/>
        </w:rPr>
        <w:t>(10), 857</w:t>
      </w:r>
    </w:p>
    <w:p w14:paraId="0F55BD77" w14:textId="77777777" w:rsidR="00C87059" w:rsidRPr="005570DE" w:rsidRDefault="00C87059" w:rsidP="00C87059">
      <w:pPr>
        <w:spacing w:after="0" w:line="240" w:lineRule="auto"/>
        <w:jc w:val="both"/>
        <w:rPr>
          <w:rFonts w:ascii="Arial" w:hAnsi="Arial" w:cs="Arial"/>
          <w:b/>
          <w:sz w:val="24"/>
          <w:szCs w:val="24"/>
        </w:rPr>
      </w:pPr>
    </w:p>
    <w:p w14:paraId="675241D0" w14:textId="77777777" w:rsidR="00B31226" w:rsidRDefault="00B31226" w:rsidP="00B31226">
      <w:pPr>
        <w:spacing w:after="0" w:line="240" w:lineRule="auto"/>
        <w:jc w:val="both"/>
        <w:rPr>
          <w:rFonts w:ascii="Arial" w:hAnsi="Arial" w:cs="Arial"/>
          <w:color w:val="212121"/>
          <w:sz w:val="24"/>
          <w:szCs w:val="24"/>
          <w:shd w:val="clear" w:color="auto" w:fill="FFFFFF"/>
        </w:rPr>
      </w:pPr>
      <w:r w:rsidRPr="005570DE">
        <w:rPr>
          <w:rFonts w:ascii="Arial" w:hAnsi="Arial" w:cs="Arial"/>
          <w:color w:val="212121"/>
          <w:sz w:val="24"/>
          <w:szCs w:val="24"/>
          <w:shd w:val="clear" w:color="auto" w:fill="FFFFFF"/>
        </w:rPr>
        <w:t xml:space="preserve">Hamdy, S., </w:t>
      </w:r>
      <w:proofErr w:type="spellStart"/>
      <w:r w:rsidRPr="005570DE">
        <w:rPr>
          <w:rFonts w:ascii="Arial" w:hAnsi="Arial" w:cs="Arial"/>
          <w:color w:val="212121"/>
          <w:sz w:val="24"/>
          <w:szCs w:val="24"/>
          <w:shd w:val="clear" w:color="auto" w:fill="FFFFFF"/>
        </w:rPr>
        <w:t>Elshopakey</w:t>
      </w:r>
      <w:proofErr w:type="spellEnd"/>
      <w:r w:rsidRPr="005570DE">
        <w:rPr>
          <w:rFonts w:ascii="Arial" w:hAnsi="Arial" w:cs="Arial"/>
          <w:color w:val="212121"/>
          <w:sz w:val="24"/>
          <w:szCs w:val="24"/>
          <w:shd w:val="clear" w:color="auto" w:fill="FFFFFF"/>
        </w:rPr>
        <w:t xml:space="preserve">, G. E., Risha, E. F., Rezk, S., Ateya, A. I., &amp; Abdelhamid, F. M. </w:t>
      </w:r>
    </w:p>
    <w:p w14:paraId="59B3C29F" w14:textId="77777777" w:rsidR="00C87059" w:rsidRPr="005570DE" w:rsidRDefault="00C87059" w:rsidP="00C87059">
      <w:pPr>
        <w:spacing w:after="0" w:line="240" w:lineRule="auto"/>
        <w:ind w:left="720"/>
        <w:jc w:val="both"/>
        <w:rPr>
          <w:rFonts w:ascii="Arial" w:hAnsi="Arial" w:cs="Arial"/>
          <w:color w:val="212121"/>
          <w:sz w:val="24"/>
          <w:szCs w:val="24"/>
          <w:shd w:val="clear" w:color="auto" w:fill="FFFFFF"/>
        </w:rPr>
      </w:pPr>
      <w:r w:rsidRPr="005570DE">
        <w:rPr>
          <w:rFonts w:ascii="Arial" w:hAnsi="Arial" w:cs="Arial"/>
          <w:color w:val="212121"/>
          <w:sz w:val="24"/>
          <w:szCs w:val="24"/>
          <w:shd w:val="clear" w:color="auto" w:fill="FFFFFF"/>
        </w:rPr>
        <w:t>(2024). Curcumin mitigates gentamicin induced-renal and cardiac toxicity via modulation of Keap1/Nrf2, NF-</w:t>
      </w:r>
      <w:proofErr w:type="spellStart"/>
      <w:r w:rsidRPr="005570DE">
        <w:rPr>
          <w:rFonts w:ascii="Arial" w:hAnsi="Arial" w:cs="Arial"/>
          <w:color w:val="212121"/>
          <w:sz w:val="24"/>
          <w:szCs w:val="24"/>
          <w:shd w:val="clear" w:color="auto" w:fill="FFFFFF"/>
        </w:rPr>
        <w:t>κB</w:t>
      </w:r>
      <w:proofErr w:type="spellEnd"/>
      <w:r w:rsidRPr="005570DE">
        <w:rPr>
          <w:rFonts w:ascii="Arial" w:hAnsi="Arial" w:cs="Arial"/>
          <w:color w:val="212121"/>
          <w:sz w:val="24"/>
          <w:szCs w:val="24"/>
          <w:shd w:val="clear" w:color="auto" w:fill="FFFFFF"/>
        </w:rPr>
        <w:t>/</w:t>
      </w:r>
      <w:proofErr w:type="spellStart"/>
      <w:r w:rsidRPr="005570DE">
        <w:rPr>
          <w:rFonts w:ascii="Arial" w:hAnsi="Arial" w:cs="Arial"/>
          <w:color w:val="212121"/>
          <w:sz w:val="24"/>
          <w:szCs w:val="24"/>
          <w:shd w:val="clear" w:color="auto" w:fill="FFFFFF"/>
        </w:rPr>
        <w:t>iNOS</w:t>
      </w:r>
      <w:proofErr w:type="spellEnd"/>
      <w:r w:rsidRPr="005570DE">
        <w:rPr>
          <w:rFonts w:ascii="Arial" w:hAnsi="Arial" w:cs="Arial"/>
          <w:color w:val="212121"/>
          <w:sz w:val="24"/>
          <w:szCs w:val="24"/>
          <w:shd w:val="clear" w:color="auto" w:fill="FFFFFF"/>
        </w:rPr>
        <w:t xml:space="preserve"> and Bcl-2/BAX pathways. </w:t>
      </w:r>
      <w:r w:rsidRPr="005570DE">
        <w:rPr>
          <w:rFonts w:ascii="Arial" w:hAnsi="Arial" w:cs="Arial"/>
          <w:i/>
          <w:iCs/>
          <w:color w:val="212121"/>
          <w:sz w:val="24"/>
          <w:szCs w:val="24"/>
          <w:shd w:val="clear" w:color="auto" w:fill="FFFFFF"/>
        </w:rPr>
        <w:t xml:space="preserve">Food and chemical </w:t>
      </w:r>
      <w:proofErr w:type="gramStart"/>
      <w:r w:rsidRPr="005570DE">
        <w:rPr>
          <w:rFonts w:ascii="Arial" w:hAnsi="Arial" w:cs="Arial"/>
          <w:i/>
          <w:iCs/>
          <w:color w:val="212121"/>
          <w:sz w:val="24"/>
          <w:szCs w:val="24"/>
          <w:shd w:val="clear" w:color="auto" w:fill="FFFFFF"/>
        </w:rPr>
        <w:t>toxicology :</w:t>
      </w:r>
      <w:proofErr w:type="gramEnd"/>
      <w:r w:rsidRPr="005570DE">
        <w:rPr>
          <w:rFonts w:ascii="Arial" w:hAnsi="Arial" w:cs="Arial"/>
          <w:i/>
          <w:iCs/>
          <w:color w:val="212121"/>
          <w:sz w:val="24"/>
          <w:szCs w:val="24"/>
          <w:shd w:val="clear" w:color="auto" w:fill="FFFFFF"/>
        </w:rPr>
        <w:t xml:space="preserve"> an international journal published for the British Industrial Biological Research Association</w:t>
      </w:r>
      <w:r w:rsidRPr="005570DE">
        <w:rPr>
          <w:rFonts w:ascii="Arial" w:hAnsi="Arial" w:cs="Arial"/>
          <w:color w:val="212121"/>
          <w:sz w:val="24"/>
          <w:szCs w:val="24"/>
          <w:shd w:val="clear" w:color="auto" w:fill="FFFFFF"/>
        </w:rPr>
        <w:t>, </w:t>
      </w:r>
      <w:r w:rsidRPr="005570DE">
        <w:rPr>
          <w:rFonts w:ascii="Arial" w:hAnsi="Arial" w:cs="Arial"/>
          <w:i/>
          <w:iCs/>
          <w:color w:val="212121"/>
          <w:sz w:val="24"/>
          <w:szCs w:val="24"/>
          <w:shd w:val="clear" w:color="auto" w:fill="FFFFFF"/>
        </w:rPr>
        <w:t>183</w:t>
      </w:r>
      <w:r w:rsidRPr="005570DE">
        <w:rPr>
          <w:rFonts w:ascii="Arial" w:hAnsi="Arial" w:cs="Arial"/>
          <w:color w:val="212121"/>
          <w:sz w:val="24"/>
          <w:szCs w:val="24"/>
          <w:shd w:val="clear" w:color="auto" w:fill="FFFFFF"/>
        </w:rPr>
        <w:t xml:space="preserve">, 114323. </w:t>
      </w:r>
      <w:hyperlink r:id="rId20" w:history="1">
        <w:r w:rsidRPr="005570DE">
          <w:rPr>
            <w:rStyle w:val="Hyperlink"/>
            <w:rFonts w:ascii="Arial" w:hAnsi="Arial" w:cs="Arial"/>
            <w:sz w:val="24"/>
            <w:szCs w:val="24"/>
            <w:shd w:val="clear" w:color="auto" w:fill="FFFFFF"/>
          </w:rPr>
          <w:t>https://doi.org/10.1016/j.fct.2023.114323</w:t>
        </w:r>
      </w:hyperlink>
    </w:p>
    <w:p w14:paraId="603E237A" w14:textId="77777777" w:rsidR="00C87059" w:rsidRPr="005570DE" w:rsidRDefault="00C87059" w:rsidP="00B31226">
      <w:pPr>
        <w:spacing w:after="0" w:line="240" w:lineRule="auto"/>
        <w:jc w:val="both"/>
        <w:rPr>
          <w:rFonts w:ascii="Arial" w:hAnsi="Arial" w:cs="Arial"/>
          <w:b/>
          <w:sz w:val="24"/>
          <w:szCs w:val="24"/>
        </w:rPr>
      </w:pPr>
      <w:r>
        <w:rPr>
          <w:rFonts w:ascii="Arial" w:hAnsi="Arial" w:cs="Arial"/>
          <w:b/>
          <w:sz w:val="24"/>
          <w:szCs w:val="24"/>
        </w:rPr>
        <w:tab/>
      </w:r>
    </w:p>
    <w:p w14:paraId="4AE3F7BB" w14:textId="77777777" w:rsidR="00B31226" w:rsidRDefault="00B31226" w:rsidP="00C87059">
      <w:pPr>
        <w:spacing w:after="0" w:line="240" w:lineRule="auto"/>
        <w:jc w:val="both"/>
        <w:rPr>
          <w:rFonts w:ascii="Arial" w:hAnsi="Arial" w:cs="Arial"/>
          <w:sz w:val="24"/>
          <w:szCs w:val="24"/>
        </w:rPr>
      </w:pPr>
      <w:r w:rsidRPr="005570DE">
        <w:rPr>
          <w:rFonts w:ascii="Arial" w:hAnsi="Arial" w:cs="Arial"/>
          <w:sz w:val="24"/>
          <w:szCs w:val="24"/>
        </w:rPr>
        <w:t xml:space="preserve">Iqbal, M. O., Wang, Q., Manzoor, M., Khan, I. A., Gu, Y., Chen, J., &amp; Wu, X. </w:t>
      </w:r>
    </w:p>
    <w:p w14:paraId="26A396CE" w14:textId="77777777" w:rsidR="00C87059" w:rsidRPr="00C87059" w:rsidRDefault="00C87059" w:rsidP="00C87059">
      <w:pPr>
        <w:spacing w:after="0" w:line="240" w:lineRule="auto"/>
        <w:ind w:left="720"/>
        <w:jc w:val="both"/>
        <w:rPr>
          <w:rFonts w:ascii="Arial" w:hAnsi="Arial" w:cs="Arial"/>
        </w:rPr>
      </w:pPr>
      <w:r w:rsidRPr="005570DE">
        <w:rPr>
          <w:rFonts w:ascii="Arial" w:hAnsi="Arial" w:cs="Arial"/>
          <w:sz w:val="24"/>
          <w:szCs w:val="24"/>
        </w:rPr>
        <w:t>(2025</w:t>
      </w:r>
      <w:proofErr w:type="gramStart"/>
      <w:r w:rsidRPr="005570DE">
        <w:rPr>
          <w:rFonts w:ascii="Arial" w:hAnsi="Arial" w:cs="Arial"/>
          <w:sz w:val="24"/>
          <w:szCs w:val="24"/>
        </w:rPr>
        <w:t>).</w:t>
      </w:r>
      <w:proofErr w:type="spellStart"/>
      <w:r w:rsidRPr="005570DE">
        <w:rPr>
          <w:rFonts w:ascii="Arial" w:hAnsi="Arial" w:cs="Arial"/>
          <w:sz w:val="24"/>
          <w:szCs w:val="24"/>
        </w:rPr>
        <w:t>Protective</w:t>
      </w:r>
      <w:r w:rsidRPr="005570DE">
        <w:rPr>
          <w:rFonts w:ascii="Arial" w:hAnsi="Arial" w:cs="Arial"/>
        </w:rPr>
        <w:t>.</w:t>
      </w:r>
      <w:r w:rsidRPr="005570DE">
        <w:rPr>
          <w:rFonts w:ascii="Arial" w:hAnsi="Arial" w:cs="Arial"/>
          <w:sz w:val="24"/>
          <w:szCs w:val="24"/>
        </w:rPr>
        <w:t>effect</w:t>
      </w:r>
      <w:proofErr w:type="spellEnd"/>
      <w:proofErr w:type="gramEnd"/>
      <w:r w:rsidRPr="005570DE">
        <w:rPr>
          <w:rFonts w:ascii="Arial" w:hAnsi="Arial" w:cs="Arial"/>
          <w:sz w:val="24"/>
          <w:szCs w:val="24"/>
        </w:rPr>
        <w:t xml:space="preserve"> of </w:t>
      </w:r>
      <w:r w:rsidRPr="005570DE">
        <w:rPr>
          <w:rStyle w:val="Emphasis"/>
          <w:rFonts w:ascii="Arial" w:hAnsi="Arial" w:cs="Arial"/>
          <w:sz w:val="24"/>
          <w:szCs w:val="24"/>
        </w:rPr>
        <w:t xml:space="preserve">Jatropha </w:t>
      </w:r>
      <w:proofErr w:type="spellStart"/>
      <w:r w:rsidRPr="005570DE">
        <w:rPr>
          <w:rStyle w:val="Emphasis"/>
          <w:rFonts w:ascii="Arial" w:hAnsi="Arial" w:cs="Arial"/>
          <w:sz w:val="24"/>
          <w:szCs w:val="24"/>
        </w:rPr>
        <w:t>mollissima</w:t>
      </w:r>
      <w:proofErr w:type="spellEnd"/>
      <w:r w:rsidRPr="005570DE">
        <w:rPr>
          <w:rFonts w:ascii="Arial" w:hAnsi="Arial" w:cs="Arial"/>
          <w:sz w:val="24"/>
          <w:szCs w:val="24"/>
        </w:rPr>
        <w:t xml:space="preserve"> extract on doxorubicin-induced cardiotoxicity in rats. </w:t>
      </w:r>
      <w:r w:rsidRPr="005570DE">
        <w:rPr>
          <w:rStyle w:val="Emphasis"/>
          <w:rFonts w:ascii="Arial" w:hAnsi="Arial" w:cs="Arial"/>
          <w:sz w:val="24"/>
          <w:szCs w:val="24"/>
        </w:rPr>
        <w:t>Frontiers in Pharmacology, 16</w:t>
      </w:r>
      <w:r w:rsidRPr="005570DE">
        <w:rPr>
          <w:rFonts w:ascii="Arial" w:hAnsi="Arial" w:cs="Arial"/>
          <w:sz w:val="24"/>
          <w:szCs w:val="24"/>
        </w:rPr>
        <w:t>, 1634378</w:t>
      </w:r>
    </w:p>
    <w:p w14:paraId="6CDD1674" w14:textId="77777777" w:rsidR="00C87059" w:rsidRPr="005570DE" w:rsidRDefault="00C87059" w:rsidP="00C87059">
      <w:pPr>
        <w:spacing w:after="0" w:line="240" w:lineRule="auto"/>
        <w:jc w:val="both"/>
        <w:rPr>
          <w:rFonts w:ascii="Arial" w:hAnsi="Arial" w:cs="Arial"/>
          <w:b/>
          <w:sz w:val="24"/>
          <w:szCs w:val="24"/>
        </w:rPr>
      </w:pPr>
    </w:p>
    <w:p w14:paraId="78B35420" w14:textId="77777777" w:rsidR="00B31226" w:rsidRPr="005570DE" w:rsidRDefault="00B31226" w:rsidP="00B31226">
      <w:pPr>
        <w:spacing w:after="0" w:line="276" w:lineRule="auto"/>
        <w:jc w:val="both"/>
        <w:rPr>
          <w:rFonts w:ascii="Arial" w:hAnsi="Arial" w:cs="Arial"/>
        </w:rPr>
      </w:pPr>
      <w:proofErr w:type="spellStart"/>
      <w:r w:rsidRPr="005570DE">
        <w:rPr>
          <w:rFonts w:ascii="Arial" w:hAnsi="Arial" w:cs="Arial"/>
        </w:rPr>
        <w:t>Meligy</w:t>
      </w:r>
      <w:proofErr w:type="spellEnd"/>
      <w:r w:rsidRPr="005570DE">
        <w:rPr>
          <w:rFonts w:ascii="Arial" w:hAnsi="Arial" w:cs="Arial"/>
        </w:rPr>
        <w:t xml:space="preserve">, F. Y., El-Deen Mohammed, H. S., Mostafa, T. M., Elfiky, M. M., El-Sayed Mohamed </w:t>
      </w:r>
    </w:p>
    <w:p w14:paraId="12AF56B9" w14:textId="77777777" w:rsidR="00B31226" w:rsidRPr="005570DE" w:rsidRDefault="00B31226" w:rsidP="00B31226">
      <w:pPr>
        <w:spacing w:after="0" w:line="276" w:lineRule="auto"/>
        <w:ind w:left="720"/>
        <w:jc w:val="both"/>
        <w:rPr>
          <w:rFonts w:ascii="Arial" w:hAnsi="Arial" w:cs="Arial"/>
        </w:rPr>
      </w:pPr>
      <w:r w:rsidRPr="005570DE">
        <w:rPr>
          <w:rFonts w:ascii="Arial" w:hAnsi="Arial" w:cs="Arial"/>
        </w:rPr>
        <w:t xml:space="preserve">Ashry, I., Abd-Eldayem, A. M., Rizk, N. I., Sabry, D., Abd Allah, E. S. H., &amp; Ahmed, S. F. (2022). </w:t>
      </w:r>
      <w:r w:rsidRPr="005570DE">
        <w:rPr>
          <w:rStyle w:val="Emphasis"/>
          <w:rFonts w:ascii="Arial" w:hAnsi="Arial" w:cs="Arial"/>
        </w:rPr>
        <w:t>Therapeutic potential of mesenchymal stem cells versus omega n − 3 polyunsaturated fatty acids on gentamicin-induced cardiac degeneration</w:t>
      </w:r>
      <w:r w:rsidRPr="005570DE">
        <w:rPr>
          <w:rFonts w:ascii="Arial" w:hAnsi="Arial" w:cs="Arial"/>
        </w:rPr>
        <w:t xml:space="preserve">. </w:t>
      </w:r>
      <w:r w:rsidRPr="005570DE">
        <w:rPr>
          <w:rStyle w:val="Emphasis"/>
          <w:rFonts w:ascii="Arial" w:hAnsi="Arial" w:cs="Arial"/>
        </w:rPr>
        <w:t>Pharmaceutics, 14</w:t>
      </w:r>
      <w:r w:rsidRPr="005570DE">
        <w:rPr>
          <w:rFonts w:ascii="Arial" w:hAnsi="Arial" w:cs="Arial"/>
        </w:rPr>
        <w:t xml:space="preserve">(7), 1322. </w:t>
      </w:r>
      <w:hyperlink r:id="rId21" w:history="1">
        <w:r w:rsidRPr="005570DE">
          <w:rPr>
            <w:rStyle w:val="Hyperlink"/>
            <w:rFonts w:ascii="Arial" w:hAnsi="Arial" w:cs="Arial"/>
          </w:rPr>
          <w:t>https://doi.org/10.3390/pharmaceutics14071322</w:t>
        </w:r>
      </w:hyperlink>
    </w:p>
    <w:p w14:paraId="6B9EBDDD" w14:textId="77777777" w:rsidR="00B31226" w:rsidRPr="005570DE" w:rsidRDefault="00B31226" w:rsidP="00B31226">
      <w:pPr>
        <w:spacing w:after="0" w:line="276" w:lineRule="auto"/>
        <w:jc w:val="both"/>
        <w:rPr>
          <w:rFonts w:ascii="Arial" w:hAnsi="Arial" w:cs="Arial"/>
        </w:rPr>
      </w:pPr>
    </w:p>
    <w:p w14:paraId="43E6AC24" w14:textId="77777777" w:rsidR="00B31226" w:rsidRPr="005570DE" w:rsidRDefault="00B31226" w:rsidP="00B31226">
      <w:pPr>
        <w:spacing w:after="0" w:line="276" w:lineRule="auto"/>
        <w:jc w:val="both"/>
        <w:rPr>
          <w:rStyle w:val="Emphasis"/>
          <w:rFonts w:ascii="Arial" w:hAnsi="Arial" w:cs="Arial"/>
        </w:rPr>
      </w:pPr>
      <w:r w:rsidRPr="005570DE">
        <w:rPr>
          <w:rFonts w:ascii="Arial" w:hAnsi="Arial" w:cs="Arial"/>
        </w:rPr>
        <w:t xml:space="preserve">Mahmoud, A. D., Al-Rawi, S., &amp; Hama, H. (2025). </w:t>
      </w:r>
      <w:r w:rsidRPr="005570DE">
        <w:rPr>
          <w:rStyle w:val="Emphasis"/>
          <w:rFonts w:ascii="Arial" w:hAnsi="Arial" w:cs="Arial"/>
        </w:rPr>
        <w:t xml:space="preserve">Vitex </w:t>
      </w:r>
      <w:proofErr w:type="spellStart"/>
      <w:r w:rsidRPr="005570DE">
        <w:rPr>
          <w:rStyle w:val="Emphasis"/>
          <w:rFonts w:ascii="Arial" w:hAnsi="Arial" w:cs="Arial"/>
        </w:rPr>
        <w:t>doniana</w:t>
      </w:r>
      <w:proofErr w:type="spellEnd"/>
      <w:r w:rsidRPr="005570DE">
        <w:rPr>
          <w:rStyle w:val="Emphasis"/>
          <w:rFonts w:ascii="Arial" w:hAnsi="Arial" w:cs="Arial"/>
        </w:rPr>
        <w:t xml:space="preserve"> Sweet, applications and </w:t>
      </w:r>
    </w:p>
    <w:p w14:paraId="0366A771" w14:textId="77777777" w:rsidR="00B31226" w:rsidRPr="005570DE" w:rsidRDefault="00B31226" w:rsidP="00B31226">
      <w:pPr>
        <w:spacing w:after="0" w:line="276" w:lineRule="auto"/>
        <w:ind w:left="720"/>
        <w:jc w:val="both"/>
        <w:rPr>
          <w:rStyle w:val="Hyperlink"/>
          <w:rFonts w:ascii="Arial" w:hAnsi="Arial" w:cs="Arial"/>
        </w:rPr>
      </w:pPr>
      <w:r w:rsidRPr="005570DE">
        <w:rPr>
          <w:rStyle w:val="Emphasis"/>
          <w:rFonts w:ascii="Arial" w:hAnsi="Arial" w:cs="Arial"/>
        </w:rPr>
        <w:lastRenderedPageBreak/>
        <w:t>therapeutic potential: A scoping review</w:t>
      </w:r>
      <w:r w:rsidRPr="005570DE">
        <w:rPr>
          <w:rFonts w:ascii="Arial" w:hAnsi="Arial" w:cs="Arial"/>
        </w:rPr>
        <w:t xml:space="preserve">. </w:t>
      </w:r>
      <w:r w:rsidRPr="005570DE">
        <w:rPr>
          <w:rStyle w:val="Emphasis"/>
          <w:rFonts w:ascii="Arial" w:hAnsi="Arial" w:cs="Arial"/>
        </w:rPr>
        <w:t>Discover Applied Sciences, 30</w:t>
      </w:r>
      <w:r w:rsidRPr="005570DE">
        <w:rPr>
          <w:rFonts w:ascii="Arial" w:hAnsi="Arial" w:cs="Arial"/>
        </w:rPr>
        <w:t xml:space="preserve">, 1–130. </w:t>
      </w:r>
      <w:hyperlink r:id="rId22" w:history="1">
        <w:r w:rsidRPr="005570DE">
          <w:rPr>
            <w:rStyle w:val="Hyperlink"/>
            <w:rFonts w:ascii="Arial" w:hAnsi="Arial" w:cs="Arial"/>
          </w:rPr>
          <w:t>https://doi.org/10.1007/s42452-025-06581-6</w:t>
        </w:r>
      </w:hyperlink>
    </w:p>
    <w:p w14:paraId="14323CAC" w14:textId="77777777" w:rsidR="00B31226" w:rsidRPr="005570DE" w:rsidRDefault="00B31226" w:rsidP="00B31226">
      <w:pPr>
        <w:spacing w:after="0" w:line="276" w:lineRule="auto"/>
        <w:jc w:val="both"/>
        <w:rPr>
          <w:rStyle w:val="Emphasis"/>
          <w:rFonts w:ascii="Arial" w:hAnsi="Arial" w:cs="Arial"/>
        </w:rPr>
      </w:pPr>
    </w:p>
    <w:p w14:paraId="664E42D0" w14:textId="77777777" w:rsidR="00B31226" w:rsidRDefault="00B31226" w:rsidP="00B31226">
      <w:pPr>
        <w:spacing w:after="0" w:line="276" w:lineRule="auto"/>
        <w:jc w:val="both"/>
        <w:rPr>
          <w:rFonts w:ascii="Arial" w:hAnsi="Arial" w:cs="Arial"/>
          <w:sz w:val="24"/>
          <w:szCs w:val="24"/>
        </w:rPr>
      </w:pPr>
      <w:r w:rsidRPr="005570DE">
        <w:rPr>
          <w:rFonts w:ascii="Arial" w:hAnsi="Arial" w:cs="Arial"/>
          <w:sz w:val="24"/>
          <w:szCs w:val="24"/>
        </w:rPr>
        <w:t xml:space="preserve">None, H., Sharma, M. S. M., Vishwakarma, V. P., &amp; Saini, M. (2025). Cardioprotective </w:t>
      </w:r>
    </w:p>
    <w:p w14:paraId="63660578" w14:textId="77777777" w:rsidR="00C87059" w:rsidRPr="005570DE" w:rsidRDefault="00C87059" w:rsidP="00C87059">
      <w:pPr>
        <w:spacing w:after="0" w:line="276" w:lineRule="auto"/>
        <w:ind w:left="720"/>
        <w:jc w:val="both"/>
        <w:rPr>
          <w:rFonts w:ascii="Arial" w:hAnsi="Arial" w:cs="Arial"/>
          <w:sz w:val="24"/>
          <w:szCs w:val="24"/>
        </w:rPr>
      </w:pPr>
      <w:r w:rsidRPr="005570DE">
        <w:rPr>
          <w:rFonts w:ascii="Arial" w:hAnsi="Arial" w:cs="Arial"/>
          <w:sz w:val="24"/>
          <w:szCs w:val="24"/>
        </w:rPr>
        <w:t xml:space="preserve">potential of </w:t>
      </w:r>
      <w:r w:rsidRPr="005570DE">
        <w:rPr>
          <w:rStyle w:val="Emphasis"/>
          <w:rFonts w:ascii="Arial" w:hAnsi="Arial" w:cs="Arial"/>
          <w:sz w:val="24"/>
          <w:szCs w:val="24"/>
        </w:rPr>
        <w:t>Hibiscus rosa-sinensis</w:t>
      </w:r>
      <w:r w:rsidRPr="005570DE">
        <w:rPr>
          <w:rFonts w:ascii="Arial" w:hAnsi="Arial" w:cs="Arial"/>
          <w:sz w:val="24"/>
          <w:szCs w:val="24"/>
        </w:rPr>
        <w:t xml:space="preserve"> against doxorubicin-induced cardiotoxicity. </w:t>
      </w:r>
      <w:r w:rsidRPr="005570DE">
        <w:rPr>
          <w:rStyle w:val="Emphasis"/>
          <w:rFonts w:ascii="Arial" w:hAnsi="Arial" w:cs="Arial"/>
          <w:sz w:val="24"/>
          <w:szCs w:val="24"/>
        </w:rPr>
        <w:t>International Journal of Medical and Pharmaceutical Research, 6</w:t>
      </w:r>
      <w:r w:rsidRPr="005570DE">
        <w:rPr>
          <w:rFonts w:ascii="Arial" w:hAnsi="Arial" w:cs="Arial"/>
          <w:sz w:val="24"/>
          <w:szCs w:val="24"/>
        </w:rPr>
        <w:t>(4), 1248–1255.</w:t>
      </w:r>
    </w:p>
    <w:p w14:paraId="5BECB99D" w14:textId="77777777" w:rsidR="00C87059" w:rsidRDefault="00C87059" w:rsidP="00B31226">
      <w:pPr>
        <w:spacing w:after="0" w:line="276" w:lineRule="auto"/>
        <w:jc w:val="both"/>
        <w:rPr>
          <w:rFonts w:ascii="Arial" w:hAnsi="Arial" w:cs="Arial"/>
          <w:sz w:val="24"/>
          <w:szCs w:val="24"/>
        </w:rPr>
      </w:pPr>
    </w:p>
    <w:p w14:paraId="2399A0E4" w14:textId="77777777" w:rsidR="00C87059" w:rsidRDefault="00C87059" w:rsidP="00B31226">
      <w:pPr>
        <w:spacing w:after="0" w:line="276" w:lineRule="auto"/>
        <w:jc w:val="both"/>
        <w:rPr>
          <w:rFonts w:ascii="Arial" w:hAnsi="Arial" w:cs="Arial"/>
          <w:sz w:val="24"/>
          <w:szCs w:val="24"/>
        </w:rPr>
      </w:pPr>
    </w:p>
    <w:p w14:paraId="57BE1109" w14:textId="77777777" w:rsidR="00C87059" w:rsidRPr="005570DE" w:rsidRDefault="00C87059" w:rsidP="00B31226">
      <w:pPr>
        <w:spacing w:after="0" w:line="276" w:lineRule="auto"/>
        <w:jc w:val="both"/>
        <w:rPr>
          <w:rFonts w:ascii="Arial" w:hAnsi="Arial" w:cs="Arial"/>
          <w:sz w:val="24"/>
          <w:szCs w:val="24"/>
        </w:rPr>
      </w:pPr>
    </w:p>
    <w:p w14:paraId="31A067AD" w14:textId="77777777" w:rsidR="00B31226" w:rsidRPr="005570DE" w:rsidRDefault="00B31226" w:rsidP="00B31226">
      <w:pPr>
        <w:spacing w:after="0" w:line="276" w:lineRule="auto"/>
        <w:jc w:val="both"/>
        <w:rPr>
          <w:rFonts w:ascii="Arial" w:hAnsi="Arial" w:cs="Arial"/>
          <w:sz w:val="24"/>
          <w:szCs w:val="24"/>
        </w:rPr>
      </w:pPr>
      <w:r w:rsidRPr="005570DE">
        <w:rPr>
          <w:rFonts w:ascii="Arial" w:hAnsi="Arial" w:cs="Arial"/>
          <w:sz w:val="24"/>
          <w:szCs w:val="24"/>
        </w:rPr>
        <w:t xml:space="preserve">Shaker, N. A., Sharaf, E. A. M. E., Ghazal, N. A. A., &amp; Assem, N. M. (2025). Comparative </w:t>
      </w:r>
    </w:p>
    <w:p w14:paraId="71B636C7" w14:textId="77777777" w:rsidR="00B31226" w:rsidRPr="005570DE" w:rsidRDefault="00B31226" w:rsidP="00B31226">
      <w:pPr>
        <w:spacing w:after="0" w:line="276" w:lineRule="auto"/>
        <w:ind w:left="720"/>
        <w:jc w:val="both"/>
        <w:rPr>
          <w:rFonts w:ascii="Arial" w:hAnsi="Arial" w:cs="Arial"/>
          <w:sz w:val="24"/>
          <w:szCs w:val="24"/>
        </w:rPr>
      </w:pPr>
      <w:r w:rsidRPr="005570DE">
        <w:rPr>
          <w:rFonts w:ascii="Arial" w:hAnsi="Arial" w:cs="Arial"/>
          <w:sz w:val="24"/>
          <w:szCs w:val="24"/>
        </w:rPr>
        <w:t xml:space="preserve">protective effects of natural antioxidants against doxorubicin cardiotoxicity. </w:t>
      </w:r>
      <w:r w:rsidRPr="005570DE">
        <w:rPr>
          <w:rStyle w:val="Emphasis"/>
          <w:rFonts w:ascii="Arial" w:hAnsi="Arial" w:cs="Arial"/>
          <w:sz w:val="24"/>
          <w:szCs w:val="24"/>
        </w:rPr>
        <w:t>Scientific Reports, 15</w:t>
      </w:r>
      <w:r w:rsidRPr="005570DE">
        <w:rPr>
          <w:rFonts w:ascii="Arial" w:hAnsi="Arial" w:cs="Arial"/>
          <w:sz w:val="24"/>
          <w:szCs w:val="24"/>
        </w:rPr>
        <w:t>, 32664</w:t>
      </w:r>
    </w:p>
    <w:p w14:paraId="766075D0" w14:textId="77777777" w:rsidR="00B31226" w:rsidRPr="005570DE" w:rsidRDefault="00B31226" w:rsidP="00B31226">
      <w:pPr>
        <w:spacing w:after="0" w:line="276" w:lineRule="auto"/>
        <w:jc w:val="both"/>
        <w:rPr>
          <w:rFonts w:ascii="Arial" w:hAnsi="Arial" w:cs="Arial"/>
          <w:sz w:val="24"/>
          <w:szCs w:val="24"/>
        </w:rPr>
      </w:pPr>
    </w:p>
    <w:p w14:paraId="6D94A0C6" w14:textId="77777777" w:rsidR="00B31226" w:rsidRPr="005570DE" w:rsidRDefault="00B31226" w:rsidP="00B31226">
      <w:pPr>
        <w:spacing w:after="0" w:line="276" w:lineRule="auto"/>
        <w:jc w:val="both"/>
        <w:rPr>
          <w:rStyle w:val="Emphasis"/>
          <w:rFonts w:ascii="Arial" w:hAnsi="Arial" w:cs="Arial"/>
        </w:rPr>
      </w:pPr>
      <w:r w:rsidRPr="005570DE">
        <w:rPr>
          <w:rFonts w:ascii="Arial" w:hAnsi="Arial" w:cs="Arial"/>
        </w:rPr>
        <w:t>Sulaiman, M. A., Dahiru, D., Jada, M. S., &amp;</w:t>
      </w:r>
      <w:proofErr w:type="spellStart"/>
      <w:r w:rsidRPr="005570DE">
        <w:rPr>
          <w:rFonts w:ascii="Arial" w:hAnsi="Arial" w:cs="Arial"/>
        </w:rPr>
        <w:t>Hayatu</w:t>
      </w:r>
      <w:proofErr w:type="spellEnd"/>
      <w:r w:rsidRPr="005570DE">
        <w:rPr>
          <w:rFonts w:ascii="Arial" w:hAnsi="Arial" w:cs="Arial"/>
        </w:rPr>
        <w:t xml:space="preserve">, A. I. (2021). </w:t>
      </w:r>
      <w:r w:rsidRPr="005570DE">
        <w:rPr>
          <w:rStyle w:val="Emphasis"/>
          <w:rFonts w:ascii="Arial" w:hAnsi="Arial" w:cs="Arial"/>
        </w:rPr>
        <w:t xml:space="preserve">Curative effects of aqueous and </w:t>
      </w:r>
    </w:p>
    <w:p w14:paraId="79E8C1A4" w14:textId="77777777" w:rsidR="00B31226" w:rsidRPr="005570DE" w:rsidRDefault="00B31226" w:rsidP="00B31226">
      <w:pPr>
        <w:spacing w:after="0" w:line="276" w:lineRule="auto"/>
        <w:ind w:left="720"/>
        <w:jc w:val="both"/>
        <w:rPr>
          <w:rFonts w:ascii="Arial" w:hAnsi="Arial" w:cs="Arial"/>
        </w:rPr>
      </w:pPr>
      <w:r w:rsidRPr="005570DE">
        <w:rPr>
          <w:rStyle w:val="Emphasis"/>
          <w:rFonts w:ascii="Arial" w:hAnsi="Arial" w:cs="Arial"/>
        </w:rPr>
        <w:t xml:space="preserve">ethanol stem bark extracts of Vitex </w:t>
      </w:r>
      <w:proofErr w:type="spellStart"/>
      <w:r w:rsidRPr="005570DE">
        <w:rPr>
          <w:rStyle w:val="Emphasis"/>
          <w:rFonts w:ascii="Arial" w:hAnsi="Arial" w:cs="Arial"/>
        </w:rPr>
        <w:t>doniana</w:t>
      </w:r>
      <w:proofErr w:type="spellEnd"/>
      <w:r w:rsidRPr="005570DE">
        <w:rPr>
          <w:rStyle w:val="Emphasis"/>
          <w:rFonts w:ascii="Arial" w:hAnsi="Arial" w:cs="Arial"/>
        </w:rPr>
        <w:t xml:space="preserve"> on doxorubicin-induced cardiotoxicity in rats</w:t>
      </w:r>
      <w:r w:rsidRPr="005570DE">
        <w:rPr>
          <w:rFonts w:ascii="Arial" w:hAnsi="Arial" w:cs="Arial"/>
        </w:rPr>
        <w:t xml:space="preserve">. </w:t>
      </w:r>
      <w:r w:rsidRPr="005570DE">
        <w:rPr>
          <w:rStyle w:val="Emphasis"/>
          <w:rFonts w:ascii="Arial" w:hAnsi="Arial" w:cs="Arial"/>
        </w:rPr>
        <w:t>Journal of Complementary and Alternative Medical Research, 13</w:t>
      </w:r>
      <w:r w:rsidRPr="005570DE">
        <w:rPr>
          <w:rFonts w:ascii="Arial" w:hAnsi="Arial" w:cs="Arial"/>
        </w:rPr>
        <w:t xml:space="preserve">(3), 8–17. </w:t>
      </w:r>
      <w:hyperlink r:id="rId23" w:history="1">
        <w:r w:rsidRPr="005570DE">
          <w:rPr>
            <w:rStyle w:val="Hyperlink"/>
            <w:rFonts w:ascii="Arial" w:hAnsi="Arial" w:cs="Arial"/>
          </w:rPr>
          <w:t>https://doi.org/10.9734/jocamr/2021/v13i330225</w:t>
        </w:r>
      </w:hyperlink>
    </w:p>
    <w:p w14:paraId="71599834" w14:textId="77777777" w:rsidR="00B31226" w:rsidRPr="005570DE" w:rsidRDefault="00B31226" w:rsidP="00B31226">
      <w:pPr>
        <w:spacing w:after="0" w:line="276" w:lineRule="auto"/>
        <w:jc w:val="both"/>
        <w:rPr>
          <w:rStyle w:val="Emphasis"/>
          <w:rFonts w:ascii="Arial" w:hAnsi="Arial" w:cs="Arial"/>
        </w:rPr>
      </w:pPr>
    </w:p>
    <w:p w14:paraId="1530E4D3" w14:textId="77777777" w:rsidR="00B31226" w:rsidRPr="005570DE" w:rsidRDefault="00B31226" w:rsidP="00B31226">
      <w:pPr>
        <w:spacing w:after="0" w:line="276" w:lineRule="auto"/>
        <w:jc w:val="both"/>
        <w:rPr>
          <w:rFonts w:ascii="Arial" w:hAnsi="Arial" w:cs="Arial"/>
        </w:rPr>
      </w:pPr>
      <w:r w:rsidRPr="005570DE">
        <w:rPr>
          <w:rFonts w:ascii="Arial" w:hAnsi="Arial" w:cs="Arial"/>
        </w:rPr>
        <w:t xml:space="preserve">Yakubu, O. E., et al. (2015). </w:t>
      </w:r>
      <w:r w:rsidRPr="005570DE">
        <w:rPr>
          <w:rStyle w:val="Emphasis"/>
          <w:rFonts w:ascii="Arial" w:hAnsi="Arial" w:cs="Arial"/>
        </w:rPr>
        <w:t xml:space="preserve">[Summary of pharmacological effects of Vitex </w:t>
      </w:r>
      <w:proofErr w:type="spellStart"/>
      <w:r w:rsidRPr="005570DE">
        <w:rPr>
          <w:rStyle w:val="Emphasis"/>
          <w:rFonts w:ascii="Arial" w:hAnsi="Arial" w:cs="Arial"/>
        </w:rPr>
        <w:t>doniana</w:t>
      </w:r>
      <w:proofErr w:type="spellEnd"/>
      <w:r w:rsidRPr="005570DE">
        <w:rPr>
          <w:rStyle w:val="Emphasis"/>
          <w:rFonts w:ascii="Arial" w:hAnsi="Arial" w:cs="Arial"/>
        </w:rPr>
        <w:t xml:space="preserve"> extracts]</w:t>
      </w:r>
      <w:r w:rsidRPr="005570DE">
        <w:rPr>
          <w:rFonts w:ascii="Arial" w:hAnsi="Arial" w:cs="Arial"/>
        </w:rPr>
        <w:t xml:space="preserve">. </w:t>
      </w:r>
    </w:p>
    <w:p w14:paraId="0FC735B7" w14:textId="77777777" w:rsidR="00B31226" w:rsidRPr="005570DE" w:rsidRDefault="00B31226" w:rsidP="00B31226">
      <w:pPr>
        <w:spacing w:after="0" w:line="276" w:lineRule="auto"/>
        <w:jc w:val="both"/>
        <w:rPr>
          <w:rFonts w:ascii="Arial" w:hAnsi="Arial" w:cs="Arial"/>
        </w:rPr>
      </w:pPr>
      <w:r w:rsidRPr="005570DE">
        <w:rPr>
          <w:rFonts w:ascii="Arial" w:hAnsi="Arial" w:cs="Arial"/>
        </w:rPr>
        <w:tab/>
      </w:r>
      <w:r w:rsidRPr="005570DE">
        <w:rPr>
          <w:rStyle w:val="Emphasis"/>
          <w:rFonts w:ascii="Arial" w:hAnsi="Arial" w:cs="Arial"/>
        </w:rPr>
        <w:t>International Journal of Pharma Sciences and Research, 6</w:t>
      </w:r>
      <w:r w:rsidRPr="005570DE">
        <w:rPr>
          <w:rFonts w:ascii="Arial" w:hAnsi="Arial" w:cs="Arial"/>
        </w:rPr>
        <w:t>(5), 830.</w:t>
      </w:r>
    </w:p>
    <w:p w14:paraId="686476C2" w14:textId="77777777" w:rsidR="00B31226" w:rsidRPr="005570DE" w:rsidRDefault="00B31226" w:rsidP="00B31226">
      <w:pPr>
        <w:spacing w:after="0" w:line="276" w:lineRule="auto"/>
        <w:jc w:val="both"/>
        <w:rPr>
          <w:rFonts w:ascii="Arial" w:hAnsi="Arial" w:cs="Arial"/>
        </w:rPr>
      </w:pPr>
    </w:p>
    <w:p w14:paraId="712CE30A" w14:textId="77777777" w:rsidR="00B31226" w:rsidRDefault="00B31226" w:rsidP="00B31226">
      <w:pPr>
        <w:spacing w:after="0" w:line="276" w:lineRule="auto"/>
        <w:jc w:val="both"/>
        <w:rPr>
          <w:rFonts w:ascii="Arial" w:hAnsi="Arial" w:cs="Arial"/>
          <w:sz w:val="24"/>
          <w:szCs w:val="24"/>
        </w:rPr>
      </w:pPr>
      <w:r w:rsidRPr="005570DE">
        <w:rPr>
          <w:rFonts w:ascii="Arial" w:hAnsi="Arial" w:cs="Arial"/>
          <w:sz w:val="24"/>
          <w:szCs w:val="24"/>
        </w:rPr>
        <w:t xml:space="preserve">Zare-Zardini, H., Hedayati-Goudarzi, M. T., &amp; Alizadeh, A. (2024). Cardioprotective </w:t>
      </w:r>
    </w:p>
    <w:p w14:paraId="620EEC6B" w14:textId="77777777" w:rsidR="00C87059" w:rsidRPr="005570DE" w:rsidRDefault="00C87059" w:rsidP="00C87059">
      <w:pPr>
        <w:spacing w:after="0" w:line="276" w:lineRule="auto"/>
        <w:ind w:left="720"/>
        <w:jc w:val="both"/>
        <w:rPr>
          <w:rFonts w:ascii="Arial" w:hAnsi="Arial" w:cs="Arial"/>
          <w:sz w:val="24"/>
          <w:szCs w:val="24"/>
        </w:rPr>
      </w:pPr>
      <w:r w:rsidRPr="005570DE">
        <w:rPr>
          <w:rFonts w:ascii="Arial" w:hAnsi="Arial" w:cs="Arial"/>
          <w:sz w:val="24"/>
          <w:szCs w:val="24"/>
        </w:rPr>
        <w:t xml:space="preserve">effects of ginsenosides in chemotherapy-induced cardiotoxicity. </w:t>
      </w:r>
      <w:proofErr w:type="spellStart"/>
      <w:r w:rsidRPr="005570DE">
        <w:rPr>
          <w:rStyle w:val="Emphasis"/>
          <w:rFonts w:ascii="Arial" w:hAnsi="Arial" w:cs="Arial"/>
          <w:sz w:val="24"/>
          <w:szCs w:val="24"/>
        </w:rPr>
        <w:t>BioMedical</w:t>
      </w:r>
      <w:proofErr w:type="spellEnd"/>
      <w:r w:rsidRPr="005570DE">
        <w:rPr>
          <w:rStyle w:val="Emphasis"/>
          <w:rFonts w:ascii="Arial" w:hAnsi="Arial" w:cs="Arial"/>
          <w:sz w:val="24"/>
          <w:szCs w:val="24"/>
        </w:rPr>
        <w:t xml:space="preserve"> Engineering </w:t>
      </w:r>
      <w:proofErr w:type="spellStart"/>
      <w:r w:rsidRPr="005570DE">
        <w:rPr>
          <w:rStyle w:val="Emphasis"/>
          <w:rFonts w:ascii="Arial" w:hAnsi="Arial" w:cs="Arial"/>
          <w:sz w:val="24"/>
          <w:szCs w:val="24"/>
        </w:rPr>
        <w:t>OnLine</w:t>
      </w:r>
      <w:proofErr w:type="spellEnd"/>
      <w:r w:rsidRPr="005570DE">
        <w:rPr>
          <w:rStyle w:val="Emphasis"/>
          <w:rFonts w:ascii="Arial" w:hAnsi="Arial" w:cs="Arial"/>
          <w:sz w:val="24"/>
          <w:szCs w:val="24"/>
        </w:rPr>
        <w:t>, 23</w:t>
      </w:r>
      <w:r w:rsidRPr="005570DE">
        <w:rPr>
          <w:rFonts w:ascii="Arial" w:hAnsi="Arial" w:cs="Arial"/>
          <w:sz w:val="24"/>
          <w:szCs w:val="24"/>
        </w:rPr>
        <w:t>, 22.</w:t>
      </w:r>
    </w:p>
    <w:p w14:paraId="7190B363" w14:textId="77777777" w:rsidR="00C87059" w:rsidRPr="005570DE" w:rsidRDefault="00C87059" w:rsidP="00C87059">
      <w:pPr>
        <w:spacing w:after="0" w:line="276" w:lineRule="auto"/>
        <w:jc w:val="both"/>
        <w:rPr>
          <w:rFonts w:ascii="Arial" w:hAnsi="Arial" w:cs="Arial"/>
          <w:sz w:val="24"/>
          <w:szCs w:val="24"/>
        </w:rPr>
      </w:pPr>
    </w:p>
    <w:p w14:paraId="573EDA18" w14:textId="77777777" w:rsidR="00C87059" w:rsidRPr="005570DE" w:rsidRDefault="00C87059" w:rsidP="00B31226">
      <w:pPr>
        <w:spacing w:after="0" w:line="276" w:lineRule="auto"/>
        <w:jc w:val="both"/>
        <w:rPr>
          <w:rFonts w:ascii="Arial" w:hAnsi="Arial" w:cs="Arial"/>
          <w:sz w:val="24"/>
          <w:szCs w:val="24"/>
        </w:rPr>
      </w:pPr>
      <w:r>
        <w:rPr>
          <w:rFonts w:ascii="Arial" w:hAnsi="Arial" w:cs="Arial"/>
          <w:sz w:val="24"/>
          <w:szCs w:val="24"/>
        </w:rPr>
        <w:tab/>
      </w:r>
    </w:p>
    <w:p w14:paraId="2141B1BF" w14:textId="77777777" w:rsidR="00B31226" w:rsidRPr="005570DE" w:rsidRDefault="00B31226" w:rsidP="00B31226">
      <w:pPr>
        <w:spacing w:after="0" w:line="276" w:lineRule="auto"/>
        <w:jc w:val="both"/>
        <w:rPr>
          <w:rFonts w:ascii="Arial" w:hAnsi="Arial" w:cs="Arial"/>
          <w:sz w:val="24"/>
          <w:szCs w:val="24"/>
        </w:rPr>
      </w:pPr>
    </w:p>
    <w:p w14:paraId="704CBCDB" w14:textId="77777777" w:rsidR="00B31226" w:rsidRPr="005570DE" w:rsidRDefault="00B31226">
      <w:pPr>
        <w:rPr>
          <w:rFonts w:ascii="Arial" w:hAnsi="Arial" w:cs="Arial"/>
        </w:rPr>
      </w:pPr>
    </w:p>
    <w:sectPr w:rsidR="00B31226" w:rsidRPr="005570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FB834" w14:textId="77777777" w:rsidR="000C7762" w:rsidRDefault="000C7762" w:rsidP="00EE0D7C">
      <w:pPr>
        <w:spacing w:after="0" w:line="240" w:lineRule="auto"/>
      </w:pPr>
      <w:r>
        <w:separator/>
      </w:r>
    </w:p>
  </w:endnote>
  <w:endnote w:type="continuationSeparator" w:id="0">
    <w:p w14:paraId="3B326E5B" w14:textId="77777777" w:rsidR="000C7762" w:rsidRDefault="000C7762" w:rsidP="00EE0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8A48E" w14:textId="77777777" w:rsidR="00EC17A9" w:rsidRDefault="00EC1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198043"/>
      <w:docPartObj>
        <w:docPartGallery w:val="Page Numbers (Bottom of Page)"/>
        <w:docPartUnique/>
      </w:docPartObj>
    </w:sdtPr>
    <w:sdtEndPr>
      <w:rPr>
        <w:noProof/>
      </w:rPr>
    </w:sdtEndPr>
    <w:sdtContent>
      <w:p w14:paraId="6F579C65" w14:textId="77777777" w:rsidR="00EE0D7C" w:rsidRDefault="00EE0D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17B99E" w14:textId="77777777" w:rsidR="00EE0D7C" w:rsidRDefault="00EE0D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029B1" w14:textId="77777777" w:rsidR="00EC17A9" w:rsidRDefault="00EC1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CF6DF" w14:textId="77777777" w:rsidR="000C7762" w:rsidRDefault="000C7762" w:rsidP="00EE0D7C">
      <w:pPr>
        <w:spacing w:after="0" w:line="240" w:lineRule="auto"/>
      </w:pPr>
      <w:r>
        <w:separator/>
      </w:r>
    </w:p>
  </w:footnote>
  <w:footnote w:type="continuationSeparator" w:id="0">
    <w:p w14:paraId="50722C56" w14:textId="77777777" w:rsidR="000C7762" w:rsidRDefault="000C7762" w:rsidP="00EE0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7FE22" w14:textId="7A865D4B" w:rsidR="00EC17A9" w:rsidRDefault="00EC17A9">
    <w:pPr>
      <w:pStyle w:val="Header"/>
    </w:pPr>
    <w:r>
      <w:rPr>
        <w:noProof/>
      </w:rPr>
      <w:pict w14:anchorId="2F556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022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F999" w14:textId="27B78965" w:rsidR="00EC17A9" w:rsidRDefault="00EC17A9">
    <w:pPr>
      <w:pStyle w:val="Header"/>
    </w:pPr>
    <w:r>
      <w:rPr>
        <w:noProof/>
      </w:rPr>
      <w:pict w14:anchorId="209C5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022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890C" w14:textId="64170AE3" w:rsidR="00EC17A9" w:rsidRDefault="00EC17A9">
    <w:pPr>
      <w:pStyle w:val="Header"/>
    </w:pPr>
    <w:r>
      <w:rPr>
        <w:noProof/>
      </w:rPr>
      <w:pict w14:anchorId="53E71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022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42D4"/>
    <w:multiLevelType w:val="multilevel"/>
    <w:tmpl w:val="FAE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6"/>
    <w:rsid w:val="000C7762"/>
    <w:rsid w:val="00175F76"/>
    <w:rsid w:val="00191ED2"/>
    <w:rsid w:val="0026706A"/>
    <w:rsid w:val="002B2B48"/>
    <w:rsid w:val="00390B6F"/>
    <w:rsid w:val="005570DE"/>
    <w:rsid w:val="00584582"/>
    <w:rsid w:val="00627D2D"/>
    <w:rsid w:val="007B608D"/>
    <w:rsid w:val="008B0550"/>
    <w:rsid w:val="008C310B"/>
    <w:rsid w:val="00955041"/>
    <w:rsid w:val="00B20EDB"/>
    <w:rsid w:val="00B31226"/>
    <w:rsid w:val="00C87059"/>
    <w:rsid w:val="00EC17A9"/>
    <w:rsid w:val="00EE0D7C"/>
    <w:rsid w:val="00FB0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FFBE0F"/>
  <w15:chartTrackingRefBased/>
  <w15:docId w15:val="{4ADDDC1A-F46A-4605-AEDE-B86D7133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226"/>
  </w:style>
  <w:style w:type="paragraph" w:styleId="Heading2">
    <w:name w:val="heading 2"/>
    <w:basedOn w:val="Normal"/>
    <w:link w:val="Heading2Char"/>
    <w:uiPriority w:val="9"/>
    <w:qFormat/>
    <w:rsid w:val="00B312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90B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1226"/>
    <w:rPr>
      <w:rFonts w:ascii="Times New Roman" w:eastAsia="Times New Roman" w:hAnsi="Times New Roman" w:cs="Times New Roman"/>
      <w:b/>
      <w:bCs/>
      <w:sz w:val="36"/>
      <w:szCs w:val="36"/>
    </w:rPr>
  </w:style>
  <w:style w:type="character" w:styleId="Strong">
    <w:name w:val="Strong"/>
    <w:basedOn w:val="DefaultParagraphFont"/>
    <w:uiPriority w:val="22"/>
    <w:qFormat/>
    <w:rsid w:val="00B31226"/>
    <w:rPr>
      <w:b/>
      <w:bCs/>
    </w:rPr>
  </w:style>
  <w:style w:type="paragraph" w:styleId="NormalWeb">
    <w:name w:val="Normal (Web)"/>
    <w:basedOn w:val="Normal"/>
    <w:uiPriority w:val="99"/>
    <w:unhideWhenUsed/>
    <w:rsid w:val="00B3122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31226"/>
    <w:rPr>
      <w:i/>
      <w:iCs/>
    </w:rPr>
  </w:style>
  <w:style w:type="table" w:customStyle="1" w:styleId="ListTable6Colorful1">
    <w:name w:val="List Table 6 Colorful1"/>
    <w:basedOn w:val="TableNormal"/>
    <w:uiPriority w:val="51"/>
    <w:rsid w:val="00B312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31226"/>
    <w:rPr>
      <w:color w:val="0563C1" w:themeColor="hyperlink"/>
      <w:u w:val="single"/>
    </w:rPr>
  </w:style>
  <w:style w:type="character" w:styleId="PlaceholderText">
    <w:name w:val="Placeholder Text"/>
    <w:basedOn w:val="DefaultParagraphFont"/>
    <w:uiPriority w:val="99"/>
    <w:semiHidden/>
    <w:rsid w:val="00627D2D"/>
    <w:rPr>
      <w:color w:val="808080"/>
    </w:rPr>
  </w:style>
  <w:style w:type="paragraph" w:styleId="Header">
    <w:name w:val="header"/>
    <w:basedOn w:val="Normal"/>
    <w:link w:val="HeaderChar"/>
    <w:uiPriority w:val="99"/>
    <w:unhideWhenUsed/>
    <w:rsid w:val="00EE0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D7C"/>
  </w:style>
  <w:style w:type="paragraph" w:styleId="Footer">
    <w:name w:val="footer"/>
    <w:basedOn w:val="Normal"/>
    <w:link w:val="FooterChar"/>
    <w:uiPriority w:val="99"/>
    <w:unhideWhenUsed/>
    <w:rsid w:val="00EE0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D7C"/>
  </w:style>
  <w:style w:type="character" w:styleId="UnresolvedMention">
    <w:name w:val="Unresolved Mention"/>
    <w:basedOn w:val="DefaultParagraphFont"/>
    <w:uiPriority w:val="99"/>
    <w:semiHidden/>
    <w:unhideWhenUsed/>
    <w:rsid w:val="00C87059"/>
    <w:rPr>
      <w:color w:val="605E5C"/>
      <w:shd w:val="clear" w:color="auto" w:fill="E1DFDD"/>
    </w:rPr>
  </w:style>
  <w:style w:type="character" w:customStyle="1" w:styleId="Heading3Char">
    <w:name w:val="Heading 3 Char"/>
    <w:basedOn w:val="DefaultParagraphFont"/>
    <w:link w:val="Heading3"/>
    <w:uiPriority w:val="9"/>
    <w:semiHidden/>
    <w:rsid w:val="00390B6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57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i.org/10.3390/pharmaceutics14071322"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doi.org/10.1016/j.fct.2023.1143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9734/jocamr/2021/v13i330225" TargetMode="Externa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NULL"/><Relationship Id="rId22" Type="http://schemas.openxmlformats.org/officeDocument/2006/relationships/hyperlink" Target="https://doi.org/10.1007/s42452-025-0658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4746</Words>
  <Characters>27054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dc:creator>
  <cp:keywords/>
  <dc:description/>
  <cp:lastModifiedBy>SDI 1084</cp:lastModifiedBy>
  <cp:revision>8</cp:revision>
  <dcterms:created xsi:type="dcterms:W3CDTF">2026-01-09T12:41:00Z</dcterms:created>
  <dcterms:modified xsi:type="dcterms:W3CDTF">2026-01-13T10:52:00Z</dcterms:modified>
</cp:coreProperties>
</file>