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17928" w14:textId="77777777" w:rsidR="00735DA8" w:rsidRPr="00735DA8" w:rsidRDefault="00735DA8" w:rsidP="00735DA8">
      <w:pPr>
        <w:pStyle w:val="Heading1"/>
      </w:pPr>
      <w:bookmarkStart w:id="0" w:name="_GoBack"/>
      <w:bookmarkEnd w:id="0"/>
      <w:r w:rsidRPr="00735DA8">
        <w:rPr>
          <w:rStyle w:val="Strong"/>
          <w:b/>
          <w:bCs/>
        </w:rPr>
        <w:t>Factors Increasing the Incidence of Gallbladder Stones in Men: An Updated Review of Biological, Metabolic, Lifestyle, and Clinical Determinants</w:t>
      </w:r>
    </w:p>
    <w:p w14:paraId="2C11B997" w14:textId="77777777" w:rsidR="00735DA8" w:rsidRDefault="00735DA8" w:rsidP="00735DA8">
      <w:pPr>
        <w:pStyle w:val="Heading2"/>
      </w:pPr>
    </w:p>
    <w:p w14:paraId="3F09A953" w14:textId="77777777" w:rsidR="00735DA8" w:rsidRDefault="00735DA8" w:rsidP="00735DA8">
      <w:pPr>
        <w:pStyle w:val="Heading2"/>
      </w:pPr>
      <w:r>
        <w:t>Abstract</w:t>
      </w:r>
    </w:p>
    <w:p w14:paraId="70B1BC53" w14:textId="77777777" w:rsidR="00735DA8" w:rsidRDefault="00735DA8" w:rsidP="00735DA8">
      <w:pPr>
        <w:pStyle w:val="NormalWeb"/>
      </w:pPr>
      <w:r>
        <w:t>Gallstone disease remains one of the most prevalent disorders of the hepatobiliary system and a major driver of healthcare utilization worldwide. Although gallstones have historically been more frequent in women, multiple populations now report a relative rise in incident gallstone disease among men, coinciding with shifts in cardiometabolic risk profiles, aging demographics, and medication exposures. This review synthesizes contemporary evidence on factors that increase gallstone incidence in men, integrating epidemiologic trends with mechanistic pathways in cholesterol supersaturation, gallbladder dysmotility, inflammation, and metabolic dysregulation. Particular emphasis is placed on male-relevant determinants: central obesity and insulin resistance, type 2 diabetes, hypertension and vascular disease, smoking, dietary quality, physical inactivity, and endocrine contexts such as androgen deprivation therapy. Interactions between nonalcoholic fatty liver disease and gallstone disease are examined as convergent outcomes of metabolic dysfunction. Evidence from large prospective cohorts, systematic reviews, and population-based studies is discussed to highlight modifiable risk factors, identify high-risk male subgroups, and inform prevention and early detection strategies.</w:t>
      </w:r>
    </w:p>
    <w:p w14:paraId="6D92C0EC" w14:textId="77777777" w:rsidR="00735DA8" w:rsidRDefault="00735DA8" w:rsidP="00735DA8">
      <w:pPr>
        <w:pStyle w:val="NormalWeb"/>
      </w:pPr>
      <w:r>
        <w:rPr>
          <w:rStyle w:val="Strong"/>
        </w:rPr>
        <w:t>Keywords:</w:t>
      </w:r>
      <w:r>
        <w:t xml:space="preserve"> gallstone disease; cholelithiasis; men; metabolic syndrome; insulin resistance; type 2 diabetes; smoking; diet quality; nonalcoholic fatty liver disease; androgen deprivation therapy</w:t>
      </w:r>
    </w:p>
    <w:p w14:paraId="320018D8" w14:textId="77777777" w:rsidR="00735DA8" w:rsidRDefault="00735DA8" w:rsidP="00735DA8"/>
    <w:p w14:paraId="48C5DABA" w14:textId="77777777" w:rsidR="00735DA8" w:rsidRDefault="00735DA8" w:rsidP="00735DA8">
      <w:pPr>
        <w:pStyle w:val="Heading2"/>
      </w:pPr>
      <w:r>
        <w:t>1. Introduction</w:t>
      </w:r>
    </w:p>
    <w:p w14:paraId="6964FD9D" w14:textId="77777777" w:rsidR="00735DA8" w:rsidRDefault="00735DA8" w:rsidP="00735DA8">
      <w:pPr>
        <w:pStyle w:val="NormalWeb"/>
      </w:pPr>
      <w:r>
        <w:t xml:space="preserve">Gallstone disease (GSD) is a common chronic condition characterized by the formation of stones within the gallbladder or biliary tree, with outcomes ranging from asymptomatic stones to biliary colic, cholecystitis, pancreatitis, cholangitis, and downstream associations with other chronic diseases. In many classical epidemiologic descriptions, gallstones were predominantly framed as a female-predominant disorder. However, contemporary global assessments indicate that gallstones remain common across both sexes and that sex differences in incidence are not static; in several settings, rising cardiometabolic risk has amplified gallstone burden in men, narrowing historical gaps. A recent systematic review of 21st-century studies confirmed that gallstones remain highly prevalent worldwide and quantified considerable heterogeneity by geography, age, detection modality, and sex, </w:t>
      </w:r>
      <w:r>
        <w:lastRenderedPageBreak/>
        <w:t xml:space="preserve">underscoring that modern incidence patterns are strongly shaped by population-level exposures rather than biology alone (Wang et al., 2024). </w:t>
      </w:r>
    </w:p>
    <w:p w14:paraId="62626D63" w14:textId="77777777" w:rsidR="00735DA8" w:rsidRDefault="00735DA8" w:rsidP="00735DA8">
      <w:pPr>
        <w:pStyle w:val="NormalWeb"/>
      </w:pPr>
      <w:r>
        <w:t xml:space="preserve">Men experience gallstones through partly shared pathways with women—such as cholesterol supersaturation of bile and impaired gallbladder motility—yet the exposure profile and relative weighting of determinants differ. Male-predominant or male-salient drivers include visceral adiposity and insulin resistance phenotypes, a high burden of smoking in many populations, cardiometabolic multimorbidity, and medication contexts particular to male health (for example, androgen deprivation therapy in prostate cancer care). Further, large cohort evidence suggests that gallstones in men may track broader metabolic risk and mortality, highlighting that gallstone prevention can be aligned with cardiometabolic prevention. In long-running U.S. cohorts, a history of gallstone disease was associated with elevated all-cause and cause-specific mortality after extensive adjustment, including among men in the Health Professionals Follow-up Study (Zheng et al., 2018). </w:t>
      </w:r>
    </w:p>
    <w:p w14:paraId="750B6ABE" w14:textId="77777777" w:rsidR="00735DA8" w:rsidRDefault="00735DA8" w:rsidP="00735DA8">
      <w:pPr>
        <w:pStyle w:val="Heading3"/>
      </w:pPr>
      <w:r>
        <w:t>1.1 Scope and objective of the article</w:t>
      </w:r>
    </w:p>
    <w:p w14:paraId="520AFDEC" w14:textId="77777777" w:rsidR="00735DA8" w:rsidRDefault="00735DA8" w:rsidP="00735DA8">
      <w:pPr>
        <w:pStyle w:val="NormalWeb"/>
      </w:pPr>
      <w:r>
        <w:t>This review aims to (</w:t>
      </w:r>
      <w:proofErr w:type="spellStart"/>
      <w:r>
        <w:t>i</w:t>
      </w:r>
      <w:proofErr w:type="spellEnd"/>
      <w:r>
        <w:t>) summarize recent epidemiologic evidence indicating increasing or sustained gallstone incidence in men; (ii) describe mechanistic pathways linking male-relevant exposures to stone formation; (iii) critically evaluate modifiable and non-modifiable risk factors with emphasis on those disproportionately prevalent or impactful in men; and (iv) outline implications for prevention, risk stratification, and clinical counseling in male populations.</w:t>
      </w:r>
    </w:p>
    <w:p w14:paraId="0ABC2D2A" w14:textId="77777777" w:rsidR="00735DA8" w:rsidRDefault="00735DA8" w:rsidP="00735DA8"/>
    <w:p w14:paraId="701D6358" w14:textId="77777777" w:rsidR="00735DA8" w:rsidRDefault="00735DA8" w:rsidP="00735DA8">
      <w:pPr>
        <w:pStyle w:val="Heading2"/>
      </w:pPr>
      <w:r>
        <w:t>2. Methods for literature selection</w:t>
      </w:r>
    </w:p>
    <w:p w14:paraId="327924ED" w14:textId="77777777" w:rsidR="00735DA8" w:rsidRDefault="00735DA8" w:rsidP="00735DA8">
      <w:pPr>
        <w:pStyle w:val="NormalWeb"/>
      </w:pPr>
      <w:r>
        <w:t>A focused literature search was conducted across PubMed/MEDLINE, Embase, and Web of Science for human studies published from January 2014 to December 2025. Search strings combined controlled vocabulary and keywords, including: (“gallstone” OR “cholelithiasis” OR “gallstone disease”) AND (“men” OR “male” OR “sex differences”) AND (“incidence” OR “risk factors” OR “metabolic syndrome” OR “diabetes” OR “smoking” OR “diet” OR “nonalcoholic fatty liver disease” OR “androgen deprivation therapy”). Priority was given to systematic reviews and meta-analyses, large prospective cohorts, population-based registries, and high-quality cross-sectional analyses with robust adjustment. Studies focused exclusively on pregnancy-related risk or female-only cohorts were excluded; pediatric-only studies, case reports, and non-peer-reviewed sources were excluded. Reference lists of key papers were screened for additional eligible studies.</w:t>
      </w:r>
    </w:p>
    <w:p w14:paraId="6C8A589C" w14:textId="77777777" w:rsidR="00735DA8" w:rsidRDefault="00735DA8" w:rsidP="00735DA8"/>
    <w:p w14:paraId="12764193" w14:textId="77777777" w:rsidR="00735DA8" w:rsidRDefault="00735DA8" w:rsidP="00735DA8">
      <w:pPr>
        <w:pStyle w:val="Heading2"/>
      </w:pPr>
      <w:r>
        <w:t>3. Contemporary epidemiology: why gallstones in men merit renewed attention</w:t>
      </w:r>
    </w:p>
    <w:p w14:paraId="5DBE6344" w14:textId="77777777" w:rsidR="00735DA8" w:rsidRDefault="00735DA8" w:rsidP="00735DA8">
      <w:pPr>
        <w:pStyle w:val="NormalWeb"/>
      </w:pPr>
      <w:r>
        <w:t xml:space="preserve">Modern syntheses show that gallstones remain widespread in the general adult population and that incidence and prevalence are shaped by detection methods (ultrasound screening vs </w:t>
      </w:r>
      <w:r>
        <w:lastRenderedPageBreak/>
        <w:t xml:space="preserve">symptomatic/claims-based ascertainment), age distribution, and cardiometabolic exposures. A 2024 systematic review and meta-analysis centered on 21st-century data emphasized ongoing high global burden and substantial heterogeneity, suggesting that changes in obesity, diabetes, and lifestyle behaviors are likely to shift sex-specific incidence trajectories over time (Wang et al., 2024). </w:t>
      </w:r>
    </w:p>
    <w:p w14:paraId="6BF310C0" w14:textId="77777777" w:rsidR="00735DA8" w:rsidRDefault="00735DA8" w:rsidP="00735DA8">
      <w:pPr>
        <w:pStyle w:val="NormalWeb"/>
      </w:pPr>
      <w:r>
        <w:t xml:space="preserve">Sex-disparity analyses from population-based cohorts reinforce that the “female-predominant” characterization is incomplete and context dependent. In the MAUCO prospective cohort, ultrasound-based assessment enabled evaluation of both prevalence and incidence of GSD in men and women, highlighting that male risk is meaningfully structured by metabolic and lifestyle factors and that sex differences can narrow when male cardiometabolic risk increases (Rodríguez Gatta et al., 2024). </w:t>
      </w:r>
    </w:p>
    <w:p w14:paraId="66D688EA" w14:textId="77777777" w:rsidR="00735DA8" w:rsidRDefault="00735DA8" w:rsidP="00735DA8">
      <w:pPr>
        <w:pStyle w:val="NormalWeb"/>
      </w:pPr>
      <w:r>
        <w:t>In practice, the apparent incidence of gallstones in men can rise for at least three non-mutually exclusive reasons. First, true incidence can increase as visceral obesity, insulin resistance, and diabetes become more common in men. Second, detection can increase through greater imaging utilization for cardiometabolic and abdominal complaints. Third, competing-risk dynamics can change as longevity increases, allowing more time for stone formation. These forces motivate a male-focused risk-factor synthesis that integrates biology and exposure patterns.</w:t>
      </w:r>
    </w:p>
    <w:p w14:paraId="4F4F59E4" w14:textId="77777777" w:rsidR="00735DA8" w:rsidRDefault="00735DA8" w:rsidP="00735DA8"/>
    <w:p w14:paraId="32385459" w14:textId="77777777" w:rsidR="00735DA8" w:rsidRDefault="00735DA8" w:rsidP="00735DA8">
      <w:pPr>
        <w:pStyle w:val="Heading2"/>
      </w:pPr>
      <w:r>
        <w:t>4. Mechanistic foundations linking male exposures to stone formation</w:t>
      </w:r>
    </w:p>
    <w:p w14:paraId="3608AFFA" w14:textId="77777777" w:rsidR="00735DA8" w:rsidRDefault="00735DA8" w:rsidP="00735DA8">
      <w:pPr>
        <w:pStyle w:val="NormalWeb"/>
      </w:pPr>
      <w:r>
        <w:t>Gallstone formation is typically explained through a triad: altered bile composition (especially cholesterol supersaturation), gallbladder hypomotility leading to stasis, and nucleation/inflammation promoting crystal aggregation. In men, several exposures strongly push these mechanisms.</w:t>
      </w:r>
    </w:p>
    <w:p w14:paraId="0653D4E7" w14:textId="77777777" w:rsidR="00735DA8" w:rsidRDefault="00735DA8" w:rsidP="00735DA8">
      <w:pPr>
        <w:pStyle w:val="NormalWeb"/>
      </w:pPr>
      <w:r>
        <w:t>First, central obesity and insulin resistance increase hepatic cholesterol synthesis and secretion into bile while also altering bile acid metabolism, collectively favoring cholesterol supersaturation. Second, insulin resistance and type 2 diabetes contribute to gallbladder dysmotility—reducing emptying and increasing residence time for cholesterol crystals. Third, systemic inflammation, oxidative stress, and endothelial dysfunction—common in smoking and cardiometabolic disease—may influence gallbladder function and mucosal biology, facilitating nucleation and stone growth. Finally, endocrine contexts can modulate bile composition and motility; although estrogens are a well-known driver in women, male endocrine states (including hypogonadism phenotypes and androgen deprivation) may also influence biliary physiology through metabolic intermediates and direct hormonal signaling.</w:t>
      </w:r>
    </w:p>
    <w:p w14:paraId="591B558B" w14:textId="77777777" w:rsidR="00735DA8" w:rsidRDefault="00735DA8" w:rsidP="00735DA8"/>
    <w:p w14:paraId="08AD951C" w14:textId="77777777" w:rsidR="00735DA8" w:rsidRDefault="00735DA8" w:rsidP="00735DA8">
      <w:pPr>
        <w:pStyle w:val="Heading2"/>
      </w:pPr>
      <w:r>
        <w:t>5. Metabolic and anthropometric drivers in men</w:t>
      </w:r>
    </w:p>
    <w:p w14:paraId="063DFDF6" w14:textId="77777777" w:rsidR="00735DA8" w:rsidRDefault="00735DA8" w:rsidP="00735DA8">
      <w:pPr>
        <w:pStyle w:val="Heading3"/>
      </w:pPr>
      <w:r>
        <w:t>5.1 Visceral adiposity and obesity phenotypes</w:t>
      </w:r>
    </w:p>
    <w:p w14:paraId="13446EFB" w14:textId="77777777" w:rsidR="00735DA8" w:rsidRDefault="00735DA8" w:rsidP="00735DA8">
      <w:pPr>
        <w:pStyle w:val="NormalWeb"/>
      </w:pPr>
      <w:r>
        <w:lastRenderedPageBreak/>
        <w:t>Male adiposity is more often centrally distributed, with higher visceral fat fraction at comparable body mass index (BMI). Visceral adiposity is strongly linked to insulin resistance, dyslipidemia, and hepatic steatosis, all of which promote cholesterol gallstone formation. While obesity is a shared risk factor across sexes, the male tendency toward central obesity may increase gallstone risk even at modest BMI elevations, especially when accompanied by hypertriglyceridemia and impaired glucose tolerance.</w:t>
      </w:r>
      <w:r w:rsidR="00E03CDC">
        <w:t xml:space="preserve"> Clinical case–control evidence also reports associations between cholelithiasis and lipid-profile abnormalities, supporting the relevance of disordered lipid metabolism in gallstone pathogenesis (Jabeen et al., 2022)</w:t>
      </w:r>
    </w:p>
    <w:p w14:paraId="436257E5" w14:textId="77777777" w:rsidR="00735DA8" w:rsidRDefault="00735DA8" w:rsidP="00735DA8">
      <w:pPr>
        <w:pStyle w:val="NormalWeb"/>
      </w:pPr>
      <w:r>
        <w:t>Large-scale observational analyses and cohort data consistently place obesity among the strongest predictors of incident gallstones. In Japan’s large Shizuoka population-based cohort (claims-linked and health-checkup derived), male sex itself was associated with increased incident gallstone risk, and the risk pattern clustered with comorbid cardiometabolic disease—supporting the idea that male gallstone incidence often rises in the setting of metabolic and vascular multimorbidity (</w:t>
      </w:r>
      <w:proofErr w:type="spellStart"/>
      <w:r>
        <w:t>Higashizono</w:t>
      </w:r>
      <w:proofErr w:type="spellEnd"/>
      <w:r>
        <w:t xml:space="preserve"> et al., 2022). </w:t>
      </w:r>
    </w:p>
    <w:p w14:paraId="2ED2B553" w14:textId="77777777" w:rsidR="00735DA8" w:rsidRDefault="00735DA8" w:rsidP="00735DA8">
      <w:pPr>
        <w:pStyle w:val="Heading3"/>
      </w:pPr>
      <w:r>
        <w:t>5.2 Insulin resistance and type 2 diabetes</w:t>
      </w:r>
    </w:p>
    <w:p w14:paraId="6482EF6A" w14:textId="77777777" w:rsidR="00735DA8" w:rsidRDefault="00735DA8" w:rsidP="00735DA8">
      <w:pPr>
        <w:pStyle w:val="NormalWeb"/>
      </w:pPr>
      <w:r>
        <w:t>Type 2 diabetes mellitus (T2DM) increases gallbladder disease risk through combined effects on bile composition, gallbladder motility, and systemic inflammation. A systematic review and meta-analysis of prospective studies reported that diabetes is associated with higher risk of gallbladder disease, supporting a directionally consistent relationship even after accounting for obesity-related confounding (</w:t>
      </w:r>
      <w:proofErr w:type="spellStart"/>
      <w:r>
        <w:t>Aune</w:t>
      </w:r>
      <w:proofErr w:type="spellEnd"/>
      <w:r>
        <w:t xml:space="preserve"> &amp; </w:t>
      </w:r>
      <w:proofErr w:type="spellStart"/>
      <w:r>
        <w:t>Vatten</w:t>
      </w:r>
      <w:proofErr w:type="spellEnd"/>
      <w:r>
        <w:t xml:space="preserve">, 2016). </w:t>
      </w:r>
      <w:r>
        <w:br/>
        <w:t>In men—who often develop T2DM at lower BMI thresholds than women in several populations and may accumulate cardiometabolic comorbidity earlier—diabetes can become a particularly potent contributor to rising gallstone incidence.</w:t>
      </w:r>
    </w:p>
    <w:p w14:paraId="0E27B38A" w14:textId="77777777" w:rsidR="00735DA8" w:rsidRDefault="00735DA8" w:rsidP="00735DA8">
      <w:pPr>
        <w:pStyle w:val="Heading3"/>
      </w:pPr>
      <w:r>
        <w:t>5.3 Hypertension, vascular disease, and multimorbidity clustering</w:t>
      </w:r>
    </w:p>
    <w:p w14:paraId="241F7C8B" w14:textId="77777777" w:rsidR="00735DA8" w:rsidRDefault="00735DA8" w:rsidP="00735DA8">
      <w:pPr>
        <w:pStyle w:val="NormalWeb"/>
      </w:pPr>
      <w:r>
        <w:t>Gallstones frequently coexist with hypertension, cerebrovascular disease, and other vascular conditions, likely reflecting shared upstream determinants such as insulin resistance, inflammation, and lifestyle exposures. The Shizuoka cohort reported increased gallstone incidence associated with cerebrovascular disease and hypertension, alongside other chronic conditions (</w:t>
      </w:r>
      <w:proofErr w:type="spellStart"/>
      <w:r>
        <w:t>Higashizono</w:t>
      </w:r>
      <w:proofErr w:type="spellEnd"/>
      <w:r>
        <w:t xml:space="preserve"> et al., 2022). </w:t>
      </w:r>
      <w:r>
        <w:br/>
        <w:t>In men, high prevalence of vascular disease and cardiometabolic clustering may therefore indirectly elevate gallstone incidence, even when traditional “gallstone-specific” factors are not obvious.</w:t>
      </w:r>
    </w:p>
    <w:p w14:paraId="66F997F1" w14:textId="77777777" w:rsidR="00735DA8" w:rsidRDefault="00735DA8" w:rsidP="00735DA8"/>
    <w:p w14:paraId="1046E247" w14:textId="77777777" w:rsidR="00735DA8" w:rsidRDefault="00735DA8" w:rsidP="00735DA8">
      <w:pPr>
        <w:pStyle w:val="Heading2"/>
      </w:pPr>
      <w:r>
        <w:t>6. Lifestyle and behavioral factors shaping male gallstone risk</w:t>
      </w:r>
    </w:p>
    <w:p w14:paraId="0A637C96" w14:textId="77777777" w:rsidR="00735DA8" w:rsidRDefault="00735DA8" w:rsidP="00735DA8">
      <w:pPr>
        <w:pStyle w:val="Heading3"/>
      </w:pPr>
      <w:r>
        <w:t>6.1 Dietary quality and dietary pattern</w:t>
      </w:r>
    </w:p>
    <w:p w14:paraId="25AF4236" w14:textId="77777777" w:rsidR="00735DA8" w:rsidRDefault="00735DA8" w:rsidP="00735DA8">
      <w:pPr>
        <w:pStyle w:val="NormalWeb"/>
      </w:pPr>
      <w:r>
        <w:t xml:space="preserve">Diet influences gallstone formation through effects on body weight, insulin sensitivity, lipid profiles, bile acid composition, and gut–liver signaling. Rather than single nutrients alone, </w:t>
      </w:r>
      <w:r>
        <w:lastRenderedPageBreak/>
        <w:t>overall dietary quality appears strongly relevant. In a long-term prospective analysis in U.S. cohorts, higher Alternate Healthy Eating Index (AHEI-2010) scores were associated with lower risk of gallstone disease, indicating that dietary patterns rich in plant foods and favorable fat quality may reduce risk (</w:t>
      </w:r>
      <w:r w:rsidR="000E730B">
        <w:t>Wirth et al., 2018</w:t>
      </w:r>
      <w:r>
        <w:t xml:space="preserve">). </w:t>
      </w:r>
      <w:r>
        <w:br/>
        <w:t>This is particularly relevant for men because diet quality disparities—higher intake of refined carbohydrates, processed meats, and sugar-sweetened beverages in some male subgroups—can amplify insulin resistance and visceral adiposity, indirectly increasing gallstone incidence.</w:t>
      </w:r>
    </w:p>
    <w:p w14:paraId="4F8BE28A" w14:textId="77777777" w:rsidR="00735DA8" w:rsidRDefault="00735DA8" w:rsidP="00735DA8">
      <w:pPr>
        <w:pStyle w:val="Heading3"/>
      </w:pPr>
      <w:r>
        <w:t>6.2 Combined healthy lifestyle profiles: evidence in men</w:t>
      </w:r>
    </w:p>
    <w:p w14:paraId="447EA891" w14:textId="77777777" w:rsidR="00735DA8" w:rsidRDefault="00735DA8" w:rsidP="00735DA8">
      <w:pPr>
        <w:pStyle w:val="NormalWeb"/>
      </w:pPr>
      <w:r>
        <w:t xml:space="preserve">A major strength of contemporary epidemiology is the ability to quantify cumulative lifestyle impact. In two prospective cohort studies including a large male cohort (Health Professionals Follow-up Study), a higher healthy lifestyle score—combining body weight, diet quality, physical activity, smoking status, and other behaviors—was associated with substantially reduced risk of symptomatic gallstone disease. Importantly, the risk reduction was pronounced in men as the score increased, reinforcing that gallstones in men are highly modifiable through upstream lifestyle determinants (Wirth et al., 2020). </w:t>
      </w:r>
    </w:p>
    <w:p w14:paraId="4A1593BF" w14:textId="77777777" w:rsidR="00735DA8" w:rsidRDefault="00735DA8" w:rsidP="00735DA8">
      <w:pPr>
        <w:pStyle w:val="Heading3"/>
      </w:pPr>
      <w:r>
        <w:t>6.3 Tobacco smoking</w:t>
      </w:r>
    </w:p>
    <w:p w14:paraId="38D1F4C2" w14:textId="77777777" w:rsidR="00735DA8" w:rsidRDefault="00735DA8" w:rsidP="00735DA8">
      <w:pPr>
        <w:pStyle w:val="NormalWeb"/>
      </w:pPr>
      <w:r>
        <w:t xml:space="preserve">Smoking has historically been more common in men in many regions, making it a critical male-salient exposure. Mechanistically, smoking may impair gallbladder motility, promote oxidative stress, and influence lipid metabolism and inflammation. A systematic review and meta-analysis of cohort studies found that current smoking is associated with increased risk of gallbladder disease and supported a dose–response pattern (Aune et al., 2016). </w:t>
      </w:r>
      <w:r>
        <w:br/>
        <w:t>Given persistent smoking prevalence in many male populations, tobacco control can be viewed as a gallstone-prevention strategy as well as a cardiovascular and cancer prevention measure.</w:t>
      </w:r>
      <w:r w:rsidR="00E03CDC">
        <w:t xml:space="preserve"> Clinical hospital-based data also show that smoking is disproportionately observed among male cholelithiasis patients, alongside a high burden of diabetes and hypertension, reinforcing cardiometabolic–behavioral clustering in men (Memon et al., 2021)</w:t>
      </w:r>
    </w:p>
    <w:p w14:paraId="69A77F4E" w14:textId="77777777" w:rsidR="00735DA8" w:rsidRDefault="00735DA8" w:rsidP="00735DA8">
      <w:pPr>
        <w:pStyle w:val="Heading3"/>
      </w:pPr>
      <w:r>
        <w:t>6.4 Alcohol intake: complex interpretation</w:t>
      </w:r>
    </w:p>
    <w:p w14:paraId="59CBC274" w14:textId="77777777" w:rsidR="00735DA8" w:rsidRDefault="00735DA8" w:rsidP="00735DA8">
      <w:pPr>
        <w:pStyle w:val="NormalWeb"/>
      </w:pPr>
      <w:r>
        <w:t xml:space="preserve">Alcohol has a nuanced relationship with gallstones. A systematic review with dose–response meta-analysis found that alcohol consumption was associated with a decreased overall risk of gallstone disease, with patterns suggesting risk reduction across drinking levels and non-linear dose–response features (Cha et al., 2019). </w:t>
      </w:r>
      <w:r>
        <w:br/>
        <w:t>For men, interpretation must be cautious. Even if moderate intake correlates with lower gallstone incidence, alcohol use carries substantial harms and population-level recommendations cannot be made on gallstone outcomes alone. Clinically, the key implication is that abstinence is not generally considered a gallstone-specific risk factor requiring intervention, whereas hazardous drinking should be addressed for broader health reasons.</w:t>
      </w:r>
    </w:p>
    <w:p w14:paraId="78EFC44A" w14:textId="77777777" w:rsidR="00735DA8" w:rsidRDefault="00735DA8" w:rsidP="00735DA8">
      <w:pPr>
        <w:pStyle w:val="Heading3"/>
      </w:pPr>
      <w:r>
        <w:t>6.5 Coffee consumption and protective association</w:t>
      </w:r>
    </w:p>
    <w:p w14:paraId="214A3728" w14:textId="77777777" w:rsidR="00735DA8" w:rsidRDefault="00735DA8" w:rsidP="00735DA8">
      <w:pPr>
        <w:pStyle w:val="NormalWeb"/>
      </w:pPr>
      <w:r>
        <w:t xml:space="preserve">Coffee has been investigated as a potentially protective exposure, possibly through effects on gallbladder motility, bile acid metabolism, and insulin sensitivity. Mendelian randomization </w:t>
      </w:r>
      <w:r>
        <w:lastRenderedPageBreak/>
        <w:t>evidence supports a causal interpretation consistent with protection against symptomatic gallstone disease (Nordestgaard et al., 20</w:t>
      </w:r>
      <w:r w:rsidR="000E730B">
        <w:t>20</w:t>
      </w:r>
      <w:r>
        <w:t xml:space="preserve">). </w:t>
      </w:r>
      <w:r>
        <w:br/>
        <w:t>In men, coffee consumption may partially counterbalance metabolic risk, although its protective magnitude is unlikely to overcome strong drivers such as obesity and diabetes.</w:t>
      </w:r>
    </w:p>
    <w:p w14:paraId="3732BF24" w14:textId="77777777" w:rsidR="00735DA8" w:rsidRDefault="00735DA8" w:rsidP="00735DA8"/>
    <w:p w14:paraId="30DB981A" w14:textId="77777777" w:rsidR="00402018" w:rsidRPr="00402018" w:rsidRDefault="00402018" w:rsidP="00402018">
      <w:pPr>
        <w:spacing w:before="100" w:beforeAutospacing="1" w:after="100" w:afterAutospacing="1" w:line="240" w:lineRule="auto"/>
        <w:ind w:left="0" w:right="0" w:firstLine="0"/>
        <w:jc w:val="left"/>
        <w:outlineLvl w:val="1"/>
        <w:rPr>
          <w:b/>
          <w:bCs/>
          <w:color w:val="auto"/>
          <w:kern w:val="0"/>
          <w:sz w:val="36"/>
          <w:szCs w:val="36"/>
          <w:lang w:val="en-US" w:eastAsia="en-US"/>
        </w:rPr>
      </w:pPr>
      <w:r w:rsidRPr="00402018">
        <w:rPr>
          <w:b/>
          <w:bCs/>
          <w:color w:val="auto"/>
          <w:kern w:val="0"/>
          <w:sz w:val="36"/>
          <w:szCs w:val="36"/>
          <w:lang w:val="en-US" w:eastAsia="en-US"/>
        </w:rPr>
        <w:t>7. Liver–metabolic axis: NAFLD as a co-traveler and amplifier of male risk</w:t>
      </w:r>
    </w:p>
    <w:p w14:paraId="7366F6FB"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Nonalcoholic fatty liver disease (NAFLD) and gallstone disease are increasingly recognized as closely linked manifestations of metabolic dysfunction rather than as separate, organ-limited disorders. Both conditions frequently occur in the same individuals and appear to arise from overlapping upstream determinants, most prominently visceral adiposity, insulin resistance, dyslipidemia, and type 2 diabetes. This overlap is not merely conceptual. A systematic review and meta-analysis reported a significant association between gallstone disease and NAFLD, reinforcing that the co-occurrence of these disorders is greater than would be expected by chance alone and supporting a clinically meaningful clustering pattern (</w:t>
      </w:r>
      <w:proofErr w:type="spellStart"/>
      <w:r w:rsidRPr="00402018">
        <w:rPr>
          <w:color w:val="auto"/>
          <w:kern w:val="0"/>
          <w:lang w:val="en-US" w:eastAsia="en-US"/>
        </w:rPr>
        <w:t>Jaruvongvanich</w:t>
      </w:r>
      <w:proofErr w:type="spellEnd"/>
      <w:r w:rsidRPr="00402018">
        <w:rPr>
          <w:color w:val="auto"/>
          <w:kern w:val="0"/>
          <w:lang w:val="en-US" w:eastAsia="en-US"/>
        </w:rPr>
        <w:t xml:space="preserve"> et al., 2016). This clustering is particularly relevant when interpreting rising gallstone incidence in men, because the male metabolic phenotype—often characterized by central fat accumulation and earlier cardiometabolic risk accumulation—can act as a common substrate that simultaneously accelerates hepatic steatosis and lithogenic bile formation.</w:t>
      </w:r>
    </w:p>
    <w:p w14:paraId="501DFDB5"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From a mechanistic standpoint, several pathways plausibly explain why NAFLD and gallstones travel together. In NAFLD, hepatic lipid handling is altered in ways that can increase cholesterol availability for biliary secretion. Insulin resistance promotes increased hepatic de novo lipogenesis and perturbs cholesterol and bile acid metabolism, potentially increasing bile cholesterol saturation. At the same time, metabolic syndrome is associated with inflammatory signaling and oxidative stress, which may influence gallbladder mucosal biology and nucleation processes. Gallbladder hypomotility—also linked with insulin resistance—can further increase bile stasis, prolonging the time available for cholesterol crystals to form and grow. While these mechanisms are shared across sexes, they may be especially salient in men because visceral adiposity and cardiometabolic clustering are common, and NAFLD may remain undiagnosed until an incidental ultrasound or abnormal liver enzymes prompts further evaluation.</w:t>
      </w:r>
    </w:p>
    <w:p w14:paraId="299AF2C7"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In male populations, the NAFLD–gallstone link matters for at least two reasons that directly influence clinical interpretation and prevention. First, NAFLD can serve as a visible marker of a high-risk metabolic milieu that is also conducive to gallstone formation. When NAFLD is detected in men—whether through imaging or biochemical suspicion—it should be understood as more than a hepatic finding; it may indicate systemic metabolic dysfunction likely to influence biliary composition and gallbladder motility. The meta-analytic evidence supports that NAFLD is not only associated with gallstones but also that the two conditions cluster in ways consistent with shared causation (</w:t>
      </w:r>
      <w:proofErr w:type="spellStart"/>
      <w:r w:rsidRPr="00402018">
        <w:rPr>
          <w:color w:val="auto"/>
          <w:kern w:val="0"/>
          <w:lang w:val="en-US" w:eastAsia="en-US"/>
        </w:rPr>
        <w:t>Jaruvongvanich</w:t>
      </w:r>
      <w:proofErr w:type="spellEnd"/>
      <w:r w:rsidRPr="00402018">
        <w:rPr>
          <w:color w:val="auto"/>
          <w:kern w:val="0"/>
          <w:lang w:val="en-US" w:eastAsia="en-US"/>
        </w:rPr>
        <w:t xml:space="preserve"> et al., 2016). In practical terms, identifying NAFLD in a male patient may justify heightened attention to gallstone symptoms and risk mitigation strategies grounded in metabolic health improvement.</w:t>
      </w:r>
    </w:p>
    <w:p w14:paraId="386096F5"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lastRenderedPageBreak/>
        <w:t>Second, gallstones and cholecystectomy history may be interpreted as markers of prolonged metabolic exposure that also contributes to NAFLD. The directionality of association is not necessarily one-way; rather, both disorders may emerge in parallel from persistent insulin resistance and dyslipidemia. In this context, gallstone detection in men—particularly if it is symptomatic disease or occurs alongside obesity and diabetes—should prompt consideration of hepatic steatosis evaluation. This is not because gallstones “cause” NAFLD in a simplistic sense, but because gallstones can serve as a clinical signal that the patient’s metabolic environment has likely been lithogenic and steatogenic for years. Therefore, when gallstones are detected in men, clinicians may reasonably consider evaluating for metabolic dysfunction and hepatic steatosis rather than focusing exclusively on biliary symptom management.</w:t>
      </w:r>
    </w:p>
    <w:p w14:paraId="6C8C0699"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Population-based studies further reinforce this shared-metabolic framework. An Iranian population-based study reported associations between NAFLD, metabolic syndrome components, and gallstone disease, consistent with metabolic dysfunction acting as the shared driver that links hepatic steatosis with gallstone formation (</w:t>
      </w:r>
      <w:proofErr w:type="spellStart"/>
      <w:r w:rsidRPr="00402018">
        <w:rPr>
          <w:color w:val="auto"/>
          <w:kern w:val="0"/>
          <w:lang w:val="en-US" w:eastAsia="en-US"/>
        </w:rPr>
        <w:t>Sepehrimanesh</w:t>
      </w:r>
      <w:proofErr w:type="spellEnd"/>
      <w:r w:rsidRPr="00402018">
        <w:rPr>
          <w:color w:val="auto"/>
          <w:kern w:val="0"/>
          <w:lang w:val="en-US" w:eastAsia="en-US"/>
        </w:rPr>
        <w:t xml:space="preserve"> et al., 2020). The value of this type of population evidence is that it reflects real-world clustering in community settings rather than referral-biased tertiary-care samples. Importantly, it underscores that the NAFLD–gallstone relationship is not restricted to one geography or healthcare system, supporting broader generalizability of the metabolic-axis interpretation (</w:t>
      </w:r>
      <w:proofErr w:type="spellStart"/>
      <w:r w:rsidRPr="00402018">
        <w:rPr>
          <w:color w:val="auto"/>
          <w:kern w:val="0"/>
          <w:lang w:val="en-US" w:eastAsia="en-US"/>
        </w:rPr>
        <w:t>Sepehrimanesh</w:t>
      </w:r>
      <w:proofErr w:type="spellEnd"/>
      <w:r w:rsidRPr="00402018">
        <w:rPr>
          <w:color w:val="auto"/>
          <w:kern w:val="0"/>
          <w:lang w:val="en-US" w:eastAsia="en-US"/>
        </w:rPr>
        <w:t xml:space="preserve"> et al., 2020).</w:t>
      </w:r>
    </w:p>
    <w:p w14:paraId="52E6145E"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This liver–metabolic axis framing has several implications for understanding male gallstone incidence trends. If visceral adiposity and insulin resistance rise in men at the population level, both NAFLD and gallstone incidence can increase in tandem. As a result, a rising gallstone burden in men may not be a purely biliary phenomenon but a downstream indicator of worsening metabolic health in male populations. This perspective also helps explain why gallstones may appear more frequently in men who present with cardiometabolic multimorbidity: the same metabolic environment that promotes hepatic steatosis and progressive insulin resistance also promotes lithogenic bile and gallbladder stasis. Additionally, because NAFLD is often underdiagnosed in men—particularly when symptoms are absent—gallstones discovered incidentally can represent an opportunity to identify silent metabolic liver disease and initiate risk reduction earlier.</w:t>
      </w:r>
    </w:p>
    <w:p w14:paraId="5FA82C7E"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 xml:space="preserve">In terms of prevention and clinical management, this section supports a unified strategy: interventions that improve insulin sensitivity, reduce visceral adiposity, and correct dyslipidemia may simultaneously reduce NAFLD progression risk and lower gallstone formation risk. The NAFLD–gallstone association also implies that counseling in men should integrate </w:t>
      </w:r>
      <w:proofErr w:type="spellStart"/>
      <w:r w:rsidRPr="00402018">
        <w:rPr>
          <w:color w:val="auto"/>
          <w:kern w:val="0"/>
          <w:lang w:val="en-US" w:eastAsia="en-US"/>
        </w:rPr>
        <w:t>hepatometabolic</w:t>
      </w:r>
      <w:proofErr w:type="spellEnd"/>
      <w:r w:rsidRPr="00402018">
        <w:rPr>
          <w:color w:val="auto"/>
          <w:kern w:val="0"/>
          <w:lang w:val="en-US" w:eastAsia="en-US"/>
        </w:rPr>
        <w:t xml:space="preserve"> and biliary outcomes rather than treating them as separate counseling tracks. For example, a male patient with newly diagnosed NAFLD may benefit from education that metabolic optimization has multiple downstream benefits, including potential reduction in gallstone risk. Conversely, a male patient with newly diagnosed gallstones—especially if obese or prediabetic—may benefit from evaluation for hepatic steatosis and metabolic syndrome components, since NAFLD may be present yet silent (</w:t>
      </w:r>
      <w:proofErr w:type="spellStart"/>
      <w:r w:rsidRPr="00402018">
        <w:rPr>
          <w:color w:val="auto"/>
          <w:kern w:val="0"/>
          <w:lang w:val="en-US" w:eastAsia="en-US"/>
        </w:rPr>
        <w:t>Jaruvongvanich</w:t>
      </w:r>
      <w:proofErr w:type="spellEnd"/>
      <w:r w:rsidRPr="00402018">
        <w:rPr>
          <w:color w:val="auto"/>
          <w:kern w:val="0"/>
          <w:lang w:val="en-US" w:eastAsia="en-US"/>
        </w:rPr>
        <w:t xml:space="preserve"> et al., 2016; </w:t>
      </w:r>
      <w:proofErr w:type="spellStart"/>
      <w:r w:rsidRPr="00402018">
        <w:rPr>
          <w:color w:val="auto"/>
          <w:kern w:val="0"/>
          <w:lang w:val="en-US" w:eastAsia="en-US"/>
        </w:rPr>
        <w:t>Sepehrimanesh</w:t>
      </w:r>
      <w:proofErr w:type="spellEnd"/>
      <w:r w:rsidRPr="00402018">
        <w:rPr>
          <w:color w:val="auto"/>
          <w:kern w:val="0"/>
          <w:lang w:val="en-US" w:eastAsia="en-US"/>
        </w:rPr>
        <w:t xml:space="preserve"> et al., 2020).</w:t>
      </w:r>
    </w:p>
    <w:p w14:paraId="51BFCF84"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 xml:space="preserve">Finally, this axis offers a useful interpretive lens for research and risk stratification. Studies that assess male gallstone risk without measuring hepatic steatosis may miss an important intermediate phenotype. Likewise, NAFLD cohorts that do not track gallstone outcomes may underappreciate biliary complications as part of the metabolic disease spectrum. Bringing these together clarifies that gallstone disease in men can be viewed as one of several </w:t>
      </w:r>
      <w:r w:rsidRPr="00402018">
        <w:rPr>
          <w:color w:val="auto"/>
          <w:kern w:val="0"/>
          <w:lang w:val="en-US" w:eastAsia="en-US"/>
        </w:rPr>
        <w:lastRenderedPageBreak/>
        <w:t>metabolic end-organ manifestations, alongside NAFLD, diabetes, and vascular disease, and thus should be integrated into holistic metabolic health frameworks rather than addressed in isolation (</w:t>
      </w:r>
      <w:proofErr w:type="spellStart"/>
      <w:r w:rsidRPr="00402018">
        <w:rPr>
          <w:color w:val="auto"/>
          <w:kern w:val="0"/>
          <w:lang w:val="en-US" w:eastAsia="en-US"/>
        </w:rPr>
        <w:t>Jaruvongvanich</w:t>
      </w:r>
      <w:proofErr w:type="spellEnd"/>
      <w:r w:rsidRPr="00402018">
        <w:rPr>
          <w:color w:val="auto"/>
          <w:kern w:val="0"/>
          <w:lang w:val="en-US" w:eastAsia="en-US"/>
        </w:rPr>
        <w:t xml:space="preserve"> et al., 2016; </w:t>
      </w:r>
      <w:proofErr w:type="spellStart"/>
      <w:r w:rsidRPr="00402018">
        <w:rPr>
          <w:color w:val="auto"/>
          <w:kern w:val="0"/>
          <w:lang w:val="en-US" w:eastAsia="en-US"/>
        </w:rPr>
        <w:t>Sepehrimanesh</w:t>
      </w:r>
      <w:proofErr w:type="spellEnd"/>
      <w:r w:rsidRPr="00402018">
        <w:rPr>
          <w:color w:val="auto"/>
          <w:kern w:val="0"/>
          <w:lang w:val="en-US" w:eastAsia="en-US"/>
        </w:rPr>
        <w:t xml:space="preserve"> et al., 2020).</w:t>
      </w:r>
    </w:p>
    <w:p w14:paraId="4688CA74" w14:textId="77777777" w:rsidR="00402018" w:rsidRPr="00402018" w:rsidRDefault="00402018" w:rsidP="00402018">
      <w:pPr>
        <w:spacing w:before="100" w:beforeAutospacing="1" w:after="100" w:afterAutospacing="1" w:line="240" w:lineRule="auto"/>
        <w:ind w:left="0" w:right="0" w:firstLine="0"/>
        <w:jc w:val="left"/>
        <w:outlineLvl w:val="1"/>
        <w:rPr>
          <w:b/>
          <w:bCs/>
          <w:color w:val="auto"/>
          <w:kern w:val="0"/>
          <w:sz w:val="36"/>
          <w:szCs w:val="36"/>
          <w:lang w:val="en-US" w:eastAsia="en-US"/>
        </w:rPr>
      </w:pPr>
      <w:r w:rsidRPr="00402018">
        <w:rPr>
          <w:b/>
          <w:bCs/>
          <w:color w:val="auto"/>
          <w:kern w:val="0"/>
          <w:sz w:val="36"/>
          <w:szCs w:val="36"/>
          <w:lang w:val="en-US" w:eastAsia="en-US"/>
        </w:rPr>
        <w:t>8. Male-specific and male-salient clinical contexts</w:t>
      </w:r>
    </w:p>
    <w:p w14:paraId="08CB9345"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Gallstone disease in men is often driven not only by general metabolic and lifestyle determinants but also by clinical contexts that are either uniquely male or disproportionately concentrated in male populations. Two such contexts are particularly important in contemporary practice: androgen deprivation therapy (ADT) for prostate cancer, and the broader phenomenon of comorbidity clustering with high healthcare contact. These contexts matter because they can increase true biological susceptibility to stone formation, increase the likelihood of detection through frequent imaging, or—most commonly—do both simultaneously. Recognizing these pathways is essential for clinicians because gallstones in men may represent a downstream manifestation of broader endocrine-metabolic disruption and multimorbidity rather than an isolated biliary disorder.</w:t>
      </w:r>
    </w:p>
    <w:p w14:paraId="04DD6A5A" w14:textId="77777777" w:rsidR="00402018" w:rsidRPr="00402018" w:rsidRDefault="00402018" w:rsidP="00402018">
      <w:pPr>
        <w:spacing w:before="100" w:beforeAutospacing="1" w:after="100" w:afterAutospacing="1" w:line="240" w:lineRule="auto"/>
        <w:ind w:left="0" w:right="0" w:firstLine="0"/>
        <w:jc w:val="left"/>
        <w:outlineLvl w:val="2"/>
        <w:rPr>
          <w:b/>
          <w:bCs/>
          <w:color w:val="auto"/>
          <w:kern w:val="0"/>
          <w:sz w:val="27"/>
          <w:szCs w:val="27"/>
          <w:lang w:val="en-US" w:eastAsia="en-US"/>
        </w:rPr>
      </w:pPr>
      <w:r w:rsidRPr="00402018">
        <w:rPr>
          <w:b/>
          <w:bCs/>
          <w:color w:val="auto"/>
          <w:kern w:val="0"/>
          <w:sz w:val="27"/>
          <w:szCs w:val="27"/>
          <w:lang w:val="en-US" w:eastAsia="en-US"/>
        </w:rPr>
        <w:t>8.1 Androgen deprivation therapy and biliary disease risk</w:t>
      </w:r>
    </w:p>
    <w:p w14:paraId="3D45BF95"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One of the clearest male-specific exposures relevant to gallstone formation is androgen deprivation therapy (ADT), widely used in the management of prostate cancer. ADT is strongly linked to adverse metabolic remodeling, including weight gain, increased visceral adiposity, worsening insulin resistance, and unfavorable lipid changes. These changes are not simply incidental side effects; they map onto the mechanistic pathways that promote cholesterol supersaturation of bile and impair gallbladder contractility, creating a physiologic environment that can favor nucleation and growth of cholesterol-rich stones. In effect, ADT can accelerate the same cardiometabolic trajectory that drives gallstones in the general population, but over a shorter time horizon and in a population already at risk due to age and comorbid disease burden.</w:t>
      </w:r>
    </w:p>
    <w:p w14:paraId="37D39C82"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Evidence supporting this clinical link is strengthened by observational data demonstrating that ADT exposure is associated with increased risk of biliary disease, consistent with a causal model in which induced hypogonadal states and metabolic shifts elevate biliary pathology risk (Saylor et al., 2014). The importance of this association is practical: men receiving ADT often undergo routine laboratory monitoring and periodic imaging for oncologic surveillance, meaning opportunities exist to integrate gallstone risk counseling and early symptom recognition into standard cancer care. However, clinicians should not interpret “more imaging” as the sole reason for an apparent increase in biliary disease. The metabolic consequences of ADT provide a plausible biologic bridge between treatment and true incident disease, and this bridge aligns with broader evidence linking metabolic dysfunction to gallstone risk.</w:t>
      </w:r>
    </w:p>
    <w:p w14:paraId="4C27F7D9"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 xml:space="preserve">From a pathophysiologic standpoint, ADT-associated insulin resistance can increase hepatic cholesterol synthesis and secretion into bile, and can contribute to dysregulated bile acid metabolism. Concurrent weight gain—especially central adiposity—amplifies these effects by worsening the lipid milieu and systemic inflammatory tone. In parallel, insulin resistance and autonomic dysfunction patterns common in metabolic syndrome may impair gallbladder emptying, increasing biliary stasis and prolonging the time available for cholesterol crystals to nucleate and aggregate. Over time, these combined changes can shift men from a state of </w:t>
      </w:r>
      <w:r w:rsidRPr="00402018">
        <w:rPr>
          <w:color w:val="auto"/>
          <w:kern w:val="0"/>
          <w:lang w:val="en-US" w:eastAsia="en-US"/>
        </w:rPr>
        <w:lastRenderedPageBreak/>
        <w:t>“bile that is borderline lithogenic” to one in which bile is consistently supersaturated with cholesterol and gallbladder dynamics are less effective at clearing crystals.</w:t>
      </w:r>
    </w:p>
    <w:p w14:paraId="345C2AC1"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Clinically, this means gallstone risk in men receiving ADT should be considered within a broader metabolic monitoring framework. In addition to standard oncologic follow-up, attention should be paid to trajectories in body weight, waist circumference, fasting glucose or HbA1c, and lipid profiles, because deterioration across these domains plausibly signals increasing lithogenic risk. The practical goal is not to over-screen asymptomatic men but to anticipate risk and reduce preventable morbidity. Men who experience rapid weight gain or worsening glycemic control on ADT may benefit from intensified lifestyle support and cardiometabolic risk optimization, which could plausibly reduce gallstone risk as part of an integrated approach. Importantly, biliary symptoms in this population—right upper quadrant pain, postprandial discomfort, or episodic nausea—should not be dismissed as nonspecific, because the underlying risk context is meaningfully altered by therapy exposure (Saylor et al., 2014).</w:t>
      </w:r>
    </w:p>
    <w:p w14:paraId="4EE10FAB" w14:textId="77777777" w:rsidR="00402018" w:rsidRPr="00402018" w:rsidRDefault="00402018" w:rsidP="00402018">
      <w:pPr>
        <w:spacing w:before="100" w:beforeAutospacing="1" w:after="100" w:afterAutospacing="1" w:line="240" w:lineRule="auto"/>
        <w:ind w:left="0" w:right="0" w:firstLine="0"/>
        <w:jc w:val="left"/>
        <w:outlineLvl w:val="2"/>
        <w:rPr>
          <w:b/>
          <w:bCs/>
          <w:color w:val="auto"/>
          <w:kern w:val="0"/>
          <w:sz w:val="27"/>
          <w:szCs w:val="27"/>
          <w:lang w:val="en-US" w:eastAsia="en-US"/>
        </w:rPr>
      </w:pPr>
      <w:r w:rsidRPr="00402018">
        <w:rPr>
          <w:b/>
          <w:bCs/>
          <w:color w:val="auto"/>
          <w:kern w:val="0"/>
          <w:sz w:val="27"/>
          <w:szCs w:val="27"/>
          <w:lang w:val="en-US" w:eastAsia="en-US"/>
        </w:rPr>
        <w:t>8.2 Comorbidity burden and healthcare contact</w:t>
      </w:r>
    </w:p>
    <w:p w14:paraId="2B22FFFE"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A second major driver of gallstone incidence signals in men is comorbidity burden coupled with frequent healthcare contact. Men with multiple chronic conditions—particularly vascular disease, hypertension, diabetes, chronic liver enzyme abnormalities, or malignancy—are more likely to undergo abdominal imaging for a range of diagnostic purposes. This can increase detection of asymptomatic gallstones, creating an “ascertainment effect” that inflates apparent incidence relative to populations with fewer imaging encounters. Yet the most informative studies are those suggesting that the comorbidity–gallstone relationship cannot be explained by detection alone.</w:t>
      </w:r>
    </w:p>
    <w:p w14:paraId="78C38A30"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Claims-based cohort findings from Japan’s Shizuoka Study provide important evidence in this regard. In that population-based cohort, multiple comorbidities were associated with incident gallstone diagnosis over follow-up, indicating that systemic disease burden itself likely contributes to gallstone formation rather than merely increasing the probability that pre-existing stones are discovered (</w:t>
      </w:r>
      <w:proofErr w:type="spellStart"/>
      <w:r w:rsidRPr="00402018">
        <w:rPr>
          <w:color w:val="auto"/>
          <w:kern w:val="0"/>
          <w:lang w:val="en-US" w:eastAsia="en-US"/>
        </w:rPr>
        <w:t>Higashizono</w:t>
      </w:r>
      <w:proofErr w:type="spellEnd"/>
      <w:r w:rsidRPr="00402018">
        <w:rPr>
          <w:color w:val="auto"/>
          <w:kern w:val="0"/>
          <w:lang w:val="en-US" w:eastAsia="en-US"/>
        </w:rPr>
        <w:t xml:space="preserve"> et al., 2022). This is a crucial distinction for male risk interpretation. If comorbidity primarily increased detection, clinicians would treat gallstones in multimorbid men as an imaging artifact. If comorbidity also increases true disease incidence, then gallstones become a meaningful downstream outcome of a broader </w:t>
      </w:r>
      <w:proofErr w:type="spellStart"/>
      <w:r w:rsidRPr="00402018">
        <w:rPr>
          <w:color w:val="auto"/>
          <w:kern w:val="0"/>
          <w:lang w:val="en-US" w:eastAsia="en-US"/>
        </w:rPr>
        <w:t>pathobiologic</w:t>
      </w:r>
      <w:proofErr w:type="spellEnd"/>
      <w:r w:rsidRPr="00402018">
        <w:rPr>
          <w:color w:val="auto"/>
          <w:kern w:val="0"/>
          <w:lang w:val="en-US" w:eastAsia="en-US"/>
        </w:rPr>
        <w:t xml:space="preserve"> state—one characterized by metabolic dysfunction, inflammation, and altered hepatic handling of cholesterol.</w:t>
      </w:r>
    </w:p>
    <w:p w14:paraId="00994841"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t>Several plausible mechanisms connect multimorbidity to stone formation in men. First, cardiometabolic comorbidities often share upstream drivers such as insulin resistance, dyslipidemia, and chronic low-grade inflammation, which together increase cholesterol saturation in bile. Second, systemic illness can be accompanied by changes in diet, reduced physical activity, and weight fluctuations that can destabilize biliary physiology. Third, polypharmacy and complex care pathways can indirectly influence risk by shaping weight trajectories and metabolic parameters; while specific drug mechanisms are outside the scope of this short section, the broader principle is that the clinical “package” of multimorbidity often includes exposures that collectively increase lithogenic potential. The Shizuoka findings therefore help anchor an interpretation in which gallstones are not simply coincident in men with multiple illnesses but can be part of the metabolic–systemic consequences of chronic disease accumulation (</w:t>
      </w:r>
      <w:proofErr w:type="spellStart"/>
      <w:r w:rsidRPr="00402018">
        <w:rPr>
          <w:color w:val="auto"/>
          <w:kern w:val="0"/>
          <w:lang w:val="en-US" w:eastAsia="en-US"/>
        </w:rPr>
        <w:t>Higashizono</w:t>
      </w:r>
      <w:proofErr w:type="spellEnd"/>
      <w:r w:rsidRPr="00402018">
        <w:rPr>
          <w:color w:val="auto"/>
          <w:kern w:val="0"/>
          <w:lang w:val="en-US" w:eastAsia="en-US"/>
        </w:rPr>
        <w:t xml:space="preserve"> et al., 2022).</w:t>
      </w:r>
    </w:p>
    <w:p w14:paraId="13759FFC" w14:textId="77777777" w:rsidR="00402018" w:rsidRPr="00402018" w:rsidRDefault="00402018" w:rsidP="00402018">
      <w:pPr>
        <w:spacing w:before="100" w:beforeAutospacing="1" w:after="100" w:afterAutospacing="1" w:line="240" w:lineRule="auto"/>
        <w:ind w:left="0" w:right="0" w:firstLine="0"/>
        <w:jc w:val="left"/>
        <w:rPr>
          <w:color w:val="auto"/>
          <w:kern w:val="0"/>
          <w:lang w:val="en-US" w:eastAsia="en-US"/>
        </w:rPr>
      </w:pPr>
      <w:r w:rsidRPr="00402018">
        <w:rPr>
          <w:color w:val="auto"/>
          <w:kern w:val="0"/>
          <w:lang w:val="en-US" w:eastAsia="en-US"/>
        </w:rPr>
        <w:lastRenderedPageBreak/>
        <w:t>A practical implication is that incident gallstones diagnosed in multimorbid men should prompt a careful, integrated assessment rather than siloed biliary management alone. Clinicians should consider whether gallstone detection marks a period of worsening metabolic control or broader systemic deterioration. Even when stones are asymptomatic at discovery, the presence of stones may indicate a persistent lithogenic milieu; in such cases, emphasizing metabolic optimization and symptom education can be clinically sensible. Conversely, when symptomatic disease occurs, the multimorbidity context affects operative risk assessment and shared decision-making. Thus, comorbidity burden shapes gallstone risk not only through biology and detection but also through management complexity—making it a key male-salient context supported by population-based cohort evidence (</w:t>
      </w:r>
      <w:proofErr w:type="spellStart"/>
      <w:r w:rsidRPr="00402018">
        <w:rPr>
          <w:color w:val="auto"/>
          <w:kern w:val="0"/>
          <w:lang w:val="en-US" w:eastAsia="en-US"/>
        </w:rPr>
        <w:t>Higashizono</w:t>
      </w:r>
      <w:proofErr w:type="spellEnd"/>
      <w:r w:rsidRPr="00402018">
        <w:rPr>
          <w:color w:val="auto"/>
          <w:kern w:val="0"/>
          <w:lang w:val="en-US" w:eastAsia="en-US"/>
        </w:rPr>
        <w:t xml:space="preserve"> et al., 2022).</w:t>
      </w:r>
    </w:p>
    <w:p w14:paraId="22874D22" w14:textId="77777777" w:rsidR="00735DA8" w:rsidRDefault="00735DA8" w:rsidP="00735DA8"/>
    <w:p w14:paraId="3BA6D460" w14:textId="77777777" w:rsidR="00735DA8" w:rsidRDefault="00735DA8" w:rsidP="00735DA8">
      <w:pPr>
        <w:pStyle w:val="Heading2"/>
      </w:pPr>
      <w:r>
        <w:t>9. Gallstones in men as a marker of broader health risk</w:t>
      </w:r>
    </w:p>
    <w:p w14:paraId="0A2E3FDB" w14:textId="77777777" w:rsidR="00735DA8" w:rsidRDefault="00735DA8" w:rsidP="00735DA8">
      <w:pPr>
        <w:pStyle w:val="NormalWeb"/>
      </w:pPr>
      <w:r>
        <w:t xml:space="preserve">Gallstones may function as more than an isolated biliary disorder; they can mark prolonged exposure to cardiometabolic risk. In two large U.S. cohorts with decades of follow-up, gallstone disease history was associated with increased all-cause mortality and cause-specific mortality, after adjustment for multiple risk factors (Zheng et al., 2018). </w:t>
      </w:r>
      <w:r>
        <w:br/>
        <w:t>For men, this association supports a pragmatic clinical stance: gallstones—especially symptomatic disease or cholecystectomy history—should prompt reinforcement of cardiometabolic prevention (weight management, glycemic control, smoking cessation, blood pressure and lipid optimization) rather than being treated as a purely surgical problem.</w:t>
      </w:r>
    </w:p>
    <w:p w14:paraId="2B546F9B" w14:textId="77777777" w:rsidR="00735DA8" w:rsidRDefault="00735DA8" w:rsidP="00735DA8"/>
    <w:p w14:paraId="614A45E1" w14:textId="77777777" w:rsidR="00735DA8" w:rsidRDefault="00735DA8" w:rsidP="00735DA8">
      <w:pPr>
        <w:pStyle w:val="Heading2"/>
      </w:pPr>
      <w:r>
        <w:t>10. Prevention and risk-reduction implications for male populations</w:t>
      </w:r>
    </w:p>
    <w:p w14:paraId="7967A7E5" w14:textId="77777777" w:rsidR="00735DA8" w:rsidRDefault="00735DA8" w:rsidP="00735DA8">
      <w:pPr>
        <w:pStyle w:val="NormalWeb"/>
      </w:pPr>
      <w:r>
        <w:t>Evidence across cohort studies and meta-analyses converges on a central message: much of male gallstone incidence is driven by modifiable metabolic and lifestyle factors. Weight management—particularly reduction of visceral adiposity—likely offers the largest risk reduction leverage because it improves bile composition drivers and insulin resistance. Diet quality improvements appear protective independent of weight alone, consistent with data linking higher healthy eating scores with lower gallstone risk (</w:t>
      </w:r>
      <w:r w:rsidR="000E730B">
        <w:t>Wirth et al., 2018</w:t>
      </w:r>
      <w:r>
        <w:t xml:space="preserve">). </w:t>
      </w:r>
      <w:r>
        <w:br/>
        <w:t xml:space="preserve">Similarly, a composite healthy lifestyle pattern can reduce symptomatic gallstone incidence substantially, including in men, supporting multi-component interventions rather than single-factor counseling (Wirth et al., 2020). </w:t>
      </w:r>
    </w:p>
    <w:p w14:paraId="18A0F042" w14:textId="77777777" w:rsidR="00735DA8" w:rsidRDefault="00735DA8" w:rsidP="00735DA8">
      <w:pPr>
        <w:pStyle w:val="NormalWeb"/>
      </w:pPr>
      <w:r>
        <w:t xml:space="preserve">Smoking cessation should be emphasized as a gallbladder-relevant intervention because smoking increases gallbladder disease risk and is disproportionately prevalent in many male groups (Aune et al., 2016). </w:t>
      </w:r>
      <w:r>
        <w:br/>
        <w:t>Coffee intake may be discussed as a potentially protective habit for men who already consume it, given causal-inference evidence from Mendelian randomization; however, it should be framed as adjunctive rather than primary prevention (Nordestgaard et al., 20</w:t>
      </w:r>
      <w:r w:rsidR="000E730B">
        <w:t>20</w:t>
      </w:r>
      <w:r>
        <w:t xml:space="preserve">). </w:t>
      </w:r>
      <w:r>
        <w:br/>
      </w:r>
      <w:r>
        <w:lastRenderedPageBreak/>
        <w:t xml:space="preserve">Finally, in men undergoing ADT, proactive metabolic risk mitigation may also reduce biliary disease burden (Saylor et al., 2014). </w:t>
      </w:r>
    </w:p>
    <w:p w14:paraId="712DD563" w14:textId="77777777" w:rsidR="00735DA8" w:rsidRDefault="00735DA8" w:rsidP="00735DA8"/>
    <w:p w14:paraId="066026C3" w14:textId="77777777" w:rsidR="00735DA8" w:rsidRDefault="00735DA8" w:rsidP="00735DA8">
      <w:pPr>
        <w:pStyle w:val="Heading2"/>
      </w:pPr>
      <w:r>
        <w:t>11. Conclusions</w:t>
      </w:r>
    </w:p>
    <w:p w14:paraId="31BBBA9E" w14:textId="77777777" w:rsidR="00735DA8" w:rsidRDefault="00735DA8" w:rsidP="00735DA8">
      <w:pPr>
        <w:pStyle w:val="NormalWeb"/>
      </w:pPr>
      <w:r>
        <w:t>Gallbladder stone incidence in men is increasingly shaped by modern exposure profiles rather than immutable biology. The strongest drivers are central obesity and insulin resistance, type 2 diabetes, and clustered cardiometabolic disease, with smoking and suboptimal dietary patterns acting as major amplifiers. Male-specific clinical contexts, particularly androgen deprivation therapy, can further elevate biliary risk through adverse metabolic remodeling. The most actionable prevention strategy in men is comprehensive cardiometabolic risk reduction: maintaining healthy body weight and waist circumference, improving diet quality, increasing physical activity, and eliminating tobacco use. Viewing gallstones in men as a potential marker of metabolic dysfunction and broader chronic disease risk can strengthen preventive care and may reduce both biliary complications and downstream cardiometabolic burden.</w:t>
      </w:r>
    </w:p>
    <w:p w14:paraId="09F30695" w14:textId="77777777" w:rsidR="00735DA8" w:rsidRDefault="00735DA8" w:rsidP="00735DA8"/>
    <w:p w14:paraId="4B504B09" w14:textId="77777777" w:rsidR="00735DA8" w:rsidRDefault="00735DA8" w:rsidP="00735DA8">
      <w:pPr>
        <w:pStyle w:val="Heading2"/>
      </w:pPr>
      <w:r>
        <w:t>12. Limitations</w:t>
      </w:r>
    </w:p>
    <w:p w14:paraId="625B67FE" w14:textId="77777777" w:rsidR="00735DA8" w:rsidRDefault="00735DA8" w:rsidP="00735DA8">
      <w:pPr>
        <w:pStyle w:val="NormalWeb"/>
      </w:pPr>
      <w:r>
        <w:t>This review is limited by heterogeneity across studies in gallstone ascertainment (ultrasound screening versus symptomatic diagnosis or claims-based coding), variation in confounder adjustment, and limited male-stratified mechanistic data in some domains. Additionally, observational associations do not always imply causality, and causal inference methods (such as Mendelian randomization) are available only for selected exposures. Finally, risk factor profiles vary by ethnicity and region, so population-specific calibration is necessary when translating these findings into local prevention strategies.</w:t>
      </w:r>
    </w:p>
    <w:p w14:paraId="58B3901E" w14:textId="77777777" w:rsidR="005102CE" w:rsidRDefault="005102CE" w:rsidP="00735DA8">
      <w:pPr>
        <w:pStyle w:val="NormalWeb"/>
      </w:pPr>
    </w:p>
    <w:p w14:paraId="2CB8E843" w14:textId="77777777" w:rsidR="005102CE" w:rsidRDefault="005102CE" w:rsidP="005102CE">
      <w:pPr>
        <w:pStyle w:val="NormalWeb"/>
      </w:pPr>
      <w:r>
        <w:t>COMPETING INTERESTS DISCLAIMER:</w:t>
      </w:r>
    </w:p>
    <w:p w14:paraId="2C954C85" w14:textId="4CB31EC4" w:rsidR="005102CE" w:rsidRDefault="005102CE" w:rsidP="005102CE">
      <w:pPr>
        <w:pStyle w:val="NormalWeb"/>
      </w:pPr>
      <w:r>
        <w:t>Authors have declared that they have no known competing financial interests OR non-financial interests OR personal relationships that could have appeared to influence the work reported in this paper.</w:t>
      </w:r>
    </w:p>
    <w:p w14:paraId="67B15F4D" w14:textId="77777777" w:rsidR="00735DA8" w:rsidRDefault="00735DA8" w:rsidP="00735DA8"/>
    <w:p w14:paraId="1AA1F99F" w14:textId="77777777" w:rsidR="00735DA8" w:rsidRDefault="00735DA8" w:rsidP="00735DA8">
      <w:pPr>
        <w:pStyle w:val="Heading2"/>
      </w:pPr>
      <w:r>
        <w:t xml:space="preserve">References </w:t>
      </w:r>
    </w:p>
    <w:p w14:paraId="52F20AC6" w14:textId="77777777" w:rsidR="00402018" w:rsidRPr="00402018" w:rsidRDefault="00402018" w:rsidP="009D28E4">
      <w:pPr>
        <w:pStyle w:val="NormalWeb"/>
      </w:pPr>
      <w:r w:rsidRPr="00402018">
        <w:rPr>
          <w:color w:val="212121"/>
          <w:shd w:val="clear" w:color="auto" w:fill="FFFFFF"/>
        </w:rPr>
        <w:t xml:space="preserve">Aune, D., &amp; </w:t>
      </w:r>
      <w:proofErr w:type="spellStart"/>
      <w:r w:rsidRPr="00402018">
        <w:rPr>
          <w:color w:val="212121"/>
          <w:shd w:val="clear" w:color="auto" w:fill="FFFFFF"/>
        </w:rPr>
        <w:t>Vatten</w:t>
      </w:r>
      <w:proofErr w:type="spellEnd"/>
      <w:r w:rsidRPr="00402018">
        <w:rPr>
          <w:color w:val="212121"/>
          <w:shd w:val="clear" w:color="auto" w:fill="FFFFFF"/>
        </w:rPr>
        <w:t>, L. J. (2016). Diabetes mellitus and the risk of gallbladder disease: A systematic review and meta-analysis of prospective studies. </w:t>
      </w:r>
      <w:r w:rsidRPr="00402018">
        <w:rPr>
          <w:i/>
          <w:iCs/>
          <w:color w:val="212121"/>
          <w:shd w:val="clear" w:color="auto" w:fill="FFFFFF"/>
        </w:rPr>
        <w:t>Journal of diabetes and its complications</w:t>
      </w:r>
      <w:r w:rsidRPr="00402018">
        <w:rPr>
          <w:color w:val="212121"/>
          <w:shd w:val="clear" w:color="auto" w:fill="FFFFFF"/>
        </w:rPr>
        <w:t>, </w:t>
      </w:r>
      <w:r w:rsidRPr="00402018">
        <w:rPr>
          <w:i/>
          <w:iCs/>
          <w:color w:val="212121"/>
          <w:shd w:val="clear" w:color="auto" w:fill="FFFFFF"/>
        </w:rPr>
        <w:t>30</w:t>
      </w:r>
      <w:r w:rsidRPr="00402018">
        <w:rPr>
          <w:color w:val="212121"/>
          <w:shd w:val="clear" w:color="auto" w:fill="FFFFFF"/>
        </w:rPr>
        <w:t xml:space="preserve">(2), 368–373. </w:t>
      </w:r>
      <w:hyperlink r:id="rId8" w:history="1">
        <w:r w:rsidRPr="00402018">
          <w:rPr>
            <w:rStyle w:val="Hyperlink"/>
            <w:shd w:val="clear" w:color="auto" w:fill="FFFFFF"/>
          </w:rPr>
          <w:t>https://doi.org/10.1016/j.jdiacomp.2015.11.012</w:t>
        </w:r>
      </w:hyperlink>
      <w:r w:rsidRPr="00402018">
        <w:rPr>
          <w:color w:val="212121"/>
          <w:shd w:val="clear" w:color="auto" w:fill="FFFFFF"/>
        </w:rPr>
        <w:t xml:space="preserve"> </w:t>
      </w:r>
    </w:p>
    <w:p w14:paraId="2A9428BF" w14:textId="77777777" w:rsidR="00402018" w:rsidRPr="00402018" w:rsidRDefault="00402018" w:rsidP="009D28E4">
      <w:pPr>
        <w:pStyle w:val="NormalWeb"/>
      </w:pPr>
      <w:r w:rsidRPr="00402018">
        <w:rPr>
          <w:color w:val="212121"/>
          <w:shd w:val="clear" w:color="auto" w:fill="FFFFFF"/>
        </w:rPr>
        <w:lastRenderedPageBreak/>
        <w:t xml:space="preserve">Aune, D., </w:t>
      </w:r>
      <w:proofErr w:type="spellStart"/>
      <w:r w:rsidRPr="00402018">
        <w:rPr>
          <w:color w:val="212121"/>
          <w:shd w:val="clear" w:color="auto" w:fill="FFFFFF"/>
        </w:rPr>
        <w:t>Vatten</w:t>
      </w:r>
      <w:proofErr w:type="spellEnd"/>
      <w:r w:rsidRPr="00402018">
        <w:rPr>
          <w:color w:val="212121"/>
          <w:shd w:val="clear" w:color="auto" w:fill="FFFFFF"/>
        </w:rPr>
        <w:t xml:space="preserve">, L. J., &amp; </w:t>
      </w:r>
      <w:proofErr w:type="spellStart"/>
      <w:r w:rsidRPr="00402018">
        <w:rPr>
          <w:color w:val="212121"/>
          <w:shd w:val="clear" w:color="auto" w:fill="FFFFFF"/>
        </w:rPr>
        <w:t>Boffetta</w:t>
      </w:r>
      <w:proofErr w:type="spellEnd"/>
      <w:r w:rsidRPr="00402018">
        <w:rPr>
          <w:color w:val="212121"/>
          <w:shd w:val="clear" w:color="auto" w:fill="FFFFFF"/>
        </w:rPr>
        <w:t>, P. (2016). Tobacco smoking and the risk of gallbladder disease. </w:t>
      </w:r>
      <w:r w:rsidRPr="00402018">
        <w:rPr>
          <w:i/>
          <w:iCs/>
          <w:color w:val="212121"/>
          <w:shd w:val="clear" w:color="auto" w:fill="FFFFFF"/>
        </w:rPr>
        <w:t>European journal of epidemiology</w:t>
      </w:r>
      <w:r w:rsidRPr="00402018">
        <w:rPr>
          <w:color w:val="212121"/>
          <w:shd w:val="clear" w:color="auto" w:fill="FFFFFF"/>
        </w:rPr>
        <w:t>, </w:t>
      </w:r>
      <w:r w:rsidRPr="00402018">
        <w:rPr>
          <w:i/>
          <w:iCs/>
          <w:color w:val="212121"/>
          <w:shd w:val="clear" w:color="auto" w:fill="FFFFFF"/>
        </w:rPr>
        <w:t>31</w:t>
      </w:r>
      <w:r w:rsidRPr="00402018">
        <w:rPr>
          <w:color w:val="212121"/>
          <w:shd w:val="clear" w:color="auto" w:fill="FFFFFF"/>
        </w:rPr>
        <w:t xml:space="preserve">(7), 643–653. </w:t>
      </w:r>
      <w:hyperlink r:id="rId9" w:history="1">
        <w:r w:rsidRPr="00402018">
          <w:rPr>
            <w:rStyle w:val="Hyperlink"/>
            <w:shd w:val="clear" w:color="auto" w:fill="FFFFFF"/>
          </w:rPr>
          <w:t>https://doi.org/10.1007/s10654-016-0124-z</w:t>
        </w:r>
      </w:hyperlink>
      <w:r w:rsidRPr="00402018">
        <w:rPr>
          <w:color w:val="212121"/>
          <w:shd w:val="clear" w:color="auto" w:fill="FFFFFF"/>
        </w:rPr>
        <w:t xml:space="preserve"> </w:t>
      </w:r>
    </w:p>
    <w:p w14:paraId="10EBE08F" w14:textId="77777777" w:rsidR="00402018" w:rsidRPr="00402018" w:rsidRDefault="00402018" w:rsidP="009D28E4">
      <w:pPr>
        <w:pStyle w:val="NormalWeb"/>
      </w:pPr>
      <w:r w:rsidRPr="00402018">
        <w:rPr>
          <w:color w:val="212121"/>
          <w:shd w:val="clear" w:color="auto" w:fill="FFFFFF"/>
        </w:rPr>
        <w:t>Cha, B. H., Jang, M. J., &amp; Lee, S. H. (2019). Alcohol Consumption Can Reduce the Risk of Gallstone Disease: A Systematic Review with a Dose-Response Meta-Analysis of Case-Control and Cohort Studies. </w:t>
      </w:r>
      <w:r w:rsidRPr="00402018">
        <w:rPr>
          <w:i/>
          <w:iCs/>
          <w:color w:val="212121"/>
          <w:shd w:val="clear" w:color="auto" w:fill="FFFFFF"/>
        </w:rPr>
        <w:t>Gut and liver</w:t>
      </w:r>
      <w:r w:rsidRPr="00402018">
        <w:rPr>
          <w:color w:val="212121"/>
          <w:shd w:val="clear" w:color="auto" w:fill="FFFFFF"/>
        </w:rPr>
        <w:t>, </w:t>
      </w:r>
      <w:r w:rsidRPr="00402018">
        <w:rPr>
          <w:i/>
          <w:iCs/>
          <w:color w:val="212121"/>
          <w:shd w:val="clear" w:color="auto" w:fill="FFFFFF"/>
        </w:rPr>
        <w:t>13</w:t>
      </w:r>
      <w:r w:rsidRPr="00402018">
        <w:rPr>
          <w:color w:val="212121"/>
          <w:shd w:val="clear" w:color="auto" w:fill="FFFFFF"/>
        </w:rPr>
        <w:t xml:space="preserve">(1), 114–131. </w:t>
      </w:r>
      <w:hyperlink r:id="rId10" w:history="1">
        <w:r w:rsidRPr="00402018">
          <w:rPr>
            <w:rStyle w:val="Hyperlink"/>
            <w:shd w:val="clear" w:color="auto" w:fill="FFFFFF"/>
          </w:rPr>
          <w:t>https://doi.org/10.5009/gnl18278</w:t>
        </w:r>
      </w:hyperlink>
      <w:r w:rsidRPr="00402018">
        <w:rPr>
          <w:color w:val="212121"/>
          <w:shd w:val="clear" w:color="auto" w:fill="FFFFFF"/>
        </w:rPr>
        <w:t xml:space="preserve"> </w:t>
      </w:r>
    </w:p>
    <w:p w14:paraId="44129821" w14:textId="77777777" w:rsidR="00402018" w:rsidRPr="00402018" w:rsidRDefault="00402018" w:rsidP="009D28E4">
      <w:pPr>
        <w:pStyle w:val="NormalWeb"/>
      </w:pPr>
      <w:proofErr w:type="spellStart"/>
      <w:r w:rsidRPr="00402018">
        <w:rPr>
          <w:color w:val="212121"/>
          <w:shd w:val="clear" w:color="auto" w:fill="FFFFFF"/>
        </w:rPr>
        <w:t>Higashizono</w:t>
      </w:r>
      <w:proofErr w:type="spellEnd"/>
      <w:r w:rsidRPr="00402018">
        <w:rPr>
          <w:color w:val="212121"/>
          <w:shd w:val="clear" w:color="auto" w:fill="FFFFFF"/>
        </w:rPr>
        <w:t>, K., Nakatani, E., Hawke, P., Fujimoto, S., &amp; Oba, N. (2022). Risk factors for gallstone disease onset in Japan: Findings from the Shizuoka Study, a population-based cohort study. </w:t>
      </w:r>
      <w:proofErr w:type="spellStart"/>
      <w:r w:rsidRPr="00402018">
        <w:rPr>
          <w:i/>
          <w:iCs/>
          <w:color w:val="212121"/>
          <w:shd w:val="clear" w:color="auto" w:fill="FFFFFF"/>
        </w:rPr>
        <w:t>PloS</w:t>
      </w:r>
      <w:proofErr w:type="spellEnd"/>
      <w:r w:rsidRPr="00402018">
        <w:rPr>
          <w:i/>
          <w:iCs/>
          <w:color w:val="212121"/>
          <w:shd w:val="clear" w:color="auto" w:fill="FFFFFF"/>
        </w:rPr>
        <w:t xml:space="preserve"> one</w:t>
      </w:r>
      <w:r w:rsidRPr="00402018">
        <w:rPr>
          <w:color w:val="212121"/>
          <w:shd w:val="clear" w:color="auto" w:fill="FFFFFF"/>
        </w:rPr>
        <w:t>, </w:t>
      </w:r>
      <w:r w:rsidRPr="00402018">
        <w:rPr>
          <w:i/>
          <w:iCs/>
          <w:color w:val="212121"/>
          <w:shd w:val="clear" w:color="auto" w:fill="FFFFFF"/>
        </w:rPr>
        <w:t>17</w:t>
      </w:r>
      <w:r w:rsidRPr="00402018">
        <w:rPr>
          <w:color w:val="212121"/>
          <w:shd w:val="clear" w:color="auto" w:fill="FFFFFF"/>
        </w:rPr>
        <w:t xml:space="preserve">(12), e0274659. </w:t>
      </w:r>
      <w:hyperlink r:id="rId11" w:history="1">
        <w:r w:rsidRPr="00402018">
          <w:rPr>
            <w:rStyle w:val="Hyperlink"/>
            <w:shd w:val="clear" w:color="auto" w:fill="FFFFFF"/>
          </w:rPr>
          <w:t>https://doi.org/10.1371/journal.pone.0274659</w:t>
        </w:r>
      </w:hyperlink>
      <w:r w:rsidRPr="00402018">
        <w:rPr>
          <w:color w:val="212121"/>
          <w:shd w:val="clear" w:color="auto" w:fill="FFFFFF"/>
        </w:rPr>
        <w:t xml:space="preserve"> </w:t>
      </w:r>
    </w:p>
    <w:p w14:paraId="1862FD16" w14:textId="77777777" w:rsidR="00402018" w:rsidRPr="00402018" w:rsidRDefault="00402018" w:rsidP="009D28E4">
      <w:pPr>
        <w:pStyle w:val="NormalWeb"/>
        <w:rPr>
          <w:color w:val="212121"/>
          <w:shd w:val="clear" w:color="auto" w:fill="FFFFFF"/>
        </w:rPr>
      </w:pPr>
      <w:r w:rsidRPr="00402018">
        <w:rPr>
          <w:color w:val="222222"/>
          <w:shd w:val="clear" w:color="auto" w:fill="FFFFFF"/>
        </w:rPr>
        <w:t>Jabeen, S., Sial, I., Shakeel, S., Shaikh, K., Melwani, R., Sarwar, G., ... &amp; Iqbal, K. M. (2022). Evaluation of the Abnormalities of Lipid Profile in Patients with Cholelithiasis. </w:t>
      </w:r>
      <w:r w:rsidRPr="00402018">
        <w:rPr>
          <w:i/>
          <w:iCs/>
          <w:color w:val="222222"/>
          <w:shd w:val="clear" w:color="auto" w:fill="FFFFFF"/>
        </w:rPr>
        <w:t>Journal of Pharmaceutical Research International</w:t>
      </w:r>
      <w:r w:rsidRPr="00402018">
        <w:rPr>
          <w:color w:val="222222"/>
          <w:shd w:val="clear" w:color="auto" w:fill="FFFFFF"/>
        </w:rPr>
        <w:t>, </w:t>
      </w:r>
      <w:r w:rsidRPr="00402018">
        <w:rPr>
          <w:i/>
          <w:iCs/>
          <w:color w:val="222222"/>
          <w:shd w:val="clear" w:color="auto" w:fill="FFFFFF"/>
        </w:rPr>
        <w:t>34</w:t>
      </w:r>
      <w:r w:rsidRPr="00402018">
        <w:rPr>
          <w:color w:val="222222"/>
          <w:shd w:val="clear" w:color="auto" w:fill="FFFFFF"/>
        </w:rPr>
        <w:t xml:space="preserve">(35A), 82-88. </w:t>
      </w:r>
      <w:hyperlink r:id="rId12" w:tgtFrame="_new" w:history="1">
        <w:r w:rsidRPr="00402018">
          <w:rPr>
            <w:rStyle w:val="Hyperlink"/>
          </w:rPr>
          <w:t>https://doi.org/10.9734/jpri/2022/v34i35A36165</w:t>
        </w:r>
      </w:hyperlink>
      <w:r w:rsidRPr="00402018">
        <w:t xml:space="preserve"> </w:t>
      </w:r>
    </w:p>
    <w:p w14:paraId="2893F954" w14:textId="77777777" w:rsidR="00402018" w:rsidRPr="00402018" w:rsidRDefault="00402018" w:rsidP="009D28E4">
      <w:pPr>
        <w:pStyle w:val="NormalWeb"/>
        <w:rPr>
          <w:color w:val="212121"/>
          <w:shd w:val="clear" w:color="auto" w:fill="FFFFFF"/>
        </w:rPr>
      </w:pPr>
      <w:proofErr w:type="spellStart"/>
      <w:r w:rsidRPr="00402018">
        <w:rPr>
          <w:color w:val="212121"/>
          <w:shd w:val="clear" w:color="auto" w:fill="FFFFFF"/>
        </w:rPr>
        <w:t>Jaruvongvanich</w:t>
      </w:r>
      <w:proofErr w:type="spellEnd"/>
      <w:r w:rsidRPr="00402018">
        <w:rPr>
          <w:color w:val="212121"/>
          <w:shd w:val="clear" w:color="auto" w:fill="FFFFFF"/>
        </w:rPr>
        <w:t>, V., Sanguankeo, A., &amp; Upala, S. (2016). Significant Association Between Gallstone Disease and Nonalcoholic Fatty Liver Disease: A Systematic Review and Meta-Analysis. </w:t>
      </w:r>
      <w:r w:rsidRPr="00402018">
        <w:rPr>
          <w:i/>
          <w:iCs/>
          <w:color w:val="212121"/>
          <w:shd w:val="clear" w:color="auto" w:fill="FFFFFF"/>
        </w:rPr>
        <w:t>Digestive diseases and sciences</w:t>
      </w:r>
      <w:r w:rsidRPr="00402018">
        <w:rPr>
          <w:color w:val="212121"/>
          <w:shd w:val="clear" w:color="auto" w:fill="FFFFFF"/>
        </w:rPr>
        <w:t>, </w:t>
      </w:r>
      <w:r w:rsidRPr="00402018">
        <w:rPr>
          <w:i/>
          <w:iCs/>
          <w:color w:val="212121"/>
          <w:shd w:val="clear" w:color="auto" w:fill="FFFFFF"/>
        </w:rPr>
        <w:t>61</w:t>
      </w:r>
      <w:r w:rsidRPr="00402018">
        <w:rPr>
          <w:color w:val="212121"/>
          <w:shd w:val="clear" w:color="auto" w:fill="FFFFFF"/>
        </w:rPr>
        <w:t xml:space="preserve">(8), 2389–2396. </w:t>
      </w:r>
      <w:hyperlink r:id="rId13" w:history="1">
        <w:r w:rsidRPr="00402018">
          <w:rPr>
            <w:rStyle w:val="Hyperlink"/>
            <w:shd w:val="clear" w:color="auto" w:fill="FFFFFF"/>
          </w:rPr>
          <w:t>https://doi.org/10.1007/s10620-016-4125-2</w:t>
        </w:r>
      </w:hyperlink>
      <w:r w:rsidRPr="00402018">
        <w:rPr>
          <w:color w:val="212121"/>
          <w:shd w:val="clear" w:color="auto" w:fill="FFFFFF"/>
        </w:rPr>
        <w:t xml:space="preserve"> </w:t>
      </w:r>
    </w:p>
    <w:p w14:paraId="4FD0D82B" w14:textId="77777777" w:rsidR="00402018" w:rsidRPr="00402018" w:rsidRDefault="00402018" w:rsidP="009D28E4">
      <w:pPr>
        <w:pStyle w:val="NormalWeb"/>
        <w:rPr>
          <w:color w:val="1B1B1B"/>
          <w:shd w:val="clear" w:color="auto" w:fill="FFFFFF"/>
        </w:rPr>
      </w:pPr>
      <w:r w:rsidRPr="00402018">
        <w:rPr>
          <w:color w:val="212121"/>
          <w:shd w:val="clear" w:color="auto" w:fill="FFFFFF"/>
        </w:rPr>
        <w:t xml:space="preserve">Krupa, Ł., </w:t>
      </w:r>
      <w:proofErr w:type="spellStart"/>
      <w:r w:rsidRPr="00402018">
        <w:rPr>
          <w:color w:val="212121"/>
          <w:shd w:val="clear" w:color="auto" w:fill="FFFFFF"/>
        </w:rPr>
        <w:t>Portincasa</w:t>
      </w:r>
      <w:proofErr w:type="spellEnd"/>
      <w:r w:rsidRPr="00402018">
        <w:rPr>
          <w:color w:val="212121"/>
          <w:shd w:val="clear" w:color="auto" w:fill="FFFFFF"/>
        </w:rPr>
        <w:t>, P., Lammert, F., &amp; Krawczyk, M. (2025). Gallstones in the 21st century. </w:t>
      </w:r>
      <w:r w:rsidRPr="00402018">
        <w:rPr>
          <w:i/>
          <w:iCs/>
          <w:color w:val="212121"/>
          <w:shd w:val="clear" w:color="auto" w:fill="FFFFFF"/>
        </w:rPr>
        <w:t>Polish archives of internal medicine</w:t>
      </w:r>
      <w:r w:rsidRPr="00402018">
        <w:rPr>
          <w:color w:val="212121"/>
          <w:shd w:val="clear" w:color="auto" w:fill="FFFFFF"/>
        </w:rPr>
        <w:t>, </w:t>
      </w:r>
      <w:r w:rsidRPr="00402018">
        <w:rPr>
          <w:i/>
          <w:iCs/>
          <w:color w:val="212121"/>
          <w:shd w:val="clear" w:color="auto" w:fill="FFFFFF"/>
        </w:rPr>
        <w:t>135</w:t>
      </w:r>
      <w:r w:rsidRPr="00402018">
        <w:rPr>
          <w:color w:val="212121"/>
          <w:shd w:val="clear" w:color="auto" w:fill="FFFFFF"/>
        </w:rPr>
        <w:t xml:space="preserve">(1), 16937. </w:t>
      </w:r>
      <w:hyperlink r:id="rId14" w:history="1">
        <w:r w:rsidRPr="00402018">
          <w:rPr>
            <w:rStyle w:val="Hyperlink"/>
            <w:shd w:val="clear" w:color="auto" w:fill="FFFFFF"/>
          </w:rPr>
          <w:t>https://doi.org/10.20452/pamw.16937</w:t>
        </w:r>
      </w:hyperlink>
      <w:r w:rsidRPr="00402018">
        <w:rPr>
          <w:color w:val="212121"/>
          <w:shd w:val="clear" w:color="auto" w:fill="FFFFFF"/>
        </w:rPr>
        <w:t xml:space="preserve"> </w:t>
      </w:r>
    </w:p>
    <w:p w14:paraId="1A01BC7F" w14:textId="77777777" w:rsidR="00402018" w:rsidRPr="00402018" w:rsidRDefault="00402018" w:rsidP="009D28E4">
      <w:pPr>
        <w:pStyle w:val="NormalWeb"/>
      </w:pPr>
      <w:r w:rsidRPr="00402018">
        <w:rPr>
          <w:color w:val="212121"/>
          <w:shd w:val="clear" w:color="auto" w:fill="FFFFFF"/>
        </w:rPr>
        <w:t xml:space="preserve">Lane, M. M., Gamage, E., Du, S., </w:t>
      </w:r>
      <w:proofErr w:type="spellStart"/>
      <w:r w:rsidRPr="00402018">
        <w:rPr>
          <w:color w:val="212121"/>
          <w:shd w:val="clear" w:color="auto" w:fill="FFFFFF"/>
        </w:rPr>
        <w:t>Ashtree</w:t>
      </w:r>
      <w:proofErr w:type="spellEnd"/>
      <w:r w:rsidRPr="00402018">
        <w:rPr>
          <w:color w:val="212121"/>
          <w:shd w:val="clear" w:color="auto" w:fill="FFFFFF"/>
        </w:rPr>
        <w:t xml:space="preserve">, D. N., McGuinness, A. J., Gauci, S., Baker, P., Lawrence, M., Rebholz, C. M., Srour, B., </w:t>
      </w:r>
      <w:proofErr w:type="spellStart"/>
      <w:r w:rsidRPr="00402018">
        <w:rPr>
          <w:color w:val="212121"/>
          <w:shd w:val="clear" w:color="auto" w:fill="FFFFFF"/>
        </w:rPr>
        <w:t>Touvier</w:t>
      </w:r>
      <w:proofErr w:type="spellEnd"/>
      <w:r w:rsidRPr="00402018">
        <w:rPr>
          <w:color w:val="212121"/>
          <w:shd w:val="clear" w:color="auto" w:fill="FFFFFF"/>
        </w:rPr>
        <w:t xml:space="preserve">, M., Jacka, F. N., O'Neil, A., </w:t>
      </w:r>
      <w:proofErr w:type="spellStart"/>
      <w:r w:rsidRPr="00402018">
        <w:rPr>
          <w:color w:val="212121"/>
          <w:shd w:val="clear" w:color="auto" w:fill="FFFFFF"/>
        </w:rPr>
        <w:t>Segasby</w:t>
      </w:r>
      <w:proofErr w:type="spellEnd"/>
      <w:r w:rsidRPr="00402018">
        <w:rPr>
          <w:color w:val="212121"/>
          <w:shd w:val="clear" w:color="auto" w:fill="FFFFFF"/>
        </w:rPr>
        <w:t>, T., &amp; Marx, W. (2024). Ultra-processed food exposure and adverse health outcomes: umbrella review of epidemiological meta-analyses. </w:t>
      </w:r>
      <w:r w:rsidRPr="00402018">
        <w:rPr>
          <w:i/>
          <w:iCs/>
          <w:color w:val="212121"/>
          <w:shd w:val="clear" w:color="auto" w:fill="FFFFFF"/>
        </w:rPr>
        <w:t>BMJ (Clinical research ed.)</w:t>
      </w:r>
      <w:r w:rsidRPr="00402018">
        <w:rPr>
          <w:color w:val="212121"/>
          <w:shd w:val="clear" w:color="auto" w:fill="FFFFFF"/>
        </w:rPr>
        <w:t>, </w:t>
      </w:r>
      <w:r w:rsidRPr="00402018">
        <w:rPr>
          <w:i/>
          <w:iCs/>
          <w:color w:val="212121"/>
          <w:shd w:val="clear" w:color="auto" w:fill="FFFFFF"/>
        </w:rPr>
        <w:t>384</w:t>
      </w:r>
      <w:r w:rsidRPr="00402018">
        <w:rPr>
          <w:color w:val="212121"/>
          <w:shd w:val="clear" w:color="auto" w:fill="FFFFFF"/>
        </w:rPr>
        <w:t xml:space="preserve">, e077310. </w:t>
      </w:r>
      <w:hyperlink r:id="rId15" w:history="1">
        <w:r w:rsidRPr="00402018">
          <w:rPr>
            <w:rStyle w:val="Hyperlink"/>
            <w:shd w:val="clear" w:color="auto" w:fill="FFFFFF"/>
          </w:rPr>
          <w:t>https://doi.org/10.1136/bmj-2023-077310</w:t>
        </w:r>
      </w:hyperlink>
      <w:r w:rsidRPr="00402018">
        <w:rPr>
          <w:color w:val="212121"/>
          <w:shd w:val="clear" w:color="auto" w:fill="FFFFFF"/>
        </w:rPr>
        <w:t xml:space="preserve"> </w:t>
      </w:r>
    </w:p>
    <w:p w14:paraId="4FA90391" w14:textId="77777777" w:rsidR="00402018" w:rsidRPr="00402018" w:rsidRDefault="00402018" w:rsidP="009D28E4">
      <w:pPr>
        <w:pStyle w:val="NormalWeb"/>
      </w:pPr>
      <w:r w:rsidRPr="00402018">
        <w:rPr>
          <w:color w:val="222222"/>
          <w:shd w:val="clear" w:color="auto" w:fill="FFFFFF"/>
        </w:rPr>
        <w:t>Memon, J., Jarwar, M., Soomro, S. A., Memon, A. S., &amp; Memon, R. J. (2021). Clinical Pattern and Frequency of Co-morbidities among Patients Presented with Cholelithiasis’ at Tertiary Care Hospital. </w:t>
      </w:r>
      <w:r w:rsidRPr="00402018">
        <w:rPr>
          <w:i/>
          <w:iCs/>
          <w:color w:val="222222"/>
          <w:shd w:val="clear" w:color="auto" w:fill="FFFFFF"/>
        </w:rPr>
        <w:t>Journal of Pharmaceutical Research International</w:t>
      </w:r>
      <w:r w:rsidRPr="00402018">
        <w:rPr>
          <w:color w:val="222222"/>
          <w:shd w:val="clear" w:color="auto" w:fill="FFFFFF"/>
        </w:rPr>
        <w:t>, </w:t>
      </w:r>
      <w:r w:rsidRPr="00402018">
        <w:rPr>
          <w:i/>
          <w:iCs/>
          <w:color w:val="222222"/>
          <w:shd w:val="clear" w:color="auto" w:fill="FFFFFF"/>
        </w:rPr>
        <w:t>33</w:t>
      </w:r>
      <w:r w:rsidRPr="00402018">
        <w:rPr>
          <w:color w:val="222222"/>
          <w:shd w:val="clear" w:color="auto" w:fill="FFFFFF"/>
        </w:rPr>
        <w:t xml:space="preserve">(14), 57-62. </w:t>
      </w:r>
      <w:hyperlink r:id="rId16" w:history="1">
        <w:r w:rsidRPr="00402018">
          <w:rPr>
            <w:rStyle w:val="Hyperlink"/>
          </w:rPr>
          <w:t>https://doi.org/10.9734/jpri/2021/v33i1431276</w:t>
        </w:r>
      </w:hyperlink>
      <w:r w:rsidRPr="00402018">
        <w:t xml:space="preserve"> </w:t>
      </w:r>
    </w:p>
    <w:p w14:paraId="21FAAAB1" w14:textId="77777777" w:rsidR="00402018" w:rsidRPr="00402018" w:rsidRDefault="00402018" w:rsidP="009D28E4">
      <w:pPr>
        <w:pStyle w:val="NormalWeb"/>
      </w:pPr>
      <w:r w:rsidRPr="00402018">
        <w:rPr>
          <w:color w:val="212121"/>
          <w:shd w:val="clear" w:color="auto" w:fill="FFFFFF"/>
        </w:rPr>
        <w:t>Nordestgaard, A. T., Stender, S., Nordestgaard, B. G., &amp; Tybjaerg-Hansen, A. (2020). Coffee intake protects against symptomatic gallstone disease in the general population: a Mendelian randomization study. </w:t>
      </w:r>
      <w:r w:rsidRPr="00402018">
        <w:rPr>
          <w:i/>
          <w:iCs/>
          <w:color w:val="212121"/>
          <w:shd w:val="clear" w:color="auto" w:fill="FFFFFF"/>
        </w:rPr>
        <w:t>Journal of internal medicine</w:t>
      </w:r>
      <w:r w:rsidRPr="00402018">
        <w:rPr>
          <w:color w:val="212121"/>
          <w:shd w:val="clear" w:color="auto" w:fill="FFFFFF"/>
        </w:rPr>
        <w:t>, </w:t>
      </w:r>
      <w:r w:rsidRPr="00402018">
        <w:rPr>
          <w:i/>
          <w:iCs/>
          <w:color w:val="212121"/>
          <w:shd w:val="clear" w:color="auto" w:fill="FFFFFF"/>
        </w:rPr>
        <w:t>287</w:t>
      </w:r>
      <w:r w:rsidRPr="00402018">
        <w:rPr>
          <w:color w:val="212121"/>
          <w:shd w:val="clear" w:color="auto" w:fill="FFFFFF"/>
        </w:rPr>
        <w:t xml:space="preserve">(1), 42–53. </w:t>
      </w:r>
      <w:hyperlink r:id="rId17" w:history="1">
        <w:r w:rsidRPr="00402018">
          <w:rPr>
            <w:rStyle w:val="Hyperlink"/>
            <w:shd w:val="clear" w:color="auto" w:fill="FFFFFF"/>
          </w:rPr>
          <w:t>https://doi.org/10.1111/joim.12970</w:t>
        </w:r>
      </w:hyperlink>
      <w:r w:rsidRPr="00402018">
        <w:rPr>
          <w:color w:val="212121"/>
          <w:shd w:val="clear" w:color="auto" w:fill="FFFFFF"/>
        </w:rPr>
        <w:t xml:space="preserve"> </w:t>
      </w:r>
    </w:p>
    <w:p w14:paraId="28731A0D" w14:textId="77777777" w:rsidR="00402018" w:rsidRPr="00402018" w:rsidRDefault="00402018" w:rsidP="009D28E4">
      <w:pPr>
        <w:pStyle w:val="NormalWeb"/>
      </w:pPr>
      <w:r w:rsidRPr="00402018">
        <w:rPr>
          <w:color w:val="212121"/>
          <w:shd w:val="clear" w:color="auto" w:fill="FFFFFF"/>
        </w:rPr>
        <w:t xml:space="preserve">Rodriguez Gatta, D., Huidobro, L., Petermann-Rocha, F., Van de Wyngard, V., Godoy, F., Cid, V., Garrido, M., Cook, P., Roa, J. C., Vargas, C., Araya, J. C., Cortes, S., Cruz, F., Koshiol, J., Arrese, M., &amp; </w:t>
      </w:r>
      <w:proofErr w:type="spellStart"/>
      <w:r w:rsidRPr="00402018">
        <w:rPr>
          <w:color w:val="212121"/>
          <w:shd w:val="clear" w:color="auto" w:fill="FFFFFF"/>
        </w:rPr>
        <w:t>Ferreccio</w:t>
      </w:r>
      <w:proofErr w:type="spellEnd"/>
      <w:r w:rsidRPr="00402018">
        <w:rPr>
          <w:color w:val="212121"/>
          <w:shd w:val="clear" w:color="auto" w:fill="FFFFFF"/>
        </w:rPr>
        <w:t>, C. (2024). Sex disparities in gallstone disease: insights from the MAUCO prospective population-based cohort study. </w:t>
      </w:r>
      <w:r w:rsidRPr="00402018">
        <w:rPr>
          <w:i/>
          <w:iCs/>
          <w:color w:val="212121"/>
          <w:shd w:val="clear" w:color="auto" w:fill="FFFFFF"/>
        </w:rPr>
        <w:t>BMJ open gastroenterology</w:t>
      </w:r>
      <w:r w:rsidRPr="00402018">
        <w:rPr>
          <w:color w:val="212121"/>
          <w:shd w:val="clear" w:color="auto" w:fill="FFFFFF"/>
        </w:rPr>
        <w:t>, </w:t>
      </w:r>
      <w:r w:rsidRPr="00402018">
        <w:rPr>
          <w:i/>
          <w:iCs/>
          <w:color w:val="212121"/>
          <w:shd w:val="clear" w:color="auto" w:fill="FFFFFF"/>
        </w:rPr>
        <w:t>11</w:t>
      </w:r>
      <w:r w:rsidRPr="00402018">
        <w:rPr>
          <w:color w:val="212121"/>
          <w:shd w:val="clear" w:color="auto" w:fill="FFFFFF"/>
        </w:rPr>
        <w:t xml:space="preserve">(1), e001457. </w:t>
      </w:r>
      <w:hyperlink r:id="rId18" w:history="1">
        <w:r w:rsidRPr="00402018">
          <w:rPr>
            <w:rStyle w:val="Hyperlink"/>
            <w:shd w:val="clear" w:color="auto" w:fill="FFFFFF"/>
          </w:rPr>
          <w:t>https://doi.org/10.1136/bmjgast-2024-001457</w:t>
        </w:r>
      </w:hyperlink>
      <w:r w:rsidRPr="00402018">
        <w:rPr>
          <w:color w:val="212121"/>
          <w:shd w:val="clear" w:color="auto" w:fill="FFFFFF"/>
        </w:rPr>
        <w:t xml:space="preserve"> </w:t>
      </w:r>
    </w:p>
    <w:p w14:paraId="62BB1EB7" w14:textId="77777777" w:rsidR="00402018" w:rsidRPr="00402018" w:rsidRDefault="00402018" w:rsidP="009D28E4">
      <w:pPr>
        <w:pStyle w:val="NormalWeb"/>
      </w:pPr>
      <w:r w:rsidRPr="00402018">
        <w:rPr>
          <w:color w:val="212121"/>
          <w:shd w:val="clear" w:color="auto" w:fill="FFFFFF"/>
        </w:rPr>
        <w:lastRenderedPageBreak/>
        <w:t>Saylor, P. J., Smith, M. R., O'Malley, A. J., &amp; Keating, N. L. (2014). Androgen-deprivation therapy and risk for biliary disease in men with prostate cancer. </w:t>
      </w:r>
      <w:r w:rsidRPr="00402018">
        <w:rPr>
          <w:i/>
          <w:iCs/>
          <w:color w:val="212121"/>
          <w:shd w:val="clear" w:color="auto" w:fill="FFFFFF"/>
        </w:rPr>
        <w:t>European urology</w:t>
      </w:r>
      <w:r w:rsidRPr="00402018">
        <w:rPr>
          <w:color w:val="212121"/>
          <w:shd w:val="clear" w:color="auto" w:fill="FFFFFF"/>
        </w:rPr>
        <w:t>, </w:t>
      </w:r>
      <w:r w:rsidRPr="00402018">
        <w:rPr>
          <w:i/>
          <w:iCs/>
          <w:color w:val="212121"/>
          <w:shd w:val="clear" w:color="auto" w:fill="FFFFFF"/>
        </w:rPr>
        <w:t>65</w:t>
      </w:r>
      <w:r w:rsidRPr="00402018">
        <w:rPr>
          <w:color w:val="212121"/>
          <w:shd w:val="clear" w:color="auto" w:fill="FFFFFF"/>
        </w:rPr>
        <w:t xml:space="preserve">(3), 642–649. </w:t>
      </w:r>
      <w:hyperlink r:id="rId19" w:history="1">
        <w:r w:rsidRPr="00402018">
          <w:rPr>
            <w:rStyle w:val="Hyperlink"/>
            <w:shd w:val="clear" w:color="auto" w:fill="FFFFFF"/>
          </w:rPr>
          <w:t>https://doi.org/10.1016/j.eururo.2013.02.003</w:t>
        </w:r>
      </w:hyperlink>
      <w:r w:rsidRPr="00402018">
        <w:rPr>
          <w:color w:val="212121"/>
          <w:shd w:val="clear" w:color="auto" w:fill="FFFFFF"/>
        </w:rPr>
        <w:t xml:space="preserve"> </w:t>
      </w:r>
    </w:p>
    <w:p w14:paraId="3F9642F3" w14:textId="77777777" w:rsidR="00402018" w:rsidRPr="00402018" w:rsidRDefault="00402018" w:rsidP="009D28E4">
      <w:pPr>
        <w:pStyle w:val="NormalWeb"/>
      </w:pPr>
      <w:proofErr w:type="spellStart"/>
      <w:r w:rsidRPr="00402018">
        <w:rPr>
          <w:color w:val="212121"/>
          <w:shd w:val="clear" w:color="auto" w:fill="FFFFFF"/>
        </w:rPr>
        <w:t>Sepehrimanesh</w:t>
      </w:r>
      <w:proofErr w:type="spellEnd"/>
      <w:r w:rsidRPr="00402018">
        <w:rPr>
          <w:color w:val="212121"/>
          <w:shd w:val="clear" w:color="auto" w:fill="FFFFFF"/>
        </w:rPr>
        <w:t xml:space="preserve">, M., Niknam, R., </w:t>
      </w:r>
      <w:proofErr w:type="spellStart"/>
      <w:r w:rsidRPr="00402018">
        <w:rPr>
          <w:color w:val="212121"/>
          <w:shd w:val="clear" w:color="auto" w:fill="FFFFFF"/>
        </w:rPr>
        <w:t>Ejtehadi</w:t>
      </w:r>
      <w:proofErr w:type="spellEnd"/>
      <w:r w:rsidRPr="00402018">
        <w:rPr>
          <w:color w:val="212121"/>
          <w:shd w:val="clear" w:color="auto" w:fill="FFFFFF"/>
        </w:rPr>
        <w:t>, F., Fattahi, M. R., &amp; Safarpour, A. (2020). Association Between Non-Alcoholic Fatty Liver Disease and Metabolic Syndrome with Gallstone Disease, South Iran</w:t>
      </w:r>
      <w:r w:rsidRPr="00402018">
        <w:rPr>
          <w:rFonts w:ascii="Segoe UI" w:hAnsi="Segoe UI"/>
          <w:color w:val="212121"/>
          <w:shd w:val="clear" w:color="auto" w:fill="FFFFFF"/>
        </w:rPr>
        <w:t>﻿</w:t>
      </w:r>
      <w:r w:rsidRPr="00402018">
        <w:rPr>
          <w:color w:val="212121"/>
          <w:shd w:val="clear" w:color="auto" w:fill="FFFFFF"/>
        </w:rPr>
        <w:t>: A Population-Based Study. </w:t>
      </w:r>
      <w:r w:rsidRPr="00402018">
        <w:rPr>
          <w:i/>
          <w:iCs/>
          <w:color w:val="212121"/>
          <w:shd w:val="clear" w:color="auto" w:fill="FFFFFF"/>
        </w:rPr>
        <w:t xml:space="preserve">Diabetes, metabolic syndrome and </w:t>
      </w:r>
      <w:proofErr w:type="gramStart"/>
      <w:r w:rsidRPr="00402018">
        <w:rPr>
          <w:i/>
          <w:iCs/>
          <w:color w:val="212121"/>
          <w:shd w:val="clear" w:color="auto" w:fill="FFFFFF"/>
        </w:rPr>
        <w:t>obesity :</w:t>
      </w:r>
      <w:proofErr w:type="gramEnd"/>
      <w:r w:rsidRPr="00402018">
        <w:rPr>
          <w:i/>
          <w:iCs/>
          <w:color w:val="212121"/>
          <w:shd w:val="clear" w:color="auto" w:fill="FFFFFF"/>
        </w:rPr>
        <w:t xml:space="preserve"> targets and therapy</w:t>
      </w:r>
      <w:r w:rsidRPr="00402018">
        <w:rPr>
          <w:color w:val="212121"/>
          <w:shd w:val="clear" w:color="auto" w:fill="FFFFFF"/>
        </w:rPr>
        <w:t>, </w:t>
      </w:r>
      <w:r w:rsidRPr="00402018">
        <w:rPr>
          <w:i/>
          <w:iCs/>
          <w:color w:val="212121"/>
          <w:shd w:val="clear" w:color="auto" w:fill="FFFFFF"/>
        </w:rPr>
        <w:t>13</w:t>
      </w:r>
      <w:r w:rsidRPr="00402018">
        <w:rPr>
          <w:color w:val="212121"/>
          <w:shd w:val="clear" w:color="auto" w:fill="FFFFFF"/>
        </w:rPr>
        <w:t xml:space="preserve">, 1449–1458. </w:t>
      </w:r>
      <w:hyperlink r:id="rId20" w:history="1">
        <w:r w:rsidRPr="00402018">
          <w:rPr>
            <w:rStyle w:val="Hyperlink"/>
            <w:shd w:val="clear" w:color="auto" w:fill="FFFFFF"/>
          </w:rPr>
          <w:t>https://doi.org/10.2147/DMSO.S246949</w:t>
        </w:r>
      </w:hyperlink>
      <w:r w:rsidRPr="00402018">
        <w:rPr>
          <w:color w:val="212121"/>
          <w:shd w:val="clear" w:color="auto" w:fill="FFFFFF"/>
        </w:rPr>
        <w:t xml:space="preserve"> </w:t>
      </w:r>
    </w:p>
    <w:p w14:paraId="02933069" w14:textId="77777777" w:rsidR="00402018" w:rsidRPr="00402018" w:rsidRDefault="00402018" w:rsidP="009D28E4">
      <w:pPr>
        <w:pStyle w:val="NormalWeb"/>
      </w:pPr>
      <w:r w:rsidRPr="00402018">
        <w:rPr>
          <w:color w:val="212121"/>
          <w:shd w:val="clear" w:color="auto" w:fill="FFFFFF"/>
        </w:rPr>
        <w:t>Wang, X., Yu, W., Jiang, G., Li, H., Li, S., Xie, L., Bai, X., Cui, P., Chen, Q., Lou, Y., Zou, L., Li, S., Zhou, Z., Zhang, C., Sun, P., &amp; Mao, M. (2024). Global Epidemiology of Gallstones in the 21st Century: A Systematic Review and Meta-Analysis. </w:t>
      </w:r>
      <w:r w:rsidRPr="00402018">
        <w:rPr>
          <w:i/>
          <w:iCs/>
          <w:color w:val="212121"/>
          <w:shd w:val="clear" w:color="auto" w:fill="FFFFFF"/>
        </w:rPr>
        <w:t xml:space="preserve">Clinical gastroenterology and </w:t>
      </w:r>
      <w:proofErr w:type="gramStart"/>
      <w:r w:rsidRPr="00402018">
        <w:rPr>
          <w:i/>
          <w:iCs/>
          <w:color w:val="212121"/>
          <w:shd w:val="clear" w:color="auto" w:fill="FFFFFF"/>
        </w:rPr>
        <w:t>hepatology :</w:t>
      </w:r>
      <w:proofErr w:type="gramEnd"/>
      <w:r w:rsidRPr="00402018">
        <w:rPr>
          <w:i/>
          <w:iCs/>
          <w:color w:val="212121"/>
          <w:shd w:val="clear" w:color="auto" w:fill="FFFFFF"/>
        </w:rPr>
        <w:t xml:space="preserve"> the official clinical practice journal of the American Gastroenterological Association</w:t>
      </w:r>
      <w:r w:rsidRPr="00402018">
        <w:rPr>
          <w:color w:val="212121"/>
          <w:shd w:val="clear" w:color="auto" w:fill="FFFFFF"/>
        </w:rPr>
        <w:t>, </w:t>
      </w:r>
      <w:r w:rsidRPr="00402018">
        <w:rPr>
          <w:i/>
          <w:iCs/>
          <w:color w:val="212121"/>
          <w:shd w:val="clear" w:color="auto" w:fill="FFFFFF"/>
        </w:rPr>
        <w:t>22</w:t>
      </w:r>
      <w:r w:rsidRPr="00402018">
        <w:rPr>
          <w:color w:val="212121"/>
          <w:shd w:val="clear" w:color="auto" w:fill="FFFFFF"/>
        </w:rPr>
        <w:t xml:space="preserve">(8), 1586–1595. </w:t>
      </w:r>
      <w:hyperlink r:id="rId21" w:history="1">
        <w:r w:rsidRPr="00402018">
          <w:rPr>
            <w:rStyle w:val="Hyperlink"/>
            <w:shd w:val="clear" w:color="auto" w:fill="FFFFFF"/>
          </w:rPr>
          <w:t>https://doi.org/10.1016/j.cgh.2024.01.051</w:t>
        </w:r>
      </w:hyperlink>
      <w:r w:rsidRPr="00402018">
        <w:rPr>
          <w:color w:val="212121"/>
          <w:shd w:val="clear" w:color="auto" w:fill="FFFFFF"/>
        </w:rPr>
        <w:t xml:space="preserve"> </w:t>
      </w:r>
    </w:p>
    <w:p w14:paraId="63B4CE3C" w14:textId="77777777" w:rsidR="00402018" w:rsidRPr="00402018" w:rsidRDefault="00402018" w:rsidP="009D28E4">
      <w:pPr>
        <w:pStyle w:val="NormalWeb"/>
      </w:pPr>
      <w:r w:rsidRPr="00402018">
        <w:rPr>
          <w:color w:val="212121"/>
          <w:shd w:val="clear" w:color="auto" w:fill="FFFFFF"/>
        </w:rPr>
        <w:t xml:space="preserve">Wirth, J., Joshi, A. D., Song, M., Lee, D. H., </w:t>
      </w:r>
      <w:proofErr w:type="spellStart"/>
      <w:r w:rsidRPr="00402018">
        <w:rPr>
          <w:color w:val="212121"/>
          <w:shd w:val="clear" w:color="auto" w:fill="FFFFFF"/>
        </w:rPr>
        <w:t>Tabung</w:t>
      </w:r>
      <w:proofErr w:type="spellEnd"/>
      <w:r w:rsidRPr="00402018">
        <w:rPr>
          <w:color w:val="212121"/>
          <w:shd w:val="clear" w:color="auto" w:fill="FFFFFF"/>
        </w:rPr>
        <w:t>, F. K., Fung, T. T., Chan, A. T., Weikert, C., Leitzmann, M., Willett, W. C., Giovannucci, E., &amp; Wu, K. (2020). A healthy lifestyle pattern and the risk of symptomatic gallstone disease: results from 2 prospective cohort studies. </w:t>
      </w:r>
      <w:r w:rsidRPr="00402018">
        <w:rPr>
          <w:i/>
          <w:iCs/>
          <w:color w:val="212121"/>
          <w:shd w:val="clear" w:color="auto" w:fill="FFFFFF"/>
        </w:rPr>
        <w:t>The American journal of clinical nutrition</w:t>
      </w:r>
      <w:r w:rsidRPr="00402018">
        <w:rPr>
          <w:color w:val="212121"/>
          <w:shd w:val="clear" w:color="auto" w:fill="FFFFFF"/>
        </w:rPr>
        <w:t>, </w:t>
      </w:r>
      <w:r w:rsidRPr="00402018">
        <w:rPr>
          <w:i/>
          <w:iCs/>
          <w:color w:val="212121"/>
          <w:shd w:val="clear" w:color="auto" w:fill="FFFFFF"/>
        </w:rPr>
        <w:t>112</w:t>
      </w:r>
      <w:r w:rsidRPr="00402018">
        <w:rPr>
          <w:color w:val="212121"/>
          <w:shd w:val="clear" w:color="auto" w:fill="FFFFFF"/>
        </w:rPr>
        <w:t xml:space="preserve">(3), 586–594. </w:t>
      </w:r>
      <w:hyperlink r:id="rId22" w:history="1">
        <w:r w:rsidRPr="00402018">
          <w:rPr>
            <w:rStyle w:val="Hyperlink"/>
            <w:shd w:val="clear" w:color="auto" w:fill="FFFFFF"/>
          </w:rPr>
          <w:t>https://doi.org/10.1093/ajcn/nqaa154</w:t>
        </w:r>
      </w:hyperlink>
      <w:r w:rsidRPr="00402018">
        <w:rPr>
          <w:color w:val="212121"/>
          <w:shd w:val="clear" w:color="auto" w:fill="FFFFFF"/>
        </w:rPr>
        <w:t xml:space="preserve"> </w:t>
      </w:r>
    </w:p>
    <w:p w14:paraId="2A58C671" w14:textId="77777777" w:rsidR="00402018" w:rsidRPr="00402018" w:rsidRDefault="00402018" w:rsidP="009D28E4">
      <w:pPr>
        <w:pStyle w:val="NormalWeb"/>
      </w:pPr>
      <w:r w:rsidRPr="00402018">
        <w:rPr>
          <w:color w:val="1B1B1B"/>
          <w:shd w:val="clear" w:color="auto" w:fill="FFFFFF"/>
        </w:rPr>
        <w:t xml:space="preserve">Wirth, J., Song, M., Fung, T. T., Joshi, A. D., </w:t>
      </w:r>
      <w:proofErr w:type="spellStart"/>
      <w:r w:rsidRPr="00402018">
        <w:rPr>
          <w:color w:val="1B1B1B"/>
          <w:shd w:val="clear" w:color="auto" w:fill="FFFFFF"/>
        </w:rPr>
        <w:t>Tabung</w:t>
      </w:r>
      <w:proofErr w:type="spellEnd"/>
      <w:r w:rsidRPr="00402018">
        <w:rPr>
          <w:color w:val="1B1B1B"/>
          <w:shd w:val="clear" w:color="auto" w:fill="FFFFFF"/>
        </w:rPr>
        <w:t>, F. K., Chan, A. T., Weikert, C., Leitzmann, M., Willett, W. C., Giovannucci, E., &amp; Wu, K. (2018). Diet-quality scores and the risk of symptomatic gallstone disease: a prospective cohort study of male US health professionals. </w:t>
      </w:r>
      <w:r w:rsidRPr="00402018">
        <w:rPr>
          <w:i/>
          <w:iCs/>
          <w:color w:val="1B1B1B"/>
          <w:shd w:val="clear" w:color="auto" w:fill="FFFFFF"/>
        </w:rPr>
        <w:t>International journal of epidemiology</w:t>
      </w:r>
      <w:r w:rsidRPr="00402018">
        <w:rPr>
          <w:color w:val="1B1B1B"/>
          <w:shd w:val="clear" w:color="auto" w:fill="FFFFFF"/>
        </w:rPr>
        <w:t>, </w:t>
      </w:r>
      <w:r w:rsidRPr="00402018">
        <w:rPr>
          <w:i/>
          <w:iCs/>
          <w:color w:val="1B1B1B"/>
          <w:shd w:val="clear" w:color="auto" w:fill="FFFFFF"/>
        </w:rPr>
        <w:t>47</w:t>
      </w:r>
      <w:r w:rsidRPr="00402018">
        <w:rPr>
          <w:color w:val="1B1B1B"/>
          <w:shd w:val="clear" w:color="auto" w:fill="FFFFFF"/>
        </w:rPr>
        <w:t xml:space="preserve">(6), 1938–1946. </w:t>
      </w:r>
      <w:hyperlink r:id="rId23" w:history="1">
        <w:r w:rsidRPr="00402018">
          <w:rPr>
            <w:rStyle w:val="Hyperlink"/>
            <w:shd w:val="clear" w:color="auto" w:fill="FFFFFF"/>
          </w:rPr>
          <w:t>https://doi.org/10.1093/ije/dyy210</w:t>
        </w:r>
      </w:hyperlink>
      <w:r w:rsidRPr="00402018">
        <w:rPr>
          <w:color w:val="1B1B1B"/>
          <w:shd w:val="clear" w:color="auto" w:fill="FFFFFF"/>
        </w:rPr>
        <w:t xml:space="preserve"> </w:t>
      </w:r>
    </w:p>
    <w:p w14:paraId="2AC1A416" w14:textId="77777777" w:rsidR="00402018" w:rsidRPr="00402018" w:rsidRDefault="00402018" w:rsidP="009D28E4">
      <w:pPr>
        <w:pStyle w:val="NormalWeb"/>
      </w:pPr>
      <w:r w:rsidRPr="00402018">
        <w:rPr>
          <w:color w:val="212121"/>
          <w:shd w:val="clear" w:color="auto" w:fill="FFFFFF"/>
        </w:rPr>
        <w:t>Zheng, H., Wu, B., Zhuang, C., Mao, J., Li, M., Luo, Y., Huang, L., Lin, S., Zhao, F., &amp; Hu, Y. (2025). Cardiometabolic index as a predictor of gallstone risk: evidence from NHANES 2017-2020. </w:t>
      </w:r>
      <w:r w:rsidRPr="00402018">
        <w:rPr>
          <w:i/>
          <w:iCs/>
          <w:color w:val="212121"/>
          <w:shd w:val="clear" w:color="auto" w:fill="FFFFFF"/>
        </w:rPr>
        <w:t>BMC gastroenterology</w:t>
      </w:r>
      <w:r w:rsidRPr="00402018">
        <w:rPr>
          <w:color w:val="212121"/>
          <w:shd w:val="clear" w:color="auto" w:fill="FFFFFF"/>
        </w:rPr>
        <w:t>, </w:t>
      </w:r>
      <w:r w:rsidRPr="00402018">
        <w:rPr>
          <w:i/>
          <w:iCs/>
          <w:color w:val="212121"/>
          <w:shd w:val="clear" w:color="auto" w:fill="FFFFFF"/>
        </w:rPr>
        <w:t>25</w:t>
      </w:r>
      <w:r w:rsidRPr="00402018">
        <w:rPr>
          <w:color w:val="212121"/>
          <w:shd w:val="clear" w:color="auto" w:fill="FFFFFF"/>
        </w:rPr>
        <w:t xml:space="preserve">(1), 218. </w:t>
      </w:r>
      <w:hyperlink r:id="rId24" w:history="1">
        <w:r w:rsidRPr="00402018">
          <w:rPr>
            <w:rStyle w:val="Hyperlink"/>
            <w:shd w:val="clear" w:color="auto" w:fill="FFFFFF"/>
          </w:rPr>
          <w:t>https://doi.org/10.1186/s12876-025-03777-3</w:t>
        </w:r>
      </w:hyperlink>
      <w:r w:rsidRPr="00402018">
        <w:rPr>
          <w:color w:val="212121"/>
          <w:shd w:val="clear" w:color="auto" w:fill="FFFFFF"/>
        </w:rPr>
        <w:t xml:space="preserve"> </w:t>
      </w:r>
    </w:p>
    <w:p w14:paraId="61C09AF6" w14:textId="77777777" w:rsidR="00402018" w:rsidRPr="00402018" w:rsidRDefault="00402018" w:rsidP="009D28E4">
      <w:pPr>
        <w:pStyle w:val="NormalWeb"/>
        <w:rPr>
          <w:color w:val="212121"/>
          <w:shd w:val="clear" w:color="auto" w:fill="FFFFFF"/>
        </w:rPr>
      </w:pPr>
      <w:r w:rsidRPr="00402018">
        <w:rPr>
          <w:color w:val="212121"/>
          <w:shd w:val="clear" w:color="auto" w:fill="FFFFFF"/>
        </w:rPr>
        <w:t xml:space="preserve">Zheng, Y., Xu, M., </w:t>
      </w:r>
      <w:proofErr w:type="spellStart"/>
      <w:r w:rsidRPr="00402018">
        <w:rPr>
          <w:color w:val="212121"/>
          <w:shd w:val="clear" w:color="auto" w:fill="FFFFFF"/>
        </w:rPr>
        <w:t>Heianza</w:t>
      </w:r>
      <w:proofErr w:type="spellEnd"/>
      <w:r w:rsidRPr="00402018">
        <w:rPr>
          <w:color w:val="212121"/>
          <w:shd w:val="clear" w:color="auto" w:fill="FFFFFF"/>
        </w:rPr>
        <w:t>, Y., Ma, W., Wang, T., Sun, D., Albert, C. M., Hu, F. B., Rexrode, K. M., Manson, J. E., &amp; Qi, L. (2018). Gallstone disease and increased risk of mortality: Two large prospective studies in US men and women. </w:t>
      </w:r>
      <w:r w:rsidRPr="00402018">
        <w:rPr>
          <w:i/>
          <w:iCs/>
          <w:color w:val="212121"/>
          <w:shd w:val="clear" w:color="auto" w:fill="FFFFFF"/>
        </w:rPr>
        <w:t>Journal of gastroenterology and hepatology</w:t>
      </w:r>
      <w:r w:rsidRPr="00402018">
        <w:rPr>
          <w:color w:val="212121"/>
          <w:shd w:val="clear" w:color="auto" w:fill="FFFFFF"/>
        </w:rPr>
        <w:t>, </w:t>
      </w:r>
      <w:r w:rsidRPr="00402018">
        <w:rPr>
          <w:i/>
          <w:iCs/>
          <w:color w:val="212121"/>
          <w:shd w:val="clear" w:color="auto" w:fill="FFFFFF"/>
        </w:rPr>
        <w:t>33</w:t>
      </w:r>
      <w:r w:rsidRPr="00402018">
        <w:rPr>
          <w:color w:val="212121"/>
          <w:shd w:val="clear" w:color="auto" w:fill="FFFFFF"/>
        </w:rPr>
        <w:t xml:space="preserve">(11), 1925–1931. </w:t>
      </w:r>
      <w:hyperlink r:id="rId25" w:history="1">
        <w:r w:rsidRPr="00402018">
          <w:rPr>
            <w:rStyle w:val="Hyperlink"/>
            <w:shd w:val="clear" w:color="auto" w:fill="FFFFFF"/>
          </w:rPr>
          <w:t>https://doi.org/10.1111/jgh.14264</w:t>
        </w:r>
      </w:hyperlink>
      <w:r w:rsidRPr="00402018">
        <w:rPr>
          <w:color w:val="212121"/>
          <w:shd w:val="clear" w:color="auto" w:fill="FFFFFF"/>
        </w:rPr>
        <w:t xml:space="preserve"> </w:t>
      </w:r>
    </w:p>
    <w:p w14:paraId="3505A756" w14:textId="77777777" w:rsidR="00E03CDC" w:rsidRDefault="00E03CDC" w:rsidP="009D28E4">
      <w:pPr>
        <w:pStyle w:val="NormalWeb"/>
        <w:rPr>
          <w:color w:val="212121"/>
          <w:shd w:val="clear" w:color="auto" w:fill="FFFFFF"/>
        </w:rPr>
      </w:pPr>
    </w:p>
    <w:p w14:paraId="34F14B29" w14:textId="77777777" w:rsidR="005F1FE6" w:rsidRPr="00735DA8" w:rsidRDefault="005F1FE6" w:rsidP="00735DA8"/>
    <w:sectPr w:rsidR="005F1FE6" w:rsidRPr="00735DA8" w:rsidSect="00CB6EB6">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6165E" w14:textId="77777777" w:rsidR="00AB7C0D" w:rsidRDefault="00AB7C0D" w:rsidP="001C5B2C">
      <w:pPr>
        <w:spacing w:after="0" w:line="240" w:lineRule="auto"/>
      </w:pPr>
      <w:r>
        <w:separator/>
      </w:r>
    </w:p>
  </w:endnote>
  <w:endnote w:type="continuationSeparator" w:id="0">
    <w:p w14:paraId="75639B73" w14:textId="77777777" w:rsidR="00AB7C0D" w:rsidRDefault="00AB7C0D" w:rsidP="001C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76B55" w14:textId="77777777" w:rsidR="001C5B2C" w:rsidRDefault="001C5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DDB00" w14:textId="77777777" w:rsidR="001C5B2C" w:rsidRDefault="001C5B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7D71" w14:textId="77777777" w:rsidR="001C5B2C" w:rsidRDefault="001C5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D78AA" w14:textId="77777777" w:rsidR="00AB7C0D" w:rsidRDefault="00AB7C0D" w:rsidP="001C5B2C">
      <w:pPr>
        <w:spacing w:after="0" w:line="240" w:lineRule="auto"/>
      </w:pPr>
      <w:r>
        <w:separator/>
      </w:r>
    </w:p>
  </w:footnote>
  <w:footnote w:type="continuationSeparator" w:id="0">
    <w:p w14:paraId="5231FA0B" w14:textId="77777777" w:rsidR="00AB7C0D" w:rsidRDefault="00AB7C0D" w:rsidP="001C5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674D2" w14:textId="23CEC9C5" w:rsidR="001C5B2C" w:rsidRDefault="001C5B2C">
    <w:pPr>
      <w:pStyle w:val="Header"/>
    </w:pPr>
    <w:r>
      <w:rPr>
        <w:noProof/>
      </w:rPr>
      <w:pict w14:anchorId="56EB8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33829"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783BA" w14:textId="460A659A" w:rsidR="001C5B2C" w:rsidRDefault="001C5B2C">
    <w:pPr>
      <w:pStyle w:val="Header"/>
    </w:pPr>
    <w:r>
      <w:rPr>
        <w:noProof/>
      </w:rPr>
      <w:pict w14:anchorId="06535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33830"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AA77" w14:textId="6AD13E85" w:rsidR="001C5B2C" w:rsidRDefault="001C5B2C">
    <w:pPr>
      <w:pStyle w:val="Header"/>
    </w:pPr>
    <w:r>
      <w:rPr>
        <w:noProof/>
      </w:rPr>
      <w:pict w14:anchorId="2277D9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9633828"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E540E4"/>
    <w:multiLevelType w:val="hybridMultilevel"/>
    <w:tmpl w:val="7E68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2"/>
  </w:num>
  <w:num w:numId="4">
    <w:abstractNumId w:val="6"/>
  </w:num>
  <w:num w:numId="5">
    <w:abstractNumId w:val="21"/>
  </w:num>
  <w:num w:numId="6">
    <w:abstractNumId w:val="8"/>
  </w:num>
  <w:num w:numId="7">
    <w:abstractNumId w:val="2"/>
  </w:num>
  <w:num w:numId="8">
    <w:abstractNumId w:val="33"/>
  </w:num>
  <w:num w:numId="9">
    <w:abstractNumId w:val="9"/>
  </w:num>
  <w:num w:numId="10">
    <w:abstractNumId w:val="10"/>
  </w:num>
  <w:num w:numId="11">
    <w:abstractNumId w:val="17"/>
  </w:num>
  <w:num w:numId="12">
    <w:abstractNumId w:val="16"/>
  </w:num>
  <w:num w:numId="13">
    <w:abstractNumId w:val="18"/>
  </w:num>
  <w:num w:numId="14">
    <w:abstractNumId w:val="7"/>
  </w:num>
  <w:num w:numId="15">
    <w:abstractNumId w:val="1"/>
  </w:num>
  <w:num w:numId="16">
    <w:abstractNumId w:val="19"/>
  </w:num>
  <w:num w:numId="17">
    <w:abstractNumId w:val="30"/>
  </w:num>
  <w:num w:numId="18">
    <w:abstractNumId w:val="28"/>
  </w:num>
  <w:num w:numId="19">
    <w:abstractNumId w:val="27"/>
  </w:num>
  <w:num w:numId="20">
    <w:abstractNumId w:val="13"/>
  </w:num>
  <w:num w:numId="21">
    <w:abstractNumId w:val="23"/>
  </w:num>
  <w:num w:numId="22">
    <w:abstractNumId w:val="25"/>
  </w:num>
  <w:num w:numId="23">
    <w:abstractNumId w:val="0"/>
  </w:num>
  <w:num w:numId="24">
    <w:abstractNumId w:val="32"/>
  </w:num>
  <w:num w:numId="25">
    <w:abstractNumId w:val="4"/>
  </w:num>
  <w:num w:numId="26">
    <w:abstractNumId w:val="20"/>
  </w:num>
  <w:num w:numId="27">
    <w:abstractNumId w:val="26"/>
  </w:num>
  <w:num w:numId="28">
    <w:abstractNumId w:val="24"/>
  </w:num>
  <w:num w:numId="29">
    <w:abstractNumId w:val="15"/>
  </w:num>
  <w:num w:numId="30">
    <w:abstractNumId w:val="31"/>
  </w:num>
  <w:num w:numId="31">
    <w:abstractNumId w:val="12"/>
  </w:num>
  <w:num w:numId="32">
    <w:abstractNumId w:val="29"/>
  </w:num>
  <w:num w:numId="33">
    <w:abstractNumId w:val="3"/>
  </w:num>
  <w:num w:numId="34">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425DD"/>
    <w:rsid w:val="00053D7A"/>
    <w:rsid w:val="0005616C"/>
    <w:rsid w:val="0006037D"/>
    <w:rsid w:val="0006413B"/>
    <w:rsid w:val="000643E7"/>
    <w:rsid w:val="0006527C"/>
    <w:rsid w:val="000652AA"/>
    <w:rsid w:val="00086EDD"/>
    <w:rsid w:val="000A0EB4"/>
    <w:rsid w:val="000A79B2"/>
    <w:rsid w:val="000C4F0E"/>
    <w:rsid w:val="000D461E"/>
    <w:rsid w:val="000D6AAA"/>
    <w:rsid w:val="000E67D1"/>
    <w:rsid w:val="000E709D"/>
    <w:rsid w:val="000E730B"/>
    <w:rsid w:val="000F27AA"/>
    <w:rsid w:val="00114147"/>
    <w:rsid w:val="001261CC"/>
    <w:rsid w:val="00126ADF"/>
    <w:rsid w:val="00131E50"/>
    <w:rsid w:val="00135191"/>
    <w:rsid w:val="00142919"/>
    <w:rsid w:val="001514E1"/>
    <w:rsid w:val="001560E3"/>
    <w:rsid w:val="00166050"/>
    <w:rsid w:val="00167BC6"/>
    <w:rsid w:val="00186E2A"/>
    <w:rsid w:val="0019059D"/>
    <w:rsid w:val="0019667B"/>
    <w:rsid w:val="001A165A"/>
    <w:rsid w:val="001A3703"/>
    <w:rsid w:val="001A7A4E"/>
    <w:rsid w:val="001B2FA4"/>
    <w:rsid w:val="001B5753"/>
    <w:rsid w:val="001C5B2C"/>
    <w:rsid w:val="001E6EC5"/>
    <w:rsid w:val="00202F35"/>
    <w:rsid w:val="0022042D"/>
    <w:rsid w:val="002312EA"/>
    <w:rsid w:val="0024324D"/>
    <w:rsid w:val="00257AC1"/>
    <w:rsid w:val="00260455"/>
    <w:rsid w:val="00260B1D"/>
    <w:rsid w:val="00267B17"/>
    <w:rsid w:val="00271A26"/>
    <w:rsid w:val="002778DD"/>
    <w:rsid w:val="00284F1F"/>
    <w:rsid w:val="002A01F2"/>
    <w:rsid w:val="002A4C47"/>
    <w:rsid w:val="002B76E6"/>
    <w:rsid w:val="002C0DF9"/>
    <w:rsid w:val="002C48BB"/>
    <w:rsid w:val="002D6FFA"/>
    <w:rsid w:val="002E0776"/>
    <w:rsid w:val="002F0434"/>
    <w:rsid w:val="002F4C0C"/>
    <w:rsid w:val="00307595"/>
    <w:rsid w:val="0031286E"/>
    <w:rsid w:val="00332243"/>
    <w:rsid w:val="0035701C"/>
    <w:rsid w:val="003664CE"/>
    <w:rsid w:val="003740DE"/>
    <w:rsid w:val="00391BB6"/>
    <w:rsid w:val="003975AE"/>
    <w:rsid w:val="003A104D"/>
    <w:rsid w:val="003A4787"/>
    <w:rsid w:val="003B035B"/>
    <w:rsid w:val="003B09B4"/>
    <w:rsid w:val="003B3553"/>
    <w:rsid w:val="003B400E"/>
    <w:rsid w:val="003B6CCD"/>
    <w:rsid w:val="003C31E9"/>
    <w:rsid w:val="003C4000"/>
    <w:rsid w:val="003E35A3"/>
    <w:rsid w:val="003E61B2"/>
    <w:rsid w:val="003F02C5"/>
    <w:rsid w:val="003F6E91"/>
    <w:rsid w:val="00400005"/>
    <w:rsid w:val="00402018"/>
    <w:rsid w:val="00405181"/>
    <w:rsid w:val="004132B1"/>
    <w:rsid w:val="004148C1"/>
    <w:rsid w:val="004148F5"/>
    <w:rsid w:val="00416C8C"/>
    <w:rsid w:val="00456E20"/>
    <w:rsid w:val="004615AF"/>
    <w:rsid w:val="004711B7"/>
    <w:rsid w:val="004A16BD"/>
    <w:rsid w:val="004A508F"/>
    <w:rsid w:val="004A5427"/>
    <w:rsid w:val="004A5860"/>
    <w:rsid w:val="004A586B"/>
    <w:rsid w:val="004B02DF"/>
    <w:rsid w:val="004C1A63"/>
    <w:rsid w:val="004C6306"/>
    <w:rsid w:val="004C7547"/>
    <w:rsid w:val="004E1999"/>
    <w:rsid w:val="004E7311"/>
    <w:rsid w:val="004F2BB5"/>
    <w:rsid w:val="004F5E1D"/>
    <w:rsid w:val="005102CE"/>
    <w:rsid w:val="00516AA1"/>
    <w:rsid w:val="00523936"/>
    <w:rsid w:val="0052448D"/>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B66BC"/>
    <w:rsid w:val="006D2558"/>
    <w:rsid w:val="006D455D"/>
    <w:rsid w:val="006E13D4"/>
    <w:rsid w:val="006E4B0A"/>
    <w:rsid w:val="006F708E"/>
    <w:rsid w:val="00711B14"/>
    <w:rsid w:val="00713825"/>
    <w:rsid w:val="00720F41"/>
    <w:rsid w:val="00721966"/>
    <w:rsid w:val="00735DA8"/>
    <w:rsid w:val="00737A32"/>
    <w:rsid w:val="00755BDC"/>
    <w:rsid w:val="00761CB6"/>
    <w:rsid w:val="00773599"/>
    <w:rsid w:val="00774395"/>
    <w:rsid w:val="0078275D"/>
    <w:rsid w:val="00783E9E"/>
    <w:rsid w:val="00786C67"/>
    <w:rsid w:val="007B0E74"/>
    <w:rsid w:val="007B437D"/>
    <w:rsid w:val="007C5F8A"/>
    <w:rsid w:val="007C7951"/>
    <w:rsid w:val="007D03BC"/>
    <w:rsid w:val="007D38FC"/>
    <w:rsid w:val="007E249F"/>
    <w:rsid w:val="007F1928"/>
    <w:rsid w:val="008017C0"/>
    <w:rsid w:val="00804929"/>
    <w:rsid w:val="008107F6"/>
    <w:rsid w:val="00812006"/>
    <w:rsid w:val="00820C75"/>
    <w:rsid w:val="00831623"/>
    <w:rsid w:val="0083179B"/>
    <w:rsid w:val="008374C4"/>
    <w:rsid w:val="00855A4C"/>
    <w:rsid w:val="00856AFD"/>
    <w:rsid w:val="0087023A"/>
    <w:rsid w:val="00870945"/>
    <w:rsid w:val="00876190"/>
    <w:rsid w:val="008811F8"/>
    <w:rsid w:val="00881487"/>
    <w:rsid w:val="00883166"/>
    <w:rsid w:val="008A2470"/>
    <w:rsid w:val="008A4BFC"/>
    <w:rsid w:val="008A7416"/>
    <w:rsid w:val="008E71C6"/>
    <w:rsid w:val="008F3850"/>
    <w:rsid w:val="00916DED"/>
    <w:rsid w:val="00921557"/>
    <w:rsid w:val="00925CAF"/>
    <w:rsid w:val="00935182"/>
    <w:rsid w:val="00951A3D"/>
    <w:rsid w:val="009536DC"/>
    <w:rsid w:val="009851F5"/>
    <w:rsid w:val="009929A7"/>
    <w:rsid w:val="00992B92"/>
    <w:rsid w:val="00994A4A"/>
    <w:rsid w:val="009B3A8A"/>
    <w:rsid w:val="009B55DE"/>
    <w:rsid w:val="009D05A9"/>
    <w:rsid w:val="009D0B9D"/>
    <w:rsid w:val="009D13F6"/>
    <w:rsid w:val="009D28E4"/>
    <w:rsid w:val="009D5BA5"/>
    <w:rsid w:val="009E5244"/>
    <w:rsid w:val="009F0120"/>
    <w:rsid w:val="00A00B22"/>
    <w:rsid w:val="00A029C3"/>
    <w:rsid w:val="00A2270F"/>
    <w:rsid w:val="00A24B38"/>
    <w:rsid w:val="00A27BF4"/>
    <w:rsid w:val="00A478B2"/>
    <w:rsid w:val="00A47C0A"/>
    <w:rsid w:val="00A50845"/>
    <w:rsid w:val="00A5299F"/>
    <w:rsid w:val="00A54719"/>
    <w:rsid w:val="00A57A87"/>
    <w:rsid w:val="00A62C46"/>
    <w:rsid w:val="00A64590"/>
    <w:rsid w:val="00A7055A"/>
    <w:rsid w:val="00A8506E"/>
    <w:rsid w:val="00A97AEF"/>
    <w:rsid w:val="00AA2B64"/>
    <w:rsid w:val="00AA4644"/>
    <w:rsid w:val="00AA4B35"/>
    <w:rsid w:val="00AB0C7A"/>
    <w:rsid w:val="00AB1103"/>
    <w:rsid w:val="00AB7C0D"/>
    <w:rsid w:val="00AD7B8B"/>
    <w:rsid w:val="00AE651D"/>
    <w:rsid w:val="00AE79C2"/>
    <w:rsid w:val="00AF7425"/>
    <w:rsid w:val="00B06888"/>
    <w:rsid w:val="00B1065D"/>
    <w:rsid w:val="00B451DB"/>
    <w:rsid w:val="00B6043D"/>
    <w:rsid w:val="00B84C19"/>
    <w:rsid w:val="00BA30AA"/>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03CDC"/>
    <w:rsid w:val="00E125DA"/>
    <w:rsid w:val="00E20962"/>
    <w:rsid w:val="00E22310"/>
    <w:rsid w:val="00E40B47"/>
    <w:rsid w:val="00E52157"/>
    <w:rsid w:val="00E643E8"/>
    <w:rsid w:val="00E6564A"/>
    <w:rsid w:val="00E7044C"/>
    <w:rsid w:val="00E76785"/>
    <w:rsid w:val="00E93BAE"/>
    <w:rsid w:val="00E97F4E"/>
    <w:rsid w:val="00EA45FD"/>
    <w:rsid w:val="00EC266D"/>
    <w:rsid w:val="00EC4D6C"/>
    <w:rsid w:val="00EE2E7D"/>
    <w:rsid w:val="00EF4D40"/>
    <w:rsid w:val="00EF4D87"/>
    <w:rsid w:val="00F13040"/>
    <w:rsid w:val="00F133C3"/>
    <w:rsid w:val="00F278AB"/>
    <w:rsid w:val="00F36C5B"/>
    <w:rsid w:val="00F43CC2"/>
    <w:rsid w:val="00F45317"/>
    <w:rsid w:val="00F4728A"/>
    <w:rsid w:val="00F6047F"/>
    <w:rsid w:val="00F754E8"/>
    <w:rsid w:val="00FA03AB"/>
    <w:rsid w:val="00FA5C8B"/>
    <w:rsid w:val="00FA7321"/>
    <w:rsid w:val="00FB1450"/>
    <w:rsid w:val="00FB6475"/>
    <w:rsid w:val="00FC1A30"/>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5FE90"/>
  <w15:docId w15:val="{51E7571E-BE40-4BB3-AEC0-FAD7B7B0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Header">
    <w:name w:val="header"/>
    <w:basedOn w:val="Normal"/>
    <w:link w:val="HeaderChar"/>
    <w:uiPriority w:val="99"/>
    <w:unhideWhenUsed/>
    <w:rsid w:val="001C5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2C"/>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1C5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2C"/>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4377420">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1676827">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2751614">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620-016-4125-2" TargetMode="External"/><Relationship Id="rId18" Type="http://schemas.openxmlformats.org/officeDocument/2006/relationships/hyperlink" Target="https://doi.org/10.1136/bmjgast-2024-001457"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1016/j.cgh.2024.01.051" TargetMode="External"/><Relationship Id="rId7" Type="http://schemas.openxmlformats.org/officeDocument/2006/relationships/endnotes" Target="endnotes.xml"/><Relationship Id="rId12" Type="http://schemas.openxmlformats.org/officeDocument/2006/relationships/hyperlink" Target="https://doi.org/10.9734/jpri/2022/v34i35A36165?utm_source=chatgpt.com" TargetMode="External"/><Relationship Id="rId17" Type="http://schemas.openxmlformats.org/officeDocument/2006/relationships/hyperlink" Target="https://doi.org/10.1111/joim.12970" TargetMode="External"/><Relationship Id="rId25" Type="http://schemas.openxmlformats.org/officeDocument/2006/relationships/hyperlink" Target="https://doi.org/10.1111/jgh.1426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9734/jpri/2021/v33i1431276" TargetMode="External"/><Relationship Id="rId20" Type="http://schemas.openxmlformats.org/officeDocument/2006/relationships/hyperlink" Target="https://doi.org/10.2147/DMSO.S24694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71/journal.pone.0274659" TargetMode="External"/><Relationship Id="rId24" Type="http://schemas.openxmlformats.org/officeDocument/2006/relationships/hyperlink" Target="https://doi.org/10.1186/s12876-025-03777-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136/bmj-2023-077310" TargetMode="External"/><Relationship Id="rId23" Type="http://schemas.openxmlformats.org/officeDocument/2006/relationships/hyperlink" Target="https://doi.org/10.1093/ije/dyy210" TargetMode="External"/><Relationship Id="rId28" Type="http://schemas.openxmlformats.org/officeDocument/2006/relationships/footer" Target="footer1.xml"/><Relationship Id="rId10" Type="http://schemas.openxmlformats.org/officeDocument/2006/relationships/hyperlink" Target="https://doi.org/10.5009/gnl18278" TargetMode="External"/><Relationship Id="rId19" Type="http://schemas.openxmlformats.org/officeDocument/2006/relationships/hyperlink" Target="https://doi.org/10.1016/j.eururo.2013.02.003"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07/s10654-016-0124-z" TargetMode="External"/><Relationship Id="rId14" Type="http://schemas.openxmlformats.org/officeDocument/2006/relationships/hyperlink" Target="https://doi.org/10.20452/pamw.16937" TargetMode="External"/><Relationship Id="rId22" Type="http://schemas.openxmlformats.org/officeDocument/2006/relationships/hyperlink" Target="https://doi.org/10.1093/ajcn/nqaa15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jdiacomp.2015.11.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DD879-307C-400F-85E5-C3B7965E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6571</TotalTime>
  <Pages>13</Pages>
  <Words>6041</Words>
  <Characters>34434</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97</cp:revision>
  <cp:lastPrinted>2025-12-13T07:14:00Z</cp:lastPrinted>
  <dcterms:created xsi:type="dcterms:W3CDTF">2025-09-24T12:44:00Z</dcterms:created>
  <dcterms:modified xsi:type="dcterms:W3CDTF">2026-01-13T10:46:00Z</dcterms:modified>
</cp:coreProperties>
</file>