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77777777" w:rsidR="00754C9A" w:rsidRDefault="00754C9A" w:rsidP="00441B6F">
      <w:pPr>
        <w:pStyle w:val="Title"/>
        <w:spacing w:after="0"/>
        <w:jc w:val="both"/>
        <w:rPr>
          <w:rFonts w:ascii="Arial" w:hAnsi="Arial" w:cs="Arial"/>
        </w:rPr>
      </w:pPr>
    </w:p>
    <w:p w14:paraId="36DE0F57" w14:textId="46230BF8" w:rsidR="00163BC4" w:rsidRPr="00B91607" w:rsidRDefault="003369A8" w:rsidP="008114D6">
      <w:pPr>
        <w:pStyle w:val="Author"/>
        <w:spacing w:line="240" w:lineRule="auto"/>
        <w:rPr>
          <w:rFonts w:ascii="Arial" w:hAnsi="Arial" w:cs="Arial"/>
          <w:bCs/>
          <w:iCs/>
          <w:kern w:val="28"/>
          <w:sz w:val="36"/>
        </w:rPr>
      </w:pPr>
      <w:bookmarkStart w:id="0" w:name="_Hlk216354332"/>
      <w:r w:rsidRPr="003369A8">
        <w:rPr>
          <w:rFonts w:ascii="Arial" w:hAnsi="Arial" w:cs="Arial"/>
          <w:bCs/>
          <w:iCs/>
          <w:kern w:val="28"/>
          <w:sz w:val="36"/>
        </w:rPr>
        <w:t>Understanding the Financial Challenges and Coping Mechanisms of Automotive Technology Working Students in Northern Luzon</w:t>
      </w:r>
    </w:p>
    <w:bookmarkEnd w:id="0"/>
    <w:p w14:paraId="7FFF3D0A" w14:textId="77777777" w:rsidR="00A258C3" w:rsidRPr="00790ADA" w:rsidRDefault="00A258C3" w:rsidP="00441B6F">
      <w:pPr>
        <w:pStyle w:val="Author"/>
        <w:spacing w:line="240" w:lineRule="auto"/>
        <w:jc w:val="both"/>
        <w:rPr>
          <w:rFonts w:ascii="Arial" w:hAnsi="Arial" w:cs="Arial"/>
          <w:sz w:val="36"/>
        </w:rPr>
      </w:pPr>
    </w:p>
    <w:p w14:paraId="09D4901B" w14:textId="45D160FF" w:rsidR="002C57D2" w:rsidRDefault="002C57D2" w:rsidP="00441B6F">
      <w:pPr>
        <w:pStyle w:val="Affiliation"/>
        <w:spacing w:after="0" w:line="240" w:lineRule="auto"/>
        <w:jc w:val="both"/>
        <w:rPr>
          <w:rFonts w:ascii="Arial" w:hAnsi="Arial" w:cs="Arial"/>
        </w:rPr>
      </w:pPr>
    </w:p>
    <w:p w14:paraId="0C82DEA5" w14:textId="13A428C6" w:rsidR="00887D9D" w:rsidRDefault="00887D9D" w:rsidP="00441B6F">
      <w:pPr>
        <w:pStyle w:val="Affiliation"/>
        <w:spacing w:after="0" w:line="240" w:lineRule="auto"/>
        <w:jc w:val="both"/>
        <w:rPr>
          <w:rFonts w:ascii="Arial" w:hAnsi="Arial" w:cs="Arial"/>
        </w:rPr>
      </w:pPr>
    </w:p>
    <w:p w14:paraId="1BBCFCB0" w14:textId="77777777" w:rsidR="00887D9D" w:rsidRPr="00FB3A86" w:rsidRDefault="00887D9D" w:rsidP="00441B6F">
      <w:pPr>
        <w:pStyle w:val="Affiliation"/>
        <w:spacing w:after="0" w:line="240" w:lineRule="auto"/>
        <w:jc w:val="both"/>
        <w:rPr>
          <w:rFonts w:ascii="Arial" w:hAnsi="Arial" w:cs="Arial"/>
        </w:rPr>
      </w:pPr>
    </w:p>
    <w:p w14:paraId="3AA907CB" w14:textId="77777777" w:rsidR="00B01FCD" w:rsidRPr="00FB3A86" w:rsidRDefault="005B0A3D" w:rsidP="00441B6F">
      <w:pPr>
        <w:pStyle w:val="Copyright"/>
        <w:spacing w:after="0" w:line="240" w:lineRule="auto"/>
        <w:jc w:val="both"/>
        <w:rPr>
          <w:rFonts w:ascii="Arial" w:hAnsi="Arial" w:cs="Arial"/>
        </w:rPr>
        <w:sectPr w:rsidR="00B01FCD" w:rsidRPr="00FB3A86" w:rsidSect="00CE1C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31E78B84"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B91607">
        <w:trPr>
          <w:trHeight w:val="2618"/>
        </w:trPr>
        <w:tc>
          <w:tcPr>
            <w:tcW w:w="8424" w:type="dxa"/>
            <w:shd w:val="clear" w:color="auto" w:fill="F2F2F2"/>
          </w:tcPr>
          <w:p w14:paraId="0D08730E" w14:textId="4F46D4F0" w:rsidR="00505F06" w:rsidRPr="00B91607" w:rsidRDefault="003369A8" w:rsidP="00441B6F">
            <w:pPr>
              <w:pStyle w:val="Body"/>
              <w:spacing w:after="0"/>
              <w:rPr>
                <w:rFonts w:ascii="Arial" w:eastAsia="Calibri" w:hAnsi="Arial" w:cs="Arial"/>
                <w:b/>
                <w:bCs/>
                <w:szCs w:val="22"/>
              </w:rPr>
            </w:pPr>
            <w:r w:rsidRPr="003369A8">
              <w:rPr>
                <w:rFonts w:ascii="Arial" w:eastAsia="Calibri" w:hAnsi="Arial" w:cs="Arial"/>
                <w:szCs w:val="22"/>
              </w:rPr>
              <w:t>This study explored the financial challenges and coping mechanisms of Automotive Technology working students in Northern Luzon. Using a qualitative case study design, semi-structured interviews were conducted with selected participants to capture their lived experiences. Findings revealed five overarching themes: financial struggles and coping strategies, academic challenges and commitment, well-being and emotional balance, motivation and self-efficacy, and support systems and future directions. Students described insufficient income, family dependence, and the sacrifices required to sustain their studies. Despite these challenges, they employed strategies such as strict budgeting, part-time work, and meaning-making. Family support and intrinsic motivation played vital roles, though institutional aid was limited. The study concludes that while students exhibit resilience, greater institutional and policy-level support are necessary to promote equity and persistence in technical-vocational education.</w:t>
            </w:r>
          </w:p>
        </w:tc>
      </w:tr>
    </w:tbl>
    <w:p w14:paraId="6559E3BE" w14:textId="77777777" w:rsidR="00636EB2" w:rsidRDefault="00636EB2" w:rsidP="00441B6F">
      <w:pPr>
        <w:pStyle w:val="Body"/>
        <w:spacing w:after="0"/>
        <w:rPr>
          <w:rFonts w:ascii="Arial" w:hAnsi="Arial" w:cs="Arial"/>
          <w:i/>
        </w:rPr>
      </w:pPr>
    </w:p>
    <w:p w14:paraId="4482EC2E" w14:textId="24231D93" w:rsidR="00A24E7E" w:rsidRDefault="00A24E7E" w:rsidP="00441B6F">
      <w:pPr>
        <w:pStyle w:val="Body"/>
        <w:spacing w:after="0"/>
        <w:rPr>
          <w:rFonts w:ascii="Arial" w:hAnsi="Arial" w:cs="Arial"/>
          <w:i/>
        </w:rPr>
      </w:pPr>
      <w:r>
        <w:rPr>
          <w:rFonts w:ascii="Arial" w:hAnsi="Arial" w:cs="Arial"/>
          <w:i/>
        </w:rPr>
        <w:t>Keywords:</w:t>
      </w:r>
      <w:r w:rsidR="003369A8">
        <w:rPr>
          <w:rFonts w:ascii="Arial" w:hAnsi="Arial" w:cs="Arial"/>
          <w:i/>
        </w:rPr>
        <w:t xml:space="preserve"> </w:t>
      </w:r>
      <w:r w:rsidR="003369A8" w:rsidRPr="003369A8">
        <w:rPr>
          <w:rFonts w:ascii="Arial" w:hAnsi="Arial" w:cs="Arial"/>
          <w:i/>
        </w:rPr>
        <w:t>automotive technology, coping mechanisms</w:t>
      </w:r>
      <w:r w:rsidR="003369A8">
        <w:rPr>
          <w:rFonts w:ascii="Arial" w:hAnsi="Arial" w:cs="Arial"/>
          <w:i/>
        </w:rPr>
        <w:t>,</w:t>
      </w:r>
      <w:r w:rsidR="003369A8" w:rsidRPr="003369A8">
        <w:rPr>
          <w:rFonts w:ascii="Arial" w:hAnsi="Arial" w:cs="Arial"/>
          <w:i/>
        </w:rPr>
        <w:t xml:space="preserve"> financial challenges,</w:t>
      </w:r>
      <w:r w:rsidR="003369A8">
        <w:rPr>
          <w:rFonts w:ascii="Arial" w:hAnsi="Arial" w:cs="Arial"/>
          <w:i/>
        </w:rPr>
        <w:t xml:space="preserve"> </w:t>
      </w:r>
      <w:r w:rsidR="003369A8" w:rsidRPr="003369A8">
        <w:rPr>
          <w:rFonts w:ascii="Arial" w:hAnsi="Arial" w:cs="Arial"/>
          <w:i/>
        </w:rPr>
        <w:t>Northern Luzon</w:t>
      </w:r>
      <w:r w:rsidR="003369A8">
        <w:rPr>
          <w:rFonts w:ascii="Arial" w:hAnsi="Arial" w:cs="Arial"/>
          <w:i/>
        </w:rPr>
        <w:t xml:space="preserve">, </w:t>
      </w:r>
      <w:r w:rsidR="003369A8" w:rsidRPr="003369A8">
        <w:rPr>
          <w:rFonts w:ascii="Arial" w:hAnsi="Arial" w:cs="Arial"/>
          <w:i/>
        </w:rPr>
        <w:t>working students</w:t>
      </w:r>
    </w:p>
    <w:p w14:paraId="52DF2596" w14:textId="77777777" w:rsidR="00505F06" w:rsidRDefault="00505F06" w:rsidP="00441B6F">
      <w:pPr>
        <w:pStyle w:val="Body"/>
        <w:spacing w:after="0"/>
        <w:rPr>
          <w:rFonts w:ascii="Arial" w:hAnsi="Arial" w:cs="Arial"/>
          <w:i/>
        </w:rPr>
      </w:pPr>
    </w:p>
    <w:p w14:paraId="3ADE3B7D" w14:textId="77777777" w:rsidR="00B91607" w:rsidRPr="00A24E7E" w:rsidRDefault="00B91607" w:rsidP="00441B6F">
      <w:pPr>
        <w:pStyle w:val="Body"/>
        <w:spacing w:after="0"/>
        <w:rPr>
          <w:rFonts w:ascii="Arial" w:hAnsi="Arial" w:cs="Arial"/>
          <w:i/>
        </w:rPr>
      </w:pPr>
    </w:p>
    <w:p w14:paraId="55B1D956" w14:textId="5B9BAA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4AAC59A2" w14:textId="52833E7E" w:rsidR="00DC78F7" w:rsidRPr="00DC78F7" w:rsidRDefault="00DC78F7" w:rsidP="00DC78F7">
      <w:pPr>
        <w:pStyle w:val="Body"/>
        <w:rPr>
          <w:rFonts w:ascii="Arial" w:hAnsi="Arial" w:cs="Arial"/>
          <w:lang w:val="en-PH"/>
        </w:rPr>
      </w:pPr>
      <w:r w:rsidRPr="00DC78F7">
        <w:rPr>
          <w:rFonts w:ascii="Arial" w:hAnsi="Arial" w:cs="Arial"/>
        </w:rPr>
        <w:t>The rising cost of education in the Philippines has led to an increasing number of students balancing their academic pursuits with part-time or full-time employment. This is especially evident in technical-vocational programs such as Automotive Technology, where the financial burden is often compounded by the cost of tuition, uniforms, tools, and other program-specific expenses (</w:t>
      </w:r>
      <w:r w:rsidRPr="00DC78F7">
        <w:rPr>
          <w:rFonts w:ascii="Arial" w:hAnsi="Arial" w:cs="Arial"/>
          <w:lang w:val="en-PH"/>
        </w:rPr>
        <w:t>Orbeta &amp; Corpus, 2024)</w:t>
      </w:r>
      <w:r w:rsidRPr="00DC78F7">
        <w:rPr>
          <w:rFonts w:ascii="Arial" w:hAnsi="Arial" w:cs="Arial"/>
        </w:rPr>
        <w:t xml:space="preserve">. The dual responsibilities of being both a student and an employee create significant challenges for these individuals, affecting not only their academic performance but also their mental health and overall well-being </w:t>
      </w:r>
      <w:r>
        <w:rPr>
          <w:rFonts w:ascii="Arial" w:hAnsi="Arial" w:cs="Arial"/>
        </w:rPr>
        <w:t>(</w:t>
      </w:r>
      <w:proofErr w:type="spellStart"/>
      <w:r w:rsidRPr="00DC78F7">
        <w:rPr>
          <w:rFonts w:ascii="Arial" w:hAnsi="Arial" w:cs="Arial"/>
        </w:rPr>
        <w:t>Paranial</w:t>
      </w:r>
      <w:proofErr w:type="spellEnd"/>
      <w:r>
        <w:rPr>
          <w:rFonts w:ascii="Arial" w:hAnsi="Arial" w:cs="Arial"/>
        </w:rPr>
        <w:t xml:space="preserve"> </w:t>
      </w:r>
      <w:r w:rsidRPr="00DC78F7">
        <w:rPr>
          <w:rFonts w:ascii="Arial" w:hAnsi="Arial" w:cs="Arial"/>
        </w:rPr>
        <w:t xml:space="preserve">&amp; </w:t>
      </w:r>
      <w:proofErr w:type="spellStart"/>
      <w:r w:rsidRPr="00DC78F7">
        <w:rPr>
          <w:rFonts w:ascii="Arial" w:hAnsi="Arial" w:cs="Arial"/>
        </w:rPr>
        <w:t>Campaña</w:t>
      </w:r>
      <w:proofErr w:type="spellEnd"/>
      <w:r>
        <w:rPr>
          <w:rFonts w:ascii="Arial" w:hAnsi="Arial" w:cs="Arial"/>
        </w:rPr>
        <w:t>, 2023</w:t>
      </w:r>
      <w:r w:rsidRPr="00DC78F7">
        <w:rPr>
          <w:rFonts w:ascii="Arial" w:hAnsi="Arial" w:cs="Arial"/>
        </w:rPr>
        <w:t>). Evidence from international research further underscores this concern, as Moore et al. (2021) found that financial stress among college students is closely associated with heightened anxiety, emotional strain, and diminished overall well-being, often influencing students’ ability to engage academically and sustain their studies.</w:t>
      </w:r>
    </w:p>
    <w:p w14:paraId="4328396B" w14:textId="30B81F2E" w:rsidR="00DC78F7" w:rsidRPr="00DC78F7" w:rsidRDefault="00DC78F7" w:rsidP="00DC78F7">
      <w:pPr>
        <w:pStyle w:val="Body"/>
        <w:rPr>
          <w:rFonts w:ascii="Arial" w:hAnsi="Arial" w:cs="Arial"/>
        </w:rPr>
      </w:pPr>
      <w:r w:rsidRPr="00DC78F7">
        <w:rPr>
          <w:rFonts w:ascii="Arial" w:hAnsi="Arial" w:cs="Arial"/>
        </w:rPr>
        <w:t xml:space="preserve">These challenges are further intensified by the demands of blended learning systems, which have become more prevalent in recent years. Aton et al. (2024) emphasize the additional obstacles working students face in such learning environments, as they struggle to manage academic responsibilities alongside work obligations in a system that blends online and in-person learning. Financial pressures, when combined with academic and technological demands, can exacerbate stress and limit students’ capacity to cope effectively. Moore et al. (2021) similarly highlight that students experiencing financial strain often report difficulty </w:t>
      </w:r>
      <w:r w:rsidRPr="00DC78F7">
        <w:rPr>
          <w:rFonts w:ascii="Arial" w:hAnsi="Arial" w:cs="Arial"/>
        </w:rPr>
        <w:lastRenderedPageBreak/>
        <w:t>concentrating, emotional exhaustion, and reduced motivation—factors that can undermine persistence in higher education.</w:t>
      </w:r>
    </w:p>
    <w:p w14:paraId="30944189" w14:textId="3BCA9139" w:rsidR="00DC78F7" w:rsidRPr="00DC78F7" w:rsidRDefault="00DC78F7" w:rsidP="00DC78F7">
      <w:pPr>
        <w:pStyle w:val="Body"/>
        <w:rPr>
          <w:rFonts w:ascii="Arial" w:hAnsi="Arial" w:cs="Arial"/>
        </w:rPr>
      </w:pPr>
      <w:r w:rsidRPr="00DC78F7">
        <w:rPr>
          <w:rFonts w:ascii="Arial" w:hAnsi="Arial" w:cs="Arial"/>
        </w:rPr>
        <w:t>Working students in the Philippines face a variety of financial struggles that can impede their ability to focus on their studies. Previous research has identified financial difficulties as a significant factor influencing student persistence and completion rates in higher education (</w:t>
      </w:r>
      <w:r w:rsidR="001B706A" w:rsidRPr="001B706A">
        <w:rPr>
          <w:rFonts w:ascii="Arial" w:hAnsi="Arial" w:cs="Arial"/>
        </w:rPr>
        <w:t>Braxton, 2019</w:t>
      </w:r>
      <w:r w:rsidRPr="00DC78F7">
        <w:rPr>
          <w:rFonts w:ascii="Arial" w:hAnsi="Arial" w:cs="Arial"/>
        </w:rPr>
        <w:t>). For students in technical-vocational programs such as Automotive Technology, these challenges are magnified by the added costs associated with specialized tools, uniforms, and training fees (Orbeta &amp; Corpus, 2024). This financial strain often forces students to juggle multiple roles—students during the day and employees during the night—leading to physical exhaustion, limited study time, and, at times, compromised academic performance (</w:t>
      </w:r>
      <w:r w:rsidR="001B706A" w:rsidRPr="001B706A">
        <w:rPr>
          <w:rFonts w:ascii="Arial" w:hAnsi="Arial" w:cs="Arial"/>
        </w:rPr>
        <w:t>Cabaluna et al., 2023</w:t>
      </w:r>
      <w:r w:rsidRPr="00DC78F7">
        <w:rPr>
          <w:rFonts w:ascii="Arial" w:hAnsi="Arial" w:cs="Arial"/>
        </w:rPr>
        <w:t>). Consistent with these findings, Moore et al. (2021) noted that prolonged financial stress can have cumulative negative effects on students’ academic engagement and emotional stability, particularly among those with limited institutional or familial support.</w:t>
      </w:r>
    </w:p>
    <w:p w14:paraId="7DA7AB09" w14:textId="50CD2CDA" w:rsidR="00DC78F7" w:rsidRPr="00DC78F7" w:rsidRDefault="00DC78F7" w:rsidP="00DC78F7">
      <w:pPr>
        <w:pStyle w:val="Body"/>
        <w:rPr>
          <w:rFonts w:ascii="Arial" w:hAnsi="Arial" w:cs="Arial"/>
        </w:rPr>
      </w:pPr>
      <w:r w:rsidRPr="00DC78F7">
        <w:rPr>
          <w:rFonts w:ascii="Arial" w:hAnsi="Arial" w:cs="Arial"/>
        </w:rPr>
        <w:t>In response to these challenges, scholars have increasingly explored how working students cope with financial and academic pressures. Zavala-Parrales et al. (2020) highlight adaptive strategies such as effective time management, seeking financial assistance through scholarships or family support, and building strong social networks to mitigate stress. Aton et al. (2024) also discuss how working students in blended learning contexts adjust by leveraging digital platforms, improving time-management skills, and seeking academic support from peers and instructors. Additionally, coping mechanisms such as maintaining a positive mindset and focusing on long-term educational goals are frequently identified as critical factors in sustaining academic success (</w:t>
      </w:r>
      <w:proofErr w:type="spellStart"/>
      <w:r w:rsidRPr="00DC78F7">
        <w:rPr>
          <w:rFonts w:ascii="Arial" w:hAnsi="Arial" w:cs="Arial"/>
        </w:rPr>
        <w:t>Paranial</w:t>
      </w:r>
      <w:proofErr w:type="spellEnd"/>
      <w:r w:rsidRPr="00DC78F7">
        <w:rPr>
          <w:rFonts w:ascii="Arial" w:hAnsi="Arial" w:cs="Arial"/>
        </w:rPr>
        <w:t xml:space="preserve"> &amp; </w:t>
      </w:r>
      <w:proofErr w:type="spellStart"/>
      <w:r w:rsidRPr="00DC78F7">
        <w:rPr>
          <w:rFonts w:ascii="Arial" w:hAnsi="Arial" w:cs="Arial"/>
        </w:rPr>
        <w:t>Campaña</w:t>
      </w:r>
      <w:proofErr w:type="spellEnd"/>
      <w:r w:rsidRPr="00DC78F7">
        <w:rPr>
          <w:rFonts w:ascii="Arial" w:hAnsi="Arial" w:cs="Arial"/>
        </w:rPr>
        <w:t>, 2023). These strategies align with the findings of Moore et al. (2021), who emphasize that access to emotional support systems and adaptive coping behaviors can buffer the negative effects of financial stress on student well-being.</w:t>
      </w:r>
    </w:p>
    <w:p w14:paraId="17FF453E" w14:textId="24EC6BAB" w:rsidR="00DC78F7" w:rsidRPr="00DC78F7" w:rsidRDefault="00DC78F7" w:rsidP="00DC78F7">
      <w:pPr>
        <w:pStyle w:val="Body"/>
        <w:rPr>
          <w:rFonts w:ascii="Arial" w:hAnsi="Arial" w:cs="Arial"/>
        </w:rPr>
      </w:pPr>
      <w:r w:rsidRPr="00DC78F7">
        <w:rPr>
          <w:rFonts w:ascii="Arial" w:hAnsi="Arial" w:cs="Arial"/>
        </w:rPr>
        <w:t>In the context of Northern Luzon—an area characterized by economic constraints—the experiences of Automotive Technology working students are especially significant. According to the National Economic and Development Authority (NEDA, 2017), the region faces limited access to resources and employment opportunities, further intensifying the financial burdens placed on students pursuing vocational education. Under such conditions, the ability of working students to develop effective coping strategies becomes crucial to their academic persistence and personal well-being.</w:t>
      </w:r>
    </w:p>
    <w:p w14:paraId="53BC3B9D" w14:textId="37100748" w:rsidR="00B01FCD" w:rsidRDefault="00DC78F7" w:rsidP="00DC78F7">
      <w:pPr>
        <w:pStyle w:val="Body"/>
        <w:spacing w:after="0"/>
        <w:rPr>
          <w:rFonts w:ascii="Arial" w:hAnsi="Arial" w:cs="Arial"/>
        </w:rPr>
      </w:pPr>
      <w:r w:rsidRPr="00DC78F7">
        <w:rPr>
          <w:rFonts w:ascii="Arial" w:hAnsi="Arial" w:cs="Arial"/>
        </w:rPr>
        <w:t xml:space="preserve">This study aims to investigate the financial challenges faced by Automotive Technology working students in Northern Luzon and to identify the coping strategies they employ to manage the demands of their dual roles as students and workers. By examining these experiences, the study seeks to contribute to the broader discourse on financial stress, student well-being, and resilience in higher education. Ultimately, the findings can inform the development of targeted interventions and institutional policies that alleviate financial strain, promote mental well-being, and support the academic success of working students in technical-vocational </w:t>
      </w:r>
      <w:proofErr w:type="gramStart"/>
      <w:r w:rsidRPr="00DC78F7">
        <w:rPr>
          <w:rFonts w:ascii="Arial" w:hAnsi="Arial" w:cs="Arial"/>
        </w:rPr>
        <w:t>programs.</w:t>
      </w:r>
      <w:r w:rsidR="004E5E60" w:rsidRPr="004E5E60">
        <w:rPr>
          <w:rFonts w:ascii="Arial" w:hAnsi="Arial" w:cs="Arial"/>
        </w:rPr>
        <w:t>.</w:t>
      </w:r>
      <w:proofErr w:type="gramEnd"/>
    </w:p>
    <w:p w14:paraId="7747D8DD" w14:textId="77777777" w:rsidR="00790ADA" w:rsidRDefault="00790ADA" w:rsidP="00441B6F">
      <w:pPr>
        <w:pStyle w:val="Body"/>
        <w:spacing w:after="0"/>
        <w:rPr>
          <w:rFonts w:ascii="Arial" w:hAnsi="Arial" w:cs="Arial"/>
        </w:rPr>
      </w:pPr>
    </w:p>
    <w:p w14:paraId="5CE8C519" w14:textId="77777777" w:rsidR="00B91607" w:rsidRPr="00FB3A86" w:rsidRDefault="00B91607" w:rsidP="00441B6F">
      <w:pPr>
        <w:pStyle w:val="Body"/>
        <w:spacing w:after="0"/>
        <w:rPr>
          <w:rFonts w:ascii="Arial" w:hAnsi="Arial" w:cs="Arial"/>
        </w:rPr>
      </w:pPr>
    </w:p>
    <w:p w14:paraId="1A578688" w14:textId="6DED230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A89ECA2" w14:textId="77777777" w:rsidR="00790ADA" w:rsidRDefault="00790ADA" w:rsidP="00441B6F">
      <w:pPr>
        <w:pStyle w:val="Body"/>
        <w:spacing w:after="0"/>
        <w:rPr>
          <w:rFonts w:ascii="Arial" w:hAnsi="Arial" w:cs="Arial"/>
        </w:rPr>
      </w:pPr>
    </w:p>
    <w:p w14:paraId="4C206427" w14:textId="3D4E2FE1" w:rsidR="00506810" w:rsidRPr="00506810" w:rsidRDefault="00506810" w:rsidP="00506810">
      <w:pPr>
        <w:pStyle w:val="Body"/>
        <w:rPr>
          <w:rFonts w:ascii="Arial" w:hAnsi="Arial" w:cs="Arial"/>
        </w:rPr>
      </w:pPr>
      <w:r w:rsidRPr="00506810">
        <w:rPr>
          <w:rFonts w:ascii="Arial" w:hAnsi="Arial" w:cs="Arial"/>
        </w:rPr>
        <w:t xml:space="preserve">This study employed a qualitative case study design to generate in-depth and contextualized accounts of the lived experiences of working students enrolled in Automotive Technology. The qualitative approach was deemed appropriate as it allows for a rich exploration of participants’ perceptions, meanings, and coping processes related to financial challenges </w:t>
      </w:r>
      <w:r w:rsidRPr="00506810">
        <w:rPr>
          <w:rFonts w:ascii="Arial" w:hAnsi="Arial" w:cs="Arial"/>
        </w:rPr>
        <w:lastRenderedPageBreak/>
        <w:t>while balancing academic and work responsibilities. By focusing on a case study design, the research sought to capture the complexity of students’ experiences within their real-life educational and institutional context.</w:t>
      </w:r>
    </w:p>
    <w:p w14:paraId="04779607" w14:textId="2AA3137C" w:rsidR="00506810" w:rsidRPr="00506810" w:rsidRDefault="00506810" w:rsidP="00506810">
      <w:pPr>
        <w:pStyle w:val="Body"/>
        <w:rPr>
          <w:rFonts w:ascii="Arial" w:hAnsi="Arial" w:cs="Arial"/>
        </w:rPr>
      </w:pPr>
      <w:r w:rsidRPr="00506810">
        <w:rPr>
          <w:rFonts w:ascii="Arial" w:hAnsi="Arial" w:cs="Arial"/>
        </w:rPr>
        <w:t>The study was conducted at Mariano Marcos State University, specifically within the College of Industrial Technology’s Automotive Technology Program. This locale was selected due to the high prevalence of working students in the program and the financial demands associated with technical-vocational education. The institutional setting provided a relevant environment for examining how students navigate financial pressures while pursuing skills-based higher education in Northern Luzon.</w:t>
      </w:r>
    </w:p>
    <w:p w14:paraId="31821CB8" w14:textId="1F74599F" w:rsidR="00506810" w:rsidRPr="00506810" w:rsidRDefault="00506810" w:rsidP="00506810">
      <w:pPr>
        <w:pStyle w:val="Body"/>
        <w:rPr>
          <w:rFonts w:ascii="Arial" w:hAnsi="Arial" w:cs="Arial"/>
        </w:rPr>
      </w:pPr>
      <w:r w:rsidRPr="00506810">
        <w:rPr>
          <w:rFonts w:ascii="Arial" w:hAnsi="Arial" w:cs="Arial"/>
        </w:rPr>
        <w:t>Purposive sampling was employed to identify participants who met the inclusion criteria of the study. The participants consisted of Automotive Technology students who were currently employed on a part-time or full-time basis while enrolled in the program. This sampling technique ensured that participants possessed firsthand experience of balancing academic demands with employment, making them information-rich cases suitable for an in-depth qualitative inquiry.</w:t>
      </w:r>
    </w:p>
    <w:p w14:paraId="4948138A" w14:textId="10799027" w:rsidR="00506810" w:rsidRPr="00506810" w:rsidRDefault="00506810" w:rsidP="00506810">
      <w:pPr>
        <w:pStyle w:val="Body"/>
        <w:rPr>
          <w:rFonts w:ascii="Arial" w:hAnsi="Arial" w:cs="Arial"/>
        </w:rPr>
      </w:pPr>
      <w:r w:rsidRPr="00506810">
        <w:rPr>
          <w:rFonts w:ascii="Arial" w:hAnsi="Arial" w:cs="Arial"/>
        </w:rPr>
        <w:t>Data were gathered using a semi-structured interview guide developed and adapted by the researcher to elicit comprehensive narratives from the participants. The interview questions were open-ended and designed to explore students’ financial challenges, sources of income, coping strategies, and perceptions of institutional and familial support. To ensure the credibility and dependability of the instrument, the interview guide underwent expert validation by three specialists in automotive education, qualitative research, and student affairs, whose feedback was incorporated to enhance clarity and relevance. A pilot interview was also conducted with a qualified working student who was excluded from the final sample to refine the questions and confirm the suitability of the instrument.</w:t>
      </w:r>
    </w:p>
    <w:p w14:paraId="4DC2CA6D" w14:textId="6D22830D" w:rsidR="00AA74E0" w:rsidRDefault="00506810" w:rsidP="00506810">
      <w:pPr>
        <w:pStyle w:val="Body"/>
        <w:spacing w:after="0"/>
        <w:rPr>
          <w:rFonts w:ascii="Arial" w:hAnsi="Arial" w:cs="Arial"/>
        </w:rPr>
      </w:pPr>
      <w:r w:rsidRPr="00506810">
        <w:rPr>
          <w:rFonts w:ascii="Arial" w:hAnsi="Arial" w:cs="Arial"/>
        </w:rPr>
        <w:t>The semi-structured interviews were conducted following ethical research protocols, including securing informed consent and assuring participants of confidentiality and voluntary participation. All interviews were audio-recorded, transcribed verbatim, and anonymized prior to analysis. The data were analyzed thematically using Braun and Clarke’s (2006) framework, which involved familiarization with the transcripts, generation of initial codes, clustering of codes into categories, and refinement of these categories into overarching themes that addressed the research objectives</w:t>
      </w:r>
      <w:r w:rsidR="00D96779" w:rsidRPr="00D96779">
        <w:rPr>
          <w:rFonts w:ascii="Arial" w:hAnsi="Arial" w:cs="Arial"/>
        </w:rPr>
        <w:t>.</w:t>
      </w:r>
    </w:p>
    <w:p w14:paraId="44DC8C0B" w14:textId="77777777" w:rsidR="00790ADA" w:rsidRDefault="00790ADA" w:rsidP="00441B6F">
      <w:pPr>
        <w:pStyle w:val="Body"/>
        <w:spacing w:after="0"/>
        <w:rPr>
          <w:rFonts w:ascii="Arial" w:hAnsi="Arial" w:cs="Arial"/>
        </w:rPr>
      </w:pPr>
    </w:p>
    <w:p w14:paraId="6CA700FC" w14:textId="77777777" w:rsidR="00B91607" w:rsidRPr="00FB3A86" w:rsidRDefault="00B91607"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9B7CE7D" w14:textId="1EF93AE8" w:rsidR="00506810" w:rsidRPr="00506810" w:rsidRDefault="00506810" w:rsidP="00506810">
      <w:pPr>
        <w:pStyle w:val="Body"/>
        <w:rPr>
          <w:rFonts w:ascii="Arial" w:hAnsi="Arial" w:cs="Arial"/>
        </w:rPr>
      </w:pPr>
      <w:r w:rsidRPr="00506810">
        <w:rPr>
          <w:rFonts w:ascii="Arial" w:hAnsi="Arial" w:cs="Arial"/>
        </w:rPr>
        <w:t>The thematic analysis produced five major themes that captured the financial challenges, coping mechanisms, and self-efficacy of Automotive Technology working students in Northern Luzon. These themes are: (1) Financial Struggles and Coping Strategies, (2) Academic Challenges and Commitment, (3) Well-being and Emotional Balance, (4) Motivation, Self-Efficacy, and Meaning-Making, and (5) Support Systems and Future Directions.</w:t>
      </w:r>
    </w:p>
    <w:p w14:paraId="6B3F917D" w14:textId="5EBE336F" w:rsidR="00506810" w:rsidRPr="00506810" w:rsidRDefault="00506810" w:rsidP="00506810">
      <w:pPr>
        <w:pStyle w:val="Body"/>
        <w:rPr>
          <w:rFonts w:ascii="Arial" w:hAnsi="Arial" w:cs="Arial"/>
        </w:rPr>
      </w:pPr>
      <w:r w:rsidRPr="00506810">
        <w:rPr>
          <w:rFonts w:ascii="Arial" w:hAnsi="Arial" w:cs="Arial"/>
          <w:b/>
          <w:bCs/>
        </w:rPr>
        <w:t>Theme 1: Financial Struggles and Coping Strategies.</w:t>
      </w:r>
      <w:r>
        <w:rPr>
          <w:rFonts w:ascii="Arial" w:hAnsi="Arial" w:cs="Arial"/>
        </w:rPr>
        <w:t xml:space="preserve"> </w:t>
      </w:r>
      <w:r w:rsidRPr="00506810">
        <w:rPr>
          <w:rFonts w:ascii="Arial" w:hAnsi="Arial" w:cs="Arial"/>
        </w:rPr>
        <w:t xml:space="preserve">Participants consistently emphasized the impact of financial difficulties on their academic and personal lives. </w:t>
      </w:r>
      <w:r w:rsidRPr="00506810">
        <w:rPr>
          <w:rFonts w:ascii="Arial" w:hAnsi="Arial" w:cs="Arial"/>
          <w:i/>
          <w:iCs/>
        </w:rPr>
        <w:t>Strategic Financial Coping Mechanisms</w:t>
      </w:r>
      <w:r w:rsidRPr="00506810">
        <w:rPr>
          <w:rFonts w:ascii="Arial" w:hAnsi="Arial" w:cs="Arial"/>
        </w:rPr>
        <w:t xml:space="preserve"> involved strict budgeting, reducing expenses, and prioritizing essential needs. In </w:t>
      </w:r>
      <w:r w:rsidRPr="00506810">
        <w:rPr>
          <w:rFonts w:ascii="Arial" w:hAnsi="Arial" w:cs="Arial"/>
          <w:i/>
          <w:iCs/>
        </w:rPr>
        <w:t>Sacrifices in the Pursuit of Education</w:t>
      </w:r>
      <w:r w:rsidRPr="00506810">
        <w:rPr>
          <w:rFonts w:ascii="Arial" w:hAnsi="Arial" w:cs="Arial"/>
        </w:rPr>
        <w:t xml:space="preserve">, respondents described giving up leisure activities, social interactions, and even proper meals to sustain their studies. </w:t>
      </w:r>
      <w:r w:rsidRPr="00506810">
        <w:rPr>
          <w:rFonts w:ascii="Arial" w:hAnsi="Arial" w:cs="Arial"/>
          <w:i/>
          <w:iCs/>
        </w:rPr>
        <w:t>Family-Dependent and Limited External Aid</w:t>
      </w:r>
      <w:r w:rsidRPr="00506810">
        <w:rPr>
          <w:rFonts w:ascii="Arial" w:hAnsi="Arial" w:cs="Arial"/>
        </w:rPr>
        <w:t xml:space="preserve"> illustrated their reliance on family financial support and the limited availability of institutional assistance.</w:t>
      </w:r>
    </w:p>
    <w:p w14:paraId="7D0724EB" w14:textId="785148E2" w:rsidR="00506810" w:rsidRPr="00506810" w:rsidRDefault="00506810" w:rsidP="00506810">
      <w:pPr>
        <w:pStyle w:val="Body"/>
        <w:rPr>
          <w:rFonts w:ascii="Arial" w:hAnsi="Arial" w:cs="Arial"/>
        </w:rPr>
      </w:pPr>
      <w:r w:rsidRPr="00506810">
        <w:rPr>
          <w:rFonts w:ascii="Arial" w:hAnsi="Arial" w:cs="Arial"/>
          <w:b/>
          <w:bCs/>
        </w:rPr>
        <w:lastRenderedPageBreak/>
        <w:t>Theme 2: Academic Challenges and Commitment.</w:t>
      </w:r>
      <w:r>
        <w:rPr>
          <w:rFonts w:ascii="Arial" w:hAnsi="Arial" w:cs="Arial"/>
        </w:rPr>
        <w:t xml:space="preserve"> </w:t>
      </w:r>
      <w:r w:rsidRPr="00506810">
        <w:rPr>
          <w:rFonts w:ascii="Arial" w:hAnsi="Arial" w:cs="Arial"/>
        </w:rPr>
        <w:t xml:space="preserve">Financial hardship often translated into academic struggles. In </w:t>
      </w:r>
      <w:r w:rsidRPr="00506810">
        <w:rPr>
          <w:rFonts w:ascii="Arial" w:hAnsi="Arial" w:cs="Arial"/>
          <w:i/>
          <w:iCs/>
        </w:rPr>
        <w:t>Overcoming Academic Challenges Amid Financial Hardship</w:t>
      </w:r>
      <w:r w:rsidRPr="00506810">
        <w:rPr>
          <w:rFonts w:ascii="Arial" w:hAnsi="Arial" w:cs="Arial"/>
        </w:rPr>
        <w:t xml:space="preserve">, students discussed difficulties balancing work schedules with coursework. </w:t>
      </w:r>
      <w:r w:rsidRPr="00506810">
        <w:rPr>
          <w:rFonts w:ascii="Arial" w:hAnsi="Arial" w:cs="Arial"/>
          <w:i/>
          <w:iCs/>
        </w:rPr>
        <w:t>Academic Impacts of Financial Challenges</w:t>
      </w:r>
      <w:r w:rsidRPr="00506810">
        <w:rPr>
          <w:rFonts w:ascii="Arial" w:hAnsi="Arial" w:cs="Arial"/>
        </w:rPr>
        <w:t xml:space="preserve"> included absenteeism, incomplete projects, and a lack of necessary materials. Despite these barriers, </w:t>
      </w:r>
      <w:r w:rsidRPr="00506810">
        <w:rPr>
          <w:rFonts w:ascii="Arial" w:hAnsi="Arial" w:cs="Arial"/>
          <w:i/>
          <w:iCs/>
        </w:rPr>
        <w:t>Educational Commitment Amid Financial Hardship</w:t>
      </w:r>
      <w:r w:rsidRPr="00506810">
        <w:rPr>
          <w:rFonts w:ascii="Arial" w:hAnsi="Arial" w:cs="Arial"/>
        </w:rPr>
        <w:t xml:space="preserve"> reflected their perseverance and determination to complete their studies.</w:t>
      </w:r>
    </w:p>
    <w:p w14:paraId="6DBE5D9B" w14:textId="6B5E7625" w:rsidR="00506810" w:rsidRPr="00506810" w:rsidRDefault="00506810" w:rsidP="00506810">
      <w:pPr>
        <w:pStyle w:val="Body"/>
        <w:rPr>
          <w:rFonts w:ascii="Arial" w:hAnsi="Arial" w:cs="Arial"/>
        </w:rPr>
      </w:pPr>
      <w:r w:rsidRPr="00506810">
        <w:rPr>
          <w:rFonts w:ascii="Arial" w:hAnsi="Arial" w:cs="Arial"/>
          <w:b/>
          <w:bCs/>
        </w:rPr>
        <w:t>Theme 3: Well-being and Emotional Balance.</w:t>
      </w:r>
      <w:r>
        <w:rPr>
          <w:rFonts w:ascii="Arial" w:hAnsi="Arial" w:cs="Arial"/>
        </w:rPr>
        <w:t xml:space="preserve"> </w:t>
      </w:r>
      <w:r w:rsidRPr="00506810">
        <w:rPr>
          <w:rFonts w:ascii="Arial" w:hAnsi="Arial" w:cs="Arial"/>
        </w:rPr>
        <w:t xml:space="preserve">Financial stress affected students’ physical and emotional well-being. </w:t>
      </w:r>
      <w:r w:rsidRPr="00506810">
        <w:rPr>
          <w:rFonts w:ascii="Arial" w:hAnsi="Arial" w:cs="Arial"/>
          <w:i/>
          <w:iCs/>
        </w:rPr>
        <w:t>Holistic Impact of Financial Stress on Well-being</w:t>
      </w:r>
      <w:r w:rsidRPr="00506810">
        <w:rPr>
          <w:rFonts w:ascii="Arial" w:hAnsi="Arial" w:cs="Arial"/>
        </w:rPr>
        <w:t xml:space="preserve"> captured reports of fatigue, insufficient sleep, and occasional illness due to long working hours</w:t>
      </w:r>
      <w:r w:rsidRPr="00506810">
        <w:rPr>
          <w:rFonts w:ascii="Arial" w:hAnsi="Arial" w:cs="Arial"/>
          <w:i/>
          <w:iCs/>
        </w:rPr>
        <w:t>. Balancing Emotional Health with Academic Demands</w:t>
      </w:r>
      <w:r w:rsidRPr="00506810">
        <w:rPr>
          <w:rFonts w:ascii="Arial" w:hAnsi="Arial" w:cs="Arial"/>
        </w:rPr>
        <w:t xml:space="preserve"> highlighted efforts to manage anxiety and stress through emotional regulation, optimism, and time management.</w:t>
      </w:r>
    </w:p>
    <w:p w14:paraId="6D734806" w14:textId="1C25D509" w:rsidR="00506810" w:rsidRPr="00506810" w:rsidRDefault="00506810" w:rsidP="00506810">
      <w:pPr>
        <w:pStyle w:val="Body"/>
        <w:rPr>
          <w:rFonts w:ascii="Arial" w:hAnsi="Arial" w:cs="Arial"/>
        </w:rPr>
      </w:pPr>
      <w:r w:rsidRPr="00506810">
        <w:rPr>
          <w:rFonts w:ascii="Arial" w:hAnsi="Arial" w:cs="Arial"/>
          <w:b/>
          <w:bCs/>
        </w:rPr>
        <w:t>Theme 4: Motivation, Self-Efficacy, and Meaning-Making.</w:t>
      </w:r>
      <w:r>
        <w:rPr>
          <w:rFonts w:ascii="Arial" w:hAnsi="Arial" w:cs="Arial"/>
        </w:rPr>
        <w:t xml:space="preserve"> </w:t>
      </w:r>
      <w:r w:rsidRPr="00506810">
        <w:rPr>
          <w:rFonts w:ascii="Arial" w:hAnsi="Arial" w:cs="Arial"/>
        </w:rPr>
        <w:t xml:space="preserve">Students’ narratives revealed varying levels of confidence and perseverance. </w:t>
      </w:r>
      <w:r w:rsidRPr="006D61A3">
        <w:rPr>
          <w:rFonts w:ascii="Arial" w:hAnsi="Arial" w:cs="Arial"/>
          <w:i/>
          <w:iCs/>
        </w:rPr>
        <w:t>Spectrum of Self-Efficacy</w:t>
      </w:r>
      <w:r w:rsidRPr="00506810">
        <w:rPr>
          <w:rFonts w:ascii="Arial" w:hAnsi="Arial" w:cs="Arial"/>
        </w:rPr>
        <w:t xml:space="preserve"> showed that while some initially doubted their abilities, many strengthened their self-efficacy through overcoming challenges. </w:t>
      </w:r>
      <w:r w:rsidRPr="006D61A3">
        <w:rPr>
          <w:rFonts w:ascii="Arial" w:hAnsi="Arial" w:cs="Arial"/>
          <w:i/>
          <w:iCs/>
        </w:rPr>
        <w:t>Sources of Motivation</w:t>
      </w:r>
      <w:r w:rsidRPr="00506810">
        <w:rPr>
          <w:rFonts w:ascii="Arial" w:hAnsi="Arial" w:cs="Arial"/>
        </w:rPr>
        <w:t xml:space="preserve"> stemmed from family aspirations and career ambitions, while </w:t>
      </w:r>
      <w:r w:rsidRPr="006D61A3">
        <w:rPr>
          <w:rFonts w:ascii="Arial" w:hAnsi="Arial" w:cs="Arial"/>
          <w:i/>
          <w:iCs/>
        </w:rPr>
        <w:t>Finding Meaning in the Struggle</w:t>
      </w:r>
      <w:r w:rsidRPr="00506810">
        <w:rPr>
          <w:rFonts w:ascii="Arial" w:hAnsi="Arial" w:cs="Arial"/>
        </w:rPr>
        <w:t xml:space="preserve"> demonstrated how hardships were reframed as opportunities for growth and self-development.</w:t>
      </w:r>
    </w:p>
    <w:p w14:paraId="0106A130" w14:textId="3166CA4E" w:rsidR="00D96779" w:rsidRDefault="00506810" w:rsidP="006D61A3">
      <w:pPr>
        <w:pStyle w:val="Body"/>
        <w:rPr>
          <w:rFonts w:ascii="Arial" w:hAnsi="Arial" w:cs="Arial"/>
        </w:rPr>
      </w:pPr>
      <w:r w:rsidRPr="006D61A3">
        <w:rPr>
          <w:rFonts w:ascii="Arial" w:hAnsi="Arial" w:cs="Arial"/>
          <w:b/>
          <w:bCs/>
        </w:rPr>
        <w:t>Theme 5: Support Systems and Future Directions</w:t>
      </w:r>
      <w:r w:rsidR="006D61A3" w:rsidRPr="006D61A3">
        <w:rPr>
          <w:rFonts w:ascii="Arial" w:hAnsi="Arial" w:cs="Arial"/>
          <w:b/>
          <w:bCs/>
        </w:rPr>
        <w:t>.</w:t>
      </w:r>
      <w:r w:rsidR="006D61A3">
        <w:rPr>
          <w:rFonts w:ascii="Arial" w:hAnsi="Arial" w:cs="Arial"/>
        </w:rPr>
        <w:t xml:space="preserve"> </w:t>
      </w:r>
      <w:r w:rsidRPr="00506810">
        <w:rPr>
          <w:rFonts w:ascii="Arial" w:hAnsi="Arial" w:cs="Arial"/>
        </w:rPr>
        <w:t xml:space="preserve">The final theme centered on support networks. </w:t>
      </w:r>
      <w:r w:rsidRPr="006D61A3">
        <w:rPr>
          <w:rFonts w:ascii="Arial" w:hAnsi="Arial" w:cs="Arial"/>
          <w:i/>
          <w:iCs/>
        </w:rPr>
        <w:t>Family Support and Other Responsibilities</w:t>
      </w:r>
      <w:r w:rsidRPr="00506810">
        <w:rPr>
          <w:rFonts w:ascii="Arial" w:hAnsi="Arial" w:cs="Arial"/>
        </w:rPr>
        <w:t xml:space="preserve"> emphasized the importance of familial help, though it often came with expectations. </w:t>
      </w:r>
      <w:r w:rsidRPr="006D61A3">
        <w:rPr>
          <w:rFonts w:ascii="Arial" w:hAnsi="Arial" w:cs="Arial"/>
          <w:i/>
          <w:iCs/>
        </w:rPr>
        <w:t>Words of Encouragement and Wisdom</w:t>
      </w:r>
      <w:r w:rsidRPr="00506810">
        <w:rPr>
          <w:rFonts w:ascii="Arial" w:hAnsi="Arial" w:cs="Arial"/>
        </w:rPr>
        <w:t xml:space="preserve"> reflected students’ resilience and advice for peers. </w:t>
      </w:r>
      <w:r w:rsidRPr="006D61A3">
        <w:rPr>
          <w:rFonts w:ascii="Arial" w:hAnsi="Arial" w:cs="Arial"/>
          <w:i/>
          <w:iCs/>
        </w:rPr>
        <w:t>Student Suggestions for Support</w:t>
      </w:r>
      <w:r w:rsidRPr="00506810">
        <w:rPr>
          <w:rFonts w:ascii="Arial" w:hAnsi="Arial" w:cs="Arial"/>
        </w:rPr>
        <w:t xml:space="preserve"> included institutional reforms such as expanded scholarships, flexible schedules, and campus-based job opportunities</w:t>
      </w:r>
    </w:p>
    <w:p w14:paraId="75A530E0" w14:textId="2EEF7BD4" w:rsidR="00D96779" w:rsidRDefault="006D61A3" w:rsidP="006D61A3">
      <w:pPr>
        <w:pStyle w:val="Body"/>
        <w:rPr>
          <w:rFonts w:ascii="Arial" w:hAnsi="Arial" w:cs="Arial"/>
        </w:rPr>
      </w:pPr>
      <w:r w:rsidRPr="006D61A3">
        <w:rPr>
          <w:rFonts w:ascii="Arial" w:hAnsi="Arial" w:cs="Arial"/>
        </w:rPr>
        <w:t>Table 1</w:t>
      </w:r>
      <w:r>
        <w:rPr>
          <w:rFonts w:ascii="Arial" w:hAnsi="Arial" w:cs="Arial"/>
        </w:rPr>
        <w:t xml:space="preserve">. </w:t>
      </w:r>
      <w:r w:rsidRPr="006D61A3">
        <w:rPr>
          <w:rFonts w:ascii="Arial" w:hAnsi="Arial" w:cs="Arial"/>
        </w:rPr>
        <w:t>Major Themes and Subthemes Identified in the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806"/>
      </w:tblGrid>
      <w:tr w:rsidR="006D61A3" w14:paraId="642BD74A" w14:textId="77777777" w:rsidTr="006D61A3">
        <w:trPr>
          <w:trHeight w:val="386"/>
        </w:trPr>
        <w:tc>
          <w:tcPr>
            <w:tcW w:w="3618" w:type="dxa"/>
            <w:tcBorders>
              <w:top w:val="single" w:sz="4" w:space="0" w:color="auto"/>
              <w:bottom w:val="single" w:sz="4" w:space="0" w:color="auto"/>
            </w:tcBorders>
            <w:vAlign w:val="center"/>
          </w:tcPr>
          <w:p w14:paraId="42E63892" w14:textId="5F943E2D" w:rsidR="006D61A3" w:rsidRPr="006D61A3" w:rsidRDefault="006D61A3" w:rsidP="006D61A3">
            <w:pPr>
              <w:pStyle w:val="Body"/>
              <w:spacing w:after="0"/>
              <w:jc w:val="center"/>
              <w:rPr>
                <w:rFonts w:ascii="Arial" w:hAnsi="Arial" w:cs="Arial"/>
                <w:b/>
                <w:bCs/>
              </w:rPr>
            </w:pPr>
            <w:r w:rsidRPr="006D61A3">
              <w:rPr>
                <w:b/>
                <w:bCs/>
              </w:rPr>
              <w:t>Major Theme</w:t>
            </w:r>
          </w:p>
        </w:tc>
        <w:tc>
          <w:tcPr>
            <w:tcW w:w="4806" w:type="dxa"/>
            <w:tcBorders>
              <w:top w:val="single" w:sz="4" w:space="0" w:color="auto"/>
              <w:bottom w:val="single" w:sz="4" w:space="0" w:color="auto"/>
            </w:tcBorders>
            <w:vAlign w:val="center"/>
          </w:tcPr>
          <w:p w14:paraId="151510A2" w14:textId="552239AF" w:rsidR="006D61A3" w:rsidRPr="006D61A3" w:rsidRDefault="006D61A3" w:rsidP="006D61A3">
            <w:pPr>
              <w:pStyle w:val="Body"/>
              <w:spacing w:after="0"/>
              <w:jc w:val="center"/>
              <w:rPr>
                <w:rFonts w:ascii="Arial" w:hAnsi="Arial" w:cs="Arial"/>
                <w:b/>
                <w:bCs/>
              </w:rPr>
            </w:pPr>
            <w:r w:rsidRPr="006D61A3">
              <w:rPr>
                <w:b/>
                <w:bCs/>
              </w:rPr>
              <w:t>Subthemes</w:t>
            </w:r>
          </w:p>
        </w:tc>
      </w:tr>
      <w:tr w:rsidR="006D61A3" w14:paraId="6EE80251" w14:textId="77777777" w:rsidTr="006D61A3">
        <w:tc>
          <w:tcPr>
            <w:tcW w:w="3618" w:type="dxa"/>
            <w:tcBorders>
              <w:top w:val="single" w:sz="4" w:space="0" w:color="auto"/>
            </w:tcBorders>
          </w:tcPr>
          <w:p w14:paraId="00EF13D1" w14:textId="1D0BD9A6" w:rsidR="006D61A3" w:rsidRDefault="006D61A3" w:rsidP="006D61A3">
            <w:pPr>
              <w:pStyle w:val="Body"/>
              <w:spacing w:after="0"/>
              <w:rPr>
                <w:rFonts w:ascii="Arial" w:hAnsi="Arial" w:cs="Arial"/>
              </w:rPr>
            </w:pPr>
            <w:r w:rsidRPr="006C6CBC">
              <w:t>Financial Struggles and Coping Strategies</w:t>
            </w:r>
          </w:p>
        </w:tc>
        <w:tc>
          <w:tcPr>
            <w:tcW w:w="4806" w:type="dxa"/>
            <w:tcBorders>
              <w:top w:val="single" w:sz="4" w:space="0" w:color="auto"/>
            </w:tcBorders>
          </w:tcPr>
          <w:p w14:paraId="6ED7FBE9" w14:textId="6AA97E6F" w:rsidR="006D61A3" w:rsidRDefault="006D61A3" w:rsidP="006D61A3">
            <w:pPr>
              <w:pStyle w:val="Body"/>
              <w:spacing w:after="0"/>
              <w:rPr>
                <w:rFonts w:ascii="Arial" w:hAnsi="Arial" w:cs="Arial"/>
              </w:rPr>
            </w:pPr>
            <w:r w:rsidRPr="006C6CBC">
              <w:t>Strategic Financial Coping Mechanisms; Sacrifices; Family-Dependent and Limited Aid</w:t>
            </w:r>
          </w:p>
        </w:tc>
      </w:tr>
      <w:tr w:rsidR="006D61A3" w14:paraId="07CCE219" w14:textId="77777777" w:rsidTr="006D61A3">
        <w:tc>
          <w:tcPr>
            <w:tcW w:w="3618" w:type="dxa"/>
          </w:tcPr>
          <w:p w14:paraId="55ADDFBA" w14:textId="03644CF5" w:rsidR="006D61A3" w:rsidRDefault="006D61A3" w:rsidP="006D61A3">
            <w:pPr>
              <w:pStyle w:val="Body"/>
              <w:spacing w:after="0"/>
              <w:rPr>
                <w:rFonts w:ascii="Arial" w:hAnsi="Arial" w:cs="Arial"/>
              </w:rPr>
            </w:pPr>
            <w:r w:rsidRPr="006C6CBC">
              <w:t>Academic Challenges and Commitment</w:t>
            </w:r>
          </w:p>
        </w:tc>
        <w:tc>
          <w:tcPr>
            <w:tcW w:w="4806" w:type="dxa"/>
          </w:tcPr>
          <w:p w14:paraId="0A6CB79E" w14:textId="39E9044F" w:rsidR="006D61A3" w:rsidRDefault="006D61A3" w:rsidP="006D61A3">
            <w:pPr>
              <w:pStyle w:val="Body"/>
              <w:spacing w:after="0"/>
              <w:rPr>
                <w:rFonts w:ascii="Arial" w:hAnsi="Arial" w:cs="Arial"/>
              </w:rPr>
            </w:pPr>
            <w:r w:rsidRPr="006C6CBC">
              <w:t>Overcoming Academic Challenges; Academic Impacts; Educational Commitment</w:t>
            </w:r>
          </w:p>
        </w:tc>
      </w:tr>
      <w:tr w:rsidR="006D61A3" w14:paraId="545287CE" w14:textId="77777777" w:rsidTr="006D61A3">
        <w:tc>
          <w:tcPr>
            <w:tcW w:w="3618" w:type="dxa"/>
          </w:tcPr>
          <w:p w14:paraId="5A0A8750" w14:textId="3B57121B" w:rsidR="006D61A3" w:rsidRDefault="006D61A3" w:rsidP="006D61A3">
            <w:pPr>
              <w:pStyle w:val="Body"/>
              <w:spacing w:after="0"/>
              <w:rPr>
                <w:rFonts w:ascii="Arial" w:hAnsi="Arial" w:cs="Arial"/>
              </w:rPr>
            </w:pPr>
            <w:r w:rsidRPr="006C6CBC">
              <w:t>Well-being and Emotional Balance</w:t>
            </w:r>
          </w:p>
        </w:tc>
        <w:tc>
          <w:tcPr>
            <w:tcW w:w="4806" w:type="dxa"/>
          </w:tcPr>
          <w:p w14:paraId="60F5E4AC" w14:textId="165E739F" w:rsidR="006D61A3" w:rsidRDefault="006D61A3" w:rsidP="006D61A3">
            <w:pPr>
              <w:pStyle w:val="Body"/>
              <w:spacing w:after="0"/>
              <w:rPr>
                <w:rFonts w:ascii="Arial" w:hAnsi="Arial" w:cs="Arial"/>
              </w:rPr>
            </w:pPr>
            <w:r w:rsidRPr="006C6CBC">
              <w:t>Holistic Impact; Balancing Emotional Health</w:t>
            </w:r>
          </w:p>
        </w:tc>
      </w:tr>
      <w:tr w:rsidR="006D61A3" w14:paraId="0494CE05" w14:textId="77777777" w:rsidTr="006D61A3">
        <w:tc>
          <w:tcPr>
            <w:tcW w:w="3618" w:type="dxa"/>
          </w:tcPr>
          <w:p w14:paraId="7D30C432" w14:textId="40865E1F" w:rsidR="006D61A3" w:rsidRDefault="006D61A3" w:rsidP="006D61A3">
            <w:pPr>
              <w:pStyle w:val="Body"/>
              <w:spacing w:after="0"/>
              <w:rPr>
                <w:rFonts w:ascii="Arial" w:hAnsi="Arial" w:cs="Arial"/>
              </w:rPr>
            </w:pPr>
            <w:r w:rsidRPr="006C6CBC">
              <w:t>Motivation, Self-Efficacy, and Meaning-Making</w:t>
            </w:r>
          </w:p>
        </w:tc>
        <w:tc>
          <w:tcPr>
            <w:tcW w:w="4806" w:type="dxa"/>
          </w:tcPr>
          <w:p w14:paraId="52E3B49D" w14:textId="7DD5B069" w:rsidR="006D61A3" w:rsidRDefault="006D61A3" w:rsidP="006D61A3">
            <w:pPr>
              <w:pStyle w:val="Body"/>
              <w:spacing w:after="0"/>
              <w:rPr>
                <w:rFonts w:ascii="Arial" w:hAnsi="Arial" w:cs="Arial"/>
              </w:rPr>
            </w:pPr>
            <w:r w:rsidRPr="006C6CBC">
              <w:t>Self-Efficacy Spectrum; Sources of Motivation; Finding Meaning</w:t>
            </w:r>
          </w:p>
        </w:tc>
      </w:tr>
      <w:tr w:rsidR="006D61A3" w14:paraId="6795C1ED" w14:textId="77777777" w:rsidTr="006D61A3">
        <w:tc>
          <w:tcPr>
            <w:tcW w:w="3618" w:type="dxa"/>
            <w:tcBorders>
              <w:bottom w:val="single" w:sz="4" w:space="0" w:color="auto"/>
            </w:tcBorders>
          </w:tcPr>
          <w:p w14:paraId="03DFC553" w14:textId="09DDB498" w:rsidR="006D61A3" w:rsidRDefault="006D61A3" w:rsidP="006D61A3">
            <w:pPr>
              <w:pStyle w:val="Body"/>
              <w:spacing w:after="0"/>
              <w:rPr>
                <w:rFonts w:ascii="Arial" w:hAnsi="Arial" w:cs="Arial"/>
              </w:rPr>
            </w:pPr>
            <w:r w:rsidRPr="006C6CBC">
              <w:t>Support Systems and Future Directions</w:t>
            </w:r>
          </w:p>
        </w:tc>
        <w:tc>
          <w:tcPr>
            <w:tcW w:w="4806" w:type="dxa"/>
            <w:tcBorders>
              <w:bottom w:val="single" w:sz="4" w:space="0" w:color="auto"/>
            </w:tcBorders>
          </w:tcPr>
          <w:p w14:paraId="3AA1ADCF" w14:textId="1965D5DB" w:rsidR="006D61A3" w:rsidRDefault="006D61A3" w:rsidP="006D61A3">
            <w:pPr>
              <w:pStyle w:val="Body"/>
              <w:spacing w:after="0"/>
              <w:rPr>
                <w:rFonts w:ascii="Arial" w:hAnsi="Arial" w:cs="Arial"/>
              </w:rPr>
            </w:pPr>
            <w:r w:rsidRPr="006C6CBC">
              <w:t>Family Support; Words of Encouragement; Student Suggestions</w:t>
            </w:r>
          </w:p>
        </w:tc>
      </w:tr>
    </w:tbl>
    <w:p w14:paraId="33CA6F22" w14:textId="77777777" w:rsidR="00B91607" w:rsidRDefault="00B91607" w:rsidP="00441B6F">
      <w:pPr>
        <w:pStyle w:val="Body"/>
        <w:spacing w:after="0"/>
        <w:rPr>
          <w:rFonts w:ascii="Arial" w:hAnsi="Arial" w:cs="Arial"/>
        </w:rPr>
      </w:pPr>
    </w:p>
    <w:p w14:paraId="18806BB8" w14:textId="1B11D2A7" w:rsidR="006D61A3" w:rsidRPr="006D61A3" w:rsidRDefault="006D61A3" w:rsidP="006D61A3">
      <w:pPr>
        <w:pStyle w:val="Body"/>
        <w:rPr>
          <w:rFonts w:ascii="Arial" w:hAnsi="Arial" w:cs="Arial"/>
        </w:rPr>
      </w:pPr>
      <w:r w:rsidRPr="006D61A3">
        <w:rPr>
          <w:rFonts w:ascii="Arial" w:hAnsi="Arial" w:cs="Arial"/>
        </w:rPr>
        <w:t xml:space="preserve">The findings affirm that financial struggles remain central to the experiences of working students. Limited income, dependence on family, and sacrifices reflect those reported in prior studies (Cañizares &amp; Umali, 2018; </w:t>
      </w:r>
      <w:proofErr w:type="spellStart"/>
      <w:r w:rsidR="007D60DF" w:rsidRPr="007D60DF">
        <w:rPr>
          <w:rFonts w:ascii="Arial" w:hAnsi="Arial" w:cs="Arial"/>
        </w:rPr>
        <w:t>Paglinawan</w:t>
      </w:r>
      <w:proofErr w:type="spellEnd"/>
      <w:r w:rsidR="007D60DF" w:rsidRPr="007D60DF">
        <w:rPr>
          <w:rFonts w:ascii="Arial" w:hAnsi="Arial" w:cs="Arial"/>
        </w:rPr>
        <w:t xml:space="preserve"> &amp; </w:t>
      </w:r>
      <w:proofErr w:type="spellStart"/>
      <w:r w:rsidR="007D60DF" w:rsidRPr="007D60DF">
        <w:rPr>
          <w:rFonts w:ascii="Arial" w:hAnsi="Arial" w:cs="Arial"/>
        </w:rPr>
        <w:t>Orbilla</w:t>
      </w:r>
      <w:proofErr w:type="spellEnd"/>
      <w:r w:rsidR="007D60DF" w:rsidRPr="007D60DF">
        <w:rPr>
          <w:rFonts w:ascii="Arial" w:hAnsi="Arial" w:cs="Arial"/>
        </w:rPr>
        <w:t>, 2025</w:t>
      </w:r>
      <w:r w:rsidRPr="006D61A3">
        <w:rPr>
          <w:rFonts w:ascii="Arial" w:hAnsi="Arial" w:cs="Arial"/>
        </w:rPr>
        <w:t>). Students’ budgeting and resourcefulness parallel the coping mechanisms identified by Manalo and Lizada (2019) in technical-vocational contexts.</w:t>
      </w:r>
    </w:p>
    <w:p w14:paraId="11B11E21" w14:textId="77777777" w:rsidR="006D61A3" w:rsidRPr="006D61A3" w:rsidRDefault="006D61A3" w:rsidP="006D61A3">
      <w:pPr>
        <w:pStyle w:val="Body"/>
        <w:rPr>
          <w:rFonts w:ascii="Arial" w:hAnsi="Arial" w:cs="Arial"/>
        </w:rPr>
      </w:pPr>
      <w:r w:rsidRPr="006D61A3">
        <w:rPr>
          <w:rFonts w:ascii="Arial" w:hAnsi="Arial" w:cs="Arial"/>
        </w:rPr>
        <w:t xml:space="preserve">Academic challenges were prominent, as financial hardship interfered with attendance and project completion. Yet, strong commitment to education aligns with Tinto’s (2017) theory of persistence and Zavala-Parrales et al.’s (2020) observations on resilience in technical students. The study further underscores the holistic impact of financial stress, as fatigue and emotional strain were recurrent experiences among participants. Although some managed </w:t>
      </w:r>
      <w:r w:rsidRPr="006D61A3">
        <w:rPr>
          <w:rFonts w:ascii="Arial" w:hAnsi="Arial" w:cs="Arial"/>
        </w:rPr>
        <w:lastRenderedPageBreak/>
        <w:t>stress through emotional regulation and pe</w:t>
      </w:r>
      <w:bookmarkStart w:id="1" w:name="_GoBack"/>
      <w:bookmarkEnd w:id="1"/>
      <w:r w:rsidRPr="006D61A3">
        <w:rPr>
          <w:rFonts w:ascii="Arial" w:hAnsi="Arial" w:cs="Arial"/>
        </w:rPr>
        <w:t>er support, the findings highlight the need for institutional mental health interventions.</w:t>
      </w:r>
    </w:p>
    <w:p w14:paraId="52DD98E0" w14:textId="5E62D32B" w:rsidR="006D61A3" w:rsidRPr="006D61A3" w:rsidRDefault="006D61A3" w:rsidP="006D61A3">
      <w:pPr>
        <w:pStyle w:val="Body"/>
        <w:rPr>
          <w:rFonts w:ascii="Arial" w:hAnsi="Arial" w:cs="Arial"/>
        </w:rPr>
      </w:pPr>
      <w:r w:rsidRPr="006D61A3">
        <w:rPr>
          <w:rFonts w:ascii="Arial" w:hAnsi="Arial" w:cs="Arial"/>
        </w:rPr>
        <w:t>Motivation and self-efficacy emerged as protective factors. Bandura</w:t>
      </w:r>
      <w:r w:rsidR="007D60DF">
        <w:rPr>
          <w:rFonts w:ascii="Arial" w:hAnsi="Arial" w:cs="Arial"/>
        </w:rPr>
        <w:t xml:space="preserve"> et al. </w:t>
      </w:r>
      <w:r w:rsidRPr="006D61A3">
        <w:rPr>
          <w:rFonts w:ascii="Arial" w:hAnsi="Arial" w:cs="Arial"/>
        </w:rPr>
        <w:t>(1997)</w:t>
      </w:r>
      <w:r w:rsidR="007D60DF">
        <w:rPr>
          <w:rFonts w:ascii="Arial" w:hAnsi="Arial" w:cs="Arial"/>
        </w:rPr>
        <w:t>,</w:t>
      </w:r>
      <w:r w:rsidRPr="006D61A3">
        <w:rPr>
          <w:rFonts w:ascii="Arial" w:hAnsi="Arial" w:cs="Arial"/>
        </w:rPr>
        <w:t xml:space="preserve"> concept of self-efficacy was evident as participants’ confidence increased through successful adaptation. Their ability to find meaning in adversity aligns with resilience frameworks suggesting that positive reframing enhances persistence.</w:t>
      </w:r>
    </w:p>
    <w:p w14:paraId="2707A580" w14:textId="45B165BB" w:rsidR="006D61A3" w:rsidRDefault="006D61A3" w:rsidP="006D61A3">
      <w:pPr>
        <w:pStyle w:val="Body"/>
        <w:spacing w:after="0"/>
        <w:rPr>
          <w:rFonts w:ascii="Arial" w:hAnsi="Arial" w:cs="Arial"/>
        </w:rPr>
      </w:pPr>
      <w:r w:rsidRPr="006D61A3">
        <w:rPr>
          <w:rFonts w:ascii="Arial" w:hAnsi="Arial" w:cs="Arial"/>
        </w:rPr>
        <w:t>Finally, the dual nature of family support—providing both assistance and expectations—was evident. Students’ recommendations for scholarships and flexible scheduling point to actionable strategies for improving support at both institutional and policy levels</w:t>
      </w:r>
      <w:r>
        <w:rPr>
          <w:rFonts w:ascii="Arial" w:hAnsi="Arial" w:cs="Arial"/>
        </w:rPr>
        <w:t>.</w:t>
      </w:r>
    </w:p>
    <w:p w14:paraId="397C680F" w14:textId="77777777" w:rsidR="006D61A3" w:rsidRDefault="006D61A3" w:rsidP="00441B6F">
      <w:pPr>
        <w:pStyle w:val="Body"/>
        <w:spacing w:after="0"/>
        <w:rPr>
          <w:rFonts w:ascii="Arial" w:hAnsi="Arial" w:cs="Arial"/>
        </w:rPr>
      </w:pPr>
    </w:p>
    <w:p w14:paraId="15DEB752" w14:textId="77777777" w:rsidR="006D61A3" w:rsidRDefault="006D61A3"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07896E63" w14:textId="1A727413" w:rsidR="00E202C4" w:rsidRPr="00E202C4" w:rsidRDefault="00E202C4" w:rsidP="00E202C4">
      <w:pPr>
        <w:pStyle w:val="Body"/>
        <w:rPr>
          <w:rFonts w:ascii="Arial" w:hAnsi="Arial" w:cs="Arial"/>
        </w:rPr>
      </w:pPr>
      <w:r w:rsidRPr="00E202C4">
        <w:rPr>
          <w:rFonts w:ascii="Arial" w:hAnsi="Arial" w:cs="Arial"/>
        </w:rPr>
        <w:t>This study examined the financial challenges, coping mechanisms, and self-efficacy of Automotive Technology working students in Northern Luzon, revealing the complex realities faced by students who simultaneously navigate academic demands and economic necessity. The findings demonstrate that financial hardship is a central and persistent condition shaping students’ academic experiences, well-being, and decision-making. Limited income, dependence on family support, and the need to make personal sacrifices underscore the precarious situation of working students in technical-vocational programs, where education-related expenses extend beyond tuition to include tools, uniforms, and training requirements.</w:t>
      </w:r>
    </w:p>
    <w:p w14:paraId="7BA379F7" w14:textId="3AA75635" w:rsidR="00E202C4" w:rsidRPr="00E202C4" w:rsidRDefault="00E202C4" w:rsidP="00E202C4">
      <w:pPr>
        <w:pStyle w:val="Body"/>
        <w:rPr>
          <w:rFonts w:ascii="Arial" w:hAnsi="Arial" w:cs="Arial"/>
        </w:rPr>
      </w:pPr>
      <w:r w:rsidRPr="00E202C4">
        <w:rPr>
          <w:rFonts w:ascii="Arial" w:hAnsi="Arial" w:cs="Arial"/>
        </w:rPr>
        <w:t>Despite these financial constraints, the participants displayed notable resilience and adaptive capacity. Their use of strategic budgeting, prioritization of essential needs, and willingness to sacrifice personal comfort reflect deliberate coping strategies that enable continued participation in higher education. However, these strategies often come at the cost of physical health, emotional balance, and social engagement. The study highlights that financial stress does not operate in isolation but exerts a holistic influence on students’ academic performance, attendance, and overall well-being, reinforcing the need to view student financial hardship as both an educational and psychosocial concern.</w:t>
      </w:r>
    </w:p>
    <w:p w14:paraId="70691E01" w14:textId="005FF278" w:rsidR="00E202C4" w:rsidRPr="00E202C4" w:rsidRDefault="00E202C4" w:rsidP="00E202C4">
      <w:pPr>
        <w:pStyle w:val="Body"/>
        <w:rPr>
          <w:rFonts w:ascii="Arial" w:hAnsi="Arial" w:cs="Arial"/>
        </w:rPr>
      </w:pPr>
      <w:r w:rsidRPr="00E202C4">
        <w:rPr>
          <w:rFonts w:ascii="Arial" w:hAnsi="Arial" w:cs="Arial"/>
        </w:rPr>
        <w:t>Academic commitment emerged as a defining feature of the participants’ experiences. Although financial challenges resulted in absenteeism, delayed submissions, and limited access to learning materials, students remained strongly motivated to complete their studies. This persistence reflects high levels of educational commitment and aligns with theories of student retention and resilience, suggesting that personal determination and goal orientation can buffer, though not eliminate, the adverse effects of financial strain.</w:t>
      </w:r>
    </w:p>
    <w:p w14:paraId="1FF4629A" w14:textId="2ADBC8E3" w:rsidR="00E202C4" w:rsidRPr="00E202C4" w:rsidRDefault="00E202C4" w:rsidP="00E202C4">
      <w:pPr>
        <w:pStyle w:val="Body"/>
        <w:rPr>
          <w:rFonts w:ascii="Arial" w:hAnsi="Arial" w:cs="Arial"/>
        </w:rPr>
      </w:pPr>
      <w:r w:rsidRPr="00E202C4">
        <w:rPr>
          <w:rFonts w:ascii="Arial" w:hAnsi="Arial" w:cs="Arial"/>
        </w:rPr>
        <w:t>Motivation, self-efficacy, and meaning-making played a critical role in sustaining students through adversity. As participants gained confidence from overcoming daily challenges, their belief in their capacity to succeed strengthened. Family aspirations, future career goals, and the desire to improve their socioeconomic standing served as powerful sources of motivation. Importantly, many students reframed financial hardship as a formative experience, contributing to personal growth and a stronger sense of purpose—an outlook that supports long-term persistence in technical education.</w:t>
      </w:r>
    </w:p>
    <w:p w14:paraId="413136B7" w14:textId="39158210" w:rsidR="00B01FCD" w:rsidRDefault="00E202C4" w:rsidP="00E202C4">
      <w:pPr>
        <w:pStyle w:val="Body"/>
        <w:spacing w:after="0"/>
        <w:rPr>
          <w:rFonts w:ascii="Arial" w:hAnsi="Arial" w:cs="Arial"/>
        </w:rPr>
      </w:pPr>
      <w:r w:rsidRPr="00E202C4">
        <w:rPr>
          <w:rFonts w:ascii="Arial" w:hAnsi="Arial" w:cs="Arial"/>
        </w:rPr>
        <w:t xml:space="preserve">Finally, the study underscores the importance of support systems in shaping working students’ educational trajectories. While family support remained the primary safety net, it was often accompanied by added responsibilities and expectations. Participants’ recommendations for expanded scholarships, flexible academic policies, and campus-based </w:t>
      </w:r>
      <w:r w:rsidRPr="00E202C4">
        <w:rPr>
          <w:rFonts w:ascii="Arial" w:hAnsi="Arial" w:cs="Arial"/>
        </w:rPr>
        <w:lastRenderedPageBreak/>
        <w:t>employment highlight actionable areas where institutions can intervene. Overall, the findings suggest that addressing the needs of Automotive Technology working</w:t>
      </w:r>
      <w:r>
        <w:rPr>
          <w:rFonts w:ascii="Arial" w:hAnsi="Arial" w:cs="Arial"/>
        </w:rPr>
        <w:t>-</w:t>
      </w:r>
      <w:r w:rsidRPr="00E202C4">
        <w:rPr>
          <w:rFonts w:ascii="Arial" w:hAnsi="Arial" w:cs="Arial"/>
        </w:rPr>
        <w:t>students requires integrated institutional support that acknowledges financial realities, promotes well-being, and strengthens students’ capacity to persist and succeed in technical-vocational education</w:t>
      </w:r>
      <w:r w:rsidR="00E77A7E" w:rsidRPr="00E77A7E">
        <w:rPr>
          <w:rFonts w:ascii="Arial" w:hAnsi="Arial" w:cs="Arial"/>
        </w:rPr>
        <w:t>.</w:t>
      </w:r>
    </w:p>
    <w:p w14:paraId="7FA3C429" w14:textId="77777777" w:rsidR="00B4612E" w:rsidRDefault="00B4612E" w:rsidP="00441B6F"/>
    <w:p w14:paraId="646641F0" w14:textId="4620EC35" w:rsidR="00B4612E" w:rsidRPr="00E77A7E" w:rsidRDefault="00E77A7E" w:rsidP="00E77A7E">
      <w:pPr>
        <w:spacing w:after="240"/>
        <w:rPr>
          <w:rFonts w:ascii="Arial" w:hAnsi="Arial" w:cs="Arial"/>
          <w:b/>
          <w:bCs/>
          <w:sz w:val="22"/>
          <w:szCs w:val="22"/>
        </w:rPr>
      </w:pPr>
      <w:r w:rsidRPr="00E77A7E">
        <w:rPr>
          <w:rFonts w:ascii="Arial" w:hAnsi="Arial" w:cs="Arial"/>
          <w:b/>
          <w:bCs/>
          <w:sz w:val="22"/>
          <w:szCs w:val="22"/>
        </w:rPr>
        <w:t>5. RECOMMENDATIONS</w:t>
      </w:r>
    </w:p>
    <w:p w14:paraId="20FD0234" w14:textId="032125B0" w:rsidR="00E202C4" w:rsidRDefault="00E202C4" w:rsidP="00E202C4">
      <w:pPr>
        <w:spacing w:after="240"/>
        <w:jc w:val="both"/>
      </w:pPr>
      <w:r>
        <w:t>Based on the findings of this study, several recommendations are proposed to address financial challenges and enhance the self-efficacy of Automotive Technology working-students in Northern Luzon.</w:t>
      </w:r>
    </w:p>
    <w:p w14:paraId="254A4C26" w14:textId="77777777" w:rsidR="00E202C4" w:rsidRDefault="00E202C4" w:rsidP="00E202C4">
      <w:pPr>
        <w:spacing w:after="240"/>
        <w:jc w:val="both"/>
      </w:pPr>
      <w:r>
        <w:t>Educational institutions should develop targeted scholarship and financial aid programs for working students, provide flexible class schedules and modular learning options, and integrate counseling services that address the mental health needs of those balancing work and study.</w:t>
      </w:r>
    </w:p>
    <w:p w14:paraId="2E581DAE" w14:textId="77777777" w:rsidR="00E202C4" w:rsidRDefault="00E202C4" w:rsidP="00E202C4">
      <w:pPr>
        <w:spacing w:after="240"/>
        <w:jc w:val="both"/>
      </w:pPr>
      <w:r>
        <w:t>Policy makers and government agencies should implement programs that reduce economic burdens, including livelihood opportunities aligned with academic schedules, subsidies for tools and uniforms, and partnerships with industries to create paid apprenticeships.</w:t>
      </w:r>
    </w:p>
    <w:p w14:paraId="057767D1" w14:textId="77777777" w:rsidR="00E202C4" w:rsidRDefault="00E202C4" w:rsidP="00E202C4">
      <w:pPr>
        <w:spacing w:after="240"/>
        <w:jc w:val="both"/>
      </w:pPr>
      <w:r>
        <w:t>Families and communities should maintain balanced support systems recognizing students’ dual roles as workers and learners. Community-based initiatives such as mentoring programs and localized scholarship funds can further promote motivation and persistence.</w:t>
      </w:r>
    </w:p>
    <w:p w14:paraId="3D2B8460" w14:textId="427719D6" w:rsidR="00E77A7E" w:rsidRPr="00315186" w:rsidRDefault="00E202C4" w:rsidP="00E202C4">
      <w:pPr>
        <w:spacing w:after="240"/>
        <w:jc w:val="both"/>
      </w:pPr>
      <w:r>
        <w:t>Future researchers are encouraged to conduct longitudinal and comparative studies on working students across regions and disciplines and to examine the gendered dimensions of financial and academic struggles in technical-vocational education.</w:t>
      </w:r>
    </w:p>
    <w:p w14:paraId="22AF807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1E02BEC" w14:textId="77777777" w:rsidR="00860000" w:rsidRPr="00786D36" w:rsidRDefault="00860000" w:rsidP="00441B6F">
      <w:pPr>
        <w:pStyle w:val="ReferHead"/>
        <w:spacing w:after="0"/>
        <w:jc w:val="both"/>
        <w:rPr>
          <w:rFonts w:ascii="Arial" w:hAnsi="Arial" w:cs="Arial"/>
        </w:rPr>
      </w:pPr>
    </w:p>
    <w:p w14:paraId="5001DCA4" w14:textId="6F5AC4D8" w:rsidR="00860000" w:rsidRDefault="00B4612E" w:rsidP="00441B6F">
      <w:pPr>
        <w:pStyle w:val="ReferHead"/>
        <w:spacing w:after="0"/>
        <w:jc w:val="both"/>
        <w:rPr>
          <w:rFonts w:ascii="Arial" w:hAnsi="Arial" w:cs="Arial"/>
          <w:b w:val="0"/>
          <w:caps w:val="0"/>
          <w:sz w:val="20"/>
        </w:rPr>
      </w:pPr>
      <w:r w:rsidRPr="00B4612E">
        <w:rPr>
          <w:rFonts w:ascii="Arial" w:hAnsi="Arial" w:cs="Arial"/>
          <w:b w:val="0"/>
          <w:caps w:val="0"/>
          <w:sz w:val="20"/>
        </w:rPr>
        <w:t>The authors declare no known financial or non-financial competing interests. No personal relationships influenced this work</w:t>
      </w:r>
      <w:r>
        <w:rPr>
          <w:rFonts w:ascii="Arial" w:hAnsi="Arial" w:cs="Arial"/>
          <w:b w:val="0"/>
          <w:caps w:val="0"/>
          <w:sz w:val="20"/>
        </w:rPr>
        <w:t>.</w:t>
      </w:r>
    </w:p>
    <w:p w14:paraId="727A6C99" w14:textId="77777777" w:rsidR="00371FB6" w:rsidRDefault="00371FB6" w:rsidP="00441B6F">
      <w:pPr>
        <w:pStyle w:val="ReferHead"/>
        <w:spacing w:after="0"/>
        <w:jc w:val="both"/>
        <w:rPr>
          <w:rFonts w:ascii="Arial" w:hAnsi="Arial" w:cs="Arial"/>
          <w:b w:val="0"/>
          <w:caps w:val="0"/>
          <w:sz w:val="20"/>
        </w:rPr>
      </w:pPr>
    </w:p>
    <w:p w14:paraId="38758E4C" w14:textId="77777777" w:rsidR="002B685A" w:rsidRDefault="002B685A" w:rsidP="00441B6F">
      <w:pPr>
        <w:pStyle w:val="ReferHead"/>
        <w:spacing w:after="0"/>
        <w:jc w:val="both"/>
        <w:rPr>
          <w:rFonts w:ascii="Arial" w:hAnsi="Arial" w:cs="Arial"/>
          <w:b w:val="0"/>
          <w:caps w:val="0"/>
          <w:sz w:val="20"/>
        </w:rPr>
      </w:pPr>
    </w:p>
    <w:p w14:paraId="10E0D985" w14:textId="2A4D1380"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1E353AF7" w14:textId="06224A83" w:rsidR="005C784C" w:rsidRDefault="00194422" w:rsidP="00441B6F">
      <w:pPr>
        <w:pStyle w:val="ReferHead"/>
        <w:spacing w:after="0"/>
        <w:jc w:val="both"/>
        <w:rPr>
          <w:rFonts w:ascii="Arial" w:hAnsi="Arial" w:cs="Arial"/>
          <w:b w:val="0"/>
          <w:caps w:val="0"/>
          <w:sz w:val="20"/>
        </w:rPr>
      </w:pPr>
      <w:r w:rsidRPr="00194422">
        <w:rPr>
          <w:rFonts w:ascii="Arial" w:hAnsi="Arial" w:cs="Arial"/>
          <w:b w:val="0"/>
          <w:caps w:val="0"/>
          <w:sz w:val="20"/>
        </w:rPr>
        <w:t>The study adhered to the principles of Free, Prior, and Informed Consent (FPIC), ensuring that participation was entirely voluntary and free from coercion or undue influence. Participants were clearly informed of the study’s objectives, procedures, potential risks and benefits, and their rights as research participants. Written informed consent was secured prior to data collection, and all signed consent forms were safely and confidentially stored by the researchers</w:t>
      </w:r>
      <w:r w:rsidR="007D60DF" w:rsidRPr="007D60DF">
        <w:rPr>
          <w:rFonts w:ascii="Arial" w:hAnsi="Arial" w:cs="Arial"/>
          <w:b w:val="0"/>
          <w:caps w:val="0"/>
          <w:sz w:val="20"/>
        </w:rPr>
        <w:t>.</w:t>
      </w:r>
    </w:p>
    <w:p w14:paraId="76CBC1DE" w14:textId="77777777" w:rsidR="007D60DF" w:rsidRDefault="007D60DF" w:rsidP="00441B6F">
      <w:pPr>
        <w:pStyle w:val="ReferHead"/>
        <w:spacing w:after="0"/>
        <w:jc w:val="both"/>
        <w:rPr>
          <w:rFonts w:ascii="Arial" w:hAnsi="Arial" w:cs="Arial"/>
          <w:b w:val="0"/>
          <w:caps w:val="0"/>
          <w:sz w:val="20"/>
        </w:rPr>
      </w:pPr>
    </w:p>
    <w:p w14:paraId="7B23D99D" w14:textId="48429432" w:rsidR="005C784C" w:rsidRDefault="005C784C" w:rsidP="00441B6F">
      <w:pPr>
        <w:pStyle w:val="ReferHead"/>
        <w:spacing w:after="0"/>
        <w:jc w:val="both"/>
        <w:rPr>
          <w:rFonts w:ascii="Arial" w:hAnsi="Arial" w:cs="Arial"/>
          <w:bCs/>
        </w:rPr>
      </w:pPr>
      <w:r>
        <w:rPr>
          <w:rFonts w:ascii="Arial" w:hAnsi="Arial" w:cs="Arial"/>
          <w:bCs/>
        </w:rPr>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06E0F4F7" w:rsidR="005C784C" w:rsidRDefault="00194422" w:rsidP="00441B6F">
      <w:pPr>
        <w:pStyle w:val="ReferHead"/>
        <w:spacing w:after="0"/>
        <w:jc w:val="both"/>
        <w:rPr>
          <w:rFonts w:ascii="Arial" w:hAnsi="Arial" w:cs="Arial"/>
          <w:b w:val="0"/>
          <w:caps w:val="0"/>
          <w:sz w:val="20"/>
        </w:rPr>
      </w:pPr>
      <w:r w:rsidRPr="00194422">
        <w:rPr>
          <w:rFonts w:ascii="Arial" w:hAnsi="Arial" w:cs="Arial"/>
          <w:b w:val="0"/>
          <w:caps w:val="0"/>
          <w:sz w:val="20"/>
        </w:rPr>
        <w:t>This study was conducted in accordance with the ethical principles outlined in the 1964 Declaration of Helsinki, with primary consideration given to the protection of participants’ rights, dignity, and well-being. Informed consent was obtained from all participants prior to data collection, and strict confidentiality was maintained throughout the research process. All data were securely stored, and personal identifiers were anonymized to ensure participant privacy. The authors affirm that the study fully complied with these ethical standards</w:t>
      </w:r>
      <w:r w:rsidR="00E77A7E" w:rsidRPr="00E77A7E">
        <w:rPr>
          <w:rFonts w:ascii="Arial" w:hAnsi="Arial" w:cs="Arial"/>
          <w:b w:val="0"/>
          <w:caps w:val="0"/>
          <w:sz w:val="20"/>
        </w:rPr>
        <w:t>.</w:t>
      </w:r>
    </w:p>
    <w:p w14:paraId="602DA497" w14:textId="77777777" w:rsidR="00CD6856" w:rsidRDefault="00CD6856" w:rsidP="00441B6F">
      <w:pPr>
        <w:pStyle w:val="ReferHead"/>
        <w:spacing w:after="0"/>
        <w:jc w:val="both"/>
        <w:rPr>
          <w:rFonts w:ascii="Arial" w:hAnsi="Arial" w:cs="Arial"/>
          <w:b w:val="0"/>
          <w:caps w:val="0"/>
          <w:sz w:val="20"/>
        </w:rPr>
      </w:pPr>
    </w:p>
    <w:p w14:paraId="105A72B0" w14:textId="77777777" w:rsidR="00E77A7E" w:rsidRDefault="00E77A7E" w:rsidP="00441B6F">
      <w:pPr>
        <w:pStyle w:val="ReferHead"/>
        <w:spacing w:after="0"/>
        <w:jc w:val="both"/>
        <w:rPr>
          <w:rFonts w:ascii="Arial" w:hAnsi="Arial" w:cs="Arial"/>
          <w:b w:val="0"/>
          <w:caps w:val="0"/>
          <w:sz w:val="20"/>
        </w:rPr>
      </w:pPr>
    </w:p>
    <w:p w14:paraId="120D5C6F" w14:textId="77777777" w:rsidR="00E77A7E" w:rsidRPr="00E77A7E" w:rsidRDefault="00E77A7E" w:rsidP="00E77A7E">
      <w:pPr>
        <w:spacing w:after="120" w:line="264" w:lineRule="auto"/>
        <w:rPr>
          <w:rFonts w:ascii="Arial" w:eastAsia="Calibri" w:hAnsi="Arial" w:cs="Arial"/>
          <w:b/>
          <w:bCs/>
          <w:kern w:val="2"/>
          <w:sz w:val="22"/>
          <w:szCs w:val="22"/>
        </w:rPr>
      </w:pPr>
      <w:bookmarkStart w:id="2" w:name="_Hlk197682619"/>
      <w:bookmarkStart w:id="3" w:name="_Hlk180402183"/>
      <w:bookmarkStart w:id="4" w:name="_Hlk183680988"/>
      <w:bookmarkStart w:id="5" w:name="_Hlk197351200"/>
      <w:r w:rsidRPr="00E77A7E">
        <w:rPr>
          <w:rFonts w:ascii="Arial" w:eastAsia="Calibri" w:hAnsi="Arial" w:cs="Arial"/>
          <w:b/>
          <w:bCs/>
          <w:kern w:val="2"/>
          <w:sz w:val="22"/>
          <w:szCs w:val="22"/>
        </w:rPr>
        <w:t>DISCLAIMER (ARTIFICIAL INTELLIGENCE)</w:t>
      </w:r>
    </w:p>
    <w:p w14:paraId="259FCE17" w14:textId="77777777" w:rsidR="00E77A7E" w:rsidRPr="00E77A7E" w:rsidRDefault="00E77A7E" w:rsidP="00E77A7E">
      <w:pPr>
        <w:spacing w:after="120" w:line="264" w:lineRule="auto"/>
        <w:rPr>
          <w:rFonts w:ascii="Arial" w:eastAsia="Calibri" w:hAnsi="Arial" w:cs="Arial"/>
          <w:kern w:val="2"/>
        </w:rPr>
      </w:pPr>
      <w:r w:rsidRPr="00E77A7E">
        <w:rPr>
          <w:rFonts w:ascii="Arial" w:eastAsia="Calibri" w:hAnsi="Arial" w:cs="Arial"/>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B211EE" w14:textId="77777777" w:rsidR="00E77A7E" w:rsidRPr="00E77A7E" w:rsidRDefault="00E77A7E" w:rsidP="00E77A7E">
      <w:pPr>
        <w:spacing w:after="120" w:line="264" w:lineRule="auto"/>
        <w:rPr>
          <w:rFonts w:ascii="Arial" w:eastAsia="Calibri" w:hAnsi="Arial" w:cs="Arial"/>
          <w:kern w:val="2"/>
        </w:rPr>
      </w:pPr>
      <w:r w:rsidRPr="00E77A7E">
        <w:rPr>
          <w:rFonts w:ascii="Arial" w:eastAsia="Calibri" w:hAnsi="Arial" w:cs="Arial"/>
          <w:kern w:val="2"/>
        </w:rPr>
        <w:t>Details of the AI usage are given below:</w:t>
      </w:r>
    </w:p>
    <w:p w14:paraId="1066E5E7" w14:textId="77777777" w:rsidR="00E77A7E" w:rsidRPr="00E77A7E" w:rsidRDefault="00E77A7E" w:rsidP="00E77A7E">
      <w:pPr>
        <w:numPr>
          <w:ilvl w:val="0"/>
          <w:numId w:val="31"/>
        </w:numPr>
        <w:spacing w:after="120" w:line="264" w:lineRule="auto"/>
        <w:contextualSpacing/>
        <w:jc w:val="both"/>
        <w:rPr>
          <w:rFonts w:ascii="Arial" w:eastAsia="Calibri" w:hAnsi="Arial" w:cs="Arial"/>
          <w:kern w:val="2"/>
        </w:rPr>
      </w:pPr>
      <w:r w:rsidRPr="00E77A7E">
        <w:rPr>
          <w:rFonts w:ascii="Arial" w:eastAsia="Calibri" w:hAnsi="Arial" w:cs="Arial"/>
          <w:kern w:val="2"/>
        </w:rPr>
        <w:t>Name: ChatGPT | Version: GPT-4 | Model: OpenAI GPT-4</w:t>
      </w:r>
    </w:p>
    <w:p w14:paraId="568E8DEE" w14:textId="77777777" w:rsidR="00E77A7E" w:rsidRPr="00E77A7E" w:rsidRDefault="00E77A7E" w:rsidP="00E77A7E">
      <w:pPr>
        <w:numPr>
          <w:ilvl w:val="0"/>
          <w:numId w:val="31"/>
        </w:numPr>
        <w:spacing w:after="120" w:line="264" w:lineRule="auto"/>
        <w:contextualSpacing/>
        <w:jc w:val="both"/>
        <w:rPr>
          <w:rFonts w:ascii="Arial" w:eastAsia="Calibri" w:hAnsi="Arial" w:cs="Arial"/>
          <w:kern w:val="2"/>
        </w:rPr>
      </w:pPr>
      <w:r w:rsidRPr="00E77A7E">
        <w:rPr>
          <w:rFonts w:ascii="Arial" w:eastAsia="Calibri" w:hAnsi="Arial" w:cs="Arial"/>
          <w:kern w:val="2"/>
        </w:rPr>
        <w:t>The AI was used to review, refine, and correct the text in terms of language, flow, and precision. Additionally, it helped in ensuring that statistical calculations were processed correctly, contributing to the overall accuracy of the findings.</w:t>
      </w:r>
      <w:bookmarkStart w:id="6" w:name="_Hlk187485061"/>
      <w:bookmarkEnd w:id="2"/>
      <w:bookmarkEnd w:id="3"/>
      <w:bookmarkEnd w:id="4"/>
    </w:p>
    <w:p w14:paraId="35E7DA73" w14:textId="08229C47" w:rsidR="00E77A7E" w:rsidRPr="00E77A7E" w:rsidRDefault="00E77A7E" w:rsidP="00E77A7E">
      <w:pPr>
        <w:numPr>
          <w:ilvl w:val="0"/>
          <w:numId w:val="31"/>
        </w:numPr>
        <w:spacing w:after="120" w:line="264" w:lineRule="auto"/>
        <w:contextualSpacing/>
        <w:jc w:val="both"/>
        <w:rPr>
          <w:rFonts w:ascii="Arial" w:eastAsia="Calibri" w:hAnsi="Arial" w:cs="Arial"/>
          <w:kern w:val="2"/>
          <w:lang w:val="en-PH"/>
        </w:rPr>
      </w:pPr>
      <w:r>
        <w:rPr>
          <w:rFonts w:ascii="Arial" w:eastAsia="Calibri" w:hAnsi="Arial" w:cs="Arial"/>
          <w:kern w:val="2"/>
        </w:rPr>
        <w:t xml:space="preserve">Prompt: </w:t>
      </w:r>
      <w:r w:rsidRPr="00E77A7E">
        <w:rPr>
          <w:rFonts w:ascii="Arial" w:eastAsia="Calibri" w:hAnsi="Arial" w:cs="Arial"/>
          <w:kern w:val="2"/>
          <w:lang w:val="en-PH"/>
        </w:rPr>
        <w:t>Act as an English critic and enhance the language quality of this article for publication, focusing on clarity and readability. Ensure that the data remains intact and that the interpretation of the data is not affected in any way.</w:t>
      </w:r>
    </w:p>
    <w:bookmarkEnd w:id="5"/>
    <w:bookmarkEnd w:id="6"/>
    <w:p w14:paraId="089BA53F" w14:textId="77777777" w:rsidR="00E77A7E" w:rsidRDefault="00E77A7E" w:rsidP="00441B6F">
      <w:pPr>
        <w:pStyle w:val="ReferHead"/>
        <w:spacing w:after="0"/>
        <w:jc w:val="both"/>
        <w:rPr>
          <w:rFonts w:ascii="Arial" w:hAnsi="Arial" w:cs="Arial"/>
          <w:b w:val="0"/>
          <w:caps w:val="0"/>
          <w:sz w:val="20"/>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Default="00790ADA" w:rsidP="00441B6F">
      <w:pPr>
        <w:pStyle w:val="ReferHead"/>
        <w:spacing w:after="0"/>
        <w:jc w:val="both"/>
        <w:rPr>
          <w:rFonts w:ascii="Arial" w:hAnsi="Arial" w:cs="Arial"/>
        </w:rPr>
      </w:pPr>
    </w:p>
    <w:p w14:paraId="45D3FAA0" w14:textId="596988AB" w:rsidR="00A40C81" w:rsidRPr="007972E1" w:rsidRDefault="00B94BE7" w:rsidP="007972E1">
      <w:pPr>
        <w:spacing w:after="240"/>
        <w:jc w:val="both"/>
        <w:rPr>
          <w:rFonts w:ascii="Arial" w:hAnsi="Arial" w:cs="Arial"/>
          <w:color w:val="0000FF"/>
          <w:u w:val="single"/>
          <w:lang w:val="en-PH" w:eastAsia="en-PH"/>
        </w:rPr>
      </w:pPr>
      <w:r w:rsidRPr="007972E1">
        <w:rPr>
          <w:rFonts w:ascii="Arial" w:hAnsi="Arial" w:cs="Arial"/>
          <w:lang w:val="en-PH" w:eastAsia="en-PH"/>
        </w:rPr>
        <w:t xml:space="preserve">Aton, J. G. B., Crisostomo, C. M. N., </w:t>
      </w:r>
      <w:proofErr w:type="spellStart"/>
      <w:r w:rsidRPr="007972E1">
        <w:rPr>
          <w:rFonts w:ascii="Arial" w:hAnsi="Arial" w:cs="Arial"/>
          <w:lang w:val="en-PH" w:eastAsia="en-PH"/>
        </w:rPr>
        <w:t>Linao</w:t>
      </w:r>
      <w:proofErr w:type="spellEnd"/>
      <w:r w:rsidRPr="007972E1">
        <w:rPr>
          <w:rFonts w:ascii="Arial" w:hAnsi="Arial" w:cs="Arial"/>
          <w:lang w:val="en-PH" w:eastAsia="en-PH"/>
        </w:rPr>
        <w:t xml:space="preserve">, J. J. L., </w:t>
      </w:r>
      <w:proofErr w:type="spellStart"/>
      <w:r w:rsidRPr="007972E1">
        <w:rPr>
          <w:rFonts w:ascii="Arial" w:hAnsi="Arial" w:cs="Arial"/>
          <w:lang w:val="en-PH" w:eastAsia="en-PH"/>
        </w:rPr>
        <w:t>Quilicot</w:t>
      </w:r>
      <w:proofErr w:type="spellEnd"/>
      <w:r w:rsidRPr="007972E1">
        <w:rPr>
          <w:rFonts w:ascii="Arial" w:hAnsi="Arial" w:cs="Arial"/>
          <w:lang w:val="en-PH" w:eastAsia="en-PH"/>
        </w:rPr>
        <w:t xml:space="preserve">, Z. B., Vergara, M. P., &amp; </w:t>
      </w:r>
      <w:proofErr w:type="spellStart"/>
      <w:r w:rsidRPr="007972E1">
        <w:rPr>
          <w:rFonts w:ascii="Arial" w:hAnsi="Arial" w:cs="Arial"/>
          <w:lang w:val="en-PH" w:eastAsia="en-PH"/>
        </w:rPr>
        <w:t>Cabanilla</w:t>
      </w:r>
      <w:proofErr w:type="spellEnd"/>
      <w:r w:rsidRPr="007972E1">
        <w:rPr>
          <w:rFonts w:ascii="Arial" w:hAnsi="Arial" w:cs="Arial"/>
          <w:lang w:val="en-PH" w:eastAsia="en-PH"/>
        </w:rPr>
        <w:t xml:space="preserve">, A. B., Jr. (2024). Opportunities and challenges of working students in blended learning. International Journal of Multidisciplinary Research and Growth Evaluation, 05(01), 756–762. </w:t>
      </w:r>
      <w:hyperlink r:id="rId14" w:history="1">
        <w:r w:rsidRPr="007972E1">
          <w:rPr>
            <w:rStyle w:val="Hyperlink"/>
            <w:rFonts w:ascii="Arial" w:hAnsi="Arial" w:cs="Arial"/>
            <w:lang w:val="en-PH" w:eastAsia="en-PH"/>
          </w:rPr>
          <w:t>https://www.allmultidisciplinaryjournal.com/uploads/archives/20240711205029_A-24-170.1.pdf</w:t>
        </w:r>
      </w:hyperlink>
      <w:r w:rsidRPr="007972E1">
        <w:rPr>
          <w:rFonts w:ascii="Arial" w:hAnsi="Arial" w:cs="Arial"/>
          <w:lang w:val="en-PH" w:eastAsia="en-PH"/>
        </w:rPr>
        <w:t xml:space="preserve"> </w:t>
      </w:r>
    </w:p>
    <w:p w14:paraId="4D7E1FEB" w14:textId="62C72AC8" w:rsidR="007D60DF" w:rsidRPr="007972E1" w:rsidRDefault="00DD328D" w:rsidP="007972E1">
      <w:pPr>
        <w:spacing w:after="240"/>
        <w:jc w:val="both"/>
        <w:rPr>
          <w:rFonts w:ascii="Arial" w:hAnsi="Arial" w:cs="Arial"/>
          <w:lang w:val="en-PH" w:eastAsia="en-PH"/>
        </w:rPr>
      </w:pPr>
      <w:r w:rsidRPr="007972E1">
        <w:rPr>
          <w:rFonts w:ascii="Arial" w:hAnsi="Arial" w:cs="Arial"/>
          <w:lang w:val="en-PH" w:eastAsia="en-PH"/>
        </w:rPr>
        <w:t xml:space="preserve">Bandura, A., Freeman, W. H., &amp; Lightsey, R. (1999). Self-Efficacy: The Exercise of Control. Journal of Cognitive Psychotherapy </w:t>
      </w:r>
      <w:hyperlink r:id="rId15" w:history="1">
        <w:r w:rsidRPr="007972E1">
          <w:rPr>
            <w:rStyle w:val="Hyperlink"/>
            <w:rFonts w:ascii="Arial" w:hAnsi="Arial" w:cs="Arial"/>
            <w:lang w:val="en-PH" w:eastAsia="en-PH"/>
          </w:rPr>
          <w:t>https://doi.org/10.1891/0889-8391.13.2.158</w:t>
        </w:r>
      </w:hyperlink>
      <w:r w:rsidRPr="007972E1">
        <w:rPr>
          <w:rFonts w:ascii="Arial" w:hAnsi="Arial" w:cs="Arial"/>
          <w:lang w:val="en-PH" w:eastAsia="en-PH"/>
        </w:rPr>
        <w:t xml:space="preserve"> </w:t>
      </w:r>
    </w:p>
    <w:p w14:paraId="40A08C96" w14:textId="4BE62482" w:rsidR="007D60DF" w:rsidRPr="007972E1" w:rsidRDefault="00DE2CDA" w:rsidP="007972E1">
      <w:pPr>
        <w:spacing w:after="240"/>
        <w:jc w:val="both"/>
        <w:rPr>
          <w:rFonts w:ascii="Arial" w:hAnsi="Arial" w:cs="Arial"/>
          <w:lang w:val="en-PH" w:eastAsia="en-PH"/>
        </w:rPr>
      </w:pPr>
      <w:r w:rsidRPr="007972E1">
        <w:rPr>
          <w:rFonts w:ascii="Arial" w:hAnsi="Arial" w:cs="Arial"/>
          <w:lang w:val="en-PH" w:eastAsia="en-PH"/>
        </w:rPr>
        <w:lastRenderedPageBreak/>
        <w:t xml:space="preserve">Braxton, J. M. (2019). Leaving College: Rethinking the Causes and Cures of Student Attrition by Vincent Tinto (review). Journal of College Student Development, 60(1), 129–134. </w:t>
      </w:r>
      <w:hyperlink r:id="rId16" w:history="1">
        <w:r w:rsidRPr="007972E1">
          <w:rPr>
            <w:rStyle w:val="Hyperlink"/>
            <w:rFonts w:ascii="Arial" w:hAnsi="Arial" w:cs="Arial"/>
            <w:lang w:val="en-PH" w:eastAsia="en-PH"/>
          </w:rPr>
          <w:t>https://doi.org/10.1353/csd.2019.0012</w:t>
        </w:r>
      </w:hyperlink>
      <w:r w:rsidRPr="007972E1">
        <w:rPr>
          <w:rFonts w:ascii="Arial" w:hAnsi="Arial" w:cs="Arial"/>
          <w:lang w:val="en-PH" w:eastAsia="en-PH"/>
        </w:rPr>
        <w:t xml:space="preserve"> </w:t>
      </w:r>
    </w:p>
    <w:p w14:paraId="1A5CCC88" w14:textId="5B2227D5" w:rsidR="007D60DF" w:rsidRPr="007972E1" w:rsidRDefault="00E474A1" w:rsidP="007972E1">
      <w:pPr>
        <w:spacing w:after="240"/>
        <w:jc w:val="both"/>
        <w:rPr>
          <w:rFonts w:ascii="Arial" w:hAnsi="Arial" w:cs="Arial"/>
          <w:lang w:val="en-PH" w:eastAsia="en-PH"/>
        </w:rPr>
      </w:pPr>
      <w:proofErr w:type="spellStart"/>
      <w:r w:rsidRPr="007972E1">
        <w:rPr>
          <w:rFonts w:ascii="Arial" w:hAnsi="Arial" w:cs="Arial"/>
          <w:lang w:val="en-PH" w:eastAsia="en-PH"/>
        </w:rPr>
        <w:t>Cabaluna</w:t>
      </w:r>
      <w:proofErr w:type="spellEnd"/>
      <w:r w:rsidRPr="007972E1">
        <w:rPr>
          <w:rFonts w:ascii="Arial" w:hAnsi="Arial" w:cs="Arial"/>
          <w:lang w:val="en-PH" w:eastAsia="en-PH"/>
        </w:rPr>
        <w:t xml:space="preserve">, A. M., </w:t>
      </w:r>
      <w:proofErr w:type="spellStart"/>
      <w:r w:rsidRPr="007972E1">
        <w:rPr>
          <w:rFonts w:ascii="Arial" w:hAnsi="Arial" w:cs="Arial"/>
          <w:lang w:val="en-PH" w:eastAsia="en-PH"/>
        </w:rPr>
        <w:t>Navasquez</w:t>
      </w:r>
      <w:proofErr w:type="spellEnd"/>
      <w:r w:rsidRPr="007972E1">
        <w:rPr>
          <w:rFonts w:ascii="Arial" w:hAnsi="Arial" w:cs="Arial"/>
          <w:lang w:val="en-PH" w:eastAsia="en-PH"/>
        </w:rPr>
        <w:t xml:space="preserve">, M. F., </w:t>
      </w:r>
      <w:proofErr w:type="spellStart"/>
      <w:r w:rsidRPr="007972E1">
        <w:rPr>
          <w:rFonts w:ascii="Arial" w:hAnsi="Arial" w:cs="Arial"/>
          <w:lang w:val="en-PH" w:eastAsia="en-PH"/>
        </w:rPr>
        <w:t>Cabanete</w:t>
      </w:r>
      <w:proofErr w:type="spellEnd"/>
      <w:r w:rsidRPr="007972E1">
        <w:rPr>
          <w:rFonts w:ascii="Arial" w:hAnsi="Arial" w:cs="Arial"/>
          <w:lang w:val="en-PH" w:eastAsia="en-PH"/>
        </w:rPr>
        <w:t xml:space="preserve">, H., Rivera, A., </w:t>
      </w:r>
      <w:proofErr w:type="spellStart"/>
      <w:r w:rsidRPr="007972E1">
        <w:rPr>
          <w:rFonts w:ascii="Arial" w:hAnsi="Arial" w:cs="Arial"/>
          <w:lang w:val="en-PH" w:eastAsia="en-PH"/>
        </w:rPr>
        <w:t>Racho</w:t>
      </w:r>
      <w:proofErr w:type="spellEnd"/>
      <w:r w:rsidRPr="007972E1">
        <w:rPr>
          <w:rFonts w:ascii="Arial" w:hAnsi="Arial" w:cs="Arial"/>
          <w:lang w:val="en-PH" w:eastAsia="en-PH"/>
        </w:rPr>
        <w:t xml:space="preserve">, C. R., </w:t>
      </w:r>
      <w:proofErr w:type="spellStart"/>
      <w:r w:rsidRPr="007972E1">
        <w:rPr>
          <w:rFonts w:ascii="Arial" w:hAnsi="Arial" w:cs="Arial"/>
          <w:lang w:val="en-PH" w:eastAsia="en-PH"/>
        </w:rPr>
        <w:t>Pohino</w:t>
      </w:r>
      <w:proofErr w:type="spellEnd"/>
      <w:r w:rsidRPr="007972E1">
        <w:rPr>
          <w:rFonts w:ascii="Arial" w:hAnsi="Arial" w:cs="Arial"/>
          <w:lang w:val="en-PH" w:eastAsia="en-PH"/>
        </w:rPr>
        <w:t xml:space="preserve">, C., </w:t>
      </w:r>
      <w:proofErr w:type="spellStart"/>
      <w:r w:rsidRPr="007972E1">
        <w:rPr>
          <w:rFonts w:ascii="Arial" w:hAnsi="Arial" w:cs="Arial"/>
          <w:lang w:val="en-PH" w:eastAsia="en-PH"/>
        </w:rPr>
        <w:t>Lapasaran</w:t>
      </w:r>
      <w:proofErr w:type="spellEnd"/>
      <w:r w:rsidRPr="007972E1">
        <w:rPr>
          <w:rFonts w:ascii="Arial" w:hAnsi="Arial" w:cs="Arial"/>
          <w:lang w:val="en-PH" w:eastAsia="en-PH"/>
        </w:rPr>
        <w:t xml:space="preserve">, S. M., &amp; </w:t>
      </w:r>
      <w:proofErr w:type="spellStart"/>
      <w:r w:rsidRPr="007972E1">
        <w:rPr>
          <w:rFonts w:ascii="Arial" w:hAnsi="Arial" w:cs="Arial"/>
          <w:lang w:val="en-PH" w:eastAsia="en-PH"/>
        </w:rPr>
        <w:t>Abella</w:t>
      </w:r>
      <w:proofErr w:type="spellEnd"/>
      <w:r w:rsidRPr="007972E1">
        <w:rPr>
          <w:rFonts w:ascii="Arial" w:hAnsi="Arial" w:cs="Arial"/>
          <w:lang w:val="en-PH" w:eastAsia="en-PH"/>
        </w:rPr>
        <w:t xml:space="preserve">, V. (2024). Influence of financial problem to the academic performance of the grade 11 students. International Multidisciplinary Journal of Research for Innovation, Sustainability, and Excellence, 1(5), 300–305. </w:t>
      </w:r>
      <w:hyperlink r:id="rId17" w:history="1">
        <w:r w:rsidRPr="007972E1">
          <w:rPr>
            <w:rStyle w:val="Hyperlink"/>
            <w:rFonts w:ascii="Arial" w:hAnsi="Arial" w:cs="Arial"/>
            <w:lang w:val="en-PH" w:eastAsia="en-PH"/>
          </w:rPr>
          <w:t>https://risejournals.org/index.php/imjrise/article/download/395/537/1148</w:t>
        </w:r>
      </w:hyperlink>
      <w:r w:rsidRPr="007972E1">
        <w:rPr>
          <w:rFonts w:ascii="Arial" w:hAnsi="Arial" w:cs="Arial"/>
          <w:lang w:val="en-PH" w:eastAsia="en-PH"/>
        </w:rPr>
        <w:t xml:space="preserve"> </w:t>
      </w:r>
    </w:p>
    <w:p w14:paraId="53E39FAE" w14:textId="68C68780" w:rsidR="007D60DF" w:rsidRPr="007972E1" w:rsidRDefault="004D65A7" w:rsidP="007972E1">
      <w:pPr>
        <w:spacing w:after="240"/>
        <w:jc w:val="both"/>
        <w:rPr>
          <w:rFonts w:ascii="Arial" w:hAnsi="Arial" w:cs="Arial"/>
          <w:lang w:val="en-PH" w:eastAsia="en-PH"/>
        </w:rPr>
      </w:pPr>
      <w:r w:rsidRPr="007972E1">
        <w:rPr>
          <w:rFonts w:ascii="Arial" w:hAnsi="Arial" w:cs="Arial"/>
          <w:lang w:val="en-PH" w:eastAsia="en-PH"/>
        </w:rPr>
        <w:t xml:space="preserve">Moore, A., Nguyen, A., Rivas, S., </w:t>
      </w:r>
      <w:proofErr w:type="spellStart"/>
      <w:r w:rsidRPr="007972E1">
        <w:rPr>
          <w:rFonts w:ascii="Arial" w:hAnsi="Arial" w:cs="Arial"/>
          <w:lang w:val="en-PH" w:eastAsia="en-PH"/>
        </w:rPr>
        <w:t>Bany</w:t>
      </w:r>
      <w:proofErr w:type="spellEnd"/>
      <w:r w:rsidRPr="007972E1">
        <w:rPr>
          <w:rFonts w:ascii="Arial" w:hAnsi="Arial" w:cs="Arial"/>
          <w:lang w:val="en-PH" w:eastAsia="en-PH"/>
        </w:rPr>
        <w:t xml:space="preserve">-Mohammed, A., </w:t>
      </w:r>
      <w:proofErr w:type="spellStart"/>
      <w:r w:rsidRPr="007972E1">
        <w:rPr>
          <w:rFonts w:ascii="Arial" w:hAnsi="Arial" w:cs="Arial"/>
          <w:lang w:val="en-PH" w:eastAsia="en-PH"/>
        </w:rPr>
        <w:t>Majeika</w:t>
      </w:r>
      <w:proofErr w:type="spellEnd"/>
      <w:r w:rsidRPr="007972E1">
        <w:rPr>
          <w:rFonts w:ascii="Arial" w:hAnsi="Arial" w:cs="Arial"/>
          <w:lang w:val="en-PH" w:eastAsia="en-PH"/>
        </w:rPr>
        <w:t xml:space="preserve">, J., &amp; Martinez, L. (2021). A qualitative examination of the impacts of financial stress on college students’ well-being: Insights from a large, private institution. SAGE Open Medicine </w:t>
      </w:r>
      <w:hyperlink r:id="rId18" w:history="1">
        <w:r w:rsidRPr="007972E1">
          <w:rPr>
            <w:rStyle w:val="Hyperlink"/>
            <w:rFonts w:ascii="Arial" w:hAnsi="Arial" w:cs="Arial"/>
            <w:lang w:val="en-PH" w:eastAsia="en-PH"/>
          </w:rPr>
          <w:t>https://doi.org/10.1177/20503121211018122</w:t>
        </w:r>
      </w:hyperlink>
      <w:r w:rsidRPr="007972E1">
        <w:rPr>
          <w:rFonts w:ascii="Arial" w:hAnsi="Arial" w:cs="Arial"/>
          <w:lang w:val="en-PH" w:eastAsia="en-PH"/>
        </w:rPr>
        <w:t xml:space="preserve"> </w:t>
      </w:r>
    </w:p>
    <w:p w14:paraId="0ACA91F8" w14:textId="7632C461" w:rsidR="007D60DF" w:rsidRPr="007972E1" w:rsidRDefault="00712243" w:rsidP="007972E1">
      <w:pPr>
        <w:spacing w:after="240"/>
        <w:jc w:val="both"/>
        <w:rPr>
          <w:rFonts w:ascii="Arial" w:hAnsi="Arial" w:cs="Arial"/>
          <w:lang w:val="en-PH" w:eastAsia="en-PH"/>
        </w:rPr>
      </w:pPr>
      <w:proofErr w:type="spellStart"/>
      <w:r w:rsidRPr="007972E1">
        <w:rPr>
          <w:rFonts w:ascii="Arial" w:hAnsi="Arial" w:cs="Arial"/>
          <w:lang w:val="en-PH" w:eastAsia="en-PH"/>
        </w:rPr>
        <w:t>Orbeta</w:t>
      </w:r>
      <w:proofErr w:type="spellEnd"/>
      <w:r w:rsidRPr="007972E1">
        <w:rPr>
          <w:rFonts w:ascii="Arial" w:hAnsi="Arial" w:cs="Arial"/>
          <w:lang w:val="en-PH" w:eastAsia="en-PH"/>
        </w:rPr>
        <w:t xml:space="preserve">, A., &amp; Corpus, J. P. (2024). Issues in Philippine TVET: Responsiveness to Industry Demand and Barriers to Access among Disadvantaged Youth. Philippine Institute for Development Studies eBooks. </w:t>
      </w:r>
      <w:hyperlink r:id="rId19" w:history="1">
        <w:r w:rsidRPr="007972E1">
          <w:rPr>
            <w:rStyle w:val="Hyperlink"/>
            <w:rFonts w:ascii="Arial" w:hAnsi="Arial" w:cs="Arial"/>
            <w:lang w:val="en-PH" w:eastAsia="en-PH"/>
          </w:rPr>
          <w:t>https://doi.org/10.62986/rps2024.03</w:t>
        </w:r>
      </w:hyperlink>
      <w:r w:rsidRPr="007972E1">
        <w:rPr>
          <w:rFonts w:ascii="Arial" w:hAnsi="Arial" w:cs="Arial"/>
          <w:lang w:val="en-PH" w:eastAsia="en-PH"/>
        </w:rPr>
        <w:t xml:space="preserve"> </w:t>
      </w:r>
    </w:p>
    <w:p w14:paraId="5323AFA5" w14:textId="43DDE669" w:rsidR="007D60DF" w:rsidRPr="007972E1" w:rsidRDefault="00B360E1" w:rsidP="007972E1">
      <w:pPr>
        <w:spacing w:after="240"/>
        <w:jc w:val="both"/>
        <w:rPr>
          <w:rFonts w:ascii="Arial" w:hAnsi="Arial" w:cs="Arial"/>
          <w:lang w:val="en-PH" w:eastAsia="en-PH"/>
        </w:rPr>
      </w:pPr>
      <w:proofErr w:type="spellStart"/>
      <w:r w:rsidRPr="007972E1">
        <w:rPr>
          <w:rFonts w:ascii="Arial" w:hAnsi="Arial" w:cs="Arial"/>
          <w:lang w:val="en-PH" w:eastAsia="en-PH"/>
        </w:rPr>
        <w:t>Paranial</w:t>
      </w:r>
      <w:proofErr w:type="spellEnd"/>
      <w:r w:rsidRPr="007972E1">
        <w:rPr>
          <w:rFonts w:ascii="Arial" w:hAnsi="Arial" w:cs="Arial"/>
          <w:lang w:val="en-PH" w:eastAsia="en-PH"/>
        </w:rPr>
        <w:t xml:space="preserve">, M. M., &amp; </w:t>
      </w:r>
      <w:proofErr w:type="spellStart"/>
      <w:r w:rsidRPr="007972E1">
        <w:rPr>
          <w:rFonts w:ascii="Arial" w:hAnsi="Arial" w:cs="Arial"/>
          <w:lang w:val="en-PH" w:eastAsia="en-PH"/>
        </w:rPr>
        <w:t>Campaña</w:t>
      </w:r>
      <w:proofErr w:type="spellEnd"/>
      <w:r w:rsidRPr="007972E1">
        <w:rPr>
          <w:rFonts w:ascii="Arial" w:hAnsi="Arial" w:cs="Arial"/>
          <w:lang w:val="en-PH" w:eastAsia="en-PH"/>
        </w:rPr>
        <w:t xml:space="preserve">, C. P. (2023). EXPLORING THE LIVED EXPERIENCES OF WORKING STUDENTS IN DAVAO CITY. International Journal of Engineering Technology Research &amp; Management. </w:t>
      </w:r>
      <w:hyperlink r:id="rId20" w:history="1">
        <w:r w:rsidRPr="007972E1">
          <w:rPr>
            <w:rStyle w:val="Hyperlink"/>
            <w:rFonts w:ascii="Arial" w:hAnsi="Arial" w:cs="Arial"/>
            <w:lang w:val="en-PH" w:eastAsia="en-PH"/>
          </w:rPr>
          <w:t>https://ijetrm.com/issues/files/Dec-2023-07-1701941806-DEC10.pdf</w:t>
        </w:r>
      </w:hyperlink>
      <w:r w:rsidRPr="007972E1">
        <w:rPr>
          <w:rFonts w:ascii="Arial" w:hAnsi="Arial" w:cs="Arial"/>
          <w:lang w:val="en-PH" w:eastAsia="en-PH"/>
        </w:rPr>
        <w:t xml:space="preserve"> </w:t>
      </w:r>
    </w:p>
    <w:p w14:paraId="4510A78E" w14:textId="209EBCE9" w:rsidR="007D60DF" w:rsidRPr="007972E1" w:rsidRDefault="00891BB2" w:rsidP="007972E1">
      <w:pPr>
        <w:spacing w:after="240"/>
        <w:jc w:val="both"/>
        <w:rPr>
          <w:rFonts w:ascii="Arial" w:hAnsi="Arial" w:cs="Arial"/>
          <w:lang w:val="en-PH" w:eastAsia="en-PH"/>
        </w:rPr>
      </w:pPr>
      <w:proofErr w:type="spellStart"/>
      <w:r w:rsidRPr="007972E1">
        <w:rPr>
          <w:rFonts w:ascii="Arial" w:hAnsi="Arial" w:cs="Arial"/>
          <w:lang w:val="en-PH" w:eastAsia="en-PH"/>
        </w:rPr>
        <w:t>Paglinawan</w:t>
      </w:r>
      <w:proofErr w:type="spellEnd"/>
      <w:r w:rsidRPr="007972E1">
        <w:rPr>
          <w:rFonts w:ascii="Arial" w:hAnsi="Arial" w:cs="Arial"/>
          <w:lang w:val="en-PH" w:eastAsia="en-PH"/>
        </w:rPr>
        <w:t xml:space="preserve">, J. L., &amp; </w:t>
      </w:r>
      <w:proofErr w:type="spellStart"/>
      <w:r w:rsidRPr="007972E1">
        <w:rPr>
          <w:rFonts w:ascii="Arial" w:hAnsi="Arial" w:cs="Arial"/>
          <w:lang w:val="en-PH" w:eastAsia="en-PH"/>
        </w:rPr>
        <w:t>Orbilla</w:t>
      </w:r>
      <w:proofErr w:type="spellEnd"/>
      <w:r w:rsidRPr="007972E1">
        <w:rPr>
          <w:rFonts w:ascii="Arial" w:hAnsi="Arial" w:cs="Arial"/>
          <w:lang w:val="en-PH" w:eastAsia="en-PH"/>
        </w:rPr>
        <w:t xml:space="preserve">, E. C., Jr. (2025). Balancing between work and study: Trials and triumphs of working student at an early age. International Journal of Research and Innovation in Applied Science </w:t>
      </w:r>
      <w:hyperlink r:id="rId21" w:history="1">
        <w:r w:rsidRPr="007972E1">
          <w:rPr>
            <w:rStyle w:val="Hyperlink"/>
            <w:rFonts w:ascii="Arial" w:hAnsi="Arial" w:cs="Arial"/>
            <w:lang w:val="en-PH" w:eastAsia="en-PH"/>
          </w:rPr>
          <w:t>https://doi.org/10.51584/IJRIAS.2025.100500015</w:t>
        </w:r>
      </w:hyperlink>
      <w:r w:rsidRPr="007972E1">
        <w:rPr>
          <w:rFonts w:ascii="Arial" w:hAnsi="Arial" w:cs="Arial"/>
          <w:lang w:val="en-PH" w:eastAsia="en-PH"/>
        </w:rPr>
        <w:t xml:space="preserve"> </w:t>
      </w:r>
    </w:p>
    <w:p w14:paraId="231488BB" w14:textId="42AFB2A5" w:rsidR="007D60DF" w:rsidRPr="007972E1" w:rsidRDefault="009F648C" w:rsidP="007972E1">
      <w:pPr>
        <w:spacing w:after="240"/>
        <w:jc w:val="both"/>
        <w:rPr>
          <w:rFonts w:ascii="Arial" w:hAnsi="Arial" w:cs="Arial"/>
          <w:lang w:val="en-PH" w:eastAsia="en-PH"/>
        </w:rPr>
      </w:pPr>
      <w:r w:rsidRPr="007972E1">
        <w:rPr>
          <w:rFonts w:ascii="Arial" w:hAnsi="Arial" w:cs="Arial"/>
          <w:lang w:val="en-PH" w:eastAsia="en-PH"/>
        </w:rPr>
        <w:t>Zavala-</w:t>
      </w:r>
      <w:proofErr w:type="spellStart"/>
      <w:r w:rsidRPr="007972E1">
        <w:rPr>
          <w:rFonts w:ascii="Arial" w:hAnsi="Arial" w:cs="Arial"/>
          <w:lang w:val="en-PH" w:eastAsia="en-PH"/>
        </w:rPr>
        <w:t>Parrales</w:t>
      </w:r>
      <w:proofErr w:type="spellEnd"/>
      <w:r w:rsidRPr="007972E1">
        <w:rPr>
          <w:rFonts w:ascii="Arial" w:hAnsi="Arial" w:cs="Arial"/>
          <w:lang w:val="en-PH" w:eastAsia="en-PH"/>
        </w:rPr>
        <w:t>, A., Meléndez-</w:t>
      </w:r>
      <w:proofErr w:type="spellStart"/>
      <w:r w:rsidRPr="007972E1">
        <w:rPr>
          <w:rFonts w:ascii="Arial" w:hAnsi="Arial" w:cs="Arial"/>
          <w:lang w:val="en-PH" w:eastAsia="en-PH"/>
        </w:rPr>
        <w:t>Anzures</w:t>
      </w:r>
      <w:proofErr w:type="spellEnd"/>
      <w:r w:rsidRPr="007972E1">
        <w:rPr>
          <w:rFonts w:ascii="Arial" w:hAnsi="Arial" w:cs="Arial"/>
          <w:lang w:val="en-PH" w:eastAsia="en-PH"/>
        </w:rPr>
        <w:t xml:space="preserve">, F. E., Perez-Suarez, S., &amp; Dominguez, A. (2025). Driving gender equality in the automotive industry: a review of educational strategies. Frontiers in Education. </w:t>
      </w:r>
      <w:hyperlink r:id="rId22" w:history="1">
        <w:r w:rsidRPr="007972E1">
          <w:rPr>
            <w:rStyle w:val="Hyperlink"/>
            <w:rFonts w:ascii="Arial" w:hAnsi="Arial" w:cs="Arial"/>
            <w:lang w:val="en-PH" w:eastAsia="en-PH"/>
          </w:rPr>
          <w:t>https://doi.org/10.3389/feduc.2025.1474864</w:t>
        </w:r>
      </w:hyperlink>
      <w:r w:rsidRPr="007972E1">
        <w:rPr>
          <w:rFonts w:ascii="Arial" w:hAnsi="Arial" w:cs="Arial"/>
          <w:lang w:val="en-PH" w:eastAsia="en-PH"/>
        </w:rPr>
        <w:t xml:space="preserve"> </w:t>
      </w:r>
    </w:p>
    <w:p w14:paraId="6135E6F4" w14:textId="77777777" w:rsidR="00A40C81" w:rsidRPr="00FB3A86" w:rsidRDefault="00A40C81" w:rsidP="00441B6F">
      <w:pPr>
        <w:pStyle w:val="ReferHead"/>
        <w:spacing w:after="0"/>
        <w:jc w:val="both"/>
        <w:rPr>
          <w:rFonts w:ascii="Arial" w:hAnsi="Arial" w:cs="Arial"/>
        </w:rPr>
      </w:pPr>
    </w:p>
    <w:p w14:paraId="46A259DA" w14:textId="77777777" w:rsidR="00790ADA" w:rsidRPr="00FB3A86" w:rsidRDefault="00790ADA" w:rsidP="00441B6F">
      <w:pPr>
        <w:pStyle w:val="Body"/>
        <w:spacing w:after="0"/>
        <w:rPr>
          <w:rFonts w:ascii="Arial" w:hAnsi="Arial" w:cs="Arial"/>
        </w:rPr>
      </w:pPr>
    </w:p>
    <w:p w14:paraId="5D5DDF21" w14:textId="032112C9" w:rsidR="004D4277" w:rsidRPr="00FB3A86" w:rsidRDefault="004D4277" w:rsidP="00441B6F">
      <w:pPr>
        <w:pStyle w:val="Appendix"/>
        <w:spacing w:after="0"/>
        <w:jc w:val="both"/>
        <w:rPr>
          <w:rFonts w:ascii="Arial" w:hAnsi="Arial" w:cs="Arial"/>
          <w:b w:val="0"/>
        </w:rPr>
        <w:sectPr w:rsidR="004D4277" w:rsidRPr="00FB3A86" w:rsidSect="00CE1C36">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CE1C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BBA7A" w14:textId="77777777" w:rsidR="005B0A3D" w:rsidRDefault="005B0A3D" w:rsidP="00C37E61">
      <w:r>
        <w:separator/>
      </w:r>
    </w:p>
  </w:endnote>
  <w:endnote w:type="continuationSeparator" w:id="0">
    <w:p w14:paraId="59FA3C81" w14:textId="77777777" w:rsidR="005B0A3D" w:rsidRDefault="005B0A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E9D0" w14:textId="77777777" w:rsidR="009A548E" w:rsidRDefault="009A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984D" w14:textId="77777777" w:rsidR="009A548E" w:rsidRDefault="009A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DC73" w14:textId="77777777" w:rsidR="009E048A" w:rsidRDefault="009E048A">
    <w:pPr>
      <w:pStyle w:val="Footer"/>
      <w:rPr>
        <w:rFonts w:ascii="Arial" w:hAnsi="Arial" w:cs="Arial"/>
        <w:sz w:val="16"/>
      </w:rPr>
    </w:pPr>
  </w:p>
  <w:p w14:paraId="15EE1D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EB4C3D" w14:textId="77777777" w:rsidR="009E048A" w:rsidRDefault="009E048A">
    <w:pPr>
      <w:pStyle w:val="Footer"/>
      <w:rPr>
        <w:rFonts w:ascii="Arial" w:hAnsi="Arial" w:cs="Arial"/>
        <w:sz w:val="16"/>
      </w:rPr>
    </w:pPr>
  </w:p>
  <w:p w14:paraId="5FD8AD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CD02D" w14:textId="77777777" w:rsidR="005B0A3D" w:rsidRDefault="005B0A3D" w:rsidP="00C37E61">
      <w:r>
        <w:separator/>
      </w:r>
    </w:p>
  </w:footnote>
  <w:footnote w:type="continuationSeparator" w:id="0">
    <w:p w14:paraId="2763E273" w14:textId="77777777" w:rsidR="005B0A3D" w:rsidRDefault="005B0A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8062" w14:textId="2D374F6F" w:rsidR="009A548E" w:rsidRDefault="009A548E">
    <w:pPr>
      <w:pStyle w:val="Header"/>
    </w:pPr>
    <w:r>
      <w:rPr>
        <w:noProof/>
      </w:rPr>
      <w:pict w14:anchorId="19214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06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3447" w14:textId="0A51FEA3" w:rsidR="009A548E" w:rsidRDefault="009A548E">
    <w:pPr>
      <w:pStyle w:val="Header"/>
    </w:pPr>
    <w:r>
      <w:rPr>
        <w:noProof/>
      </w:rPr>
      <w:pict w14:anchorId="76CBF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06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1E45B301" w:rsidR="00296529" w:rsidRPr="00296529" w:rsidRDefault="009A548E" w:rsidP="00296529">
    <w:pPr>
      <w:ind w:left="2160"/>
      <w:jc w:val="center"/>
      <w:rPr>
        <w:rFonts w:ascii="Times New Roman" w:eastAsia="Calibri" w:hAnsi="Times New Roman"/>
        <w:i/>
        <w:sz w:val="18"/>
        <w:szCs w:val="22"/>
      </w:rPr>
    </w:pPr>
    <w:r>
      <w:rPr>
        <w:noProof/>
      </w:rPr>
      <w:pict w14:anchorId="62E5A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06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FB05A" w14:textId="2F37CC6A" w:rsidR="009A548E" w:rsidRDefault="009A548E">
    <w:pPr>
      <w:pStyle w:val="Header"/>
    </w:pPr>
    <w:r>
      <w:rPr>
        <w:noProof/>
      </w:rPr>
      <w:pict w14:anchorId="44092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066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D3BC" w14:textId="01EBBBDD" w:rsidR="009A548E" w:rsidRDefault="009A548E">
    <w:pPr>
      <w:pStyle w:val="Header"/>
    </w:pPr>
    <w:r>
      <w:rPr>
        <w:noProof/>
      </w:rPr>
      <w:pict w14:anchorId="5E33B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066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8B55" w14:textId="148A429C" w:rsidR="009A548E" w:rsidRDefault="009A548E">
    <w:pPr>
      <w:pStyle w:val="Header"/>
    </w:pPr>
    <w:r>
      <w:rPr>
        <w:noProof/>
      </w:rPr>
      <w:pict w14:anchorId="4FAF5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066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C7EB2"/>
    <w:multiLevelType w:val="hybridMultilevel"/>
    <w:tmpl w:val="8AC4E6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3548"/>
    <w:rsid w:val="000A47FA"/>
    <w:rsid w:val="000A65D3"/>
    <w:rsid w:val="000B1E33"/>
    <w:rsid w:val="000C4BDA"/>
    <w:rsid w:val="000D689F"/>
    <w:rsid w:val="000E7B7B"/>
    <w:rsid w:val="000E7D62"/>
    <w:rsid w:val="00103357"/>
    <w:rsid w:val="00116945"/>
    <w:rsid w:val="001175F1"/>
    <w:rsid w:val="00117E60"/>
    <w:rsid w:val="00123C9F"/>
    <w:rsid w:val="00126190"/>
    <w:rsid w:val="00130F17"/>
    <w:rsid w:val="001320BF"/>
    <w:rsid w:val="00163BC4"/>
    <w:rsid w:val="00191062"/>
    <w:rsid w:val="00192B72"/>
    <w:rsid w:val="00194422"/>
    <w:rsid w:val="0019749F"/>
    <w:rsid w:val="001A29D8"/>
    <w:rsid w:val="001A5CAA"/>
    <w:rsid w:val="001B0427"/>
    <w:rsid w:val="001B706A"/>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5EBA"/>
    <w:rsid w:val="0033343E"/>
    <w:rsid w:val="003369A8"/>
    <w:rsid w:val="003512C2"/>
    <w:rsid w:val="00371FB6"/>
    <w:rsid w:val="003763C1"/>
    <w:rsid w:val="00376BBE"/>
    <w:rsid w:val="0039224F"/>
    <w:rsid w:val="003A28E9"/>
    <w:rsid w:val="003A43A4"/>
    <w:rsid w:val="003A7E18"/>
    <w:rsid w:val="003C4C86"/>
    <w:rsid w:val="003C6258"/>
    <w:rsid w:val="003E2904"/>
    <w:rsid w:val="00401927"/>
    <w:rsid w:val="0041027F"/>
    <w:rsid w:val="00412475"/>
    <w:rsid w:val="00423789"/>
    <w:rsid w:val="00440F43"/>
    <w:rsid w:val="00441B6F"/>
    <w:rsid w:val="00446221"/>
    <w:rsid w:val="004475ED"/>
    <w:rsid w:val="00450E62"/>
    <w:rsid w:val="004539DB"/>
    <w:rsid w:val="00471A80"/>
    <w:rsid w:val="004D305E"/>
    <w:rsid w:val="004D4277"/>
    <w:rsid w:val="004D5AED"/>
    <w:rsid w:val="004D65A7"/>
    <w:rsid w:val="004E5E60"/>
    <w:rsid w:val="00502516"/>
    <w:rsid w:val="00505F06"/>
    <w:rsid w:val="00506810"/>
    <w:rsid w:val="00506828"/>
    <w:rsid w:val="0053056E"/>
    <w:rsid w:val="00553275"/>
    <w:rsid w:val="00554FDA"/>
    <w:rsid w:val="005B0A3D"/>
    <w:rsid w:val="005C784C"/>
    <w:rsid w:val="005D17F6"/>
    <w:rsid w:val="005E5539"/>
    <w:rsid w:val="005F1AA4"/>
    <w:rsid w:val="005F6016"/>
    <w:rsid w:val="00602BF5"/>
    <w:rsid w:val="00617FDD"/>
    <w:rsid w:val="00633614"/>
    <w:rsid w:val="00633F68"/>
    <w:rsid w:val="00636EB2"/>
    <w:rsid w:val="006375B8"/>
    <w:rsid w:val="0066510A"/>
    <w:rsid w:val="00673F9F"/>
    <w:rsid w:val="006812F3"/>
    <w:rsid w:val="00686953"/>
    <w:rsid w:val="00687DEA"/>
    <w:rsid w:val="00687E67"/>
    <w:rsid w:val="006967F7"/>
    <w:rsid w:val="006A250C"/>
    <w:rsid w:val="006B21D3"/>
    <w:rsid w:val="006B57D0"/>
    <w:rsid w:val="006D30FF"/>
    <w:rsid w:val="006D5497"/>
    <w:rsid w:val="006D61A3"/>
    <w:rsid w:val="006D6940"/>
    <w:rsid w:val="006F11EC"/>
    <w:rsid w:val="0070082C"/>
    <w:rsid w:val="00712243"/>
    <w:rsid w:val="007369E6"/>
    <w:rsid w:val="00746E59"/>
    <w:rsid w:val="00754C9A"/>
    <w:rsid w:val="0075599A"/>
    <w:rsid w:val="00761D52"/>
    <w:rsid w:val="0077749E"/>
    <w:rsid w:val="00780BBD"/>
    <w:rsid w:val="00790ADA"/>
    <w:rsid w:val="007972E1"/>
    <w:rsid w:val="007D2288"/>
    <w:rsid w:val="007D60DF"/>
    <w:rsid w:val="007E088F"/>
    <w:rsid w:val="007F7B32"/>
    <w:rsid w:val="00804BC2"/>
    <w:rsid w:val="008114D6"/>
    <w:rsid w:val="0081431A"/>
    <w:rsid w:val="0083216F"/>
    <w:rsid w:val="00860000"/>
    <w:rsid w:val="00863BD3"/>
    <w:rsid w:val="008641ED"/>
    <w:rsid w:val="00866D66"/>
    <w:rsid w:val="008671C6"/>
    <w:rsid w:val="00875803"/>
    <w:rsid w:val="00887D9D"/>
    <w:rsid w:val="00891BB2"/>
    <w:rsid w:val="008B459E"/>
    <w:rsid w:val="008E13AE"/>
    <w:rsid w:val="008E1506"/>
    <w:rsid w:val="008E710C"/>
    <w:rsid w:val="008F69D6"/>
    <w:rsid w:val="00902823"/>
    <w:rsid w:val="009042D9"/>
    <w:rsid w:val="0090768D"/>
    <w:rsid w:val="00915CA6"/>
    <w:rsid w:val="00927834"/>
    <w:rsid w:val="009500A6"/>
    <w:rsid w:val="00957C18"/>
    <w:rsid w:val="009659BA"/>
    <w:rsid w:val="00975777"/>
    <w:rsid w:val="00983040"/>
    <w:rsid w:val="009A548E"/>
    <w:rsid w:val="009B3FB9"/>
    <w:rsid w:val="009C2465"/>
    <w:rsid w:val="009D35A0"/>
    <w:rsid w:val="009D7EB7"/>
    <w:rsid w:val="009E048A"/>
    <w:rsid w:val="009E08E9"/>
    <w:rsid w:val="009E3DB9"/>
    <w:rsid w:val="009E6E35"/>
    <w:rsid w:val="009F0EDA"/>
    <w:rsid w:val="009F648C"/>
    <w:rsid w:val="00A03B96"/>
    <w:rsid w:val="00A05B19"/>
    <w:rsid w:val="00A1134E"/>
    <w:rsid w:val="00A24E7E"/>
    <w:rsid w:val="00A258C3"/>
    <w:rsid w:val="00A347C0"/>
    <w:rsid w:val="00A40C81"/>
    <w:rsid w:val="00A51431"/>
    <w:rsid w:val="00A539AD"/>
    <w:rsid w:val="00A719F9"/>
    <w:rsid w:val="00A94063"/>
    <w:rsid w:val="00A96199"/>
    <w:rsid w:val="00AA6219"/>
    <w:rsid w:val="00AA74E0"/>
    <w:rsid w:val="00AB703F"/>
    <w:rsid w:val="00AC6BB8"/>
    <w:rsid w:val="00AE008F"/>
    <w:rsid w:val="00B01FCD"/>
    <w:rsid w:val="00B1776C"/>
    <w:rsid w:val="00B360E1"/>
    <w:rsid w:val="00B4612E"/>
    <w:rsid w:val="00B52583"/>
    <w:rsid w:val="00B52896"/>
    <w:rsid w:val="00B91607"/>
    <w:rsid w:val="00B94BE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475E"/>
    <w:rsid w:val="00CC48C7"/>
    <w:rsid w:val="00CD6755"/>
    <w:rsid w:val="00CD6856"/>
    <w:rsid w:val="00CE0089"/>
    <w:rsid w:val="00CE1C36"/>
    <w:rsid w:val="00CE793C"/>
    <w:rsid w:val="00CF193C"/>
    <w:rsid w:val="00D0449B"/>
    <w:rsid w:val="00D173F1"/>
    <w:rsid w:val="00D74CB0"/>
    <w:rsid w:val="00D8295D"/>
    <w:rsid w:val="00D96779"/>
    <w:rsid w:val="00DC2A65"/>
    <w:rsid w:val="00DC78F7"/>
    <w:rsid w:val="00DD328D"/>
    <w:rsid w:val="00DE15F0"/>
    <w:rsid w:val="00DE2CDA"/>
    <w:rsid w:val="00DE5663"/>
    <w:rsid w:val="00DE78AA"/>
    <w:rsid w:val="00E053D0"/>
    <w:rsid w:val="00E15994"/>
    <w:rsid w:val="00E202C4"/>
    <w:rsid w:val="00E206C6"/>
    <w:rsid w:val="00E3114E"/>
    <w:rsid w:val="00E31A70"/>
    <w:rsid w:val="00E35B02"/>
    <w:rsid w:val="00E474A1"/>
    <w:rsid w:val="00E66496"/>
    <w:rsid w:val="00E66B35"/>
    <w:rsid w:val="00E66E10"/>
    <w:rsid w:val="00E769F6"/>
    <w:rsid w:val="00E77A7E"/>
    <w:rsid w:val="00E8407C"/>
    <w:rsid w:val="00E84F3C"/>
    <w:rsid w:val="00EA012C"/>
    <w:rsid w:val="00EC6A55"/>
    <w:rsid w:val="00ED0288"/>
    <w:rsid w:val="00EE52CB"/>
    <w:rsid w:val="00EF581D"/>
    <w:rsid w:val="00EF7D2A"/>
    <w:rsid w:val="00EF7FD8"/>
    <w:rsid w:val="00F06F59"/>
    <w:rsid w:val="00F17988"/>
    <w:rsid w:val="00F469F0"/>
    <w:rsid w:val="00F53273"/>
    <w:rsid w:val="00F755E4"/>
    <w:rsid w:val="00F77531"/>
    <w:rsid w:val="00F77D02"/>
    <w:rsid w:val="00F85B86"/>
    <w:rsid w:val="00FB3A86"/>
    <w:rsid w:val="00FC1719"/>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91607"/>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E77A7E"/>
    <w:rPr>
      <w:rFonts w:ascii="Times New Roman" w:hAnsi="Times New Roman"/>
      <w:sz w:val="24"/>
      <w:szCs w:val="24"/>
    </w:rPr>
  </w:style>
  <w:style w:type="paragraph" w:styleId="ListParagraph">
    <w:name w:val="List Paragraph"/>
    <w:basedOn w:val="Normal"/>
    <w:uiPriority w:val="34"/>
    <w:qFormat/>
    <w:rsid w:val="00B94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20503121211018122"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51584/IJRIAS.2025.10050001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risejournals.org/index.php/imjrise/article/download/395/537/1148"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353/csd.2019.0012" TargetMode="External"/><Relationship Id="rId20" Type="http://schemas.openxmlformats.org/officeDocument/2006/relationships/hyperlink" Target="https://ijetrm.com/issues/files/Dec-2023-07-1701941806-DEC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891/0889-8391.13.2.158"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62986/rps2024.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llmultidisciplinaryjournal.com/uploads/archives/20240711205029_A-24-170.1.pdf" TargetMode="External"/><Relationship Id="rId22" Type="http://schemas.openxmlformats.org/officeDocument/2006/relationships/hyperlink" Target="https://doi.org/10.3389/feduc.2025.147486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622ED-3597-45AA-8CA4-7FC1A610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209</TotalTime>
  <Pages>8</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24016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2014-10-25T14:34:00Z</dcterms:created>
  <dcterms:modified xsi:type="dcterms:W3CDTF">2025-12-11T08:35:00Z</dcterms:modified>
</cp:coreProperties>
</file>