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7030F087" w:rsidR="00754C9A" w:rsidRDefault="008D24A8" w:rsidP="00441B6F">
      <w:pPr>
        <w:pStyle w:val="Title"/>
        <w:spacing w:after="0"/>
        <w:jc w:val="both"/>
        <w:rPr>
          <w:rFonts w:ascii="Arial" w:hAnsi="Arial" w:cs="Arial"/>
        </w:rPr>
      </w:pPr>
      <w:r w:rsidRPr="008D24A8">
        <w:rPr>
          <w:rFonts w:ascii="Arial" w:hAnsi="Arial" w:cs="Arial"/>
        </w:rPr>
        <w:t xml:space="preserve">Short Research Article </w:t>
      </w:r>
    </w:p>
    <w:p w14:paraId="5D8E5B9B" w14:textId="77777777" w:rsidR="008D24A8" w:rsidRDefault="008D24A8" w:rsidP="008114D6">
      <w:pPr>
        <w:pStyle w:val="Author"/>
        <w:spacing w:line="240" w:lineRule="auto"/>
        <w:rPr>
          <w:rFonts w:ascii="Arial" w:hAnsi="Arial" w:cs="Arial"/>
          <w:bCs/>
          <w:iCs/>
          <w:kern w:val="28"/>
          <w:sz w:val="36"/>
        </w:rPr>
      </w:pPr>
    </w:p>
    <w:p w14:paraId="36DE0F57" w14:textId="31D54394" w:rsidR="00163BC4" w:rsidRPr="00B91607" w:rsidRDefault="008114D6" w:rsidP="008114D6">
      <w:pPr>
        <w:pStyle w:val="Author"/>
        <w:spacing w:line="240" w:lineRule="auto"/>
        <w:rPr>
          <w:rFonts w:ascii="Arial" w:hAnsi="Arial" w:cs="Arial"/>
          <w:bCs/>
          <w:iCs/>
          <w:kern w:val="28"/>
          <w:sz w:val="36"/>
        </w:rPr>
      </w:pPr>
      <w:r w:rsidRPr="008114D6">
        <w:rPr>
          <w:rFonts w:ascii="Arial" w:hAnsi="Arial" w:cs="Arial"/>
          <w:bCs/>
          <w:iCs/>
          <w:kern w:val="28"/>
          <w:sz w:val="36"/>
        </w:rPr>
        <w:t xml:space="preserve">Perceptions </w:t>
      </w:r>
      <w:r>
        <w:rPr>
          <w:rFonts w:ascii="Arial" w:hAnsi="Arial" w:cs="Arial"/>
          <w:bCs/>
          <w:iCs/>
          <w:kern w:val="28"/>
          <w:sz w:val="36"/>
        </w:rPr>
        <w:t>a</w:t>
      </w:r>
      <w:r w:rsidRPr="008114D6">
        <w:rPr>
          <w:rFonts w:ascii="Arial" w:hAnsi="Arial" w:cs="Arial"/>
          <w:bCs/>
          <w:iCs/>
          <w:kern w:val="28"/>
          <w:sz w:val="36"/>
        </w:rPr>
        <w:t xml:space="preserve">nd Motivations </w:t>
      </w:r>
      <w:r>
        <w:rPr>
          <w:rFonts w:ascii="Arial" w:hAnsi="Arial" w:cs="Arial"/>
          <w:bCs/>
          <w:iCs/>
          <w:kern w:val="28"/>
          <w:sz w:val="36"/>
        </w:rPr>
        <w:t>o</w:t>
      </w:r>
      <w:r w:rsidRPr="008114D6">
        <w:rPr>
          <w:rFonts w:ascii="Arial" w:hAnsi="Arial" w:cs="Arial"/>
          <w:bCs/>
          <w:iCs/>
          <w:kern w:val="28"/>
          <w:sz w:val="36"/>
        </w:rPr>
        <w:t xml:space="preserve">f Students Entering </w:t>
      </w:r>
      <w:r>
        <w:rPr>
          <w:rFonts w:ascii="Arial" w:hAnsi="Arial" w:cs="Arial"/>
          <w:bCs/>
          <w:iCs/>
          <w:kern w:val="28"/>
          <w:sz w:val="36"/>
        </w:rPr>
        <w:t>t</w:t>
      </w:r>
      <w:r w:rsidRPr="008114D6">
        <w:rPr>
          <w:rFonts w:ascii="Arial" w:hAnsi="Arial" w:cs="Arial"/>
          <w:bCs/>
          <w:iCs/>
          <w:kern w:val="28"/>
          <w:sz w:val="36"/>
        </w:rPr>
        <w:t>he Technical-Vocational Livelihood</w:t>
      </w:r>
      <w:r>
        <w:rPr>
          <w:rFonts w:ascii="Arial" w:hAnsi="Arial" w:cs="Arial"/>
          <w:bCs/>
          <w:iCs/>
          <w:kern w:val="28"/>
          <w:sz w:val="36"/>
        </w:rPr>
        <w:t xml:space="preserve"> </w:t>
      </w:r>
      <w:r w:rsidRPr="008114D6">
        <w:rPr>
          <w:rFonts w:ascii="Arial" w:hAnsi="Arial" w:cs="Arial"/>
          <w:bCs/>
          <w:iCs/>
          <w:kern w:val="28"/>
          <w:sz w:val="36"/>
        </w:rPr>
        <w:t>–</w:t>
      </w:r>
      <w:r>
        <w:rPr>
          <w:rFonts w:ascii="Arial" w:hAnsi="Arial" w:cs="Arial"/>
          <w:bCs/>
          <w:iCs/>
          <w:kern w:val="28"/>
          <w:sz w:val="36"/>
        </w:rPr>
        <w:t xml:space="preserve"> </w:t>
      </w:r>
      <w:r w:rsidRPr="008114D6">
        <w:rPr>
          <w:rFonts w:ascii="Arial" w:hAnsi="Arial" w:cs="Arial"/>
          <w:bCs/>
          <w:iCs/>
          <w:kern w:val="28"/>
          <w:sz w:val="36"/>
        </w:rPr>
        <w:t>Agri-Fishery Arts</w:t>
      </w:r>
      <w:r>
        <w:rPr>
          <w:rFonts w:ascii="Arial" w:hAnsi="Arial" w:cs="Arial"/>
          <w:bCs/>
          <w:iCs/>
          <w:kern w:val="28"/>
          <w:sz w:val="36"/>
        </w:rPr>
        <w:t xml:space="preserve"> </w:t>
      </w:r>
      <w:r w:rsidRPr="008114D6">
        <w:rPr>
          <w:rFonts w:ascii="Arial" w:hAnsi="Arial" w:cs="Arial"/>
          <w:bCs/>
          <w:iCs/>
          <w:kern w:val="28"/>
          <w:sz w:val="36"/>
        </w:rPr>
        <w:t xml:space="preserve">Track </w:t>
      </w:r>
      <w:r>
        <w:rPr>
          <w:rFonts w:ascii="Arial" w:hAnsi="Arial" w:cs="Arial"/>
          <w:bCs/>
          <w:iCs/>
          <w:kern w:val="28"/>
          <w:sz w:val="36"/>
        </w:rPr>
        <w:t>i</w:t>
      </w:r>
      <w:r w:rsidRPr="008114D6">
        <w:rPr>
          <w:rFonts w:ascii="Arial" w:hAnsi="Arial" w:cs="Arial"/>
          <w:bCs/>
          <w:iCs/>
          <w:kern w:val="28"/>
          <w:sz w:val="36"/>
        </w:rPr>
        <w:t>n Northern Philippines</w:t>
      </w:r>
    </w:p>
    <w:p w14:paraId="7FFF3D0A" w14:textId="77777777" w:rsidR="00A258C3" w:rsidRPr="00790ADA" w:rsidRDefault="00A258C3" w:rsidP="00441B6F">
      <w:pPr>
        <w:pStyle w:val="Author"/>
        <w:spacing w:line="240" w:lineRule="auto"/>
        <w:jc w:val="both"/>
        <w:rPr>
          <w:rFonts w:ascii="Arial" w:hAnsi="Arial" w:cs="Arial"/>
          <w:sz w:val="36"/>
        </w:rPr>
      </w:pPr>
    </w:p>
    <w:p w14:paraId="09D4901B" w14:textId="77777777" w:rsidR="002C57D2" w:rsidRPr="00FB3A86" w:rsidRDefault="002C57D2" w:rsidP="00441B6F">
      <w:pPr>
        <w:pStyle w:val="Affiliation"/>
        <w:spacing w:after="0" w:line="240" w:lineRule="auto"/>
        <w:jc w:val="both"/>
        <w:rPr>
          <w:rFonts w:ascii="Arial" w:hAnsi="Arial" w:cs="Arial"/>
        </w:rPr>
      </w:pPr>
    </w:p>
    <w:p w14:paraId="3AA907CB" w14:textId="77777777" w:rsidR="00B01FCD" w:rsidRPr="00FB3A86" w:rsidRDefault="004836B2" w:rsidP="00441B6F">
      <w:pPr>
        <w:pStyle w:val="Copyright"/>
        <w:spacing w:after="0" w:line="240" w:lineRule="auto"/>
        <w:jc w:val="both"/>
        <w:rPr>
          <w:rFonts w:ascii="Arial" w:hAnsi="Arial" w:cs="Arial"/>
        </w:rPr>
        <w:sectPr w:rsidR="00B01FCD" w:rsidRPr="00FB3A86" w:rsidSect="00593B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9CC221" w14:textId="31E78B84"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B91607">
        <w:trPr>
          <w:trHeight w:val="2618"/>
        </w:trPr>
        <w:tc>
          <w:tcPr>
            <w:tcW w:w="8424" w:type="dxa"/>
            <w:shd w:val="clear" w:color="auto" w:fill="F2F2F2"/>
          </w:tcPr>
          <w:p w14:paraId="0D08730E" w14:textId="433BBD63" w:rsidR="00505F06" w:rsidRPr="00B91607" w:rsidRDefault="00B91607" w:rsidP="00441B6F">
            <w:pPr>
              <w:pStyle w:val="Body"/>
              <w:spacing w:after="0"/>
              <w:rPr>
                <w:rFonts w:ascii="Arial" w:eastAsia="Calibri" w:hAnsi="Arial" w:cs="Arial"/>
                <w:b/>
                <w:bCs/>
                <w:szCs w:val="22"/>
              </w:rPr>
            </w:pPr>
            <w:r w:rsidRPr="00B91607">
              <w:rPr>
                <w:rFonts w:ascii="Arial" w:eastAsia="Calibri" w:hAnsi="Arial" w:cs="Arial"/>
                <w:szCs w:val="22"/>
              </w:rPr>
              <w:t>This study aimed to evaluate the effectiveness of Differentiated Instruction (DI) in improving the visualization skills of Senior High School students in Drafting Technology. Using a pre-experimental one-group pre-test–post-test design, the study involved 40 students from public senior high schools in Laoag City during the 2025–2026 school year. A combination of pre-tests, post-tests, and a structured feedback survey was employed to assess students’ visualization skills and their perceptions of DI’s impact. Data were analyzed using descriptive statistics, including frequency, percentage, and weighted mean. The results revealed that DI significantly enhanced students’ academic performance, accuracy, and speed in completing drafting tasks. Students also reported increased confidence and a better ability to connect new lessons with prior knowledge. These findings indicate that DI is a highly effective approach, fostering better comprehension and skill development, and promoting a learner-centered environment that accommodates diverse learning needs. Based on the positive outcomes, it is recommended that teachers continue using DI strategies, particularly in skill-based subjects like Drafting Technology, to support students’ diverse learning styles and readiness levels. Additionally, educators should be encouraged to integrate more hands-on activities and visual aids to enhance visualization skills further. Future research could explore the long-term effects of DI, including its influence on career readiness and the potential benefits of incorporating digital tools in teaching technical skills.</w:t>
            </w:r>
          </w:p>
        </w:tc>
      </w:tr>
    </w:tbl>
    <w:p w14:paraId="6559E3BE" w14:textId="77777777" w:rsidR="00636EB2" w:rsidRDefault="00636EB2" w:rsidP="00441B6F">
      <w:pPr>
        <w:pStyle w:val="Body"/>
        <w:spacing w:after="0"/>
        <w:rPr>
          <w:rFonts w:ascii="Arial" w:hAnsi="Arial" w:cs="Arial"/>
          <w:i/>
        </w:rPr>
      </w:pPr>
    </w:p>
    <w:p w14:paraId="4482EC2E" w14:textId="5B2CC04E" w:rsidR="00A24E7E" w:rsidRDefault="00A24E7E" w:rsidP="00441B6F">
      <w:pPr>
        <w:pStyle w:val="Body"/>
        <w:spacing w:after="0"/>
        <w:rPr>
          <w:rFonts w:ascii="Arial" w:hAnsi="Arial" w:cs="Arial"/>
          <w:i/>
        </w:rPr>
      </w:pPr>
      <w:r>
        <w:rPr>
          <w:rFonts w:ascii="Arial" w:hAnsi="Arial" w:cs="Arial"/>
          <w:i/>
        </w:rPr>
        <w:t xml:space="preserve">Keywords: </w:t>
      </w:r>
      <w:proofErr w:type="spellStart"/>
      <w:r w:rsidR="00D96779" w:rsidRPr="00D96779">
        <w:rPr>
          <w:rFonts w:ascii="Arial" w:hAnsi="Arial" w:cs="Arial"/>
          <w:i/>
        </w:rPr>
        <w:t>agri</w:t>
      </w:r>
      <w:proofErr w:type="spellEnd"/>
      <w:r w:rsidR="00D96779" w:rsidRPr="00D96779">
        <w:rPr>
          <w:rFonts w:ascii="Arial" w:hAnsi="Arial" w:cs="Arial"/>
          <w:i/>
        </w:rPr>
        <w:t>-fishery arts</w:t>
      </w:r>
      <w:r w:rsidR="00D96779">
        <w:rPr>
          <w:rFonts w:ascii="Arial" w:hAnsi="Arial" w:cs="Arial"/>
          <w:i/>
        </w:rPr>
        <w:t xml:space="preserve"> strand,</w:t>
      </w:r>
      <w:r w:rsidR="00D96779" w:rsidRPr="00D96779">
        <w:rPr>
          <w:rFonts w:ascii="Arial" w:hAnsi="Arial" w:cs="Arial"/>
          <w:i/>
        </w:rPr>
        <w:t xml:space="preserve"> agriculture education</w:t>
      </w:r>
      <w:r w:rsidR="00D96779">
        <w:rPr>
          <w:rFonts w:ascii="Arial" w:hAnsi="Arial" w:cs="Arial"/>
          <w:i/>
        </w:rPr>
        <w:t>,</w:t>
      </w:r>
      <w:r w:rsidR="00D96779" w:rsidRPr="00D96779">
        <w:rPr>
          <w:rFonts w:ascii="Arial" w:hAnsi="Arial" w:cs="Arial"/>
          <w:i/>
        </w:rPr>
        <w:t xml:space="preserve"> motivation,</w:t>
      </w:r>
      <w:r w:rsidR="00D96779">
        <w:rPr>
          <w:rFonts w:ascii="Arial" w:hAnsi="Arial" w:cs="Arial"/>
          <w:i/>
        </w:rPr>
        <w:t xml:space="preserve"> </w:t>
      </w:r>
      <w:r w:rsidR="00D96779" w:rsidRPr="00D96779">
        <w:rPr>
          <w:rFonts w:ascii="Arial" w:hAnsi="Arial" w:cs="Arial"/>
          <w:i/>
        </w:rPr>
        <w:t>perceptions, senior high school</w:t>
      </w:r>
      <w:r w:rsidR="00D96779">
        <w:rPr>
          <w:rFonts w:ascii="Arial" w:hAnsi="Arial" w:cs="Arial"/>
          <w:i/>
        </w:rPr>
        <w:t xml:space="preserve">, </w:t>
      </w:r>
      <w:r w:rsidR="00D96779" w:rsidRPr="00D96779">
        <w:rPr>
          <w:rFonts w:ascii="Arial" w:hAnsi="Arial" w:cs="Arial"/>
          <w:i/>
        </w:rPr>
        <w:t>technical-vocational-livelihood</w:t>
      </w:r>
      <w:r w:rsidR="00D96779">
        <w:rPr>
          <w:rFonts w:ascii="Arial" w:hAnsi="Arial" w:cs="Arial"/>
          <w:i/>
        </w:rPr>
        <w:t xml:space="preserve"> track</w:t>
      </w:r>
    </w:p>
    <w:p w14:paraId="52DF2596" w14:textId="77777777" w:rsidR="00505F06" w:rsidRDefault="00505F06" w:rsidP="00441B6F">
      <w:pPr>
        <w:pStyle w:val="Body"/>
        <w:spacing w:after="0"/>
        <w:rPr>
          <w:rFonts w:ascii="Arial" w:hAnsi="Arial" w:cs="Arial"/>
          <w:i/>
        </w:rPr>
      </w:pPr>
    </w:p>
    <w:p w14:paraId="3ADE3B7D" w14:textId="77777777" w:rsidR="00B91607" w:rsidRPr="00A24E7E" w:rsidRDefault="00B91607" w:rsidP="00441B6F">
      <w:pPr>
        <w:pStyle w:val="Body"/>
        <w:spacing w:after="0"/>
        <w:rPr>
          <w:rFonts w:ascii="Arial" w:hAnsi="Arial" w:cs="Arial"/>
          <w:i/>
        </w:rPr>
      </w:pPr>
    </w:p>
    <w:p w14:paraId="55B1D956" w14:textId="5B9BAAA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36ADC5F4" w14:textId="15590A19" w:rsidR="00D96779" w:rsidRPr="00D96779" w:rsidRDefault="00D96779" w:rsidP="00D96779">
      <w:pPr>
        <w:pStyle w:val="Body"/>
        <w:rPr>
          <w:rFonts w:ascii="Arial" w:hAnsi="Arial" w:cs="Arial"/>
        </w:rPr>
      </w:pPr>
      <w:r w:rsidRPr="00D96779">
        <w:rPr>
          <w:rFonts w:ascii="Arial" w:hAnsi="Arial" w:cs="Arial"/>
        </w:rPr>
        <w:t xml:space="preserve">Agriculture has been the long foundation of the Philippine economy, providing food security, employment and livelihood to millions of Filipino people. However, regardless of the importance of agriculture in the country, most young generation still view this as non-promising career to pursue. According to the report of Food and Agriculture Organization (FAO, 2021), the average of farmers age in Asia has continued to rise and this implies that the engagement of youth in agriculture continues to decline. Moreover, the Philippine Statistics Authority (2023) discovered that the average age of Filipino farmers has reached 57 years old.  With this, a serious challenge is posed in agriculture sector particularly in providing food security and agricultural sustainability in the Philippines. </w:t>
      </w:r>
    </w:p>
    <w:p w14:paraId="020C1943" w14:textId="4187853E" w:rsidR="00D96779" w:rsidRPr="00D96779" w:rsidRDefault="00D96779" w:rsidP="00D96779">
      <w:pPr>
        <w:pStyle w:val="Body"/>
        <w:rPr>
          <w:rFonts w:ascii="Arial" w:hAnsi="Arial" w:cs="Arial"/>
        </w:rPr>
      </w:pPr>
      <w:r w:rsidRPr="00D96779">
        <w:rPr>
          <w:rFonts w:ascii="Arial" w:hAnsi="Arial" w:cs="Arial"/>
        </w:rPr>
        <w:t xml:space="preserve">To respond to this issue, the K to 12 curriculum of the Department of Education crafted and introduced the Technical- Vocational- Education with Agri- Fishery Arts (AFA) specialization as one of its key strands.  This initiative aims to provide learners with hands- on experiences </w:t>
      </w:r>
      <w:r w:rsidRPr="00D96779">
        <w:rPr>
          <w:rFonts w:ascii="Arial" w:hAnsi="Arial" w:cs="Arial"/>
        </w:rPr>
        <w:lastRenderedPageBreak/>
        <w:t xml:space="preserve">in agriculture and fisheries along with equipping them with practical knowledge. Additionally, this will enable learners to hone essential skills that will lead them for entrepreneurship and future careers in agriculture sector. Even so, the Department of Education (2022) reported that the enrollment in the AFA strand compared to the two other specializations of TVL like Home Economics and Information Communication Technology remains significantly lower. </w:t>
      </w:r>
    </w:p>
    <w:p w14:paraId="0240BB50" w14:textId="6F6772F6" w:rsidR="00D96779" w:rsidRPr="00D96779" w:rsidRDefault="00D96779" w:rsidP="00D96779">
      <w:pPr>
        <w:pStyle w:val="Body"/>
        <w:rPr>
          <w:rFonts w:ascii="Arial" w:hAnsi="Arial" w:cs="Arial"/>
        </w:rPr>
      </w:pPr>
      <w:r w:rsidRPr="00D96779">
        <w:rPr>
          <w:rFonts w:ascii="Arial" w:hAnsi="Arial" w:cs="Arial"/>
        </w:rPr>
        <w:t>This low participation rate indicates that many students may not perceive agriculture as an attractive career option. Studies suggest that young people’s interest in agriculture is highly influenced by how they perceive it in terms of profitability, prestige, and overall image in society (</w:t>
      </w:r>
      <w:proofErr w:type="spellStart"/>
      <w:r w:rsidRPr="00D96779">
        <w:rPr>
          <w:rFonts w:ascii="Arial" w:hAnsi="Arial" w:cs="Arial"/>
        </w:rPr>
        <w:t>Rapsomanikis</w:t>
      </w:r>
      <w:proofErr w:type="spellEnd"/>
      <w:r w:rsidRPr="00D96779">
        <w:rPr>
          <w:rFonts w:ascii="Arial" w:hAnsi="Arial" w:cs="Arial"/>
        </w:rPr>
        <w:t xml:space="preserve">, 2021). Locally, the study of Mercado and </w:t>
      </w:r>
      <w:proofErr w:type="spellStart"/>
      <w:r w:rsidRPr="00D96779">
        <w:rPr>
          <w:rFonts w:ascii="Arial" w:hAnsi="Arial" w:cs="Arial"/>
        </w:rPr>
        <w:t>Osbahr</w:t>
      </w:r>
      <w:proofErr w:type="spellEnd"/>
      <w:r w:rsidRPr="00D96779">
        <w:rPr>
          <w:rFonts w:ascii="Arial" w:hAnsi="Arial" w:cs="Arial"/>
        </w:rPr>
        <w:t xml:space="preserve"> (2023) has shown that many Filipino students consider farming as a challenging, poorly compensated, and less fulfilling occupation than other professions. Consequently, such views often discouraged them from pursuing agriculture-related tracks, even amid the increasing demand for competent agricultural professionals.</w:t>
      </w:r>
    </w:p>
    <w:p w14:paraId="30F5E47D" w14:textId="57FFA92E" w:rsidR="00D96779" w:rsidRPr="00D96779" w:rsidRDefault="00D96779" w:rsidP="00D96779">
      <w:pPr>
        <w:pStyle w:val="Body"/>
        <w:rPr>
          <w:rFonts w:ascii="Arial" w:hAnsi="Arial" w:cs="Arial"/>
        </w:rPr>
      </w:pPr>
      <w:r w:rsidRPr="00D96779">
        <w:rPr>
          <w:rFonts w:ascii="Arial" w:hAnsi="Arial" w:cs="Arial"/>
        </w:rPr>
        <w:t xml:space="preserve">Despite the common perceptions, today’s agriculture is no longer limited to traditional and manual work. This transformation is made possible by modern technologies and innovations such as hydroponics, smart farming and agribusiness that transformed agriculture into forward- thinking industry that is full of opportunities. In a study conducted by </w:t>
      </w:r>
      <w:proofErr w:type="spellStart"/>
      <w:r w:rsidRPr="00D96779">
        <w:rPr>
          <w:rFonts w:ascii="Arial" w:hAnsi="Arial" w:cs="Arial"/>
        </w:rPr>
        <w:t>Mukembo</w:t>
      </w:r>
      <w:proofErr w:type="spellEnd"/>
      <w:r w:rsidRPr="00D96779">
        <w:rPr>
          <w:rFonts w:ascii="Arial" w:hAnsi="Arial" w:cs="Arial"/>
        </w:rPr>
        <w:t xml:space="preserve"> and Edwards (2021) presenting agriculture as modern and technology-driven sector, this can significantly change how young people see it. Therefore, it is crucial for educators and </w:t>
      </w:r>
      <w:proofErr w:type="spellStart"/>
      <w:r w:rsidRPr="00D96779">
        <w:rPr>
          <w:rFonts w:ascii="Arial" w:hAnsi="Arial" w:cs="Arial"/>
        </w:rPr>
        <w:t>polymakers</w:t>
      </w:r>
      <w:proofErr w:type="spellEnd"/>
      <w:r w:rsidRPr="00D96779">
        <w:rPr>
          <w:rFonts w:ascii="Arial" w:hAnsi="Arial" w:cs="Arial"/>
        </w:rPr>
        <w:t xml:space="preserve"> to understand how students perceive agriculture as a potential job in order to properly promote the agriculture sector.</w:t>
      </w:r>
    </w:p>
    <w:p w14:paraId="53BC3B9D" w14:textId="72CE835E" w:rsidR="00B01FCD" w:rsidRDefault="00D96779" w:rsidP="00D96779">
      <w:pPr>
        <w:pStyle w:val="Body"/>
        <w:spacing w:after="0"/>
        <w:rPr>
          <w:rFonts w:ascii="Arial" w:hAnsi="Arial" w:cs="Arial"/>
        </w:rPr>
      </w:pPr>
      <w:r w:rsidRPr="00D96779">
        <w:rPr>
          <w:rFonts w:ascii="Arial" w:hAnsi="Arial" w:cs="Arial"/>
        </w:rPr>
        <w:t>This study aims to investigate the perceptions and motivations of incoming senior high school students in choosing Technical–Vocational- Livelihood (TVL)–focusing on Agri-Fishery Arts specialization. By doing this, it hopes to support continuing initiatives to promote young involvement in agriculture and secure the nation’s food security and sustainable farming industries</w:t>
      </w:r>
      <w:r w:rsidR="00553275" w:rsidRPr="00553275">
        <w:rPr>
          <w:rFonts w:ascii="Arial" w:hAnsi="Arial" w:cs="Arial"/>
        </w:rPr>
        <w:t>.</w:t>
      </w:r>
    </w:p>
    <w:p w14:paraId="7747D8DD" w14:textId="77777777" w:rsidR="00790ADA" w:rsidRDefault="00790ADA" w:rsidP="00441B6F">
      <w:pPr>
        <w:pStyle w:val="Body"/>
        <w:spacing w:after="0"/>
        <w:rPr>
          <w:rFonts w:ascii="Arial" w:hAnsi="Arial" w:cs="Arial"/>
        </w:rPr>
      </w:pPr>
    </w:p>
    <w:p w14:paraId="5CE8C519" w14:textId="77777777" w:rsidR="00B91607" w:rsidRPr="00FB3A86" w:rsidRDefault="00B91607" w:rsidP="00441B6F">
      <w:pPr>
        <w:pStyle w:val="Body"/>
        <w:spacing w:after="0"/>
        <w:rPr>
          <w:rFonts w:ascii="Arial" w:hAnsi="Arial" w:cs="Arial"/>
        </w:rPr>
      </w:pPr>
    </w:p>
    <w:p w14:paraId="1A578688" w14:textId="6DED230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A89ECA2" w14:textId="77777777" w:rsidR="00790ADA" w:rsidRDefault="00790ADA" w:rsidP="00441B6F">
      <w:pPr>
        <w:pStyle w:val="Body"/>
        <w:spacing w:after="0"/>
        <w:rPr>
          <w:rFonts w:ascii="Arial" w:hAnsi="Arial" w:cs="Arial"/>
        </w:rPr>
      </w:pPr>
    </w:p>
    <w:p w14:paraId="52306E4C" w14:textId="77777777" w:rsidR="00D96779" w:rsidRPr="00D96779" w:rsidRDefault="00D96779" w:rsidP="00D96779">
      <w:pPr>
        <w:pStyle w:val="Body"/>
        <w:rPr>
          <w:rFonts w:ascii="Arial" w:hAnsi="Arial" w:cs="Arial"/>
        </w:rPr>
      </w:pPr>
      <w:r w:rsidRPr="00D96779">
        <w:rPr>
          <w:rFonts w:ascii="Arial" w:hAnsi="Arial" w:cs="Arial"/>
        </w:rPr>
        <w:t xml:space="preserve">This study used a descriptive research design using survey as its method to examine the perceptions and motivations of incoming senior high school students in choosing Technical–Vocational–Livelihood (TVL), focusing on Agri-Fishery Arts specialization. A purposive sample of 35 students completed a survey questionnaire consisting of items measuring their levels of perception and motivation. Quantitative data were analyzed using weighted means to determine the degree of agreement on various subcategories related to career attractiveness, income prospects, social prestige, family and peer influence, self- efficacy, as well as motivation factors. This design enabled the collection of detailed attitudinal data reflecting the students’ views and intentions, providing a comprehensive snapshot of their career outlook towards agriculture. </w:t>
      </w:r>
    </w:p>
    <w:p w14:paraId="27044B6D" w14:textId="037D82C9" w:rsidR="00D96779" w:rsidRPr="00D96779" w:rsidRDefault="00D96779" w:rsidP="00D96779">
      <w:pPr>
        <w:pStyle w:val="Body"/>
        <w:rPr>
          <w:rFonts w:ascii="Arial" w:hAnsi="Arial" w:cs="Arial"/>
        </w:rPr>
      </w:pPr>
      <w:r w:rsidRPr="00D96779">
        <w:rPr>
          <w:rFonts w:ascii="Arial" w:hAnsi="Arial" w:cs="Arial"/>
        </w:rPr>
        <w:t xml:space="preserve">Participants and Sampling. The participants of the study were 35 incoming senior high school students from a selected public school in the </w:t>
      </w:r>
      <w:r>
        <w:rPr>
          <w:rFonts w:ascii="Arial" w:hAnsi="Arial" w:cs="Arial"/>
        </w:rPr>
        <w:t>S</w:t>
      </w:r>
      <w:r w:rsidRPr="00D96779">
        <w:rPr>
          <w:rFonts w:ascii="Arial" w:hAnsi="Arial" w:cs="Arial"/>
        </w:rPr>
        <w:t xml:space="preserve">chools </w:t>
      </w:r>
      <w:r>
        <w:rPr>
          <w:rFonts w:ascii="Arial" w:hAnsi="Arial" w:cs="Arial"/>
        </w:rPr>
        <w:t>D</w:t>
      </w:r>
      <w:r w:rsidRPr="00D96779">
        <w:rPr>
          <w:rFonts w:ascii="Arial" w:hAnsi="Arial" w:cs="Arial"/>
        </w:rPr>
        <w:t>ivision of Laoag City during the school year 2025-2026. The school was chosen because it is the only school in the division that offers TVL- AFA specialization and it actively encourages agricultural literacy through programs like gardening, hydroponics and the cultivation of mushrooms. With these experiences, the students were the ideal respondents for understanding perceptions toward agriculture.</w:t>
      </w:r>
    </w:p>
    <w:p w14:paraId="6ACE6B10" w14:textId="77777777" w:rsidR="00D96779" w:rsidRPr="00D96779" w:rsidRDefault="00D96779" w:rsidP="00D96779">
      <w:pPr>
        <w:pStyle w:val="Body"/>
        <w:rPr>
          <w:rFonts w:ascii="Arial" w:hAnsi="Arial" w:cs="Arial"/>
        </w:rPr>
      </w:pPr>
      <w:r w:rsidRPr="00D96779">
        <w:rPr>
          <w:rFonts w:ascii="Arial" w:hAnsi="Arial" w:cs="Arial"/>
        </w:rPr>
        <w:lastRenderedPageBreak/>
        <w:t>Research Instrument. The study used a self-administered questionnaire consisting of two parts. The first part gathered the students’ demographic profile. The second part contained 35 statements about perceptions and motivation, rated using a five-point Likert scale ranging from 5 (Strongly Agree) to 1 (Strongly Disagree). The items in the instrument were categorized into six dimensions: career attractiveness, income prospects, social prestige, self-efficacy, family and peer influence and motivation to choose TVL–AFA.</w:t>
      </w:r>
    </w:p>
    <w:p w14:paraId="0BEE362F" w14:textId="77777777" w:rsidR="00D96779" w:rsidRPr="00D96779" w:rsidRDefault="00D96779" w:rsidP="00D96779">
      <w:pPr>
        <w:pStyle w:val="Body"/>
        <w:rPr>
          <w:rFonts w:ascii="Arial" w:hAnsi="Arial" w:cs="Arial"/>
        </w:rPr>
      </w:pPr>
      <w:r w:rsidRPr="00D96779">
        <w:rPr>
          <w:rFonts w:ascii="Arial" w:hAnsi="Arial" w:cs="Arial"/>
        </w:rPr>
        <w:t>Statistical Treatment. The collected data were analyzed using descriptive statistics such as mean to describe student perceptions and motivation levels such that 4.21-5.00 (strongly agree), 3.41-4.20 (agree), 2.61-3.40 (neutral), 1.81-2.60 (disagree), and 1.00-1.80 (strongly agree).</w:t>
      </w:r>
    </w:p>
    <w:p w14:paraId="4CA155CE" w14:textId="6A744A5E" w:rsidR="00D96779" w:rsidRPr="00D96779" w:rsidRDefault="00D96779" w:rsidP="00D96779">
      <w:pPr>
        <w:pStyle w:val="Body"/>
        <w:rPr>
          <w:rFonts w:ascii="Arial" w:hAnsi="Arial" w:cs="Arial"/>
        </w:rPr>
      </w:pPr>
      <w:r w:rsidRPr="00D96779">
        <w:rPr>
          <w:rFonts w:ascii="Arial" w:hAnsi="Arial" w:cs="Arial"/>
        </w:rPr>
        <w:t>Data Collection Procedure. Permission to conduct the study was first secured by the school principal. After approval, the researcher administered the survey through Google Forms to ensure accessibility and convenience for the respondents. The survey link was shared via the students’ official school communication channels.</w:t>
      </w:r>
    </w:p>
    <w:p w14:paraId="4DC2CA6D" w14:textId="16C79D12" w:rsidR="00AA74E0" w:rsidRDefault="00D96779" w:rsidP="00D96779">
      <w:pPr>
        <w:pStyle w:val="Body"/>
        <w:spacing w:after="0"/>
        <w:rPr>
          <w:rFonts w:ascii="Arial" w:hAnsi="Arial" w:cs="Arial"/>
        </w:rPr>
      </w:pPr>
      <w:r w:rsidRPr="00D96779">
        <w:rPr>
          <w:rFonts w:ascii="Arial" w:hAnsi="Arial" w:cs="Arial"/>
        </w:rPr>
        <w:t>Before answering, respondents were informed about the purpose of the study and were assured that their participation was voluntary and confidential. They were also reminded that their responses would be used solely for research purposes. The Google Form automatically collected responses, which were later encoded and organized for statistical analysis.</w:t>
      </w:r>
    </w:p>
    <w:p w14:paraId="44DC8C0B" w14:textId="77777777" w:rsidR="00790ADA" w:rsidRDefault="00790ADA" w:rsidP="00441B6F">
      <w:pPr>
        <w:pStyle w:val="Body"/>
        <w:spacing w:after="0"/>
        <w:rPr>
          <w:rFonts w:ascii="Arial" w:hAnsi="Arial" w:cs="Arial"/>
        </w:rPr>
      </w:pPr>
    </w:p>
    <w:p w14:paraId="6CA700FC" w14:textId="77777777" w:rsidR="00B91607" w:rsidRPr="00FB3A86" w:rsidRDefault="00B91607" w:rsidP="00441B6F">
      <w:pPr>
        <w:pStyle w:val="Body"/>
        <w:spacing w:after="0"/>
        <w:rPr>
          <w:rFonts w:ascii="Arial" w:hAnsi="Arial" w:cs="Arial"/>
        </w:rPr>
      </w:pPr>
    </w:p>
    <w:p w14:paraId="5BF550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7BAD2B50" w14:textId="77777777" w:rsidR="00D96779" w:rsidRPr="00D96779" w:rsidRDefault="00D96779" w:rsidP="00D96779">
      <w:pPr>
        <w:pStyle w:val="Body"/>
        <w:rPr>
          <w:rFonts w:ascii="Arial" w:hAnsi="Arial" w:cs="Arial"/>
        </w:rPr>
      </w:pPr>
      <w:r w:rsidRPr="00D96779">
        <w:rPr>
          <w:rFonts w:ascii="Arial" w:hAnsi="Arial" w:cs="Arial"/>
        </w:rPr>
        <w:t>This chapter presents and interprets the findings of the study. The results are organized according to the major variables of the study, including students’ perceptions of the Agri-Fishery Arts specialization, their motivations for choosing the track, and the demographic and contextual factors that may influence their decisions. Descriptive and inferential analyses are discussed to highlight patterns, strengths, and areas of concern related to students’ preferences and readiness in pursuing the specialization. The discussion integrates the empirical results with relevant literature and theoretical perspectives to provide deeper insight into the considerations shaping students’ track selection in the regional context.</w:t>
      </w:r>
    </w:p>
    <w:p w14:paraId="4AA8DD92" w14:textId="3D639539" w:rsidR="00B91607" w:rsidRPr="00B91607" w:rsidRDefault="00D96779" w:rsidP="00D96779">
      <w:pPr>
        <w:pStyle w:val="Body"/>
        <w:rPr>
          <w:rFonts w:ascii="Arial" w:hAnsi="Arial" w:cs="Arial"/>
        </w:rPr>
      </w:pPr>
      <w:r w:rsidRPr="00D96779">
        <w:rPr>
          <w:rFonts w:ascii="Arial" w:hAnsi="Arial" w:cs="Arial"/>
        </w:rPr>
        <w:t>P</w:t>
      </w:r>
      <w:r w:rsidRPr="00D96779">
        <w:rPr>
          <w:rFonts w:ascii="Arial" w:hAnsi="Arial" w:cs="Arial"/>
          <w:b/>
          <w:bCs/>
        </w:rPr>
        <w:t xml:space="preserve">rofile of the Respondents. </w:t>
      </w:r>
      <w:r w:rsidRPr="00D96779">
        <w:rPr>
          <w:rFonts w:ascii="Arial" w:hAnsi="Arial" w:cs="Arial"/>
        </w:rPr>
        <w:t>Most respondents came from rural and semi-urban areas and were familiar with agricultural practices through school or family activities. Some had parents involved in farming, which helped shape their understanding of agriculture as a livelihood and career path</w:t>
      </w:r>
      <w:r w:rsidR="00B91607" w:rsidRPr="00B91607">
        <w:rPr>
          <w:rFonts w:ascii="Arial" w:hAnsi="Arial" w:cs="Arial"/>
        </w:rPr>
        <w:t>.</w:t>
      </w:r>
    </w:p>
    <w:p w14:paraId="1C810922" w14:textId="084BCD84" w:rsidR="00502516" w:rsidRDefault="00B91607" w:rsidP="00B91607">
      <w:pPr>
        <w:pStyle w:val="Body"/>
        <w:rPr>
          <w:rFonts w:ascii="Arial" w:hAnsi="Arial" w:cs="Arial"/>
          <w:b/>
          <w:bCs/>
        </w:rPr>
      </w:pPr>
      <w:r w:rsidRPr="00B91607">
        <w:rPr>
          <w:rFonts w:ascii="Arial" w:hAnsi="Arial" w:cs="Arial"/>
          <w:b/>
          <w:bCs/>
        </w:rPr>
        <w:t xml:space="preserve">Table 1. </w:t>
      </w:r>
      <w:r w:rsidR="00D96779" w:rsidRPr="00D96779">
        <w:rPr>
          <w:rFonts w:ascii="Arial" w:hAnsi="Arial" w:cs="Arial"/>
          <w:b/>
          <w:bCs/>
        </w:rPr>
        <w:t>Students’ Perceptions toward Agriculture (N=35)</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376"/>
      </w:tblGrid>
      <w:tr w:rsidR="00D96779" w14:paraId="04742C34" w14:textId="77777777" w:rsidTr="00D96779">
        <w:trPr>
          <w:trHeight w:val="422"/>
        </w:trPr>
        <w:tc>
          <w:tcPr>
            <w:tcW w:w="4230" w:type="dxa"/>
            <w:tcBorders>
              <w:top w:val="single" w:sz="4" w:space="0" w:color="auto"/>
              <w:bottom w:val="single" w:sz="4" w:space="0" w:color="auto"/>
            </w:tcBorders>
            <w:vAlign w:val="center"/>
          </w:tcPr>
          <w:p w14:paraId="286F31F8" w14:textId="12BA7E84" w:rsidR="00D96779" w:rsidRDefault="00D96779" w:rsidP="00D96779">
            <w:pPr>
              <w:pStyle w:val="Body"/>
              <w:spacing w:after="0"/>
              <w:jc w:val="center"/>
              <w:rPr>
                <w:rFonts w:ascii="Arial" w:hAnsi="Arial" w:cs="Arial"/>
                <w:b/>
                <w:bCs/>
              </w:rPr>
            </w:pPr>
            <w:r w:rsidRPr="00D96779">
              <w:rPr>
                <w:rFonts w:ascii="Times New Roman" w:hAnsi="Times New Roman"/>
                <w:b/>
                <w:bCs/>
                <w:kern w:val="2"/>
                <w:lang w:val="en-PH"/>
              </w:rPr>
              <w:t>Indicator</w:t>
            </w:r>
          </w:p>
        </w:tc>
        <w:tc>
          <w:tcPr>
            <w:tcW w:w="1710" w:type="dxa"/>
            <w:tcBorders>
              <w:top w:val="single" w:sz="4" w:space="0" w:color="auto"/>
              <w:bottom w:val="single" w:sz="4" w:space="0" w:color="auto"/>
            </w:tcBorders>
            <w:vAlign w:val="center"/>
          </w:tcPr>
          <w:p w14:paraId="4CDCB50F" w14:textId="179456B6" w:rsidR="00D96779" w:rsidRDefault="00D96779" w:rsidP="00D96779">
            <w:pPr>
              <w:pStyle w:val="Body"/>
              <w:spacing w:after="0"/>
              <w:jc w:val="center"/>
              <w:rPr>
                <w:rFonts w:ascii="Arial" w:hAnsi="Arial" w:cs="Arial"/>
                <w:b/>
                <w:bCs/>
              </w:rPr>
            </w:pPr>
            <w:r w:rsidRPr="00D96779">
              <w:rPr>
                <w:rFonts w:ascii="Times New Roman" w:hAnsi="Times New Roman"/>
                <w:b/>
                <w:bCs/>
                <w:kern w:val="2"/>
                <w:lang w:val="en-PH"/>
              </w:rPr>
              <w:t>Weighted Mean</w:t>
            </w:r>
          </w:p>
        </w:tc>
        <w:tc>
          <w:tcPr>
            <w:tcW w:w="2376" w:type="dxa"/>
            <w:tcBorders>
              <w:top w:val="single" w:sz="4" w:space="0" w:color="auto"/>
              <w:bottom w:val="single" w:sz="4" w:space="0" w:color="auto"/>
            </w:tcBorders>
            <w:vAlign w:val="center"/>
          </w:tcPr>
          <w:p w14:paraId="4A1AE29B" w14:textId="30CF45E8" w:rsidR="00D96779" w:rsidRDefault="00D96779" w:rsidP="00D96779">
            <w:pPr>
              <w:pStyle w:val="Body"/>
              <w:spacing w:after="0"/>
              <w:jc w:val="center"/>
              <w:rPr>
                <w:rFonts w:ascii="Arial" w:hAnsi="Arial" w:cs="Arial"/>
                <w:b/>
                <w:bCs/>
              </w:rPr>
            </w:pPr>
            <w:r w:rsidRPr="00D96779">
              <w:rPr>
                <w:rFonts w:ascii="Times New Roman" w:hAnsi="Times New Roman"/>
                <w:b/>
                <w:bCs/>
                <w:kern w:val="2"/>
                <w:lang w:val="en-PH"/>
              </w:rPr>
              <w:t>Verbal Interpretation</w:t>
            </w:r>
          </w:p>
        </w:tc>
      </w:tr>
      <w:tr w:rsidR="00D96779" w14:paraId="3D2C4600" w14:textId="77777777" w:rsidTr="00D96779">
        <w:trPr>
          <w:trHeight w:val="288"/>
        </w:trPr>
        <w:tc>
          <w:tcPr>
            <w:tcW w:w="4230" w:type="dxa"/>
            <w:tcBorders>
              <w:top w:val="single" w:sz="4" w:space="0" w:color="auto"/>
            </w:tcBorders>
            <w:vAlign w:val="center"/>
          </w:tcPr>
          <w:p w14:paraId="77D07CD6" w14:textId="1AB99B31" w:rsidR="00D96779" w:rsidRDefault="00D96779" w:rsidP="00D96779">
            <w:pPr>
              <w:pStyle w:val="Body"/>
              <w:spacing w:after="0"/>
              <w:rPr>
                <w:rFonts w:ascii="Arial" w:hAnsi="Arial" w:cs="Arial"/>
                <w:b/>
                <w:bCs/>
              </w:rPr>
            </w:pPr>
            <w:r w:rsidRPr="00D96779">
              <w:rPr>
                <w:rFonts w:ascii="Times New Roman" w:hAnsi="Times New Roman"/>
                <w:kern w:val="2"/>
                <w:lang w:val="en-PH"/>
              </w:rPr>
              <w:t>1.Career Attractiveness</w:t>
            </w:r>
          </w:p>
        </w:tc>
        <w:tc>
          <w:tcPr>
            <w:tcW w:w="1710" w:type="dxa"/>
            <w:tcBorders>
              <w:top w:val="single" w:sz="4" w:space="0" w:color="auto"/>
            </w:tcBorders>
            <w:vAlign w:val="center"/>
          </w:tcPr>
          <w:p w14:paraId="1452158E" w14:textId="5D836C55" w:rsidR="00D96779" w:rsidRDefault="00D96779" w:rsidP="00D96779">
            <w:pPr>
              <w:pStyle w:val="Body"/>
              <w:spacing w:after="0"/>
              <w:jc w:val="center"/>
              <w:rPr>
                <w:rFonts w:ascii="Arial" w:hAnsi="Arial" w:cs="Arial"/>
                <w:b/>
                <w:bCs/>
              </w:rPr>
            </w:pPr>
            <w:r w:rsidRPr="00D96779">
              <w:rPr>
                <w:rFonts w:ascii="Times New Roman" w:hAnsi="Times New Roman"/>
                <w:kern w:val="2"/>
                <w:lang w:val="en-PH"/>
              </w:rPr>
              <w:t>4.12</w:t>
            </w:r>
          </w:p>
        </w:tc>
        <w:tc>
          <w:tcPr>
            <w:tcW w:w="2376" w:type="dxa"/>
            <w:tcBorders>
              <w:top w:val="single" w:sz="4" w:space="0" w:color="auto"/>
            </w:tcBorders>
            <w:vAlign w:val="center"/>
          </w:tcPr>
          <w:p w14:paraId="2C11AD26" w14:textId="15DFE84D" w:rsidR="00D96779" w:rsidRDefault="00D96779" w:rsidP="00D96779">
            <w:pPr>
              <w:pStyle w:val="Body"/>
              <w:spacing w:after="0"/>
              <w:jc w:val="center"/>
              <w:rPr>
                <w:rFonts w:ascii="Arial" w:hAnsi="Arial" w:cs="Arial"/>
                <w:b/>
                <w:bCs/>
              </w:rPr>
            </w:pPr>
            <w:r w:rsidRPr="00D96779">
              <w:rPr>
                <w:rFonts w:ascii="Times New Roman" w:hAnsi="Times New Roman"/>
                <w:kern w:val="2"/>
                <w:lang w:val="en-PH"/>
              </w:rPr>
              <w:t>Strongly Agree</w:t>
            </w:r>
          </w:p>
        </w:tc>
      </w:tr>
      <w:tr w:rsidR="00D96779" w14:paraId="3638C67D" w14:textId="77777777" w:rsidTr="00D96779">
        <w:trPr>
          <w:trHeight w:val="288"/>
        </w:trPr>
        <w:tc>
          <w:tcPr>
            <w:tcW w:w="4230" w:type="dxa"/>
            <w:vAlign w:val="center"/>
          </w:tcPr>
          <w:p w14:paraId="66863481" w14:textId="49DF8945" w:rsidR="00D96779" w:rsidRDefault="00D96779" w:rsidP="00D96779">
            <w:pPr>
              <w:pStyle w:val="Body"/>
              <w:spacing w:after="0"/>
              <w:rPr>
                <w:rFonts w:ascii="Arial" w:hAnsi="Arial" w:cs="Arial"/>
                <w:b/>
                <w:bCs/>
              </w:rPr>
            </w:pPr>
            <w:r w:rsidRPr="00D96779">
              <w:rPr>
                <w:rFonts w:ascii="Times New Roman" w:hAnsi="Times New Roman"/>
                <w:kern w:val="2"/>
                <w:lang w:val="en-PH"/>
              </w:rPr>
              <w:t>2. Income Prospects</w:t>
            </w:r>
          </w:p>
        </w:tc>
        <w:tc>
          <w:tcPr>
            <w:tcW w:w="1710" w:type="dxa"/>
            <w:vAlign w:val="center"/>
          </w:tcPr>
          <w:p w14:paraId="45993625" w14:textId="1FA1F7DB" w:rsidR="00D96779" w:rsidRDefault="00D96779" w:rsidP="00D96779">
            <w:pPr>
              <w:pStyle w:val="Body"/>
              <w:spacing w:after="0"/>
              <w:jc w:val="center"/>
              <w:rPr>
                <w:rFonts w:ascii="Arial" w:hAnsi="Arial" w:cs="Arial"/>
                <w:b/>
                <w:bCs/>
              </w:rPr>
            </w:pPr>
            <w:r w:rsidRPr="00D96779">
              <w:rPr>
                <w:rFonts w:ascii="Times New Roman" w:hAnsi="Times New Roman"/>
                <w:kern w:val="2"/>
                <w:lang w:val="en-PH"/>
              </w:rPr>
              <w:t>4.24</w:t>
            </w:r>
          </w:p>
        </w:tc>
        <w:tc>
          <w:tcPr>
            <w:tcW w:w="2376" w:type="dxa"/>
            <w:vAlign w:val="center"/>
          </w:tcPr>
          <w:p w14:paraId="21BEF7E5" w14:textId="23AE5398" w:rsidR="00D96779" w:rsidRDefault="00D96779" w:rsidP="00D96779">
            <w:pPr>
              <w:pStyle w:val="Body"/>
              <w:spacing w:after="0"/>
              <w:jc w:val="center"/>
              <w:rPr>
                <w:rFonts w:ascii="Arial" w:hAnsi="Arial" w:cs="Arial"/>
                <w:b/>
                <w:bCs/>
              </w:rPr>
            </w:pPr>
            <w:r w:rsidRPr="00D96779">
              <w:rPr>
                <w:rFonts w:ascii="Times New Roman" w:hAnsi="Times New Roman"/>
                <w:kern w:val="2"/>
                <w:lang w:val="en-PH"/>
              </w:rPr>
              <w:t>Strongly Agree</w:t>
            </w:r>
          </w:p>
        </w:tc>
      </w:tr>
      <w:tr w:rsidR="00D96779" w14:paraId="67D324E1" w14:textId="77777777" w:rsidTr="00D96779">
        <w:trPr>
          <w:trHeight w:val="288"/>
        </w:trPr>
        <w:tc>
          <w:tcPr>
            <w:tcW w:w="4230" w:type="dxa"/>
            <w:vAlign w:val="center"/>
          </w:tcPr>
          <w:p w14:paraId="3B236906" w14:textId="71C9A92F" w:rsidR="00D96779" w:rsidRDefault="00D96779" w:rsidP="00D96779">
            <w:pPr>
              <w:pStyle w:val="Body"/>
              <w:spacing w:after="0"/>
              <w:rPr>
                <w:rFonts w:ascii="Arial" w:hAnsi="Arial" w:cs="Arial"/>
                <w:b/>
                <w:bCs/>
              </w:rPr>
            </w:pPr>
            <w:r w:rsidRPr="00D96779">
              <w:rPr>
                <w:rFonts w:ascii="Times New Roman" w:hAnsi="Times New Roman"/>
                <w:kern w:val="2"/>
                <w:lang w:val="en-PH"/>
              </w:rPr>
              <w:t>3. Social Prestige</w:t>
            </w:r>
          </w:p>
        </w:tc>
        <w:tc>
          <w:tcPr>
            <w:tcW w:w="1710" w:type="dxa"/>
            <w:vAlign w:val="center"/>
          </w:tcPr>
          <w:p w14:paraId="5880ED2F" w14:textId="606C6E67" w:rsidR="00D96779" w:rsidRDefault="00D96779" w:rsidP="00D96779">
            <w:pPr>
              <w:pStyle w:val="Body"/>
              <w:spacing w:after="0"/>
              <w:jc w:val="center"/>
              <w:rPr>
                <w:rFonts w:ascii="Arial" w:hAnsi="Arial" w:cs="Arial"/>
                <w:b/>
                <w:bCs/>
              </w:rPr>
            </w:pPr>
            <w:r w:rsidRPr="00D96779">
              <w:rPr>
                <w:rFonts w:ascii="Times New Roman" w:hAnsi="Times New Roman"/>
                <w:kern w:val="2"/>
                <w:lang w:val="en-PH"/>
              </w:rPr>
              <w:t>4.30</w:t>
            </w:r>
          </w:p>
        </w:tc>
        <w:tc>
          <w:tcPr>
            <w:tcW w:w="2376" w:type="dxa"/>
            <w:vAlign w:val="center"/>
          </w:tcPr>
          <w:p w14:paraId="65181464" w14:textId="3AD448D9" w:rsidR="00D96779" w:rsidRDefault="00D96779" w:rsidP="00D96779">
            <w:pPr>
              <w:pStyle w:val="Body"/>
              <w:spacing w:after="0"/>
              <w:jc w:val="center"/>
              <w:rPr>
                <w:rFonts w:ascii="Arial" w:hAnsi="Arial" w:cs="Arial"/>
                <w:b/>
                <w:bCs/>
              </w:rPr>
            </w:pPr>
            <w:r w:rsidRPr="00D96779">
              <w:rPr>
                <w:rFonts w:ascii="Times New Roman" w:hAnsi="Times New Roman"/>
                <w:kern w:val="2"/>
                <w:lang w:val="en-PH"/>
              </w:rPr>
              <w:t>Strongly Agree</w:t>
            </w:r>
          </w:p>
        </w:tc>
      </w:tr>
      <w:tr w:rsidR="00D96779" w14:paraId="69EC4691" w14:textId="77777777" w:rsidTr="00D96779">
        <w:trPr>
          <w:trHeight w:val="288"/>
        </w:trPr>
        <w:tc>
          <w:tcPr>
            <w:tcW w:w="4230" w:type="dxa"/>
            <w:vAlign w:val="center"/>
          </w:tcPr>
          <w:p w14:paraId="2A3AC2CD" w14:textId="7CFB8817" w:rsidR="00D96779" w:rsidRDefault="00D96779" w:rsidP="00D96779">
            <w:pPr>
              <w:pStyle w:val="Body"/>
              <w:spacing w:after="0"/>
              <w:rPr>
                <w:rFonts w:ascii="Arial" w:hAnsi="Arial" w:cs="Arial"/>
                <w:b/>
                <w:bCs/>
              </w:rPr>
            </w:pPr>
            <w:r w:rsidRPr="00D96779">
              <w:rPr>
                <w:rFonts w:ascii="Times New Roman" w:hAnsi="Times New Roman"/>
                <w:kern w:val="2"/>
                <w:lang w:val="en-PH"/>
              </w:rPr>
              <w:t>4. Self- Efficacy</w:t>
            </w:r>
          </w:p>
        </w:tc>
        <w:tc>
          <w:tcPr>
            <w:tcW w:w="1710" w:type="dxa"/>
            <w:vAlign w:val="center"/>
          </w:tcPr>
          <w:p w14:paraId="2B4FFE01" w14:textId="58A0E3B3" w:rsidR="00D96779" w:rsidRDefault="00D96779" w:rsidP="00D96779">
            <w:pPr>
              <w:pStyle w:val="Body"/>
              <w:spacing w:after="0"/>
              <w:jc w:val="center"/>
              <w:rPr>
                <w:rFonts w:ascii="Arial" w:hAnsi="Arial" w:cs="Arial"/>
                <w:b/>
                <w:bCs/>
              </w:rPr>
            </w:pPr>
            <w:r w:rsidRPr="00D96779">
              <w:rPr>
                <w:rFonts w:ascii="Times New Roman" w:hAnsi="Times New Roman"/>
                <w:kern w:val="2"/>
                <w:lang w:val="en-PH"/>
              </w:rPr>
              <w:t>4.00</w:t>
            </w:r>
          </w:p>
        </w:tc>
        <w:tc>
          <w:tcPr>
            <w:tcW w:w="2376" w:type="dxa"/>
            <w:vAlign w:val="center"/>
          </w:tcPr>
          <w:p w14:paraId="36D02370" w14:textId="2F4C21EB" w:rsidR="00D96779" w:rsidRDefault="00D96779" w:rsidP="00D96779">
            <w:pPr>
              <w:pStyle w:val="Body"/>
              <w:spacing w:after="0"/>
              <w:jc w:val="center"/>
              <w:rPr>
                <w:rFonts w:ascii="Arial" w:hAnsi="Arial" w:cs="Arial"/>
                <w:b/>
                <w:bCs/>
              </w:rPr>
            </w:pPr>
            <w:r w:rsidRPr="00D96779">
              <w:rPr>
                <w:rFonts w:ascii="Times New Roman" w:hAnsi="Times New Roman"/>
                <w:kern w:val="2"/>
                <w:lang w:val="en-PH"/>
              </w:rPr>
              <w:t>Agree</w:t>
            </w:r>
          </w:p>
        </w:tc>
      </w:tr>
      <w:tr w:rsidR="00D96779" w14:paraId="41B9DEA2" w14:textId="77777777" w:rsidTr="00D96779">
        <w:trPr>
          <w:trHeight w:val="288"/>
        </w:trPr>
        <w:tc>
          <w:tcPr>
            <w:tcW w:w="4230" w:type="dxa"/>
            <w:vAlign w:val="center"/>
          </w:tcPr>
          <w:p w14:paraId="285C2270" w14:textId="16BE10B0" w:rsidR="00D96779" w:rsidRDefault="00D96779" w:rsidP="00D96779">
            <w:pPr>
              <w:pStyle w:val="Body"/>
              <w:spacing w:after="0"/>
              <w:rPr>
                <w:rFonts w:ascii="Arial" w:hAnsi="Arial" w:cs="Arial"/>
                <w:b/>
                <w:bCs/>
              </w:rPr>
            </w:pPr>
            <w:r w:rsidRPr="00D96779">
              <w:rPr>
                <w:rFonts w:ascii="Times New Roman" w:hAnsi="Times New Roman"/>
                <w:kern w:val="2"/>
                <w:lang w:val="en-PH"/>
              </w:rPr>
              <w:t>5. Family &amp; Peer Influence</w:t>
            </w:r>
          </w:p>
        </w:tc>
        <w:tc>
          <w:tcPr>
            <w:tcW w:w="1710" w:type="dxa"/>
            <w:vAlign w:val="center"/>
          </w:tcPr>
          <w:p w14:paraId="71A1DC88" w14:textId="1492DB06" w:rsidR="00D96779" w:rsidRDefault="00D96779" w:rsidP="00D96779">
            <w:pPr>
              <w:pStyle w:val="Body"/>
              <w:spacing w:after="0"/>
              <w:jc w:val="center"/>
              <w:rPr>
                <w:rFonts w:ascii="Arial" w:hAnsi="Arial" w:cs="Arial"/>
                <w:b/>
                <w:bCs/>
              </w:rPr>
            </w:pPr>
            <w:r w:rsidRPr="00D96779">
              <w:rPr>
                <w:rFonts w:ascii="Times New Roman" w:hAnsi="Times New Roman"/>
                <w:kern w:val="2"/>
                <w:lang w:val="en-PH"/>
              </w:rPr>
              <w:t>3.81</w:t>
            </w:r>
          </w:p>
        </w:tc>
        <w:tc>
          <w:tcPr>
            <w:tcW w:w="2376" w:type="dxa"/>
            <w:vAlign w:val="center"/>
          </w:tcPr>
          <w:p w14:paraId="69962FEF" w14:textId="60E939AA" w:rsidR="00D96779" w:rsidRDefault="00D96779" w:rsidP="00D96779">
            <w:pPr>
              <w:pStyle w:val="Body"/>
              <w:spacing w:after="0"/>
              <w:jc w:val="center"/>
              <w:rPr>
                <w:rFonts w:ascii="Arial" w:hAnsi="Arial" w:cs="Arial"/>
                <w:b/>
                <w:bCs/>
              </w:rPr>
            </w:pPr>
            <w:r w:rsidRPr="00D96779">
              <w:rPr>
                <w:rFonts w:ascii="Times New Roman" w:hAnsi="Times New Roman"/>
                <w:kern w:val="2"/>
                <w:lang w:val="en-PH"/>
              </w:rPr>
              <w:t>Agree</w:t>
            </w:r>
          </w:p>
        </w:tc>
      </w:tr>
      <w:tr w:rsidR="00D96779" w14:paraId="1E85F5EB" w14:textId="77777777" w:rsidTr="00D96779">
        <w:trPr>
          <w:trHeight w:val="287"/>
        </w:trPr>
        <w:tc>
          <w:tcPr>
            <w:tcW w:w="4230" w:type="dxa"/>
            <w:tcBorders>
              <w:bottom w:val="single" w:sz="4" w:space="0" w:color="auto"/>
            </w:tcBorders>
            <w:vAlign w:val="center"/>
          </w:tcPr>
          <w:p w14:paraId="0EA3D8CC" w14:textId="049CEFD7" w:rsidR="00D96779" w:rsidRPr="00D96779" w:rsidRDefault="00D96779" w:rsidP="00D96779">
            <w:pPr>
              <w:pStyle w:val="Body"/>
              <w:spacing w:after="0"/>
              <w:jc w:val="center"/>
              <w:rPr>
                <w:rFonts w:ascii="Times New Roman" w:hAnsi="Times New Roman"/>
                <w:kern w:val="2"/>
                <w:lang w:val="en-PH"/>
              </w:rPr>
            </w:pPr>
            <w:r w:rsidRPr="00D96779">
              <w:rPr>
                <w:rFonts w:ascii="Times New Roman" w:hAnsi="Times New Roman"/>
                <w:b/>
                <w:bCs/>
                <w:kern w:val="2"/>
                <w:lang w:val="en-PH"/>
              </w:rPr>
              <w:t>Overall Mean</w:t>
            </w:r>
          </w:p>
        </w:tc>
        <w:tc>
          <w:tcPr>
            <w:tcW w:w="1710" w:type="dxa"/>
            <w:tcBorders>
              <w:bottom w:val="single" w:sz="4" w:space="0" w:color="auto"/>
            </w:tcBorders>
            <w:vAlign w:val="center"/>
          </w:tcPr>
          <w:p w14:paraId="3EC0C441" w14:textId="13A9B8E4" w:rsidR="00D96779" w:rsidRPr="00D96779" w:rsidRDefault="00D96779" w:rsidP="00D96779">
            <w:pPr>
              <w:pStyle w:val="Body"/>
              <w:spacing w:after="0"/>
              <w:jc w:val="center"/>
              <w:rPr>
                <w:rFonts w:ascii="Times New Roman" w:hAnsi="Times New Roman"/>
                <w:kern w:val="2"/>
                <w:lang w:val="en-PH"/>
              </w:rPr>
            </w:pPr>
            <w:r w:rsidRPr="00D96779">
              <w:rPr>
                <w:rFonts w:ascii="Times New Roman" w:hAnsi="Times New Roman"/>
                <w:b/>
                <w:bCs/>
                <w:kern w:val="2"/>
                <w:lang w:val="en-PH"/>
              </w:rPr>
              <w:t>4.00</w:t>
            </w:r>
          </w:p>
        </w:tc>
        <w:tc>
          <w:tcPr>
            <w:tcW w:w="2376" w:type="dxa"/>
            <w:tcBorders>
              <w:bottom w:val="single" w:sz="4" w:space="0" w:color="auto"/>
            </w:tcBorders>
            <w:vAlign w:val="center"/>
          </w:tcPr>
          <w:p w14:paraId="0435C9A8" w14:textId="7126B5A0" w:rsidR="00D96779" w:rsidRPr="00D96779" w:rsidRDefault="00D96779" w:rsidP="00D96779">
            <w:pPr>
              <w:pStyle w:val="Body"/>
              <w:spacing w:after="0"/>
              <w:jc w:val="center"/>
              <w:rPr>
                <w:rFonts w:ascii="Times New Roman" w:hAnsi="Times New Roman"/>
                <w:kern w:val="2"/>
                <w:lang w:val="en-PH"/>
              </w:rPr>
            </w:pPr>
            <w:r w:rsidRPr="00D96779">
              <w:rPr>
                <w:rFonts w:ascii="Times New Roman" w:hAnsi="Times New Roman"/>
                <w:b/>
                <w:bCs/>
                <w:kern w:val="2"/>
                <w:lang w:val="en-PH"/>
              </w:rPr>
              <w:t>Agree</w:t>
            </w:r>
          </w:p>
        </w:tc>
      </w:tr>
    </w:tbl>
    <w:p w14:paraId="370B4048" w14:textId="77777777" w:rsidR="00D96779" w:rsidRDefault="00D96779" w:rsidP="00B91607">
      <w:pPr>
        <w:pStyle w:val="Body"/>
        <w:spacing w:after="0"/>
        <w:rPr>
          <w:rFonts w:ascii="Arial" w:hAnsi="Arial" w:cs="Arial"/>
        </w:rPr>
      </w:pPr>
    </w:p>
    <w:p w14:paraId="7E6671EB" w14:textId="77777777" w:rsidR="00D96779" w:rsidRPr="00D96779" w:rsidRDefault="00D96779" w:rsidP="00D96779">
      <w:pPr>
        <w:pStyle w:val="Body"/>
        <w:rPr>
          <w:rFonts w:ascii="Arial" w:hAnsi="Arial" w:cs="Arial"/>
        </w:rPr>
      </w:pPr>
      <w:r w:rsidRPr="00D96779">
        <w:rPr>
          <w:rFonts w:ascii="Arial" w:hAnsi="Arial" w:cs="Arial"/>
        </w:rPr>
        <w:lastRenderedPageBreak/>
        <w:t>The results show that, in general, students have positive perceptions towards agriculture, as shown by the overall mean of 4.00 (Agree). Among the indicators, Social Prestige had the highest rating, with a weighted mean of 4.30 (Strongly Agree), indicating that students regard agriculture as a respectable and valuable profession. This is consistent with recent studies indicating that young people are increasingly acknowledging the importance of agriculture to food security, sustainability, and national development, leading to its gradually improving social status (Food and Agriculture Organization [FAO], 2020). Similarly, high ratings for Career Attractiveness (WM = 4.12) and Income Prospects (WM = 4.24) indicate that students perceive agriculture as a promising field with various career opportunities and economic prospects. This is in line with various studies indicating that modern agriculture presents growing opportunities in agribusiness, agricultural technology, and value-chain enterprises-sectors recognized for enhancing livelihood outcomes (World Bank, 2017).</w:t>
      </w:r>
    </w:p>
    <w:p w14:paraId="6D2483FB" w14:textId="60947C0E" w:rsidR="00D96779" w:rsidRDefault="00D96779" w:rsidP="00D96779">
      <w:pPr>
        <w:pStyle w:val="Body"/>
        <w:rPr>
          <w:rFonts w:ascii="Arial" w:hAnsi="Arial" w:cs="Arial"/>
        </w:rPr>
      </w:pPr>
      <w:r w:rsidRPr="00D96779">
        <w:rPr>
          <w:rFonts w:ascii="Arial" w:hAnsi="Arial" w:cs="Arial"/>
        </w:rPr>
        <w:t>The item ratings for Self-Efficacy and Family and Peer Influence were relatively lower but still positive: WM = 4.00 (Agree) and WM = 3.81 (Agree), respectively. Students' belief in their ability to perform tasks related to agriculture is a function of Bandura's (1997) concept of self-efficacy, where beliefs about personal ability make a significant contribution to interest and persistence in technical fields. On the other hand, ratings for Family and Peer Influence are moderate, which implies that while social groups may be shaping career choices, students may be developing their perceptions toward agriculture based more on personal interest and exposure than family and peer pressure. This corroborates studies indicating that, while family background influences agricultural career choice, students' personal experiences and perceived career opportunities increasingly drive these decisions (</w:t>
      </w:r>
      <w:proofErr w:type="spellStart"/>
      <w:r w:rsidRPr="00D96779">
        <w:rPr>
          <w:rFonts w:ascii="Arial" w:hAnsi="Arial" w:cs="Arial"/>
        </w:rPr>
        <w:t>Tiraieyari</w:t>
      </w:r>
      <w:proofErr w:type="spellEnd"/>
      <w:r w:rsidRPr="00D96779">
        <w:rPr>
          <w:rFonts w:ascii="Arial" w:hAnsi="Arial" w:cs="Arial"/>
        </w:rPr>
        <w:t xml:space="preserve">, Hamzah, &amp; Abu </w:t>
      </w:r>
      <w:proofErr w:type="spellStart"/>
      <w:r w:rsidRPr="00D96779">
        <w:rPr>
          <w:rFonts w:ascii="Arial" w:hAnsi="Arial" w:cs="Arial"/>
        </w:rPr>
        <w:t>Samah</w:t>
      </w:r>
      <w:proofErr w:type="spellEnd"/>
      <w:r w:rsidRPr="00D96779">
        <w:rPr>
          <w:rFonts w:ascii="Arial" w:hAnsi="Arial" w:cs="Arial"/>
        </w:rPr>
        <w:t>, 2019). Overall, the results show that students perceive agriculture as a relevant, prestigious, and promising career based on economic perspectives and personal capability</w:t>
      </w:r>
      <w:r>
        <w:rPr>
          <w:rFonts w:ascii="Arial" w:hAnsi="Arial" w:cs="Arial"/>
        </w:rPr>
        <w:t>.</w:t>
      </w:r>
    </w:p>
    <w:p w14:paraId="36C9C852" w14:textId="248BE2B2" w:rsidR="00D96779" w:rsidRDefault="00D96779" w:rsidP="00D96779">
      <w:pPr>
        <w:pStyle w:val="Body"/>
        <w:rPr>
          <w:rFonts w:ascii="Arial" w:hAnsi="Arial" w:cs="Arial"/>
        </w:rPr>
      </w:pPr>
      <w:r w:rsidRPr="00D96779">
        <w:rPr>
          <w:rFonts w:ascii="Arial" w:hAnsi="Arial" w:cs="Arial"/>
        </w:rPr>
        <w:t xml:space="preserve">Table </w:t>
      </w:r>
      <w:r>
        <w:rPr>
          <w:rFonts w:ascii="Arial" w:hAnsi="Arial" w:cs="Arial"/>
        </w:rPr>
        <w:t>2</w:t>
      </w:r>
      <w:r w:rsidRPr="00D96779">
        <w:rPr>
          <w:rFonts w:ascii="Arial" w:hAnsi="Arial" w:cs="Arial"/>
        </w:rPr>
        <w:t>: Motivation of students in choosing the TVL–Agri-Fishery Arts specialization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376"/>
      </w:tblGrid>
      <w:tr w:rsidR="00D96779" w14:paraId="286B7FCF" w14:textId="77777777" w:rsidTr="00D96779">
        <w:trPr>
          <w:trHeight w:val="422"/>
        </w:trPr>
        <w:tc>
          <w:tcPr>
            <w:tcW w:w="4230" w:type="dxa"/>
            <w:tcBorders>
              <w:top w:val="single" w:sz="4" w:space="0" w:color="auto"/>
              <w:bottom w:val="single" w:sz="4" w:space="0" w:color="auto"/>
            </w:tcBorders>
            <w:vAlign w:val="center"/>
          </w:tcPr>
          <w:p w14:paraId="648E16EF" w14:textId="77777777" w:rsidR="00D96779" w:rsidRDefault="00D96779" w:rsidP="001A4594">
            <w:pPr>
              <w:pStyle w:val="Body"/>
              <w:spacing w:after="0"/>
              <w:jc w:val="center"/>
              <w:rPr>
                <w:rFonts w:ascii="Arial" w:hAnsi="Arial" w:cs="Arial"/>
                <w:b/>
                <w:bCs/>
              </w:rPr>
            </w:pPr>
            <w:r w:rsidRPr="00D96779">
              <w:rPr>
                <w:rFonts w:ascii="Times New Roman" w:hAnsi="Times New Roman"/>
                <w:b/>
                <w:bCs/>
                <w:kern w:val="2"/>
                <w:lang w:val="en-PH"/>
              </w:rPr>
              <w:t>Indicator</w:t>
            </w:r>
          </w:p>
        </w:tc>
        <w:tc>
          <w:tcPr>
            <w:tcW w:w="1710" w:type="dxa"/>
            <w:tcBorders>
              <w:top w:val="single" w:sz="4" w:space="0" w:color="auto"/>
              <w:bottom w:val="single" w:sz="4" w:space="0" w:color="auto"/>
            </w:tcBorders>
            <w:vAlign w:val="center"/>
          </w:tcPr>
          <w:p w14:paraId="3A12B2A1" w14:textId="77777777" w:rsidR="00D96779" w:rsidRDefault="00D96779" w:rsidP="001A4594">
            <w:pPr>
              <w:pStyle w:val="Body"/>
              <w:spacing w:after="0"/>
              <w:jc w:val="center"/>
              <w:rPr>
                <w:rFonts w:ascii="Arial" w:hAnsi="Arial" w:cs="Arial"/>
                <w:b/>
                <w:bCs/>
              </w:rPr>
            </w:pPr>
            <w:r w:rsidRPr="00D96779">
              <w:rPr>
                <w:rFonts w:ascii="Times New Roman" w:hAnsi="Times New Roman"/>
                <w:b/>
                <w:bCs/>
                <w:kern w:val="2"/>
                <w:lang w:val="en-PH"/>
              </w:rPr>
              <w:t>Weighted Mean</w:t>
            </w:r>
          </w:p>
        </w:tc>
        <w:tc>
          <w:tcPr>
            <w:tcW w:w="2376" w:type="dxa"/>
            <w:tcBorders>
              <w:top w:val="single" w:sz="4" w:space="0" w:color="auto"/>
              <w:bottom w:val="single" w:sz="4" w:space="0" w:color="auto"/>
            </w:tcBorders>
            <w:vAlign w:val="center"/>
          </w:tcPr>
          <w:p w14:paraId="7A5BA23A" w14:textId="77777777" w:rsidR="00D96779" w:rsidRDefault="00D96779" w:rsidP="001A4594">
            <w:pPr>
              <w:pStyle w:val="Body"/>
              <w:spacing w:after="0"/>
              <w:jc w:val="center"/>
              <w:rPr>
                <w:rFonts w:ascii="Arial" w:hAnsi="Arial" w:cs="Arial"/>
                <w:b/>
                <w:bCs/>
              </w:rPr>
            </w:pPr>
            <w:r w:rsidRPr="00D96779">
              <w:rPr>
                <w:rFonts w:ascii="Times New Roman" w:hAnsi="Times New Roman"/>
                <w:b/>
                <w:bCs/>
                <w:kern w:val="2"/>
                <w:lang w:val="en-PH"/>
              </w:rPr>
              <w:t>Verbal Interpretation</w:t>
            </w:r>
          </w:p>
        </w:tc>
      </w:tr>
      <w:tr w:rsidR="00D96779" w14:paraId="116215CC" w14:textId="77777777" w:rsidTr="00D96779">
        <w:trPr>
          <w:trHeight w:val="288"/>
        </w:trPr>
        <w:tc>
          <w:tcPr>
            <w:tcW w:w="4230" w:type="dxa"/>
            <w:tcBorders>
              <w:top w:val="single" w:sz="4" w:space="0" w:color="auto"/>
              <w:bottom w:val="single" w:sz="4" w:space="0" w:color="auto"/>
            </w:tcBorders>
            <w:vAlign w:val="center"/>
          </w:tcPr>
          <w:p w14:paraId="3F13020A" w14:textId="7FED97B0" w:rsidR="00D96779" w:rsidRDefault="00D96779" w:rsidP="00D96779">
            <w:pPr>
              <w:pStyle w:val="Body"/>
              <w:spacing w:after="0"/>
              <w:rPr>
                <w:rFonts w:ascii="Arial" w:hAnsi="Arial" w:cs="Arial"/>
                <w:b/>
                <w:bCs/>
              </w:rPr>
            </w:pPr>
            <w:r>
              <w:rPr>
                <w:rFonts w:ascii="Times New Roman" w:hAnsi="Times New Roman"/>
              </w:rPr>
              <w:t>1. Motivation to Choose TVL- AFA</w:t>
            </w:r>
          </w:p>
        </w:tc>
        <w:tc>
          <w:tcPr>
            <w:tcW w:w="1710" w:type="dxa"/>
            <w:tcBorders>
              <w:top w:val="single" w:sz="4" w:space="0" w:color="auto"/>
              <w:bottom w:val="single" w:sz="4" w:space="0" w:color="auto"/>
            </w:tcBorders>
            <w:vAlign w:val="center"/>
          </w:tcPr>
          <w:p w14:paraId="57420B4E" w14:textId="780F0270" w:rsidR="00D96779" w:rsidRDefault="00D96779" w:rsidP="00D96779">
            <w:pPr>
              <w:pStyle w:val="Body"/>
              <w:spacing w:after="0"/>
              <w:jc w:val="center"/>
              <w:rPr>
                <w:rFonts w:ascii="Arial" w:hAnsi="Arial" w:cs="Arial"/>
                <w:b/>
                <w:bCs/>
              </w:rPr>
            </w:pPr>
            <w:r>
              <w:rPr>
                <w:rFonts w:ascii="Times New Roman" w:hAnsi="Times New Roman"/>
              </w:rPr>
              <w:t>3. 78</w:t>
            </w:r>
          </w:p>
        </w:tc>
        <w:tc>
          <w:tcPr>
            <w:tcW w:w="2376" w:type="dxa"/>
            <w:tcBorders>
              <w:top w:val="single" w:sz="4" w:space="0" w:color="auto"/>
              <w:bottom w:val="single" w:sz="4" w:space="0" w:color="auto"/>
            </w:tcBorders>
            <w:vAlign w:val="center"/>
          </w:tcPr>
          <w:p w14:paraId="1BB888BA" w14:textId="33E8398C" w:rsidR="00D96779" w:rsidRDefault="00D96779" w:rsidP="00D96779">
            <w:pPr>
              <w:pStyle w:val="Body"/>
              <w:spacing w:after="0"/>
              <w:jc w:val="center"/>
              <w:rPr>
                <w:rFonts w:ascii="Arial" w:hAnsi="Arial" w:cs="Arial"/>
                <w:b/>
                <w:bCs/>
              </w:rPr>
            </w:pPr>
            <w:r>
              <w:rPr>
                <w:rFonts w:ascii="Times New Roman" w:hAnsi="Times New Roman"/>
              </w:rPr>
              <w:t xml:space="preserve"> Agree</w:t>
            </w:r>
          </w:p>
        </w:tc>
      </w:tr>
    </w:tbl>
    <w:p w14:paraId="500C8FC2" w14:textId="77777777" w:rsidR="00D96779" w:rsidRDefault="00D96779" w:rsidP="00D96779">
      <w:pPr>
        <w:pStyle w:val="Body"/>
        <w:spacing w:after="0"/>
        <w:rPr>
          <w:rFonts w:ascii="Arial" w:hAnsi="Arial" w:cs="Arial"/>
        </w:rPr>
      </w:pPr>
    </w:p>
    <w:p w14:paraId="4E87909F" w14:textId="77777777" w:rsidR="00D96779" w:rsidRPr="00D96779" w:rsidRDefault="00D96779" w:rsidP="00D96779">
      <w:pPr>
        <w:pStyle w:val="Body"/>
        <w:rPr>
          <w:rFonts w:ascii="Arial" w:hAnsi="Arial" w:cs="Arial"/>
        </w:rPr>
      </w:pPr>
      <w:r w:rsidRPr="00D96779">
        <w:rPr>
          <w:rFonts w:ascii="Arial" w:hAnsi="Arial" w:cs="Arial"/>
        </w:rPr>
        <w:t>The weighted mean of 3.78 agrees that students are highly motivated in choosing the TVL–Agri-Fishery Arts AFA specialization. This implies that learners consider the AFA track as a relevant and beneficial academic track in line with their competencies, interests, or perceived future opportunities. Motivation is a very crucial determinant in student choices; the Self-Determination Theory posits that students will be motivated to pursue a specialization if it fosters competency, autonomy, and purposefulness (Deci &amp; Ryan, 2000). The positive motivation that the result shows denotes that students considered the AFA specialty as relevant not only in terms of personal capabilities but also in post-school career goals.</w:t>
      </w:r>
    </w:p>
    <w:p w14:paraId="0106A130" w14:textId="057626D9" w:rsidR="00D96779" w:rsidRDefault="00D96779" w:rsidP="00D96779">
      <w:pPr>
        <w:pStyle w:val="Body"/>
        <w:spacing w:after="0"/>
        <w:rPr>
          <w:rFonts w:ascii="Arial" w:hAnsi="Arial" w:cs="Arial"/>
        </w:rPr>
      </w:pPr>
      <w:r w:rsidRPr="00D96779">
        <w:rPr>
          <w:rFonts w:ascii="Arial" w:hAnsi="Arial" w:cs="Arial"/>
        </w:rPr>
        <w:t>This is in agreement with studies that show the view of agriculture providing stable livelihood opportunities, practical skills, and value to local economies helps raise the students' motivation to enroll in agriculture-related programs (FAO, 2020). Moreover, farming and fisheries remain a valid means of employment in large parts of rural and semi-rural areas; this would most likely further enhance the favorable choice of students for the AFA track. UNESCO (2018) also cited that technical-vocational courses attract students who are motivated to learn by contact and immediate job readiness, while these are strongly associated with TVL-AFA specialization. Overall, the motivation score of 3.78 signals that the students recognize the AFA track as a practical, relevant, and opportunity-rich specialization, which motivates them to positively engage and choose it</w:t>
      </w:r>
      <w:r>
        <w:rPr>
          <w:rFonts w:ascii="Arial" w:hAnsi="Arial" w:cs="Arial"/>
        </w:rPr>
        <w:t>.</w:t>
      </w:r>
    </w:p>
    <w:p w14:paraId="75A530E0" w14:textId="77777777" w:rsidR="00D96779" w:rsidRDefault="00D96779" w:rsidP="00D96779">
      <w:pPr>
        <w:pStyle w:val="Body"/>
        <w:spacing w:after="0"/>
        <w:rPr>
          <w:rFonts w:ascii="Arial" w:hAnsi="Arial" w:cs="Arial"/>
        </w:rPr>
      </w:pPr>
    </w:p>
    <w:p w14:paraId="33CA6F22" w14:textId="77777777" w:rsidR="00B91607" w:rsidRDefault="00B91607"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6AF4EBB7" w14:textId="1E35CC27" w:rsidR="00E77A7E" w:rsidRPr="00E77A7E" w:rsidRDefault="00E77A7E" w:rsidP="00E77A7E">
      <w:pPr>
        <w:pStyle w:val="Body"/>
        <w:rPr>
          <w:rFonts w:ascii="Arial" w:hAnsi="Arial" w:cs="Arial"/>
        </w:rPr>
      </w:pPr>
      <w:r w:rsidRPr="00E77A7E">
        <w:rPr>
          <w:rFonts w:ascii="Arial" w:hAnsi="Arial" w:cs="Arial"/>
        </w:rPr>
        <w:t>Students generally hold positive perceptions about agriculture as a specialization and career field. They strongly agreed with indicators like career attractiveness, income prospects, and social prestige, meaning agriculture is a feasible and respected career line. This implies that the mindset is shifting towards making agriculture relevant in modern times with regard to food security, economic potential, and technology applied in the sector.</w:t>
      </w:r>
    </w:p>
    <w:p w14:paraId="5103C5FD" w14:textId="77777777" w:rsidR="00E77A7E" w:rsidRPr="00E77A7E" w:rsidRDefault="00E77A7E" w:rsidP="00E77A7E">
      <w:pPr>
        <w:pStyle w:val="Body"/>
        <w:rPr>
          <w:rFonts w:ascii="Arial" w:hAnsi="Arial" w:cs="Arial"/>
        </w:rPr>
      </w:pPr>
      <w:r w:rsidRPr="00E77A7E">
        <w:rPr>
          <w:rFonts w:ascii="Arial" w:hAnsi="Arial" w:cs="Arial"/>
        </w:rPr>
        <w:t>Students are confident in their personal capability to perform agriculture-related activities, although personal capability outweighs external influence. Students expressed consensus in self-efficacy, meaning belief in their ability to perform successfully in agricultural work. However, the moderate influence of family and peers suggests that students' decisions are guided more by personal interest and perceived opportunities, rather than by social expectations.</w:t>
      </w:r>
    </w:p>
    <w:p w14:paraId="18CF6B15" w14:textId="0E6F1CBB" w:rsidR="00E77A7E" w:rsidRPr="00E77A7E" w:rsidRDefault="00E77A7E" w:rsidP="00E77A7E">
      <w:pPr>
        <w:pStyle w:val="Body"/>
        <w:rPr>
          <w:rFonts w:ascii="Arial" w:hAnsi="Arial" w:cs="Arial"/>
        </w:rPr>
      </w:pPr>
      <w:r w:rsidRPr="00E77A7E">
        <w:rPr>
          <w:rFonts w:ascii="Arial" w:hAnsi="Arial" w:cs="Arial"/>
        </w:rPr>
        <w:t xml:space="preserve">Students are highly motivated in choosing the TVL–Agri-Fishery Arts specialization. The overall motivation score of 3.78 (Agree) suggests that students are motivated both by intrinsic drivers, such as interest in agriculture and learning by doing, and extrinsic drivers like employability and relevance to livelihoods. Their motivation reflects a recognition of the practical and future-oriented value of specialization. </w:t>
      </w:r>
    </w:p>
    <w:p w14:paraId="684BB4E1" w14:textId="77777777" w:rsidR="00E77A7E" w:rsidRPr="00E77A7E" w:rsidRDefault="00E77A7E" w:rsidP="00E77A7E">
      <w:pPr>
        <w:pStyle w:val="Body"/>
        <w:rPr>
          <w:rFonts w:ascii="Arial" w:hAnsi="Arial" w:cs="Arial"/>
        </w:rPr>
      </w:pPr>
      <w:r w:rsidRPr="00E77A7E">
        <w:rPr>
          <w:rFonts w:ascii="Arial" w:hAnsi="Arial" w:cs="Arial"/>
        </w:rPr>
        <w:t xml:space="preserve">The positive perceptions and motivations obtained from the students show strong readiness for engaging in the TVL–AFA track. Favorable attitudes toward agriculture, together with meaningful motivation, would suggest that incoming students have a good chance of succeeding if appropriate instructional support, exposure to real-world agricultural practices, and skill development opportunities are provided. </w:t>
      </w:r>
    </w:p>
    <w:p w14:paraId="413136B7" w14:textId="053EDE4B" w:rsidR="00B01FCD" w:rsidRDefault="00E77A7E" w:rsidP="00E77A7E">
      <w:pPr>
        <w:pStyle w:val="Body"/>
        <w:spacing w:after="0"/>
        <w:rPr>
          <w:rFonts w:ascii="Arial" w:hAnsi="Arial" w:cs="Arial"/>
        </w:rPr>
      </w:pPr>
      <w:r w:rsidRPr="00E77A7E">
        <w:rPr>
          <w:rFonts w:ascii="Arial" w:hAnsi="Arial" w:cs="Arial"/>
        </w:rPr>
        <w:t>There is a need for sustained program support to maintain and further enhance the interest and participation of students in Agri-Fishery Arts. While perceptions and motivations are positive, continued reinforcement through enhanced curriculum, industry linkage, and practical training opportunities will help ensure students remain engaged and prepared for agriculture-related careers.</w:t>
      </w:r>
    </w:p>
    <w:p w14:paraId="7FA3C429" w14:textId="77777777" w:rsidR="00B4612E" w:rsidRDefault="00B4612E" w:rsidP="00441B6F"/>
    <w:p w14:paraId="646641F0" w14:textId="4620EC35" w:rsidR="00B4612E" w:rsidRPr="00E77A7E" w:rsidRDefault="00E77A7E" w:rsidP="00E77A7E">
      <w:pPr>
        <w:spacing w:after="240"/>
        <w:rPr>
          <w:rFonts w:ascii="Arial" w:hAnsi="Arial" w:cs="Arial"/>
          <w:b/>
          <w:bCs/>
          <w:sz w:val="22"/>
          <w:szCs w:val="22"/>
        </w:rPr>
      </w:pPr>
      <w:r w:rsidRPr="00E77A7E">
        <w:rPr>
          <w:rFonts w:ascii="Arial" w:hAnsi="Arial" w:cs="Arial"/>
          <w:b/>
          <w:bCs/>
          <w:sz w:val="22"/>
          <w:szCs w:val="22"/>
        </w:rPr>
        <w:t>5. RECOMMENDATIONS</w:t>
      </w:r>
    </w:p>
    <w:p w14:paraId="5460D0B6" w14:textId="77777777" w:rsidR="00E77A7E" w:rsidRDefault="00E77A7E" w:rsidP="00E77A7E">
      <w:pPr>
        <w:spacing w:after="240"/>
        <w:jc w:val="both"/>
      </w:pPr>
      <w:r>
        <w:t>Enhance experiential and hands-on learning activities for the TVL–Agri-Fishery Arts program. Since students already perceive agriculture as an attractive and respectable field, schools should reinforce this by expanding practical exercises, field demonstrations, farm visits, and laboratory activities to deepen skill development and maintain student engagement.</w:t>
      </w:r>
    </w:p>
    <w:p w14:paraId="346296CB" w14:textId="77777777" w:rsidR="00E77A7E" w:rsidRDefault="00E77A7E" w:rsidP="00E77A7E">
      <w:pPr>
        <w:spacing w:after="240"/>
        <w:jc w:val="both"/>
      </w:pPr>
      <w:r>
        <w:t xml:space="preserve">Enhance career guidance programs that emphasize opportunities in agriculture and fisheries. Guidance counselors and TVL coordinators should also provide updated information about </w:t>
      </w:r>
      <w:proofErr w:type="spellStart"/>
      <w:r>
        <w:t>agri</w:t>
      </w:r>
      <w:proofErr w:type="spellEnd"/>
      <w:r>
        <w:t>-fishery career paths, agricultural technologies, scholarships, and local industry demands for informed decision-making as students strongly agreed on the career attractiveness and income prospect statements.</w:t>
      </w:r>
    </w:p>
    <w:p w14:paraId="5FB24854" w14:textId="77777777" w:rsidR="00E77A7E" w:rsidRDefault="00E77A7E" w:rsidP="00E77A7E">
      <w:pPr>
        <w:spacing w:after="240"/>
        <w:jc w:val="both"/>
      </w:pPr>
      <w:r>
        <w:t>Incorporate into the curriculum current agricultural technologies and innovations. Schools should be able to integrate some digital tools that keep students motivated, such as smart farming apps, hydroponics kits, and aquaculture monitoring systems, alongside emerging technologies reflecting modern agricultural trends.</w:t>
      </w:r>
    </w:p>
    <w:p w14:paraId="1FFC8897" w14:textId="77777777" w:rsidR="00E77A7E" w:rsidRDefault="00E77A7E" w:rsidP="00E77A7E">
      <w:pPr>
        <w:spacing w:after="240"/>
        <w:jc w:val="both"/>
      </w:pPr>
      <w:r>
        <w:lastRenderedPageBreak/>
        <w:t xml:space="preserve">Enhance family and community involvement in promoting the worth of </w:t>
      </w:r>
      <w:proofErr w:type="spellStart"/>
      <w:r>
        <w:t>agri</w:t>
      </w:r>
      <w:proofErr w:type="spellEnd"/>
      <w:r>
        <w:t>-fishery careers. While family and peer influences were rated slightly lower, schools can organize seminars, orientations, and community-driven agriculture projects that can help parents and other local stakeholders understand the benefits of the AFA specialization.</w:t>
      </w:r>
    </w:p>
    <w:p w14:paraId="3AA190B5" w14:textId="77777777" w:rsidR="00E77A7E" w:rsidRDefault="00E77A7E" w:rsidP="00E77A7E">
      <w:pPr>
        <w:spacing w:after="240"/>
        <w:jc w:val="both"/>
      </w:pPr>
      <w:r>
        <w:t xml:space="preserve">Offer capability-building programs in order to enhance students' self-efficacy for agricultural tasks. Training workshops, skill competitions, and supervised apprenticeships will help the student gain much-needed confidence and proficiency, thus making them adequately prepared for agricultural careers or further education. </w:t>
      </w:r>
    </w:p>
    <w:p w14:paraId="3D2B8460" w14:textId="472A3E37" w:rsidR="00E77A7E" w:rsidRPr="00315186" w:rsidRDefault="00E77A7E" w:rsidP="00E77A7E">
      <w:pPr>
        <w:spacing w:after="240"/>
        <w:jc w:val="both"/>
      </w:pPr>
      <w:r>
        <w:t>Develop partnerships with local agriculture and fishery enterprises. Schools should work in partnership with farms, cooperatives, fisheries, and agricultural agencies to give students opportunities for field exposure, on-the-job training, and job opportunities. Provide continuous professional development to TVL–AFA teachers. Teachers should be provided with training opportunities in current agricultural practices, TESDA qualifications, and industry certifications to upgrade their capacity for relevant quality instruction. Strengthen program monitoring and evaluation. Continuous assessment on students' perceptions, motivations, and performance should be conducted to ensure the program remains responsive to changing industry needs and student interests</w:t>
      </w:r>
    </w:p>
    <w:p w14:paraId="38758E4C"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10E0D985" w14:textId="2A4D1380"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056409E4" w14:textId="1F6C5AEB" w:rsidR="002B685A" w:rsidRDefault="00E77A7E" w:rsidP="00441B6F">
      <w:pPr>
        <w:pStyle w:val="ReferHead"/>
        <w:spacing w:after="0"/>
        <w:jc w:val="both"/>
        <w:rPr>
          <w:rFonts w:ascii="Arial" w:hAnsi="Arial" w:cs="Arial"/>
          <w:b w:val="0"/>
          <w:caps w:val="0"/>
          <w:sz w:val="20"/>
        </w:rPr>
      </w:pPr>
      <w:r w:rsidRPr="00E77A7E">
        <w:rPr>
          <w:rFonts w:ascii="Arial" w:hAnsi="Arial" w:cs="Arial"/>
          <w:b w:val="0"/>
          <w:caps w:val="0"/>
          <w:sz w:val="20"/>
        </w:rPr>
        <w:t>The authors declare that they have no financial or non-financial competing interests. No personal relationships have influenced the outcomes of this work.</w:t>
      </w:r>
    </w:p>
    <w:p w14:paraId="1E353AF7" w14:textId="77777777" w:rsidR="005C784C" w:rsidRDefault="005C784C" w:rsidP="00441B6F">
      <w:pPr>
        <w:pStyle w:val="ReferHead"/>
        <w:spacing w:after="0"/>
        <w:jc w:val="both"/>
        <w:rPr>
          <w:rFonts w:ascii="Arial" w:hAnsi="Arial" w:cs="Arial"/>
          <w:b w:val="0"/>
          <w:caps w:val="0"/>
          <w:sz w:val="20"/>
        </w:rPr>
      </w:pPr>
    </w:p>
    <w:p w14:paraId="7B23D99D" w14:textId="48429432" w:rsidR="005C784C" w:rsidRDefault="005C784C" w:rsidP="00441B6F">
      <w:pPr>
        <w:pStyle w:val="ReferHead"/>
        <w:spacing w:after="0"/>
        <w:jc w:val="both"/>
        <w:rPr>
          <w:rFonts w:ascii="Arial" w:hAnsi="Arial" w:cs="Arial"/>
          <w:bCs/>
        </w:rPr>
      </w:pPr>
      <w:r>
        <w:rPr>
          <w:rFonts w:ascii="Arial" w:hAnsi="Arial" w:cs="Arial"/>
          <w:bCs/>
        </w:rPr>
        <w:t>Ethical approval</w:t>
      </w:r>
    </w:p>
    <w:p w14:paraId="29604B9B" w14:textId="77777777" w:rsidR="005C784C" w:rsidRPr="002B685A" w:rsidRDefault="005C784C" w:rsidP="00441B6F">
      <w:pPr>
        <w:pStyle w:val="ReferHead"/>
        <w:spacing w:after="0"/>
        <w:jc w:val="both"/>
        <w:rPr>
          <w:rFonts w:ascii="Arial" w:hAnsi="Arial" w:cs="Arial"/>
          <w:bCs/>
        </w:rPr>
      </w:pPr>
    </w:p>
    <w:p w14:paraId="6E413E9D" w14:textId="03933FB3" w:rsidR="005C784C" w:rsidRDefault="00E77A7E" w:rsidP="00441B6F">
      <w:pPr>
        <w:pStyle w:val="ReferHead"/>
        <w:spacing w:after="0"/>
        <w:jc w:val="both"/>
        <w:rPr>
          <w:rFonts w:ascii="Arial" w:hAnsi="Arial" w:cs="Arial"/>
          <w:b w:val="0"/>
          <w:caps w:val="0"/>
          <w:sz w:val="20"/>
        </w:rPr>
      </w:pPr>
      <w:r w:rsidRPr="00E77A7E">
        <w:rPr>
          <w:rFonts w:ascii="Arial" w:hAnsi="Arial" w:cs="Arial"/>
          <w:b w:val="0"/>
          <w:caps w:val="0"/>
          <w:sz w:val="20"/>
        </w:rPr>
        <w:t>This study was carried out in compliance with the ethical standards set forth in the 1964 Declaration of Helsinki, ensuring that all procedures prioritized the rights and well-being of the participants. Informed consent was obtained from all participants prior to their involvement, and confidentiality was strictly maintained throughout the research. All data were securely stored, with personal identifiers anonymized to safeguard participant privacy. The authors hereby confirm that the study fully adhered to these ethical guidelines.</w:t>
      </w:r>
    </w:p>
    <w:p w14:paraId="602DA497" w14:textId="77777777" w:rsidR="00CD6856" w:rsidRDefault="00CD6856" w:rsidP="00441B6F">
      <w:pPr>
        <w:pStyle w:val="ReferHead"/>
        <w:spacing w:after="0"/>
        <w:jc w:val="both"/>
        <w:rPr>
          <w:rFonts w:ascii="Arial" w:hAnsi="Arial" w:cs="Arial"/>
          <w:b w:val="0"/>
          <w:caps w:val="0"/>
          <w:sz w:val="20"/>
        </w:rPr>
      </w:pPr>
    </w:p>
    <w:p w14:paraId="105A72B0" w14:textId="77777777" w:rsidR="00E77A7E" w:rsidRDefault="00E77A7E" w:rsidP="00441B6F">
      <w:pPr>
        <w:pStyle w:val="ReferHead"/>
        <w:spacing w:after="0"/>
        <w:jc w:val="both"/>
        <w:rPr>
          <w:rFonts w:ascii="Arial" w:hAnsi="Arial" w:cs="Arial"/>
          <w:b w:val="0"/>
          <w:caps w:val="0"/>
          <w:sz w:val="20"/>
        </w:rPr>
      </w:pPr>
    </w:p>
    <w:p w14:paraId="120D5C6F" w14:textId="77777777" w:rsidR="00E77A7E" w:rsidRPr="00E77A7E" w:rsidRDefault="00E77A7E" w:rsidP="00E77A7E">
      <w:pPr>
        <w:spacing w:after="120" w:line="264" w:lineRule="auto"/>
        <w:rPr>
          <w:rFonts w:ascii="Arial" w:eastAsia="Calibri" w:hAnsi="Arial" w:cs="Arial"/>
          <w:b/>
          <w:bCs/>
          <w:kern w:val="2"/>
          <w:sz w:val="22"/>
          <w:szCs w:val="22"/>
        </w:rPr>
      </w:pPr>
      <w:bookmarkStart w:id="1" w:name="_Hlk197682619"/>
      <w:bookmarkStart w:id="2" w:name="_Hlk180402183"/>
      <w:bookmarkStart w:id="3" w:name="_Hlk183680988"/>
      <w:bookmarkStart w:id="4" w:name="_Hlk197351200"/>
      <w:r w:rsidRPr="00E77A7E">
        <w:rPr>
          <w:rFonts w:ascii="Arial" w:eastAsia="Calibri" w:hAnsi="Arial" w:cs="Arial"/>
          <w:b/>
          <w:bCs/>
          <w:kern w:val="2"/>
          <w:sz w:val="22"/>
          <w:szCs w:val="22"/>
        </w:rPr>
        <w:t>DISCLAIMER (ARTIFICIAL INTELLIGENCE)</w:t>
      </w:r>
    </w:p>
    <w:p w14:paraId="259FCE17" w14:textId="77777777" w:rsidR="00E77A7E" w:rsidRPr="00E77A7E" w:rsidRDefault="00E77A7E" w:rsidP="00E77A7E">
      <w:pPr>
        <w:spacing w:after="120" w:line="264" w:lineRule="auto"/>
        <w:rPr>
          <w:rFonts w:ascii="Arial" w:eastAsia="Calibri" w:hAnsi="Arial" w:cs="Arial"/>
          <w:kern w:val="2"/>
        </w:rPr>
      </w:pPr>
      <w:r w:rsidRPr="00E77A7E">
        <w:rPr>
          <w:rFonts w:ascii="Arial" w:eastAsia="Calibri" w:hAnsi="Arial" w:cs="Arial"/>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B211EE" w14:textId="77777777" w:rsidR="00E77A7E" w:rsidRPr="00E77A7E" w:rsidRDefault="00E77A7E" w:rsidP="00E77A7E">
      <w:pPr>
        <w:spacing w:after="120" w:line="264" w:lineRule="auto"/>
        <w:rPr>
          <w:rFonts w:ascii="Arial" w:eastAsia="Calibri" w:hAnsi="Arial" w:cs="Arial"/>
          <w:kern w:val="2"/>
        </w:rPr>
      </w:pPr>
      <w:r w:rsidRPr="00E77A7E">
        <w:rPr>
          <w:rFonts w:ascii="Arial" w:eastAsia="Calibri" w:hAnsi="Arial" w:cs="Arial"/>
          <w:kern w:val="2"/>
        </w:rPr>
        <w:t>Details of the AI usage are given below:</w:t>
      </w:r>
    </w:p>
    <w:p w14:paraId="1066E5E7" w14:textId="77777777" w:rsidR="00E77A7E" w:rsidRPr="00E77A7E" w:rsidRDefault="00E77A7E" w:rsidP="00E77A7E">
      <w:pPr>
        <w:numPr>
          <w:ilvl w:val="0"/>
          <w:numId w:val="31"/>
        </w:numPr>
        <w:spacing w:after="120" w:line="264" w:lineRule="auto"/>
        <w:contextualSpacing/>
        <w:jc w:val="both"/>
        <w:rPr>
          <w:rFonts w:ascii="Arial" w:eastAsia="Calibri" w:hAnsi="Arial" w:cs="Arial"/>
          <w:kern w:val="2"/>
        </w:rPr>
      </w:pPr>
      <w:r w:rsidRPr="00E77A7E">
        <w:rPr>
          <w:rFonts w:ascii="Arial" w:eastAsia="Calibri" w:hAnsi="Arial" w:cs="Arial"/>
          <w:kern w:val="2"/>
        </w:rPr>
        <w:t xml:space="preserve">Name: </w:t>
      </w:r>
      <w:proofErr w:type="spellStart"/>
      <w:r w:rsidRPr="00E77A7E">
        <w:rPr>
          <w:rFonts w:ascii="Arial" w:eastAsia="Calibri" w:hAnsi="Arial" w:cs="Arial"/>
          <w:kern w:val="2"/>
        </w:rPr>
        <w:t>ChatGPT</w:t>
      </w:r>
      <w:proofErr w:type="spellEnd"/>
      <w:r w:rsidRPr="00E77A7E">
        <w:rPr>
          <w:rFonts w:ascii="Arial" w:eastAsia="Calibri" w:hAnsi="Arial" w:cs="Arial"/>
          <w:kern w:val="2"/>
        </w:rPr>
        <w:t xml:space="preserve"> | Version: GPT-4 | Model: </w:t>
      </w:r>
      <w:proofErr w:type="spellStart"/>
      <w:r w:rsidRPr="00E77A7E">
        <w:rPr>
          <w:rFonts w:ascii="Arial" w:eastAsia="Calibri" w:hAnsi="Arial" w:cs="Arial"/>
          <w:kern w:val="2"/>
        </w:rPr>
        <w:t>OpenAI</w:t>
      </w:r>
      <w:proofErr w:type="spellEnd"/>
      <w:r w:rsidRPr="00E77A7E">
        <w:rPr>
          <w:rFonts w:ascii="Arial" w:eastAsia="Calibri" w:hAnsi="Arial" w:cs="Arial"/>
          <w:kern w:val="2"/>
        </w:rPr>
        <w:t xml:space="preserve"> GPT-4</w:t>
      </w:r>
    </w:p>
    <w:p w14:paraId="568E8DEE" w14:textId="77777777" w:rsidR="00E77A7E" w:rsidRPr="00E77A7E" w:rsidRDefault="00E77A7E" w:rsidP="00E77A7E">
      <w:pPr>
        <w:numPr>
          <w:ilvl w:val="0"/>
          <w:numId w:val="31"/>
        </w:numPr>
        <w:spacing w:after="120" w:line="264" w:lineRule="auto"/>
        <w:contextualSpacing/>
        <w:jc w:val="both"/>
        <w:rPr>
          <w:rFonts w:ascii="Arial" w:eastAsia="Calibri" w:hAnsi="Arial" w:cs="Arial"/>
          <w:kern w:val="2"/>
        </w:rPr>
      </w:pPr>
      <w:r w:rsidRPr="00E77A7E">
        <w:rPr>
          <w:rFonts w:ascii="Arial" w:eastAsia="Calibri" w:hAnsi="Arial" w:cs="Arial"/>
          <w:kern w:val="2"/>
        </w:rPr>
        <w:t>The AI was used to review, refine, and correct the text in terms of language, flow, and precision. Additionally, it helped in ensuring that statistical calculations were processed correctly, contributing to the overall accuracy of the findings.</w:t>
      </w:r>
      <w:bookmarkStart w:id="5" w:name="_Hlk187485061"/>
      <w:bookmarkEnd w:id="1"/>
      <w:bookmarkEnd w:id="2"/>
      <w:bookmarkEnd w:id="3"/>
    </w:p>
    <w:p w14:paraId="35E7DA73" w14:textId="08229C47" w:rsidR="00E77A7E" w:rsidRPr="00E77A7E" w:rsidRDefault="00E77A7E" w:rsidP="00E77A7E">
      <w:pPr>
        <w:numPr>
          <w:ilvl w:val="0"/>
          <w:numId w:val="31"/>
        </w:numPr>
        <w:spacing w:after="120" w:line="264" w:lineRule="auto"/>
        <w:contextualSpacing/>
        <w:jc w:val="both"/>
        <w:rPr>
          <w:rFonts w:ascii="Arial" w:eastAsia="Calibri" w:hAnsi="Arial" w:cs="Arial"/>
          <w:kern w:val="2"/>
          <w:lang w:val="en-PH"/>
        </w:rPr>
      </w:pPr>
      <w:r>
        <w:rPr>
          <w:rFonts w:ascii="Arial" w:eastAsia="Calibri" w:hAnsi="Arial" w:cs="Arial"/>
          <w:kern w:val="2"/>
        </w:rPr>
        <w:t xml:space="preserve">Prompt: </w:t>
      </w:r>
      <w:r w:rsidRPr="00E77A7E">
        <w:rPr>
          <w:rFonts w:ascii="Arial" w:eastAsia="Calibri" w:hAnsi="Arial" w:cs="Arial"/>
          <w:kern w:val="2"/>
          <w:lang w:val="en-PH"/>
        </w:rPr>
        <w:t>Act as an English critic and enhance the language quality of this article for publication, focusing on clarity and readability. Ensure that the data remains intact and that the interpretation of the data is not affected in any way.</w:t>
      </w:r>
    </w:p>
    <w:bookmarkEnd w:id="4"/>
    <w:bookmarkEnd w:id="5"/>
    <w:p w14:paraId="089BA53F" w14:textId="77777777" w:rsidR="00E77A7E" w:rsidRDefault="00E77A7E" w:rsidP="00441B6F">
      <w:pPr>
        <w:pStyle w:val="ReferHead"/>
        <w:spacing w:after="0"/>
        <w:jc w:val="both"/>
        <w:rPr>
          <w:rFonts w:ascii="Arial" w:hAnsi="Arial" w:cs="Arial"/>
          <w:b w:val="0"/>
          <w:caps w:val="0"/>
          <w:sz w:val="20"/>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2BC0E9" w14:textId="77777777" w:rsidR="00790ADA" w:rsidRDefault="00790ADA" w:rsidP="00441B6F">
      <w:pPr>
        <w:pStyle w:val="ReferHead"/>
        <w:spacing w:after="0"/>
        <w:jc w:val="both"/>
        <w:rPr>
          <w:rFonts w:ascii="Arial" w:hAnsi="Arial" w:cs="Arial"/>
        </w:rPr>
      </w:pPr>
    </w:p>
    <w:p w14:paraId="79223DBF" w14:textId="5BDCB2B5" w:rsidR="00E77A7E" w:rsidRPr="00E87D06" w:rsidRDefault="00E87D06" w:rsidP="00E87D06">
      <w:pPr>
        <w:pStyle w:val="ListParagraph"/>
        <w:numPr>
          <w:ilvl w:val="0"/>
          <w:numId w:val="32"/>
        </w:numPr>
        <w:spacing w:after="160" w:line="259" w:lineRule="auto"/>
        <w:jc w:val="both"/>
        <w:rPr>
          <w:rFonts w:ascii="Arial" w:hAnsi="Arial" w:cs="Arial"/>
        </w:rPr>
      </w:pPr>
      <w:proofErr w:type="spellStart"/>
      <w:r w:rsidRPr="00E87D06">
        <w:rPr>
          <w:rFonts w:ascii="Arial" w:eastAsia="Calibri" w:hAnsi="Arial" w:cs="Arial"/>
          <w:kern w:val="2"/>
          <w:lang w:val="en-PH"/>
        </w:rPr>
        <w:t>Ajzen</w:t>
      </w:r>
      <w:proofErr w:type="spellEnd"/>
      <w:r w:rsidRPr="00E87D06">
        <w:rPr>
          <w:rFonts w:ascii="Arial" w:eastAsia="Calibri" w:hAnsi="Arial" w:cs="Arial"/>
          <w:kern w:val="2"/>
          <w:lang w:val="en-PH"/>
        </w:rPr>
        <w:t xml:space="preserve">, I. (1991). The theory of planned behavior. Organizational Behavior and Human Decision Processes </w:t>
      </w:r>
      <w:hyperlink r:id="rId14" w:history="1">
        <w:r w:rsidRPr="009A49C2">
          <w:rPr>
            <w:rStyle w:val="Hyperlink"/>
            <w:rFonts w:ascii="Arial" w:eastAsia="Calibri" w:hAnsi="Arial" w:cs="Arial"/>
            <w:kern w:val="2"/>
            <w:lang w:val="en-PH"/>
          </w:rPr>
          <w:t>https://doi.org/10.1016/0749-5978(91)90020-T</w:t>
        </w:r>
      </w:hyperlink>
      <w:r>
        <w:rPr>
          <w:rFonts w:ascii="Arial" w:eastAsia="Calibri" w:hAnsi="Arial" w:cs="Arial"/>
          <w:kern w:val="2"/>
          <w:lang w:val="en-PH"/>
        </w:rPr>
        <w:t xml:space="preserve"> </w:t>
      </w:r>
      <w:r w:rsidR="00E77A7E" w:rsidRPr="00E87D06">
        <w:rPr>
          <w:rFonts w:ascii="Arial" w:eastAsia="Calibri" w:hAnsi="Arial" w:cs="Arial"/>
          <w:kern w:val="2"/>
          <w:lang w:val="en-PH"/>
        </w:rPr>
        <w:t xml:space="preserve"> </w:t>
      </w:r>
    </w:p>
    <w:p w14:paraId="756E4CCB" w14:textId="77777777" w:rsidR="00E77A7E" w:rsidRPr="00E87D06" w:rsidRDefault="00E77A7E" w:rsidP="00E87D06">
      <w:pPr>
        <w:pStyle w:val="ListParagraph"/>
        <w:numPr>
          <w:ilvl w:val="0"/>
          <w:numId w:val="32"/>
        </w:numPr>
        <w:spacing w:after="160" w:line="259" w:lineRule="auto"/>
        <w:jc w:val="both"/>
        <w:rPr>
          <w:rFonts w:ascii="Arial" w:hAnsi="Arial" w:cs="Arial"/>
        </w:rPr>
      </w:pPr>
      <w:r w:rsidRPr="00E87D06">
        <w:rPr>
          <w:rFonts w:ascii="Arial" w:eastAsia="Calibri" w:hAnsi="Arial" w:cs="Arial"/>
          <w:kern w:val="2"/>
          <w:lang w:val="en-PH"/>
        </w:rPr>
        <w:t xml:space="preserve">Bandura, A. (1986). </w:t>
      </w:r>
      <w:r w:rsidRPr="00E87D06">
        <w:rPr>
          <w:rFonts w:ascii="Arial" w:eastAsia="SimSun" w:hAnsi="Arial" w:cs="Arial"/>
          <w:i/>
          <w:iCs/>
          <w:kern w:val="2"/>
          <w:lang w:val="en-PH"/>
        </w:rPr>
        <w:t>Social foundations of thought and action: A social cognitive theory</w:t>
      </w:r>
      <w:r w:rsidRPr="00E87D06">
        <w:rPr>
          <w:rFonts w:ascii="Arial" w:eastAsia="Calibri" w:hAnsi="Arial" w:cs="Arial"/>
          <w:kern w:val="2"/>
          <w:lang w:val="en-PH"/>
        </w:rPr>
        <w:t>. Prentice-Hall.</w:t>
      </w:r>
    </w:p>
    <w:p w14:paraId="20160B96" w14:textId="15B01E41" w:rsidR="00E77A7E" w:rsidRPr="00E87D06" w:rsidRDefault="008F4E97" w:rsidP="008F4E97">
      <w:pPr>
        <w:pStyle w:val="ListParagraph"/>
        <w:numPr>
          <w:ilvl w:val="0"/>
          <w:numId w:val="32"/>
        </w:numPr>
        <w:spacing w:after="160" w:line="259" w:lineRule="auto"/>
        <w:jc w:val="both"/>
        <w:rPr>
          <w:rFonts w:ascii="Arial" w:hAnsi="Arial" w:cs="Arial"/>
        </w:rPr>
      </w:pPr>
      <w:r w:rsidRPr="008F4E97">
        <w:rPr>
          <w:rFonts w:ascii="Arial" w:eastAsia="Calibri" w:hAnsi="Arial" w:cs="Arial"/>
          <w:kern w:val="2"/>
          <w:lang w:val="en-PH"/>
        </w:rPr>
        <w:t xml:space="preserve">Blanco, B. F. S., &amp; </w:t>
      </w:r>
      <w:proofErr w:type="spellStart"/>
      <w:r w:rsidRPr="008F4E97">
        <w:rPr>
          <w:rFonts w:ascii="Arial" w:eastAsia="Calibri" w:hAnsi="Arial" w:cs="Arial"/>
          <w:kern w:val="2"/>
          <w:lang w:val="en-PH"/>
        </w:rPr>
        <w:t>Tingzon</w:t>
      </w:r>
      <w:proofErr w:type="spellEnd"/>
      <w:r w:rsidRPr="008F4E97">
        <w:rPr>
          <w:rFonts w:ascii="Arial" w:eastAsia="Calibri" w:hAnsi="Arial" w:cs="Arial"/>
          <w:kern w:val="2"/>
          <w:lang w:val="en-PH"/>
        </w:rPr>
        <w:t xml:space="preserve">, L. L. (2024). PREDICTORS OF SHS' CHOICE ON TVL TRACK. European Journal of Education Studies, 11(4), 245–265. </w:t>
      </w:r>
      <w:hyperlink r:id="rId15" w:history="1">
        <w:r w:rsidRPr="009A49C2">
          <w:rPr>
            <w:rStyle w:val="Hyperlink"/>
            <w:rFonts w:ascii="Arial" w:eastAsia="Calibri" w:hAnsi="Arial" w:cs="Arial"/>
            <w:kern w:val="2"/>
            <w:lang w:val="en-PH"/>
          </w:rPr>
          <w:t>https://doi.org/10.46827/ejes.v11i4.5270</w:t>
        </w:r>
      </w:hyperlink>
      <w:r>
        <w:rPr>
          <w:rFonts w:ascii="Arial" w:eastAsia="Calibri" w:hAnsi="Arial" w:cs="Arial"/>
          <w:kern w:val="2"/>
          <w:lang w:val="en-PH"/>
        </w:rPr>
        <w:t xml:space="preserve"> </w:t>
      </w:r>
    </w:p>
    <w:p w14:paraId="08C73344" w14:textId="69B233F0" w:rsidR="00E77A7E" w:rsidRPr="00E87D06" w:rsidRDefault="00E77A7E" w:rsidP="00E87D06">
      <w:pPr>
        <w:pStyle w:val="ListParagraph"/>
        <w:numPr>
          <w:ilvl w:val="0"/>
          <w:numId w:val="32"/>
        </w:numPr>
        <w:spacing w:after="160" w:line="259" w:lineRule="auto"/>
        <w:jc w:val="both"/>
        <w:rPr>
          <w:rFonts w:ascii="Arial" w:eastAsia="Calibri" w:hAnsi="Arial" w:cs="Arial"/>
          <w:kern w:val="2"/>
          <w:lang w:val="en-PH"/>
        </w:rPr>
      </w:pPr>
      <w:proofErr w:type="spellStart"/>
      <w:r w:rsidRPr="00E87D06">
        <w:rPr>
          <w:rFonts w:ascii="Arial" w:eastAsia="Calibri" w:hAnsi="Arial" w:cs="Arial"/>
          <w:kern w:val="2"/>
          <w:lang w:val="en-PH"/>
        </w:rPr>
        <w:t>Chikezie</w:t>
      </w:r>
      <w:proofErr w:type="spellEnd"/>
      <w:r w:rsidRPr="00E87D06">
        <w:rPr>
          <w:rFonts w:ascii="Arial" w:eastAsia="Calibri" w:hAnsi="Arial" w:cs="Arial"/>
          <w:kern w:val="2"/>
          <w:lang w:val="en-PH"/>
        </w:rPr>
        <w:t xml:space="preserve">, N. P., Uddin, I. O., &amp; </w:t>
      </w:r>
      <w:proofErr w:type="spellStart"/>
      <w:r w:rsidRPr="00E87D06">
        <w:rPr>
          <w:rFonts w:ascii="Arial" w:eastAsia="Calibri" w:hAnsi="Arial" w:cs="Arial"/>
          <w:kern w:val="2"/>
          <w:lang w:val="en-PH"/>
        </w:rPr>
        <w:t>Okwuokenye</w:t>
      </w:r>
      <w:proofErr w:type="spellEnd"/>
      <w:r w:rsidRPr="00E87D06">
        <w:rPr>
          <w:rFonts w:ascii="Arial" w:eastAsia="Calibri" w:hAnsi="Arial" w:cs="Arial"/>
          <w:kern w:val="2"/>
          <w:lang w:val="en-PH"/>
        </w:rPr>
        <w:t xml:space="preserve">, G. F. (2019). </w:t>
      </w:r>
      <w:r w:rsidRPr="00E87D06">
        <w:rPr>
          <w:rFonts w:ascii="Arial" w:eastAsia="SimSun" w:hAnsi="Arial" w:cs="Arial"/>
          <w:kern w:val="2"/>
          <w:lang w:val="en-PH"/>
        </w:rPr>
        <w:t>Y</w:t>
      </w:r>
      <w:r w:rsidR="00E87D06">
        <w:rPr>
          <w:rFonts w:ascii="Arial" w:eastAsia="SimSun" w:hAnsi="Arial" w:cs="Arial"/>
          <w:kern w:val="2"/>
          <w:lang w:val="en-PH"/>
        </w:rPr>
        <w:t xml:space="preserve">outh perception of agriculture </w:t>
      </w:r>
      <w:r w:rsidRPr="00E87D06">
        <w:rPr>
          <w:rFonts w:ascii="Arial" w:eastAsia="SimSun" w:hAnsi="Arial" w:cs="Arial"/>
          <w:kern w:val="2"/>
          <w:lang w:val="en-PH"/>
        </w:rPr>
        <w:t>as a career among students in Nigeria</w:t>
      </w:r>
      <w:r w:rsidRPr="00E87D06">
        <w:rPr>
          <w:rFonts w:ascii="Arial" w:eastAsia="Calibri" w:hAnsi="Arial" w:cs="Arial"/>
          <w:kern w:val="2"/>
          <w:lang w:val="en-PH"/>
        </w:rPr>
        <w:t xml:space="preserve">. </w:t>
      </w:r>
      <w:r w:rsidRPr="00E87D06">
        <w:rPr>
          <w:rFonts w:ascii="Arial" w:eastAsia="SimSun" w:hAnsi="Arial" w:cs="Arial"/>
          <w:i/>
          <w:iCs/>
          <w:kern w:val="2"/>
          <w:lang w:val="en-PH"/>
        </w:rPr>
        <w:t>Journal of Agricultural Extension</w:t>
      </w:r>
      <w:r w:rsidRPr="00E87D06">
        <w:rPr>
          <w:rFonts w:ascii="Arial" w:eastAsia="SimSun" w:hAnsi="Arial" w:cs="Arial"/>
          <w:kern w:val="2"/>
          <w:lang w:val="en-PH"/>
        </w:rPr>
        <w:t>, 23</w:t>
      </w:r>
      <w:r w:rsidRPr="00E87D06">
        <w:rPr>
          <w:rFonts w:ascii="Arial" w:eastAsia="Calibri" w:hAnsi="Arial" w:cs="Arial"/>
          <w:kern w:val="2"/>
          <w:lang w:val="en-PH"/>
        </w:rPr>
        <w:t>(2), 120–131.</w:t>
      </w:r>
      <w:r w:rsidR="00117E60" w:rsidRPr="00E87D06">
        <w:rPr>
          <w:rFonts w:ascii="Arial" w:eastAsia="Calibri" w:hAnsi="Arial" w:cs="Arial"/>
          <w:kern w:val="2"/>
          <w:lang w:val="en-PH"/>
        </w:rPr>
        <w:t xml:space="preserve"> </w:t>
      </w:r>
      <w:r w:rsidRPr="00E87D06">
        <w:rPr>
          <w:rFonts w:ascii="Arial" w:eastAsia="Calibri" w:hAnsi="Arial" w:cs="Arial"/>
          <w:kern w:val="2"/>
          <w:lang w:val="en-PH"/>
        </w:rPr>
        <w:t>https://doi.org/10.4314/jae.v23i2.12</w:t>
      </w:r>
    </w:p>
    <w:p w14:paraId="7C632F00" w14:textId="5DE5A848" w:rsidR="00117E60" w:rsidRPr="00E87D06" w:rsidRDefault="0034735C" w:rsidP="0034735C">
      <w:pPr>
        <w:pStyle w:val="ListParagraph"/>
        <w:numPr>
          <w:ilvl w:val="0"/>
          <w:numId w:val="32"/>
        </w:numPr>
        <w:spacing w:after="160" w:line="259" w:lineRule="auto"/>
        <w:jc w:val="both"/>
        <w:rPr>
          <w:rFonts w:ascii="Arial" w:eastAsia="Calibri" w:hAnsi="Arial" w:cs="Arial"/>
          <w:kern w:val="2"/>
          <w:lang w:val="en-PH"/>
        </w:rPr>
      </w:pPr>
      <w:r w:rsidRPr="0034735C">
        <w:rPr>
          <w:rFonts w:ascii="Arial" w:eastAsia="Calibri" w:hAnsi="Arial" w:cs="Arial"/>
          <w:kern w:val="2"/>
          <w:lang w:val="en-PH"/>
        </w:rPr>
        <w:t xml:space="preserve">Deci, E. L., &amp; Ryan, R. M. (2000). The “what” and “why” of goal pursuits: Human needs and the self-determination of behavior. Psychological Inquiry, 11(4), 227–268. </w:t>
      </w:r>
      <w:hyperlink r:id="rId16" w:history="1">
        <w:r w:rsidRPr="009A49C2">
          <w:rPr>
            <w:rStyle w:val="Hyperlink"/>
            <w:rFonts w:ascii="Arial" w:eastAsia="Calibri" w:hAnsi="Arial" w:cs="Arial"/>
            <w:kern w:val="2"/>
            <w:lang w:val="en-PH"/>
          </w:rPr>
          <w:t>https://doi.org/10.1207/S15327965PLI1104_01</w:t>
        </w:r>
      </w:hyperlink>
      <w:r>
        <w:rPr>
          <w:rFonts w:ascii="Arial" w:eastAsia="Calibri" w:hAnsi="Arial" w:cs="Arial"/>
          <w:kern w:val="2"/>
          <w:lang w:val="en-PH"/>
        </w:rPr>
        <w:t xml:space="preserve"> </w:t>
      </w:r>
    </w:p>
    <w:p w14:paraId="38C2721C" w14:textId="184CC466" w:rsidR="00117E60" w:rsidRPr="00E87D06" w:rsidRDefault="004549D1" w:rsidP="004549D1">
      <w:pPr>
        <w:pStyle w:val="ListParagraph"/>
        <w:numPr>
          <w:ilvl w:val="0"/>
          <w:numId w:val="32"/>
        </w:numPr>
        <w:spacing w:after="160" w:line="259" w:lineRule="auto"/>
        <w:jc w:val="both"/>
        <w:rPr>
          <w:rFonts w:ascii="Arial" w:eastAsia="Calibri" w:hAnsi="Arial" w:cs="Arial"/>
          <w:kern w:val="2"/>
          <w:lang w:val="en-PH"/>
        </w:rPr>
      </w:pPr>
      <w:r w:rsidRPr="004549D1">
        <w:rPr>
          <w:rFonts w:ascii="Arial" w:eastAsia="Calibri" w:hAnsi="Arial" w:cs="Arial"/>
          <w:kern w:val="2"/>
          <w:lang w:val="en-PH"/>
        </w:rPr>
        <w:t xml:space="preserve">Department of Education. (2016). K to 12 curriculum </w:t>
      </w:r>
      <w:proofErr w:type="gramStart"/>
      <w:r w:rsidRPr="004549D1">
        <w:rPr>
          <w:rFonts w:ascii="Arial" w:eastAsia="Calibri" w:hAnsi="Arial" w:cs="Arial"/>
          <w:kern w:val="2"/>
          <w:lang w:val="en-PH"/>
        </w:rPr>
        <w:t>guide</w:t>
      </w:r>
      <w:proofErr w:type="gramEnd"/>
      <w:r w:rsidRPr="004549D1">
        <w:rPr>
          <w:rFonts w:ascii="Arial" w:eastAsia="Calibri" w:hAnsi="Arial" w:cs="Arial"/>
          <w:kern w:val="2"/>
          <w:lang w:val="en-PH"/>
        </w:rPr>
        <w:t xml:space="preserve">: Technical-Vocational Livelihood track. </w:t>
      </w:r>
      <w:hyperlink r:id="rId17" w:history="1">
        <w:r w:rsidRPr="009A49C2">
          <w:rPr>
            <w:rStyle w:val="Hyperlink"/>
            <w:rFonts w:ascii="Arial" w:eastAsia="Calibri" w:hAnsi="Arial" w:cs="Arial"/>
            <w:kern w:val="2"/>
            <w:lang w:val="en-PH"/>
          </w:rPr>
          <w:t>https://www.deped.gov.ph/k-to-12/about/k-to-12-basic-education-curriculum/technology-and-livelihood-education-tle-and-technical-vocational-livelihood-tvl-track/</w:t>
        </w:r>
      </w:hyperlink>
      <w:r>
        <w:rPr>
          <w:rFonts w:ascii="Arial" w:eastAsia="Calibri" w:hAnsi="Arial" w:cs="Arial"/>
          <w:kern w:val="2"/>
          <w:lang w:val="en-PH"/>
        </w:rPr>
        <w:t xml:space="preserve"> </w:t>
      </w:r>
    </w:p>
    <w:p w14:paraId="1D5135F7" w14:textId="0163FD2A" w:rsidR="00117E60" w:rsidRPr="00E87D06" w:rsidRDefault="00ED6C37" w:rsidP="00ED6C37">
      <w:pPr>
        <w:pStyle w:val="ListParagraph"/>
        <w:numPr>
          <w:ilvl w:val="0"/>
          <w:numId w:val="32"/>
        </w:numPr>
        <w:spacing w:after="160" w:line="259" w:lineRule="auto"/>
        <w:jc w:val="both"/>
        <w:rPr>
          <w:rFonts w:ascii="Arial" w:eastAsia="Calibri" w:hAnsi="Arial" w:cs="Arial"/>
          <w:kern w:val="2"/>
          <w:lang w:val="en-PH"/>
        </w:rPr>
      </w:pPr>
      <w:proofErr w:type="spellStart"/>
      <w:r w:rsidRPr="00ED6C37">
        <w:rPr>
          <w:rFonts w:ascii="Arial" w:eastAsia="Calibri" w:hAnsi="Arial" w:cs="Arial"/>
          <w:kern w:val="2"/>
          <w:lang w:val="en-PH"/>
        </w:rPr>
        <w:t>Espineda</w:t>
      </w:r>
      <w:proofErr w:type="spellEnd"/>
      <w:r w:rsidRPr="00ED6C37">
        <w:rPr>
          <w:rFonts w:ascii="Arial" w:eastAsia="Calibri" w:hAnsi="Arial" w:cs="Arial"/>
          <w:kern w:val="2"/>
          <w:lang w:val="en-PH"/>
        </w:rPr>
        <w:t xml:space="preserve">, R. A. (2023). Agriculture Industry Workers Perspective: The Attractiveness of Agribusiness as a Place to Work. American Journal of Agricultural Science, Engineering, and Technology, 7(2), 48–59. </w:t>
      </w:r>
      <w:hyperlink r:id="rId18" w:history="1">
        <w:r w:rsidRPr="009A49C2">
          <w:rPr>
            <w:rStyle w:val="Hyperlink"/>
            <w:rFonts w:ascii="Arial" w:eastAsia="Calibri" w:hAnsi="Arial" w:cs="Arial"/>
            <w:kern w:val="2"/>
            <w:lang w:val="en-PH"/>
          </w:rPr>
          <w:t>https://doi.org/10.54536/ajaset.v7i2.1479</w:t>
        </w:r>
      </w:hyperlink>
      <w:r>
        <w:rPr>
          <w:rFonts w:ascii="Arial" w:eastAsia="Calibri" w:hAnsi="Arial" w:cs="Arial"/>
          <w:kern w:val="2"/>
          <w:lang w:val="en-PH"/>
        </w:rPr>
        <w:t xml:space="preserve"> </w:t>
      </w:r>
    </w:p>
    <w:p w14:paraId="75CE7829" w14:textId="6AC24D2E" w:rsidR="00E77A7E" w:rsidRPr="00E87D06" w:rsidRDefault="00197E40" w:rsidP="00197E40">
      <w:pPr>
        <w:pStyle w:val="ListParagraph"/>
        <w:numPr>
          <w:ilvl w:val="0"/>
          <w:numId w:val="32"/>
        </w:numPr>
        <w:spacing w:after="160" w:line="259" w:lineRule="auto"/>
        <w:jc w:val="both"/>
        <w:rPr>
          <w:rFonts w:ascii="Arial" w:eastAsia="Calibri" w:hAnsi="Arial" w:cs="Arial"/>
          <w:kern w:val="2"/>
          <w:lang w:val="en-PH"/>
        </w:rPr>
      </w:pPr>
      <w:r w:rsidRPr="00197E40">
        <w:rPr>
          <w:rFonts w:ascii="Arial" w:eastAsia="Calibri" w:hAnsi="Arial" w:cs="Arial"/>
          <w:kern w:val="2"/>
          <w:lang w:val="en-PH"/>
        </w:rPr>
        <w:t xml:space="preserve">Food and Agriculture Organization of the United Nations. (2021). Youth and agriculture: Key challenges and solutions. </w:t>
      </w:r>
      <w:hyperlink r:id="rId19" w:history="1">
        <w:r w:rsidRPr="009A49C2">
          <w:rPr>
            <w:rStyle w:val="Hyperlink"/>
            <w:rFonts w:ascii="Arial" w:eastAsia="Calibri" w:hAnsi="Arial" w:cs="Arial"/>
            <w:kern w:val="2"/>
            <w:lang w:val="en-PH"/>
          </w:rPr>
          <w:t>http://www.fao.org/youth-employment/agriculture/en/</w:t>
        </w:r>
      </w:hyperlink>
      <w:r>
        <w:rPr>
          <w:rFonts w:ascii="Arial" w:eastAsia="Calibri" w:hAnsi="Arial" w:cs="Arial"/>
          <w:kern w:val="2"/>
          <w:lang w:val="en-PH"/>
        </w:rPr>
        <w:t xml:space="preserve"> </w:t>
      </w:r>
    </w:p>
    <w:p w14:paraId="196B6B89" w14:textId="36D49FFD" w:rsidR="00117E60" w:rsidRPr="00E87D06" w:rsidRDefault="0036072A" w:rsidP="0036072A">
      <w:pPr>
        <w:pStyle w:val="ListParagraph"/>
        <w:numPr>
          <w:ilvl w:val="0"/>
          <w:numId w:val="32"/>
        </w:numPr>
        <w:spacing w:after="160" w:line="259" w:lineRule="auto"/>
        <w:jc w:val="both"/>
        <w:rPr>
          <w:rFonts w:ascii="Arial" w:eastAsia="Calibri" w:hAnsi="Arial" w:cs="Arial"/>
          <w:kern w:val="2"/>
          <w:lang w:val="en-PH"/>
        </w:rPr>
      </w:pPr>
      <w:r w:rsidRPr="0036072A">
        <w:rPr>
          <w:rFonts w:ascii="Arial" w:eastAsia="Calibri" w:hAnsi="Arial" w:cs="Arial"/>
          <w:kern w:val="2"/>
          <w:lang w:val="en-PH"/>
        </w:rPr>
        <w:t xml:space="preserve">Food and Agriculture Organization. (2020). Youth and agriculture: Key challenges and concrete solutions. </w:t>
      </w:r>
      <w:hyperlink r:id="rId20" w:history="1">
        <w:r w:rsidRPr="009A49C2">
          <w:rPr>
            <w:rStyle w:val="Hyperlink"/>
            <w:rFonts w:ascii="Arial" w:eastAsia="Calibri" w:hAnsi="Arial" w:cs="Arial"/>
            <w:kern w:val="2"/>
            <w:lang w:val="en-PH"/>
          </w:rPr>
          <w:t>https://www.fao.org/family-farming/detail/en/c/1382667/</w:t>
        </w:r>
      </w:hyperlink>
      <w:r>
        <w:rPr>
          <w:rFonts w:ascii="Arial" w:eastAsia="Calibri" w:hAnsi="Arial" w:cs="Arial"/>
          <w:kern w:val="2"/>
          <w:lang w:val="en-PH"/>
        </w:rPr>
        <w:t xml:space="preserve"> </w:t>
      </w:r>
    </w:p>
    <w:p w14:paraId="60EE96DE" w14:textId="475480E4" w:rsidR="00117E60" w:rsidRPr="00E87D06" w:rsidRDefault="000460DD" w:rsidP="000460DD">
      <w:pPr>
        <w:pStyle w:val="ListParagraph"/>
        <w:numPr>
          <w:ilvl w:val="0"/>
          <w:numId w:val="32"/>
        </w:numPr>
        <w:spacing w:after="160" w:line="259" w:lineRule="auto"/>
        <w:jc w:val="both"/>
        <w:rPr>
          <w:rFonts w:ascii="Arial" w:eastAsia="Calibri" w:hAnsi="Arial" w:cs="Arial"/>
          <w:kern w:val="2"/>
          <w:lang w:val="en-PH"/>
        </w:rPr>
      </w:pPr>
      <w:r w:rsidRPr="000460DD">
        <w:rPr>
          <w:rFonts w:ascii="Arial" w:eastAsia="Calibri" w:hAnsi="Arial" w:cs="Arial"/>
          <w:kern w:val="2"/>
          <w:lang w:val="en-PH"/>
        </w:rPr>
        <w:t xml:space="preserve">Mercado, K. M. P., &amp; </w:t>
      </w:r>
      <w:proofErr w:type="spellStart"/>
      <w:r w:rsidRPr="000460DD">
        <w:rPr>
          <w:rFonts w:ascii="Arial" w:eastAsia="Calibri" w:hAnsi="Arial" w:cs="Arial"/>
          <w:kern w:val="2"/>
          <w:lang w:val="en-PH"/>
        </w:rPr>
        <w:t>Osbahr</w:t>
      </w:r>
      <w:proofErr w:type="spellEnd"/>
      <w:r w:rsidRPr="000460DD">
        <w:rPr>
          <w:rFonts w:ascii="Arial" w:eastAsia="Calibri" w:hAnsi="Arial" w:cs="Arial"/>
          <w:kern w:val="2"/>
          <w:lang w:val="en-PH"/>
        </w:rPr>
        <w:t xml:space="preserve">, H. (2023). Feeding the future: Knowledge and perceptions of the Filipino youth toward agriculture. Southeast Asian Journal of Agriculture and Development, 20(2), 31–50. </w:t>
      </w:r>
      <w:hyperlink r:id="rId21" w:history="1">
        <w:r w:rsidRPr="009A49C2">
          <w:rPr>
            <w:rStyle w:val="Hyperlink"/>
            <w:rFonts w:ascii="Arial" w:eastAsia="Calibri" w:hAnsi="Arial" w:cs="Arial"/>
            <w:kern w:val="2"/>
            <w:lang w:val="en-PH"/>
          </w:rPr>
          <w:t>https://doi.org/10.37801/sajagdev.v20i2.2023</w:t>
        </w:r>
      </w:hyperlink>
      <w:r>
        <w:rPr>
          <w:rFonts w:ascii="Arial" w:eastAsia="Calibri" w:hAnsi="Arial" w:cs="Arial"/>
          <w:kern w:val="2"/>
          <w:lang w:val="en-PH"/>
        </w:rPr>
        <w:t xml:space="preserve"> </w:t>
      </w:r>
    </w:p>
    <w:p w14:paraId="4EA64048" w14:textId="17000F7E" w:rsidR="00117E60" w:rsidRPr="00E87D06" w:rsidRDefault="00D84134" w:rsidP="00D84134">
      <w:pPr>
        <w:pStyle w:val="ListParagraph"/>
        <w:numPr>
          <w:ilvl w:val="0"/>
          <w:numId w:val="32"/>
        </w:numPr>
        <w:spacing w:after="160" w:line="259" w:lineRule="auto"/>
        <w:jc w:val="both"/>
        <w:rPr>
          <w:rFonts w:ascii="Arial" w:eastAsia="Calibri" w:hAnsi="Arial" w:cs="Arial"/>
          <w:kern w:val="2"/>
          <w:lang w:val="en-PH"/>
        </w:rPr>
      </w:pPr>
      <w:r w:rsidRPr="00D84134">
        <w:rPr>
          <w:rFonts w:ascii="Arial" w:eastAsia="Calibri" w:hAnsi="Arial" w:cs="Arial"/>
          <w:kern w:val="2"/>
          <w:lang w:val="en-PH"/>
        </w:rPr>
        <w:t xml:space="preserve">Lent, R. W., Brown, S. D., &amp; Hackett, G. (1994). Toward a unifying social cognitive theory of career and academic interest, choice, and performance. Journal of Vocational Behavior, 45(1), 79–122. </w:t>
      </w:r>
      <w:hyperlink r:id="rId22" w:history="1">
        <w:r w:rsidRPr="009A49C2">
          <w:rPr>
            <w:rStyle w:val="Hyperlink"/>
            <w:rFonts w:ascii="Arial" w:eastAsia="Calibri" w:hAnsi="Arial" w:cs="Arial"/>
            <w:kern w:val="2"/>
            <w:lang w:val="en-PH"/>
          </w:rPr>
          <w:t>https://doi.org/10.1006/jvbe.1994.1027</w:t>
        </w:r>
      </w:hyperlink>
      <w:r>
        <w:rPr>
          <w:rFonts w:ascii="Arial" w:eastAsia="Calibri" w:hAnsi="Arial" w:cs="Arial"/>
          <w:kern w:val="2"/>
          <w:lang w:val="en-PH"/>
        </w:rPr>
        <w:t xml:space="preserve"> </w:t>
      </w:r>
    </w:p>
    <w:p w14:paraId="11A0CEC0" w14:textId="3EE31FD9" w:rsidR="00117E60" w:rsidRPr="00E87D06" w:rsidRDefault="00C248E9" w:rsidP="00C248E9">
      <w:pPr>
        <w:pStyle w:val="ListParagraph"/>
        <w:numPr>
          <w:ilvl w:val="0"/>
          <w:numId w:val="32"/>
        </w:numPr>
        <w:spacing w:after="160" w:line="259" w:lineRule="auto"/>
        <w:jc w:val="both"/>
        <w:rPr>
          <w:rFonts w:ascii="Arial" w:eastAsia="Calibri" w:hAnsi="Arial" w:cs="Arial"/>
          <w:kern w:val="2"/>
          <w:lang w:val="en-PH"/>
        </w:rPr>
      </w:pPr>
      <w:r w:rsidRPr="00C248E9">
        <w:rPr>
          <w:rFonts w:ascii="Arial" w:eastAsia="Calibri" w:hAnsi="Arial" w:cs="Arial"/>
          <w:kern w:val="2"/>
          <w:lang w:val="en-PH"/>
        </w:rPr>
        <w:t xml:space="preserve">Mendoza, C. R. C., &amp; Garcia, R. Q. (2023). Phenomenological Research on the Youth's Experiences on Agriculture in the Philippines. New Trends in Qualitative Research, 16 </w:t>
      </w:r>
      <w:hyperlink r:id="rId23" w:history="1">
        <w:r w:rsidRPr="009A49C2">
          <w:rPr>
            <w:rStyle w:val="Hyperlink"/>
            <w:rFonts w:ascii="Arial" w:eastAsia="Calibri" w:hAnsi="Arial" w:cs="Arial"/>
            <w:kern w:val="2"/>
            <w:lang w:val="en-PH"/>
          </w:rPr>
          <w:t>https://dialnet.unirioja.es/servlet/articulo?codigo=9140000</w:t>
        </w:r>
      </w:hyperlink>
      <w:r>
        <w:rPr>
          <w:rFonts w:ascii="Arial" w:eastAsia="Calibri" w:hAnsi="Arial" w:cs="Arial"/>
          <w:kern w:val="2"/>
          <w:lang w:val="en-PH"/>
        </w:rPr>
        <w:t xml:space="preserve"> </w:t>
      </w:r>
    </w:p>
    <w:p w14:paraId="0225BEB4" w14:textId="198451D0" w:rsidR="00117E60" w:rsidRPr="00E87D06" w:rsidRDefault="00E77A7E" w:rsidP="00E87D06">
      <w:pPr>
        <w:pStyle w:val="ListParagraph"/>
        <w:numPr>
          <w:ilvl w:val="0"/>
          <w:numId w:val="32"/>
        </w:numPr>
        <w:spacing w:after="160" w:line="259" w:lineRule="auto"/>
        <w:jc w:val="both"/>
        <w:rPr>
          <w:rFonts w:ascii="Arial" w:eastAsia="Calibri" w:hAnsi="Arial" w:cs="Arial"/>
          <w:kern w:val="2"/>
          <w:lang w:val="en-PH"/>
        </w:rPr>
      </w:pPr>
      <w:proofErr w:type="spellStart"/>
      <w:r w:rsidRPr="00E87D06">
        <w:rPr>
          <w:rFonts w:ascii="Arial" w:eastAsia="Calibri" w:hAnsi="Arial" w:cs="Arial"/>
          <w:kern w:val="2"/>
          <w:lang w:val="en-PH"/>
        </w:rPr>
        <w:t>Mukembo</w:t>
      </w:r>
      <w:proofErr w:type="spellEnd"/>
      <w:r w:rsidRPr="00E87D06">
        <w:rPr>
          <w:rFonts w:ascii="Arial" w:eastAsia="Calibri" w:hAnsi="Arial" w:cs="Arial"/>
          <w:kern w:val="2"/>
          <w:lang w:val="en-PH"/>
        </w:rPr>
        <w:t xml:space="preserve">, S. C., &amp; Edwards, M. C. (2021). </w:t>
      </w:r>
      <w:proofErr w:type="spellStart"/>
      <w:r w:rsidRPr="00E87D06">
        <w:rPr>
          <w:rFonts w:ascii="Arial" w:eastAsia="SimSun" w:hAnsi="Arial" w:cs="Arial"/>
          <w:kern w:val="2"/>
          <w:lang w:val="en-PH"/>
        </w:rPr>
        <w:t>Agrip</w:t>
      </w:r>
      <w:r w:rsidR="00E87D06">
        <w:rPr>
          <w:rFonts w:ascii="Arial" w:eastAsia="SimSun" w:hAnsi="Arial" w:cs="Arial"/>
          <w:kern w:val="2"/>
          <w:lang w:val="en-PH"/>
        </w:rPr>
        <w:t>reneurship</w:t>
      </w:r>
      <w:proofErr w:type="spellEnd"/>
      <w:r w:rsidR="00E87D06">
        <w:rPr>
          <w:rFonts w:ascii="Arial" w:eastAsia="SimSun" w:hAnsi="Arial" w:cs="Arial"/>
          <w:kern w:val="2"/>
          <w:lang w:val="en-PH"/>
        </w:rPr>
        <w:t xml:space="preserve"> education and youth </w:t>
      </w:r>
      <w:r w:rsidRPr="00E87D06">
        <w:rPr>
          <w:rFonts w:ascii="Arial" w:eastAsia="SimSun" w:hAnsi="Arial" w:cs="Arial"/>
          <w:kern w:val="2"/>
          <w:lang w:val="en-PH"/>
        </w:rPr>
        <w:t>motivation toward agricultural careers</w:t>
      </w:r>
      <w:r w:rsidRPr="00E87D06">
        <w:rPr>
          <w:rFonts w:ascii="Arial" w:eastAsia="Calibri" w:hAnsi="Arial" w:cs="Arial"/>
          <w:kern w:val="2"/>
          <w:lang w:val="en-PH"/>
        </w:rPr>
        <w:t xml:space="preserve">. </w:t>
      </w:r>
      <w:r w:rsidRPr="00E87D06">
        <w:rPr>
          <w:rFonts w:ascii="Arial" w:eastAsia="SimSun" w:hAnsi="Arial" w:cs="Arial"/>
          <w:i/>
          <w:iCs/>
          <w:kern w:val="2"/>
          <w:lang w:val="en-PH"/>
        </w:rPr>
        <w:t>Journal of Agricultural Education</w:t>
      </w:r>
      <w:r w:rsidRPr="00E87D06">
        <w:rPr>
          <w:rFonts w:ascii="Arial" w:eastAsia="SimSun" w:hAnsi="Arial" w:cs="Arial"/>
          <w:kern w:val="2"/>
          <w:lang w:val="en-PH"/>
        </w:rPr>
        <w:t>, 62</w:t>
      </w:r>
      <w:r w:rsidRPr="00E87D06">
        <w:rPr>
          <w:rFonts w:ascii="Arial" w:eastAsia="Calibri" w:hAnsi="Arial" w:cs="Arial"/>
          <w:kern w:val="2"/>
          <w:lang w:val="en-PH"/>
        </w:rPr>
        <w:t xml:space="preserve">(3), 72–89. </w:t>
      </w:r>
      <w:hyperlink r:id="rId24" w:history="1">
        <w:r w:rsidR="00117E60" w:rsidRPr="00E87D06">
          <w:rPr>
            <w:rStyle w:val="Hyperlink"/>
            <w:rFonts w:ascii="Arial" w:eastAsia="Calibri" w:hAnsi="Arial" w:cs="Arial"/>
            <w:kern w:val="2"/>
            <w:lang w:val="en-PH"/>
          </w:rPr>
          <w:t>https://doi.org/10.5032/jae.2021.03072</w:t>
        </w:r>
      </w:hyperlink>
    </w:p>
    <w:p w14:paraId="019FA367" w14:textId="2898A1B6" w:rsidR="00117E60" w:rsidRPr="00E87D06" w:rsidRDefault="006F535C" w:rsidP="006F535C">
      <w:pPr>
        <w:pStyle w:val="ListParagraph"/>
        <w:numPr>
          <w:ilvl w:val="0"/>
          <w:numId w:val="32"/>
        </w:numPr>
        <w:spacing w:after="160" w:line="259" w:lineRule="auto"/>
        <w:jc w:val="both"/>
        <w:rPr>
          <w:rFonts w:ascii="Arial" w:eastAsia="Calibri" w:hAnsi="Arial" w:cs="Arial"/>
          <w:kern w:val="2"/>
          <w:lang w:val="en-PH"/>
        </w:rPr>
      </w:pPr>
      <w:r w:rsidRPr="006F535C">
        <w:rPr>
          <w:rFonts w:ascii="Arial" w:eastAsia="Calibri" w:hAnsi="Arial" w:cs="Arial"/>
          <w:kern w:val="2"/>
          <w:lang w:val="en-PH"/>
        </w:rPr>
        <w:t xml:space="preserve">Philippine Rice Research Institute (PhilRice). (2023). YES to agriculture campaign: Engaging the youth in farming and agribusiness. </w:t>
      </w:r>
      <w:hyperlink r:id="rId25" w:history="1">
        <w:r w:rsidRPr="009A49C2">
          <w:rPr>
            <w:rStyle w:val="Hyperlink"/>
            <w:rFonts w:ascii="Arial" w:eastAsia="Calibri" w:hAnsi="Arial" w:cs="Arial"/>
            <w:kern w:val="2"/>
            <w:lang w:val="en-PH"/>
          </w:rPr>
          <w:t>https://www.philrice.gov.ph/yes-to-agriculture</w:t>
        </w:r>
      </w:hyperlink>
      <w:r>
        <w:rPr>
          <w:rFonts w:ascii="Arial" w:eastAsia="Calibri" w:hAnsi="Arial" w:cs="Arial"/>
          <w:kern w:val="2"/>
          <w:lang w:val="en-PH"/>
        </w:rPr>
        <w:t xml:space="preserve"> </w:t>
      </w:r>
    </w:p>
    <w:p w14:paraId="03011700" w14:textId="77CACB5D" w:rsidR="00117E60" w:rsidRPr="00E87D06" w:rsidRDefault="00151A6D" w:rsidP="00151A6D">
      <w:pPr>
        <w:pStyle w:val="ListParagraph"/>
        <w:numPr>
          <w:ilvl w:val="0"/>
          <w:numId w:val="32"/>
        </w:numPr>
        <w:spacing w:after="160" w:line="259" w:lineRule="auto"/>
        <w:jc w:val="both"/>
        <w:rPr>
          <w:rFonts w:ascii="Arial" w:eastAsia="Calibri" w:hAnsi="Arial" w:cs="Arial"/>
          <w:kern w:val="2"/>
          <w:lang w:val="en-PH"/>
        </w:rPr>
      </w:pPr>
      <w:r w:rsidRPr="00151A6D">
        <w:rPr>
          <w:rFonts w:ascii="Arial" w:eastAsia="Calibri" w:hAnsi="Arial" w:cs="Arial"/>
          <w:kern w:val="2"/>
          <w:lang w:val="en-PH"/>
        </w:rPr>
        <w:t xml:space="preserve">Philippine Statistics Authority. (2023). Employment Situation in Agriculture: Highlights of the 2023 Labor Force Survey (Preliminary Results) </w:t>
      </w:r>
      <w:hyperlink r:id="rId26" w:history="1">
        <w:r w:rsidRPr="009A49C2">
          <w:rPr>
            <w:rStyle w:val="Hyperlink"/>
            <w:rFonts w:ascii="Arial" w:eastAsia="Calibri" w:hAnsi="Arial" w:cs="Arial"/>
            <w:kern w:val="2"/>
            <w:lang w:val="en-PH"/>
          </w:rPr>
          <w:t>https://psa.gov.ph/content/employment-situation-agriculture-highlights-2023-labor-force-survey-preliminary-results</w:t>
        </w:r>
      </w:hyperlink>
      <w:r>
        <w:rPr>
          <w:rFonts w:ascii="Arial" w:eastAsia="Calibri" w:hAnsi="Arial" w:cs="Arial"/>
          <w:kern w:val="2"/>
          <w:lang w:val="en-PH"/>
        </w:rPr>
        <w:t xml:space="preserve"> </w:t>
      </w:r>
    </w:p>
    <w:p w14:paraId="1360F645" w14:textId="4381DF4A" w:rsidR="00E77A7E" w:rsidRPr="00E87D06" w:rsidRDefault="00560E19" w:rsidP="00560E19">
      <w:pPr>
        <w:pStyle w:val="ListParagraph"/>
        <w:numPr>
          <w:ilvl w:val="0"/>
          <w:numId w:val="32"/>
        </w:numPr>
        <w:spacing w:after="160" w:line="259" w:lineRule="auto"/>
        <w:jc w:val="both"/>
        <w:rPr>
          <w:rFonts w:ascii="Arial" w:eastAsia="Calibri" w:hAnsi="Arial" w:cs="Arial"/>
          <w:kern w:val="2"/>
          <w:lang w:val="en-PH"/>
        </w:rPr>
      </w:pPr>
      <w:r w:rsidRPr="00560E19">
        <w:rPr>
          <w:rFonts w:ascii="Arial" w:eastAsia="Calibri" w:hAnsi="Arial" w:cs="Arial"/>
          <w:kern w:val="2"/>
          <w:lang w:val="en-PH"/>
        </w:rPr>
        <w:lastRenderedPageBreak/>
        <w:t xml:space="preserve">Proctor, F.J., &amp; </w:t>
      </w:r>
      <w:proofErr w:type="spellStart"/>
      <w:r w:rsidRPr="00560E19">
        <w:rPr>
          <w:rFonts w:ascii="Arial" w:eastAsia="Calibri" w:hAnsi="Arial" w:cs="Arial"/>
          <w:kern w:val="2"/>
          <w:lang w:val="en-PH"/>
        </w:rPr>
        <w:t>Lucchesi</w:t>
      </w:r>
      <w:proofErr w:type="spellEnd"/>
      <w:r w:rsidRPr="00560E19">
        <w:rPr>
          <w:rFonts w:ascii="Arial" w:eastAsia="Calibri" w:hAnsi="Arial" w:cs="Arial"/>
          <w:kern w:val="2"/>
          <w:lang w:val="en-PH"/>
        </w:rPr>
        <w:t xml:space="preserve">, V. (2012). Small-scale farming and youth in an era of rapid rural change. IIED/HIVOS. </w:t>
      </w:r>
      <w:hyperlink r:id="rId27" w:history="1">
        <w:r w:rsidRPr="009A49C2">
          <w:rPr>
            <w:rStyle w:val="Hyperlink"/>
            <w:rFonts w:ascii="Arial" w:eastAsia="Calibri" w:hAnsi="Arial" w:cs="Arial"/>
            <w:kern w:val="2"/>
            <w:lang w:val="en-PH"/>
          </w:rPr>
          <w:t>https://www.iied.org/sites/default/files/pdfs/migrate/14617IIED.pdf</w:t>
        </w:r>
      </w:hyperlink>
      <w:r>
        <w:rPr>
          <w:rFonts w:ascii="Arial" w:eastAsia="Calibri" w:hAnsi="Arial" w:cs="Arial"/>
          <w:kern w:val="2"/>
          <w:lang w:val="en-PH"/>
        </w:rPr>
        <w:t xml:space="preserve"> </w:t>
      </w:r>
    </w:p>
    <w:p w14:paraId="7D132890" w14:textId="0BB87A92" w:rsidR="00117E60" w:rsidRPr="00E87D06" w:rsidRDefault="00025EF0" w:rsidP="00025EF0">
      <w:pPr>
        <w:pStyle w:val="ListParagraph"/>
        <w:numPr>
          <w:ilvl w:val="0"/>
          <w:numId w:val="32"/>
        </w:numPr>
        <w:spacing w:after="160" w:line="259" w:lineRule="auto"/>
        <w:jc w:val="both"/>
        <w:rPr>
          <w:rFonts w:ascii="Arial" w:eastAsia="Calibri" w:hAnsi="Arial" w:cs="Arial"/>
          <w:kern w:val="2"/>
          <w:lang w:val="en-PH"/>
        </w:rPr>
      </w:pPr>
      <w:r w:rsidRPr="00025EF0">
        <w:rPr>
          <w:rFonts w:ascii="Arial" w:eastAsia="Calibri" w:hAnsi="Arial" w:cs="Arial"/>
          <w:kern w:val="2"/>
          <w:lang w:val="en-PH"/>
        </w:rPr>
        <w:t xml:space="preserve">Food and Agriculture Organization of the United Nations. (2021). The state of food and agriculture 2021: Making </w:t>
      </w:r>
      <w:proofErr w:type="spellStart"/>
      <w:r w:rsidRPr="00025EF0">
        <w:rPr>
          <w:rFonts w:ascii="Arial" w:eastAsia="Calibri" w:hAnsi="Arial" w:cs="Arial"/>
          <w:kern w:val="2"/>
          <w:lang w:val="en-PH"/>
        </w:rPr>
        <w:t>agrifood</w:t>
      </w:r>
      <w:proofErr w:type="spellEnd"/>
      <w:r w:rsidRPr="00025EF0">
        <w:rPr>
          <w:rFonts w:ascii="Arial" w:eastAsia="Calibri" w:hAnsi="Arial" w:cs="Arial"/>
          <w:kern w:val="2"/>
          <w:lang w:val="en-PH"/>
        </w:rPr>
        <w:t xml:space="preserve"> systems more resilient to shocks and stresses. </w:t>
      </w:r>
      <w:hyperlink r:id="rId28" w:history="1">
        <w:r w:rsidRPr="009A49C2">
          <w:rPr>
            <w:rStyle w:val="Hyperlink"/>
            <w:rFonts w:ascii="Arial" w:eastAsia="Calibri" w:hAnsi="Arial" w:cs="Arial"/>
            <w:kern w:val="2"/>
            <w:lang w:val="en-PH"/>
          </w:rPr>
          <w:t>https://doi.org/10.4060/cb4476en</w:t>
        </w:r>
      </w:hyperlink>
      <w:r>
        <w:rPr>
          <w:rFonts w:ascii="Arial" w:eastAsia="Calibri" w:hAnsi="Arial" w:cs="Arial"/>
          <w:kern w:val="2"/>
          <w:lang w:val="en-PH"/>
        </w:rPr>
        <w:t xml:space="preserve"> </w:t>
      </w:r>
    </w:p>
    <w:p w14:paraId="2DC0B859" w14:textId="64AA2392" w:rsidR="00117E60" w:rsidRPr="00E87D06" w:rsidRDefault="00E77A7E" w:rsidP="00E87D06">
      <w:pPr>
        <w:pStyle w:val="ListParagraph"/>
        <w:numPr>
          <w:ilvl w:val="0"/>
          <w:numId w:val="32"/>
        </w:numPr>
        <w:spacing w:after="160" w:line="259" w:lineRule="auto"/>
        <w:jc w:val="both"/>
        <w:rPr>
          <w:rFonts w:ascii="Arial" w:eastAsia="Calibri" w:hAnsi="Arial" w:cs="Arial"/>
          <w:kern w:val="2"/>
          <w:lang w:val="en-PH"/>
        </w:rPr>
      </w:pPr>
      <w:proofErr w:type="spellStart"/>
      <w:r w:rsidRPr="00E87D06">
        <w:rPr>
          <w:rFonts w:ascii="Arial" w:eastAsia="Calibri" w:hAnsi="Arial" w:cs="Arial"/>
          <w:kern w:val="2"/>
          <w:lang w:val="en-PH"/>
        </w:rPr>
        <w:t>Sabuelba</w:t>
      </w:r>
      <w:proofErr w:type="spellEnd"/>
      <w:r w:rsidRPr="00E87D06">
        <w:rPr>
          <w:rFonts w:ascii="Arial" w:eastAsia="Calibri" w:hAnsi="Arial" w:cs="Arial"/>
          <w:kern w:val="2"/>
          <w:lang w:val="en-PH"/>
        </w:rPr>
        <w:t xml:space="preserve">, M. C. (2023). </w:t>
      </w:r>
      <w:r w:rsidRPr="00E87D06">
        <w:rPr>
          <w:rFonts w:ascii="Arial" w:eastAsia="SimSun" w:hAnsi="Arial" w:cs="Arial"/>
          <w:kern w:val="2"/>
          <w:lang w:val="en-PH"/>
        </w:rPr>
        <w:t>From the classroom to the field: Exploring high school students’</w:t>
      </w:r>
      <w:r w:rsidR="00117E60" w:rsidRPr="00E87D06">
        <w:rPr>
          <w:rFonts w:ascii="Arial" w:eastAsia="SimSun" w:hAnsi="Arial" w:cs="Arial"/>
          <w:kern w:val="2"/>
          <w:lang w:val="en-PH"/>
        </w:rPr>
        <w:t xml:space="preserve"> </w:t>
      </w:r>
      <w:r w:rsidRPr="00E87D06">
        <w:rPr>
          <w:rFonts w:ascii="Arial" w:eastAsia="SimSun" w:hAnsi="Arial" w:cs="Arial"/>
          <w:kern w:val="2"/>
          <w:lang w:val="en-PH"/>
        </w:rPr>
        <w:t>attitudes toward agricultural education</w:t>
      </w:r>
      <w:r w:rsidRPr="00E87D06">
        <w:rPr>
          <w:rFonts w:ascii="Arial" w:eastAsia="Calibri" w:hAnsi="Arial" w:cs="Arial"/>
          <w:kern w:val="2"/>
          <w:lang w:val="en-PH"/>
        </w:rPr>
        <w:t xml:space="preserve">. </w:t>
      </w:r>
      <w:proofErr w:type="spellStart"/>
      <w:r w:rsidRPr="00E87D06">
        <w:rPr>
          <w:rFonts w:ascii="Arial" w:eastAsia="Calibri" w:hAnsi="Arial" w:cs="Arial"/>
          <w:i/>
          <w:iCs/>
          <w:kern w:val="2"/>
          <w:lang w:val="en-PH"/>
        </w:rPr>
        <w:t>Zenodo</w:t>
      </w:r>
      <w:proofErr w:type="spellEnd"/>
      <w:r w:rsidRPr="00E87D06">
        <w:rPr>
          <w:rFonts w:ascii="Arial" w:eastAsia="Calibri" w:hAnsi="Arial" w:cs="Arial"/>
          <w:i/>
          <w:iCs/>
          <w:kern w:val="2"/>
          <w:lang w:val="en-PH"/>
        </w:rPr>
        <w:t>.</w:t>
      </w:r>
      <w:r w:rsidR="00117E60" w:rsidRPr="00E87D06">
        <w:rPr>
          <w:rFonts w:ascii="Arial" w:eastAsia="Calibri" w:hAnsi="Arial" w:cs="Arial"/>
          <w:kern w:val="2"/>
          <w:lang w:val="en-PH"/>
        </w:rPr>
        <w:t xml:space="preserve"> </w:t>
      </w:r>
      <w:hyperlink r:id="rId29" w:history="1">
        <w:r w:rsidR="00117E60" w:rsidRPr="00E87D06">
          <w:rPr>
            <w:rStyle w:val="Hyperlink"/>
            <w:rFonts w:ascii="Arial" w:eastAsia="Calibri" w:hAnsi="Arial" w:cs="Arial"/>
            <w:kern w:val="2"/>
            <w:lang w:val="en-PH"/>
          </w:rPr>
          <w:t>https://doi.org/10.5281/zenodo.7612345</w:t>
        </w:r>
      </w:hyperlink>
    </w:p>
    <w:p w14:paraId="323DF57A" w14:textId="3C431768" w:rsidR="0090768D" w:rsidRPr="00E87D06" w:rsidRDefault="002A459F" w:rsidP="002A459F">
      <w:pPr>
        <w:pStyle w:val="ListParagraph"/>
        <w:numPr>
          <w:ilvl w:val="0"/>
          <w:numId w:val="32"/>
        </w:numPr>
        <w:spacing w:after="160" w:line="259" w:lineRule="auto"/>
        <w:jc w:val="both"/>
        <w:rPr>
          <w:rFonts w:ascii="Arial" w:eastAsia="Calibri" w:hAnsi="Arial" w:cs="Arial"/>
          <w:kern w:val="2"/>
          <w:lang w:val="en-PH"/>
        </w:rPr>
      </w:pPr>
      <w:proofErr w:type="spellStart"/>
      <w:r w:rsidRPr="002A459F">
        <w:rPr>
          <w:rFonts w:ascii="Arial" w:eastAsia="Calibri" w:hAnsi="Arial" w:cs="Arial"/>
          <w:kern w:val="2"/>
          <w:lang w:val="en-PH"/>
        </w:rPr>
        <w:t>Sagario</w:t>
      </w:r>
      <w:proofErr w:type="spellEnd"/>
      <w:r w:rsidRPr="002A459F">
        <w:rPr>
          <w:rFonts w:ascii="Arial" w:eastAsia="Calibri" w:hAnsi="Arial" w:cs="Arial"/>
          <w:kern w:val="2"/>
          <w:lang w:val="en-PH"/>
        </w:rPr>
        <w:t xml:space="preserve">, D. A., &amp; </w:t>
      </w:r>
      <w:proofErr w:type="spellStart"/>
      <w:r w:rsidRPr="002A459F">
        <w:rPr>
          <w:rFonts w:ascii="Arial" w:eastAsia="Calibri" w:hAnsi="Arial" w:cs="Arial"/>
          <w:kern w:val="2"/>
          <w:lang w:val="en-PH"/>
        </w:rPr>
        <w:t>Versano</w:t>
      </w:r>
      <w:proofErr w:type="spellEnd"/>
      <w:r w:rsidRPr="002A459F">
        <w:rPr>
          <w:rFonts w:ascii="Arial" w:eastAsia="Calibri" w:hAnsi="Arial" w:cs="Arial"/>
          <w:kern w:val="2"/>
          <w:lang w:val="en-PH"/>
        </w:rPr>
        <w:t xml:space="preserve">, D. D. (2023). Experiential Learning Approach to Improve Students' Common Competencies and Attitude towards Agricultural Crop Production. International Journal of Social Science Humanity &amp; Management Research </w:t>
      </w:r>
      <w:hyperlink r:id="rId30" w:history="1">
        <w:r w:rsidRPr="009A49C2">
          <w:rPr>
            <w:rStyle w:val="Hyperlink"/>
            <w:rFonts w:ascii="Arial" w:eastAsia="Calibri" w:hAnsi="Arial" w:cs="Arial"/>
            <w:kern w:val="2"/>
            <w:lang w:val="en-PH"/>
          </w:rPr>
          <w:t>https://doi.org/10.58806/ijsshmr.2023.v2i9n04</w:t>
        </w:r>
      </w:hyperlink>
      <w:r>
        <w:rPr>
          <w:rFonts w:ascii="Arial" w:eastAsia="Calibri" w:hAnsi="Arial" w:cs="Arial"/>
          <w:kern w:val="2"/>
          <w:lang w:val="en-PH"/>
        </w:rPr>
        <w:t xml:space="preserve"> </w:t>
      </w:r>
    </w:p>
    <w:p w14:paraId="125B549F" w14:textId="469737A1" w:rsidR="00E77A7E" w:rsidRPr="00E87D06" w:rsidRDefault="00E77A7E" w:rsidP="00E87D06">
      <w:pPr>
        <w:pStyle w:val="ListParagraph"/>
        <w:numPr>
          <w:ilvl w:val="0"/>
          <w:numId w:val="32"/>
        </w:numPr>
        <w:spacing w:after="160" w:line="259" w:lineRule="auto"/>
        <w:jc w:val="both"/>
        <w:rPr>
          <w:rFonts w:ascii="Arial" w:eastAsia="Calibri" w:hAnsi="Arial" w:cs="Arial"/>
          <w:kern w:val="2"/>
          <w:lang w:val="en-PH"/>
        </w:rPr>
      </w:pPr>
      <w:proofErr w:type="spellStart"/>
      <w:r w:rsidRPr="00E87D06">
        <w:rPr>
          <w:rFonts w:ascii="Arial" w:eastAsia="Calibri" w:hAnsi="Arial" w:cs="Arial"/>
          <w:kern w:val="2"/>
          <w:lang w:val="en-PH"/>
        </w:rPr>
        <w:t>Tiraieyari</w:t>
      </w:r>
      <w:proofErr w:type="spellEnd"/>
      <w:r w:rsidRPr="00E87D06">
        <w:rPr>
          <w:rFonts w:ascii="Arial" w:eastAsia="Calibri" w:hAnsi="Arial" w:cs="Arial"/>
          <w:kern w:val="2"/>
          <w:lang w:val="en-PH"/>
        </w:rPr>
        <w:t xml:space="preserve">, N., Hamzah, A., &amp; Abu </w:t>
      </w:r>
      <w:proofErr w:type="spellStart"/>
      <w:r w:rsidRPr="00E87D06">
        <w:rPr>
          <w:rFonts w:ascii="Arial" w:eastAsia="Calibri" w:hAnsi="Arial" w:cs="Arial"/>
          <w:kern w:val="2"/>
          <w:lang w:val="en-PH"/>
        </w:rPr>
        <w:t>Samah</w:t>
      </w:r>
      <w:proofErr w:type="spellEnd"/>
      <w:r w:rsidRPr="00E87D06">
        <w:rPr>
          <w:rFonts w:ascii="Arial" w:eastAsia="Calibri" w:hAnsi="Arial" w:cs="Arial"/>
          <w:kern w:val="2"/>
          <w:lang w:val="en-PH"/>
        </w:rPr>
        <w:t xml:space="preserve">, B. (2019). Predictors of career choice in agriculture among youth: A review. </w:t>
      </w:r>
      <w:r w:rsidRPr="00E87D06">
        <w:rPr>
          <w:rFonts w:ascii="Arial" w:eastAsia="Calibri" w:hAnsi="Arial" w:cs="Arial"/>
          <w:i/>
          <w:iCs/>
          <w:kern w:val="2"/>
          <w:lang w:val="en-PH"/>
        </w:rPr>
        <w:t>International Journal of Agricultural Research</w:t>
      </w:r>
      <w:r w:rsidRPr="00E87D06">
        <w:rPr>
          <w:rFonts w:ascii="Arial" w:eastAsia="Calibri" w:hAnsi="Arial" w:cs="Arial"/>
          <w:kern w:val="2"/>
          <w:lang w:val="en-PH"/>
        </w:rPr>
        <w:t>, 14(2), 35–45.</w:t>
      </w:r>
    </w:p>
    <w:p w14:paraId="6867A40B" w14:textId="6924D97E" w:rsidR="00B4612E" w:rsidRPr="00E87D06" w:rsidRDefault="00E77A7E" w:rsidP="00E87D06">
      <w:pPr>
        <w:pStyle w:val="ListParagraph"/>
        <w:numPr>
          <w:ilvl w:val="0"/>
          <w:numId w:val="32"/>
        </w:numPr>
        <w:spacing w:after="160" w:line="259" w:lineRule="auto"/>
        <w:jc w:val="both"/>
        <w:rPr>
          <w:rFonts w:ascii="Arial" w:eastAsia="Calibri" w:hAnsi="Arial" w:cs="Arial"/>
          <w:kern w:val="2"/>
          <w:lang w:val="en-PH"/>
        </w:rPr>
      </w:pPr>
      <w:r w:rsidRPr="00E87D06">
        <w:rPr>
          <w:rFonts w:ascii="Arial" w:eastAsia="Calibri" w:hAnsi="Arial" w:cs="Arial"/>
          <w:kern w:val="2"/>
          <w:lang w:val="en-PH"/>
        </w:rPr>
        <w:t xml:space="preserve">UNESCO. (2018). </w:t>
      </w:r>
      <w:r w:rsidRPr="00E87D06">
        <w:rPr>
          <w:rFonts w:ascii="Arial" w:eastAsia="Calibri" w:hAnsi="Arial" w:cs="Arial"/>
          <w:i/>
          <w:iCs/>
          <w:kern w:val="2"/>
          <w:lang w:val="en-PH"/>
        </w:rPr>
        <w:t>Technical and vocational education and training: A review of policy and practice</w:t>
      </w:r>
      <w:r w:rsidRPr="00E87D06">
        <w:rPr>
          <w:rFonts w:ascii="Arial" w:eastAsia="Calibri" w:hAnsi="Arial" w:cs="Arial"/>
          <w:kern w:val="2"/>
          <w:lang w:val="en-PH"/>
        </w:rPr>
        <w:t xml:space="preserve">. </w:t>
      </w:r>
      <w:r w:rsidR="0090768D" w:rsidRPr="00E87D06">
        <w:rPr>
          <w:rFonts w:ascii="Arial" w:eastAsia="Calibri" w:hAnsi="Arial" w:cs="Arial"/>
          <w:kern w:val="2"/>
          <w:lang w:val="en-PH"/>
        </w:rPr>
        <w:t>https://unevoc.unesco.org/pub/2020%20June%20IAG.pdf</w:t>
      </w:r>
    </w:p>
    <w:p w14:paraId="46A259DA" w14:textId="77777777" w:rsidR="00790ADA" w:rsidRPr="00FB3A86" w:rsidRDefault="00790ADA" w:rsidP="00441B6F">
      <w:pPr>
        <w:pStyle w:val="Body"/>
        <w:spacing w:after="0"/>
        <w:rPr>
          <w:rFonts w:ascii="Arial" w:hAnsi="Arial" w:cs="Arial"/>
        </w:rPr>
      </w:pPr>
    </w:p>
    <w:p w14:paraId="5D5DDF21" w14:textId="032112C9" w:rsidR="004D4277" w:rsidRPr="00FB3A86" w:rsidRDefault="004D4277" w:rsidP="00441B6F">
      <w:pPr>
        <w:pStyle w:val="Appendix"/>
        <w:spacing w:after="0"/>
        <w:jc w:val="both"/>
        <w:rPr>
          <w:rFonts w:ascii="Arial" w:hAnsi="Arial" w:cs="Arial"/>
          <w:b w:val="0"/>
        </w:rPr>
        <w:sectPr w:rsidR="004D4277" w:rsidRPr="00FB3A86" w:rsidSect="00593B81">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593B8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E092A" w14:textId="77777777" w:rsidR="004836B2" w:rsidRDefault="004836B2" w:rsidP="00C37E61">
      <w:r>
        <w:separator/>
      </w:r>
    </w:p>
  </w:endnote>
  <w:endnote w:type="continuationSeparator" w:id="0">
    <w:p w14:paraId="24B74289" w14:textId="77777777" w:rsidR="004836B2" w:rsidRDefault="004836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8B783" w14:textId="77777777" w:rsidR="00593B81" w:rsidRDefault="00593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8129" w14:textId="77777777" w:rsidR="00593B81" w:rsidRDefault="00593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DC73" w14:textId="77777777" w:rsidR="009E048A" w:rsidRDefault="009E048A">
    <w:pPr>
      <w:pStyle w:val="Footer"/>
      <w:rPr>
        <w:rFonts w:ascii="Arial" w:hAnsi="Arial" w:cs="Arial"/>
        <w:sz w:val="16"/>
      </w:rPr>
    </w:pPr>
  </w:p>
  <w:p w14:paraId="15EE1D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EB4C3D" w14:textId="77777777" w:rsidR="009E048A" w:rsidRDefault="009E048A">
    <w:pPr>
      <w:pStyle w:val="Footer"/>
      <w:rPr>
        <w:rFonts w:ascii="Arial" w:hAnsi="Arial" w:cs="Arial"/>
        <w:sz w:val="16"/>
      </w:rPr>
    </w:pPr>
  </w:p>
  <w:p w14:paraId="5FD8AD1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BB526" w14:textId="77777777" w:rsidR="004836B2" w:rsidRDefault="004836B2" w:rsidP="00C37E61">
      <w:r>
        <w:separator/>
      </w:r>
    </w:p>
  </w:footnote>
  <w:footnote w:type="continuationSeparator" w:id="0">
    <w:p w14:paraId="6846B04B" w14:textId="77777777" w:rsidR="004836B2" w:rsidRDefault="004836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6EAA5" w14:textId="6EB33320" w:rsidR="00593B81" w:rsidRDefault="00593B81">
    <w:pPr>
      <w:pStyle w:val="Header"/>
    </w:pPr>
    <w:r>
      <w:rPr>
        <w:noProof/>
      </w:rPr>
      <w:pict w14:anchorId="4E6E0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40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0E31B" w14:textId="57E558B1" w:rsidR="00593B81" w:rsidRDefault="00593B81">
    <w:pPr>
      <w:pStyle w:val="Header"/>
    </w:pPr>
    <w:r>
      <w:rPr>
        <w:noProof/>
      </w:rPr>
      <w:pict w14:anchorId="4114D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40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7DD7C1B5" w:rsidR="00296529" w:rsidRPr="00296529" w:rsidRDefault="00593B81" w:rsidP="00296529">
    <w:pPr>
      <w:ind w:left="2160"/>
      <w:jc w:val="center"/>
      <w:rPr>
        <w:rFonts w:ascii="Times New Roman" w:eastAsia="Calibri" w:hAnsi="Times New Roman"/>
        <w:i/>
        <w:sz w:val="18"/>
        <w:szCs w:val="22"/>
      </w:rPr>
    </w:pPr>
    <w:r>
      <w:rPr>
        <w:noProof/>
      </w:rPr>
      <w:pict w14:anchorId="5B30E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40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DAA8" w14:textId="478DE817" w:rsidR="00593B81" w:rsidRDefault="00593B81">
    <w:pPr>
      <w:pStyle w:val="Header"/>
    </w:pPr>
    <w:r>
      <w:rPr>
        <w:noProof/>
      </w:rPr>
      <w:pict w14:anchorId="1B4F2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40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B2ECA" w14:textId="62DF87A1" w:rsidR="00593B81" w:rsidRDefault="00593B81">
    <w:pPr>
      <w:pStyle w:val="Header"/>
    </w:pPr>
    <w:r>
      <w:rPr>
        <w:noProof/>
      </w:rPr>
      <w:pict w14:anchorId="1F282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40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CA39" w14:textId="789FB2E4" w:rsidR="00593B81" w:rsidRDefault="00593B81">
    <w:pPr>
      <w:pStyle w:val="Header"/>
    </w:pPr>
    <w:r>
      <w:rPr>
        <w:noProof/>
      </w:rPr>
      <w:pict w14:anchorId="375FF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40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810EF4"/>
    <w:multiLevelType w:val="hybridMultilevel"/>
    <w:tmpl w:val="40E88B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52B6997"/>
    <w:multiLevelType w:val="hybridMultilevel"/>
    <w:tmpl w:val="243C8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EF0"/>
    <w:rsid w:val="00030174"/>
    <w:rsid w:val="0004579C"/>
    <w:rsid w:val="000460DD"/>
    <w:rsid w:val="000A47FA"/>
    <w:rsid w:val="000A65D3"/>
    <w:rsid w:val="000B1E33"/>
    <w:rsid w:val="000D689F"/>
    <w:rsid w:val="000E7B7B"/>
    <w:rsid w:val="000E7D62"/>
    <w:rsid w:val="00103357"/>
    <w:rsid w:val="00112B33"/>
    <w:rsid w:val="00117E60"/>
    <w:rsid w:val="00123C9F"/>
    <w:rsid w:val="00126190"/>
    <w:rsid w:val="00130F17"/>
    <w:rsid w:val="001320BF"/>
    <w:rsid w:val="00137A4D"/>
    <w:rsid w:val="00151A6D"/>
    <w:rsid w:val="00163BC4"/>
    <w:rsid w:val="00191062"/>
    <w:rsid w:val="00192B72"/>
    <w:rsid w:val="0019749F"/>
    <w:rsid w:val="00197E40"/>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459F"/>
    <w:rsid w:val="002B27FB"/>
    <w:rsid w:val="002B685A"/>
    <w:rsid w:val="002C57D2"/>
    <w:rsid w:val="002E0D56"/>
    <w:rsid w:val="00315186"/>
    <w:rsid w:val="00325EBA"/>
    <w:rsid w:val="0033343E"/>
    <w:rsid w:val="0034735C"/>
    <w:rsid w:val="003512C2"/>
    <w:rsid w:val="0036072A"/>
    <w:rsid w:val="00371FB6"/>
    <w:rsid w:val="003763C1"/>
    <w:rsid w:val="00376BBE"/>
    <w:rsid w:val="00387FC5"/>
    <w:rsid w:val="0039224F"/>
    <w:rsid w:val="003A28E9"/>
    <w:rsid w:val="003A43A4"/>
    <w:rsid w:val="003A6253"/>
    <w:rsid w:val="003A7E18"/>
    <w:rsid w:val="003B415C"/>
    <w:rsid w:val="003C4C86"/>
    <w:rsid w:val="003C6258"/>
    <w:rsid w:val="003E2904"/>
    <w:rsid w:val="00401927"/>
    <w:rsid w:val="0041027F"/>
    <w:rsid w:val="00412475"/>
    <w:rsid w:val="00423789"/>
    <w:rsid w:val="00440F43"/>
    <w:rsid w:val="00441B6F"/>
    <w:rsid w:val="00446221"/>
    <w:rsid w:val="00450E62"/>
    <w:rsid w:val="004539DB"/>
    <w:rsid w:val="004549D1"/>
    <w:rsid w:val="00471A80"/>
    <w:rsid w:val="004836B2"/>
    <w:rsid w:val="004D305E"/>
    <w:rsid w:val="004D4277"/>
    <w:rsid w:val="004F1064"/>
    <w:rsid w:val="004F227D"/>
    <w:rsid w:val="00502516"/>
    <w:rsid w:val="00505F06"/>
    <w:rsid w:val="00506828"/>
    <w:rsid w:val="00510D75"/>
    <w:rsid w:val="0053056E"/>
    <w:rsid w:val="00553275"/>
    <w:rsid w:val="00554FDA"/>
    <w:rsid w:val="00560E19"/>
    <w:rsid w:val="00593B81"/>
    <w:rsid w:val="005C784C"/>
    <w:rsid w:val="005D17F6"/>
    <w:rsid w:val="005E5539"/>
    <w:rsid w:val="005F6016"/>
    <w:rsid w:val="00602BF5"/>
    <w:rsid w:val="00617FDD"/>
    <w:rsid w:val="00633614"/>
    <w:rsid w:val="00633F68"/>
    <w:rsid w:val="00636EB2"/>
    <w:rsid w:val="006375B8"/>
    <w:rsid w:val="0066510A"/>
    <w:rsid w:val="00673F9F"/>
    <w:rsid w:val="006812F3"/>
    <w:rsid w:val="00686953"/>
    <w:rsid w:val="00687DEA"/>
    <w:rsid w:val="00687E67"/>
    <w:rsid w:val="006967F7"/>
    <w:rsid w:val="006A250C"/>
    <w:rsid w:val="006B21D3"/>
    <w:rsid w:val="006B57D0"/>
    <w:rsid w:val="006D30FF"/>
    <w:rsid w:val="006D6940"/>
    <w:rsid w:val="006F11EC"/>
    <w:rsid w:val="006F535C"/>
    <w:rsid w:val="0070082C"/>
    <w:rsid w:val="007369E6"/>
    <w:rsid w:val="00746E59"/>
    <w:rsid w:val="00754C9A"/>
    <w:rsid w:val="0075599A"/>
    <w:rsid w:val="00761D52"/>
    <w:rsid w:val="0077749E"/>
    <w:rsid w:val="00790ADA"/>
    <w:rsid w:val="007D2288"/>
    <w:rsid w:val="007E088F"/>
    <w:rsid w:val="007F7B32"/>
    <w:rsid w:val="00804BC2"/>
    <w:rsid w:val="008114D6"/>
    <w:rsid w:val="0081431A"/>
    <w:rsid w:val="0083216F"/>
    <w:rsid w:val="00860000"/>
    <w:rsid w:val="00863BD3"/>
    <w:rsid w:val="008641ED"/>
    <w:rsid w:val="00866D66"/>
    <w:rsid w:val="008671C6"/>
    <w:rsid w:val="00875803"/>
    <w:rsid w:val="008B459E"/>
    <w:rsid w:val="008D24A8"/>
    <w:rsid w:val="008E13AE"/>
    <w:rsid w:val="008E1506"/>
    <w:rsid w:val="008E710C"/>
    <w:rsid w:val="008F4E97"/>
    <w:rsid w:val="008F69D6"/>
    <w:rsid w:val="00902823"/>
    <w:rsid w:val="009042D9"/>
    <w:rsid w:val="0090768D"/>
    <w:rsid w:val="00915CA6"/>
    <w:rsid w:val="00927834"/>
    <w:rsid w:val="009500A6"/>
    <w:rsid w:val="00957C18"/>
    <w:rsid w:val="009659BA"/>
    <w:rsid w:val="00983040"/>
    <w:rsid w:val="009B3FB9"/>
    <w:rsid w:val="009C2465"/>
    <w:rsid w:val="009D35A0"/>
    <w:rsid w:val="009D64B3"/>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19F9"/>
    <w:rsid w:val="00A94063"/>
    <w:rsid w:val="00A96199"/>
    <w:rsid w:val="00AA6219"/>
    <w:rsid w:val="00AA74E0"/>
    <w:rsid w:val="00AB703F"/>
    <w:rsid w:val="00AC6BB8"/>
    <w:rsid w:val="00AE008F"/>
    <w:rsid w:val="00B01FCD"/>
    <w:rsid w:val="00B1776C"/>
    <w:rsid w:val="00B4612E"/>
    <w:rsid w:val="00B52583"/>
    <w:rsid w:val="00B52896"/>
    <w:rsid w:val="00B91607"/>
    <w:rsid w:val="00B95236"/>
    <w:rsid w:val="00B96BD9"/>
    <w:rsid w:val="00BA1B01"/>
    <w:rsid w:val="00BA2641"/>
    <w:rsid w:val="00BB37AA"/>
    <w:rsid w:val="00BC53A0"/>
    <w:rsid w:val="00BD498F"/>
    <w:rsid w:val="00BE62AD"/>
    <w:rsid w:val="00BF121F"/>
    <w:rsid w:val="00BF1F80"/>
    <w:rsid w:val="00C02C09"/>
    <w:rsid w:val="00C166EF"/>
    <w:rsid w:val="00C17EB0"/>
    <w:rsid w:val="00C248E9"/>
    <w:rsid w:val="00C27F5F"/>
    <w:rsid w:val="00C30A0F"/>
    <w:rsid w:val="00C37E61"/>
    <w:rsid w:val="00C70F1B"/>
    <w:rsid w:val="00C71A47"/>
    <w:rsid w:val="00C7464C"/>
    <w:rsid w:val="00C85588"/>
    <w:rsid w:val="00CD6755"/>
    <w:rsid w:val="00CD6856"/>
    <w:rsid w:val="00CE0089"/>
    <w:rsid w:val="00CE793C"/>
    <w:rsid w:val="00CF193C"/>
    <w:rsid w:val="00D128C4"/>
    <w:rsid w:val="00D173F1"/>
    <w:rsid w:val="00D51258"/>
    <w:rsid w:val="00D667AB"/>
    <w:rsid w:val="00D71983"/>
    <w:rsid w:val="00D74CB0"/>
    <w:rsid w:val="00D8295D"/>
    <w:rsid w:val="00D84134"/>
    <w:rsid w:val="00D96779"/>
    <w:rsid w:val="00DC2A65"/>
    <w:rsid w:val="00DE15F0"/>
    <w:rsid w:val="00DE5663"/>
    <w:rsid w:val="00DE78AA"/>
    <w:rsid w:val="00E053D0"/>
    <w:rsid w:val="00E15994"/>
    <w:rsid w:val="00E206C6"/>
    <w:rsid w:val="00E3114E"/>
    <w:rsid w:val="00E31A70"/>
    <w:rsid w:val="00E35B02"/>
    <w:rsid w:val="00E37E4E"/>
    <w:rsid w:val="00E47108"/>
    <w:rsid w:val="00E66496"/>
    <w:rsid w:val="00E66B35"/>
    <w:rsid w:val="00E66E10"/>
    <w:rsid w:val="00E769F6"/>
    <w:rsid w:val="00E77A7E"/>
    <w:rsid w:val="00E8407C"/>
    <w:rsid w:val="00E84F3C"/>
    <w:rsid w:val="00E87D06"/>
    <w:rsid w:val="00E92A5B"/>
    <w:rsid w:val="00EA012C"/>
    <w:rsid w:val="00EC6A55"/>
    <w:rsid w:val="00ED0288"/>
    <w:rsid w:val="00ED6C37"/>
    <w:rsid w:val="00EE52CB"/>
    <w:rsid w:val="00EF581D"/>
    <w:rsid w:val="00EF7D2A"/>
    <w:rsid w:val="00EF7FD8"/>
    <w:rsid w:val="00F06F59"/>
    <w:rsid w:val="00F17988"/>
    <w:rsid w:val="00F22EF2"/>
    <w:rsid w:val="00F469F0"/>
    <w:rsid w:val="00F53273"/>
    <w:rsid w:val="00F755E4"/>
    <w:rsid w:val="00F77531"/>
    <w:rsid w:val="00F77D02"/>
    <w:rsid w:val="00FB3A86"/>
    <w:rsid w:val="00FC1719"/>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A625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91607"/>
    <w:rPr>
      <w:rFonts w:ascii="Calibri" w:eastAsia="Calibri" w:hAnsi="Calibri"/>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E77A7E"/>
    <w:rPr>
      <w:rFonts w:ascii="Times New Roman" w:hAnsi="Times New Roman"/>
      <w:sz w:val="24"/>
      <w:szCs w:val="24"/>
    </w:rPr>
  </w:style>
  <w:style w:type="character" w:customStyle="1" w:styleId="Heading3Char">
    <w:name w:val="Heading 3 Char"/>
    <w:basedOn w:val="DefaultParagraphFont"/>
    <w:link w:val="Heading3"/>
    <w:semiHidden/>
    <w:rsid w:val="003A625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87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4536/ajaset.v7i2.1479" TargetMode="External"/><Relationship Id="rId26" Type="http://schemas.openxmlformats.org/officeDocument/2006/relationships/hyperlink" Target="https://psa.gov.ph/content/employment-situation-agriculture-highlights-2023-labor-force-survey-preliminary-results" TargetMode="External"/><Relationship Id="rId3" Type="http://schemas.openxmlformats.org/officeDocument/2006/relationships/styles" Target="styles.xml"/><Relationship Id="rId21" Type="http://schemas.openxmlformats.org/officeDocument/2006/relationships/hyperlink" Target="https://doi.org/10.37801/sajagdev.v20i2.2023"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deped.gov.ph/k-to-12/about/k-to-12-basic-education-curriculum/technology-and-livelihood-education-tle-and-technical-vocational-livelihood-tvl-track/" TargetMode="External"/><Relationship Id="rId25" Type="http://schemas.openxmlformats.org/officeDocument/2006/relationships/hyperlink" Target="https://www.philrice.gov.ph/yes-to-agriculture"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207/S15327965PLI1104_01" TargetMode="External"/><Relationship Id="rId20" Type="http://schemas.openxmlformats.org/officeDocument/2006/relationships/hyperlink" Target="https://www.fao.org/family-farming/detail/en/c/1382667/" TargetMode="External"/><Relationship Id="rId29" Type="http://schemas.openxmlformats.org/officeDocument/2006/relationships/hyperlink" Target="https://doi.org/10.5281/zenodo.76123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032/jae.2021.03072"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46827/ejes.v11i4.5270" TargetMode="External"/><Relationship Id="rId23" Type="http://schemas.openxmlformats.org/officeDocument/2006/relationships/hyperlink" Target="https://dialnet.unirioja.es/servlet/articulo?codigo=9140000" TargetMode="External"/><Relationship Id="rId28" Type="http://schemas.openxmlformats.org/officeDocument/2006/relationships/hyperlink" Target="https://doi.org/10.4060/cb4476en"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fao.org/youth-employment/agriculture/en/"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0749-5978(91)90020-T" TargetMode="External"/><Relationship Id="rId22" Type="http://schemas.openxmlformats.org/officeDocument/2006/relationships/hyperlink" Target="https://doi.org/10.1006/jvbe.1994.1027" TargetMode="External"/><Relationship Id="rId27" Type="http://schemas.openxmlformats.org/officeDocument/2006/relationships/hyperlink" Target="https://www.iied.org/sites/default/files/pdfs/migrate/14617IIED.pdf" TargetMode="External"/><Relationship Id="rId30" Type="http://schemas.openxmlformats.org/officeDocument/2006/relationships/hyperlink" Target="https://doi.org/10.58806/ijsshmr.2023.v2i9n04"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04BCB-C0BA-4735-A1B6-EA48CA8B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123</TotalTime>
  <Pages>8</Pages>
  <Words>3774</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43</cp:revision>
  <cp:lastPrinted>1999-07-06T11:00:00Z</cp:lastPrinted>
  <dcterms:created xsi:type="dcterms:W3CDTF">2014-10-25T14:34:00Z</dcterms:created>
  <dcterms:modified xsi:type="dcterms:W3CDTF">2025-12-10T11:43:00Z</dcterms:modified>
</cp:coreProperties>
</file>