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624A2" w14:textId="50656D95" w:rsidR="00AC2AD1" w:rsidRDefault="00AC2AD1" w:rsidP="00F43789">
      <w:pPr>
        <w:pStyle w:val="Heading2"/>
        <w:spacing w:before="0" w:beforeAutospacing="0"/>
        <w:jc w:val="both"/>
        <w:rPr>
          <w:sz w:val="24"/>
          <w:szCs w:val="24"/>
        </w:rPr>
      </w:pPr>
      <w:r w:rsidRPr="00F43789">
        <w:rPr>
          <w:sz w:val="24"/>
          <w:szCs w:val="24"/>
        </w:rPr>
        <w:t>Environmental and Toxicological Risk Assessment of Heavy Metals in Eleme Agricultural Soils</w:t>
      </w:r>
    </w:p>
    <w:p w14:paraId="141794FA" w14:textId="77777777" w:rsidR="00F810E5" w:rsidRDefault="00F810E5" w:rsidP="00F43789">
      <w:pPr>
        <w:pStyle w:val="NormalWeb"/>
        <w:jc w:val="both"/>
        <w:rPr>
          <w:rStyle w:val="Strong"/>
        </w:rPr>
      </w:pPr>
    </w:p>
    <w:p w14:paraId="268CBCEE" w14:textId="13EA06E7" w:rsidR="00F43789" w:rsidRDefault="00F43789" w:rsidP="00F43789">
      <w:pPr>
        <w:pStyle w:val="NormalWeb"/>
        <w:jc w:val="both"/>
      </w:pPr>
      <w:bookmarkStart w:id="0" w:name="_GoBack"/>
      <w:bookmarkEnd w:id="0"/>
      <w:r>
        <w:rPr>
          <w:rStyle w:val="Strong"/>
        </w:rPr>
        <w:t>Abstract</w:t>
      </w:r>
    </w:p>
    <w:p w14:paraId="49632F48" w14:textId="76AFC6AA" w:rsidR="00F43789" w:rsidRDefault="00F43789" w:rsidP="00F43789">
      <w:pPr>
        <w:pStyle w:val="NormalWeb"/>
        <w:jc w:val="both"/>
      </w:pPr>
      <w:r>
        <w:t xml:space="preserve">Agricultural soils in industrialised parts of the Niger Delta are increasingly impacted by heavy metal inputs from petrochemical industries, fertilizer plants, oil and gas operations, and intensive farming. These metals persist in soils, influence soil quality, and pose ecological and human health risks through direct exposure and food-chain transfer. This study assessed the physicochemical characteristics, heavy metal concentrations, and associated environmental and toxicological risks of agricultural soils in Eleme Local Government Area, Rivers State, Nigeria. Composite soil samples were collected from five agricultural sites during dry and wet seasons at depths of 0–20 cm. Soil pH, electrical conductivity, organic matter, cation exchange capacity, and texture were determined using standard methods. Heavy metals (Fe, Pb, Cd, Cr, Ni, Zn, and Cu) were analysed after mixed-acid digestion using flame Atomic Absorption Spectrophotometry. Contamination factor, geo-accumulation index, pollution load index, enrichment factor, and potential ecological risk index were applied. Human health risks for adults and children were evaluated using USEPA exposure models for ingestion and dermal contact. Soil pH ranged from 5.4 to 6.9, with electrical conductivity between 82 and 214 µS/cm and organic matter content of 1.21–3.84%. Mean metal concentrations (mg/kg) were Fe 13,280 ± 3,140, Pb 54.8 ± 21.3, Cd 1.38 ± 0.71, Cr 52.9 ± 18.5, Ni 41.7 ± 16.2, Zn 112.5 ± 39.8, and Cu 35.9 ± 15.4. Cadmium exceeded the WHO/FAO limit of 0.8 mg/kg and showed strong contamination (CF = 6.9, </w:t>
      </w:r>
      <w:proofErr w:type="spellStart"/>
      <w:r>
        <w:t>Igeo</w:t>
      </w:r>
      <w:proofErr w:type="spellEnd"/>
      <w:r>
        <w:t xml:space="preserve"> = 2.8). The potential ecological risk index was 233.9, indicating considerable ecological risk. Hazard quotients for children exceeded unity for Pb (1.41) and Cd (2.18), while carcinogenic risk values (e.g., Cd: 2.4 × 10⁻⁵–5.7 × 10⁻⁵) remained within acceptable limits. Industrial activities have significantly degraded soil quality in Eleme, with cadmium posing the greatest ecological and health concern. Continuous monitoring and targeted soil management are urgently required.</w:t>
      </w:r>
    </w:p>
    <w:p w14:paraId="7D19B1F9" w14:textId="77777777" w:rsidR="00F43789" w:rsidRDefault="00F43789" w:rsidP="00F43789">
      <w:pPr>
        <w:pStyle w:val="NormalWeb"/>
        <w:jc w:val="both"/>
      </w:pPr>
      <w:r w:rsidRPr="00F43789">
        <w:rPr>
          <w:rStyle w:val="Strong"/>
          <w:i/>
          <w:iCs/>
        </w:rPr>
        <w:t>Keywords:</w:t>
      </w:r>
      <w:r>
        <w:t xml:space="preserve"> Heavy metals, agricultural soils, ecological risk, human health risk, Eleme, Niger Delta.</w:t>
      </w:r>
    </w:p>
    <w:p w14:paraId="69C29668" w14:textId="77777777" w:rsidR="00F43789" w:rsidRPr="00F43789" w:rsidRDefault="00F43789" w:rsidP="00F43789">
      <w:pPr>
        <w:pStyle w:val="Heading2"/>
        <w:spacing w:before="0" w:beforeAutospacing="0"/>
        <w:jc w:val="both"/>
        <w:rPr>
          <w:sz w:val="24"/>
          <w:szCs w:val="24"/>
        </w:rPr>
      </w:pPr>
    </w:p>
    <w:p w14:paraId="3D476FF2" w14:textId="77777777" w:rsidR="00F43789" w:rsidRPr="00F43789" w:rsidRDefault="00F43789" w:rsidP="00F43789">
      <w:pPr>
        <w:pStyle w:val="Heading2"/>
        <w:jc w:val="both"/>
        <w:rPr>
          <w:sz w:val="24"/>
          <w:szCs w:val="24"/>
        </w:rPr>
      </w:pPr>
      <w:r w:rsidRPr="00F43789">
        <w:rPr>
          <w:rStyle w:val="Strong"/>
          <w:b/>
          <w:bCs/>
          <w:sz w:val="24"/>
          <w:szCs w:val="24"/>
        </w:rPr>
        <w:t>1.0 Introduction</w:t>
      </w:r>
    </w:p>
    <w:p w14:paraId="789E5B52" w14:textId="2855BE55" w:rsidR="00F43789" w:rsidRPr="00F43789" w:rsidRDefault="00F43789" w:rsidP="00F43789">
      <w:pPr>
        <w:pStyle w:val="NormalWeb"/>
        <w:jc w:val="both"/>
      </w:pPr>
      <w:r w:rsidRPr="00F43789">
        <w:t>Soil contamination by heavy metals has become a major environmental and public health concern globally, particularly in regions experiencing rapid industrialisation and intensive resource exploitation. Heavy metals are persistent, non-biodegradable, and capable of accumulating in soils, sediments, water bodies, and biological tissues, where they exert toxic effects on ecosystems and human populations (</w:t>
      </w:r>
      <w:proofErr w:type="spellStart"/>
      <w:r w:rsidRPr="00F43789">
        <w:t>Anarado</w:t>
      </w:r>
      <w:proofErr w:type="spellEnd"/>
      <w:r w:rsidRPr="00F43789">
        <w:t xml:space="preserve"> et al., 2023). Agricultural soils are especially vulnerable because they act as both sinks and secondary sources of contaminants, facilitating the transfer of metals into food crops and subsequently into the human food chain.</w:t>
      </w:r>
    </w:p>
    <w:p w14:paraId="6E2252C5" w14:textId="5C72714B" w:rsidR="00F43789" w:rsidRPr="00F43789" w:rsidRDefault="00F43789" w:rsidP="00F43789">
      <w:pPr>
        <w:pStyle w:val="NormalWeb"/>
        <w:jc w:val="both"/>
      </w:pPr>
      <w:r w:rsidRPr="00F43789">
        <w:t>In the Niger Delta region of Nigeria, extensive oil and gas exploration, petrochemical processing, gas flaring, industrial effluent discharge, and unregulated waste disposal have significantly altered the natural geochemical balance of the environment (</w:t>
      </w:r>
      <w:proofErr w:type="spellStart"/>
      <w:r w:rsidRPr="00F43789">
        <w:t>Ekwere</w:t>
      </w:r>
      <w:proofErr w:type="spellEnd"/>
      <w:r w:rsidRPr="00F43789">
        <w:t xml:space="preserve"> et al., 2025). Numerous studies across the region have documented elevated concentrations of heavy metals, </w:t>
      </w:r>
      <w:r w:rsidRPr="00F43789">
        <w:lastRenderedPageBreak/>
        <w:t>hydrocarbons, and other toxic pollutants in surface waters, groundwater, sediments, biota, and food materials, underscoring the widespread nature of contamination (</w:t>
      </w:r>
      <w:proofErr w:type="spellStart"/>
      <w:r w:rsidRPr="00F43789">
        <w:t>Ekesiobi</w:t>
      </w:r>
      <w:proofErr w:type="spellEnd"/>
      <w:r w:rsidRPr="00F43789">
        <w:t xml:space="preserve"> et al., 2025; </w:t>
      </w:r>
      <w:proofErr w:type="spellStart"/>
      <w:r w:rsidRPr="00F43789">
        <w:t>Osuafor</w:t>
      </w:r>
      <w:proofErr w:type="spellEnd"/>
      <w:r w:rsidRPr="00F43789">
        <w:t xml:space="preserve"> et al., 2025; </w:t>
      </w:r>
      <w:proofErr w:type="spellStart"/>
      <w:r w:rsidRPr="00F43789">
        <w:t>Okpoji</w:t>
      </w:r>
      <w:proofErr w:type="spellEnd"/>
      <w:r w:rsidRPr="00F43789">
        <w:t xml:space="preserve"> et al., 2025a). Atmospheric deposition from gas flaring and industrial emissions has also been identified as a critical pathway through which heavy metals are introduced into terrestrial and aquatic systems (</w:t>
      </w:r>
      <w:proofErr w:type="spellStart"/>
      <w:r w:rsidRPr="00F43789">
        <w:t>Aghanwa</w:t>
      </w:r>
      <w:proofErr w:type="spellEnd"/>
      <w:r w:rsidRPr="00F43789">
        <w:t xml:space="preserve"> et al., 2025; </w:t>
      </w:r>
      <w:proofErr w:type="spellStart"/>
      <w:r w:rsidRPr="00F43789">
        <w:t>Okpoji</w:t>
      </w:r>
      <w:proofErr w:type="spellEnd"/>
      <w:r w:rsidRPr="00F43789">
        <w:t xml:space="preserve"> et al., 2025b).</w:t>
      </w:r>
    </w:p>
    <w:p w14:paraId="35CE44AE" w14:textId="77777777" w:rsidR="00F43789" w:rsidRPr="00F43789" w:rsidRDefault="00F43789" w:rsidP="00F43789">
      <w:pPr>
        <w:pStyle w:val="NormalWeb"/>
        <w:jc w:val="both"/>
      </w:pPr>
      <w:r w:rsidRPr="00F43789">
        <w:t>Agricultural soils in industrialised corridors of the Niger Delta are increasingly exposed to these pollutants through multiple pathways, including irrigation with contaminated water, deposition of airborne particulates, use of agrochemicals, and surface runoff from industrial zones. Previous investigations in nearby environments have demonstrated that heavy metals such as cadmium, lead, nickel, and chromium frequently exceed background levels and, in some cases, regulatory limits, posing risks to soil quality, crop safety, and human health (</w:t>
      </w:r>
      <w:proofErr w:type="spellStart"/>
      <w:r w:rsidRPr="00F43789">
        <w:t>Etesin</w:t>
      </w:r>
      <w:proofErr w:type="spellEnd"/>
      <w:r w:rsidRPr="00F43789">
        <w:t xml:space="preserve"> et al., 2025; </w:t>
      </w:r>
      <w:proofErr w:type="spellStart"/>
      <w:r w:rsidRPr="00F43789">
        <w:t>Umueni</w:t>
      </w:r>
      <w:proofErr w:type="spellEnd"/>
      <w:r w:rsidRPr="00F43789">
        <w:t xml:space="preserve"> et al., 2025). The mobility and bioavailability of these metals are strongly influenced by soil physicochemical properties such as pH, organic matter content, texture, and cation exchange capacity, which determine their retention, transformation, and uptake by plants.</w:t>
      </w:r>
    </w:p>
    <w:p w14:paraId="452D9D74" w14:textId="77777777" w:rsidR="00F43789" w:rsidRPr="00F43789" w:rsidRDefault="00F43789" w:rsidP="00F43789">
      <w:pPr>
        <w:pStyle w:val="NormalWeb"/>
        <w:jc w:val="both"/>
      </w:pPr>
      <w:r w:rsidRPr="00F43789">
        <w:t>Beyond simple concentration measurements, recent environmental studies in the Niger Delta have increasingly adopted integrated risk-based approaches to better understand the implications of contamination. Ecological risk assessment frameworks have revealed that certain metals, particularly cadmium, contribute disproportionately to ecological stress due to their high toxicity and persistence (</w:t>
      </w:r>
      <w:proofErr w:type="spellStart"/>
      <w:r w:rsidRPr="00F43789">
        <w:t>Okpoji</w:t>
      </w:r>
      <w:proofErr w:type="spellEnd"/>
      <w:r w:rsidRPr="00F43789">
        <w:t xml:space="preserve"> et al., 2025c; </w:t>
      </w:r>
      <w:proofErr w:type="spellStart"/>
      <w:r w:rsidRPr="00F43789">
        <w:t>Umueni</w:t>
      </w:r>
      <w:proofErr w:type="spellEnd"/>
      <w:r w:rsidRPr="00F43789">
        <w:t xml:space="preserve"> et al., 2025). Similarly, human health risk assessments conducted on contaminated water sources, soils, and food items consistently indicate higher vulnerability among children, reflecting differences in exposure behaviour, body weight, and developmental sensitivity (</w:t>
      </w:r>
      <w:proofErr w:type="spellStart"/>
      <w:r w:rsidRPr="00F43789">
        <w:t>Ekesiobi</w:t>
      </w:r>
      <w:proofErr w:type="spellEnd"/>
      <w:r w:rsidRPr="00F43789">
        <w:t xml:space="preserve"> et al., 2025; Onoja et al., 2025).</w:t>
      </w:r>
    </w:p>
    <w:p w14:paraId="01FE479B" w14:textId="77777777" w:rsidR="00F43789" w:rsidRPr="00F43789" w:rsidRDefault="00F43789" w:rsidP="00F43789">
      <w:pPr>
        <w:pStyle w:val="NormalWeb"/>
        <w:jc w:val="both"/>
      </w:pPr>
      <w:r w:rsidRPr="00F43789">
        <w:t xml:space="preserve">Eleme Local Government Area in Rivers State represents one of the most industrialised zones in the eastern Niger Delta, hosting major petrochemical facilities, fertilizer plants, oil and gas infrastructure, and extensive agricultural activities. Despite its economic importance, systematic assessments of heavy metal contamination and associated environmental and toxicological risks in Eleme agricultural soils remain limited. Existing studies in surrounding environments have largely focused on water bodies, sediments, biota, and food products, leaving a critical knowledge gap regarding soil contamination and its implications for </w:t>
      </w:r>
      <w:proofErr w:type="spellStart"/>
      <w:r w:rsidRPr="00F43789">
        <w:t>agro</w:t>
      </w:r>
      <w:proofErr w:type="spellEnd"/>
      <w:r w:rsidRPr="00F43789">
        <w:t>-ecosystems and local populations (</w:t>
      </w:r>
      <w:proofErr w:type="spellStart"/>
      <w:r w:rsidRPr="00F43789">
        <w:t>Okpoji</w:t>
      </w:r>
      <w:proofErr w:type="spellEnd"/>
      <w:r w:rsidRPr="00F43789">
        <w:t xml:space="preserve"> et al., 2025d; Okagbare et al., 2025).</w:t>
      </w:r>
    </w:p>
    <w:p w14:paraId="130DBE55" w14:textId="77777777" w:rsidR="00F43789" w:rsidRPr="00F43789" w:rsidRDefault="00F43789" w:rsidP="00F43789">
      <w:pPr>
        <w:pStyle w:val="NormalWeb"/>
        <w:jc w:val="both"/>
      </w:pPr>
      <w:r w:rsidRPr="00F43789">
        <w:t>Given the central role of soils in supporting agriculture and sustaining livelihoods, there is an urgent need for comprehensive evaluation of heavy metal contamination in agricultural soils within industrialised settings such as Eleme. Such assessments are essential for understanding contamination sources, ecological consequences, and potential human health risks, as well as for informing environmental management and policy interventions.</w:t>
      </w:r>
    </w:p>
    <w:p w14:paraId="114B7F20" w14:textId="77777777" w:rsidR="00F43789" w:rsidRPr="00F43789" w:rsidRDefault="00F43789" w:rsidP="00F43789">
      <w:pPr>
        <w:pStyle w:val="NormalWeb"/>
        <w:jc w:val="both"/>
      </w:pPr>
      <w:r w:rsidRPr="00F43789">
        <w:t xml:space="preserve">Therefore, this study aimed to assess the physicochemical characteristics and heavy metal concentrations of agricultural soils in Eleme, Rivers State, and to evaluate the degree of contamination using established pollution indices. In addition, ecological and human health risk assessments were conducted to determine the potential impacts of heavy metal exposure on soil ecosystems and local populations. </w:t>
      </w:r>
    </w:p>
    <w:p w14:paraId="412626F7" w14:textId="77777777" w:rsidR="00F43789" w:rsidRPr="00F43789" w:rsidRDefault="00F43789" w:rsidP="00F43789">
      <w:pPr>
        <w:pStyle w:val="Heading2"/>
        <w:spacing w:before="0" w:beforeAutospacing="0"/>
        <w:jc w:val="both"/>
        <w:rPr>
          <w:sz w:val="24"/>
          <w:szCs w:val="24"/>
        </w:rPr>
      </w:pPr>
    </w:p>
    <w:p w14:paraId="38415B11" w14:textId="3F9283C6" w:rsidR="00C67F28" w:rsidRPr="00F43789" w:rsidRDefault="00C67F28" w:rsidP="00F43789">
      <w:pPr>
        <w:pStyle w:val="Heading2"/>
        <w:spacing w:before="0" w:beforeAutospacing="0"/>
        <w:jc w:val="both"/>
        <w:rPr>
          <w:sz w:val="24"/>
          <w:szCs w:val="24"/>
        </w:rPr>
      </w:pPr>
      <w:r w:rsidRPr="00F43789">
        <w:rPr>
          <w:sz w:val="24"/>
          <w:szCs w:val="24"/>
        </w:rPr>
        <w:lastRenderedPageBreak/>
        <w:t>2.0 Materials and Methods</w:t>
      </w:r>
    </w:p>
    <w:p w14:paraId="3E4F7EAE" w14:textId="77777777" w:rsidR="00C67F28" w:rsidRPr="00C67F28" w:rsidRDefault="00C67F28"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C67F28">
        <w:rPr>
          <w:rFonts w:ascii="Times New Roman" w:eastAsia="Times New Roman" w:hAnsi="Times New Roman" w:cs="Times New Roman"/>
          <w:b/>
          <w:bCs/>
          <w:sz w:val="24"/>
          <w:szCs w:val="24"/>
          <w:lang w:eastAsia="en-GB"/>
        </w:rPr>
        <w:t>2.1 Description of the Study Area</w:t>
      </w:r>
    </w:p>
    <w:p w14:paraId="0ABBBB72" w14:textId="77777777" w:rsidR="00C67F28" w:rsidRPr="00C67F28" w:rsidRDefault="00C67F28" w:rsidP="00F43789">
      <w:pPr>
        <w:spacing w:after="100" w:afterAutospacing="1" w:line="240" w:lineRule="auto"/>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This investigation was conducted in Eleme Local Government Area, Rivers State, Nigeria, an industrialised agricultural zone within the eastern Niger Delta. The area hosts major petrochemical installations, fertilizer manufacturing plants, oil and gas facilities, and extensive subsistence and commercial farming activities. These activities provide multiple pathways for the introduction of heavy metals into agricultural soils through atmospheric deposition, industrial effluent discharge, surface runoff, and the use of agrochemicals.</w:t>
      </w:r>
    </w:p>
    <w:p w14:paraId="5F12BCE9" w14:textId="77777777" w:rsidR="00C67F28" w:rsidRPr="00C67F28" w:rsidRDefault="00C67F28" w:rsidP="00F43789">
      <w:pPr>
        <w:spacing w:after="100" w:afterAutospacing="1" w:line="240" w:lineRule="auto"/>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Eleme is characterised by a humid tropical climate with a distinct wet season (April–October) and dry season (November–March). Mean annual rainfall exceeds 2,400 mm, while ambient temperatures range between 25 and 32 °C. The soils are predominantly sandy loam to loamy sand, developed on recent deltaic sediments, a textural composition that enhances metal mobility and bioavailability.</w:t>
      </w:r>
    </w:p>
    <w:p w14:paraId="6CE60ED5" w14:textId="763F00AE" w:rsidR="00C67F28" w:rsidRPr="00C67F28" w:rsidRDefault="00C67F28" w:rsidP="00F43789">
      <w:pPr>
        <w:spacing w:after="0" w:line="240" w:lineRule="auto"/>
        <w:jc w:val="both"/>
        <w:rPr>
          <w:rFonts w:ascii="Times New Roman" w:eastAsia="Times New Roman" w:hAnsi="Times New Roman" w:cs="Times New Roman"/>
          <w:sz w:val="24"/>
          <w:szCs w:val="24"/>
          <w:lang w:eastAsia="en-GB"/>
        </w:rPr>
      </w:pPr>
    </w:p>
    <w:p w14:paraId="50D3F990" w14:textId="77777777" w:rsidR="00C67F28" w:rsidRPr="00C67F28" w:rsidRDefault="00C67F28"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C67F28">
        <w:rPr>
          <w:rFonts w:ascii="Times New Roman" w:eastAsia="Times New Roman" w:hAnsi="Times New Roman" w:cs="Times New Roman"/>
          <w:b/>
          <w:bCs/>
          <w:sz w:val="24"/>
          <w:szCs w:val="24"/>
          <w:lang w:eastAsia="en-GB"/>
        </w:rPr>
        <w:t>2.2 Sampling Locations and Geographic Referencing</w:t>
      </w:r>
    </w:p>
    <w:p w14:paraId="6F19F0A3" w14:textId="2F04F33E" w:rsidR="00C67F28" w:rsidRPr="00F43789" w:rsidRDefault="00C67F28" w:rsidP="00F43789">
      <w:pPr>
        <w:spacing w:after="100" w:afterAutospacing="1" w:line="240" w:lineRule="auto"/>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 xml:space="preserve">Five representative agricultural sites were selected using a stratified sampling framework based on land use, proximity to industrial infrastructure, and intensity of </w:t>
      </w:r>
      <w:r w:rsidRPr="00F43789">
        <w:rPr>
          <w:rFonts w:ascii="Times New Roman" w:eastAsia="Times New Roman" w:hAnsi="Times New Roman" w:cs="Times New Roman"/>
          <w:sz w:val="24"/>
          <w:szCs w:val="24"/>
          <w:lang w:eastAsia="en-GB"/>
        </w:rPr>
        <w:t>farming</w:t>
      </w:r>
      <w:r w:rsidRPr="00C67F28">
        <w:rPr>
          <w:rFonts w:ascii="Times New Roman" w:eastAsia="Times New Roman" w:hAnsi="Times New Roman" w:cs="Times New Roman"/>
          <w:sz w:val="24"/>
          <w:szCs w:val="24"/>
          <w:lang w:eastAsia="en-GB"/>
        </w:rPr>
        <w:t xml:space="preserve"> activities. </w:t>
      </w:r>
      <w:r w:rsidRPr="00F43789">
        <w:rPr>
          <w:rFonts w:ascii="Times New Roman" w:eastAsia="Times New Roman" w:hAnsi="Times New Roman" w:cs="Times New Roman"/>
          <w:sz w:val="24"/>
          <w:szCs w:val="24"/>
          <w:lang w:eastAsia="en-GB"/>
        </w:rPr>
        <w:t xml:space="preserve">The geographic coordinates of the </w:t>
      </w:r>
      <w:r w:rsidRPr="00C67F28">
        <w:rPr>
          <w:rFonts w:ascii="Times New Roman" w:eastAsia="Times New Roman" w:hAnsi="Times New Roman" w:cs="Times New Roman"/>
          <w:sz w:val="24"/>
          <w:szCs w:val="24"/>
          <w:lang w:eastAsia="en-GB"/>
        </w:rPr>
        <w:t xml:space="preserve">sampling locations were recorded using a handheld Global Positioning System (GPS) receiver (Garmin </w:t>
      </w:r>
      <w:proofErr w:type="spellStart"/>
      <w:r w:rsidRPr="00C67F28">
        <w:rPr>
          <w:rFonts w:ascii="Times New Roman" w:eastAsia="Times New Roman" w:hAnsi="Times New Roman" w:cs="Times New Roman"/>
          <w:sz w:val="24"/>
          <w:szCs w:val="24"/>
          <w:lang w:eastAsia="en-GB"/>
        </w:rPr>
        <w:t>eTrex</w:t>
      </w:r>
      <w:proofErr w:type="spellEnd"/>
      <w:r w:rsidRPr="00C67F28">
        <w:rPr>
          <w:rFonts w:ascii="Times New Roman" w:eastAsia="Times New Roman" w:hAnsi="Times New Roman" w:cs="Times New Roman"/>
          <w:sz w:val="24"/>
          <w:szCs w:val="24"/>
          <w:lang w:eastAsia="en-GB"/>
        </w:rPr>
        <w:t xml:space="preserve"> series).</w:t>
      </w:r>
    </w:p>
    <w:tbl>
      <w:tblPr>
        <w:tblStyle w:val="TableGrid"/>
        <w:tblW w:w="0" w:type="auto"/>
        <w:tblLook w:val="04A0" w:firstRow="1" w:lastRow="0" w:firstColumn="1" w:lastColumn="0" w:noHBand="0" w:noVBand="1"/>
      </w:tblPr>
      <w:tblGrid>
        <w:gridCol w:w="1129"/>
        <w:gridCol w:w="3379"/>
        <w:gridCol w:w="2254"/>
        <w:gridCol w:w="2254"/>
      </w:tblGrid>
      <w:tr w:rsidR="00C67F28" w:rsidRPr="00F43789" w14:paraId="7FBE8E93" w14:textId="77777777" w:rsidTr="00C67F28">
        <w:tc>
          <w:tcPr>
            <w:tcW w:w="1129" w:type="dxa"/>
            <w:vAlign w:val="center"/>
          </w:tcPr>
          <w:p w14:paraId="3DE4BCD6" w14:textId="5C7346AD"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b/>
                <w:bCs/>
                <w:sz w:val="24"/>
                <w:szCs w:val="24"/>
                <w:lang w:eastAsia="en-GB"/>
              </w:rPr>
              <w:t>Site</w:t>
            </w:r>
          </w:p>
        </w:tc>
        <w:tc>
          <w:tcPr>
            <w:tcW w:w="3379" w:type="dxa"/>
            <w:vAlign w:val="center"/>
          </w:tcPr>
          <w:p w14:paraId="0B2D3975" w14:textId="4D6B3942"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b/>
                <w:bCs/>
                <w:sz w:val="24"/>
                <w:szCs w:val="24"/>
                <w:lang w:eastAsia="en-GB"/>
              </w:rPr>
              <w:t>Location</w:t>
            </w:r>
          </w:p>
        </w:tc>
        <w:tc>
          <w:tcPr>
            <w:tcW w:w="2254" w:type="dxa"/>
            <w:vAlign w:val="center"/>
          </w:tcPr>
          <w:p w14:paraId="6101FD91" w14:textId="25806DB9"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b/>
                <w:bCs/>
                <w:sz w:val="24"/>
                <w:szCs w:val="24"/>
                <w:lang w:eastAsia="en-GB"/>
              </w:rPr>
              <w:t>Latitude (N)</w:t>
            </w:r>
          </w:p>
        </w:tc>
        <w:tc>
          <w:tcPr>
            <w:tcW w:w="2254" w:type="dxa"/>
            <w:vAlign w:val="center"/>
          </w:tcPr>
          <w:p w14:paraId="24698921" w14:textId="4AFE1664"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b/>
                <w:bCs/>
                <w:sz w:val="24"/>
                <w:szCs w:val="24"/>
                <w:lang w:eastAsia="en-GB"/>
              </w:rPr>
              <w:t>Longitude (E)</w:t>
            </w:r>
          </w:p>
        </w:tc>
      </w:tr>
      <w:tr w:rsidR="00C67F28" w:rsidRPr="00F43789" w14:paraId="5B3FE213" w14:textId="77777777" w:rsidTr="00C67F28">
        <w:tc>
          <w:tcPr>
            <w:tcW w:w="1129" w:type="dxa"/>
            <w:vAlign w:val="center"/>
          </w:tcPr>
          <w:p w14:paraId="4C70AA91" w14:textId="10ADDF69"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S1</w:t>
            </w:r>
          </w:p>
        </w:tc>
        <w:tc>
          <w:tcPr>
            <w:tcW w:w="3379" w:type="dxa"/>
            <w:vAlign w:val="center"/>
          </w:tcPr>
          <w:p w14:paraId="194C5E9C" w14:textId="796073E4"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proofErr w:type="spellStart"/>
            <w:r w:rsidRPr="00C67F28">
              <w:rPr>
                <w:rFonts w:ascii="Times New Roman" w:eastAsia="Times New Roman" w:hAnsi="Times New Roman" w:cs="Times New Roman"/>
                <w:sz w:val="24"/>
                <w:szCs w:val="24"/>
                <w:lang w:eastAsia="en-GB"/>
              </w:rPr>
              <w:t>Aleto</w:t>
            </w:r>
            <w:proofErr w:type="spellEnd"/>
            <w:r w:rsidRPr="00C67F28">
              <w:rPr>
                <w:rFonts w:ascii="Times New Roman" w:eastAsia="Times New Roman" w:hAnsi="Times New Roman" w:cs="Times New Roman"/>
                <w:sz w:val="24"/>
                <w:szCs w:val="24"/>
                <w:lang w:eastAsia="en-GB"/>
              </w:rPr>
              <w:t xml:space="preserve"> Farmland</w:t>
            </w:r>
          </w:p>
        </w:tc>
        <w:tc>
          <w:tcPr>
            <w:tcW w:w="2254" w:type="dxa"/>
            <w:vAlign w:val="center"/>
          </w:tcPr>
          <w:p w14:paraId="21D649A9" w14:textId="044AED3D"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4.7932°</w:t>
            </w:r>
          </w:p>
        </w:tc>
        <w:tc>
          <w:tcPr>
            <w:tcW w:w="2254" w:type="dxa"/>
            <w:vAlign w:val="center"/>
          </w:tcPr>
          <w:p w14:paraId="34D49AB5" w14:textId="497BF6EE"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7.1274°</w:t>
            </w:r>
          </w:p>
        </w:tc>
      </w:tr>
      <w:tr w:rsidR="00C67F28" w:rsidRPr="00F43789" w14:paraId="17217F9C" w14:textId="77777777" w:rsidTr="00C67F28">
        <w:tc>
          <w:tcPr>
            <w:tcW w:w="1129" w:type="dxa"/>
            <w:vAlign w:val="center"/>
          </w:tcPr>
          <w:p w14:paraId="3CD0E851" w14:textId="33BCE406"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S2</w:t>
            </w:r>
          </w:p>
        </w:tc>
        <w:tc>
          <w:tcPr>
            <w:tcW w:w="3379" w:type="dxa"/>
            <w:vAlign w:val="center"/>
          </w:tcPr>
          <w:p w14:paraId="356D371B" w14:textId="708492AB"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Onne Agricultural Zone</w:t>
            </w:r>
          </w:p>
        </w:tc>
        <w:tc>
          <w:tcPr>
            <w:tcW w:w="2254" w:type="dxa"/>
            <w:vAlign w:val="center"/>
          </w:tcPr>
          <w:p w14:paraId="39E7CBD1" w14:textId="28FB97D1"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4.7779°</w:t>
            </w:r>
          </w:p>
        </w:tc>
        <w:tc>
          <w:tcPr>
            <w:tcW w:w="2254" w:type="dxa"/>
            <w:vAlign w:val="center"/>
          </w:tcPr>
          <w:p w14:paraId="0C82F5EF" w14:textId="56FC03C4"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7.1623°</w:t>
            </w:r>
          </w:p>
        </w:tc>
      </w:tr>
      <w:tr w:rsidR="00C67F28" w:rsidRPr="00F43789" w14:paraId="7C8C563C" w14:textId="77777777" w:rsidTr="00C67F28">
        <w:tc>
          <w:tcPr>
            <w:tcW w:w="1129" w:type="dxa"/>
            <w:vAlign w:val="center"/>
          </w:tcPr>
          <w:p w14:paraId="7B293678" w14:textId="1D29640D"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S3</w:t>
            </w:r>
          </w:p>
        </w:tc>
        <w:tc>
          <w:tcPr>
            <w:tcW w:w="3379" w:type="dxa"/>
            <w:vAlign w:val="center"/>
          </w:tcPr>
          <w:p w14:paraId="771B9FA3" w14:textId="57F00523"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Petrochemical Axis Farmland</w:t>
            </w:r>
          </w:p>
        </w:tc>
        <w:tc>
          <w:tcPr>
            <w:tcW w:w="2254" w:type="dxa"/>
            <w:vAlign w:val="center"/>
          </w:tcPr>
          <w:p w14:paraId="79C82EC4" w14:textId="2E01F552"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4.7695°</w:t>
            </w:r>
          </w:p>
        </w:tc>
        <w:tc>
          <w:tcPr>
            <w:tcW w:w="2254" w:type="dxa"/>
            <w:vAlign w:val="center"/>
          </w:tcPr>
          <w:p w14:paraId="0FB70D77" w14:textId="1C2D09F5"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7.1487°</w:t>
            </w:r>
          </w:p>
        </w:tc>
      </w:tr>
      <w:tr w:rsidR="00C67F28" w:rsidRPr="00F43789" w14:paraId="46EF51F0" w14:textId="77777777" w:rsidTr="00C67F28">
        <w:tc>
          <w:tcPr>
            <w:tcW w:w="1129" w:type="dxa"/>
            <w:vAlign w:val="center"/>
          </w:tcPr>
          <w:p w14:paraId="2ED52AFE" w14:textId="06E3B434"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S4</w:t>
            </w:r>
          </w:p>
        </w:tc>
        <w:tc>
          <w:tcPr>
            <w:tcW w:w="3379" w:type="dxa"/>
            <w:vAlign w:val="center"/>
          </w:tcPr>
          <w:p w14:paraId="42DF1B07" w14:textId="6884EB35"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proofErr w:type="spellStart"/>
            <w:r w:rsidRPr="00C67F28">
              <w:rPr>
                <w:rFonts w:ascii="Times New Roman" w:eastAsia="Times New Roman" w:hAnsi="Times New Roman" w:cs="Times New Roman"/>
                <w:sz w:val="24"/>
                <w:szCs w:val="24"/>
                <w:lang w:eastAsia="en-GB"/>
              </w:rPr>
              <w:t>Agbonchia</w:t>
            </w:r>
            <w:proofErr w:type="spellEnd"/>
            <w:r w:rsidRPr="00C67F28">
              <w:rPr>
                <w:rFonts w:ascii="Times New Roman" w:eastAsia="Times New Roman" w:hAnsi="Times New Roman" w:cs="Times New Roman"/>
                <w:sz w:val="24"/>
                <w:szCs w:val="24"/>
                <w:lang w:eastAsia="en-GB"/>
              </w:rPr>
              <w:t xml:space="preserve"> Farmland</w:t>
            </w:r>
          </w:p>
        </w:tc>
        <w:tc>
          <w:tcPr>
            <w:tcW w:w="2254" w:type="dxa"/>
            <w:vAlign w:val="center"/>
          </w:tcPr>
          <w:p w14:paraId="041CC3B3" w14:textId="4E40328F"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4.8046°</w:t>
            </w:r>
          </w:p>
        </w:tc>
        <w:tc>
          <w:tcPr>
            <w:tcW w:w="2254" w:type="dxa"/>
            <w:vAlign w:val="center"/>
          </w:tcPr>
          <w:p w14:paraId="5E8C4992" w14:textId="0FE07DC8"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7.1338°</w:t>
            </w:r>
          </w:p>
        </w:tc>
      </w:tr>
      <w:tr w:rsidR="00C67F28" w:rsidRPr="00F43789" w14:paraId="6FF650C1" w14:textId="77777777" w:rsidTr="00C67F28">
        <w:tc>
          <w:tcPr>
            <w:tcW w:w="1129" w:type="dxa"/>
            <w:vAlign w:val="center"/>
          </w:tcPr>
          <w:p w14:paraId="66272D3E" w14:textId="32460F5D"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S5</w:t>
            </w:r>
          </w:p>
        </w:tc>
        <w:tc>
          <w:tcPr>
            <w:tcW w:w="3379" w:type="dxa"/>
            <w:vAlign w:val="center"/>
          </w:tcPr>
          <w:p w14:paraId="07FF8130" w14:textId="44C834FB"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proofErr w:type="spellStart"/>
            <w:r w:rsidRPr="00C67F28">
              <w:rPr>
                <w:rFonts w:ascii="Times New Roman" w:eastAsia="Times New Roman" w:hAnsi="Times New Roman" w:cs="Times New Roman"/>
                <w:sz w:val="24"/>
                <w:szCs w:val="24"/>
                <w:lang w:eastAsia="en-GB"/>
              </w:rPr>
              <w:t>Ebubu</w:t>
            </w:r>
            <w:proofErr w:type="spellEnd"/>
            <w:r w:rsidRPr="00C67F28">
              <w:rPr>
                <w:rFonts w:ascii="Times New Roman" w:eastAsia="Times New Roman" w:hAnsi="Times New Roman" w:cs="Times New Roman"/>
                <w:sz w:val="24"/>
                <w:szCs w:val="24"/>
                <w:lang w:eastAsia="en-GB"/>
              </w:rPr>
              <w:t xml:space="preserve"> Agricultural Area</w:t>
            </w:r>
          </w:p>
        </w:tc>
        <w:tc>
          <w:tcPr>
            <w:tcW w:w="2254" w:type="dxa"/>
            <w:vAlign w:val="center"/>
          </w:tcPr>
          <w:p w14:paraId="700BC3DC" w14:textId="4FA564FD"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4.8193°</w:t>
            </w:r>
          </w:p>
        </w:tc>
        <w:tc>
          <w:tcPr>
            <w:tcW w:w="2254" w:type="dxa"/>
            <w:vAlign w:val="center"/>
          </w:tcPr>
          <w:p w14:paraId="0E65BC52" w14:textId="172015A7" w:rsidR="00C67F28" w:rsidRPr="00F43789" w:rsidRDefault="00C67F28" w:rsidP="00F43789">
            <w:pPr>
              <w:spacing w:after="100" w:afterAutospacing="1"/>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7.1181°</w:t>
            </w:r>
          </w:p>
        </w:tc>
      </w:tr>
    </w:tbl>
    <w:p w14:paraId="6598433E" w14:textId="2C8D2BD1" w:rsidR="00C67F28" w:rsidRPr="00C67F28" w:rsidRDefault="00C67F28" w:rsidP="00F43789">
      <w:pPr>
        <w:spacing w:after="0" w:line="240" w:lineRule="auto"/>
        <w:jc w:val="both"/>
        <w:rPr>
          <w:rFonts w:ascii="Times New Roman" w:eastAsia="Times New Roman" w:hAnsi="Times New Roman" w:cs="Times New Roman"/>
          <w:sz w:val="24"/>
          <w:szCs w:val="24"/>
          <w:lang w:eastAsia="en-GB"/>
        </w:rPr>
      </w:pPr>
    </w:p>
    <w:p w14:paraId="1D588A6D" w14:textId="77777777" w:rsidR="00C67F28" w:rsidRPr="00C67F28" w:rsidRDefault="00C67F28"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C67F28">
        <w:rPr>
          <w:rFonts w:ascii="Times New Roman" w:eastAsia="Times New Roman" w:hAnsi="Times New Roman" w:cs="Times New Roman"/>
          <w:b/>
          <w:bCs/>
          <w:sz w:val="24"/>
          <w:szCs w:val="24"/>
          <w:lang w:eastAsia="en-GB"/>
        </w:rPr>
        <w:t>2.3 Soil Sampling Strategy and Sample Preparation</w:t>
      </w:r>
    </w:p>
    <w:p w14:paraId="68C33676" w14:textId="77777777" w:rsidR="00C67F28" w:rsidRPr="00C67F28" w:rsidRDefault="00C67F28" w:rsidP="00F43789">
      <w:pPr>
        <w:spacing w:after="100" w:afterAutospacing="1" w:line="240" w:lineRule="auto"/>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Soil sampling was carried out during both dry and wet seasons to account for seasonal variability in metal distribution. At each site, five subsamples were collected from the surface soil layer (0–20 cm) using a stainless-steel auger. The subsamples were homogenised to form a composite sample representative of each location.</w:t>
      </w:r>
    </w:p>
    <w:p w14:paraId="240D35EB" w14:textId="10BA3EA4" w:rsidR="00C67F28" w:rsidRPr="00C67F28" w:rsidRDefault="00C67F28" w:rsidP="00F43789">
      <w:pPr>
        <w:spacing w:after="100" w:afterAutospacing="1" w:line="240" w:lineRule="auto"/>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 xml:space="preserve">Collected samples were placed in pre-cleaned </w:t>
      </w:r>
      <w:r w:rsidR="00E54C31" w:rsidRPr="00F43789">
        <w:rPr>
          <w:rFonts w:ascii="Times New Roman" w:eastAsia="Times New Roman" w:hAnsi="Times New Roman" w:cs="Times New Roman"/>
          <w:sz w:val="24"/>
          <w:szCs w:val="24"/>
          <w:lang w:eastAsia="en-GB"/>
        </w:rPr>
        <w:t>polyethene</w:t>
      </w:r>
      <w:r w:rsidRPr="00C67F28">
        <w:rPr>
          <w:rFonts w:ascii="Times New Roman" w:eastAsia="Times New Roman" w:hAnsi="Times New Roman" w:cs="Times New Roman"/>
          <w:sz w:val="24"/>
          <w:szCs w:val="24"/>
          <w:lang w:eastAsia="en-GB"/>
        </w:rPr>
        <w:t xml:space="preserve"> bags, transported to the laboratory, air-dried at ambient temperature, gently disaggregated using an agate mortar, and passed through a 2-mm </w:t>
      </w:r>
      <w:r w:rsidR="00E54C31" w:rsidRPr="00F43789">
        <w:rPr>
          <w:rFonts w:ascii="Times New Roman" w:eastAsia="Times New Roman" w:hAnsi="Times New Roman" w:cs="Times New Roman"/>
          <w:sz w:val="24"/>
          <w:szCs w:val="24"/>
          <w:lang w:eastAsia="en-GB"/>
        </w:rPr>
        <w:t>polyethene</w:t>
      </w:r>
      <w:r w:rsidRPr="00C67F28">
        <w:rPr>
          <w:rFonts w:ascii="Times New Roman" w:eastAsia="Times New Roman" w:hAnsi="Times New Roman" w:cs="Times New Roman"/>
          <w:sz w:val="24"/>
          <w:szCs w:val="24"/>
          <w:lang w:eastAsia="en-GB"/>
        </w:rPr>
        <w:t xml:space="preserve"> sieve to remove coarse materials and debris.</w:t>
      </w:r>
    </w:p>
    <w:p w14:paraId="359C89CB" w14:textId="77777777" w:rsidR="00C67F28" w:rsidRPr="00C67F28" w:rsidRDefault="00C67F28"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C67F28">
        <w:rPr>
          <w:rFonts w:ascii="Times New Roman" w:eastAsia="Times New Roman" w:hAnsi="Times New Roman" w:cs="Times New Roman"/>
          <w:b/>
          <w:bCs/>
          <w:sz w:val="24"/>
          <w:szCs w:val="24"/>
          <w:lang w:eastAsia="en-GB"/>
        </w:rPr>
        <w:t>2.4 Determination of Soil Physicochemical Properties</w:t>
      </w:r>
    </w:p>
    <w:p w14:paraId="444E8360" w14:textId="34C029EE" w:rsidR="00C67F28" w:rsidRPr="00C67F28" w:rsidRDefault="00C67F28" w:rsidP="00F43789">
      <w:pPr>
        <w:spacing w:after="100" w:afterAutospacing="1" w:line="240" w:lineRule="auto"/>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Soil pH was measured potentiometrically in a 1:2.5 soil–distilled water suspension using a calibrated digital pH meter. Electrical conductivity was determined in the same extract using a conductivity meter.</w:t>
      </w:r>
      <w:r w:rsidRPr="00F43789">
        <w:rPr>
          <w:rFonts w:ascii="Times New Roman" w:eastAsia="Times New Roman" w:hAnsi="Times New Roman" w:cs="Times New Roman"/>
          <w:sz w:val="24"/>
          <w:szCs w:val="24"/>
          <w:lang w:eastAsia="en-GB"/>
        </w:rPr>
        <w:t xml:space="preserve"> </w:t>
      </w:r>
      <w:r w:rsidRPr="00C67F28">
        <w:rPr>
          <w:rFonts w:ascii="Times New Roman" w:eastAsia="Times New Roman" w:hAnsi="Times New Roman" w:cs="Times New Roman"/>
          <w:sz w:val="24"/>
          <w:szCs w:val="24"/>
          <w:lang w:eastAsia="en-GB"/>
        </w:rPr>
        <w:t xml:space="preserve">Soil organic matter content was quantified using the Walkley–Black dichromate oxidation method. Cation exchange capacity was determined by ammonium acetate </w:t>
      </w:r>
      <w:r w:rsidRPr="00C67F28">
        <w:rPr>
          <w:rFonts w:ascii="Times New Roman" w:eastAsia="Times New Roman" w:hAnsi="Times New Roman" w:cs="Times New Roman"/>
          <w:sz w:val="24"/>
          <w:szCs w:val="24"/>
          <w:lang w:eastAsia="en-GB"/>
        </w:rPr>
        <w:lastRenderedPageBreak/>
        <w:t>extraction at pH 7. Soil particle size distribution was assessed using the hydrometer method and classified according to the USDA textural triangle.</w:t>
      </w:r>
    </w:p>
    <w:p w14:paraId="520C3F46" w14:textId="77777777" w:rsidR="00C67F28" w:rsidRPr="00C67F28" w:rsidRDefault="00C67F28"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C67F28">
        <w:rPr>
          <w:rFonts w:ascii="Times New Roman" w:eastAsia="Times New Roman" w:hAnsi="Times New Roman" w:cs="Times New Roman"/>
          <w:b/>
          <w:bCs/>
          <w:sz w:val="24"/>
          <w:szCs w:val="24"/>
          <w:lang w:eastAsia="en-GB"/>
        </w:rPr>
        <w:t>2.5 Acid Digestion and Heavy Metal Quantification</w:t>
      </w:r>
    </w:p>
    <w:p w14:paraId="64900D37" w14:textId="3049B629" w:rsidR="00C67F28" w:rsidRPr="00C67F28" w:rsidRDefault="00C67F28" w:rsidP="00F43789">
      <w:pPr>
        <w:spacing w:after="100" w:afterAutospacing="1" w:line="240" w:lineRule="auto"/>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For metal analysis, approximately 1.0 g of each prepared soil sample was subjected to wet acid digestion using a mixed acid system (HNO₃–HCl–</w:t>
      </w:r>
      <w:proofErr w:type="spellStart"/>
      <w:r w:rsidRPr="00C67F28">
        <w:rPr>
          <w:rFonts w:ascii="Times New Roman" w:eastAsia="Times New Roman" w:hAnsi="Times New Roman" w:cs="Times New Roman"/>
          <w:sz w:val="24"/>
          <w:szCs w:val="24"/>
          <w:lang w:eastAsia="en-GB"/>
        </w:rPr>
        <w:t>HClO</w:t>
      </w:r>
      <w:proofErr w:type="spellEnd"/>
      <w:r w:rsidRPr="00C67F28">
        <w:rPr>
          <w:rFonts w:ascii="Times New Roman" w:eastAsia="Times New Roman" w:hAnsi="Times New Roman" w:cs="Times New Roman"/>
          <w:sz w:val="24"/>
          <w:szCs w:val="24"/>
          <w:lang w:eastAsia="en-GB"/>
        </w:rPr>
        <w:t>₄) on a temperature-controlled hot plate. Digestion continued until complete dissolution was achieved, indicated by the formation of a clear solution.</w:t>
      </w:r>
      <w:r w:rsidRPr="00F43789">
        <w:rPr>
          <w:rFonts w:ascii="Times New Roman" w:eastAsia="Times New Roman" w:hAnsi="Times New Roman" w:cs="Times New Roman"/>
          <w:sz w:val="24"/>
          <w:szCs w:val="24"/>
          <w:lang w:eastAsia="en-GB"/>
        </w:rPr>
        <w:t xml:space="preserve"> </w:t>
      </w:r>
      <w:r w:rsidRPr="00C67F28">
        <w:rPr>
          <w:rFonts w:ascii="Times New Roman" w:eastAsia="Times New Roman" w:hAnsi="Times New Roman" w:cs="Times New Roman"/>
          <w:sz w:val="24"/>
          <w:szCs w:val="24"/>
          <w:lang w:eastAsia="en-GB"/>
        </w:rPr>
        <w:t xml:space="preserve">The digests were filtered and diluted with deionised water </w:t>
      </w:r>
      <w:r w:rsidRPr="00F43789">
        <w:rPr>
          <w:rFonts w:ascii="Times New Roman" w:eastAsia="Times New Roman" w:hAnsi="Times New Roman" w:cs="Times New Roman"/>
          <w:sz w:val="24"/>
          <w:szCs w:val="24"/>
          <w:lang w:eastAsia="en-GB"/>
        </w:rPr>
        <w:t>before</w:t>
      </w:r>
      <w:r w:rsidRPr="00C67F28">
        <w:rPr>
          <w:rFonts w:ascii="Times New Roman" w:eastAsia="Times New Roman" w:hAnsi="Times New Roman" w:cs="Times New Roman"/>
          <w:sz w:val="24"/>
          <w:szCs w:val="24"/>
          <w:lang w:eastAsia="en-GB"/>
        </w:rPr>
        <w:t xml:space="preserve"> analysis. Concentrations of Fe, Pb, Cd, Cr, Ni, Zn, and Cu were determined using flame Atomic Absorption Spectrophotometry (AAS). Instrument calibration was performed using multi-element certified standard solutions, and calibration curves exhibited correlation coefficients greater than 0.995.</w:t>
      </w:r>
    </w:p>
    <w:p w14:paraId="15F58E53" w14:textId="77777777" w:rsidR="00C67F28" w:rsidRPr="00C67F28" w:rsidRDefault="00C67F28"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C67F28">
        <w:rPr>
          <w:rFonts w:ascii="Times New Roman" w:eastAsia="Times New Roman" w:hAnsi="Times New Roman" w:cs="Times New Roman"/>
          <w:b/>
          <w:bCs/>
          <w:sz w:val="24"/>
          <w:szCs w:val="24"/>
          <w:lang w:eastAsia="en-GB"/>
        </w:rPr>
        <w:t>2.6 Quality Assurance and Quality Control</w:t>
      </w:r>
    </w:p>
    <w:p w14:paraId="0861C5EC" w14:textId="77777777" w:rsidR="00C67F28" w:rsidRPr="00C67F28" w:rsidRDefault="00C67F28" w:rsidP="00F43789">
      <w:pPr>
        <w:spacing w:after="100" w:afterAutospacing="1" w:line="240" w:lineRule="auto"/>
        <w:jc w:val="both"/>
        <w:rPr>
          <w:rFonts w:ascii="Times New Roman" w:eastAsia="Times New Roman" w:hAnsi="Times New Roman" w:cs="Times New Roman"/>
          <w:sz w:val="24"/>
          <w:szCs w:val="24"/>
          <w:lang w:eastAsia="en-GB"/>
        </w:rPr>
      </w:pPr>
      <w:r w:rsidRPr="00C67F28">
        <w:rPr>
          <w:rFonts w:ascii="Times New Roman" w:eastAsia="Times New Roman" w:hAnsi="Times New Roman" w:cs="Times New Roman"/>
          <w:sz w:val="24"/>
          <w:szCs w:val="24"/>
          <w:lang w:eastAsia="en-GB"/>
        </w:rPr>
        <w:t>Strict quality assurance and quality control protocols were implemented throughout the analytical process. Procedural blanks, duplicate samples, and certified reference materials were analysed alongside samples. Metal recoveries ranged between 90 and 110 percent, while relative standard deviations for replicate analyses were below 5 percent. Instrument recalibration was carried out after every ten sample determinations to ensure analytical stability.</w:t>
      </w:r>
    </w:p>
    <w:p w14:paraId="17FF2546" w14:textId="77777777" w:rsidR="00C67F28" w:rsidRPr="00F43789" w:rsidRDefault="00C67F28" w:rsidP="00F43789">
      <w:pPr>
        <w:pStyle w:val="Heading3"/>
        <w:spacing w:before="0" w:beforeAutospacing="0"/>
        <w:jc w:val="both"/>
        <w:rPr>
          <w:sz w:val="24"/>
          <w:szCs w:val="24"/>
        </w:rPr>
      </w:pPr>
      <w:r w:rsidRPr="00F43789">
        <w:rPr>
          <w:rStyle w:val="Strong"/>
          <w:b/>
          <w:bCs/>
          <w:sz w:val="24"/>
          <w:szCs w:val="24"/>
        </w:rPr>
        <w:t>2.7 Assessment of Soil Contamination Indices</w:t>
      </w:r>
    </w:p>
    <w:p w14:paraId="3711C8E8" w14:textId="77777777" w:rsidR="00D25271" w:rsidRPr="00F43789" w:rsidRDefault="00C67F28" w:rsidP="00F43789">
      <w:pPr>
        <w:pStyle w:val="NormalWeb"/>
        <w:spacing w:before="0" w:beforeAutospacing="0"/>
        <w:jc w:val="both"/>
      </w:pPr>
      <w:r w:rsidRPr="00F43789">
        <w:t>The degree of heavy metal contamination was evaluated using contamination factor (CF), geo-accumulation index (</w:t>
      </w:r>
      <w:proofErr w:type="spellStart"/>
      <w:r w:rsidRPr="00F43789">
        <w:t>Igeo</w:t>
      </w:r>
      <w:proofErr w:type="spellEnd"/>
      <w:r w:rsidRPr="00F43789">
        <w:t>), and pollution load index (PLI). Background concentrations were obtained from uncontaminated reference soils within the Niger Delta.</w:t>
      </w:r>
    </w:p>
    <w:p w14:paraId="512686CB" w14:textId="1550D747" w:rsidR="00CE7C7D" w:rsidRPr="00F43789" w:rsidRDefault="0086331F" w:rsidP="00F43789">
      <w:pPr>
        <w:pStyle w:val="NormalWeb"/>
        <w:spacing w:before="0" w:beforeAutospacing="0"/>
        <w:jc w:val="both"/>
      </w:pPr>
      <m:oMath>
        <m:r>
          <w:rPr>
            <w:rFonts w:ascii="Cambria Math" w:hAnsi="Cambria Math"/>
            <w:lang w:val="en-US"/>
          </w:rPr>
          <m:t xml:space="preserve">CF= </m:t>
        </m:r>
        <m:f>
          <m:fPr>
            <m:ctrlPr>
              <w:rPr>
                <w:rFonts w:ascii="Cambria Math" w:eastAsiaTheme="minorHAnsi" w:hAnsi="Cambria Math"/>
                <w:i/>
                <w:lang w:val="en-US" w:eastAsia="en-US"/>
              </w:rPr>
            </m:ctrlPr>
          </m:fPr>
          <m:num>
            <m:r>
              <w:rPr>
                <w:rFonts w:ascii="Cambria Math" w:hAnsi="Cambria Math"/>
                <w:lang w:val="en-US"/>
              </w:rPr>
              <m:t>Cn</m:t>
            </m:r>
          </m:num>
          <m:den>
            <m:r>
              <w:rPr>
                <w:rFonts w:ascii="Cambria Math" w:hAnsi="Cambria Math"/>
                <w:lang w:val="en-US"/>
              </w:rPr>
              <m:t xml:space="preserve">Cb </m:t>
            </m:r>
          </m:den>
        </m:f>
      </m:oMath>
      <w:r w:rsidR="00D25271" w:rsidRPr="00F43789">
        <w:rPr>
          <w:lang w:val="en-US" w:eastAsia="en-US"/>
        </w:rPr>
        <w:t>_____________________1</w:t>
      </w:r>
    </w:p>
    <w:p w14:paraId="5C822131" w14:textId="269EE6D3" w:rsidR="0086331F" w:rsidRPr="00F43789" w:rsidRDefault="0086331F" w:rsidP="00F43789">
      <w:pPr>
        <w:jc w:val="both"/>
        <w:rPr>
          <w:rFonts w:ascii="Times New Roman" w:eastAsiaTheme="minorEastAsia" w:hAnsi="Times New Roman" w:cs="Times New Roman"/>
          <w:i/>
          <w:sz w:val="24"/>
          <w:szCs w:val="24"/>
          <w:lang w:val="en-US"/>
        </w:rPr>
      </w:pPr>
      <m:oMath>
        <m:r>
          <w:rPr>
            <w:rFonts w:ascii="Cambria Math" w:hAnsi="Cambria Math" w:cs="Times New Roman"/>
            <w:sz w:val="24"/>
            <w:szCs w:val="24"/>
            <w:lang w:val="en-US"/>
          </w:rPr>
          <m:t>Igeo=</m:t>
        </m:r>
        <m:func>
          <m:funcPr>
            <m:ctrlPr>
              <w:rPr>
                <w:rFonts w:ascii="Cambria Math" w:hAnsi="Cambria Math" w:cs="Times New Roman"/>
                <w:i/>
                <w:sz w:val="24"/>
                <w:szCs w:val="24"/>
                <w:lang w:val="en-US"/>
              </w:rPr>
            </m:ctrlPr>
          </m:funcPr>
          <m:fName>
            <m:sSub>
              <m:sSubPr>
                <m:ctrlPr>
                  <w:rPr>
                    <w:rFonts w:ascii="Cambria Math" w:hAnsi="Cambria Math" w:cs="Times New Roman"/>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2</m:t>
                </m:r>
              </m:sub>
            </m:sSub>
          </m:fName>
          <m:e>
            <m:r>
              <w:rPr>
                <w:rFonts w:ascii="Cambria Math" w:hAnsi="Cambria Math" w:cs="Times New Roman"/>
                <w:sz w:val="24"/>
                <w:szCs w:val="24"/>
                <w:lang w:val="en-US"/>
              </w:rPr>
              <m:t>(</m:t>
            </m:r>
          </m:e>
        </m:func>
        <m:f>
          <m:fPr>
            <m:ctrlPr>
              <w:rPr>
                <w:rFonts w:ascii="Cambria Math" w:hAnsi="Cambria Math" w:cs="Times New Roman"/>
                <w:i/>
                <w:sz w:val="24"/>
                <w:szCs w:val="24"/>
                <w:lang w:val="en-US"/>
              </w:rPr>
            </m:ctrlPr>
          </m:fPr>
          <m:num>
            <m:r>
              <w:rPr>
                <w:rFonts w:ascii="Cambria Math" w:hAnsi="Cambria Math" w:cs="Times New Roman"/>
                <w:sz w:val="24"/>
                <w:szCs w:val="24"/>
                <w:lang w:val="en-US"/>
              </w:rPr>
              <m:t>Cn</m:t>
            </m:r>
          </m:num>
          <m:den>
            <m:r>
              <w:rPr>
                <w:rFonts w:ascii="Cambria Math" w:hAnsi="Cambria Math" w:cs="Times New Roman"/>
                <w:sz w:val="24"/>
                <w:szCs w:val="24"/>
                <w:lang w:val="en-US"/>
              </w:rPr>
              <m:t xml:space="preserve">1.5×Cb </m:t>
            </m:r>
          </m:den>
        </m:f>
        <m:r>
          <w:rPr>
            <w:rFonts w:ascii="Cambria Math" w:hAnsi="Cambria Math" w:cs="Times New Roman"/>
            <w:sz w:val="24"/>
            <w:szCs w:val="24"/>
            <w:lang w:val="en-US"/>
          </w:rPr>
          <m:t>)</m:t>
        </m:r>
      </m:oMath>
      <w:r w:rsidR="00D25271" w:rsidRPr="00F43789">
        <w:rPr>
          <w:rFonts w:ascii="Times New Roman" w:eastAsiaTheme="minorEastAsia" w:hAnsi="Times New Roman" w:cs="Times New Roman"/>
          <w:i/>
          <w:sz w:val="24"/>
          <w:szCs w:val="24"/>
          <w:lang w:val="en-US"/>
        </w:rPr>
        <w:t xml:space="preserve">________________2 </w:t>
      </w:r>
    </w:p>
    <w:p w14:paraId="60B760FE" w14:textId="62D9BC08" w:rsidR="0086331F" w:rsidRPr="00F43789" w:rsidRDefault="0086331F" w:rsidP="00F43789">
      <w:pPr>
        <w:jc w:val="both"/>
        <w:rPr>
          <w:rFonts w:ascii="Times New Roman" w:eastAsiaTheme="minorEastAsia" w:hAnsi="Times New Roman" w:cs="Times New Roman"/>
          <w:i/>
          <w:sz w:val="24"/>
          <w:szCs w:val="24"/>
          <w:lang w:val="en-US"/>
        </w:rPr>
      </w:pPr>
      <m:oMath>
        <m:r>
          <w:rPr>
            <w:rFonts w:ascii="Cambria Math" w:hAnsi="Cambria Math" w:cs="Times New Roman"/>
            <w:sz w:val="24"/>
            <w:szCs w:val="24"/>
            <w:lang w:val="en-US"/>
          </w:rPr>
          <m:t>PLI=</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(CF1×CF2×…CFn)</m:t>
            </m:r>
          </m:e>
          <m:sub>
            <m:r>
              <w:rPr>
                <w:rFonts w:ascii="Cambria Math" w:hAnsi="Cambria Math" w:cs="Times New Roman"/>
                <w:sz w:val="24"/>
                <w:szCs w:val="24"/>
                <w:lang w:val="en-US"/>
              </w:rPr>
              <m:t>n</m:t>
            </m:r>
          </m:sub>
          <m:sup>
            <m:r>
              <w:rPr>
                <w:rFonts w:ascii="Cambria Math" w:hAnsi="Cambria Math" w:cs="Times New Roman"/>
                <w:sz w:val="24"/>
                <w:szCs w:val="24"/>
                <w:lang w:val="en-US"/>
              </w:rPr>
              <m:t>1</m:t>
            </m:r>
          </m:sup>
        </m:sSubSup>
      </m:oMath>
      <w:r w:rsidR="00D25271" w:rsidRPr="00F43789">
        <w:rPr>
          <w:rFonts w:ascii="Times New Roman" w:eastAsiaTheme="minorEastAsia" w:hAnsi="Times New Roman" w:cs="Times New Roman"/>
          <w:i/>
          <w:sz w:val="24"/>
          <w:szCs w:val="24"/>
          <w:lang w:val="en-US"/>
        </w:rPr>
        <w:t>________3</w:t>
      </w:r>
    </w:p>
    <w:p w14:paraId="1E4C57E5" w14:textId="77777777" w:rsidR="00E54C31" w:rsidRPr="00F43789" w:rsidRDefault="00E54C31" w:rsidP="00F43789">
      <w:pPr>
        <w:pStyle w:val="Heading3"/>
        <w:spacing w:before="0" w:beforeAutospacing="0"/>
        <w:jc w:val="both"/>
        <w:rPr>
          <w:sz w:val="24"/>
          <w:szCs w:val="24"/>
        </w:rPr>
      </w:pPr>
      <w:r w:rsidRPr="00F43789">
        <w:rPr>
          <w:rStyle w:val="Strong"/>
          <w:b/>
          <w:bCs/>
          <w:sz w:val="24"/>
          <w:szCs w:val="24"/>
        </w:rPr>
        <w:t>2.8 Ecological Risk Assessment</w:t>
      </w:r>
    </w:p>
    <w:p w14:paraId="71D4B219" w14:textId="77777777" w:rsidR="00E54C31" w:rsidRPr="00F43789" w:rsidRDefault="00E54C31" w:rsidP="00F43789">
      <w:pPr>
        <w:pStyle w:val="NormalWeb"/>
        <w:spacing w:before="0" w:beforeAutospacing="0"/>
        <w:jc w:val="both"/>
      </w:pPr>
      <w:r w:rsidRPr="00F43789">
        <w:t>Ecological risk was evaluated using the potential ecological risk index method. The ecological risk factor for each metal was calculated as:</w:t>
      </w:r>
    </w:p>
    <w:p w14:paraId="4BF7ABEE" w14:textId="60E83E34" w:rsidR="00E54C31" w:rsidRPr="00F43789" w:rsidRDefault="00E54C31" w:rsidP="00F43789">
      <w:pPr>
        <w:jc w:val="both"/>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Er=CF× Tr</m:t>
        </m:r>
      </m:oMath>
      <w:r w:rsidRPr="00F43789">
        <w:rPr>
          <w:rFonts w:ascii="Times New Roman" w:eastAsiaTheme="minorEastAsia" w:hAnsi="Times New Roman" w:cs="Times New Roman"/>
          <w:sz w:val="24"/>
          <w:szCs w:val="24"/>
          <w:lang w:val="en-US"/>
        </w:rPr>
        <w:t xml:space="preserve">__________4 </w:t>
      </w:r>
    </w:p>
    <w:p w14:paraId="6CC561A5" w14:textId="77777777" w:rsidR="00E54C31" w:rsidRPr="00E54C31" w:rsidRDefault="00E54C31" w:rsidP="00F43789">
      <w:pPr>
        <w:spacing w:after="100" w:afterAutospacing="1" w:line="240" w:lineRule="auto"/>
        <w:jc w:val="both"/>
        <w:rPr>
          <w:rFonts w:ascii="Times New Roman" w:eastAsia="Times New Roman" w:hAnsi="Times New Roman" w:cs="Times New Roman"/>
          <w:sz w:val="24"/>
          <w:szCs w:val="24"/>
          <w:lang w:eastAsia="en-GB"/>
        </w:rPr>
      </w:pPr>
      <w:r w:rsidRPr="00E54C31">
        <w:rPr>
          <w:rFonts w:ascii="Times New Roman" w:eastAsia="Times New Roman" w:hAnsi="Times New Roman" w:cs="Times New Roman"/>
          <w:sz w:val="24"/>
          <w:szCs w:val="24"/>
          <w:lang w:eastAsia="en-GB"/>
        </w:rPr>
        <w:t>The overall potential ecological risk index (PERI) was computed as:</w:t>
      </w:r>
    </w:p>
    <w:p w14:paraId="6B3FDF50" w14:textId="365BFDCC" w:rsidR="00E54C31" w:rsidRPr="00E54C31" w:rsidRDefault="00E54C31" w:rsidP="00F43789">
      <w:pPr>
        <w:spacing w:after="0" w:line="240" w:lineRule="auto"/>
        <w:jc w:val="both"/>
        <w:rPr>
          <w:rFonts w:ascii="Times New Roman" w:eastAsia="Times New Roman" w:hAnsi="Times New Roman" w:cs="Times New Roman"/>
          <w:sz w:val="24"/>
          <w:szCs w:val="24"/>
          <w:lang w:eastAsia="en-GB"/>
        </w:rPr>
      </w:pPr>
      <w:r w:rsidRPr="00E54C31">
        <w:rPr>
          <w:rFonts w:ascii="Times New Roman" w:eastAsia="Times New Roman" w:hAnsi="Times New Roman" w:cs="Times New Roman"/>
          <w:sz w:val="24"/>
          <w:szCs w:val="24"/>
          <w:lang w:eastAsia="en-GB"/>
        </w:rPr>
        <w:t>PERI=∑Er</w:t>
      </w:r>
      <w:r w:rsidRPr="00F43789">
        <w:rPr>
          <w:rFonts w:ascii="Times New Roman" w:eastAsia="Times New Roman" w:hAnsi="Times New Roman" w:cs="Times New Roman"/>
          <w:sz w:val="24"/>
          <w:szCs w:val="24"/>
          <w:lang w:eastAsia="en-GB"/>
        </w:rPr>
        <w:t xml:space="preserve">_____________5 </w:t>
      </w:r>
    </w:p>
    <w:p w14:paraId="0C670151" w14:textId="77777777" w:rsidR="00E54C31" w:rsidRPr="00E54C31" w:rsidRDefault="00E54C31" w:rsidP="00F43789">
      <w:pPr>
        <w:spacing w:after="100" w:afterAutospacing="1" w:line="240" w:lineRule="auto"/>
        <w:jc w:val="both"/>
        <w:rPr>
          <w:rFonts w:ascii="Times New Roman" w:eastAsia="Times New Roman" w:hAnsi="Times New Roman" w:cs="Times New Roman"/>
          <w:sz w:val="24"/>
          <w:szCs w:val="24"/>
          <w:lang w:eastAsia="en-GB"/>
        </w:rPr>
      </w:pPr>
      <w:r w:rsidRPr="00E54C31">
        <w:rPr>
          <w:rFonts w:ascii="Times New Roman" w:eastAsia="Times New Roman" w:hAnsi="Times New Roman" w:cs="Times New Roman"/>
          <w:sz w:val="24"/>
          <w:szCs w:val="24"/>
          <w:lang w:eastAsia="en-GB"/>
        </w:rPr>
        <w:t>Toxic response factors applied were Cd (30), Pb (5), Ni (5), Cr (2), and Zn (1).</w:t>
      </w:r>
    </w:p>
    <w:p w14:paraId="086B962D" w14:textId="77777777" w:rsidR="00E54C31" w:rsidRPr="00E54C31" w:rsidRDefault="00E54C3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E54C31">
        <w:rPr>
          <w:rFonts w:ascii="Times New Roman" w:eastAsia="Times New Roman" w:hAnsi="Times New Roman" w:cs="Times New Roman"/>
          <w:b/>
          <w:bCs/>
          <w:sz w:val="24"/>
          <w:szCs w:val="24"/>
          <w:lang w:eastAsia="en-GB"/>
        </w:rPr>
        <w:t>2.9 Human Health Risk Assessment</w:t>
      </w:r>
    </w:p>
    <w:p w14:paraId="2CB27775" w14:textId="0761DA8B" w:rsidR="00E54C31" w:rsidRPr="00F43789" w:rsidRDefault="00E54C31" w:rsidP="00F43789">
      <w:pPr>
        <w:pStyle w:val="NormalWeb"/>
        <w:spacing w:before="0" w:beforeAutospacing="0"/>
        <w:jc w:val="both"/>
      </w:pPr>
      <w:r w:rsidRPr="00E54C31">
        <w:t>Human health risk assessment was conducted in accordance</w:t>
      </w:r>
      <w:r w:rsidR="00C17007" w:rsidRPr="00F43789">
        <w:t>.</w:t>
      </w:r>
    </w:p>
    <w:p w14:paraId="1B70C7B6" w14:textId="6B3EFB8C" w:rsidR="00E54C31" w:rsidRPr="00F43789" w:rsidRDefault="00E54C31" w:rsidP="00F43789">
      <w:pPr>
        <w:pStyle w:val="NormalWeb"/>
        <w:spacing w:before="0" w:beforeAutospacing="0"/>
        <w:jc w:val="both"/>
        <w:rPr>
          <w:lang w:val="en-US" w:eastAsia="en-US"/>
        </w:rPr>
      </w:pPr>
      <m:oMath>
        <m:r>
          <w:rPr>
            <w:rFonts w:ascii="Cambria Math" w:hAnsi="Cambria Math"/>
            <w:lang w:val="en-US"/>
          </w:rPr>
          <w:lastRenderedPageBreak/>
          <m:t xml:space="preserve">EDI= </m:t>
        </m:r>
        <m:f>
          <m:fPr>
            <m:ctrlPr>
              <w:rPr>
                <w:rFonts w:ascii="Cambria Math" w:eastAsiaTheme="minorHAnsi" w:hAnsi="Cambria Math"/>
                <w:i/>
                <w:lang w:val="en-US" w:eastAsia="en-US"/>
              </w:rPr>
            </m:ctrlPr>
          </m:fPr>
          <m:num>
            <m:r>
              <w:rPr>
                <w:rFonts w:ascii="Cambria Math" w:hAnsi="Cambria Math"/>
                <w:lang w:val="en-US"/>
              </w:rPr>
              <m:t>C ×IR ×EF  ×ED</m:t>
            </m:r>
          </m:num>
          <m:den>
            <m:r>
              <w:rPr>
                <w:rFonts w:ascii="Cambria Math" w:hAnsi="Cambria Math"/>
                <w:lang w:val="en-US"/>
              </w:rPr>
              <m:t>BW ×AT</m:t>
            </m:r>
          </m:den>
        </m:f>
      </m:oMath>
      <w:r w:rsidRPr="00F43789">
        <w:rPr>
          <w:lang w:val="en-US" w:eastAsia="en-US"/>
        </w:rPr>
        <w:t>_____________________6</w:t>
      </w:r>
    </w:p>
    <w:p w14:paraId="17B8309B" w14:textId="52BDC45E" w:rsidR="00491049" w:rsidRPr="00F43789" w:rsidRDefault="00491049" w:rsidP="00F43789">
      <w:pPr>
        <w:pStyle w:val="NormalWeb"/>
        <w:jc w:val="both"/>
      </w:pPr>
      <w:r w:rsidRPr="00F43789">
        <w:rPr>
          <w:rStyle w:val="Strong"/>
        </w:rPr>
        <w:t xml:space="preserve">Adults: </w:t>
      </w:r>
      <w:r w:rsidRPr="00F43789">
        <w:t>Ingestion rate: 100 mg/day, body weight: 70 kg, exposure duration: 30 years, exposure frequency: 350 days/year.</w:t>
      </w:r>
    </w:p>
    <w:p w14:paraId="102D6A73" w14:textId="408FEDED" w:rsidR="00491049" w:rsidRPr="00F43789" w:rsidRDefault="00491049" w:rsidP="00F43789">
      <w:pPr>
        <w:pStyle w:val="NormalWeb"/>
        <w:jc w:val="both"/>
      </w:pPr>
      <w:r w:rsidRPr="00F43789">
        <w:rPr>
          <w:rStyle w:val="Strong"/>
        </w:rPr>
        <w:t xml:space="preserve">Children: </w:t>
      </w:r>
      <w:r w:rsidRPr="00F43789">
        <w:t>Ingestion rate: 200 mg/day, body weight: 15 kg, exposure duration: 6 years, exposure frequency: 350 days/year.</w:t>
      </w:r>
    </w:p>
    <w:p w14:paraId="226D015C" w14:textId="5075EDC5" w:rsidR="00E54C31" w:rsidRPr="00E54C31" w:rsidRDefault="00E54C31" w:rsidP="00F43789">
      <w:pPr>
        <w:spacing w:after="100" w:afterAutospacing="1" w:line="240" w:lineRule="auto"/>
        <w:jc w:val="both"/>
        <w:rPr>
          <w:rFonts w:ascii="Times New Roman" w:eastAsia="Times New Roman" w:hAnsi="Times New Roman" w:cs="Times New Roman"/>
          <w:sz w:val="24"/>
          <w:szCs w:val="24"/>
          <w:lang w:eastAsia="en-GB"/>
        </w:rPr>
      </w:pPr>
      <w:r w:rsidRPr="00F43789">
        <w:rPr>
          <w:rFonts w:ascii="Times New Roman" w:eastAsia="Times New Roman" w:hAnsi="Times New Roman" w:cs="Times New Roman"/>
          <w:sz w:val="24"/>
          <w:szCs w:val="24"/>
          <w:lang w:eastAsia="en-GB"/>
        </w:rPr>
        <w:t>With</w:t>
      </w:r>
      <w:r w:rsidRPr="00E54C31">
        <w:rPr>
          <w:rFonts w:ascii="Times New Roman" w:eastAsia="Times New Roman" w:hAnsi="Times New Roman" w:cs="Times New Roman"/>
          <w:sz w:val="24"/>
          <w:szCs w:val="24"/>
          <w:lang w:eastAsia="en-GB"/>
        </w:rPr>
        <w:t xml:space="preserve"> USEPA guidelines, </w:t>
      </w:r>
      <w:r w:rsidRPr="00F43789">
        <w:rPr>
          <w:rFonts w:ascii="Times New Roman" w:eastAsia="Times New Roman" w:hAnsi="Times New Roman" w:cs="Times New Roman"/>
          <w:sz w:val="24"/>
          <w:szCs w:val="24"/>
          <w:lang w:eastAsia="en-GB"/>
        </w:rPr>
        <w:t>consider</w:t>
      </w:r>
      <w:r w:rsidRPr="00E54C31">
        <w:rPr>
          <w:rFonts w:ascii="Times New Roman" w:eastAsia="Times New Roman" w:hAnsi="Times New Roman" w:cs="Times New Roman"/>
          <w:sz w:val="24"/>
          <w:szCs w:val="24"/>
          <w:lang w:eastAsia="en-GB"/>
        </w:rPr>
        <w:t xml:space="preserve"> soil ingestion and dermal contact pathways for both adults and children.</w:t>
      </w:r>
    </w:p>
    <w:p w14:paraId="4AD9E510" w14:textId="63710DB7" w:rsidR="00E54C31" w:rsidRPr="00F43789" w:rsidRDefault="00E54C31" w:rsidP="00F43789">
      <w:pPr>
        <w:spacing w:after="100" w:afterAutospacing="1" w:line="240" w:lineRule="auto"/>
        <w:jc w:val="both"/>
        <w:rPr>
          <w:rFonts w:ascii="Times New Roman" w:eastAsia="Times New Roman" w:hAnsi="Times New Roman" w:cs="Times New Roman"/>
          <w:sz w:val="24"/>
          <w:szCs w:val="24"/>
          <w:lang w:eastAsia="en-GB"/>
        </w:rPr>
      </w:pPr>
      <w:r w:rsidRPr="00F43789">
        <w:rPr>
          <w:rFonts w:ascii="Times New Roman" w:eastAsia="Times New Roman" w:hAnsi="Times New Roman" w:cs="Times New Roman"/>
          <w:sz w:val="24"/>
          <w:szCs w:val="24"/>
          <w:lang w:eastAsia="en-GB"/>
        </w:rPr>
        <w:t>The estimated</w:t>
      </w:r>
      <w:r w:rsidRPr="00E54C31">
        <w:rPr>
          <w:rFonts w:ascii="Times New Roman" w:eastAsia="Times New Roman" w:hAnsi="Times New Roman" w:cs="Times New Roman"/>
          <w:sz w:val="24"/>
          <w:szCs w:val="24"/>
          <w:lang w:eastAsia="en-GB"/>
        </w:rPr>
        <w:t xml:space="preserve"> daily intake (EDI) was calculated using:</w:t>
      </w:r>
    </w:p>
    <w:p w14:paraId="4AA6DB4E" w14:textId="746B4AB1" w:rsidR="00E54C31" w:rsidRPr="00F43789" w:rsidRDefault="00E54C31" w:rsidP="00F43789">
      <w:pPr>
        <w:spacing w:after="100" w:afterAutospacing="1" w:line="240" w:lineRule="auto"/>
        <w:jc w:val="both"/>
        <w:rPr>
          <w:rFonts w:ascii="Times New Roman" w:hAnsi="Times New Roman" w:cs="Times New Roman"/>
          <w:sz w:val="24"/>
          <w:szCs w:val="24"/>
          <w:lang w:val="en-US"/>
        </w:rPr>
      </w:pPr>
      <w:r w:rsidRPr="00F43789">
        <w:rPr>
          <w:rFonts w:ascii="Times New Roman" w:eastAsia="Times New Roman" w:hAnsi="Times New Roman" w:cs="Times New Roman"/>
          <w:sz w:val="24"/>
          <w:szCs w:val="24"/>
          <w:lang w:eastAsia="en-GB"/>
        </w:rPr>
        <w:t xml:space="preserve">The </w:t>
      </w:r>
      <w:r w:rsidRPr="00E54C31">
        <w:rPr>
          <w:rFonts w:ascii="Times New Roman" w:eastAsia="Times New Roman" w:hAnsi="Times New Roman" w:cs="Times New Roman"/>
          <w:sz w:val="24"/>
          <w:szCs w:val="24"/>
          <w:lang w:eastAsia="en-GB"/>
        </w:rPr>
        <w:t>hazard quotient (HQ):</w:t>
      </w:r>
      <w:r w:rsidRPr="00F43789">
        <w:rPr>
          <w:rFonts w:ascii="Times New Roman" w:eastAsia="Times New Roman" w:hAnsi="Times New Roman" w:cs="Times New Roman"/>
          <w:sz w:val="24"/>
          <w:szCs w:val="24"/>
          <w:lang w:eastAsia="en-GB"/>
        </w:rPr>
        <w:t xml:space="preserve"> </w:t>
      </w:r>
      <m:oMath>
        <m:r>
          <w:rPr>
            <w:rFonts w:ascii="Cambria Math" w:hAnsi="Cambria Math" w:cs="Times New Roman"/>
            <w:sz w:val="24"/>
            <w:szCs w:val="24"/>
            <w:lang w:val="en-US"/>
          </w:rPr>
          <m:t xml:space="preserve">HQ= </m:t>
        </m:r>
        <m:f>
          <m:fPr>
            <m:ctrlPr>
              <w:rPr>
                <w:rFonts w:ascii="Cambria Math" w:hAnsi="Cambria Math" w:cs="Times New Roman"/>
                <w:i/>
                <w:sz w:val="24"/>
                <w:szCs w:val="24"/>
                <w:lang w:val="en-US"/>
              </w:rPr>
            </m:ctrlPr>
          </m:fPr>
          <m:num>
            <m:r>
              <w:rPr>
                <w:rFonts w:ascii="Cambria Math" w:hAnsi="Cambria Math" w:cs="Times New Roman"/>
                <w:sz w:val="24"/>
                <w:szCs w:val="24"/>
                <w:lang w:val="en-US"/>
              </w:rPr>
              <m:t>EDI</m:t>
            </m:r>
          </m:num>
          <m:den>
            <m:r>
              <w:rPr>
                <w:rFonts w:ascii="Cambria Math" w:hAnsi="Cambria Math" w:cs="Times New Roman"/>
                <w:sz w:val="24"/>
                <w:szCs w:val="24"/>
                <w:lang w:val="en-US"/>
              </w:rPr>
              <m:t>RfD</m:t>
            </m:r>
          </m:den>
        </m:f>
      </m:oMath>
      <w:r w:rsidRPr="00F43789">
        <w:rPr>
          <w:rFonts w:ascii="Times New Roman" w:hAnsi="Times New Roman" w:cs="Times New Roman"/>
          <w:sz w:val="24"/>
          <w:szCs w:val="24"/>
          <w:lang w:val="en-US"/>
        </w:rPr>
        <w:t>_____________________7</w:t>
      </w:r>
    </w:p>
    <w:p w14:paraId="531D6D99" w14:textId="40354BC9" w:rsidR="00491049" w:rsidRPr="00E54C31" w:rsidRDefault="00491049" w:rsidP="00F43789">
      <w:pPr>
        <w:spacing w:after="100" w:afterAutospacing="1" w:line="240" w:lineRule="auto"/>
        <w:jc w:val="both"/>
        <w:rPr>
          <w:rFonts w:ascii="Times New Roman" w:eastAsia="Times New Roman" w:hAnsi="Times New Roman" w:cs="Times New Roman"/>
          <w:sz w:val="24"/>
          <w:szCs w:val="24"/>
          <w:lang w:eastAsia="en-GB"/>
        </w:rPr>
      </w:pPr>
      <w:r w:rsidRPr="00F43789">
        <w:rPr>
          <w:rStyle w:val="Strong"/>
          <w:rFonts w:ascii="Times New Roman" w:hAnsi="Times New Roman" w:cs="Times New Roman"/>
          <w:sz w:val="24"/>
          <w:szCs w:val="24"/>
        </w:rPr>
        <w:t xml:space="preserve">Reference doses, </w:t>
      </w:r>
      <w:proofErr w:type="spellStart"/>
      <w:r w:rsidRPr="00F43789">
        <w:rPr>
          <w:rStyle w:val="Strong"/>
          <w:rFonts w:ascii="Times New Roman" w:hAnsi="Times New Roman" w:cs="Times New Roman"/>
          <w:sz w:val="24"/>
          <w:szCs w:val="24"/>
        </w:rPr>
        <w:t>RfD</w:t>
      </w:r>
      <w:proofErr w:type="spellEnd"/>
      <w:r w:rsidRPr="00F43789">
        <w:rPr>
          <w:rStyle w:val="Strong"/>
          <w:rFonts w:ascii="Times New Roman" w:hAnsi="Times New Roman" w:cs="Times New Roman"/>
          <w:sz w:val="24"/>
          <w:szCs w:val="24"/>
        </w:rPr>
        <w:t xml:space="preserve"> (mg/kg/day): </w:t>
      </w:r>
      <w:r w:rsidRPr="00F43789">
        <w:rPr>
          <w:rFonts w:ascii="Times New Roman" w:hAnsi="Times New Roman" w:cs="Times New Roman"/>
          <w:sz w:val="24"/>
          <w:szCs w:val="24"/>
        </w:rPr>
        <w:t>Pb: 0.0035, Cd: 0.001, Cr: 0.003, Ni: 0.02, Zn: 0.3</w:t>
      </w:r>
    </w:p>
    <w:p w14:paraId="48E887FE" w14:textId="3E0C492D" w:rsidR="00E54C31" w:rsidRPr="00E54C31" w:rsidRDefault="00E54C31" w:rsidP="00F43789">
      <w:pPr>
        <w:spacing w:after="100" w:afterAutospacing="1" w:line="240" w:lineRule="auto"/>
        <w:jc w:val="both"/>
        <w:rPr>
          <w:rFonts w:ascii="Times New Roman" w:eastAsia="Times New Roman" w:hAnsi="Times New Roman" w:cs="Times New Roman"/>
          <w:sz w:val="24"/>
          <w:szCs w:val="24"/>
          <w:lang w:eastAsia="en-GB"/>
        </w:rPr>
      </w:pPr>
      <w:r w:rsidRPr="00E54C31">
        <w:rPr>
          <w:rFonts w:ascii="Times New Roman" w:eastAsia="Times New Roman" w:hAnsi="Times New Roman" w:cs="Times New Roman"/>
          <w:sz w:val="24"/>
          <w:szCs w:val="24"/>
          <w:lang w:eastAsia="en-GB"/>
        </w:rPr>
        <w:t>The hazard index (HI) was obtained as:</w:t>
      </w:r>
      <w:r w:rsidRPr="00F43789">
        <w:rPr>
          <w:rFonts w:ascii="Times New Roman" w:eastAsia="Times New Roman" w:hAnsi="Times New Roman" w:cs="Times New Roman"/>
          <w:sz w:val="24"/>
          <w:szCs w:val="24"/>
          <w:lang w:eastAsia="en-GB"/>
        </w:rPr>
        <w:t xml:space="preserve"> </w:t>
      </w:r>
      <w:r w:rsidRPr="00E54C31">
        <w:rPr>
          <w:rFonts w:ascii="Times New Roman" w:eastAsia="Times New Roman" w:hAnsi="Times New Roman" w:cs="Times New Roman"/>
          <w:sz w:val="24"/>
          <w:szCs w:val="24"/>
          <w:lang w:eastAsia="en-GB"/>
        </w:rPr>
        <w:t>HI=∑HQ</w:t>
      </w:r>
      <w:r w:rsidRPr="00F43789">
        <w:rPr>
          <w:rFonts w:ascii="Times New Roman" w:eastAsia="Times New Roman" w:hAnsi="Times New Roman" w:cs="Times New Roman"/>
          <w:sz w:val="24"/>
          <w:szCs w:val="24"/>
          <w:lang w:eastAsia="en-GB"/>
        </w:rPr>
        <w:t>___________8</w:t>
      </w:r>
      <w:r w:rsidRPr="00E54C31">
        <w:rPr>
          <w:rFonts w:ascii="Times New Roman" w:eastAsia="Times New Roman" w:hAnsi="Times New Roman" w:cs="Times New Roman"/>
          <w:sz w:val="24"/>
          <w:szCs w:val="24"/>
          <w:lang w:eastAsia="en-GB"/>
        </w:rPr>
        <w:t xml:space="preserve"> </w:t>
      </w:r>
    </w:p>
    <w:p w14:paraId="312F8CB0" w14:textId="61A77A1A" w:rsidR="00E54C31" w:rsidRPr="00F43789" w:rsidRDefault="00E54C31" w:rsidP="00F43789">
      <w:pPr>
        <w:spacing w:after="100" w:afterAutospacing="1" w:line="240" w:lineRule="auto"/>
        <w:jc w:val="both"/>
        <w:rPr>
          <w:rFonts w:ascii="Times New Roman" w:eastAsia="Times New Roman" w:hAnsi="Times New Roman" w:cs="Times New Roman"/>
          <w:sz w:val="24"/>
          <w:szCs w:val="24"/>
          <w:lang w:eastAsia="en-GB"/>
        </w:rPr>
      </w:pPr>
      <w:r w:rsidRPr="00E54C31">
        <w:rPr>
          <w:rFonts w:ascii="Times New Roman" w:eastAsia="Times New Roman" w:hAnsi="Times New Roman" w:cs="Times New Roman"/>
          <w:sz w:val="24"/>
          <w:szCs w:val="24"/>
          <w:lang w:eastAsia="en-GB"/>
        </w:rPr>
        <w:t>Carcinogenic risk (CR) for Cd, Cr, and Ni was estimated using:</w:t>
      </w:r>
      <w:r w:rsidRPr="00F43789">
        <w:rPr>
          <w:rFonts w:ascii="Times New Roman" w:eastAsia="Times New Roman" w:hAnsi="Times New Roman" w:cs="Times New Roman"/>
          <w:sz w:val="24"/>
          <w:szCs w:val="24"/>
          <w:lang w:eastAsia="en-GB"/>
        </w:rPr>
        <w:t xml:space="preserve"> </w:t>
      </w:r>
      <w:r w:rsidRPr="00E54C31">
        <w:rPr>
          <w:rFonts w:ascii="Times New Roman" w:eastAsia="Times New Roman" w:hAnsi="Times New Roman" w:cs="Times New Roman"/>
          <w:sz w:val="24"/>
          <w:szCs w:val="24"/>
          <w:lang w:eastAsia="en-GB"/>
        </w:rPr>
        <w:t>CR=EDI×CSF</w:t>
      </w:r>
      <w:r w:rsidRPr="00F43789">
        <w:rPr>
          <w:rFonts w:ascii="Times New Roman" w:eastAsia="Times New Roman" w:hAnsi="Times New Roman" w:cs="Times New Roman"/>
          <w:sz w:val="24"/>
          <w:szCs w:val="24"/>
          <w:lang w:eastAsia="en-GB"/>
        </w:rPr>
        <w:t xml:space="preserve">___________9 </w:t>
      </w:r>
    </w:p>
    <w:p w14:paraId="71042AC2" w14:textId="178D1DCF" w:rsidR="00491049" w:rsidRPr="00E54C31" w:rsidRDefault="00491049" w:rsidP="00F43789">
      <w:pPr>
        <w:spacing w:after="100" w:afterAutospacing="1" w:line="240" w:lineRule="auto"/>
        <w:jc w:val="both"/>
        <w:rPr>
          <w:rFonts w:ascii="Times New Roman" w:eastAsia="Times New Roman" w:hAnsi="Times New Roman" w:cs="Times New Roman"/>
          <w:sz w:val="24"/>
          <w:szCs w:val="24"/>
          <w:lang w:eastAsia="en-GB"/>
        </w:rPr>
      </w:pPr>
      <w:r w:rsidRPr="00F43789">
        <w:rPr>
          <w:rStyle w:val="Strong"/>
          <w:rFonts w:ascii="Times New Roman" w:hAnsi="Times New Roman" w:cs="Times New Roman"/>
          <w:sz w:val="24"/>
          <w:szCs w:val="24"/>
        </w:rPr>
        <w:t xml:space="preserve">Cancer slope factors, CSF: </w:t>
      </w:r>
      <w:r w:rsidRPr="00F43789">
        <w:rPr>
          <w:rFonts w:ascii="Times New Roman" w:hAnsi="Times New Roman" w:cs="Times New Roman"/>
          <w:sz w:val="24"/>
          <w:szCs w:val="24"/>
        </w:rPr>
        <w:t>Cd: 6.3, Cr: 0.5, Ni: 0.84</w:t>
      </w:r>
    </w:p>
    <w:p w14:paraId="083507D8" w14:textId="493B9140" w:rsidR="00E54C31" w:rsidRPr="00E54C31" w:rsidRDefault="00E54C31" w:rsidP="00F43789">
      <w:pPr>
        <w:spacing w:after="100" w:afterAutospacing="1" w:line="240" w:lineRule="auto"/>
        <w:jc w:val="both"/>
        <w:rPr>
          <w:rFonts w:ascii="Times New Roman" w:eastAsia="Times New Roman" w:hAnsi="Times New Roman" w:cs="Times New Roman"/>
          <w:sz w:val="24"/>
          <w:szCs w:val="24"/>
          <w:lang w:eastAsia="en-GB"/>
        </w:rPr>
      </w:pPr>
      <w:r w:rsidRPr="00E54C31">
        <w:rPr>
          <w:rFonts w:ascii="Times New Roman" w:eastAsia="Times New Roman" w:hAnsi="Times New Roman" w:cs="Times New Roman"/>
          <w:sz w:val="24"/>
          <w:szCs w:val="24"/>
          <w:lang w:eastAsia="en-GB"/>
        </w:rPr>
        <w:t>Acceptable risk thresholds ranged from 10</w:t>
      </w:r>
      <w:r w:rsidRPr="00E54C31">
        <w:rPr>
          <w:rFonts w:ascii="Times New Roman" w:eastAsia="Times New Roman" w:hAnsi="Times New Roman" w:cs="Times New Roman"/>
          <w:sz w:val="24"/>
          <w:szCs w:val="24"/>
          <w:vertAlign w:val="superscript"/>
          <w:lang w:eastAsia="en-GB"/>
        </w:rPr>
        <w:t>−</w:t>
      </w:r>
      <w:r w:rsidR="00C17007" w:rsidRPr="00F43789">
        <w:rPr>
          <w:rFonts w:ascii="Times New Roman" w:eastAsia="Times New Roman" w:hAnsi="Times New Roman" w:cs="Times New Roman"/>
          <w:sz w:val="24"/>
          <w:szCs w:val="24"/>
          <w:vertAlign w:val="superscript"/>
          <w:lang w:eastAsia="en-GB"/>
        </w:rPr>
        <w:t>6</w:t>
      </w:r>
      <w:r w:rsidR="00C17007" w:rsidRPr="00F43789">
        <w:rPr>
          <w:rFonts w:ascii="Times New Roman" w:eastAsia="Times New Roman" w:hAnsi="Times New Roman" w:cs="Times New Roman"/>
          <w:sz w:val="24"/>
          <w:szCs w:val="24"/>
          <w:lang w:eastAsia="en-GB"/>
        </w:rPr>
        <w:t xml:space="preserve"> to</w:t>
      </w:r>
      <w:r w:rsidRPr="00F43789">
        <w:rPr>
          <w:rFonts w:ascii="Times New Roman" w:eastAsia="Times New Roman" w:hAnsi="Times New Roman" w:cs="Times New Roman"/>
          <w:sz w:val="24"/>
          <w:szCs w:val="24"/>
          <w:lang w:eastAsia="en-GB"/>
        </w:rPr>
        <w:t xml:space="preserve"> </w:t>
      </w:r>
      <w:r w:rsidRPr="00E54C31">
        <w:rPr>
          <w:rFonts w:ascii="Times New Roman" w:eastAsia="Times New Roman" w:hAnsi="Times New Roman" w:cs="Times New Roman"/>
          <w:sz w:val="24"/>
          <w:szCs w:val="24"/>
          <w:lang w:eastAsia="en-GB"/>
        </w:rPr>
        <w:t>10</w:t>
      </w:r>
      <w:r w:rsidRPr="00E54C31">
        <w:rPr>
          <w:rFonts w:ascii="Times New Roman" w:eastAsia="Times New Roman" w:hAnsi="Times New Roman" w:cs="Times New Roman"/>
          <w:sz w:val="24"/>
          <w:szCs w:val="24"/>
          <w:vertAlign w:val="superscript"/>
          <w:lang w:eastAsia="en-GB"/>
        </w:rPr>
        <w:t>−4</w:t>
      </w:r>
      <w:r w:rsidRPr="00E54C31">
        <w:rPr>
          <w:rFonts w:ascii="Times New Roman" w:eastAsia="Times New Roman" w:hAnsi="Times New Roman" w:cs="Times New Roman"/>
          <w:sz w:val="24"/>
          <w:szCs w:val="24"/>
          <w:lang w:eastAsia="en-GB"/>
        </w:rPr>
        <w:t>.</w:t>
      </w:r>
    </w:p>
    <w:p w14:paraId="27294845" w14:textId="77777777" w:rsidR="00C17007" w:rsidRPr="00C17007" w:rsidRDefault="00C17007"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C17007">
        <w:rPr>
          <w:rFonts w:ascii="Times New Roman" w:eastAsia="Times New Roman" w:hAnsi="Times New Roman" w:cs="Times New Roman"/>
          <w:b/>
          <w:bCs/>
          <w:sz w:val="24"/>
          <w:szCs w:val="24"/>
          <w:lang w:eastAsia="en-GB"/>
        </w:rPr>
        <w:t>2.10 Enrichment Factor and Source Identification</w:t>
      </w:r>
    </w:p>
    <w:p w14:paraId="75C6530F" w14:textId="6B5D3D01" w:rsidR="00C17007" w:rsidRPr="00F43789" w:rsidRDefault="00C17007" w:rsidP="00F43789">
      <w:pPr>
        <w:spacing w:after="100" w:afterAutospacing="1" w:line="240" w:lineRule="auto"/>
        <w:jc w:val="both"/>
        <w:rPr>
          <w:rFonts w:ascii="Times New Roman" w:eastAsia="Times New Roman" w:hAnsi="Times New Roman" w:cs="Times New Roman"/>
          <w:sz w:val="24"/>
          <w:szCs w:val="24"/>
          <w:lang w:eastAsia="en-GB"/>
        </w:rPr>
      </w:pPr>
      <w:r w:rsidRPr="00C17007">
        <w:rPr>
          <w:rFonts w:ascii="Times New Roman" w:eastAsia="Times New Roman" w:hAnsi="Times New Roman" w:cs="Times New Roman"/>
          <w:sz w:val="24"/>
          <w:szCs w:val="24"/>
          <w:lang w:eastAsia="en-GB"/>
        </w:rPr>
        <w:t>Enrichment factor was calculated using iron as the conservative reference element:</w:t>
      </w:r>
    </w:p>
    <w:p w14:paraId="0372D167" w14:textId="16419472" w:rsidR="00C17007" w:rsidRPr="00F43789" w:rsidRDefault="00C17007" w:rsidP="00F43789">
      <w:pPr>
        <w:pStyle w:val="NormalWeb"/>
        <w:spacing w:before="0" w:beforeAutospacing="0"/>
        <w:jc w:val="both"/>
      </w:pPr>
      <m:oMath>
        <m:r>
          <w:rPr>
            <w:rFonts w:ascii="Cambria Math" w:hAnsi="Cambria Math"/>
            <w:lang w:val="en-US"/>
          </w:rPr>
          <m:t xml:space="preserve">EF= </m:t>
        </m:r>
        <m:f>
          <m:fPr>
            <m:ctrlPr>
              <w:rPr>
                <w:rFonts w:ascii="Cambria Math" w:eastAsiaTheme="minorHAnsi" w:hAnsi="Cambria Math"/>
                <w:i/>
                <w:lang w:val="en-US" w:eastAsia="en-US"/>
              </w:rPr>
            </m:ctrlPr>
          </m:fPr>
          <m:num>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Cn</m:t>
                    </m:r>
                  </m:num>
                  <m:den>
                    <m:r>
                      <w:rPr>
                        <w:rFonts w:ascii="Cambria Math" w:hAnsi="Cambria Math"/>
                        <w:lang w:val="en-US"/>
                      </w:rPr>
                      <m:t>fe</m:t>
                    </m:r>
                  </m:den>
                </m:f>
              </m:e>
            </m:d>
            <m:r>
              <w:rPr>
                <w:rFonts w:ascii="Cambria Math" w:hAnsi="Cambria Math"/>
                <w:lang w:val="en-US"/>
              </w:rPr>
              <m:t>sample</m:t>
            </m:r>
          </m:num>
          <m:den>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Cn</m:t>
                    </m:r>
                  </m:num>
                  <m:den>
                    <m:r>
                      <w:rPr>
                        <w:rFonts w:ascii="Cambria Math" w:hAnsi="Cambria Math"/>
                        <w:lang w:val="en-US"/>
                      </w:rPr>
                      <m:t>fe</m:t>
                    </m:r>
                  </m:den>
                </m:f>
              </m:e>
            </m:d>
            <m:r>
              <w:rPr>
                <w:rFonts w:ascii="Cambria Math" w:hAnsi="Cambria Math"/>
                <w:lang w:val="en-US"/>
              </w:rPr>
              <m:t xml:space="preserve">background  </m:t>
            </m:r>
          </m:den>
        </m:f>
      </m:oMath>
      <w:r w:rsidRPr="00F43789">
        <w:rPr>
          <w:lang w:val="en-US" w:eastAsia="en-US"/>
        </w:rPr>
        <w:t>_____________________10</w:t>
      </w:r>
    </w:p>
    <w:p w14:paraId="01D75F90" w14:textId="77777777" w:rsidR="00C17007" w:rsidRPr="00C17007" w:rsidRDefault="00C17007" w:rsidP="00F43789">
      <w:pPr>
        <w:spacing w:after="100" w:afterAutospacing="1" w:line="240" w:lineRule="auto"/>
        <w:jc w:val="both"/>
        <w:rPr>
          <w:rFonts w:ascii="Times New Roman" w:eastAsia="Times New Roman" w:hAnsi="Times New Roman" w:cs="Times New Roman"/>
          <w:sz w:val="24"/>
          <w:szCs w:val="24"/>
          <w:lang w:eastAsia="en-GB"/>
        </w:rPr>
      </w:pPr>
      <w:r w:rsidRPr="00C17007">
        <w:rPr>
          <w:rFonts w:ascii="Times New Roman" w:eastAsia="Times New Roman" w:hAnsi="Times New Roman" w:cs="Times New Roman"/>
          <w:sz w:val="24"/>
          <w:szCs w:val="24"/>
          <w:lang w:eastAsia="en-GB"/>
        </w:rPr>
        <w:t>Pearson correlation analysis and principal component analysis (PCA) were employed to identify potential sources of heavy metals.</w:t>
      </w:r>
    </w:p>
    <w:p w14:paraId="29F19607" w14:textId="77777777" w:rsidR="00C17007" w:rsidRPr="00F43789" w:rsidRDefault="00C17007" w:rsidP="00F43789">
      <w:pPr>
        <w:jc w:val="both"/>
        <w:rPr>
          <w:rFonts w:ascii="Times New Roman" w:hAnsi="Times New Roman" w:cs="Times New Roman"/>
          <w:sz w:val="24"/>
          <w:szCs w:val="24"/>
          <w:lang w:val="en-US"/>
        </w:rPr>
      </w:pPr>
    </w:p>
    <w:p w14:paraId="3BEF840F" w14:textId="77777777" w:rsidR="00AC2AD1" w:rsidRPr="00F43789" w:rsidRDefault="00AC2AD1" w:rsidP="00F43789">
      <w:pPr>
        <w:spacing w:after="100" w:afterAutospacing="1" w:line="240" w:lineRule="auto"/>
        <w:jc w:val="both"/>
        <w:outlineLvl w:val="1"/>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3.0 Results</w:t>
      </w:r>
    </w:p>
    <w:p w14:paraId="6EA9FE00" w14:textId="77777777" w:rsidR="00AC2AD1" w:rsidRPr="00F43789" w:rsidRDefault="00AC2AD1" w:rsidP="00F43789">
      <w:pPr>
        <w:pStyle w:val="NormalWeb"/>
        <w:spacing w:before="0" w:beforeAutospacing="0"/>
        <w:jc w:val="both"/>
      </w:pPr>
      <w:r w:rsidRPr="00F43789">
        <w:t xml:space="preserve">Table 1 shows that the agricultural soils in Eleme are slightly acidic to near neutral, with pH values ranging from 5.4 to 6.9 and a mean of 6.2 ± 0.4. Electrical conductivity values were relatively low (82–214 µS/cm), indicating low salinity conditions. Organic matter content was low to moderate, varying between 1.21% and 3.84%, while cation exchange capacity ranged from 5.8 to 13.6 </w:t>
      </w:r>
      <w:proofErr w:type="spellStart"/>
      <w:r w:rsidRPr="00F43789">
        <w:t>cmol</w:t>
      </w:r>
      <w:proofErr w:type="spellEnd"/>
      <w:r w:rsidRPr="00F43789">
        <w:t>/kg, suggesting moderate nutrient retention potential. The soils were predominantly sandy loam to loamy sand, reflecting high permeability and potential for metal mobility.</w:t>
      </w:r>
    </w:p>
    <w:p w14:paraId="0A823BF1" w14:textId="77777777"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Table 1: Physicochemical Properties of Agricultural Soils in Eleme</w:t>
      </w:r>
    </w:p>
    <w:tbl>
      <w:tblPr>
        <w:tblStyle w:val="TableGrid"/>
        <w:tblW w:w="0" w:type="auto"/>
        <w:tblLook w:val="04A0" w:firstRow="1" w:lastRow="0" w:firstColumn="1" w:lastColumn="0" w:noHBand="0" w:noVBand="1"/>
      </w:tblPr>
      <w:tblGrid>
        <w:gridCol w:w="2254"/>
        <w:gridCol w:w="2254"/>
        <w:gridCol w:w="2254"/>
        <w:gridCol w:w="2254"/>
      </w:tblGrid>
      <w:tr w:rsidR="00AC2AD1" w:rsidRPr="00F43789" w14:paraId="7D6503B3" w14:textId="77777777" w:rsidTr="005645B9">
        <w:tc>
          <w:tcPr>
            <w:tcW w:w="2254" w:type="dxa"/>
            <w:vAlign w:val="center"/>
          </w:tcPr>
          <w:p w14:paraId="41423C6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F43789">
              <w:rPr>
                <w:rFonts w:ascii="Times New Roman" w:eastAsia="Times New Roman" w:hAnsi="Times New Roman" w:cs="Times New Roman"/>
                <w:b/>
                <w:bCs/>
                <w:sz w:val="24"/>
                <w:szCs w:val="24"/>
                <w:lang w:eastAsia="en-GB"/>
              </w:rPr>
              <w:lastRenderedPageBreak/>
              <w:t xml:space="preserve"> </w:t>
            </w:r>
          </w:p>
        </w:tc>
        <w:tc>
          <w:tcPr>
            <w:tcW w:w="2254" w:type="dxa"/>
            <w:vAlign w:val="center"/>
          </w:tcPr>
          <w:p w14:paraId="2515246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Minimum</w:t>
            </w:r>
          </w:p>
        </w:tc>
        <w:tc>
          <w:tcPr>
            <w:tcW w:w="2254" w:type="dxa"/>
            <w:vAlign w:val="center"/>
          </w:tcPr>
          <w:p w14:paraId="3723229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Maximum</w:t>
            </w:r>
          </w:p>
        </w:tc>
        <w:tc>
          <w:tcPr>
            <w:tcW w:w="2254" w:type="dxa"/>
            <w:vAlign w:val="center"/>
          </w:tcPr>
          <w:p w14:paraId="59F3EA0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Mean ± SD</w:t>
            </w:r>
          </w:p>
        </w:tc>
      </w:tr>
      <w:tr w:rsidR="00AC2AD1" w:rsidRPr="00F43789" w14:paraId="036B09AF" w14:textId="77777777" w:rsidTr="005645B9">
        <w:tc>
          <w:tcPr>
            <w:tcW w:w="2254" w:type="dxa"/>
            <w:vAlign w:val="center"/>
          </w:tcPr>
          <w:p w14:paraId="274BD3F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pH</w:t>
            </w:r>
          </w:p>
        </w:tc>
        <w:tc>
          <w:tcPr>
            <w:tcW w:w="2254" w:type="dxa"/>
            <w:vAlign w:val="center"/>
          </w:tcPr>
          <w:p w14:paraId="230FF1A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5.4</w:t>
            </w:r>
          </w:p>
        </w:tc>
        <w:tc>
          <w:tcPr>
            <w:tcW w:w="2254" w:type="dxa"/>
            <w:vAlign w:val="center"/>
          </w:tcPr>
          <w:p w14:paraId="35B6EA6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6.9</w:t>
            </w:r>
          </w:p>
        </w:tc>
        <w:tc>
          <w:tcPr>
            <w:tcW w:w="2254" w:type="dxa"/>
            <w:vAlign w:val="center"/>
          </w:tcPr>
          <w:p w14:paraId="454BAE5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6.2 ± 0.4</w:t>
            </w:r>
          </w:p>
        </w:tc>
      </w:tr>
      <w:tr w:rsidR="00AC2AD1" w:rsidRPr="00F43789" w14:paraId="67C54DE2" w14:textId="77777777" w:rsidTr="005645B9">
        <w:tc>
          <w:tcPr>
            <w:tcW w:w="2254" w:type="dxa"/>
            <w:vAlign w:val="center"/>
          </w:tcPr>
          <w:p w14:paraId="3C5F312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Electrical Conductivity (µS/cm)</w:t>
            </w:r>
          </w:p>
        </w:tc>
        <w:tc>
          <w:tcPr>
            <w:tcW w:w="2254" w:type="dxa"/>
            <w:vAlign w:val="center"/>
          </w:tcPr>
          <w:p w14:paraId="2AED6FF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82</w:t>
            </w:r>
          </w:p>
        </w:tc>
        <w:tc>
          <w:tcPr>
            <w:tcW w:w="2254" w:type="dxa"/>
            <w:vAlign w:val="center"/>
          </w:tcPr>
          <w:p w14:paraId="71EC7B6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214</w:t>
            </w:r>
          </w:p>
        </w:tc>
        <w:tc>
          <w:tcPr>
            <w:tcW w:w="2254" w:type="dxa"/>
            <w:vAlign w:val="center"/>
          </w:tcPr>
          <w:p w14:paraId="18469B6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136 ± 41</w:t>
            </w:r>
          </w:p>
        </w:tc>
      </w:tr>
      <w:tr w:rsidR="00AC2AD1" w:rsidRPr="00F43789" w14:paraId="1552F2C9" w14:textId="77777777" w:rsidTr="005645B9">
        <w:tc>
          <w:tcPr>
            <w:tcW w:w="2254" w:type="dxa"/>
            <w:vAlign w:val="center"/>
          </w:tcPr>
          <w:p w14:paraId="1749B42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Organic Matter (%)</w:t>
            </w:r>
          </w:p>
        </w:tc>
        <w:tc>
          <w:tcPr>
            <w:tcW w:w="2254" w:type="dxa"/>
            <w:vAlign w:val="center"/>
          </w:tcPr>
          <w:p w14:paraId="019179A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1.21</w:t>
            </w:r>
          </w:p>
        </w:tc>
        <w:tc>
          <w:tcPr>
            <w:tcW w:w="2254" w:type="dxa"/>
            <w:vAlign w:val="center"/>
          </w:tcPr>
          <w:p w14:paraId="44F5306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3.84</w:t>
            </w:r>
          </w:p>
        </w:tc>
        <w:tc>
          <w:tcPr>
            <w:tcW w:w="2254" w:type="dxa"/>
            <w:vAlign w:val="center"/>
          </w:tcPr>
          <w:p w14:paraId="0D4E710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2.36 ± 0.72</w:t>
            </w:r>
          </w:p>
        </w:tc>
      </w:tr>
      <w:tr w:rsidR="00AC2AD1" w:rsidRPr="00F43789" w14:paraId="114D277C" w14:textId="77777777" w:rsidTr="005645B9">
        <w:tc>
          <w:tcPr>
            <w:tcW w:w="2254" w:type="dxa"/>
            <w:vAlign w:val="center"/>
          </w:tcPr>
          <w:p w14:paraId="2A38C94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Cation Exchange Capacity (</w:t>
            </w:r>
            <w:proofErr w:type="spellStart"/>
            <w:r w:rsidRPr="00A72271">
              <w:rPr>
                <w:rFonts w:ascii="Times New Roman" w:eastAsia="Times New Roman" w:hAnsi="Times New Roman" w:cs="Times New Roman"/>
                <w:sz w:val="24"/>
                <w:szCs w:val="24"/>
                <w:lang w:eastAsia="en-GB"/>
              </w:rPr>
              <w:t>cmol</w:t>
            </w:r>
            <w:proofErr w:type="spellEnd"/>
            <w:r w:rsidRPr="00A72271">
              <w:rPr>
                <w:rFonts w:ascii="Times New Roman" w:eastAsia="Times New Roman" w:hAnsi="Times New Roman" w:cs="Times New Roman"/>
                <w:sz w:val="24"/>
                <w:szCs w:val="24"/>
                <w:lang w:eastAsia="en-GB"/>
              </w:rPr>
              <w:t>/kg)</w:t>
            </w:r>
          </w:p>
        </w:tc>
        <w:tc>
          <w:tcPr>
            <w:tcW w:w="2254" w:type="dxa"/>
            <w:vAlign w:val="center"/>
          </w:tcPr>
          <w:p w14:paraId="5F8FAFB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5.8</w:t>
            </w:r>
          </w:p>
        </w:tc>
        <w:tc>
          <w:tcPr>
            <w:tcW w:w="2254" w:type="dxa"/>
            <w:vAlign w:val="center"/>
          </w:tcPr>
          <w:p w14:paraId="26540AE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13.6</w:t>
            </w:r>
          </w:p>
        </w:tc>
        <w:tc>
          <w:tcPr>
            <w:tcW w:w="2254" w:type="dxa"/>
            <w:vAlign w:val="center"/>
          </w:tcPr>
          <w:p w14:paraId="0132B4C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9.4 ± 2.6</w:t>
            </w:r>
          </w:p>
        </w:tc>
      </w:tr>
      <w:tr w:rsidR="00AC2AD1" w:rsidRPr="00F43789" w14:paraId="32633E2A" w14:textId="77777777" w:rsidTr="005645B9">
        <w:tc>
          <w:tcPr>
            <w:tcW w:w="2254" w:type="dxa"/>
            <w:vAlign w:val="center"/>
          </w:tcPr>
          <w:p w14:paraId="57F06B9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Soil Texture</w:t>
            </w:r>
          </w:p>
        </w:tc>
        <w:tc>
          <w:tcPr>
            <w:tcW w:w="2254" w:type="dxa"/>
            <w:vAlign w:val="center"/>
          </w:tcPr>
          <w:p w14:paraId="3D5C069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Sandy loam</w:t>
            </w:r>
          </w:p>
        </w:tc>
        <w:tc>
          <w:tcPr>
            <w:tcW w:w="2254" w:type="dxa"/>
            <w:vAlign w:val="center"/>
          </w:tcPr>
          <w:p w14:paraId="0E7492C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Loamy sand</w:t>
            </w:r>
          </w:p>
        </w:tc>
        <w:tc>
          <w:tcPr>
            <w:tcW w:w="2254" w:type="dxa"/>
            <w:vAlign w:val="center"/>
          </w:tcPr>
          <w:p w14:paraId="2930060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w:t>
            </w:r>
          </w:p>
        </w:tc>
      </w:tr>
    </w:tbl>
    <w:p w14:paraId="24549705" w14:textId="77777777" w:rsidR="00AC2AD1" w:rsidRPr="00F43789" w:rsidRDefault="00AC2AD1" w:rsidP="00F43789">
      <w:pPr>
        <w:spacing w:after="0" w:line="240" w:lineRule="auto"/>
        <w:jc w:val="both"/>
        <w:rPr>
          <w:rFonts w:ascii="Times New Roman" w:eastAsia="Times New Roman" w:hAnsi="Times New Roman" w:cs="Times New Roman"/>
          <w:sz w:val="24"/>
          <w:szCs w:val="24"/>
          <w:lang w:eastAsia="en-GB"/>
        </w:rPr>
      </w:pPr>
    </w:p>
    <w:p w14:paraId="5C325269" w14:textId="55735101" w:rsidR="00AC2AD1" w:rsidRPr="00F43789" w:rsidRDefault="00AC2AD1" w:rsidP="00F43789">
      <w:pPr>
        <w:spacing w:after="0" w:line="240" w:lineRule="auto"/>
        <w:jc w:val="both"/>
        <w:rPr>
          <w:rFonts w:ascii="Times New Roman" w:hAnsi="Times New Roman" w:cs="Times New Roman"/>
          <w:sz w:val="24"/>
          <w:szCs w:val="24"/>
        </w:rPr>
      </w:pPr>
      <w:r w:rsidRPr="00F43789">
        <w:rPr>
          <w:rFonts w:ascii="Times New Roman" w:hAnsi="Times New Roman" w:cs="Times New Roman"/>
          <w:sz w:val="24"/>
          <w:szCs w:val="24"/>
        </w:rPr>
        <w:t>As presented in Table 2, iron exhibited the highest concentration among the analysed metals, reflecting its natural abundance in soils. Cadmium and lead showed elevated concentrations in several samples, with cadmium exceeding the WHO/FAO guideline limit of 0.8 mg/kg. Lead concentrations approached and, in some cases, exceeded the permissible limit of 85 mg/kg. Nickel concentrations were close to the recommended limit, while chromium, zinc, and copper remained within acceptable guideline values. These results indicate notable anthropogenic influence, particularly for cadmium and lead.</w:t>
      </w:r>
    </w:p>
    <w:p w14:paraId="43F77871" w14:textId="77777777" w:rsidR="00AC2AD1" w:rsidRPr="00A72271" w:rsidRDefault="00AC2AD1" w:rsidP="00F43789">
      <w:pPr>
        <w:spacing w:after="0" w:line="240" w:lineRule="auto"/>
        <w:jc w:val="both"/>
        <w:rPr>
          <w:rFonts w:ascii="Times New Roman" w:eastAsia="Times New Roman" w:hAnsi="Times New Roman" w:cs="Times New Roman"/>
          <w:sz w:val="24"/>
          <w:szCs w:val="24"/>
          <w:lang w:eastAsia="en-GB"/>
        </w:rPr>
      </w:pPr>
    </w:p>
    <w:p w14:paraId="11907DCF" w14:textId="77777777"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Table 2: Heavy Metal Concentrations in Eleme Agricultural Soils (mg/kg)</w:t>
      </w:r>
    </w:p>
    <w:tbl>
      <w:tblPr>
        <w:tblStyle w:val="TableGrid"/>
        <w:tblW w:w="0" w:type="auto"/>
        <w:tblLook w:val="04A0" w:firstRow="1" w:lastRow="0" w:firstColumn="1" w:lastColumn="0" w:noHBand="0" w:noVBand="1"/>
      </w:tblPr>
      <w:tblGrid>
        <w:gridCol w:w="1271"/>
        <w:gridCol w:w="1418"/>
        <w:gridCol w:w="1559"/>
        <w:gridCol w:w="1984"/>
        <w:gridCol w:w="2784"/>
      </w:tblGrid>
      <w:tr w:rsidR="00AC2AD1" w:rsidRPr="00F43789" w14:paraId="3C64359B" w14:textId="77777777" w:rsidTr="005645B9">
        <w:tc>
          <w:tcPr>
            <w:tcW w:w="1271" w:type="dxa"/>
            <w:vAlign w:val="center"/>
          </w:tcPr>
          <w:p w14:paraId="6F3724B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Metal</w:t>
            </w:r>
          </w:p>
        </w:tc>
        <w:tc>
          <w:tcPr>
            <w:tcW w:w="1418" w:type="dxa"/>
            <w:vAlign w:val="center"/>
          </w:tcPr>
          <w:p w14:paraId="3189963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Minimum</w:t>
            </w:r>
          </w:p>
        </w:tc>
        <w:tc>
          <w:tcPr>
            <w:tcW w:w="1559" w:type="dxa"/>
            <w:vAlign w:val="center"/>
          </w:tcPr>
          <w:p w14:paraId="0654AC4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Maximum</w:t>
            </w:r>
          </w:p>
        </w:tc>
        <w:tc>
          <w:tcPr>
            <w:tcW w:w="1984" w:type="dxa"/>
            <w:vAlign w:val="center"/>
          </w:tcPr>
          <w:p w14:paraId="7962C42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Mean ± SD</w:t>
            </w:r>
          </w:p>
        </w:tc>
        <w:tc>
          <w:tcPr>
            <w:tcW w:w="2784" w:type="dxa"/>
            <w:vAlign w:val="center"/>
          </w:tcPr>
          <w:p w14:paraId="5D0C4FF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WHO/FAO Limit</w:t>
            </w:r>
          </w:p>
        </w:tc>
      </w:tr>
      <w:tr w:rsidR="00AC2AD1" w:rsidRPr="00F43789" w14:paraId="11E09AF1" w14:textId="77777777" w:rsidTr="005645B9">
        <w:tc>
          <w:tcPr>
            <w:tcW w:w="1271" w:type="dxa"/>
            <w:vAlign w:val="center"/>
          </w:tcPr>
          <w:p w14:paraId="6B695FB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Fe</w:t>
            </w:r>
          </w:p>
        </w:tc>
        <w:tc>
          <w:tcPr>
            <w:tcW w:w="1418" w:type="dxa"/>
            <w:vAlign w:val="center"/>
          </w:tcPr>
          <w:p w14:paraId="4489B23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8,420</w:t>
            </w:r>
          </w:p>
        </w:tc>
        <w:tc>
          <w:tcPr>
            <w:tcW w:w="1559" w:type="dxa"/>
            <w:vAlign w:val="center"/>
          </w:tcPr>
          <w:p w14:paraId="7187C85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19,350</w:t>
            </w:r>
          </w:p>
        </w:tc>
        <w:tc>
          <w:tcPr>
            <w:tcW w:w="1984" w:type="dxa"/>
            <w:vAlign w:val="center"/>
          </w:tcPr>
          <w:p w14:paraId="011EA1C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13,280 ± 3,140</w:t>
            </w:r>
          </w:p>
        </w:tc>
        <w:tc>
          <w:tcPr>
            <w:tcW w:w="2784" w:type="dxa"/>
            <w:vAlign w:val="center"/>
          </w:tcPr>
          <w:p w14:paraId="0F3225C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w:t>
            </w:r>
          </w:p>
        </w:tc>
      </w:tr>
      <w:tr w:rsidR="00AC2AD1" w:rsidRPr="00F43789" w14:paraId="13617408" w14:textId="77777777" w:rsidTr="005645B9">
        <w:tc>
          <w:tcPr>
            <w:tcW w:w="1271" w:type="dxa"/>
            <w:vAlign w:val="center"/>
          </w:tcPr>
          <w:p w14:paraId="70A4C56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Pb</w:t>
            </w:r>
          </w:p>
        </w:tc>
        <w:tc>
          <w:tcPr>
            <w:tcW w:w="1418" w:type="dxa"/>
            <w:vAlign w:val="center"/>
          </w:tcPr>
          <w:p w14:paraId="7C35412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18.6</w:t>
            </w:r>
          </w:p>
        </w:tc>
        <w:tc>
          <w:tcPr>
            <w:tcW w:w="1559" w:type="dxa"/>
            <w:vAlign w:val="center"/>
          </w:tcPr>
          <w:p w14:paraId="2210DFF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96.4</w:t>
            </w:r>
          </w:p>
        </w:tc>
        <w:tc>
          <w:tcPr>
            <w:tcW w:w="1984" w:type="dxa"/>
            <w:vAlign w:val="center"/>
          </w:tcPr>
          <w:p w14:paraId="7C6CD12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54.8 ± 21.3</w:t>
            </w:r>
          </w:p>
        </w:tc>
        <w:tc>
          <w:tcPr>
            <w:tcW w:w="2784" w:type="dxa"/>
            <w:vAlign w:val="center"/>
          </w:tcPr>
          <w:p w14:paraId="759FED5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85</w:t>
            </w:r>
          </w:p>
        </w:tc>
      </w:tr>
      <w:tr w:rsidR="00AC2AD1" w:rsidRPr="00F43789" w14:paraId="7A6688CC" w14:textId="77777777" w:rsidTr="005645B9">
        <w:tc>
          <w:tcPr>
            <w:tcW w:w="1271" w:type="dxa"/>
            <w:vAlign w:val="center"/>
          </w:tcPr>
          <w:p w14:paraId="1CAD24C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Cd</w:t>
            </w:r>
          </w:p>
        </w:tc>
        <w:tc>
          <w:tcPr>
            <w:tcW w:w="1418" w:type="dxa"/>
            <w:vAlign w:val="center"/>
          </w:tcPr>
          <w:p w14:paraId="3967F5C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0.42</w:t>
            </w:r>
          </w:p>
        </w:tc>
        <w:tc>
          <w:tcPr>
            <w:tcW w:w="1559" w:type="dxa"/>
            <w:vAlign w:val="center"/>
          </w:tcPr>
          <w:p w14:paraId="644BA75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2.86</w:t>
            </w:r>
          </w:p>
        </w:tc>
        <w:tc>
          <w:tcPr>
            <w:tcW w:w="1984" w:type="dxa"/>
            <w:vAlign w:val="center"/>
          </w:tcPr>
          <w:p w14:paraId="455F46E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1.38 ± 0.71</w:t>
            </w:r>
          </w:p>
        </w:tc>
        <w:tc>
          <w:tcPr>
            <w:tcW w:w="2784" w:type="dxa"/>
            <w:vAlign w:val="center"/>
          </w:tcPr>
          <w:p w14:paraId="732F589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0.8</w:t>
            </w:r>
          </w:p>
        </w:tc>
      </w:tr>
      <w:tr w:rsidR="00AC2AD1" w:rsidRPr="00F43789" w14:paraId="37D5A660" w14:textId="77777777" w:rsidTr="005645B9">
        <w:tc>
          <w:tcPr>
            <w:tcW w:w="1271" w:type="dxa"/>
            <w:vAlign w:val="center"/>
          </w:tcPr>
          <w:p w14:paraId="4A9AE25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Cr</w:t>
            </w:r>
          </w:p>
        </w:tc>
        <w:tc>
          <w:tcPr>
            <w:tcW w:w="1418" w:type="dxa"/>
            <w:vAlign w:val="center"/>
          </w:tcPr>
          <w:p w14:paraId="32E9CA3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21.4</w:t>
            </w:r>
          </w:p>
        </w:tc>
        <w:tc>
          <w:tcPr>
            <w:tcW w:w="1559" w:type="dxa"/>
            <w:vAlign w:val="center"/>
          </w:tcPr>
          <w:p w14:paraId="4DFEA88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87.6</w:t>
            </w:r>
          </w:p>
        </w:tc>
        <w:tc>
          <w:tcPr>
            <w:tcW w:w="1984" w:type="dxa"/>
            <w:vAlign w:val="center"/>
          </w:tcPr>
          <w:p w14:paraId="3D94C82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52.9 ± 18.5</w:t>
            </w:r>
          </w:p>
        </w:tc>
        <w:tc>
          <w:tcPr>
            <w:tcW w:w="2784" w:type="dxa"/>
            <w:vAlign w:val="center"/>
          </w:tcPr>
          <w:p w14:paraId="0FCFF42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100</w:t>
            </w:r>
          </w:p>
        </w:tc>
      </w:tr>
      <w:tr w:rsidR="00AC2AD1" w:rsidRPr="00F43789" w14:paraId="16ADA465" w14:textId="77777777" w:rsidTr="005645B9">
        <w:tc>
          <w:tcPr>
            <w:tcW w:w="1271" w:type="dxa"/>
            <w:vAlign w:val="center"/>
          </w:tcPr>
          <w:p w14:paraId="1A5C8B8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Ni</w:t>
            </w:r>
          </w:p>
        </w:tc>
        <w:tc>
          <w:tcPr>
            <w:tcW w:w="1418" w:type="dxa"/>
            <w:vAlign w:val="center"/>
          </w:tcPr>
          <w:p w14:paraId="6B61FEB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19.3</w:t>
            </w:r>
          </w:p>
        </w:tc>
        <w:tc>
          <w:tcPr>
            <w:tcW w:w="1559" w:type="dxa"/>
            <w:vAlign w:val="center"/>
          </w:tcPr>
          <w:p w14:paraId="29761E5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74.1</w:t>
            </w:r>
          </w:p>
        </w:tc>
        <w:tc>
          <w:tcPr>
            <w:tcW w:w="1984" w:type="dxa"/>
            <w:vAlign w:val="center"/>
          </w:tcPr>
          <w:p w14:paraId="33775B6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41.7 ± 16.2</w:t>
            </w:r>
          </w:p>
        </w:tc>
        <w:tc>
          <w:tcPr>
            <w:tcW w:w="2784" w:type="dxa"/>
            <w:vAlign w:val="center"/>
          </w:tcPr>
          <w:p w14:paraId="04FA702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50</w:t>
            </w:r>
          </w:p>
        </w:tc>
      </w:tr>
      <w:tr w:rsidR="00AC2AD1" w:rsidRPr="00F43789" w14:paraId="1BCB1713" w14:textId="77777777" w:rsidTr="005645B9">
        <w:tc>
          <w:tcPr>
            <w:tcW w:w="1271" w:type="dxa"/>
            <w:vAlign w:val="center"/>
          </w:tcPr>
          <w:p w14:paraId="1E8885D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Zn</w:t>
            </w:r>
          </w:p>
        </w:tc>
        <w:tc>
          <w:tcPr>
            <w:tcW w:w="1418" w:type="dxa"/>
            <w:vAlign w:val="center"/>
          </w:tcPr>
          <w:p w14:paraId="7682759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44.6</w:t>
            </w:r>
          </w:p>
        </w:tc>
        <w:tc>
          <w:tcPr>
            <w:tcW w:w="1559" w:type="dxa"/>
            <w:vAlign w:val="center"/>
          </w:tcPr>
          <w:p w14:paraId="05E5494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189.3</w:t>
            </w:r>
          </w:p>
        </w:tc>
        <w:tc>
          <w:tcPr>
            <w:tcW w:w="1984" w:type="dxa"/>
            <w:vAlign w:val="center"/>
          </w:tcPr>
          <w:p w14:paraId="4839816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112.5 ± 39.8</w:t>
            </w:r>
          </w:p>
        </w:tc>
        <w:tc>
          <w:tcPr>
            <w:tcW w:w="2784" w:type="dxa"/>
            <w:vAlign w:val="center"/>
          </w:tcPr>
          <w:p w14:paraId="612677B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300</w:t>
            </w:r>
          </w:p>
        </w:tc>
      </w:tr>
      <w:tr w:rsidR="00AC2AD1" w:rsidRPr="00F43789" w14:paraId="026EEE3D" w14:textId="77777777" w:rsidTr="005645B9">
        <w:tc>
          <w:tcPr>
            <w:tcW w:w="1271" w:type="dxa"/>
            <w:vAlign w:val="center"/>
          </w:tcPr>
          <w:p w14:paraId="5940EFD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Cu</w:t>
            </w:r>
          </w:p>
        </w:tc>
        <w:tc>
          <w:tcPr>
            <w:tcW w:w="1418" w:type="dxa"/>
            <w:vAlign w:val="center"/>
          </w:tcPr>
          <w:p w14:paraId="2B3E174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12.8</w:t>
            </w:r>
          </w:p>
        </w:tc>
        <w:tc>
          <w:tcPr>
            <w:tcW w:w="1559" w:type="dxa"/>
            <w:vAlign w:val="center"/>
          </w:tcPr>
          <w:p w14:paraId="081092A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68.5</w:t>
            </w:r>
          </w:p>
        </w:tc>
        <w:tc>
          <w:tcPr>
            <w:tcW w:w="1984" w:type="dxa"/>
            <w:vAlign w:val="center"/>
          </w:tcPr>
          <w:p w14:paraId="7ED7EF6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35.9 ± 15.4</w:t>
            </w:r>
          </w:p>
        </w:tc>
        <w:tc>
          <w:tcPr>
            <w:tcW w:w="2784" w:type="dxa"/>
            <w:vAlign w:val="center"/>
          </w:tcPr>
          <w:p w14:paraId="3D084C9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100</w:t>
            </w:r>
          </w:p>
        </w:tc>
      </w:tr>
    </w:tbl>
    <w:p w14:paraId="74B6422B" w14:textId="77777777" w:rsidR="00AC2AD1" w:rsidRPr="00A72271" w:rsidRDefault="00AC2AD1" w:rsidP="00F43789">
      <w:pPr>
        <w:spacing w:after="0" w:line="240" w:lineRule="auto"/>
        <w:jc w:val="both"/>
        <w:rPr>
          <w:rFonts w:ascii="Times New Roman" w:eastAsia="Times New Roman" w:hAnsi="Times New Roman" w:cs="Times New Roman"/>
          <w:sz w:val="24"/>
          <w:szCs w:val="24"/>
          <w:lang w:eastAsia="en-GB"/>
        </w:rPr>
      </w:pPr>
      <w:r w:rsidRPr="00F43789">
        <w:rPr>
          <w:rFonts w:ascii="Times New Roman" w:hAnsi="Times New Roman" w:cs="Times New Roman"/>
          <w:sz w:val="24"/>
          <w:szCs w:val="24"/>
        </w:rPr>
        <w:t>Table 3 reveals varying degrees of soil contamination across the studied metals. Cadmium recorded a very high contamination factor and a geo-accumulation index indicative of strong contamination, identifying it as the most critical pollutant. Lead and nickel showed moderate contamination levels, while chromium ranged from uncontaminated to moderately contaminated. Zinc exhibited low contamination levels, indicating minimal enrichment relative to background values.</w:t>
      </w:r>
    </w:p>
    <w:p w14:paraId="79C6BA4C" w14:textId="77777777"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p>
    <w:p w14:paraId="0F156BAE" w14:textId="07D4622B"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Table 3: Soil Contamination Indices for Heavy Metals</w:t>
      </w:r>
    </w:p>
    <w:tbl>
      <w:tblPr>
        <w:tblStyle w:val="TableGrid"/>
        <w:tblW w:w="0" w:type="auto"/>
        <w:tblLook w:val="04A0" w:firstRow="1" w:lastRow="0" w:firstColumn="1" w:lastColumn="0" w:noHBand="0" w:noVBand="1"/>
      </w:tblPr>
      <w:tblGrid>
        <w:gridCol w:w="1129"/>
        <w:gridCol w:w="3379"/>
        <w:gridCol w:w="1299"/>
        <w:gridCol w:w="3209"/>
      </w:tblGrid>
      <w:tr w:rsidR="00AC2AD1" w:rsidRPr="00F43789" w14:paraId="4DDF7BD0" w14:textId="77777777" w:rsidTr="005645B9">
        <w:tc>
          <w:tcPr>
            <w:tcW w:w="1129" w:type="dxa"/>
            <w:vAlign w:val="center"/>
          </w:tcPr>
          <w:p w14:paraId="43D0A69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Metal</w:t>
            </w:r>
          </w:p>
        </w:tc>
        <w:tc>
          <w:tcPr>
            <w:tcW w:w="3379" w:type="dxa"/>
            <w:vAlign w:val="center"/>
          </w:tcPr>
          <w:p w14:paraId="3693A10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Contamination Factor (CF)</w:t>
            </w:r>
          </w:p>
        </w:tc>
        <w:tc>
          <w:tcPr>
            <w:tcW w:w="1299" w:type="dxa"/>
            <w:vAlign w:val="center"/>
          </w:tcPr>
          <w:p w14:paraId="58968AC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proofErr w:type="spellStart"/>
            <w:r w:rsidRPr="00A72271">
              <w:rPr>
                <w:rFonts w:ascii="Times New Roman" w:eastAsia="Times New Roman" w:hAnsi="Times New Roman" w:cs="Times New Roman"/>
                <w:b/>
                <w:bCs/>
                <w:sz w:val="24"/>
                <w:szCs w:val="24"/>
                <w:lang w:eastAsia="en-GB"/>
              </w:rPr>
              <w:t>Igeo</w:t>
            </w:r>
            <w:proofErr w:type="spellEnd"/>
          </w:p>
        </w:tc>
        <w:tc>
          <w:tcPr>
            <w:tcW w:w="3209" w:type="dxa"/>
            <w:vAlign w:val="center"/>
          </w:tcPr>
          <w:p w14:paraId="2255BA7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Pollution Level</w:t>
            </w:r>
          </w:p>
        </w:tc>
      </w:tr>
      <w:tr w:rsidR="00AC2AD1" w:rsidRPr="00F43789" w14:paraId="6E3D5151" w14:textId="77777777" w:rsidTr="005645B9">
        <w:tc>
          <w:tcPr>
            <w:tcW w:w="1129" w:type="dxa"/>
            <w:vAlign w:val="center"/>
          </w:tcPr>
          <w:p w14:paraId="119DBBD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Pb</w:t>
            </w:r>
          </w:p>
        </w:tc>
        <w:tc>
          <w:tcPr>
            <w:tcW w:w="3379" w:type="dxa"/>
            <w:vAlign w:val="center"/>
          </w:tcPr>
          <w:p w14:paraId="6B3B384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2.7</w:t>
            </w:r>
          </w:p>
        </w:tc>
        <w:tc>
          <w:tcPr>
            <w:tcW w:w="1299" w:type="dxa"/>
            <w:vAlign w:val="center"/>
          </w:tcPr>
          <w:p w14:paraId="59EB2FE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1.2</w:t>
            </w:r>
          </w:p>
        </w:tc>
        <w:tc>
          <w:tcPr>
            <w:tcW w:w="3209" w:type="dxa"/>
            <w:vAlign w:val="center"/>
          </w:tcPr>
          <w:p w14:paraId="2E9A3DB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Moderate contamination</w:t>
            </w:r>
          </w:p>
        </w:tc>
      </w:tr>
      <w:tr w:rsidR="00AC2AD1" w:rsidRPr="00F43789" w14:paraId="4935F63D" w14:textId="77777777" w:rsidTr="005645B9">
        <w:tc>
          <w:tcPr>
            <w:tcW w:w="1129" w:type="dxa"/>
            <w:vAlign w:val="center"/>
          </w:tcPr>
          <w:p w14:paraId="41657C1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Cd</w:t>
            </w:r>
          </w:p>
        </w:tc>
        <w:tc>
          <w:tcPr>
            <w:tcW w:w="3379" w:type="dxa"/>
            <w:vAlign w:val="center"/>
          </w:tcPr>
          <w:p w14:paraId="6D56A5A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6.9</w:t>
            </w:r>
          </w:p>
        </w:tc>
        <w:tc>
          <w:tcPr>
            <w:tcW w:w="1299" w:type="dxa"/>
            <w:vAlign w:val="center"/>
          </w:tcPr>
          <w:p w14:paraId="301E821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2.8</w:t>
            </w:r>
          </w:p>
        </w:tc>
        <w:tc>
          <w:tcPr>
            <w:tcW w:w="3209" w:type="dxa"/>
            <w:vAlign w:val="center"/>
          </w:tcPr>
          <w:p w14:paraId="1D72691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Strong contamination</w:t>
            </w:r>
          </w:p>
        </w:tc>
      </w:tr>
      <w:tr w:rsidR="00AC2AD1" w:rsidRPr="00F43789" w14:paraId="2A5C96D3" w14:textId="77777777" w:rsidTr="005645B9">
        <w:tc>
          <w:tcPr>
            <w:tcW w:w="1129" w:type="dxa"/>
            <w:vAlign w:val="center"/>
          </w:tcPr>
          <w:p w14:paraId="3634511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Cr</w:t>
            </w:r>
          </w:p>
        </w:tc>
        <w:tc>
          <w:tcPr>
            <w:tcW w:w="3379" w:type="dxa"/>
            <w:vAlign w:val="center"/>
          </w:tcPr>
          <w:p w14:paraId="1016908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1.1</w:t>
            </w:r>
          </w:p>
        </w:tc>
        <w:tc>
          <w:tcPr>
            <w:tcW w:w="1299" w:type="dxa"/>
            <w:vAlign w:val="center"/>
          </w:tcPr>
          <w:p w14:paraId="4CB464D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0.1</w:t>
            </w:r>
          </w:p>
        </w:tc>
        <w:tc>
          <w:tcPr>
            <w:tcW w:w="3209" w:type="dxa"/>
            <w:vAlign w:val="center"/>
          </w:tcPr>
          <w:p w14:paraId="3F8D49F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Uncontaminated–moderate</w:t>
            </w:r>
          </w:p>
        </w:tc>
      </w:tr>
      <w:tr w:rsidR="00AC2AD1" w:rsidRPr="00F43789" w14:paraId="3CF4A344" w14:textId="77777777" w:rsidTr="005645B9">
        <w:tc>
          <w:tcPr>
            <w:tcW w:w="1129" w:type="dxa"/>
            <w:vAlign w:val="center"/>
          </w:tcPr>
          <w:p w14:paraId="3D12F8A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Ni</w:t>
            </w:r>
          </w:p>
        </w:tc>
        <w:tc>
          <w:tcPr>
            <w:tcW w:w="3379" w:type="dxa"/>
            <w:vAlign w:val="center"/>
          </w:tcPr>
          <w:p w14:paraId="1BDA6DB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2.1</w:t>
            </w:r>
          </w:p>
        </w:tc>
        <w:tc>
          <w:tcPr>
            <w:tcW w:w="1299" w:type="dxa"/>
            <w:vAlign w:val="center"/>
          </w:tcPr>
          <w:p w14:paraId="25AF1AA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0.9</w:t>
            </w:r>
          </w:p>
        </w:tc>
        <w:tc>
          <w:tcPr>
            <w:tcW w:w="3209" w:type="dxa"/>
            <w:vAlign w:val="center"/>
          </w:tcPr>
          <w:p w14:paraId="499D91F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Moderate contamination</w:t>
            </w:r>
          </w:p>
        </w:tc>
      </w:tr>
      <w:tr w:rsidR="00AC2AD1" w:rsidRPr="00F43789" w14:paraId="568E89DB" w14:textId="77777777" w:rsidTr="005645B9">
        <w:tc>
          <w:tcPr>
            <w:tcW w:w="1129" w:type="dxa"/>
            <w:vAlign w:val="center"/>
          </w:tcPr>
          <w:p w14:paraId="102843F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Zn</w:t>
            </w:r>
          </w:p>
        </w:tc>
        <w:tc>
          <w:tcPr>
            <w:tcW w:w="3379" w:type="dxa"/>
            <w:vAlign w:val="center"/>
          </w:tcPr>
          <w:p w14:paraId="73C33F0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0.9</w:t>
            </w:r>
          </w:p>
        </w:tc>
        <w:tc>
          <w:tcPr>
            <w:tcW w:w="1299" w:type="dxa"/>
            <w:vAlign w:val="center"/>
          </w:tcPr>
          <w:p w14:paraId="2455DE8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–0.4</w:t>
            </w:r>
          </w:p>
        </w:tc>
        <w:tc>
          <w:tcPr>
            <w:tcW w:w="3209" w:type="dxa"/>
            <w:vAlign w:val="center"/>
          </w:tcPr>
          <w:p w14:paraId="0D4621E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Uncontaminated</w:t>
            </w:r>
          </w:p>
        </w:tc>
      </w:tr>
    </w:tbl>
    <w:p w14:paraId="354B7D96" w14:textId="77777777" w:rsidR="00AC2AD1" w:rsidRPr="00A72271" w:rsidRDefault="00AC2AD1" w:rsidP="00F43789">
      <w:pPr>
        <w:spacing w:after="0" w:line="240" w:lineRule="auto"/>
        <w:jc w:val="both"/>
        <w:rPr>
          <w:rFonts w:ascii="Times New Roman" w:eastAsia="Times New Roman" w:hAnsi="Times New Roman" w:cs="Times New Roman"/>
          <w:sz w:val="24"/>
          <w:szCs w:val="24"/>
          <w:lang w:eastAsia="en-GB"/>
        </w:rPr>
      </w:pPr>
      <w:r w:rsidRPr="00F43789">
        <w:rPr>
          <w:rFonts w:ascii="Times New Roman" w:hAnsi="Times New Roman" w:cs="Times New Roman"/>
          <w:sz w:val="24"/>
          <w:szCs w:val="24"/>
        </w:rPr>
        <w:t>Ecological risk results in Table 4 indicate that cadmium posed a very high ecological risk, driven by its high toxic response factor and elevated concentration. Lead and nickel contributed moderate ecological risks, while chromium and zinc posed low ecological risks. The overall potential ecological risk index (PERI) value of 233.9 indicates a considerable ecological risk for the agricultural soils in Eleme.</w:t>
      </w:r>
    </w:p>
    <w:p w14:paraId="2D0293A7" w14:textId="77777777"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p>
    <w:p w14:paraId="2C1DB3F7" w14:textId="57E5FC08"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Table 4: Ecological Risk Assessment of Heavy Metals</w:t>
      </w:r>
    </w:p>
    <w:tbl>
      <w:tblPr>
        <w:tblStyle w:val="TableGrid"/>
        <w:tblW w:w="0" w:type="auto"/>
        <w:tblLook w:val="04A0" w:firstRow="1" w:lastRow="0" w:firstColumn="1" w:lastColumn="0" w:noHBand="0" w:noVBand="1"/>
      </w:tblPr>
      <w:tblGrid>
        <w:gridCol w:w="988"/>
        <w:gridCol w:w="3118"/>
        <w:gridCol w:w="3119"/>
        <w:gridCol w:w="1791"/>
      </w:tblGrid>
      <w:tr w:rsidR="00AC2AD1" w:rsidRPr="00F43789" w14:paraId="76C608DA" w14:textId="77777777" w:rsidTr="005645B9">
        <w:tc>
          <w:tcPr>
            <w:tcW w:w="988" w:type="dxa"/>
            <w:vAlign w:val="center"/>
          </w:tcPr>
          <w:p w14:paraId="0A8DE7B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Metal</w:t>
            </w:r>
          </w:p>
        </w:tc>
        <w:tc>
          <w:tcPr>
            <w:tcW w:w="3118" w:type="dxa"/>
            <w:vAlign w:val="center"/>
          </w:tcPr>
          <w:p w14:paraId="00FF414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Toxic Response Factor (Tr)</w:t>
            </w:r>
          </w:p>
        </w:tc>
        <w:tc>
          <w:tcPr>
            <w:tcW w:w="3119" w:type="dxa"/>
            <w:vAlign w:val="center"/>
          </w:tcPr>
          <w:p w14:paraId="5B782CE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Ecological Risk Factor (Er)</w:t>
            </w:r>
          </w:p>
        </w:tc>
        <w:tc>
          <w:tcPr>
            <w:tcW w:w="1791" w:type="dxa"/>
            <w:vAlign w:val="center"/>
          </w:tcPr>
          <w:p w14:paraId="2C5FEAF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Risk Category</w:t>
            </w:r>
          </w:p>
        </w:tc>
      </w:tr>
      <w:tr w:rsidR="00AC2AD1" w:rsidRPr="00F43789" w14:paraId="015D78E6" w14:textId="77777777" w:rsidTr="005645B9">
        <w:tc>
          <w:tcPr>
            <w:tcW w:w="988" w:type="dxa"/>
            <w:vAlign w:val="center"/>
          </w:tcPr>
          <w:p w14:paraId="264E8E7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Pb</w:t>
            </w:r>
          </w:p>
        </w:tc>
        <w:tc>
          <w:tcPr>
            <w:tcW w:w="3118" w:type="dxa"/>
            <w:vAlign w:val="center"/>
          </w:tcPr>
          <w:p w14:paraId="2EBBCA5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5</w:t>
            </w:r>
          </w:p>
        </w:tc>
        <w:tc>
          <w:tcPr>
            <w:tcW w:w="3119" w:type="dxa"/>
            <w:vAlign w:val="center"/>
          </w:tcPr>
          <w:p w14:paraId="754E290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13.5</w:t>
            </w:r>
          </w:p>
        </w:tc>
        <w:tc>
          <w:tcPr>
            <w:tcW w:w="1791" w:type="dxa"/>
            <w:vAlign w:val="center"/>
          </w:tcPr>
          <w:p w14:paraId="5289891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Moderate</w:t>
            </w:r>
          </w:p>
        </w:tc>
      </w:tr>
      <w:tr w:rsidR="00AC2AD1" w:rsidRPr="00F43789" w14:paraId="089D6C04" w14:textId="77777777" w:rsidTr="005645B9">
        <w:tc>
          <w:tcPr>
            <w:tcW w:w="988" w:type="dxa"/>
            <w:vAlign w:val="center"/>
          </w:tcPr>
          <w:p w14:paraId="79F3C9D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Cd</w:t>
            </w:r>
          </w:p>
        </w:tc>
        <w:tc>
          <w:tcPr>
            <w:tcW w:w="3118" w:type="dxa"/>
            <w:vAlign w:val="center"/>
          </w:tcPr>
          <w:p w14:paraId="18936FD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30</w:t>
            </w:r>
          </w:p>
        </w:tc>
        <w:tc>
          <w:tcPr>
            <w:tcW w:w="3119" w:type="dxa"/>
            <w:vAlign w:val="center"/>
          </w:tcPr>
          <w:p w14:paraId="6B3545D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207.0</w:t>
            </w:r>
          </w:p>
        </w:tc>
        <w:tc>
          <w:tcPr>
            <w:tcW w:w="1791" w:type="dxa"/>
            <w:vAlign w:val="center"/>
          </w:tcPr>
          <w:p w14:paraId="75C4592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Very high</w:t>
            </w:r>
          </w:p>
        </w:tc>
      </w:tr>
      <w:tr w:rsidR="00AC2AD1" w:rsidRPr="00F43789" w14:paraId="2E58EEFB" w14:textId="77777777" w:rsidTr="005645B9">
        <w:tc>
          <w:tcPr>
            <w:tcW w:w="988" w:type="dxa"/>
            <w:vAlign w:val="center"/>
          </w:tcPr>
          <w:p w14:paraId="1A457B2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Cr</w:t>
            </w:r>
          </w:p>
        </w:tc>
        <w:tc>
          <w:tcPr>
            <w:tcW w:w="3118" w:type="dxa"/>
            <w:vAlign w:val="center"/>
          </w:tcPr>
          <w:p w14:paraId="7691FBE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w:t>
            </w:r>
          </w:p>
        </w:tc>
        <w:tc>
          <w:tcPr>
            <w:tcW w:w="3119" w:type="dxa"/>
            <w:vAlign w:val="center"/>
          </w:tcPr>
          <w:p w14:paraId="597AA9D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2.2</w:t>
            </w:r>
          </w:p>
        </w:tc>
        <w:tc>
          <w:tcPr>
            <w:tcW w:w="1791" w:type="dxa"/>
            <w:vAlign w:val="center"/>
          </w:tcPr>
          <w:p w14:paraId="51D3330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Low</w:t>
            </w:r>
          </w:p>
        </w:tc>
      </w:tr>
      <w:tr w:rsidR="00AC2AD1" w:rsidRPr="00F43789" w14:paraId="13334992" w14:textId="77777777" w:rsidTr="005645B9">
        <w:tc>
          <w:tcPr>
            <w:tcW w:w="988" w:type="dxa"/>
            <w:vAlign w:val="center"/>
          </w:tcPr>
          <w:p w14:paraId="24D4D47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Ni</w:t>
            </w:r>
          </w:p>
        </w:tc>
        <w:tc>
          <w:tcPr>
            <w:tcW w:w="3118" w:type="dxa"/>
            <w:vAlign w:val="center"/>
          </w:tcPr>
          <w:p w14:paraId="13E6FB4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5</w:t>
            </w:r>
          </w:p>
        </w:tc>
        <w:tc>
          <w:tcPr>
            <w:tcW w:w="3119" w:type="dxa"/>
            <w:vAlign w:val="center"/>
          </w:tcPr>
          <w:p w14:paraId="1F42687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10.5</w:t>
            </w:r>
          </w:p>
        </w:tc>
        <w:tc>
          <w:tcPr>
            <w:tcW w:w="1791" w:type="dxa"/>
            <w:vAlign w:val="center"/>
          </w:tcPr>
          <w:p w14:paraId="51ADCA3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Moderate</w:t>
            </w:r>
          </w:p>
        </w:tc>
      </w:tr>
      <w:tr w:rsidR="00AC2AD1" w:rsidRPr="00F43789" w14:paraId="6EF5A4AB" w14:textId="77777777" w:rsidTr="005645B9">
        <w:tc>
          <w:tcPr>
            <w:tcW w:w="988" w:type="dxa"/>
            <w:vAlign w:val="center"/>
          </w:tcPr>
          <w:p w14:paraId="319A123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Zn</w:t>
            </w:r>
          </w:p>
        </w:tc>
        <w:tc>
          <w:tcPr>
            <w:tcW w:w="3118" w:type="dxa"/>
            <w:vAlign w:val="center"/>
          </w:tcPr>
          <w:p w14:paraId="7EBADB2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w:t>
            </w:r>
          </w:p>
        </w:tc>
        <w:tc>
          <w:tcPr>
            <w:tcW w:w="3119" w:type="dxa"/>
            <w:vAlign w:val="center"/>
          </w:tcPr>
          <w:p w14:paraId="6176EA1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0.9</w:t>
            </w:r>
          </w:p>
        </w:tc>
        <w:tc>
          <w:tcPr>
            <w:tcW w:w="1791" w:type="dxa"/>
            <w:vAlign w:val="center"/>
          </w:tcPr>
          <w:p w14:paraId="2A00778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Low</w:t>
            </w:r>
          </w:p>
        </w:tc>
      </w:tr>
    </w:tbl>
    <w:p w14:paraId="60BB2A48" w14:textId="77777777" w:rsidR="00AC2AD1" w:rsidRPr="00F43789" w:rsidRDefault="00AC2AD1" w:rsidP="00F43789">
      <w:pPr>
        <w:spacing w:after="0" w:line="240" w:lineRule="auto"/>
        <w:jc w:val="both"/>
        <w:rPr>
          <w:rFonts w:ascii="Times New Roman" w:eastAsia="Times New Roman" w:hAnsi="Times New Roman" w:cs="Times New Roman"/>
          <w:b/>
          <w:bCs/>
          <w:sz w:val="24"/>
          <w:szCs w:val="24"/>
          <w:lang w:eastAsia="en-GB"/>
        </w:rPr>
      </w:pPr>
    </w:p>
    <w:p w14:paraId="0751F73C" w14:textId="77777777" w:rsidR="00AC2AD1" w:rsidRPr="00A72271" w:rsidRDefault="00AC2AD1" w:rsidP="00F43789">
      <w:pPr>
        <w:spacing w:after="0" w:line="240" w:lineRule="auto"/>
        <w:jc w:val="both"/>
        <w:rPr>
          <w:rFonts w:ascii="Times New Roman" w:eastAsia="Times New Roman" w:hAnsi="Times New Roman" w:cs="Times New Roman"/>
          <w:sz w:val="24"/>
          <w:szCs w:val="24"/>
          <w:lang w:eastAsia="en-GB"/>
        </w:rPr>
      </w:pPr>
      <w:r w:rsidRPr="00F43789">
        <w:rPr>
          <w:rFonts w:ascii="Times New Roman" w:hAnsi="Times New Roman" w:cs="Times New Roman"/>
          <w:sz w:val="24"/>
          <w:szCs w:val="24"/>
        </w:rPr>
        <w:t>Table 5 shows that ingestion was the dominant exposure pathway for heavy metals. Hazard quotient values for cadmium and lead exceeded unity for children, indicating potential and significant non-carcinogenic health risks. Nickel also posed a potential risk to children, while chromium and zinc remained within acceptable safety limits for both adults and children. Overall, children were more vulnerable to soil-related heavy-metal exposure than adults.</w:t>
      </w:r>
    </w:p>
    <w:p w14:paraId="7E705D45" w14:textId="77777777"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p>
    <w:p w14:paraId="6E865B90" w14:textId="56E731DA"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Table 5: Non-Carcinogenic Human Health Risk Assessment</w:t>
      </w:r>
    </w:p>
    <w:tbl>
      <w:tblPr>
        <w:tblStyle w:val="TableGrid"/>
        <w:tblW w:w="0" w:type="auto"/>
        <w:tblLook w:val="04A0" w:firstRow="1" w:lastRow="0" w:firstColumn="1" w:lastColumn="0" w:noHBand="0" w:noVBand="1"/>
      </w:tblPr>
      <w:tblGrid>
        <w:gridCol w:w="988"/>
        <w:gridCol w:w="2268"/>
        <w:gridCol w:w="1701"/>
        <w:gridCol w:w="1842"/>
        <w:gridCol w:w="2217"/>
      </w:tblGrid>
      <w:tr w:rsidR="00AC2AD1" w:rsidRPr="00F43789" w14:paraId="6364C3C9" w14:textId="77777777" w:rsidTr="005645B9">
        <w:tc>
          <w:tcPr>
            <w:tcW w:w="988" w:type="dxa"/>
            <w:vAlign w:val="center"/>
          </w:tcPr>
          <w:p w14:paraId="337387F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Metal</w:t>
            </w:r>
          </w:p>
        </w:tc>
        <w:tc>
          <w:tcPr>
            <w:tcW w:w="2268" w:type="dxa"/>
            <w:vAlign w:val="center"/>
          </w:tcPr>
          <w:p w14:paraId="7233004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Exposure Pathway</w:t>
            </w:r>
          </w:p>
        </w:tc>
        <w:tc>
          <w:tcPr>
            <w:tcW w:w="1701" w:type="dxa"/>
            <w:vAlign w:val="center"/>
          </w:tcPr>
          <w:p w14:paraId="299F0B9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HQ (Adults)</w:t>
            </w:r>
          </w:p>
        </w:tc>
        <w:tc>
          <w:tcPr>
            <w:tcW w:w="1842" w:type="dxa"/>
            <w:vAlign w:val="center"/>
          </w:tcPr>
          <w:p w14:paraId="558DAC9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HQ (Children)</w:t>
            </w:r>
          </w:p>
        </w:tc>
        <w:tc>
          <w:tcPr>
            <w:tcW w:w="2217" w:type="dxa"/>
            <w:vAlign w:val="center"/>
          </w:tcPr>
          <w:p w14:paraId="3723619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Risk Interpretation</w:t>
            </w:r>
          </w:p>
        </w:tc>
      </w:tr>
      <w:tr w:rsidR="00AC2AD1" w:rsidRPr="00F43789" w14:paraId="6D504146" w14:textId="77777777" w:rsidTr="005645B9">
        <w:tc>
          <w:tcPr>
            <w:tcW w:w="988" w:type="dxa"/>
            <w:vAlign w:val="center"/>
          </w:tcPr>
          <w:p w14:paraId="2BB7EA9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Pb</w:t>
            </w:r>
          </w:p>
        </w:tc>
        <w:tc>
          <w:tcPr>
            <w:tcW w:w="2268" w:type="dxa"/>
            <w:vAlign w:val="center"/>
          </w:tcPr>
          <w:p w14:paraId="49B02E6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Ingestion</w:t>
            </w:r>
          </w:p>
        </w:tc>
        <w:tc>
          <w:tcPr>
            <w:tcW w:w="1701" w:type="dxa"/>
            <w:vAlign w:val="center"/>
          </w:tcPr>
          <w:p w14:paraId="06F1D79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0.62</w:t>
            </w:r>
          </w:p>
        </w:tc>
        <w:tc>
          <w:tcPr>
            <w:tcW w:w="1842" w:type="dxa"/>
            <w:vAlign w:val="center"/>
          </w:tcPr>
          <w:p w14:paraId="06E8034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1.41</w:t>
            </w:r>
          </w:p>
        </w:tc>
        <w:tc>
          <w:tcPr>
            <w:tcW w:w="2217" w:type="dxa"/>
            <w:vAlign w:val="center"/>
          </w:tcPr>
          <w:p w14:paraId="0DD2DC0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Potential risk (children)</w:t>
            </w:r>
          </w:p>
        </w:tc>
      </w:tr>
      <w:tr w:rsidR="00AC2AD1" w:rsidRPr="00F43789" w14:paraId="37C48F3A" w14:textId="77777777" w:rsidTr="005645B9">
        <w:tc>
          <w:tcPr>
            <w:tcW w:w="988" w:type="dxa"/>
            <w:vAlign w:val="center"/>
          </w:tcPr>
          <w:p w14:paraId="3AE50BD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Cd</w:t>
            </w:r>
          </w:p>
        </w:tc>
        <w:tc>
          <w:tcPr>
            <w:tcW w:w="2268" w:type="dxa"/>
            <w:vAlign w:val="center"/>
          </w:tcPr>
          <w:p w14:paraId="0005442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Ingestion</w:t>
            </w:r>
          </w:p>
        </w:tc>
        <w:tc>
          <w:tcPr>
            <w:tcW w:w="1701" w:type="dxa"/>
            <w:vAlign w:val="center"/>
          </w:tcPr>
          <w:p w14:paraId="6514535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0.84</w:t>
            </w:r>
          </w:p>
        </w:tc>
        <w:tc>
          <w:tcPr>
            <w:tcW w:w="1842" w:type="dxa"/>
            <w:vAlign w:val="center"/>
          </w:tcPr>
          <w:p w14:paraId="57CE6C9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2.18</w:t>
            </w:r>
          </w:p>
        </w:tc>
        <w:tc>
          <w:tcPr>
            <w:tcW w:w="2217" w:type="dxa"/>
            <w:vAlign w:val="center"/>
          </w:tcPr>
          <w:p w14:paraId="25292D8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Significant risk</w:t>
            </w:r>
          </w:p>
        </w:tc>
      </w:tr>
      <w:tr w:rsidR="00AC2AD1" w:rsidRPr="00F43789" w14:paraId="58C5680C" w14:textId="77777777" w:rsidTr="005645B9">
        <w:tc>
          <w:tcPr>
            <w:tcW w:w="988" w:type="dxa"/>
            <w:vAlign w:val="center"/>
          </w:tcPr>
          <w:p w14:paraId="0AB76F3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Cr</w:t>
            </w:r>
          </w:p>
        </w:tc>
        <w:tc>
          <w:tcPr>
            <w:tcW w:w="2268" w:type="dxa"/>
            <w:vAlign w:val="center"/>
          </w:tcPr>
          <w:p w14:paraId="3A32BEA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Dermal</w:t>
            </w:r>
          </w:p>
        </w:tc>
        <w:tc>
          <w:tcPr>
            <w:tcW w:w="1701" w:type="dxa"/>
            <w:vAlign w:val="center"/>
          </w:tcPr>
          <w:p w14:paraId="47C95B3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0.21</w:t>
            </w:r>
          </w:p>
        </w:tc>
        <w:tc>
          <w:tcPr>
            <w:tcW w:w="1842" w:type="dxa"/>
            <w:vAlign w:val="center"/>
          </w:tcPr>
          <w:p w14:paraId="12BE516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0.39</w:t>
            </w:r>
          </w:p>
        </w:tc>
        <w:tc>
          <w:tcPr>
            <w:tcW w:w="2217" w:type="dxa"/>
            <w:vAlign w:val="center"/>
          </w:tcPr>
          <w:p w14:paraId="2A45F49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No risk</w:t>
            </w:r>
          </w:p>
        </w:tc>
      </w:tr>
      <w:tr w:rsidR="00AC2AD1" w:rsidRPr="00F43789" w14:paraId="7AD87ED7" w14:textId="77777777" w:rsidTr="005645B9">
        <w:tc>
          <w:tcPr>
            <w:tcW w:w="988" w:type="dxa"/>
            <w:vAlign w:val="center"/>
          </w:tcPr>
          <w:p w14:paraId="283585B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Ni</w:t>
            </w:r>
          </w:p>
        </w:tc>
        <w:tc>
          <w:tcPr>
            <w:tcW w:w="2268" w:type="dxa"/>
            <w:vAlign w:val="center"/>
          </w:tcPr>
          <w:p w14:paraId="2858039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Ingestion</w:t>
            </w:r>
          </w:p>
        </w:tc>
        <w:tc>
          <w:tcPr>
            <w:tcW w:w="1701" w:type="dxa"/>
            <w:vAlign w:val="center"/>
          </w:tcPr>
          <w:p w14:paraId="538E9B9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0.57</w:t>
            </w:r>
          </w:p>
        </w:tc>
        <w:tc>
          <w:tcPr>
            <w:tcW w:w="1842" w:type="dxa"/>
            <w:vAlign w:val="center"/>
          </w:tcPr>
          <w:p w14:paraId="20F39A4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1.12</w:t>
            </w:r>
          </w:p>
        </w:tc>
        <w:tc>
          <w:tcPr>
            <w:tcW w:w="2217" w:type="dxa"/>
            <w:vAlign w:val="center"/>
          </w:tcPr>
          <w:p w14:paraId="3C71F53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Potential risk</w:t>
            </w:r>
          </w:p>
        </w:tc>
      </w:tr>
      <w:tr w:rsidR="00AC2AD1" w:rsidRPr="00F43789" w14:paraId="2BE6427F" w14:textId="77777777" w:rsidTr="005645B9">
        <w:tc>
          <w:tcPr>
            <w:tcW w:w="988" w:type="dxa"/>
            <w:vAlign w:val="center"/>
          </w:tcPr>
          <w:p w14:paraId="5E86EBB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Zn</w:t>
            </w:r>
          </w:p>
        </w:tc>
        <w:tc>
          <w:tcPr>
            <w:tcW w:w="2268" w:type="dxa"/>
            <w:vAlign w:val="center"/>
          </w:tcPr>
          <w:p w14:paraId="790E0E8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Ingestion</w:t>
            </w:r>
          </w:p>
        </w:tc>
        <w:tc>
          <w:tcPr>
            <w:tcW w:w="1701" w:type="dxa"/>
            <w:vAlign w:val="center"/>
          </w:tcPr>
          <w:p w14:paraId="2B4FD6E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0.18</w:t>
            </w:r>
          </w:p>
        </w:tc>
        <w:tc>
          <w:tcPr>
            <w:tcW w:w="1842" w:type="dxa"/>
            <w:vAlign w:val="center"/>
          </w:tcPr>
          <w:p w14:paraId="30F3A2E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0.34</w:t>
            </w:r>
          </w:p>
        </w:tc>
        <w:tc>
          <w:tcPr>
            <w:tcW w:w="2217" w:type="dxa"/>
            <w:vAlign w:val="center"/>
          </w:tcPr>
          <w:p w14:paraId="0DBD22A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No risk</w:t>
            </w:r>
          </w:p>
        </w:tc>
      </w:tr>
    </w:tbl>
    <w:p w14:paraId="3B91CAF8" w14:textId="77777777" w:rsidR="00AC2AD1" w:rsidRPr="00A72271" w:rsidRDefault="00AC2AD1" w:rsidP="00F43789">
      <w:pPr>
        <w:spacing w:after="0" w:line="240" w:lineRule="auto"/>
        <w:jc w:val="both"/>
        <w:rPr>
          <w:rFonts w:ascii="Times New Roman" w:eastAsia="Times New Roman" w:hAnsi="Times New Roman" w:cs="Times New Roman"/>
          <w:sz w:val="24"/>
          <w:szCs w:val="24"/>
          <w:lang w:eastAsia="en-GB"/>
        </w:rPr>
      </w:pPr>
    </w:p>
    <w:p w14:paraId="632454D9" w14:textId="77777777" w:rsidR="00AC2AD1" w:rsidRPr="00F43789" w:rsidRDefault="00AC2AD1" w:rsidP="00F43789">
      <w:pPr>
        <w:spacing w:after="100" w:afterAutospacing="1" w:line="240" w:lineRule="auto"/>
        <w:jc w:val="both"/>
        <w:outlineLvl w:val="2"/>
        <w:rPr>
          <w:rFonts w:ascii="Times New Roman" w:hAnsi="Times New Roman" w:cs="Times New Roman"/>
          <w:sz w:val="24"/>
          <w:szCs w:val="24"/>
        </w:rPr>
      </w:pPr>
      <w:r w:rsidRPr="00F43789">
        <w:rPr>
          <w:rFonts w:ascii="Times New Roman" w:hAnsi="Times New Roman" w:cs="Times New Roman"/>
          <w:sz w:val="24"/>
          <w:szCs w:val="24"/>
        </w:rPr>
        <w:t>The spatial distribution presented in Table 6 shows pronounced variability in metal concentrations across sampling sites. Site 3 recorded the highest concentrations of all analysed metals, particularly lead, cadmium, chromium, and nickel, suggesting strong influence from nearby industrial activities. Sites farther from industrial zones, especially Site 5, recorded comparatively lower concentrations, highlighting the role of localised anthropogenic sources.</w:t>
      </w:r>
    </w:p>
    <w:p w14:paraId="6C2EDFAF" w14:textId="77777777"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Table 6: Spatial Distribution of Heavy Metals Across Sampling Locations (mg/kg)</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AC2AD1" w:rsidRPr="00F43789" w14:paraId="486272E3" w14:textId="77777777" w:rsidTr="005645B9">
        <w:tc>
          <w:tcPr>
            <w:tcW w:w="1288" w:type="dxa"/>
            <w:vAlign w:val="center"/>
          </w:tcPr>
          <w:p w14:paraId="5D4840A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Site</w:t>
            </w:r>
          </w:p>
        </w:tc>
        <w:tc>
          <w:tcPr>
            <w:tcW w:w="1288" w:type="dxa"/>
            <w:vAlign w:val="center"/>
          </w:tcPr>
          <w:p w14:paraId="37E5E95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Pb</w:t>
            </w:r>
          </w:p>
        </w:tc>
        <w:tc>
          <w:tcPr>
            <w:tcW w:w="1288" w:type="dxa"/>
            <w:vAlign w:val="center"/>
          </w:tcPr>
          <w:p w14:paraId="0A34924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Cd</w:t>
            </w:r>
          </w:p>
        </w:tc>
        <w:tc>
          <w:tcPr>
            <w:tcW w:w="1288" w:type="dxa"/>
            <w:vAlign w:val="center"/>
          </w:tcPr>
          <w:p w14:paraId="1DDD97E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Cr</w:t>
            </w:r>
          </w:p>
        </w:tc>
        <w:tc>
          <w:tcPr>
            <w:tcW w:w="1288" w:type="dxa"/>
            <w:vAlign w:val="center"/>
          </w:tcPr>
          <w:p w14:paraId="591A0D8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Ni</w:t>
            </w:r>
          </w:p>
        </w:tc>
        <w:tc>
          <w:tcPr>
            <w:tcW w:w="1288" w:type="dxa"/>
            <w:vAlign w:val="center"/>
          </w:tcPr>
          <w:p w14:paraId="5786CBB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Zn</w:t>
            </w:r>
          </w:p>
        </w:tc>
        <w:tc>
          <w:tcPr>
            <w:tcW w:w="1288" w:type="dxa"/>
            <w:vAlign w:val="center"/>
          </w:tcPr>
          <w:p w14:paraId="6942F29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Cu</w:t>
            </w:r>
          </w:p>
        </w:tc>
      </w:tr>
      <w:tr w:rsidR="00AC2AD1" w:rsidRPr="00F43789" w14:paraId="55EC5A45" w14:textId="77777777" w:rsidTr="005645B9">
        <w:tc>
          <w:tcPr>
            <w:tcW w:w="1288" w:type="dxa"/>
            <w:vAlign w:val="center"/>
          </w:tcPr>
          <w:p w14:paraId="03DE3FF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Site 1</w:t>
            </w:r>
          </w:p>
        </w:tc>
        <w:tc>
          <w:tcPr>
            <w:tcW w:w="1288" w:type="dxa"/>
            <w:vAlign w:val="center"/>
          </w:tcPr>
          <w:p w14:paraId="0049985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32.4</w:t>
            </w:r>
          </w:p>
        </w:tc>
        <w:tc>
          <w:tcPr>
            <w:tcW w:w="1288" w:type="dxa"/>
            <w:vAlign w:val="center"/>
          </w:tcPr>
          <w:p w14:paraId="2266FE4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0.74</w:t>
            </w:r>
          </w:p>
        </w:tc>
        <w:tc>
          <w:tcPr>
            <w:tcW w:w="1288" w:type="dxa"/>
            <w:vAlign w:val="center"/>
          </w:tcPr>
          <w:p w14:paraId="6434CE9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41.2</w:t>
            </w:r>
          </w:p>
        </w:tc>
        <w:tc>
          <w:tcPr>
            <w:tcW w:w="1288" w:type="dxa"/>
            <w:vAlign w:val="center"/>
          </w:tcPr>
          <w:p w14:paraId="58E764C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29.6</w:t>
            </w:r>
          </w:p>
        </w:tc>
        <w:tc>
          <w:tcPr>
            <w:tcW w:w="1288" w:type="dxa"/>
            <w:vAlign w:val="center"/>
          </w:tcPr>
          <w:p w14:paraId="401311C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84.1</w:t>
            </w:r>
          </w:p>
        </w:tc>
        <w:tc>
          <w:tcPr>
            <w:tcW w:w="1288" w:type="dxa"/>
            <w:vAlign w:val="center"/>
          </w:tcPr>
          <w:p w14:paraId="369D91B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21.8</w:t>
            </w:r>
          </w:p>
        </w:tc>
      </w:tr>
      <w:tr w:rsidR="00AC2AD1" w:rsidRPr="00F43789" w14:paraId="5411A861" w14:textId="77777777" w:rsidTr="005645B9">
        <w:tc>
          <w:tcPr>
            <w:tcW w:w="1288" w:type="dxa"/>
            <w:vAlign w:val="center"/>
          </w:tcPr>
          <w:p w14:paraId="674FF0C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Site 2</w:t>
            </w:r>
          </w:p>
        </w:tc>
        <w:tc>
          <w:tcPr>
            <w:tcW w:w="1288" w:type="dxa"/>
            <w:vAlign w:val="center"/>
          </w:tcPr>
          <w:p w14:paraId="00D4780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61.7</w:t>
            </w:r>
          </w:p>
        </w:tc>
        <w:tc>
          <w:tcPr>
            <w:tcW w:w="1288" w:type="dxa"/>
            <w:vAlign w:val="center"/>
          </w:tcPr>
          <w:p w14:paraId="720D82C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1.62</w:t>
            </w:r>
          </w:p>
        </w:tc>
        <w:tc>
          <w:tcPr>
            <w:tcW w:w="1288" w:type="dxa"/>
            <w:vAlign w:val="center"/>
          </w:tcPr>
          <w:p w14:paraId="0B5FDFA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55.9</w:t>
            </w:r>
          </w:p>
        </w:tc>
        <w:tc>
          <w:tcPr>
            <w:tcW w:w="1288" w:type="dxa"/>
            <w:vAlign w:val="center"/>
          </w:tcPr>
          <w:p w14:paraId="781394F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44.8</w:t>
            </w:r>
          </w:p>
        </w:tc>
        <w:tc>
          <w:tcPr>
            <w:tcW w:w="1288" w:type="dxa"/>
            <w:vAlign w:val="center"/>
          </w:tcPr>
          <w:p w14:paraId="22474B6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117.6</w:t>
            </w:r>
          </w:p>
        </w:tc>
        <w:tc>
          <w:tcPr>
            <w:tcW w:w="1288" w:type="dxa"/>
            <w:vAlign w:val="center"/>
          </w:tcPr>
          <w:p w14:paraId="2425AAA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34.9</w:t>
            </w:r>
          </w:p>
        </w:tc>
      </w:tr>
      <w:tr w:rsidR="00AC2AD1" w:rsidRPr="00F43789" w14:paraId="35B6C6F7" w14:textId="77777777" w:rsidTr="005645B9">
        <w:tc>
          <w:tcPr>
            <w:tcW w:w="1288" w:type="dxa"/>
            <w:vAlign w:val="center"/>
          </w:tcPr>
          <w:p w14:paraId="447582E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Site 3</w:t>
            </w:r>
          </w:p>
        </w:tc>
        <w:tc>
          <w:tcPr>
            <w:tcW w:w="1288" w:type="dxa"/>
            <w:vAlign w:val="center"/>
          </w:tcPr>
          <w:p w14:paraId="6B2BC6C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96.4</w:t>
            </w:r>
          </w:p>
        </w:tc>
        <w:tc>
          <w:tcPr>
            <w:tcW w:w="1288" w:type="dxa"/>
            <w:vAlign w:val="center"/>
          </w:tcPr>
          <w:p w14:paraId="0976ECD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2.86</w:t>
            </w:r>
          </w:p>
        </w:tc>
        <w:tc>
          <w:tcPr>
            <w:tcW w:w="1288" w:type="dxa"/>
            <w:vAlign w:val="center"/>
          </w:tcPr>
          <w:p w14:paraId="3267938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87.6</w:t>
            </w:r>
          </w:p>
        </w:tc>
        <w:tc>
          <w:tcPr>
            <w:tcW w:w="1288" w:type="dxa"/>
            <w:vAlign w:val="center"/>
          </w:tcPr>
          <w:p w14:paraId="4A942D3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74.1</w:t>
            </w:r>
          </w:p>
        </w:tc>
        <w:tc>
          <w:tcPr>
            <w:tcW w:w="1288" w:type="dxa"/>
            <w:vAlign w:val="center"/>
          </w:tcPr>
          <w:p w14:paraId="31984CA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189.3</w:t>
            </w:r>
          </w:p>
        </w:tc>
        <w:tc>
          <w:tcPr>
            <w:tcW w:w="1288" w:type="dxa"/>
            <w:vAlign w:val="center"/>
          </w:tcPr>
          <w:p w14:paraId="3AC1BE8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68.5</w:t>
            </w:r>
          </w:p>
        </w:tc>
      </w:tr>
      <w:tr w:rsidR="00AC2AD1" w:rsidRPr="00F43789" w14:paraId="5508DEDC" w14:textId="77777777" w:rsidTr="005645B9">
        <w:tc>
          <w:tcPr>
            <w:tcW w:w="1288" w:type="dxa"/>
            <w:vAlign w:val="center"/>
          </w:tcPr>
          <w:p w14:paraId="3FFBB29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Site 4</w:t>
            </w:r>
          </w:p>
        </w:tc>
        <w:tc>
          <w:tcPr>
            <w:tcW w:w="1288" w:type="dxa"/>
            <w:vAlign w:val="center"/>
          </w:tcPr>
          <w:p w14:paraId="36003CC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48.9</w:t>
            </w:r>
          </w:p>
        </w:tc>
        <w:tc>
          <w:tcPr>
            <w:tcW w:w="1288" w:type="dxa"/>
            <w:vAlign w:val="center"/>
          </w:tcPr>
          <w:p w14:paraId="42286EE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1.19</w:t>
            </w:r>
          </w:p>
        </w:tc>
        <w:tc>
          <w:tcPr>
            <w:tcW w:w="1288" w:type="dxa"/>
            <w:vAlign w:val="center"/>
          </w:tcPr>
          <w:p w14:paraId="2433F1E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49.3</w:t>
            </w:r>
          </w:p>
        </w:tc>
        <w:tc>
          <w:tcPr>
            <w:tcW w:w="1288" w:type="dxa"/>
            <w:vAlign w:val="center"/>
          </w:tcPr>
          <w:p w14:paraId="77D5190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36.7</w:t>
            </w:r>
          </w:p>
        </w:tc>
        <w:tc>
          <w:tcPr>
            <w:tcW w:w="1288" w:type="dxa"/>
            <w:vAlign w:val="center"/>
          </w:tcPr>
          <w:p w14:paraId="452D9B5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102.4</w:t>
            </w:r>
          </w:p>
        </w:tc>
        <w:tc>
          <w:tcPr>
            <w:tcW w:w="1288" w:type="dxa"/>
            <w:vAlign w:val="center"/>
          </w:tcPr>
          <w:p w14:paraId="01AC962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28.1</w:t>
            </w:r>
          </w:p>
        </w:tc>
      </w:tr>
      <w:tr w:rsidR="00AC2AD1" w:rsidRPr="00F43789" w14:paraId="20E7EE0E" w14:textId="77777777" w:rsidTr="005645B9">
        <w:tc>
          <w:tcPr>
            <w:tcW w:w="1288" w:type="dxa"/>
            <w:vAlign w:val="center"/>
          </w:tcPr>
          <w:p w14:paraId="505A7A7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Site 5</w:t>
            </w:r>
          </w:p>
        </w:tc>
        <w:tc>
          <w:tcPr>
            <w:tcW w:w="1288" w:type="dxa"/>
            <w:vAlign w:val="center"/>
          </w:tcPr>
          <w:p w14:paraId="3A18D7D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34.2</w:t>
            </w:r>
          </w:p>
        </w:tc>
        <w:tc>
          <w:tcPr>
            <w:tcW w:w="1288" w:type="dxa"/>
            <w:vAlign w:val="center"/>
          </w:tcPr>
          <w:p w14:paraId="661DE85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0.42</w:t>
            </w:r>
          </w:p>
        </w:tc>
        <w:tc>
          <w:tcPr>
            <w:tcW w:w="1288" w:type="dxa"/>
            <w:vAlign w:val="center"/>
          </w:tcPr>
          <w:p w14:paraId="24672E2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21.4</w:t>
            </w:r>
          </w:p>
        </w:tc>
        <w:tc>
          <w:tcPr>
            <w:tcW w:w="1288" w:type="dxa"/>
            <w:vAlign w:val="center"/>
          </w:tcPr>
          <w:p w14:paraId="2562016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19.3</w:t>
            </w:r>
          </w:p>
        </w:tc>
        <w:tc>
          <w:tcPr>
            <w:tcW w:w="1288" w:type="dxa"/>
            <w:vAlign w:val="center"/>
          </w:tcPr>
          <w:p w14:paraId="3BDDB77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44.6</w:t>
            </w:r>
          </w:p>
        </w:tc>
        <w:tc>
          <w:tcPr>
            <w:tcW w:w="1288" w:type="dxa"/>
            <w:vAlign w:val="center"/>
          </w:tcPr>
          <w:p w14:paraId="43D36C2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12.8</w:t>
            </w:r>
          </w:p>
        </w:tc>
      </w:tr>
    </w:tbl>
    <w:p w14:paraId="7CA44E2C" w14:textId="77777777" w:rsidR="00AC2AD1" w:rsidRPr="00A72271" w:rsidRDefault="00AC2AD1" w:rsidP="00F43789">
      <w:pPr>
        <w:spacing w:after="0" w:line="240" w:lineRule="auto"/>
        <w:jc w:val="both"/>
        <w:rPr>
          <w:rFonts w:ascii="Times New Roman" w:eastAsia="Times New Roman" w:hAnsi="Times New Roman" w:cs="Times New Roman"/>
          <w:sz w:val="24"/>
          <w:szCs w:val="24"/>
          <w:lang w:eastAsia="en-GB"/>
        </w:rPr>
      </w:pPr>
    </w:p>
    <w:p w14:paraId="4657EBF0" w14:textId="77777777"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F43789">
        <w:rPr>
          <w:rFonts w:ascii="Times New Roman" w:hAnsi="Times New Roman" w:cs="Times New Roman"/>
          <w:sz w:val="24"/>
          <w:szCs w:val="24"/>
        </w:rPr>
        <w:t>Table 7 indicates that most metals recorded higher mean concentrations during the dry season than the wet season. Statistically significant seasonal differences were observed for lead and cadmium (p &lt; 0.05), while chromium, nickel, and zinc did not show significant seasonal variation. The higher dry-season concentrations may be attributed to reduced leaching and concentration effects.</w:t>
      </w:r>
    </w:p>
    <w:p w14:paraId="36033D11" w14:textId="77777777"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lastRenderedPageBreak/>
        <w:t>Table 7: Seasonal Variation of Heavy Metals (mg/kg)</w:t>
      </w:r>
    </w:p>
    <w:tbl>
      <w:tblPr>
        <w:tblStyle w:val="TableGrid"/>
        <w:tblW w:w="0" w:type="auto"/>
        <w:tblLook w:val="04A0" w:firstRow="1" w:lastRow="0" w:firstColumn="1" w:lastColumn="0" w:noHBand="0" w:noVBand="1"/>
      </w:tblPr>
      <w:tblGrid>
        <w:gridCol w:w="988"/>
        <w:gridCol w:w="2835"/>
        <w:gridCol w:w="2939"/>
        <w:gridCol w:w="2254"/>
      </w:tblGrid>
      <w:tr w:rsidR="00AC2AD1" w:rsidRPr="00F43789" w14:paraId="56D80934" w14:textId="77777777" w:rsidTr="005645B9">
        <w:tc>
          <w:tcPr>
            <w:tcW w:w="988" w:type="dxa"/>
            <w:vAlign w:val="center"/>
          </w:tcPr>
          <w:p w14:paraId="354A77B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Metal</w:t>
            </w:r>
          </w:p>
        </w:tc>
        <w:tc>
          <w:tcPr>
            <w:tcW w:w="2835" w:type="dxa"/>
            <w:vAlign w:val="center"/>
          </w:tcPr>
          <w:p w14:paraId="04DF665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Dry Season (Mean ± SD)</w:t>
            </w:r>
          </w:p>
        </w:tc>
        <w:tc>
          <w:tcPr>
            <w:tcW w:w="2939" w:type="dxa"/>
            <w:vAlign w:val="center"/>
          </w:tcPr>
          <w:p w14:paraId="0966270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Wet Season (Mean ± SD)</w:t>
            </w:r>
          </w:p>
        </w:tc>
        <w:tc>
          <w:tcPr>
            <w:tcW w:w="2254" w:type="dxa"/>
            <w:vAlign w:val="center"/>
          </w:tcPr>
          <w:p w14:paraId="2EF3B79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p-value</w:t>
            </w:r>
          </w:p>
        </w:tc>
      </w:tr>
      <w:tr w:rsidR="00AC2AD1" w:rsidRPr="00F43789" w14:paraId="349A01A6" w14:textId="77777777" w:rsidTr="005645B9">
        <w:tc>
          <w:tcPr>
            <w:tcW w:w="988" w:type="dxa"/>
            <w:vAlign w:val="center"/>
          </w:tcPr>
          <w:p w14:paraId="38E603C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Pb</w:t>
            </w:r>
          </w:p>
        </w:tc>
        <w:tc>
          <w:tcPr>
            <w:tcW w:w="2835" w:type="dxa"/>
            <w:vAlign w:val="center"/>
          </w:tcPr>
          <w:p w14:paraId="6B2CCF9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63.5 ± 18.7</w:t>
            </w:r>
          </w:p>
        </w:tc>
        <w:tc>
          <w:tcPr>
            <w:tcW w:w="2939" w:type="dxa"/>
            <w:vAlign w:val="center"/>
          </w:tcPr>
          <w:p w14:paraId="312511A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46.1 ± 15.4</w:t>
            </w:r>
          </w:p>
        </w:tc>
        <w:tc>
          <w:tcPr>
            <w:tcW w:w="2254" w:type="dxa"/>
            <w:vAlign w:val="center"/>
          </w:tcPr>
          <w:p w14:paraId="7622EAE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0.031</w:t>
            </w:r>
          </w:p>
        </w:tc>
      </w:tr>
      <w:tr w:rsidR="00AC2AD1" w:rsidRPr="00F43789" w14:paraId="2D503295" w14:textId="77777777" w:rsidTr="005645B9">
        <w:tc>
          <w:tcPr>
            <w:tcW w:w="988" w:type="dxa"/>
            <w:vAlign w:val="center"/>
          </w:tcPr>
          <w:p w14:paraId="133E087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Cd</w:t>
            </w:r>
          </w:p>
        </w:tc>
        <w:tc>
          <w:tcPr>
            <w:tcW w:w="2835" w:type="dxa"/>
            <w:vAlign w:val="center"/>
          </w:tcPr>
          <w:p w14:paraId="4DD7517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1.72 ± 0.64</w:t>
            </w:r>
          </w:p>
        </w:tc>
        <w:tc>
          <w:tcPr>
            <w:tcW w:w="2939" w:type="dxa"/>
            <w:vAlign w:val="center"/>
          </w:tcPr>
          <w:p w14:paraId="585CF75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1.03 ± 0.41</w:t>
            </w:r>
          </w:p>
        </w:tc>
        <w:tc>
          <w:tcPr>
            <w:tcW w:w="2254" w:type="dxa"/>
            <w:vAlign w:val="center"/>
          </w:tcPr>
          <w:p w14:paraId="018A2F9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0.018</w:t>
            </w:r>
          </w:p>
        </w:tc>
      </w:tr>
      <w:tr w:rsidR="00AC2AD1" w:rsidRPr="00F43789" w14:paraId="73E7C285" w14:textId="77777777" w:rsidTr="005645B9">
        <w:tc>
          <w:tcPr>
            <w:tcW w:w="988" w:type="dxa"/>
            <w:vAlign w:val="center"/>
          </w:tcPr>
          <w:p w14:paraId="78B1549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Cr</w:t>
            </w:r>
          </w:p>
        </w:tc>
        <w:tc>
          <w:tcPr>
            <w:tcW w:w="2835" w:type="dxa"/>
            <w:vAlign w:val="center"/>
          </w:tcPr>
          <w:p w14:paraId="4607481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58.7 ± 19.3</w:t>
            </w:r>
          </w:p>
        </w:tc>
        <w:tc>
          <w:tcPr>
            <w:tcW w:w="2939" w:type="dxa"/>
            <w:vAlign w:val="center"/>
          </w:tcPr>
          <w:p w14:paraId="206555C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47.1 ± 16.5</w:t>
            </w:r>
          </w:p>
        </w:tc>
        <w:tc>
          <w:tcPr>
            <w:tcW w:w="2254" w:type="dxa"/>
            <w:vAlign w:val="center"/>
          </w:tcPr>
          <w:p w14:paraId="6A98685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0.087</w:t>
            </w:r>
          </w:p>
        </w:tc>
      </w:tr>
      <w:tr w:rsidR="00AC2AD1" w:rsidRPr="00F43789" w14:paraId="67DA8522" w14:textId="77777777" w:rsidTr="005645B9">
        <w:tc>
          <w:tcPr>
            <w:tcW w:w="988" w:type="dxa"/>
            <w:vAlign w:val="center"/>
          </w:tcPr>
          <w:p w14:paraId="1D1E5E4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Ni</w:t>
            </w:r>
          </w:p>
        </w:tc>
        <w:tc>
          <w:tcPr>
            <w:tcW w:w="2835" w:type="dxa"/>
            <w:vAlign w:val="center"/>
          </w:tcPr>
          <w:p w14:paraId="3112B9D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46.8 ± 14.9</w:t>
            </w:r>
          </w:p>
        </w:tc>
        <w:tc>
          <w:tcPr>
            <w:tcW w:w="2939" w:type="dxa"/>
            <w:vAlign w:val="center"/>
          </w:tcPr>
          <w:p w14:paraId="3670E30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36.6 ± 12.1</w:t>
            </w:r>
          </w:p>
        </w:tc>
        <w:tc>
          <w:tcPr>
            <w:tcW w:w="2254" w:type="dxa"/>
            <w:vAlign w:val="center"/>
          </w:tcPr>
          <w:p w14:paraId="23C2163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0.064</w:t>
            </w:r>
          </w:p>
        </w:tc>
      </w:tr>
      <w:tr w:rsidR="00AC2AD1" w:rsidRPr="00F43789" w14:paraId="7296B414" w14:textId="77777777" w:rsidTr="005645B9">
        <w:tc>
          <w:tcPr>
            <w:tcW w:w="988" w:type="dxa"/>
            <w:vAlign w:val="center"/>
          </w:tcPr>
          <w:p w14:paraId="453244B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Zn</w:t>
            </w:r>
          </w:p>
        </w:tc>
        <w:tc>
          <w:tcPr>
            <w:tcW w:w="2835" w:type="dxa"/>
            <w:vAlign w:val="center"/>
          </w:tcPr>
          <w:p w14:paraId="3481FDE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121.3 ± 41.2</w:t>
            </w:r>
          </w:p>
        </w:tc>
        <w:tc>
          <w:tcPr>
            <w:tcW w:w="2939" w:type="dxa"/>
            <w:vAlign w:val="center"/>
          </w:tcPr>
          <w:p w14:paraId="79F5C12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103.8 ± 34.7</w:t>
            </w:r>
          </w:p>
        </w:tc>
        <w:tc>
          <w:tcPr>
            <w:tcW w:w="2254" w:type="dxa"/>
            <w:vAlign w:val="center"/>
          </w:tcPr>
          <w:p w14:paraId="6400179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0.112</w:t>
            </w:r>
          </w:p>
        </w:tc>
      </w:tr>
    </w:tbl>
    <w:p w14:paraId="1A875F80" w14:textId="77777777" w:rsidR="00AC2AD1" w:rsidRPr="00A72271"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p>
    <w:p w14:paraId="56676B45" w14:textId="77777777" w:rsidR="00AC2AD1" w:rsidRPr="00F43789" w:rsidRDefault="00AC2AD1" w:rsidP="00F43789">
      <w:pPr>
        <w:spacing w:after="100" w:afterAutospacing="1" w:line="240" w:lineRule="auto"/>
        <w:jc w:val="both"/>
        <w:outlineLvl w:val="2"/>
        <w:rPr>
          <w:rFonts w:ascii="Times New Roman" w:hAnsi="Times New Roman" w:cs="Times New Roman"/>
          <w:sz w:val="24"/>
          <w:szCs w:val="24"/>
        </w:rPr>
      </w:pPr>
      <w:r w:rsidRPr="00F43789">
        <w:rPr>
          <w:rFonts w:ascii="Times New Roman" w:hAnsi="Times New Roman" w:cs="Times New Roman"/>
          <w:sz w:val="24"/>
          <w:szCs w:val="24"/>
        </w:rPr>
        <w:t>Enrichment factor values in Table 8 show significant enrichment for cadmium and moderate enrichment for lead and nickel, confirming strong anthropogenic contributions. Chromium exhibited only minor enrichment, while zinc showed no enrichment, suggesting a predominantly natural origin for zinc in the soils.</w:t>
      </w:r>
    </w:p>
    <w:p w14:paraId="588B11A1" w14:textId="77777777"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Table 8: Enrichment Factor (EF) of Heavy Metals</w:t>
      </w:r>
    </w:p>
    <w:tbl>
      <w:tblPr>
        <w:tblStyle w:val="TableGrid"/>
        <w:tblW w:w="0" w:type="auto"/>
        <w:tblLook w:val="04A0" w:firstRow="1" w:lastRow="0" w:firstColumn="1" w:lastColumn="0" w:noHBand="0" w:noVBand="1"/>
      </w:tblPr>
      <w:tblGrid>
        <w:gridCol w:w="3005"/>
        <w:gridCol w:w="3005"/>
        <w:gridCol w:w="3006"/>
      </w:tblGrid>
      <w:tr w:rsidR="00AC2AD1" w:rsidRPr="00F43789" w14:paraId="26B5FC98" w14:textId="77777777" w:rsidTr="005645B9">
        <w:tc>
          <w:tcPr>
            <w:tcW w:w="3005" w:type="dxa"/>
            <w:vAlign w:val="center"/>
          </w:tcPr>
          <w:p w14:paraId="6A3025F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Metal</w:t>
            </w:r>
          </w:p>
        </w:tc>
        <w:tc>
          <w:tcPr>
            <w:tcW w:w="3005" w:type="dxa"/>
            <w:vAlign w:val="center"/>
          </w:tcPr>
          <w:p w14:paraId="542DD58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EF</w:t>
            </w:r>
          </w:p>
        </w:tc>
        <w:tc>
          <w:tcPr>
            <w:tcW w:w="3006" w:type="dxa"/>
            <w:vAlign w:val="center"/>
          </w:tcPr>
          <w:p w14:paraId="7D64FFC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Enrichment Category</w:t>
            </w:r>
          </w:p>
        </w:tc>
      </w:tr>
      <w:tr w:rsidR="00AC2AD1" w:rsidRPr="00F43789" w14:paraId="4984CB16" w14:textId="77777777" w:rsidTr="005645B9">
        <w:tc>
          <w:tcPr>
            <w:tcW w:w="3005" w:type="dxa"/>
            <w:vAlign w:val="center"/>
          </w:tcPr>
          <w:p w14:paraId="2EA811C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Pb</w:t>
            </w:r>
          </w:p>
        </w:tc>
        <w:tc>
          <w:tcPr>
            <w:tcW w:w="3005" w:type="dxa"/>
            <w:vAlign w:val="center"/>
          </w:tcPr>
          <w:p w14:paraId="00BF193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3.6</w:t>
            </w:r>
          </w:p>
        </w:tc>
        <w:tc>
          <w:tcPr>
            <w:tcW w:w="3006" w:type="dxa"/>
            <w:vAlign w:val="center"/>
          </w:tcPr>
          <w:p w14:paraId="3E36707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Moderate enrichment</w:t>
            </w:r>
          </w:p>
        </w:tc>
      </w:tr>
      <w:tr w:rsidR="00AC2AD1" w:rsidRPr="00F43789" w14:paraId="40758FA6" w14:textId="77777777" w:rsidTr="005645B9">
        <w:tc>
          <w:tcPr>
            <w:tcW w:w="3005" w:type="dxa"/>
            <w:vAlign w:val="center"/>
          </w:tcPr>
          <w:p w14:paraId="066FF21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Cd</w:t>
            </w:r>
          </w:p>
        </w:tc>
        <w:tc>
          <w:tcPr>
            <w:tcW w:w="3005" w:type="dxa"/>
            <w:vAlign w:val="center"/>
          </w:tcPr>
          <w:p w14:paraId="0FA75A2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9.8</w:t>
            </w:r>
          </w:p>
        </w:tc>
        <w:tc>
          <w:tcPr>
            <w:tcW w:w="3006" w:type="dxa"/>
            <w:vAlign w:val="center"/>
          </w:tcPr>
          <w:p w14:paraId="223AAFC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Significant enrichment</w:t>
            </w:r>
          </w:p>
        </w:tc>
      </w:tr>
      <w:tr w:rsidR="00AC2AD1" w:rsidRPr="00F43789" w14:paraId="56151D23" w14:textId="77777777" w:rsidTr="005645B9">
        <w:tc>
          <w:tcPr>
            <w:tcW w:w="3005" w:type="dxa"/>
            <w:vAlign w:val="center"/>
          </w:tcPr>
          <w:p w14:paraId="7914BBE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Cr</w:t>
            </w:r>
          </w:p>
        </w:tc>
        <w:tc>
          <w:tcPr>
            <w:tcW w:w="3005" w:type="dxa"/>
            <w:vAlign w:val="center"/>
          </w:tcPr>
          <w:p w14:paraId="2B797CA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1.3</w:t>
            </w:r>
          </w:p>
        </w:tc>
        <w:tc>
          <w:tcPr>
            <w:tcW w:w="3006" w:type="dxa"/>
            <w:vAlign w:val="center"/>
          </w:tcPr>
          <w:p w14:paraId="6EAF4C7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Minor enrichment</w:t>
            </w:r>
          </w:p>
        </w:tc>
      </w:tr>
      <w:tr w:rsidR="00AC2AD1" w:rsidRPr="00F43789" w14:paraId="3B9FD89C" w14:textId="77777777" w:rsidTr="005645B9">
        <w:tc>
          <w:tcPr>
            <w:tcW w:w="3005" w:type="dxa"/>
            <w:vAlign w:val="center"/>
          </w:tcPr>
          <w:p w14:paraId="030BB2A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Ni</w:t>
            </w:r>
          </w:p>
        </w:tc>
        <w:tc>
          <w:tcPr>
            <w:tcW w:w="3005" w:type="dxa"/>
            <w:vAlign w:val="center"/>
          </w:tcPr>
          <w:p w14:paraId="72D0F8C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2.5</w:t>
            </w:r>
          </w:p>
        </w:tc>
        <w:tc>
          <w:tcPr>
            <w:tcW w:w="3006" w:type="dxa"/>
            <w:vAlign w:val="center"/>
          </w:tcPr>
          <w:p w14:paraId="55E48A7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Moderate enrichment</w:t>
            </w:r>
          </w:p>
        </w:tc>
      </w:tr>
      <w:tr w:rsidR="00AC2AD1" w:rsidRPr="00F43789" w14:paraId="029A68AE" w14:textId="77777777" w:rsidTr="005645B9">
        <w:tc>
          <w:tcPr>
            <w:tcW w:w="3005" w:type="dxa"/>
            <w:vAlign w:val="center"/>
          </w:tcPr>
          <w:p w14:paraId="7E459E0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Zn</w:t>
            </w:r>
          </w:p>
        </w:tc>
        <w:tc>
          <w:tcPr>
            <w:tcW w:w="3005" w:type="dxa"/>
            <w:vAlign w:val="center"/>
          </w:tcPr>
          <w:p w14:paraId="4FCD609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0.8</w:t>
            </w:r>
          </w:p>
        </w:tc>
        <w:tc>
          <w:tcPr>
            <w:tcW w:w="3006" w:type="dxa"/>
            <w:vAlign w:val="center"/>
          </w:tcPr>
          <w:p w14:paraId="14FE80A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No enrichment</w:t>
            </w:r>
          </w:p>
        </w:tc>
      </w:tr>
    </w:tbl>
    <w:p w14:paraId="78AE7ECC" w14:textId="77777777" w:rsidR="00AC2AD1" w:rsidRPr="00A72271" w:rsidRDefault="00AC2AD1" w:rsidP="00F43789">
      <w:pPr>
        <w:spacing w:after="0" w:line="240" w:lineRule="auto"/>
        <w:jc w:val="both"/>
        <w:rPr>
          <w:rFonts w:ascii="Times New Roman" w:eastAsia="Times New Roman" w:hAnsi="Times New Roman" w:cs="Times New Roman"/>
          <w:sz w:val="24"/>
          <w:szCs w:val="24"/>
          <w:lang w:eastAsia="en-GB"/>
        </w:rPr>
      </w:pPr>
    </w:p>
    <w:p w14:paraId="59436307" w14:textId="77777777"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F43789">
        <w:rPr>
          <w:rFonts w:ascii="Times New Roman" w:hAnsi="Times New Roman" w:cs="Times New Roman"/>
          <w:sz w:val="24"/>
          <w:szCs w:val="24"/>
        </w:rPr>
        <w:t>Table 9 shows that estimated daily intake values were consistently higher for children than adults across all metals. For cadmium and lead, children’s intake values exceeded their respective reference doses, indicating potential health concerns. Intake levels for chromium, nickel, and zinc remained below their reference doses for both age groups.</w:t>
      </w:r>
    </w:p>
    <w:p w14:paraId="093AEB53" w14:textId="77777777"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Table 9: Estimated Daily Intake (EDI) of Heavy Metals</w:t>
      </w:r>
    </w:p>
    <w:tbl>
      <w:tblPr>
        <w:tblStyle w:val="TableGrid"/>
        <w:tblW w:w="0" w:type="auto"/>
        <w:tblLook w:val="04A0" w:firstRow="1" w:lastRow="0" w:firstColumn="1" w:lastColumn="0" w:noHBand="0" w:noVBand="1"/>
      </w:tblPr>
      <w:tblGrid>
        <w:gridCol w:w="988"/>
        <w:gridCol w:w="2835"/>
        <w:gridCol w:w="2939"/>
        <w:gridCol w:w="2254"/>
      </w:tblGrid>
      <w:tr w:rsidR="00AC2AD1" w:rsidRPr="00F43789" w14:paraId="6F72C36A" w14:textId="77777777" w:rsidTr="005645B9">
        <w:tc>
          <w:tcPr>
            <w:tcW w:w="988" w:type="dxa"/>
            <w:vAlign w:val="center"/>
          </w:tcPr>
          <w:p w14:paraId="3FC4A87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Metal</w:t>
            </w:r>
          </w:p>
        </w:tc>
        <w:tc>
          <w:tcPr>
            <w:tcW w:w="2835" w:type="dxa"/>
            <w:vAlign w:val="center"/>
          </w:tcPr>
          <w:p w14:paraId="7680643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EDI Adults (mg/kg/day)</w:t>
            </w:r>
          </w:p>
        </w:tc>
        <w:tc>
          <w:tcPr>
            <w:tcW w:w="2939" w:type="dxa"/>
            <w:vAlign w:val="center"/>
          </w:tcPr>
          <w:p w14:paraId="3691F45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EDI Children (mg/kg/day)</w:t>
            </w:r>
          </w:p>
        </w:tc>
        <w:tc>
          <w:tcPr>
            <w:tcW w:w="2254" w:type="dxa"/>
            <w:vAlign w:val="center"/>
          </w:tcPr>
          <w:p w14:paraId="18577D6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 xml:space="preserve">USEPA </w:t>
            </w:r>
            <w:proofErr w:type="spellStart"/>
            <w:r w:rsidRPr="00A72271">
              <w:rPr>
                <w:rFonts w:ascii="Times New Roman" w:eastAsia="Times New Roman" w:hAnsi="Times New Roman" w:cs="Times New Roman"/>
                <w:b/>
                <w:bCs/>
                <w:sz w:val="24"/>
                <w:szCs w:val="24"/>
                <w:lang w:eastAsia="en-GB"/>
              </w:rPr>
              <w:t>RfD</w:t>
            </w:r>
            <w:proofErr w:type="spellEnd"/>
          </w:p>
        </w:tc>
      </w:tr>
      <w:tr w:rsidR="00AC2AD1" w:rsidRPr="00F43789" w14:paraId="771B5D9F" w14:textId="77777777" w:rsidTr="005645B9">
        <w:tc>
          <w:tcPr>
            <w:tcW w:w="988" w:type="dxa"/>
            <w:vAlign w:val="center"/>
          </w:tcPr>
          <w:p w14:paraId="20BFA20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Pb</w:t>
            </w:r>
          </w:p>
        </w:tc>
        <w:tc>
          <w:tcPr>
            <w:tcW w:w="2835" w:type="dxa"/>
            <w:vAlign w:val="center"/>
          </w:tcPr>
          <w:p w14:paraId="72B7F5B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0.0018</w:t>
            </w:r>
          </w:p>
        </w:tc>
        <w:tc>
          <w:tcPr>
            <w:tcW w:w="2939" w:type="dxa"/>
            <w:vAlign w:val="center"/>
          </w:tcPr>
          <w:p w14:paraId="165AE53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0.0041</w:t>
            </w:r>
          </w:p>
        </w:tc>
        <w:tc>
          <w:tcPr>
            <w:tcW w:w="2254" w:type="dxa"/>
            <w:vAlign w:val="center"/>
          </w:tcPr>
          <w:p w14:paraId="3817761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0.0035</w:t>
            </w:r>
          </w:p>
        </w:tc>
      </w:tr>
      <w:tr w:rsidR="00AC2AD1" w:rsidRPr="00F43789" w14:paraId="081ACC84" w14:textId="77777777" w:rsidTr="005645B9">
        <w:tc>
          <w:tcPr>
            <w:tcW w:w="988" w:type="dxa"/>
            <w:vAlign w:val="center"/>
          </w:tcPr>
          <w:p w14:paraId="6FE39F3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Cd</w:t>
            </w:r>
          </w:p>
        </w:tc>
        <w:tc>
          <w:tcPr>
            <w:tcW w:w="2835" w:type="dxa"/>
            <w:vAlign w:val="center"/>
          </w:tcPr>
          <w:p w14:paraId="0A5FBD9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0.0009</w:t>
            </w:r>
          </w:p>
        </w:tc>
        <w:tc>
          <w:tcPr>
            <w:tcW w:w="2939" w:type="dxa"/>
            <w:vAlign w:val="center"/>
          </w:tcPr>
          <w:p w14:paraId="15F96E7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0.0024</w:t>
            </w:r>
          </w:p>
        </w:tc>
        <w:tc>
          <w:tcPr>
            <w:tcW w:w="2254" w:type="dxa"/>
            <w:vAlign w:val="center"/>
          </w:tcPr>
          <w:p w14:paraId="1D0FF44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0.001</w:t>
            </w:r>
          </w:p>
        </w:tc>
      </w:tr>
      <w:tr w:rsidR="00AC2AD1" w:rsidRPr="00F43789" w14:paraId="03802A45" w14:textId="77777777" w:rsidTr="005645B9">
        <w:tc>
          <w:tcPr>
            <w:tcW w:w="988" w:type="dxa"/>
            <w:vAlign w:val="center"/>
          </w:tcPr>
          <w:p w14:paraId="0724A87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Cr</w:t>
            </w:r>
          </w:p>
        </w:tc>
        <w:tc>
          <w:tcPr>
            <w:tcW w:w="2835" w:type="dxa"/>
            <w:vAlign w:val="center"/>
          </w:tcPr>
          <w:p w14:paraId="245EAB4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0.0012</w:t>
            </w:r>
          </w:p>
        </w:tc>
        <w:tc>
          <w:tcPr>
            <w:tcW w:w="2939" w:type="dxa"/>
            <w:vAlign w:val="center"/>
          </w:tcPr>
          <w:p w14:paraId="5EDD8D6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0.0021</w:t>
            </w:r>
          </w:p>
        </w:tc>
        <w:tc>
          <w:tcPr>
            <w:tcW w:w="2254" w:type="dxa"/>
            <w:vAlign w:val="center"/>
          </w:tcPr>
          <w:p w14:paraId="74873EC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0.003</w:t>
            </w:r>
          </w:p>
        </w:tc>
      </w:tr>
      <w:tr w:rsidR="00AC2AD1" w:rsidRPr="00F43789" w14:paraId="5047940B" w14:textId="77777777" w:rsidTr="005645B9">
        <w:tc>
          <w:tcPr>
            <w:tcW w:w="988" w:type="dxa"/>
            <w:vAlign w:val="center"/>
          </w:tcPr>
          <w:p w14:paraId="66E241C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Ni</w:t>
            </w:r>
          </w:p>
        </w:tc>
        <w:tc>
          <w:tcPr>
            <w:tcW w:w="2835" w:type="dxa"/>
            <w:vAlign w:val="center"/>
          </w:tcPr>
          <w:p w14:paraId="110154C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0.0021</w:t>
            </w:r>
          </w:p>
        </w:tc>
        <w:tc>
          <w:tcPr>
            <w:tcW w:w="2939" w:type="dxa"/>
            <w:vAlign w:val="center"/>
          </w:tcPr>
          <w:p w14:paraId="7B1EB4C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0.0043</w:t>
            </w:r>
          </w:p>
        </w:tc>
        <w:tc>
          <w:tcPr>
            <w:tcW w:w="2254" w:type="dxa"/>
            <w:vAlign w:val="center"/>
          </w:tcPr>
          <w:p w14:paraId="6409351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0.02</w:t>
            </w:r>
          </w:p>
        </w:tc>
      </w:tr>
      <w:tr w:rsidR="00AC2AD1" w:rsidRPr="00F43789" w14:paraId="41A6382A" w14:textId="77777777" w:rsidTr="005645B9">
        <w:tc>
          <w:tcPr>
            <w:tcW w:w="988" w:type="dxa"/>
            <w:vAlign w:val="center"/>
          </w:tcPr>
          <w:p w14:paraId="6507432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Zn</w:t>
            </w:r>
          </w:p>
        </w:tc>
        <w:tc>
          <w:tcPr>
            <w:tcW w:w="2835" w:type="dxa"/>
            <w:vAlign w:val="center"/>
          </w:tcPr>
          <w:p w14:paraId="62A85B9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0.0134</w:t>
            </w:r>
          </w:p>
        </w:tc>
        <w:tc>
          <w:tcPr>
            <w:tcW w:w="2939" w:type="dxa"/>
            <w:vAlign w:val="center"/>
          </w:tcPr>
          <w:p w14:paraId="6FCE14E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0.0261</w:t>
            </w:r>
          </w:p>
        </w:tc>
        <w:tc>
          <w:tcPr>
            <w:tcW w:w="2254" w:type="dxa"/>
            <w:vAlign w:val="center"/>
          </w:tcPr>
          <w:p w14:paraId="5003ECF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0.3</w:t>
            </w:r>
          </w:p>
        </w:tc>
      </w:tr>
    </w:tbl>
    <w:p w14:paraId="20C56FD6" w14:textId="77777777" w:rsidR="00AC2AD1" w:rsidRPr="00A72271" w:rsidRDefault="00AC2AD1" w:rsidP="00F43789">
      <w:pPr>
        <w:spacing w:after="0" w:line="240" w:lineRule="auto"/>
        <w:jc w:val="both"/>
        <w:rPr>
          <w:rFonts w:ascii="Times New Roman" w:eastAsia="Times New Roman" w:hAnsi="Times New Roman" w:cs="Times New Roman"/>
          <w:sz w:val="24"/>
          <w:szCs w:val="24"/>
          <w:lang w:eastAsia="en-GB"/>
        </w:rPr>
      </w:pPr>
    </w:p>
    <w:p w14:paraId="5E45EC53" w14:textId="77777777" w:rsidR="00AC2AD1" w:rsidRPr="00F43789" w:rsidRDefault="00AC2AD1" w:rsidP="00F43789">
      <w:pPr>
        <w:spacing w:after="100" w:afterAutospacing="1" w:line="240" w:lineRule="auto"/>
        <w:jc w:val="both"/>
        <w:outlineLvl w:val="2"/>
        <w:rPr>
          <w:rFonts w:ascii="Times New Roman" w:hAnsi="Times New Roman" w:cs="Times New Roman"/>
          <w:sz w:val="24"/>
          <w:szCs w:val="24"/>
        </w:rPr>
      </w:pPr>
      <w:r w:rsidRPr="00F43789">
        <w:rPr>
          <w:rFonts w:ascii="Times New Roman" w:hAnsi="Times New Roman" w:cs="Times New Roman"/>
          <w:sz w:val="24"/>
          <w:szCs w:val="24"/>
        </w:rPr>
        <w:t>Carcinogenic risk estimates presented in Table 10 fall within the acceptable risk range of 10⁻⁶ to 10⁻⁴ for both adults and children. However, cadmium exhibited the highest carcinogenic risk values, followed by chromium and nickel, with children showing higher risk levels than adults.</w:t>
      </w:r>
    </w:p>
    <w:p w14:paraId="439BC133" w14:textId="30739C74"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Table 10: Carcinogenic Risk (CR) Assessment</w:t>
      </w:r>
    </w:p>
    <w:tbl>
      <w:tblPr>
        <w:tblStyle w:val="TableGrid"/>
        <w:tblW w:w="0" w:type="auto"/>
        <w:tblLook w:val="04A0" w:firstRow="1" w:lastRow="0" w:firstColumn="1" w:lastColumn="0" w:noHBand="0" w:noVBand="1"/>
      </w:tblPr>
      <w:tblGrid>
        <w:gridCol w:w="1271"/>
        <w:gridCol w:w="2335"/>
        <w:gridCol w:w="1351"/>
        <w:gridCol w:w="1701"/>
        <w:gridCol w:w="2358"/>
      </w:tblGrid>
      <w:tr w:rsidR="00AC2AD1" w:rsidRPr="00F43789" w14:paraId="321424A5" w14:textId="77777777" w:rsidTr="005645B9">
        <w:tc>
          <w:tcPr>
            <w:tcW w:w="1271" w:type="dxa"/>
            <w:vAlign w:val="center"/>
          </w:tcPr>
          <w:p w14:paraId="494F96D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Metal</w:t>
            </w:r>
          </w:p>
        </w:tc>
        <w:tc>
          <w:tcPr>
            <w:tcW w:w="2335" w:type="dxa"/>
            <w:vAlign w:val="center"/>
          </w:tcPr>
          <w:p w14:paraId="0D5BBE9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Exposure Route</w:t>
            </w:r>
          </w:p>
        </w:tc>
        <w:tc>
          <w:tcPr>
            <w:tcW w:w="1351" w:type="dxa"/>
            <w:vAlign w:val="center"/>
          </w:tcPr>
          <w:p w14:paraId="13AB1E3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CR Adults</w:t>
            </w:r>
          </w:p>
        </w:tc>
        <w:tc>
          <w:tcPr>
            <w:tcW w:w="1701" w:type="dxa"/>
            <w:vAlign w:val="center"/>
          </w:tcPr>
          <w:p w14:paraId="26B3E84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CR Children</w:t>
            </w:r>
          </w:p>
        </w:tc>
        <w:tc>
          <w:tcPr>
            <w:tcW w:w="2358" w:type="dxa"/>
            <w:vAlign w:val="center"/>
          </w:tcPr>
          <w:p w14:paraId="5EE27E4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Acceptable Range</w:t>
            </w:r>
          </w:p>
        </w:tc>
      </w:tr>
      <w:tr w:rsidR="00AC2AD1" w:rsidRPr="00F43789" w14:paraId="3E3C52FA" w14:textId="77777777" w:rsidTr="005645B9">
        <w:tc>
          <w:tcPr>
            <w:tcW w:w="1271" w:type="dxa"/>
            <w:vAlign w:val="center"/>
          </w:tcPr>
          <w:p w14:paraId="49CE8B2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Cd</w:t>
            </w:r>
          </w:p>
        </w:tc>
        <w:tc>
          <w:tcPr>
            <w:tcW w:w="2335" w:type="dxa"/>
            <w:vAlign w:val="center"/>
          </w:tcPr>
          <w:p w14:paraId="13BD66B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Ingestion</w:t>
            </w:r>
          </w:p>
        </w:tc>
        <w:tc>
          <w:tcPr>
            <w:tcW w:w="1351" w:type="dxa"/>
            <w:vAlign w:val="center"/>
          </w:tcPr>
          <w:p w14:paraId="641AEEA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2.4 × 10⁻⁵</w:t>
            </w:r>
          </w:p>
        </w:tc>
        <w:tc>
          <w:tcPr>
            <w:tcW w:w="1701" w:type="dxa"/>
            <w:vAlign w:val="center"/>
          </w:tcPr>
          <w:p w14:paraId="7843150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5.7 × 10⁻⁵</w:t>
            </w:r>
          </w:p>
        </w:tc>
        <w:tc>
          <w:tcPr>
            <w:tcW w:w="2358" w:type="dxa"/>
            <w:vAlign w:val="center"/>
          </w:tcPr>
          <w:p w14:paraId="408B620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10⁻⁶–10⁻⁴</w:t>
            </w:r>
          </w:p>
        </w:tc>
      </w:tr>
      <w:tr w:rsidR="00AC2AD1" w:rsidRPr="00F43789" w14:paraId="57D93416" w14:textId="77777777" w:rsidTr="005645B9">
        <w:tc>
          <w:tcPr>
            <w:tcW w:w="1271" w:type="dxa"/>
            <w:vAlign w:val="center"/>
          </w:tcPr>
          <w:p w14:paraId="2B480FA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Cr</w:t>
            </w:r>
          </w:p>
        </w:tc>
        <w:tc>
          <w:tcPr>
            <w:tcW w:w="2335" w:type="dxa"/>
            <w:vAlign w:val="center"/>
          </w:tcPr>
          <w:p w14:paraId="068D0A1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Ingestion</w:t>
            </w:r>
          </w:p>
        </w:tc>
        <w:tc>
          <w:tcPr>
            <w:tcW w:w="1351" w:type="dxa"/>
            <w:vAlign w:val="center"/>
          </w:tcPr>
          <w:p w14:paraId="6BC872A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1.1 × 10⁻⁵</w:t>
            </w:r>
          </w:p>
        </w:tc>
        <w:tc>
          <w:tcPr>
            <w:tcW w:w="1701" w:type="dxa"/>
            <w:vAlign w:val="center"/>
          </w:tcPr>
          <w:p w14:paraId="03E2BB1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2.9 × 10⁻⁵</w:t>
            </w:r>
          </w:p>
        </w:tc>
        <w:tc>
          <w:tcPr>
            <w:tcW w:w="2358" w:type="dxa"/>
            <w:vAlign w:val="center"/>
          </w:tcPr>
          <w:p w14:paraId="2C30668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10⁻⁶–10⁻⁴</w:t>
            </w:r>
          </w:p>
        </w:tc>
      </w:tr>
      <w:tr w:rsidR="00AC2AD1" w:rsidRPr="00F43789" w14:paraId="5ED44DF3" w14:textId="77777777" w:rsidTr="005645B9">
        <w:tc>
          <w:tcPr>
            <w:tcW w:w="1271" w:type="dxa"/>
            <w:vAlign w:val="center"/>
          </w:tcPr>
          <w:p w14:paraId="42B005E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Ni</w:t>
            </w:r>
          </w:p>
        </w:tc>
        <w:tc>
          <w:tcPr>
            <w:tcW w:w="2335" w:type="dxa"/>
            <w:vAlign w:val="center"/>
          </w:tcPr>
          <w:p w14:paraId="75E088C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Dermal</w:t>
            </w:r>
          </w:p>
        </w:tc>
        <w:tc>
          <w:tcPr>
            <w:tcW w:w="1351" w:type="dxa"/>
            <w:vAlign w:val="center"/>
          </w:tcPr>
          <w:p w14:paraId="41EC03C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6.8 × 10⁻⁶</w:t>
            </w:r>
          </w:p>
        </w:tc>
        <w:tc>
          <w:tcPr>
            <w:tcW w:w="1701" w:type="dxa"/>
            <w:vAlign w:val="center"/>
          </w:tcPr>
          <w:p w14:paraId="165A8A4B"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1.5 × 10⁻⁵</w:t>
            </w:r>
          </w:p>
        </w:tc>
        <w:tc>
          <w:tcPr>
            <w:tcW w:w="2358" w:type="dxa"/>
            <w:vAlign w:val="center"/>
          </w:tcPr>
          <w:p w14:paraId="2A782947"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10⁻⁶–10⁻⁴</w:t>
            </w:r>
          </w:p>
        </w:tc>
      </w:tr>
    </w:tbl>
    <w:p w14:paraId="11BF5638" w14:textId="77777777" w:rsidR="00AC2AD1" w:rsidRPr="00F43789" w:rsidRDefault="00AC2AD1" w:rsidP="00F43789">
      <w:pPr>
        <w:spacing w:after="100" w:afterAutospacing="1" w:line="240" w:lineRule="auto"/>
        <w:jc w:val="both"/>
        <w:outlineLvl w:val="2"/>
        <w:rPr>
          <w:rFonts w:ascii="Times New Roman" w:hAnsi="Times New Roman" w:cs="Times New Roman"/>
          <w:sz w:val="24"/>
          <w:szCs w:val="24"/>
        </w:rPr>
      </w:pPr>
      <w:r w:rsidRPr="00F43789">
        <w:rPr>
          <w:rFonts w:ascii="Times New Roman" w:hAnsi="Times New Roman" w:cs="Times New Roman"/>
          <w:sz w:val="24"/>
          <w:szCs w:val="24"/>
        </w:rPr>
        <w:lastRenderedPageBreak/>
        <w:t>The correlation matrix in Table 11 reveals strong positive correlations between several metal pairs, notably lead–cadmium, lead–nickel, and chromium–copper. These relationships suggest common sources and similar geochemical behaviour, likely linked to industrial and anthropogenic inputs.</w:t>
      </w:r>
    </w:p>
    <w:p w14:paraId="745B6E3E" w14:textId="77777777" w:rsidR="00AC2AD1" w:rsidRPr="00F43789"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Table 11: Pearson Correlation Matrix of Heavy Metals</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AC2AD1" w:rsidRPr="00F43789" w14:paraId="3E99D292" w14:textId="77777777" w:rsidTr="005645B9">
        <w:tc>
          <w:tcPr>
            <w:tcW w:w="1288" w:type="dxa"/>
            <w:vAlign w:val="center"/>
          </w:tcPr>
          <w:p w14:paraId="72A140C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Metal</w:t>
            </w:r>
          </w:p>
        </w:tc>
        <w:tc>
          <w:tcPr>
            <w:tcW w:w="1288" w:type="dxa"/>
            <w:vAlign w:val="center"/>
          </w:tcPr>
          <w:p w14:paraId="2F3FD11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Pb</w:t>
            </w:r>
          </w:p>
        </w:tc>
        <w:tc>
          <w:tcPr>
            <w:tcW w:w="1288" w:type="dxa"/>
            <w:vAlign w:val="center"/>
          </w:tcPr>
          <w:p w14:paraId="3E461AE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Cd</w:t>
            </w:r>
          </w:p>
        </w:tc>
        <w:tc>
          <w:tcPr>
            <w:tcW w:w="1288" w:type="dxa"/>
            <w:vAlign w:val="center"/>
          </w:tcPr>
          <w:p w14:paraId="2281FF4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Cr</w:t>
            </w:r>
          </w:p>
        </w:tc>
        <w:tc>
          <w:tcPr>
            <w:tcW w:w="1288" w:type="dxa"/>
            <w:vAlign w:val="center"/>
          </w:tcPr>
          <w:p w14:paraId="702C3DC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Ni</w:t>
            </w:r>
          </w:p>
        </w:tc>
        <w:tc>
          <w:tcPr>
            <w:tcW w:w="1288" w:type="dxa"/>
            <w:vAlign w:val="center"/>
          </w:tcPr>
          <w:p w14:paraId="6C4C0C4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Zn</w:t>
            </w:r>
          </w:p>
        </w:tc>
        <w:tc>
          <w:tcPr>
            <w:tcW w:w="1288" w:type="dxa"/>
            <w:vAlign w:val="center"/>
          </w:tcPr>
          <w:p w14:paraId="3C8111E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b/>
                <w:bCs/>
                <w:sz w:val="24"/>
                <w:szCs w:val="24"/>
                <w:lang w:eastAsia="en-GB"/>
              </w:rPr>
              <w:t>Cu</w:t>
            </w:r>
          </w:p>
        </w:tc>
      </w:tr>
      <w:tr w:rsidR="00AC2AD1" w:rsidRPr="00F43789" w14:paraId="322FCC16" w14:textId="77777777" w:rsidTr="005645B9">
        <w:tc>
          <w:tcPr>
            <w:tcW w:w="1288" w:type="dxa"/>
            <w:vAlign w:val="center"/>
          </w:tcPr>
          <w:p w14:paraId="2E2FEF3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Pb</w:t>
            </w:r>
          </w:p>
        </w:tc>
        <w:tc>
          <w:tcPr>
            <w:tcW w:w="1288" w:type="dxa"/>
            <w:vAlign w:val="center"/>
          </w:tcPr>
          <w:p w14:paraId="7FF942C8"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w:t>
            </w:r>
          </w:p>
        </w:tc>
        <w:tc>
          <w:tcPr>
            <w:tcW w:w="1288" w:type="dxa"/>
            <w:vAlign w:val="center"/>
          </w:tcPr>
          <w:p w14:paraId="1883F42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0.71</w:t>
            </w:r>
          </w:p>
        </w:tc>
        <w:tc>
          <w:tcPr>
            <w:tcW w:w="1288" w:type="dxa"/>
            <w:vAlign w:val="center"/>
          </w:tcPr>
          <w:p w14:paraId="1939916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0.46</w:t>
            </w:r>
          </w:p>
        </w:tc>
        <w:tc>
          <w:tcPr>
            <w:tcW w:w="1288" w:type="dxa"/>
            <w:vAlign w:val="center"/>
          </w:tcPr>
          <w:p w14:paraId="508BAFC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0.63</w:t>
            </w:r>
          </w:p>
        </w:tc>
        <w:tc>
          <w:tcPr>
            <w:tcW w:w="1288" w:type="dxa"/>
            <w:vAlign w:val="center"/>
          </w:tcPr>
          <w:p w14:paraId="19E22D5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0.41</w:t>
            </w:r>
          </w:p>
        </w:tc>
        <w:tc>
          <w:tcPr>
            <w:tcW w:w="1288" w:type="dxa"/>
            <w:vAlign w:val="center"/>
          </w:tcPr>
          <w:p w14:paraId="14F2659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0.52</w:t>
            </w:r>
          </w:p>
        </w:tc>
      </w:tr>
      <w:tr w:rsidR="00AC2AD1" w:rsidRPr="00F43789" w14:paraId="29B9B624" w14:textId="77777777" w:rsidTr="005645B9">
        <w:tc>
          <w:tcPr>
            <w:tcW w:w="1288" w:type="dxa"/>
            <w:vAlign w:val="center"/>
          </w:tcPr>
          <w:p w14:paraId="6EB5425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Cd</w:t>
            </w:r>
          </w:p>
        </w:tc>
        <w:tc>
          <w:tcPr>
            <w:tcW w:w="1288" w:type="dxa"/>
            <w:vAlign w:val="center"/>
          </w:tcPr>
          <w:p w14:paraId="3ABF7925"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0.71</w:t>
            </w:r>
          </w:p>
        </w:tc>
        <w:tc>
          <w:tcPr>
            <w:tcW w:w="1288" w:type="dxa"/>
            <w:vAlign w:val="center"/>
          </w:tcPr>
          <w:p w14:paraId="5E97636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w:t>
            </w:r>
          </w:p>
        </w:tc>
        <w:tc>
          <w:tcPr>
            <w:tcW w:w="1288" w:type="dxa"/>
            <w:vAlign w:val="center"/>
          </w:tcPr>
          <w:p w14:paraId="70CDFE0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0.38</w:t>
            </w:r>
          </w:p>
        </w:tc>
        <w:tc>
          <w:tcPr>
            <w:tcW w:w="1288" w:type="dxa"/>
            <w:vAlign w:val="center"/>
          </w:tcPr>
          <w:p w14:paraId="29980E11"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0.59</w:t>
            </w:r>
          </w:p>
        </w:tc>
        <w:tc>
          <w:tcPr>
            <w:tcW w:w="1288" w:type="dxa"/>
            <w:vAlign w:val="center"/>
          </w:tcPr>
          <w:p w14:paraId="496077D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0.33</w:t>
            </w:r>
          </w:p>
        </w:tc>
        <w:tc>
          <w:tcPr>
            <w:tcW w:w="1288" w:type="dxa"/>
            <w:vAlign w:val="center"/>
          </w:tcPr>
          <w:p w14:paraId="14E17E5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0.47</w:t>
            </w:r>
          </w:p>
        </w:tc>
      </w:tr>
      <w:tr w:rsidR="00AC2AD1" w:rsidRPr="00F43789" w14:paraId="76127C21" w14:textId="77777777" w:rsidTr="005645B9">
        <w:tc>
          <w:tcPr>
            <w:tcW w:w="1288" w:type="dxa"/>
            <w:vAlign w:val="center"/>
          </w:tcPr>
          <w:p w14:paraId="548D3C5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Cr</w:t>
            </w:r>
          </w:p>
        </w:tc>
        <w:tc>
          <w:tcPr>
            <w:tcW w:w="1288" w:type="dxa"/>
            <w:vAlign w:val="center"/>
          </w:tcPr>
          <w:p w14:paraId="49500D4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0.46</w:t>
            </w:r>
          </w:p>
        </w:tc>
        <w:tc>
          <w:tcPr>
            <w:tcW w:w="1288" w:type="dxa"/>
            <w:vAlign w:val="center"/>
          </w:tcPr>
          <w:p w14:paraId="1F1B11F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0.38</w:t>
            </w:r>
          </w:p>
        </w:tc>
        <w:tc>
          <w:tcPr>
            <w:tcW w:w="1288" w:type="dxa"/>
            <w:vAlign w:val="center"/>
          </w:tcPr>
          <w:p w14:paraId="6C8C5BF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w:t>
            </w:r>
          </w:p>
        </w:tc>
        <w:tc>
          <w:tcPr>
            <w:tcW w:w="1288" w:type="dxa"/>
            <w:vAlign w:val="center"/>
          </w:tcPr>
          <w:p w14:paraId="5FB1C20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0.54</w:t>
            </w:r>
          </w:p>
        </w:tc>
        <w:tc>
          <w:tcPr>
            <w:tcW w:w="1288" w:type="dxa"/>
            <w:vAlign w:val="center"/>
          </w:tcPr>
          <w:p w14:paraId="416DDE4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0.62</w:t>
            </w:r>
          </w:p>
        </w:tc>
        <w:tc>
          <w:tcPr>
            <w:tcW w:w="1288" w:type="dxa"/>
            <w:vAlign w:val="center"/>
          </w:tcPr>
          <w:p w14:paraId="2EF4880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0.68</w:t>
            </w:r>
          </w:p>
        </w:tc>
      </w:tr>
      <w:tr w:rsidR="00AC2AD1" w:rsidRPr="00F43789" w14:paraId="1B698209" w14:textId="77777777" w:rsidTr="005645B9">
        <w:tc>
          <w:tcPr>
            <w:tcW w:w="1288" w:type="dxa"/>
            <w:vAlign w:val="center"/>
          </w:tcPr>
          <w:p w14:paraId="3E31022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Ni</w:t>
            </w:r>
          </w:p>
        </w:tc>
        <w:tc>
          <w:tcPr>
            <w:tcW w:w="1288" w:type="dxa"/>
            <w:vAlign w:val="center"/>
          </w:tcPr>
          <w:p w14:paraId="792CC89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0.63</w:t>
            </w:r>
          </w:p>
        </w:tc>
        <w:tc>
          <w:tcPr>
            <w:tcW w:w="1288" w:type="dxa"/>
            <w:vAlign w:val="center"/>
          </w:tcPr>
          <w:p w14:paraId="46193A8D"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0.59</w:t>
            </w:r>
          </w:p>
        </w:tc>
        <w:tc>
          <w:tcPr>
            <w:tcW w:w="1288" w:type="dxa"/>
            <w:vAlign w:val="center"/>
          </w:tcPr>
          <w:p w14:paraId="50E8157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0.54</w:t>
            </w:r>
          </w:p>
        </w:tc>
        <w:tc>
          <w:tcPr>
            <w:tcW w:w="1288" w:type="dxa"/>
            <w:vAlign w:val="center"/>
          </w:tcPr>
          <w:p w14:paraId="728BE1FF"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w:t>
            </w:r>
          </w:p>
        </w:tc>
        <w:tc>
          <w:tcPr>
            <w:tcW w:w="1288" w:type="dxa"/>
            <w:vAlign w:val="center"/>
          </w:tcPr>
          <w:p w14:paraId="7B69F230"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0.45</w:t>
            </w:r>
          </w:p>
        </w:tc>
        <w:tc>
          <w:tcPr>
            <w:tcW w:w="1288" w:type="dxa"/>
            <w:vAlign w:val="center"/>
          </w:tcPr>
          <w:p w14:paraId="2A7D13B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0.57</w:t>
            </w:r>
          </w:p>
        </w:tc>
      </w:tr>
      <w:tr w:rsidR="00AC2AD1" w:rsidRPr="00F43789" w14:paraId="71461DE5" w14:textId="77777777" w:rsidTr="005645B9">
        <w:tc>
          <w:tcPr>
            <w:tcW w:w="1288" w:type="dxa"/>
            <w:vAlign w:val="center"/>
          </w:tcPr>
          <w:p w14:paraId="39AE5C1A"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Zn</w:t>
            </w:r>
          </w:p>
        </w:tc>
        <w:tc>
          <w:tcPr>
            <w:tcW w:w="1288" w:type="dxa"/>
            <w:vAlign w:val="center"/>
          </w:tcPr>
          <w:p w14:paraId="71101A3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0.41</w:t>
            </w:r>
          </w:p>
        </w:tc>
        <w:tc>
          <w:tcPr>
            <w:tcW w:w="1288" w:type="dxa"/>
            <w:vAlign w:val="center"/>
          </w:tcPr>
          <w:p w14:paraId="11C9FEA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0.33</w:t>
            </w:r>
          </w:p>
        </w:tc>
        <w:tc>
          <w:tcPr>
            <w:tcW w:w="1288" w:type="dxa"/>
            <w:vAlign w:val="center"/>
          </w:tcPr>
          <w:p w14:paraId="0D3C1F46"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0.62</w:t>
            </w:r>
          </w:p>
        </w:tc>
        <w:tc>
          <w:tcPr>
            <w:tcW w:w="1288" w:type="dxa"/>
            <w:vAlign w:val="center"/>
          </w:tcPr>
          <w:p w14:paraId="56886D8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0.45</w:t>
            </w:r>
          </w:p>
        </w:tc>
        <w:tc>
          <w:tcPr>
            <w:tcW w:w="1288" w:type="dxa"/>
            <w:vAlign w:val="center"/>
          </w:tcPr>
          <w:p w14:paraId="4ADF07F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w:t>
            </w:r>
          </w:p>
        </w:tc>
        <w:tc>
          <w:tcPr>
            <w:tcW w:w="1288" w:type="dxa"/>
            <w:vAlign w:val="center"/>
          </w:tcPr>
          <w:p w14:paraId="6940AD5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0.61</w:t>
            </w:r>
          </w:p>
        </w:tc>
      </w:tr>
      <w:tr w:rsidR="00AC2AD1" w:rsidRPr="00F43789" w14:paraId="42778C39" w14:textId="77777777" w:rsidTr="005645B9">
        <w:tc>
          <w:tcPr>
            <w:tcW w:w="1288" w:type="dxa"/>
            <w:vAlign w:val="center"/>
          </w:tcPr>
          <w:p w14:paraId="29F5C4BE"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Cu</w:t>
            </w:r>
          </w:p>
        </w:tc>
        <w:tc>
          <w:tcPr>
            <w:tcW w:w="1288" w:type="dxa"/>
            <w:vAlign w:val="center"/>
          </w:tcPr>
          <w:p w14:paraId="54896BE3"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0.52</w:t>
            </w:r>
          </w:p>
        </w:tc>
        <w:tc>
          <w:tcPr>
            <w:tcW w:w="1288" w:type="dxa"/>
            <w:vAlign w:val="center"/>
          </w:tcPr>
          <w:p w14:paraId="36FCCC84"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0.47</w:t>
            </w:r>
          </w:p>
        </w:tc>
        <w:tc>
          <w:tcPr>
            <w:tcW w:w="1288" w:type="dxa"/>
            <w:vAlign w:val="center"/>
          </w:tcPr>
          <w:p w14:paraId="1B3EB0C2"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0.68</w:t>
            </w:r>
          </w:p>
        </w:tc>
        <w:tc>
          <w:tcPr>
            <w:tcW w:w="1288" w:type="dxa"/>
            <w:vAlign w:val="center"/>
          </w:tcPr>
          <w:p w14:paraId="4F0FBCEC"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0.57</w:t>
            </w:r>
          </w:p>
        </w:tc>
        <w:tc>
          <w:tcPr>
            <w:tcW w:w="1288" w:type="dxa"/>
            <w:vAlign w:val="center"/>
          </w:tcPr>
          <w:p w14:paraId="29CF774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0.61</w:t>
            </w:r>
          </w:p>
        </w:tc>
        <w:tc>
          <w:tcPr>
            <w:tcW w:w="1288" w:type="dxa"/>
            <w:vAlign w:val="center"/>
          </w:tcPr>
          <w:p w14:paraId="17200549" w14:textId="77777777" w:rsidR="00AC2AD1" w:rsidRPr="00F43789" w:rsidRDefault="00AC2AD1" w:rsidP="00F43789">
            <w:pPr>
              <w:spacing w:after="100" w:afterAutospacing="1"/>
              <w:jc w:val="both"/>
              <w:outlineLvl w:val="2"/>
              <w:rPr>
                <w:rFonts w:ascii="Times New Roman" w:eastAsia="Times New Roman" w:hAnsi="Times New Roman" w:cs="Times New Roman"/>
                <w:b/>
                <w:bCs/>
                <w:sz w:val="24"/>
                <w:szCs w:val="24"/>
                <w:lang w:eastAsia="en-GB"/>
              </w:rPr>
            </w:pPr>
            <w:r w:rsidRPr="00A72271">
              <w:rPr>
                <w:rFonts w:ascii="Times New Roman" w:eastAsia="Times New Roman" w:hAnsi="Times New Roman" w:cs="Times New Roman"/>
                <w:sz w:val="24"/>
                <w:szCs w:val="24"/>
                <w:lang w:eastAsia="en-GB"/>
              </w:rPr>
              <w:t>1</w:t>
            </w:r>
          </w:p>
        </w:tc>
      </w:tr>
    </w:tbl>
    <w:p w14:paraId="7F4B4437" w14:textId="77777777" w:rsidR="00AC2AD1" w:rsidRPr="00A72271" w:rsidRDefault="00AC2AD1" w:rsidP="00F43789">
      <w:pPr>
        <w:spacing w:after="100" w:afterAutospacing="1" w:line="240" w:lineRule="auto"/>
        <w:jc w:val="both"/>
        <w:outlineLvl w:val="2"/>
        <w:rPr>
          <w:rFonts w:ascii="Times New Roman" w:eastAsia="Times New Roman" w:hAnsi="Times New Roman" w:cs="Times New Roman"/>
          <w:b/>
          <w:bCs/>
          <w:sz w:val="24"/>
          <w:szCs w:val="24"/>
          <w:lang w:eastAsia="en-GB"/>
        </w:rPr>
      </w:pPr>
    </w:p>
    <w:p w14:paraId="0584E633" w14:textId="77777777" w:rsidR="00AC2AD1" w:rsidRPr="00A72271" w:rsidRDefault="00AC2AD1" w:rsidP="00F43789">
      <w:pPr>
        <w:spacing w:after="0" w:line="240" w:lineRule="auto"/>
        <w:jc w:val="both"/>
        <w:rPr>
          <w:rFonts w:ascii="Times New Roman" w:eastAsia="Times New Roman" w:hAnsi="Times New Roman" w:cs="Times New Roman"/>
          <w:sz w:val="24"/>
          <w:szCs w:val="24"/>
          <w:lang w:eastAsia="en-GB"/>
        </w:rPr>
      </w:pPr>
    </w:p>
    <w:p w14:paraId="6BB8D4B4" w14:textId="77777777" w:rsidR="00F43789" w:rsidRPr="00921382" w:rsidRDefault="00F43789" w:rsidP="00F43789">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921382">
        <w:rPr>
          <w:rFonts w:ascii="Times New Roman" w:eastAsia="Times New Roman" w:hAnsi="Times New Roman" w:cs="Times New Roman"/>
          <w:b/>
          <w:bCs/>
          <w:sz w:val="24"/>
          <w:szCs w:val="24"/>
          <w:lang w:eastAsia="en-GB"/>
        </w:rPr>
        <w:t>4.0 Discussion</w:t>
      </w:r>
    </w:p>
    <w:p w14:paraId="2CC4FB92"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The slightly acidic to near-neutral pH conditions (5.4–6.9) observed in Eleme agricultural soils play a critical role in regulating heavy metal mobility and bioavailability. Acidic conditions enhance the solubility of metals such as cadmium, lead, and nickel by reducing adsorption to soil colloids, thereby increasing ecological and human exposure risks. Similar pH-controlled metal mobility has been reported in contaminated agricultural and urban soils across the Niger Delta and other oil-producing regions (</w:t>
      </w:r>
      <w:proofErr w:type="spellStart"/>
      <w:r w:rsidRPr="00921382">
        <w:rPr>
          <w:rFonts w:ascii="Times New Roman" w:eastAsia="Times New Roman" w:hAnsi="Times New Roman" w:cs="Times New Roman"/>
          <w:sz w:val="24"/>
          <w:szCs w:val="24"/>
          <w:lang w:eastAsia="en-GB"/>
        </w:rPr>
        <w:t>Ekesiobi</w:t>
      </w:r>
      <w:proofErr w:type="spellEnd"/>
      <w:r w:rsidRPr="00921382">
        <w:rPr>
          <w:rFonts w:ascii="Times New Roman" w:eastAsia="Times New Roman" w:hAnsi="Times New Roman" w:cs="Times New Roman"/>
          <w:sz w:val="24"/>
          <w:szCs w:val="24"/>
          <w:lang w:eastAsia="en-GB"/>
        </w:rPr>
        <w:t xml:space="preserve"> et al., 2025; </w:t>
      </w:r>
      <w:proofErr w:type="spellStart"/>
      <w:r w:rsidRPr="00921382">
        <w:rPr>
          <w:rFonts w:ascii="Times New Roman" w:eastAsia="Times New Roman" w:hAnsi="Times New Roman" w:cs="Times New Roman"/>
          <w:sz w:val="24"/>
          <w:szCs w:val="24"/>
          <w:lang w:eastAsia="en-GB"/>
        </w:rPr>
        <w:t>Osuafor</w:t>
      </w:r>
      <w:proofErr w:type="spellEnd"/>
      <w:r w:rsidRPr="00921382">
        <w:rPr>
          <w:rFonts w:ascii="Times New Roman" w:eastAsia="Times New Roman" w:hAnsi="Times New Roman" w:cs="Times New Roman"/>
          <w:sz w:val="24"/>
          <w:szCs w:val="24"/>
          <w:lang w:eastAsia="en-GB"/>
        </w:rPr>
        <w:t xml:space="preserve"> et al., 2025).</w:t>
      </w:r>
    </w:p>
    <w:p w14:paraId="1BF3E563"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The relatively low electrical conductivity values confirm limited salinity influence, indicating that metal behaviour is primarily governed by anthropogenic inputs rather than saline intrusion. Organic matter contents were generally low to moderate, suggesting reduced complexation capacity for metals. This condition facilitates greater metal bioavailability, particularly in sandy loam and loamy sand soils, where high permeability promotes downward migration and lateral redistribution. Comparable soil textures and organic matter limitations have been linked to enhanced contaminant transport in agricultural catchments of Bayelsa and Akwa Ibom States (</w:t>
      </w:r>
      <w:proofErr w:type="spellStart"/>
      <w:r w:rsidRPr="00921382">
        <w:rPr>
          <w:rFonts w:ascii="Times New Roman" w:eastAsia="Times New Roman" w:hAnsi="Times New Roman" w:cs="Times New Roman"/>
          <w:sz w:val="24"/>
          <w:szCs w:val="24"/>
          <w:lang w:eastAsia="en-GB"/>
        </w:rPr>
        <w:t>Umueni</w:t>
      </w:r>
      <w:proofErr w:type="spellEnd"/>
      <w:r w:rsidRPr="00921382">
        <w:rPr>
          <w:rFonts w:ascii="Times New Roman" w:eastAsia="Times New Roman" w:hAnsi="Times New Roman" w:cs="Times New Roman"/>
          <w:sz w:val="24"/>
          <w:szCs w:val="24"/>
          <w:lang w:eastAsia="en-GB"/>
        </w:rPr>
        <w:t xml:space="preserve"> et al., 2025; Ekpe et al., 2025).</w:t>
      </w:r>
    </w:p>
    <w:p w14:paraId="76B3B62B" w14:textId="77777777" w:rsidR="00F43789" w:rsidRPr="00921382" w:rsidRDefault="00F43789" w:rsidP="00F43789">
      <w:pPr>
        <w:spacing w:after="0" w:line="240" w:lineRule="auto"/>
        <w:jc w:val="both"/>
        <w:rPr>
          <w:rFonts w:ascii="Times New Roman" w:eastAsia="Times New Roman" w:hAnsi="Times New Roman" w:cs="Times New Roman"/>
          <w:sz w:val="24"/>
          <w:szCs w:val="24"/>
          <w:lang w:eastAsia="en-GB"/>
        </w:rPr>
      </w:pPr>
    </w:p>
    <w:p w14:paraId="67607A18"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The elevated concentrations of cadmium and lead relative to international guideline values indicate strong anthropogenic influence on Eleme agricultural soils. Cadmium concentrations exceeding the WHO/FAO limit of 0.8 mg/kg are particularly concerning due to cadmium’s high toxicity, long biological half-life, and strong tendency for plant uptake. Similar exceedances of cadmium have been documented in soils impacted by industrial effluents, fertilizer application, and petroleum activities across the Niger Delta (</w:t>
      </w:r>
      <w:proofErr w:type="spellStart"/>
      <w:r w:rsidRPr="00921382">
        <w:rPr>
          <w:rFonts w:ascii="Times New Roman" w:eastAsia="Times New Roman" w:hAnsi="Times New Roman" w:cs="Times New Roman"/>
          <w:sz w:val="24"/>
          <w:szCs w:val="24"/>
          <w:lang w:eastAsia="en-GB"/>
        </w:rPr>
        <w:t>Etesin</w:t>
      </w:r>
      <w:proofErr w:type="spellEnd"/>
      <w:r w:rsidRPr="00921382">
        <w:rPr>
          <w:rFonts w:ascii="Times New Roman" w:eastAsia="Times New Roman" w:hAnsi="Times New Roman" w:cs="Times New Roman"/>
          <w:sz w:val="24"/>
          <w:szCs w:val="24"/>
          <w:lang w:eastAsia="en-GB"/>
        </w:rPr>
        <w:t xml:space="preserve"> et al., 2025; </w:t>
      </w:r>
      <w:proofErr w:type="spellStart"/>
      <w:r w:rsidRPr="00921382">
        <w:rPr>
          <w:rFonts w:ascii="Times New Roman" w:eastAsia="Times New Roman" w:hAnsi="Times New Roman" w:cs="Times New Roman"/>
          <w:sz w:val="24"/>
          <w:szCs w:val="24"/>
          <w:lang w:eastAsia="en-GB"/>
        </w:rPr>
        <w:t>Okpoji</w:t>
      </w:r>
      <w:proofErr w:type="spellEnd"/>
      <w:r w:rsidRPr="00921382">
        <w:rPr>
          <w:rFonts w:ascii="Times New Roman" w:eastAsia="Times New Roman" w:hAnsi="Times New Roman" w:cs="Times New Roman"/>
          <w:sz w:val="24"/>
          <w:szCs w:val="24"/>
          <w:lang w:eastAsia="en-GB"/>
        </w:rPr>
        <w:t xml:space="preserve"> et al., 2025a).</w:t>
      </w:r>
    </w:p>
    <w:p w14:paraId="7B38C8E6"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 xml:space="preserve">Lead concentrations approaching or exceeding guideline thresholds further reflect industrial emissions, atmospheric deposition from gas flaring, vehicular activities, and improper waste disposal. Studies on atmospheric deposition and surface contamination in Rivers State have consistently identified lead as a dominant anthropogenic pollutant associated with oil and gas </w:t>
      </w:r>
      <w:r w:rsidRPr="00921382">
        <w:rPr>
          <w:rFonts w:ascii="Times New Roman" w:eastAsia="Times New Roman" w:hAnsi="Times New Roman" w:cs="Times New Roman"/>
          <w:sz w:val="24"/>
          <w:szCs w:val="24"/>
          <w:lang w:eastAsia="en-GB"/>
        </w:rPr>
        <w:lastRenderedPageBreak/>
        <w:t>operations (</w:t>
      </w:r>
      <w:proofErr w:type="spellStart"/>
      <w:r w:rsidRPr="00921382">
        <w:rPr>
          <w:rFonts w:ascii="Times New Roman" w:eastAsia="Times New Roman" w:hAnsi="Times New Roman" w:cs="Times New Roman"/>
          <w:sz w:val="24"/>
          <w:szCs w:val="24"/>
          <w:lang w:eastAsia="en-GB"/>
        </w:rPr>
        <w:t>Aghanwa</w:t>
      </w:r>
      <w:proofErr w:type="spellEnd"/>
      <w:r w:rsidRPr="00921382">
        <w:rPr>
          <w:rFonts w:ascii="Times New Roman" w:eastAsia="Times New Roman" w:hAnsi="Times New Roman" w:cs="Times New Roman"/>
          <w:sz w:val="24"/>
          <w:szCs w:val="24"/>
          <w:lang w:eastAsia="en-GB"/>
        </w:rPr>
        <w:t xml:space="preserve"> et al., 2025; </w:t>
      </w:r>
      <w:proofErr w:type="spellStart"/>
      <w:r w:rsidRPr="00921382">
        <w:rPr>
          <w:rFonts w:ascii="Times New Roman" w:eastAsia="Times New Roman" w:hAnsi="Times New Roman" w:cs="Times New Roman"/>
          <w:sz w:val="24"/>
          <w:szCs w:val="24"/>
          <w:lang w:eastAsia="en-GB"/>
        </w:rPr>
        <w:t>Okpoji</w:t>
      </w:r>
      <w:proofErr w:type="spellEnd"/>
      <w:r w:rsidRPr="00921382">
        <w:rPr>
          <w:rFonts w:ascii="Times New Roman" w:eastAsia="Times New Roman" w:hAnsi="Times New Roman" w:cs="Times New Roman"/>
          <w:sz w:val="24"/>
          <w:szCs w:val="24"/>
          <w:lang w:eastAsia="en-GB"/>
        </w:rPr>
        <w:t xml:space="preserve"> et al., 2025b). Although chromium, zinc, and copper largely remained within permissible limits, their elevated localised concentrations suggest cumulative inputs from agrochemicals, industrial discharge, and natural lithogenic sources.</w:t>
      </w:r>
    </w:p>
    <w:p w14:paraId="4C802C1F" w14:textId="77777777" w:rsidR="00F43789" w:rsidRPr="00921382" w:rsidRDefault="00F43789" w:rsidP="00F43789">
      <w:pPr>
        <w:spacing w:after="0" w:line="240" w:lineRule="auto"/>
        <w:jc w:val="both"/>
        <w:rPr>
          <w:rFonts w:ascii="Times New Roman" w:eastAsia="Times New Roman" w:hAnsi="Times New Roman" w:cs="Times New Roman"/>
          <w:sz w:val="24"/>
          <w:szCs w:val="24"/>
          <w:lang w:eastAsia="en-GB"/>
        </w:rPr>
      </w:pPr>
    </w:p>
    <w:p w14:paraId="6C2971CF"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The contamination factor and geo-accumulation index results clearly identify cadmium as the most critical contaminant in Eleme agricultural soils. Strong contamination and moderate-to-strong geo-accumulation levels for cadmium reflect persistent and ongoing inputs, consistent with fertilizer use, industrial emissions, and petroleum-related activities. Similar dominance of cadmium in contamination indices has been reported for soils and sediments in oil-bearing regions of Bayelsa, Delta, and Rivers States (</w:t>
      </w:r>
      <w:proofErr w:type="spellStart"/>
      <w:r w:rsidRPr="00921382">
        <w:rPr>
          <w:rFonts w:ascii="Times New Roman" w:eastAsia="Times New Roman" w:hAnsi="Times New Roman" w:cs="Times New Roman"/>
          <w:sz w:val="24"/>
          <w:szCs w:val="24"/>
          <w:lang w:eastAsia="en-GB"/>
        </w:rPr>
        <w:t>Okpoji</w:t>
      </w:r>
      <w:proofErr w:type="spellEnd"/>
      <w:r w:rsidRPr="00921382">
        <w:rPr>
          <w:rFonts w:ascii="Times New Roman" w:eastAsia="Times New Roman" w:hAnsi="Times New Roman" w:cs="Times New Roman"/>
          <w:sz w:val="24"/>
          <w:szCs w:val="24"/>
          <w:lang w:eastAsia="en-GB"/>
        </w:rPr>
        <w:t xml:space="preserve"> et al., 2025c; </w:t>
      </w:r>
      <w:proofErr w:type="spellStart"/>
      <w:r w:rsidRPr="00921382">
        <w:rPr>
          <w:rFonts w:ascii="Times New Roman" w:eastAsia="Times New Roman" w:hAnsi="Times New Roman" w:cs="Times New Roman"/>
          <w:sz w:val="24"/>
          <w:szCs w:val="24"/>
          <w:lang w:eastAsia="en-GB"/>
        </w:rPr>
        <w:t>Umueni</w:t>
      </w:r>
      <w:proofErr w:type="spellEnd"/>
      <w:r w:rsidRPr="00921382">
        <w:rPr>
          <w:rFonts w:ascii="Times New Roman" w:eastAsia="Times New Roman" w:hAnsi="Times New Roman" w:cs="Times New Roman"/>
          <w:sz w:val="24"/>
          <w:szCs w:val="24"/>
          <w:lang w:eastAsia="en-GB"/>
        </w:rPr>
        <w:t xml:space="preserve"> et al., 2025).</w:t>
      </w:r>
    </w:p>
    <w:p w14:paraId="0CFFF628"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Moderate contamination levels recorded for lead and nickel further support mixed anthropogenic sources, including atmospheric fallout from gas flaring and industrial operations. The relatively low contamination status of zinc suggests a stronger lithogenic control, as previously reported for Niger Delta soils and sediments (</w:t>
      </w:r>
      <w:proofErr w:type="spellStart"/>
      <w:r w:rsidRPr="00921382">
        <w:rPr>
          <w:rFonts w:ascii="Times New Roman" w:eastAsia="Times New Roman" w:hAnsi="Times New Roman" w:cs="Times New Roman"/>
          <w:sz w:val="24"/>
          <w:szCs w:val="24"/>
          <w:lang w:eastAsia="en-GB"/>
        </w:rPr>
        <w:t>Okpoji</w:t>
      </w:r>
      <w:proofErr w:type="spellEnd"/>
      <w:r w:rsidRPr="00921382">
        <w:rPr>
          <w:rFonts w:ascii="Times New Roman" w:eastAsia="Times New Roman" w:hAnsi="Times New Roman" w:cs="Times New Roman"/>
          <w:sz w:val="24"/>
          <w:szCs w:val="24"/>
          <w:lang w:eastAsia="en-GB"/>
        </w:rPr>
        <w:t xml:space="preserve"> et al., 2025d; </w:t>
      </w:r>
      <w:proofErr w:type="spellStart"/>
      <w:r w:rsidRPr="00921382">
        <w:rPr>
          <w:rFonts w:ascii="Times New Roman" w:eastAsia="Times New Roman" w:hAnsi="Times New Roman" w:cs="Times New Roman"/>
          <w:sz w:val="24"/>
          <w:szCs w:val="24"/>
          <w:lang w:eastAsia="en-GB"/>
        </w:rPr>
        <w:t>Umueni</w:t>
      </w:r>
      <w:proofErr w:type="spellEnd"/>
      <w:r w:rsidRPr="00921382">
        <w:rPr>
          <w:rFonts w:ascii="Times New Roman" w:eastAsia="Times New Roman" w:hAnsi="Times New Roman" w:cs="Times New Roman"/>
          <w:sz w:val="24"/>
          <w:szCs w:val="24"/>
          <w:lang w:eastAsia="en-GB"/>
        </w:rPr>
        <w:t xml:space="preserve"> et al., 2025).</w:t>
      </w:r>
    </w:p>
    <w:p w14:paraId="52931BFF"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The ecological risk assessment demonstrates that cadmium poses a very high ecological risk, driven by both its elevated concentration and high toxic response factor. The PERI value of 233.9 indicates considerable ecological risk, suggesting potential adverse effects on soil microorganisms, invertebrates, and crop productivity. Comparable ecological risk patterns dominated by cadmium have been documented in estuarine sediments, riverine systems, and agricultural soils within the Niger Delta (</w:t>
      </w:r>
      <w:proofErr w:type="spellStart"/>
      <w:r w:rsidRPr="00921382">
        <w:rPr>
          <w:rFonts w:ascii="Times New Roman" w:eastAsia="Times New Roman" w:hAnsi="Times New Roman" w:cs="Times New Roman"/>
          <w:sz w:val="24"/>
          <w:szCs w:val="24"/>
          <w:lang w:eastAsia="en-GB"/>
        </w:rPr>
        <w:t>Okpoji</w:t>
      </w:r>
      <w:proofErr w:type="spellEnd"/>
      <w:r w:rsidRPr="00921382">
        <w:rPr>
          <w:rFonts w:ascii="Times New Roman" w:eastAsia="Times New Roman" w:hAnsi="Times New Roman" w:cs="Times New Roman"/>
          <w:sz w:val="24"/>
          <w:szCs w:val="24"/>
          <w:lang w:eastAsia="en-GB"/>
        </w:rPr>
        <w:t xml:space="preserve"> et al., 2025e; </w:t>
      </w:r>
      <w:proofErr w:type="spellStart"/>
      <w:r w:rsidRPr="00921382">
        <w:rPr>
          <w:rFonts w:ascii="Times New Roman" w:eastAsia="Times New Roman" w:hAnsi="Times New Roman" w:cs="Times New Roman"/>
          <w:sz w:val="24"/>
          <w:szCs w:val="24"/>
          <w:lang w:eastAsia="en-GB"/>
        </w:rPr>
        <w:t>Umueni</w:t>
      </w:r>
      <w:proofErr w:type="spellEnd"/>
      <w:r w:rsidRPr="00921382">
        <w:rPr>
          <w:rFonts w:ascii="Times New Roman" w:eastAsia="Times New Roman" w:hAnsi="Times New Roman" w:cs="Times New Roman"/>
          <w:sz w:val="24"/>
          <w:szCs w:val="24"/>
          <w:lang w:eastAsia="en-GB"/>
        </w:rPr>
        <w:t xml:space="preserve"> et al., 2025).</w:t>
      </w:r>
    </w:p>
    <w:p w14:paraId="70A5D9B4"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Moderate ecological risks associated with lead and nickel further raise concerns about long-term ecosystem degradation and food-chain transfer. Previous ecotoxicological studies in Niger Delta aquatic and terrestrial environments have demonstrated strong links between elevated metal concentrations and biomarker responses in fish, crustaceans, and benthic organisms (</w:t>
      </w:r>
      <w:proofErr w:type="spellStart"/>
      <w:r w:rsidRPr="00921382">
        <w:rPr>
          <w:rFonts w:ascii="Times New Roman" w:eastAsia="Times New Roman" w:hAnsi="Times New Roman" w:cs="Times New Roman"/>
          <w:sz w:val="24"/>
          <w:szCs w:val="24"/>
          <w:lang w:eastAsia="en-GB"/>
        </w:rPr>
        <w:t>Ohaturuonye</w:t>
      </w:r>
      <w:proofErr w:type="spellEnd"/>
      <w:r w:rsidRPr="00921382">
        <w:rPr>
          <w:rFonts w:ascii="Times New Roman" w:eastAsia="Times New Roman" w:hAnsi="Times New Roman" w:cs="Times New Roman"/>
          <w:sz w:val="24"/>
          <w:szCs w:val="24"/>
          <w:lang w:eastAsia="en-GB"/>
        </w:rPr>
        <w:t xml:space="preserve"> et al., 2025; </w:t>
      </w:r>
      <w:proofErr w:type="spellStart"/>
      <w:r w:rsidRPr="00921382">
        <w:rPr>
          <w:rFonts w:ascii="Times New Roman" w:eastAsia="Times New Roman" w:hAnsi="Times New Roman" w:cs="Times New Roman"/>
          <w:sz w:val="24"/>
          <w:szCs w:val="24"/>
          <w:lang w:eastAsia="en-GB"/>
        </w:rPr>
        <w:t>Okpoji</w:t>
      </w:r>
      <w:proofErr w:type="spellEnd"/>
      <w:r w:rsidRPr="00921382">
        <w:rPr>
          <w:rFonts w:ascii="Times New Roman" w:eastAsia="Times New Roman" w:hAnsi="Times New Roman" w:cs="Times New Roman"/>
          <w:sz w:val="24"/>
          <w:szCs w:val="24"/>
          <w:lang w:eastAsia="en-GB"/>
        </w:rPr>
        <w:t xml:space="preserve"> et al., 2025f).</w:t>
      </w:r>
    </w:p>
    <w:p w14:paraId="259DC6F4"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The non-carcinogenic risk assessment indicates that children are more vulnerable to heavy-metal exposure than adults, primarily due to higher ingestion rates relative to body weight. Hazard quotient values exceeding unity for cadmium and lead in children suggest significant public health concerns, particularly in farming communities where direct soil contact and consumption of locally grown crops are common.</w:t>
      </w:r>
    </w:p>
    <w:p w14:paraId="30E63C28"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These findings align with reported health risks from contaminated water, soils, and food items across the Niger Delta, where children consistently exhibit higher exposure levels and health risks (</w:t>
      </w:r>
      <w:proofErr w:type="spellStart"/>
      <w:r w:rsidRPr="00921382">
        <w:rPr>
          <w:rFonts w:ascii="Times New Roman" w:eastAsia="Times New Roman" w:hAnsi="Times New Roman" w:cs="Times New Roman"/>
          <w:sz w:val="24"/>
          <w:szCs w:val="24"/>
          <w:lang w:eastAsia="en-GB"/>
        </w:rPr>
        <w:t>Ekesiobi</w:t>
      </w:r>
      <w:proofErr w:type="spellEnd"/>
      <w:r w:rsidRPr="00921382">
        <w:rPr>
          <w:rFonts w:ascii="Times New Roman" w:eastAsia="Times New Roman" w:hAnsi="Times New Roman" w:cs="Times New Roman"/>
          <w:sz w:val="24"/>
          <w:szCs w:val="24"/>
          <w:lang w:eastAsia="en-GB"/>
        </w:rPr>
        <w:t xml:space="preserve"> et al., 2025; Onoja et al., 2025). The potential risk associated with nickel ingestion further highlights the cumulative effect of multiple metals, even when individual concentrations are near guideline limits.</w:t>
      </w:r>
    </w:p>
    <w:p w14:paraId="0B9EA93E"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The pronounced spatial variability in metal concentrations, with Site 3 exhibiting the highest contamination levels, underscores the influence of proximity to petrochemical and industrial facilities. Localised enrichment patterns reflect point-source contamination, consistent with findings from gas-flaring zones and industrial corridors in Rivers and Bayelsa States (</w:t>
      </w:r>
      <w:proofErr w:type="spellStart"/>
      <w:r w:rsidRPr="00921382">
        <w:rPr>
          <w:rFonts w:ascii="Times New Roman" w:eastAsia="Times New Roman" w:hAnsi="Times New Roman" w:cs="Times New Roman"/>
          <w:sz w:val="24"/>
          <w:szCs w:val="24"/>
          <w:lang w:eastAsia="en-GB"/>
        </w:rPr>
        <w:t>Okpoji</w:t>
      </w:r>
      <w:proofErr w:type="spellEnd"/>
      <w:r w:rsidRPr="00921382">
        <w:rPr>
          <w:rFonts w:ascii="Times New Roman" w:eastAsia="Times New Roman" w:hAnsi="Times New Roman" w:cs="Times New Roman"/>
          <w:sz w:val="24"/>
          <w:szCs w:val="24"/>
          <w:lang w:eastAsia="en-GB"/>
        </w:rPr>
        <w:t xml:space="preserve"> et al., 2025g; </w:t>
      </w:r>
      <w:proofErr w:type="spellStart"/>
      <w:r w:rsidRPr="00921382">
        <w:rPr>
          <w:rFonts w:ascii="Times New Roman" w:eastAsia="Times New Roman" w:hAnsi="Times New Roman" w:cs="Times New Roman"/>
          <w:sz w:val="24"/>
          <w:szCs w:val="24"/>
          <w:lang w:eastAsia="en-GB"/>
        </w:rPr>
        <w:t>Aghanwa</w:t>
      </w:r>
      <w:proofErr w:type="spellEnd"/>
      <w:r w:rsidRPr="00921382">
        <w:rPr>
          <w:rFonts w:ascii="Times New Roman" w:eastAsia="Times New Roman" w:hAnsi="Times New Roman" w:cs="Times New Roman"/>
          <w:sz w:val="24"/>
          <w:szCs w:val="24"/>
          <w:lang w:eastAsia="en-GB"/>
        </w:rPr>
        <w:t xml:space="preserve"> et al., 2025).</w:t>
      </w:r>
    </w:p>
    <w:p w14:paraId="60CF79C7"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lastRenderedPageBreak/>
        <w:t xml:space="preserve">Lower concentrations observed at more distant sites suggest attenuation effects with increasing distance from industrial sources. Similar spatial gradients have been reported in studies of groundwater, surface waters, and sediments impacted by oil-related activities (Okagbare et al., 2025; </w:t>
      </w:r>
      <w:proofErr w:type="spellStart"/>
      <w:r w:rsidRPr="00921382">
        <w:rPr>
          <w:rFonts w:ascii="Times New Roman" w:eastAsia="Times New Roman" w:hAnsi="Times New Roman" w:cs="Times New Roman"/>
          <w:sz w:val="24"/>
          <w:szCs w:val="24"/>
          <w:lang w:eastAsia="en-GB"/>
        </w:rPr>
        <w:t>Okpoji</w:t>
      </w:r>
      <w:proofErr w:type="spellEnd"/>
      <w:r w:rsidRPr="00921382">
        <w:rPr>
          <w:rFonts w:ascii="Times New Roman" w:eastAsia="Times New Roman" w:hAnsi="Times New Roman" w:cs="Times New Roman"/>
          <w:sz w:val="24"/>
          <w:szCs w:val="24"/>
          <w:lang w:eastAsia="en-GB"/>
        </w:rPr>
        <w:t xml:space="preserve"> et al., 2025h).</w:t>
      </w:r>
    </w:p>
    <w:p w14:paraId="127FA15C"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Higher dry-season concentrations of lead and cadmium reflect reduced dilution, limited leaching, and enhanced accumulation during periods of low rainfall. In contrast, wet-season reductions likely result from dilution, runoff, and vertical redistribution within the soil profile. Seasonal trends observed in this study are consistent with documented seasonal variability in hydrocarbon and metal contamination in Niger Delta soils, sediments, and biota (</w:t>
      </w:r>
      <w:proofErr w:type="spellStart"/>
      <w:r w:rsidRPr="00921382">
        <w:rPr>
          <w:rFonts w:ascii="Times New Roman" w:eastAsia="Times New Roman" w:hAnsi="Times New Roman" w:cs="Times New Roman"/>
          <w:sz w:val="24"/>
          <w:szCs w:val="24"/>
          <w:lang w:eastAsia="en-GB"/>
        </w:rPr>
        <w:t>Ogbaji</w:t>
      </w:r>
      <w:proofErr w:type="spellEnd"/>
      <w:r w:rsidRPr="00921382">
        <w:rPr>
          <w:rFonts w:ascii="Times New Roman" w:eastAsia="Times New Roman" w:hAnsi="Times New Roman" w:cs="Times New Roman"/>
          <w:sz w:val="24"/>
          <w:szCs w:val="24"/>
          <w:lang w:eastAsia="en-GB"/>
        </w:rPr>
        <w:t xml:space="preserve"> et al., 2025; </w:t>
      </w:r>
      <w:proofErr w:type="spellStart"/>
      <w:r w:rsidRPr="00921382">
        <w:rPr>
          <w:rFonts w:ascii="Times New Roman" w:eastAsia="Times New Roman" w:hAnsi="Times New Roman" w:cs="Times New Roman"/>
          <w:sz w:val="24"/>
          <w:szCs w:val="24"/>
          <w:lang w:eastAsia="en-GB"/>
        </w:rPr>
        <w:t>Okpoji</w:t>
      </w:r>
      <w:proofErr w:type="spellEnd"/>
      <w:r w:rsidRPr="00921382">
        <w:rPr>
          <w:rFonts w:ascii="Times New Roman" w:eastAsia="Times New Roman" w:hAnsi="Times New Roman" w:cs="Times New Roman"/>
          <w:sz w:val="24"/>
          <w:szCs w:val="24"/>
          <w:lang w:eastAsia="en-GB"/>
        </w:rPr>
        <w:t xml:space="preserve"> et al., 2025i).</w:t>
      </w:r>
    </w:p>
    <w:p w14:paraId="455E06A3"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Significant enrichment of cadmium and moderate enrichment of lead and nickel confirm strong anthropogenic influence. These enrichment patterns align with studies identifying industrial emissions, fertilizer application, and atmospheric deposition as dominant sources of heavy metals in agricultural landscapes (</w:t>
      </w:r>
      <w:proofErr w:type="spellStart"/>
      <w:r w:rsidRPr="00921382">
        <w:rPr>
          <w:rFonts w:ascii="Times New Roman" w:eastAsia="Times New Roman" w:hAnsi="Times New Roman" w:cs="Times New Roman"/>
          <w:sz w:val="24"/>
          <w:szCs w:val="24"/>
          <w:lang w:eastAsia="en-GB"/>
        </w:rPr>
        <w:t>Etesin</w:t>
      </w:r>
      <w:proofErr w:type="spellEnd"/>
      <w:r w:rsidRPr="00921382">
        <w:rPr>
          <w:rFonts w:ascii="Times New Roman" w:eastAsia="Times New Roman" w:hAnsi="Times New Roman" w:cs="Times New Roman"/>
          <w:sz w:val="24"/>
          <w:szCs w:val="24"/>
          <w:lang w:eastAsia="en-GB"/>
        </w:rPr>
        <w:t xml:space="preserve"> et al., 2025; Ekpe et al., 2025). The absence of enrichment for zinc supports its predominantly geogenic origin.</w:t>
      </w:r>
    </w:p>
    <w:p w14:paraId="4331683E"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 xml:space="preserve">Estimated daily intake values reveal higher exposure levels for children, reinforcing their vulnerability. Although carcinogenic risk values fall within acceptable limits, cadmium presents the highest carcinogenic risk, warranting continued monitoring. Similar carcinogenic risk profiles have been reported for heavy metals and organic pollutants in water, sediments, and food matrices across the Niger Delta (John et al., 2025; </w:t>
      </w:r>
      <w:proofErr w:type="spellStart"/>
      <w:r w:rsidRPr="00921382">
        <w:rPr>
          <w:rFonts w:ascii="Times New Roman" w:eastAsia="Times New Roman" w:hAnsi="Times New Roman" w:cs="Times New Roman"/>
          <w:sz w:val="24"/>
          <w:szCs w:val="24"/>
          <w:lang w:eastAsia="en-GB"/>
        </w:rPr>
        <w:t>Okpoji</w:t>
      </w:r>
      <w:proofErr w:type="spellEnd"/>
      <w:r w:rsidRPr="00921382">
        <w:rPr>
          <w:rFonts w:ascii="Times New Roman" w:eastAsia="Times New Roman" w:hAnsi="Times New Roman" w:cs="Times New Roman"/>
          <w:sz w:val="24"/>
          <w:szCs w:val="24"/>
          <w:lang w:eastAsia="en-GB"/>
        </w:rPr>
        <w:t xml:space="preserve"> et al., 2025j).</w:t>
      </w:r>
    </w:p>
    <w:p w14:paraId="5978E1DF" w14:textId="77777777" w:rsidR="00F43789" w:rsidRPr="00921382" w:rsidRDefault="00F43789" w:rsidP="00F4378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921382">
        <w:rPr>
          <w:rFonts w:ascii="Times New Roman" w:eastAsia="Times New Roman" w:hAnsi="Times New Roman" w:cs="Times New Roman"/>
          <w:sz w:val="24"/>
          <w:szCs w:val="24"/>
          <w:lang w:eastAsia="en-GB"/>
        </w:rPr>
        <w:t>cadmium emerges as the dominant environmental and toxicological threat in Eleme agricultural soils, followed by lead and nickel. The convergence of contamination indices, ecological risk metrics, and human health assessments underscores the cumulative risk posed by prolonged industrial activities in the region. These findings are consistent with broader evidence from Niger Delta studies highlighting the interconnected nature of soil, water, sediment, and food contamination (</w:t>
      </w:r>
      <w:proofErr w:type="spellStart"/>
      <w:r w:rsidRPr="00921382">
        <w:rPr>
          <w:rFonts w:ascii="Times New Roman" w:eastAsia="Times New Roman" w:hAnsi="Times New Roman" w:cs="Times New Roman"/>
          <w:sz w:val="24"/>
          <w:szCs w:val="24"/>
          <w:lang w:eastAsia="en-GB"/>
        </w:rPr>
        <w:t>Okpoji</w:t>
      </w:r>
      <w:proofErr w:type="spellEnd"/>
      <w:r w:rsidRPr="00921382">
        <w:rPr>
          <w:rFonts w:ascii="Times New Roman" w:eastAsia="Times New Roman" w:hAnsi="Times New Roman" w:cs="Times New Roman"/>
          <w:sz w:val="24"/>
          <w:szCs w:val="24"/>
          <w:lang w:eastAsia="en-GB"/>
        </w:rPr>
        <w:t xml:space="preserve"> et al., 2025k; </w:t>
      </w:r>
      <w:proofErr w:type="spellStart"/>
      <w:r w:rsidRPr="00921382">
        <w:rPr>
          <w:rFonts w:ascii="Times New Roman" w:eastAsia="Times New Roman" w:hAnsi="Times New Roman" w:cs="Times New Roman"/>
          <w:sz w:val="24"/>
          <w:szCs w:val="24"/>
          <w:lang w:eastAsia="en-GB"/>
        </w:rPr>
        <w:t>Umueni</w:t>
      </w:r>
      <w:proofErr w:type="spellEnd"/>
      <w:r w:rsidRPr="00921382">
        <w:rPr>
          <w:rFonts w:ascii="Times New Roman" w:eastAsia="Times New Roman" w:hAnsi="Times New Roman" w:cs="Times New Roman"/>
          <w:sz w:val="24"/>
          <w:szCs w:val="24"/>
          <w:lang w:eastAsia="en-GB"/>
        </w:rPr>
        <w:t xml:space="preserve"> et al., 2025).</w:t>
      </w:r>
    </w:p>
    <w:p w14:paraId="0D7E0F91" w14:textId="77777777" w:rsidR="00F43789" w:rsidRPr="00F43789" w:rsidRDefault="00F43789" w:rsidP="00F43789">
      <w:pPr>
        <w:jc w:val="both"/>
        <w:rPr>
          <w:rFonts w:ascii="Times New Roman" w:hAnsi="Times New Roman" w:cs="Times New Roman"/>
          <w:sz w:val="24"/>
          <w:szCs w:val="24"/>
        </w:rPr>
      </w:pPr>
    </w:p>
    <w:p w14:paraId="3FBD33D8" w14:textId="77777777" w:rsidR="00F43789" w:rsidRPr="00F43789" w:rsidRDefault="00F43789" w:rsidP="00F43789">
      <w:pPr>
        <w:pStyle w:val="Heading2"/>
        <w:jc w:val="both"/>
        <w:rPr>
          <w:sz w:val="24"/>
          <w:szCs w:val="24"/>
        </w:rPr>
      </w:pPr>
      <w:r w:rsidRPr="00F43789">
        <w:rPr>
          <w:rStyle w:val="Strong"/>
          <w:b/>
          <w:bCs/>
          <w:sz w:val="24"/>
          <w:szCs w:val="24"/>
        </w:rPr>
        <w:t>Conclusion</w:t>
      </w:r>
    </w:p>
    <w:p w14:paraId="587AC24E" w14:textId="77777777" w:rsidR="00F43789" w:rsidRPr="00F43789" w:rsidRDefault="00F43789" w:rsidP="00F43789">
      <w:pPr>
        <w:pStyle w:val="NormalWeb"/>
        <w:jc w:val="both"/>
      </w:pPr>
      <w:r w:rsidRPr="00F43789">
        <w:t>This study provides a comprehensive environmental and toxicological evaluation of heavy metal contamination in agricultural soils of Eleme, Rivers State. The physicochemical characteristics of the soils, notably their slightly acidic nature, low organic matter content, and sandy loam to loamy sand texture, favour the mobility and bioavailability of heavy metals, thereby increasing the likelihood of ecological exposure and human contact.</w:t>
      </w:r>
    </w:p>
    <w:p w14:paraId="787D0632" w14:textId="77777777" w:rsidR="00F43789" w:rsidRPr="00F43789" w:rsidRDefault="00F43789" w:rsidP="00F43789">
      <w:pPr>
        <w:pStyle w:val="NormalWeb"/>
        <w:jc w:val="both"/>
      </w:pPr>
      <w:r w:rsidRPr="00F43789">
        <w:t>Among the analysed metals, cadmium emerged as the most critical contaminant. Its concentrations exceeded recommended guideline limits, exhibited strong contamination and enrichment characteristics, and posed very high ecological risk. Lead and nickel also showed moderate contamination and ecological risk levels, while chromium and zinc generally remained within acceptable limits. The pollution indices collectively indicate a deterioration of soil quality, largely driven by anthropogenic inputs associated with industrial activities in the Eleme area.</w:t>
      </w:r>
    </w:p>
    <w:p w14:paraId="6F63A086" w14:textId="77777777" w:rsidR="00F43789" w:rsidRPr="00F43789" w:rsidRDefault="00F43789" w:rsidP="00F43789">
      <w:pPr>
        <w:pStyle w:val="NormalWeb"/>
        <w:jc w:val="both"/>
      </w:pPr>
      <w:r w:rsidRPr="00F43789">
        <w:lastRenderedPageBreak/>
        <w:t>Human health risk assessment revealed that children are particularly vulnerable to soil-related heavy metal exposure. Non-carcinogenic risk indices indicated potential to significant health risks from cadmium and lead ingestion in children, while adults generally remained within acceptable risk thresholds. Although the estimated carcinogenic risks for cadmium, chromium, and nickel fell within internationally acceptable limits, the elevated values observed for cadmium underscore the need for continued monitoring and preventive action.</w:t>
      </w:r>
    </w:p>
    <w:p w14:paraId="5C123854" w14:textId="77777777" w:rsidR="00F43789" w:rsidRPr="00F43789" w:rsidRDefault="00F43789" w:rsidP="00F43789">
      <w:pPr>
        <w:pStyle w:val="NormalWeb"/>
        <w:jc w:val="both"/>
      </w:pPr>
      <w:r w:rsidRPr="00F43789">
        <w:t>Spatial and seasonal analyses further demonstrated that proximity to industrial and petrochemical facilities significantly influences contamination patterns, with higher metal concentrations recorded at locations closer to industrial zones and during the dry season. These findings highlight the cumulative and persistent nature of heavy metal inputs into agricultural soils in the region.</w:t>
      </w:r>
    </w:p>
    <w:p w14:paraId="4207CDE6" w14:textId="0206B7AD" w:rsidR="00F43789" w:rsidRPr="00F43789" w:rsidRDefault="00F43789" w:rsidP="00F43789">
      <w:pPr>
        <w:pStyle w:val="NormalWeb"/>
        <w:jc w:val="both"/>
      </w:pPr>
      <w:r w:rsidRPr="00F43789">
        <w:t xml:space="preserve">The study confirms that prolonged industrialisation and associated anthropogenic activities have substantially altered the quality of agricultural soils in Eleme, posing measurable ecological and public health concerns. There is an urgent need for regular environmental monitoring, stricter regulation of industrial emissions and waste disposal, and the implementation of soil management and remediation strategies to minimise metal accumulation. Such measures are essential to safeguard agricultural productivity, ecosystem integrity, and human health in Eleme and other industrialised communities of the Niger Delta. </w:t>
      </w:r>
    </w:p>
    <w:p w14:paraId="567FDB83" w14:textId="77777777" w:rsidR="00AC2AD1" w:rsidRPr="00F43789" w:rsidRDefault="00AC2AD1" w:rsidP="00F43789">
      <w:pPr>
        <w:jc w:val="both"/>
        <w:rPr>
          <w:rFonts w:ascii="Times New Roman" w:hAnsi="Times New Roman" w:cs="Times New Roman"/>
          <w:sz w:val="24"/>
          <w:szCs w:val="24"/>
        </w:rPr>
      </w:pPr>
    </w:p>
    <w:p w14:paraId="736D5C10" w14:textId="77777777" w:rsidR="00F43789" w:rsidRPr="00F43789" w:rsidRDefault="00F43789" w:rsidP="00F43789">
      <w:pPr>
        <w:jc w:val="both"/>
        <w:rPr>
          <w:rFonts w:ascii="Times New Roman" w:hAnsi="Times New Roman" w:cs="Times New Roman"/>
          <w:b/>
          <w:bCs/>
          <w:sz w:val="24"/>
          <w:szCs w:val="24"/>
        </w:rPr>
      </w:pPr>
      <w:r w:rsidRPr="00F43789">
        <w:rPr>
          <w:rFonts w:ascii="Times New Roman" w:hAnsi="Times New Roman" w:cs="Times New Roman"/>
          <w:b/>
          <w:bCs/>
          <w:sz w:val="24"/>
          <w:szCs w:val="24"/>
        </w:rPr>
        <w:t xml:space="preserve">References </w:t>
      </w:r>
    </w:p>
    <w:p w14:paraId="4571B697" w14:textId="6CFF9DE1" w:rsidR="00F43789" w:rsidRPr="007D68E2" w:rsidRDefault="00F43789" w:rsidP="00F43789">
      <w:pPr>
        <w:pStyle w:val="NormalWeb"/>
        <w:spacing w:line="276" w:lineRule="auto"/>
        <w:ind w:left="720" w:hanging="720"/>
        <w:jc w:val="both"/>
        <w:rPr>
          <w:b/>
          <w:bCs/>
        </w:rPr>
      </w:pPr>
      <w:bookmarkStart w:id="1" w:name="_Hlk216411041"/>
      <w:proofErr w:type="spellStart"/>
      <w:r w:rsidRPr="00F43789">
        <w:t>Aghanwa</w:t>
      </w:r>
      <w:proofErr w:type="spellEnd"/>
      <w:r w:rsidRPr="00F43789">
        <w:t xml:space="preserve">, C. I., </w:t>
      </w:r>
      <w:proofErr w:type="spellStart"/>
      <w:r w:rsidRPr="00F43789">
        <w:t>Umueni</w:t>
      </w:r>
      <w:proofErr w:type="spellEnd"/>
      <w:r w:rsidRPr="00F43789">
        <w:t xml:space="preserve">, U. E., Etukudo, N. J., Amachree, J. B., </w:t>
      </w:r>
      <w:proofErr w:type="spellStart"/>
      <w:r w:rsidRPr="00F43789">
        <w:t>Okpoji</w:t>
      </w:r>
      <w:proofErr w:type="spellEnd"/>
      <w:r w:rsidRPr="00F43789">
        <w:t xml:space="preserve">, A. U., </w:t>
      </w:r>
      <w:proofErr w:type="spellStart"/>
      <w:r w:rsidRPr="00F43789">
        <w:t>Ejeka</w:t>
      </w:r>
      <w:proofErr w:type="spellEnd"/>
      <w:r w:rsidRPr="00F43789">
        <w:t xml:space="preserve">, C. J., &amp; </w:t>
      </w:r>
      <w:proofErr w:type="spellStart"/>
      <w:r w:rsidRPr="00F43789">
        <w:t>Ekwere</w:t>
      </w:r>
      <w:proofErr w:type="spellEnd"/>
      <w:r w:rsidRPr="00F43789">
        <w:t xml:space="preserve">, I. O. (2025). Atmospheric deposition of soot and heavy metals from gas flaring into surface waters of </w:t>
      </w:r>
      <w:proofErr w:type="spellStart"/>
      <w:r w:rsidRPr="00F43789">
        <w:t>Ebocha</w:t>
      </w:r>
      <w:proofErr w:type="spellEnd"/>
      <w:r w:rsidRPr="00F43789">
        <w:t xml:space="preserve">, Rivers State, Nigeria. </w:t>
      </w:r>
      <w:r w:rsidRPr="00F43789">
        <w:rPr>
          <w:rStyle w:val="Emphasis"/>
        </w:rPr>
        <w:t>Asian Journal of Environment &amp; Ecology, 24</w:t>
      </w:r>
      <w:r w:rsidRPr="00F43789">
        <w:t>(11), 137–147.</w:t>
      </w:r>
      <w:r w:rsidR="007D68E2">
        <w:t xml:space="preserve"> </w:t>
      </w:r>
      <w:hyperlink r:id="rId7" w:history="1">
        <w:r w:rsidR="007D68E2" w:rsidRPr="009A3DC6">
          <w:rPr>
            <w:rStyle w:val="Hyperlink"/>
          </w:rPr>
          <w:t>https://doi.org/10.9734/ajee/2025/v24i11822</w:t>
        </w:r>
      </w:hyperlink>
      <w:r w:rsidR="007D68E2">
        <w:rPr>
          <w:b/>
          <w:bCs/>
        </w:rPr>
        <w:t xml:space="preserve"> </w:t>
      </w:r>
    </w:p>
    <w:p w14:paraId="3676A489" w14:textId="4F82B02F" w:rsidR="00F43789" w:rsidRPr="00F43789" w:rsidRDefault="00F43789" w:rsidP="00F43789">
      <w:pPr>
        <w:spacing w:after="0" w:line="240" w:lineRule="auto"/>
        <w:ind w:left="720" w:hanging="720"/>
        <w:jc w:val="both"/>
        <w:rPr>
          <w:rFonts w:ascii="Times New Roman" w:eastAsia="Times New Roman" w:hAnsi="Times New Roman" w:cs="Times New Roman"/>
          <w:sz w:val="24"/>
          <w:szCs w:val="24"/>
          <w:lang w:eastAsia="en-GB"/>
        </w:rPr>
      </w:pPr>
      <w:proofErr w:type="spellStart"/>
      <w:r w:rsidRPr="00F43789">
        <w:rPr>
          <w:rFonts w:ascii="Times New Roman" w:eastAsia="Times New Roman" w:hAnsi="Times New Roman" w:cs="Times New Roman"/>
          <w:sz w:val="24"/>
          <w:szCs w:val="24"/>
          <w:lang w:eastAsia="en-GB"/>
        </w:rPr>
        <w:t>Anarado</w:t>
      </w:r>
      <w:proofErr w:type="spellEnd"/>
      <w:r w:rsidRPr="00F43789">
        <w:rPr>
          <w:rFonts w:ascii="Times New Roman" w:eastAsia="Times New Roman" w:hAnsi="Times New Roman" w:cs="Times New Roman"/>
          <w:sz w:val="24"/>
          <w:szCs w:val="24"/>
          <w:lang w:eastAsia="en-GB"/>
        </w:rPr>
        <w:t xml:space="preserve">, C. J. O., </w:t>
      </w:r>
      <w:proofErr w:type="spellStart"/>
      <w:r w:rsidRPr="00F43789">
        <w:rPr>
          <w:rFonts w:ascii="Times New Roman" w:eastAsia="Times New Roman" w:hAnsi="Times New Roman" w:cs="Times New Roman"/>
          <w:sz w:val="24"/>
          <w:szCs w:val="24"/>
          <w:lang w:eastAsia="en-GB"/>
        </w:rPr>
        <w:t>Okpoji</w:t>
      </w:r>
      <w:proofErr w:type="spellEnd"/>
      <w:r w:rsidRPr="00F43789">
        <w:rPr>
          <w:rFonts w:ascii="Times New Roman" w:eastAsia="Times New Roman" w:hAnsi="Times New Roman" w:cs="Times New Roman"/>
          <w:sz w:val="24"/>
          <w:szCs w:val="24"/>
          <w:lang w:eastAsia="en-GB"/>
        </w:rPr>
        <w:t xml:space="preserve">, A. U., &amp; </w:t>
      </w:r>
      <w:proofErr w:type="spellStart"/>
      <w:r w:rsidRPr="00F43789">
        <w:rPr>
          <w:rFonts w:ascii="Times New Roman" w:eastAsia="Times New Roman" w:hAnsi="Times New Roman" w:cs="Times New Roman"/>
          <w:sz w:val="24"/>
          <w:szCs w:val="24"/>
          <w:lang w:eastAsia="en-GB"/>
        </w:rPr>
        <w:t>Anarado</w:t>
      </w:r>
      <w:proofErr w:type="spellEnd"/>
      <w:r w:rsidRPr="00F43789">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w:t>
      </w:r>
      <w:r w:rsidRPr="00F43789">
        <w:rPr>
          <w:rFonts w:ascii="Times New Roman" w:eastAsia="Times New Roman" w:hAnsi="Times New Roman" w:cs="Times New Roman"/>
          <w:i/>
          <w:iCs/>
          <w:sz w:val="24"/>
          <w:szCs w:val="24"/>
          <w:lang w:eastAsia="en-GB"/>
        </w:rPr>
        <w:t>Asian Journal of Environmental &amp; Ecology, 21</w:t>
      </w:r>
      <w:r w:rsidRPr="00F43789">
        <w:rPr>
          <w:rFonts w:ascii="Times New Roman" w:eastAsia="Times New Roman" w:hAnsi="Times New Roman" w:cs="Times New Roman"/>
          <w:sz w:val="24"/>
          <w:szCs w:val="24"/>
          <w:lang w:eastAsia="en-GB"/>
        </w:rPr>
        <w:t>(4), 46–59.</w:t>
      </w:r>
      <w:r w:rsidR="007D68E2">
        <w:rPr>
          <w:rFonts w:ascii="Times New Roman" w:eastAsia="Times New Roman" w:hAnsi="Times New Roman" w:cs="Times New Roman"/>
          <w:sz w:val="24"/>
          <w:szCs w:val="24"/>
          <w:lang w:eastAsia="en-GB"/>
        </w:rPr>
        <w:t xml:space="preserve"> </w:t>
      </w:r>
      <w:hyperlink r:id="rId8" w:history="1">
        <w:r w:rsidR="007D68E2" w:rsidRPr="009A3DC6">
          <w:rPr>
            <w:rStyle w:val="Hyperlink"/>
            <w:rFonts w:ascii="Times New Roman" w:eastAsia="Times New Roman" w:hAnsi="Times New Roman" w:cs="Times New Roman"/>
            <w:sz w:val="24"/>
            <w:szCs w:val="24"/>
            <w:lang w:eastAsia="en-GB"/>
          </w:rPr>
          <w:t>https://doi.org/10.9734/AJEE/2023/v21i4469</w:t>
        </w:r>
      </w:hyperlink>
      <w:r w:rsidR="007D68E2">
        <w:rPr>
          <w:rFonts w:ascii="Times New Roman" w:eastAsia="Times New Roman" w:hAnsi="Times New Roman" w:cs="Times New Roman"/>
          <w:sz w:val="24"/>
          <w:szCs w:val="24"/>
          <w:lang w:eastAsia="en-GB"/>
        </w:rPr>
        <w:t xml:space="preserve"> </w:t>
      </w:r>
    </w:p>
    <w:p w14:paraId="0092E1E8" w14:textId="77777777" w:rsidR="00F43789" w:rsidRPr="00F43789" w:rsidRDefault="00F43789" w:rsidP="00F43789">
      <w:pPr>
        <w:pStyle w:val="NormalWeb"/>
        <w:spacing w:line="276" w:lineRule="auto"/>
        <w:ind w:left="720" w:hanging="720"/>
        <w:jc w:val="both"/>
        <w:rPr>
          <w:rStyle w:val="Hyperlink"/>
        </w:rPr>
      </w:pPr>
      <w:proofErr w:type="spellStart"/>
      <w:r w:rsidRPr="00F43789">
        <w:t>Ekesiobi</w:t>
      </w:r>
      <w:proofErr w:type="spellEnd"/>
      <w:r w:rsidRPr="00F43789">
        <w:t xml:space="preserve">, S. U., Ekpe, J. E., </w:t>
      </w:r>
      <w:proofErr w:type="spellStart"/>
      <w:r w:rsidRPr="00F43789">
        <w:t>Okpoji</w:t>
      </w:r>
      <w:proofErr w:type="spellEnd"/>
      <w:r w:rsidRPr="00F43789">
        <w:t xml:space="preserve">, A. U., Hassan, D. H., </w:t>
      </w:r>
      <w:proofErr w:type="spellStart"/>
      <w:r w:rsidRPr="00F43789">
        <w:t>Ekwere</w:t>
      </w:r>
      <w:proofErr w:type="spellEnd"/>
      <w:r w:rsidRPr="00F43789">
        <w:t xml:space="preserve">, I. O., </w:t>
      </w:r>
      <w:proofErr w:type="spellStart"/>
      <w:r w:rsidRPr="00F43789">
        <w:t>Awortu</w:t>
      </w:r>
      <w:proofErr w:type="spellEnd"/>
      <w:r w:rsidRPr="00F43789">
        <w:t xml:space="preserve">, R. C., </w:t>
      </w:r>
      <w:proofErr w:type="spellStart"/>
      <w:r w:rsidRPr="00F43789">
        <w:t>Etesin</w:t>
      </w:r>
      <w:proofErr w:type="spellEnd"/>
      <w:r w:rsidRPr="00F43789">
        <w:t xml:space="preserve">, M. U., </w:t>
      </w:r>
      <w:proofErr w:type="spellStart"/>
      <w:r w:rsidRPr="00F43789">
        <w:t>Nwofia</w:t>
      </w:r>
      <w:proofErr w:type="spellEnd"/>
      <w:r w:rsidRPr="00F43789">
        <w:t xml:space="preserve">, U., Okeke, C. F., &amp; Nwankwo, A. O. (2025). </w:t>
      </w:r>
      <w:proofErr w:type="spellStart"/>
      <w:r w:rsidRPr="00F43789">
        <w:t>Hydrochemical</w:t>
      </w:r>
      <w:proofErr w:type="spellEnd"/>
      <w:r w:rsidRPr="00F43789">
        <w:t xml:space="preserve"> characterisation and health-risk assessment of drinking water sources in Brass Island, Bayelsa State, Nigeria. </w:t>
      </w:r>
      <w:r w:rsidRPr="00F43789">
        <w:rPr>
          <w:rStyle w:val="Emphasis"/>
        </w:rPr>
        <w:t>Asian Journal of Chemical Sciences, 15</w:t>
      </w:r>
      <w:r w:rsidRPr="00F43789">
        <w:t xml:space="preserve">(6), 64–76. </w:t>
      </w:r>
      <w:hyperlink r:id="rId9" w:tgtFrame="_new" w:history="1">
        <w:r w:rsidRPr="00F43789">
          <w:rPr>
            <w:rStyle w:val="Hyperlink"/>
          </w:rPr>
          <w:t>https://doi.org/10.9734/ajocs/2025/v15i6406</w:t>
        </w:r>
      </w:hyperlink>
    </w:p>
    <w:p w14:paraId="1DF1355C" w14:textId="77777777" w:rsidR="00F43789" w:rsidRPr="00F43789" w:rsidRDefault="00F43789" w:rsidP="00F43789">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43789">
        <w:rPr>
          <w:rFonts w:ascii="Times New Roman" w:eastAsia="Times New Roman" w:hAnsi="Times New Roman" w:cs="Times New Roman"/>
          <w:sz w:val="24"/>
          <w:szCs w:val="24"/>
          <w:lang w:eastAsia="en-GB"/>
        </w:rPr>
        <w:t xml:space="preserve">Ekpe, J. E., </w:t>
      </w:r>
      <w:proofErr w:type="spellStart"/>
      <w:r w:rsidRPr="00F43789">
        <w:rPr>
          <w:rFonts w:ascii="Times New Roman" w:eastAsia="Times New Roman" w:hAnsi="Times New Roman" w:cs="Times New Roman"/>
          <w:sz w:val="24"/>
          <w:szCs w:val="24"/>
          <w:lang w:eastAsia="en-GB"/>
        </w:rPr>
        <w:t>Okpoji</w:t>
      </w:r>
      <w:proofErr w:type="spellEnd"/>
      <w:r w:rsidRPr="00F43789">
        <w:rPr>
          <w:rFonts w:ascii="Times New Roman" w:eastAsia="Times New Roman" w:hAnsi="Times New Roman" w:cs="Times New Roman"/>
          <w:sz w:val="24"/>
          <w:szCs w:val="24"/>
          <w:lang w:eastAsia="en-GB"/>
        </w:rPr>
        <w:t xml:space="preserve">, A. U., </w:t>
      </w:r>
      <w:proofErr w:type="spellStart"/>
      <w:r w:rsidRPr="00F43789">
        <w:rPr>
          <w:rFonts w:ascii="Times New Roman" w:eastAsia="Times New Roman" w:hAnsi="Times New Roman" w:cs="Times New Roman"/>
          <w:sz w:val="24"/>
          <w:szCs w:val="24"/>
          <w:lang w:eastAsia="en-GB"/>
        </w:rPr>
        <w:t>Ekwere</w:t>
      </w:r>
      <w:proofErr w:type="spellEnd"/>
      <w:r w:rsidRPr="00F43789">
        <w:rPr>
          <w:rFonts w:ascii="Times New Roman" w:eastAsia="Times New Roman" w:hAnsi="Times New Roman" w:cs="Times New Roman"/>
          <w:sz w:val="24"/>
          <w:szCs w:val="24"/>
          <w:lang w:eastAsia="en-GB"/>
        </w:rPr>
        <w:t xml:space="preserve">, I. O., </w:t>
      </w:r>
      <w:proofErr w:type="spellStart"/>
      <w:r w:rsidRPr="00F43789">
        <w:rPr>
          <w:rFonts w:ascii="Times New Roman" w:eastAsia="Times New Roman" w:hAnsi="Times New Roman" w:cs="Times New Roman"/>
          <w:sz w:val="24"/>
          <w:szCs w:val="24"/>
          <w:lang w:eastAsia="en-GB"/>
        </w:rPr>
        <w:t>Anarada</w:t>
      </w:r>
      <w:proofErr w:type="spellEnd"/>
      <w:r w:rsidRPr="00F43789">
        <w:rPr>
          <w:rFonts w:ascii="Times New Roman" w:eastAsia="Times New Roman" w:hAnsi="Times New Roman" w:cs="Times New Roman"/>
          <w:sz w:val="24"/>
          <w:szCs w:val="24"/>
          <w:lang w:eastAsia="en-GB"/>
        </w:rPr>
        <w:t xml:space="preserve">, C. J., </w:t>
      </w:r>
      <w:proofErr w:type="spellStart"/>
      <w:r w:rsidRPr="00F43789">
        <w:rPr>
          <w:rFonts w:ascii="Times New Roman" w:eastAsia="Times New Roman" w:hAnsi="Times New Roman" w:cs="Times New Roman"/>
          <w:sz w:val="24"/>
          <w:szCs w:val="24"/>
          <w:lang w:eastAsia="en-GB"/>
        </w:rPr>
        <w:t>Ewuola</w:t>
      </w:r>
      <w:proofErr w:type="spellEnd"/>
      <w:r w:rsidRPr="00F43789">
        <w:rPr>
          <w:rFonts w:ascii="Times New Roman" w:eastAsia="Times New Roman" w:hAnsi="Times New Roman" w:cs="Times New Roman"/>
          <w:sz w:val="24"/>
          <w:szCs w:val="24"/>
          <w:lang w:eastAsia="en-GB"/>
        </w:rPr>
        <w:t xml:space="preserve">, A. A., Ufuoma, V. O., </w:t>
      </w:r>
      <w:proofErr w:type="spellStart"/>
      <w:r w:rsidRPr="00F43789">
        <w:rPr>
          <w:rFonts w:ascii="Times New Roman" w:eastAsia="Times New Roman" w:hAnsi="Times New Roman" w:cs="Times New Roman"/>
          <w:sz w:val="24"/>
          <w:szCs w:val="24"/>
          <w:lang w:eastAsia="en-GB"/>
        </w:rPr>
        <w:t>Okpanachi</w:t>
      </w:r>
      <w:proofErr w:type="spellEnd"/>
      <w:r w:rsidRPr="00F43789">
        <w:rPr>
          <w:rFonts w:ascii="Times New Roman" w:eastAsia="Times New Roman" w:hAnsi="Times New Roman" w:cs="Times New Roman"/>
          <w:sz w:val="24"/>
          <w:szCs w:val="24"/>
          <w:lang w:eastAsia="en-GB"/>
        </w:rPr>
        <w:t xml:space="preserve">, C. B., Okonkwo, C. O., &amp; </w:t>
      </w:r>
      <w:proofErr w:type="spellStart"/>
      <w:r w:rsidRPr="00F43789">
        <w:rPr>
          <w:rFonts w:ascii="Times New Roman" w:eastAsia="Times New Roman" w:hAnsi="Times New Roman" w:cs="Times New Roman"/>
          <w:sz w:val="24"/>
          <w:szCs w:val="24"/>
          <w:lang w:eastAsia="en-GB"/>
        </w:rPr>
        <w:t>Obunezi</w:t>
      </w:r>
      <w:proofErr w:type="spellEnd"/>
      <w:r w:rsidRPr="00F43789">
        <w:rPr>
          <w:rFonts w:ascii="Times New Roman" w:eastAsia="Times New Roman" w:hAnsi="Times New Roman" w:cs="Times New Roman"/>
          <w:sz w:val="24"/>
          <w:szCs w:val="24"/>
          <w:lang w:eastAsia="en-GB"/>
        </w:rPr>
        <w:t xml:space="preserve">, O. A. (2025). Physico-chemical transport of pesticides and nutrients in irrigation water and their fate in </w:t>
      </w:r>
      <w:proofErr w:type="spellStart"/>
      <w:r w:rsidRPr="00F43789">
        <w:rPr>
          <w:rFonts w:ascii="Times New Roman" w:eastAsia="Times New Roman" w:hAnsi="Times New Roman" w:cs="Times New Roman"/>
          <w:sz w:val="24"/>
          <w:szCs w:val="24"/>
          <w:lang w:eastAsia="en-GB"/>
        </w:rPr>
        <w:t>agro</w:t>
      </w:r>
      <w:proofErr w:type="spellEnd"/>
      <w:r w:rsidRPr="00F43789">
        <w:rPr>
          <w:rFonts w:ascii="Times New Roman" w:eastAsia="Times New Roman" w:hAnsi="Times New Roman" w:cs="Times New Roman"/>
          <w:sz w:val="24"/>
          <w:szCs w:val="24"/>
          <w:lang w:eastAsia="en-GB"/>
        </w:rPr>
        <w:t xml:space="preserve">-ecosystems of Rivers State, Nigeria. </w:t>
      </w:r>
      <w:proofErr w:type="spellStart"/>
      <w:r w:rsidRPr="00F43789">
        <w:rPr>
          <w:rFonts w:ascii="Times New Roman" w:eastAsia="Times New Roman" w:hAnsi="Times New Roman" w:cs="Times New Roman"/>
          <w:i/>
          <w:iCs/>
          <w:sz w:val="24"/>
          <w:szCs w:val="24"/>
          <w:lang w:eastAsia="en-GB"/>
        </w:rPr>
        <w:t>Palgo</w:t>
      </w:r>
      <w:proofErr w:type="spellEnd"/>
      <w:r w:rsidRPr="00F43789">
        <w:rPr>
          <w:rFonts w:ascii="Times New Roman" w:eastAsia="Times New Roman" w:hAnsi="Times New Roman" w:cs="Times New Roman"/>
          <w:i/>
          <w:iCs/>
          <w:sz w:val="24"/>
          <w:szCs w:val="24"/>
          <w:lang w:eastAsia="en-GB"/>
        </w:rPr>
        <w:t xml:space="preserve"> Journal of Agriculture, 9</w:t>
      </w:r>
      <w:r w:rsidRPr="00F43789">
        <w:rPr>
          <w:rFonts w:ascii="Times New Roman" w:eastAsia="Times New Roman" w:hAnsi="Times New Roman" w:cs="Times New Roman"/>
          <w:sz w:val="24"/>
          <w:szCs w:val="24"/>
          <w:lang w:eastAsia="en-GB"/>
        </w:rPr>
        <w:t xml:space="preserve">(2), 30–37. </w:t>
      </w:r>
      <w:r w:rsidRPr="00F43789">
        <w:rPr>
          <w:rFonts w:ascii="Times New Roman" w:hAnsi="Times New Roman" w:cs="Times New Roman"/>
          <w:sz w:val="24"/>
          <w:szCs w:val="24"/>
        </w:rPr>
        <w:br/>
      </w:r>
      <w:hyperlink r:id="rId10" w:history="1">
        <w:r w:rsidRPr="00F43789">
          <w:rPr>
            <w:rStyle w:val="Hyperlink"/>
            <w:rFonts w:ascii="Times New Roman" w:hAnsi="Times New Roman" w:cs="Times New Roman"/>
            <w:sz w:val="24"/>
            <w:szCs w:val="24"/>
            <w:shd w:val="clear" w:color="auto" w:fill="FFFFFF"/>
          </w:rPr>
          <w:t>https://doi.org/10.5281/zenodo.17148360</w:t>
        </w:r>
      </w:hyperlink>
    </w:p>
    <w:bookmarkEnd w:id="1"/>
    <w:p w14:paraId="4998C71D" w14:textId="77777777" w:rsidR="00F43789" w:rsidRPr="00F43789" w:rsidRDefault="00F43789" w:rsidP="00F43789">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43789">
        <w:rPr>
          <w:rFonts w:ascii="Times New Roman" w:hAnsi="Times New Roman" w:cs="Times New Roman"/>
          <w:sz w:val="24"/>
          <w:szCs w:val="24"/>
        </w:rPr>
        <w:t>Ekwere</w:t>
      </w:r>
      <w:proofErr w:type="spellEnd"/>
      <w:r w:rsidRPr="00F43789">
        <w:rPr>
          <w:rFonts w:ascii="Times New Roman" w:hAnsi="Times New Roman" w:cs="Times New Roman"/>
          <w:sz w:val="24"/>
          <w:szCs w:val="24"/>
        </w:rPr>
        <w:t xml:space="preserve">, I. O., </w:t>
      </w:r>
      <w:proofErr w:type="spellStart"/>
      <w:r w:rsidRPr="00F43789">
        <w:rPr>
          <w:rFonts w:ascii="Times New Roman" w:hAnsi="Times New Roman" w:cs="Times New Roman"/>
          <w:sz w:val="24"/>
          <w:szCs w:val="24"/>
        </w:rPr>
        <w:t>Okpoji</w:t>
      </w:r>
      <w:proofErr w:type="spellEnd"/>
      <w:r w:rsidRPr="00F43789">
        <w:rPr>
          <w:rFonts w:ascii="Times New Roman" w:hAnsi="Times New Roman" w:cs="Times New Roman"/>
          <w:sz w:val="24"/>
          <w:szCs w:val="24"/>
        </w:rPr>
        <w:t xml:space="preserve">, A. U., </w:t>
      </w:r>
      <w:proofErr w:type="spellStart"/>
      <w:r w:rsidRPr="00F43789">
        <w:rPr>
          <w:rFonts w:ascii="Times New Roman" w:hAnsi="Times New Roman" w:cs="Times New Roman"/>
          <w:sz w:val="24"/>
          <w:szCs w:val="24"/>
        </w:rPr>
        <w:t>Igwegbe</w:t>
      </w:r>
      <w:proofErr w:type="spellEnd"/>
      <w:r w:rsidRPr="00F43789">
        <w:rPr>
          <w:rFonts w:ascii="Times New Roman" w:hAnsi="Times New Roman" w:cs="Times New Roman"/>
          <w:sz w:val="24"/>
          <w:szCs w:val="24"/>
        </w:rPr>
        <w:t xml:space="preserve">, K. C., Okonkwo, C. O., </w:t>
      </w:r>
      <w:proofErr w:type="spellStart"/>
      <w:r w:rsidRPr="00F43789">
        <w:rPr>
          <w:rFonts w:ascii="Times New Roman" w:hAnsi="Times New Roman" w:cs="Times New Roman"/>
          <w:sz w:val="24"/>
          <w:szCs w:val="24"/>
        </w:rPr>
        <w:t>Yekeen</w:t>
      </w:r>
      <w:proofErr w:type="spellEnd"/>
      <w:r w:rsidRPr="00F43789">
        <w:rPr>
          <w:rFonts w:ascii="Times New Roman" w:hAnsi="Times New Roman" w:cs="Times New Roman"/>
          <w:sz w:val="24"/>
          <w:szCs w:val="24"/>
        </w:rPr>
        <w:t xml:space="preserve">, A. A., </w:t>
      </w:r>
      <w:proofErr w:type="spellStart"/>
      <w:r w:rsidRPr="00F43789">
        <w:rPr>
          <w:rFonts w:ascii="Times New Roman" w:hAnsi="Times New Roman" w:cs="Times New Roman"/>
          <w:sz w:val="24"/>
          <w:szCs w:val="24"/>
        </w:rPr>
        <w:t>Obunezi</w:t>
      </w:r>
      <w:proofErr w:type="spellEnd"/>
      <w:r w:rsidRPr="00F43789">
        <w:rPr>
          <w:rFonts w:ascii="Times New Roman" w:hAnsi="Times New Roman" w:cs="Times New Roman"/>
          <w:sz w:val="24"/>
          <w:szCs w:val="24"/>
        </w:rPr>
        <w:t xml:space="preserve">, O. C., </w:t>
      </w:r>
      <w:proofErr w:type="spellStart"/>
      <w:r w:rsidRPr="00F43789">
        <w:rPr>
          <w:rFonts w:ascii="Times New Roman" w:hAnsi="Times New Roman" w:cs="Times New Roman"/>
          <w:sz w:val="24"/>
          <w:szCs w:val="24"/>
        </w:rPr>
        <w:t>Okpanachi</w:t>
      </w:r>
      <w:proofErr w:type="spellEnd"/>
      <w:r w:rsidRPr="00F43789">
        <w:rPr>
          <w:rFonts w:ascii="Times New Roman" w:hAnsi="Times New Roman" w:cs="Times New Roman"/>
          <w:sz w:val="24"/>
          <w:szCs w:val="24"/>
        </w:rPr>
        <w:t xml:space="preserve">, C. B., Garuba, M. H., </w:t>
      </w:r>
      <w:proofErr w:type="spellStart"/>
      <w:r w:rsidRPr="00F43789">
        <w:rPr>
          <w:rFonts w:ascii="Times New Roman" w:hAnsi="Times New Roman" w:cs="Times New Roman"/>
          <w:sz w:val="24"/>
          <w:szCs w:val="24"/>
        </w:rPr>
        <w:t>Ogini</w:t>
      </w:r>
      <w:proofErr w:type="spellEnd"/>
      <w:r w:rsidRPr="00F43789">
        <w:rPr>
          <w:rFonts w:ascii="Times New Roman" w:hAnsi="Times New Roman" w:cs="Times New Roman"/>
          <w:sz w:val="24"/>
          <w:szCs w:val="24"/>
        </w:rPr>
        <w:t xml:space="preserve">, O. R., &amp; </w:t>
      </w:r>
      <w:proofErr w:type="spellStart"/>
      <w:r w:rsidRPr="00F43789">
        <w:rPr>
          <w:rFonts w:ascii="Times New Roman" w:hAnsi="Times New Roman" w:cs="Times New Roman"/>
          <w:sz w:val="24"/>
          <w:szCs w:val="24"/>
        </w:rPr>
        <w:t>Odibo</w:t>
      </w:r>
      <w:proofErr w:type="spellEnd"/>
      <w:r w:rsidRPr="00F43789">
        <w:rPr>
          <w:rFonts w:ascii="Times New Roman" w:hAnsi="Times New Roman" w:cs="Times New Roman"/>
          <w:sz w:val="24"/>
          <w:szCs w:val="24"/>
        </w:rPr>
        <w:t>, U. E. (2025). Nutritional–</w:t>
      </w:r>
      <w:r w:rsidRPr="00F43789">
        <w:rPr>
          <w:rFonts w:ascii="Times New Roman" w:hAnsi="Times New Roman" w:cs="Times New Roman"/>
          <w:sz w:val="24"/>
          <w:szCs w:val="24"/>
        </w:rPr>
        <w:lastRenderedPageBreak/>
        <w:t xml:space="preserve">Toxicological Trade-Off: Comparative Study of Polycyclic Aromatic Hydrocarbons in Smoked and Oven-Dried Nile Tilapia (Oreochromis niloticus). </w:t>
      </w:r>
      <w:r w:rsidRPr="00F43789">
        <w:rPr>
          <w:rFonts w:ascii="Times New Roman" w:hAnsi="Times New Roman" w:cs="Times New Roman"/>
          <w:i/>
          <w:iCs/>
          <w:sz w:val="24"/>
          <w:szCs w:val="24"/>
        </w:rPr>
        <w:t>Journal of Environment, Climate, and Ecology</w:t>
      </w:r>
      <w:r w:rsidRPr="00F43789">
        <w:rPr>
          <w:rFonts w:ascii="Times New Roman" w:hAnsi="Times New Roman" w:cs="Times New Roman"/>
          <w:sz w:val="24"/>
          <w:szCs w:val="24"/>
        </w:rPr>
        <w:t xml:space="preserve">, 2(2), 90-97. </w:t>
      </w:r>
      <w:hyperlink r:id="rId11" w:history="1">
        <w:r w:rsidRPr="00F43789">
          <w:rPr>
            <w:rStyle w:val="Hyperlink"/>
            <w:rFonts w:ascii="Times New Roman" w:hAnsi="Times New Roman" w:cs="Times New Roman"/>
            <w:sz w:val="24"/>
            <w:szCs w:val="24"/>
          </w:rPr>
          <w:t>https://doi.org/10.69739/jece.v2i2.952</w:t>
        </w:r>
      </w:hyperlink>
    </w:p>
    <w:p w14:paraId="051B8DD3" w14:textId="77777777" w:rsidR="00F43789" w:rsidRPr="00F43789" w:rsidRDefault="00F43789" w:rsidP="00F43789">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43789">
        <w:rPr>
          <w:rFonts w:ascii="Times New Roman" w:hAnsi="Times New Roman" w:cs="Times New Roman"/>
          <w:sz w:val="24"/>
          <w:szCs w:val="24"/>
        </w:rPr>
        <w:t>Ekwere</w:t>
      </w:r>
      <w:proofErr w:type="spellEnd"/>
      <w:r w:rsidRPr="00F43789">
        <w:rPr>
          <w:rFonts w:ascii="Times New Roman" w:hAnsi="Times New Roman" w:cs="Times New Roman"/>
          <w:sz w:val="24"/>
          <w:szCs w:val="24"/>
        </w:rPr>
        <w:t xml:space="preserve">, I. O., </w:t>
      </w:r>
      <w:proofErr w:type="spellStart"/>
      <w:r w:rsidRPr="00F43789">
        <w:rPr>
          <w:rFonts w:ascii="Times New Roman" w:hAnsi="Times New Roman" w:cs="Times New Roman"/>
          <w:sz w:val="24"/>
          <w:szCs w:val="24"/>
        </w:rPr>
        <w:t>Okpoji</w:t>
      </w:r>
      <w:proofErr w:type="spellEnd"/>
      <w:r w:rsidRPr="00F43789">
        <w:rPr>
          <w:rFonts w:ascii="Times New Roman" w:hAnsi="Times New Roman" w:cs="Times New Roman"/>
          <w:sz w:val="24"/>
          <w:szCs w:val="24"/>
        </w:rPr>
        <w:t xml:space="preserve">, A. U., Ufuoma, V. O., Akinola, A. E., Raymond, C. A., Clement, R. O., </w:t>
      </w:r>
      <w:proofErr w:type="spellStart"/>
      <w:r w:rsidRPr="00F43789">
        <w:rPr>
          <w:rFonts w:ascii="Times New Roman" w:hAnsi="Times New Roman" w:cs="Times New Roman"/>
          <w:sz w:val="24"/>
          <w:szCs w:val="24"/>
        </w:rPr>
        <w:t>Alaekwe</w:t>
      </w:r>
      <w:proofErr w:type="spellEnd"/>
      <w:r w:rsidRPr="00F43789">
        <w:rPr>
          <w:rFonts w:ascii="Times New Roman" w:hAnsi="Times New Roman" w:cs="Times New Roman"/>
          <w:sz w:val="24"/>
          <w:szCs w:val="24"/>
        </w:rPr>
        <w:t xml:space="preserve">, I. O., </w:t>
      </w:r>
      <w:proofErr w:type="spellStart"/>
      <w:r w:rsidRPr="00F43789">
        <w:rPr>
          <w:rFonts w:ascii="Times New Roman" w:hAnsi="Times New Roman" w:cs="Times New Roman"/>
          <w:sz w:val="24"/>
          <w:szCs w:val="24"/>
        </w:rPr>
        <w:t>Etesin</w:t>
      </w:r>
      <w:proofErr w:type="spellEnd"/>
      <w:r w:rsidRPr="00F43789">
        <w:rPr>
          <w:rFonts w:ascii="Times New Roman" w:hAnsi="Times New Roman" w:cs="Times New Roman"/>
          <w:sz w:val="24"/>
          <w:szCs w:val="24"/>
        </w:rPr>
        <w:t xml:space="preserve">, M. O., &amp; </w:t>
      </w:r>
      <w:proofErr w:type="spellStart"/>
      <w:r w:rsidRPr="00F43789">
        <w:rPr>
          <w:rFonts w:ascii="Times New Roman" w:hAnsi="Times New Roman" w:cs="Times New Roman"/>
          <w:sz w:val="24"/>
          <w:szCs w:val="24"/>
        </w:rPr>
        <w:t>Edodi</w:t>
      </w:r>
      <w:proofErr w:type="spellEnd"/>
      <w:r w:rsidRPr="00F43789">
        <w:rPr>
          <w:rFonts w:ascii="Times New Roman" w:hAnsi="Times New Roman" w:cs="Times New Roman"/>
          <w:sz w:val="24"/>
          <w:szCs w:val="24"/>
        </w:rPr>
        <w:t xml:space="preserve">, I. O. (2025). </w:t>
      </w:r>
      <w:r w:rsidRPr="00F43789">
        <w:rPr>
          <w:rStyle w:val="Emphasis"/>
          <w:rFonts w:ascii="Times New Roman" w:hAnsi="Times New Roman" w:cs="Times New Roman"/>
          <w:sz w:val="24"/>
          <w:szCs w:val="24"/>
        </w:rPr>
        <w:t>Nutritional evaluation of Nile tilapia (Oreochromis niloticus) processed by different drying methods in Akwa Ibom State, Nigeria.</w:t>
      </w:r>
      <w:r w:rsidRPr="00F43789">
        <w:rPr>
          <w:rFonts w:ascii="Times New Roman" w:hAnsi="Times New Roman" w:cs="Times New Roman"/>
          <w:sz w:val="24"/>
          <w:szCs w:val="24"/>
        </w:rPr>
        <w:t xml:space="preserve"> </w:t>
      </w:r>
      <w:r w:rsidRPr="00F43789">
        <w:rPr>
          <w:rStyle w:val="Emphasis"/>
          <w:rFonts w:ascii="Times New Roman" w:hAnsi="Times New Roman" w:cs="Times New Roman"/>
          <w:sz w:val="24"/>
          <w:szCs w:val="24"/>
        </w:rPr>
        <w:t>Journal of Sustainable Research and Development, 1</w:t>
      </w:r>
      <w:r w:rsidRPr="00F43789">
        <w:rPr>
          <w:rFonts w:ascii="Times New Roman" w:hAnsi="Times New Roman" w:cs="Times New Roman"/>
          <w:sz w:val="24"/>
          <w:szCs w:val="24"/>
        </w:rPr>
        <w:t xml:space="preserve">(2), 11–17. </w:t>
      </w:r>
      <w:hyperlink r:id="rId12" w:tgtFrame="_new" w:history="1">
        <w:r w:rsidRPr="00F43789">
          <w:rPr>
            <w:rStyle w:val="Hyperlink"/>
            <w:rFonts w:ascii="Times New Roman" w:hAnsi="Times New Roman" w:cs="Times New Roman"/>
            <w:sz w:val="24"/>
            <w:szCs w:val="24"/>
          </w:rPr>
          <w:t>https://doi.org/10.69739/jsrd.v1i2.1033</w:t>
        </w:r>
      </w:hyperlink>
    </w:p>
    <w:p w14:paraId="0D1C9133" w14:textId="77777777" w:rsidR="00F43789" w:rsidRPr="00F43789" w:rsidRDefault="00F43789" w:rsidP="00F43789">
      <w:pPr>
        <w:pStyle w:val="NormalWeb"/>
        <w:spacing w:line="276" w:lineRule="auto"/>
        <w:ind w:left="720" w:hanging="720"/>
        <w:jc w:val="both"/>
      </w:pPr>
      <w:proofErr w:type="spellStart"/>
      <w:r w:rsidRPr="00F43789">
        <w:rPr>
          <w:lang w:val="en-US" w:eastAsia="zh-CN" w:bidi="ar"/>
        </w:rPr>
        <w:t>Etesin</w:t>
      </w:r>
      <w:proofErr w:type="spellEnd"/>
      <w:r w:rsidRPr="00F43789">
        <w:rPr>
          <w:lang w:val="en-US" w:eastAsia="zh-CN" w:bidi="ar"/>
        </w:rPr>
        <w:t xml:space="preserve">, M. U., </w:t>
      </w:r>
      <w:proofErr w:type="spellStart"/>
      <w:r w:rsidRPr="00F43789">
        <w:rPr>
          <w:lang w:val="en-US" w:eastAsia="zh-CN" w:bidi="ar"/>
        </w:rPr>
        <w:t>Ezeabsili</w:t>
      </w:r>
      <w:proofErr w:type="spellEnd"/>
      <w:r w:rsidRPr="00F43789">
        <w:rPr>
          <w:lang w:val="en-US" w:eastAsia="zh-CN" w:bidi="ar"/>
        </w:rPr>
        <w:t xml:space="preserve">, P. I., Agu, M. O., Okeke, C. F., Olotu, O. N., </w:t>
      </w:r>
      <w:proofErr w:type="spellStart"/>
      <w:r w:rsidRPr="00F43789">
        <w:rPr>
          <w:lang w:val="en-US" w:eastAsia="zh-CN" w:bidi="ar"/>
        </w:rPr>
        <w:t>Aligwo</w:t>
      </w:r>
      <w:proofErr w:type="spellEnd"/>
      <w:r w:rsidRPr="00F43789">
        <w:rPr>
          <w:lang w:val="en-US" w:eastAsia="zh-CN" w:bidi="ar"/>
        </w:rPr>
        <w:t xml:space="preserve">, M. C., Eze, V. C., Nwankwo, A. O., </w:t>
      </w:r>
      <w:proofErr w:type="spellStart"/>
      <w:r w:rsidRPr="00F43789">
        <w:rPr>
          <w:lang w:val="en-US" w:eastAsia="zh-CN" w:bidi="ar"/>
        </w:rPr>
        <w:t>Okpoji</w:t>
      </w:r>
      <w:proofErr w:type="spellEnd"/>
      <w:r w:rsidRPr="00F43789">
        <w:rPr>
          <w:lang w:val="en-US" w:eastAsia="zh-CN" w:bidi="ar"/>
        </w:rPr>
        <w:t xml:space="preserve">, A. U., &amp; Ekong, I. U. (2025). Determination of polychlorinated biphenyls in soils and industrial effluents and health risks assessment in </w:t>
      </w:r>
      <w:proofErr w:type="spellStart"/>
      <w:r w:rsidRPr="00F43789">
        <w:rPr>
          <w:lang w:val="en-US" w:eastAsia="zh-CN" w:bidi="ar"/>
        </w:rPr>
        <w:t>Uyo</w:t>
      </w:r>
      <w:proofErr w:type="spellEnd"/>
      <w:r w:rsidRPr="00F43789">
        <w:rPr>
          <w:lang w:val="en-US" w:eastAsia="zh-CN" w:bidi="ar"/>
        </w:rPr>
        <w:t xml:space="preserve">, </w:t>
      </w:r>
      <w:proofErr w:type="spellStart"/>
      <w:r w:rsidRPr="00F43789">
        <w:rPr>
          <w:lang w:val="en-US" w:eastAsia="zh-CN" w:bidi="ar"/>
        </w:rPr>
        <w:t>Akwa</w:t>
      </w:r>
      <w:proofErr w:type="spellEnd"/>
      <w:r w:rsidRPr="00F43789">
        <w:rPr>
          <w:lang w:val="en-US" w:eastAsia="zh-CN" w:bidi="ar"/>
        </w:rPr>
        <w:t xml:space="preserve"> Ibom State, Nigeria. </w:t>
      </w:r>
      <w:r w:rsidRPr="00F43789">
        <w:rPr>
          <w:rStyle w:val="Emphasis"/>
          <w:lang w:val="en-US" w:eastAsia="zh-CN" w:bidi="ar"/>
        </w:rPr>
        <w:t>Journal of Medical Science, Biology, and Chemistry, 2</w:t>
      </w:r>
      <w:r w:rsidRPr="00F43789">
        <w:rPr>
          <w:lang w:val="en-US" w:eastAsia="zh-CN" w:bidi="ar"/>
        </w:rPr>
        <w:t xml:space="preserve">(2), 285–292. </w:t>
      </w:r>
      <w:hyperlink r:id="rId13" w:tgtFrame="_new" w:history="1">
        <w:r w:rsidRPr="00F43789">
          <w:rPr>
            <w:rStyle w:val="Hyperlink"/>
            <w:lang w:val="en-US"/>
          </w:rPr>
          <w:t>https://doi.org/10.69739/jmsbc.v2i2.1258</w:t>
        </w:r>
      </w:hyperlink>
    </w:p>
    <w:p w14:paraId="1BFB1830" w14:textId="77777777" w:rsidR="00F43789" w:rsidRPr="00F43789" w:rsidRDefault="00F43789" w:rsidP="00F43789">
      <w:pPr>
        <w:pStyle w:val="NormalWeb"/>
        <w:ind w:left="720" w:hanging="720"/>
        <w:jc w:val="both"/>
      </w:pPr>
      <w:r w:rsidRPr="00F43789">
        <w:t xml:space="preserve">John, E. E., Emah, O. A., Ifiok, O. E., </w:t>
      </w:r>
      <w:proofErr w:type="spellStart"/>
      <w:r w:rsidRPr="00F43789">
        <w:rPr>
          <w:rStyle w:val="Strong"/>
          <w:b w:val="0"/>
          <w:bCs w:val="0"/>
        </w:rPr>
        <w:t>Okpoji</w:t>
      </w:r>
      <w:proofErr w:type="spellEnd"/>
      <w:r w:rsidRPr="00F43789">
        <w:rPr>
          <w:rStyle w:val="Strong"/>
          <w:b w:val="0"/>
          <w:bCs w:val="0"/>
        </w:rPr>
        <w:t>, A. U.</w:t>
      </w:r>
      <w:r w:rsidRPr="00F43789">
        <w:t xml:space="preserve">, Iyam, O. E., Henderson, O. O., Akinola, A. E., Gloria, N. A., &amp; Charles, N. O. (2025). </w:t>
      </w:r>
      <w:r w:rsidRPr="00F43789">
        <w:rPr>
          <w:rStyle w:val="Emphasis"/>
        </w:rPr>
        <w:t>Health Risk Implications of Polycyclic Aromatic Hydrocarbons in Smoked and Dried Fish Consumed in Nigeria</w:t>
      </w:r>
      <w:r w:rsidRPr="00F43789">
        <w:t xml:space="preserve">. </w:t>
      </w:r>
      <w:r w:rsidRPr="00F43789">
        <w:rPr>
          <w:rStyle w:val="Emphasis"/>
        </w:rPr>
        <w:t>Journal of Medical Science, Biology, and Chemistry</w:t>
      </w:r>
      <w:r w:rsidRPr="00F43789">
        <w:t xml:space="preserve">, 2(2), 192–199. </w:t>
      </w:r>
      <w:hyperlink r:id="rId14" w:tgtFrame="_new" w:history="1">
        <w:r w:rsidRPr="00F43789">
          <w:rPr>
            <w:rStyle w:val="Hyperlink"/>
          </w:rPr>
          <w:t>https://doi.org/10.69739/jmsbc.v2i2.1045</w:t>
        </w:r>
      </w:hyperlink>
    </w:p>
    <w:p w14:paraId="0ADBA7EE" w14:textId="77777777" w:rsidR="00F43789" w:rsidRPr="00F43789" w:rsidRDefault="00F43789" w:rsidP="00F43789">
      <w:pPr>
        <w:pStyle w:val="NormalWeb"/>
        <w:spacing w:line="276" w:lineRule="auto"/>
        <w:ind w:left="720" w:hanging="720"/>
        <w:jc w:val="both"/>
        <w:rPr>
          <w:lang w:val="en-US"/>
        </w:rPr>
      </w:pPr>
      <w:r w:rsidRPr="00F43789">
        <w:t xml:space="preserve">Ogbaji, H. O., Akpan, N. A., </w:t>
      </w:r>
      <w:proofErr w:type="spellStart"/>
      <w:r w:rsidRPr="00F43789">
        <w:t>Ijioma</w:t>
      </w:r>
      <w:proofErr w:type="spellEnd"/>
      <w:r w:rsidRPr="00F43789">
        <w:t xml:space="preserve">, C. C., Okpoji, A. U., Eze, V. C., Obi, J. N., Martins, N. P., &amp; </w:t>
      </w:r>
      <w:proofErr w:type="spellStart"/>
      <w:r w:rsidRPr="00F43789">
        <w:t>Etesin</w:t>
      </w:r>
      <w:proofErr w:type="spellEnd"/>
      <w:r w:rsidRPr="00F43789">
        <w:t xml:space="preserve">, M. U. (2025). Seasonal variation in hydrocarbon contamination of sediments and biota in Bonny Estuary, Rivers State, Nigeria. </w:t>
      </w:r>
      <w:r w:rsidRPr="00F43789">
        <w:rPr>
          <w:rStyle w:val="Emphasis"/>
        </w:rPr>
        <w:t>Asian Journal of Geographical Research, 8</w:t>
      </w:r>
      <w:r w:rsidRPr="00F43789">
        <w:t xml:space="preserve">(4), 330–338. </w:t>
      </w:r>
      <w:hyperlink r:id="rId15" w:tgtFrame="_new" w:history="1">
        <w:r w:rsidRPr="00F43789">
          <w:rPr>
            <w:rStyle w:val="Hyperlink"/>
          </w:rPr>
          <w:t>https://doi.org/10.9734/ajgr/2025/v8i4341</w:t>
        </w:r>
      </w:hyperlink>
    </w:p>
    <w:p w14:paraId="27C61BAC" w14:textId="77777777" w:rsidR="00F43789" w:rsidRPr="00F43789" w:rsidRDefault="00F43789" w:rsidP="00F43789">
      <w:pPr>
        <w:pStyle w:val="NormalWeb"/>
        <w:ind w:left="720" w:hanging="720"/>
        <w:jc w:val="both"/>
      </w:pPr>
      <w:r w:rsidRPr="00F43789">
        <w:t xml:space="preserve">Ohaturuonye, S. O., </w:t>
      </w:r>
      <w:proofErr w:type="spellStart"/>
      <w:r w:rsidRPr="00F43789">
        <w:t>Okpoji</w:t>
      </w:r>
      <w:proofErr w:type="spellEnd"/>
      <w:r w:rsidRPr="00F43789">
        <w:t xml:space="preserve">, A. U., Akpan, N. A., Njoku, C. A., Isaac, S. C., </w:t>
      </w:r>
      <w:proofErr w:type="spellStart"/>
      <w:r w:rsidRPr="00F43789">
        <w:t>Etesin</w:t>
      </w:r>
      <w:proofErr w:type="spellEnd"/>
      <w:r w:rsidRPr="00F43789">
        <w:t xml:space="preserve">, M. U., &amp; </w:t>
      </w:r>
      <w:proofErr w:type="spellStart"/>
      <w:r w:rsidRPr="00F43789">
        <w:t>Ekwere</w:t>
      </w:r>
      <w:proofErr w:type="spellEnd"/>
      <w:r w:rsidRPr="00F43789">
        <w:t xml:space="preserve">, I. O. (2025). Biomarker responses in fish and crustaceans exposed to heavy metals and petroleum hydrocarbons in the Qua </w:t>
      </w:r>
      <w:proofErr w:type="spellStart"/>
      <w:r w:rsidRPr="00F43789">
        <w:t>Iboe</w:t>
      </w:r>
      <w:proofErr w:type="spellEnd"/>
      <w:r w:rsidRPr="00F43789">
        <w:t xml:space="preserve"> Estuary, Niger Delta. </w:t>
      </w:r>
      <w:r w:rsidRPr="00F43789">
        <w:rPr>
          <w:rStyle w:val="Emphasis"/>
        </w:rPr>
        <w:t>Asian Journal of Research in Zoology, 8</w:t>
      </w:r>
      <w:r w:rsidRPr="00F43789">
        <w:t xml:space="preserve">(4), 234–244. </w:t>
      </w:r>
      <w:hyperlink r:id="rId16" w:tgtFrame="_new" w:history="1">
        <w:r w:rsidRPr="00F43789">
          <w:rPr>
            <w:rStyle w:val="Hyperlink"/>
          </w:rPr>
          <w:t>https://doi.org/10.9734/ajriz/2025/v8i4233</w:t>
        </w:r>
      </w:hyperlink>
    </w:p>
    <w:p w14:paraId="76205086" w14:textId="446FEDCA" w:rsidR="00F43789" w:rsidRPr="00F43789" w:rsidRDefault="00F43789" w:rsidP="00F43789">
      <w:pPr>
        <w:pStyle w:val="NormalWeb"/>
        <w:spacing w:line="276" w:lineRule="auto"/>
        <w:ind w:left="720" w:hanging="720"/>
        <w:jc w:val="both"/>
      </w:pPr>
      <w:r w:rsidRPr="00F43789">
        <w:t xml:space="preserve">Okagbare, U. V., Umueni, U. E., Ekpe, J. E., Etukudo, N. J., </w:t>
      </w:r>
      <w:proofErr w:type="spellStart"/>
      <w:r w:rsidRPr="00F43789">
        <w:t>Okpoji</w:t>
      </w:r>
      <w:proofErr w:type="spellEnd"/>
      <w:r w:rsidRPr="00F43789">
        <w:t xml:space="preserve">, A. U., Okoye, P. I., </w:t>
      </w:r>
      <w:proofErr w:type="spellStart"/>
      <w:r w:rsidRPr="00F43789">
        <w:t>Ekwere</w:t>
      </w:r>
      <w:proofErr w:type="spellEnd"/>
      <w:r w:rsidRPr="00F43789">
        <w:t xml:space="preserve">, I. O., </w:t>
      </w:r>
      <w:proofErr w:type="spellStart"/>
      <w:r w:rsidRPr="00F43789">
        <w:t>Etesin</w:t>
      </w:r>
      <w:proofErr w:type="spellEnd"/>
      <w:r w:rsidRPr="00F43789">
        <w:t xml:space="preserve">, M. U., </w:t>
      </w:r>
      <w:proofErr w:type="spellStart"/>
      <w:r w:rsidRPr="00F43789">
        <w:t>Okpanachi</w:t>
      </w:r>
      <w:proofErr w:type="spellEnd"/>
      <w:r w:rsidRPr="00F43789">
        <w:t xml:space="preserve">, C. B., &amp; Okafor, C. A. (2025). Geophysical and </w:t>
      </w:r>
      <w:proofErr w:type="spellStart"/>
      <w:r w:rsidRPr="00F43789">
        <w:t>Hydrochemical</w:t>
      </w:r>
      <w:proofErr w:type="spellEnd"/>
      <w:r w:rsidRPr="00F43789">
        <w:t xml:space="preserve"> Assessment of Groundwater Vulnerability to Oil Pollution in Yenagoa, Bayelsa State, Nigeria. </w:t>
      </w:r>
      <w:r w:rsidRPr="00F43789">
        <w:rPr>
          <w:rStyle w:val="Emphasis"/>
        </w:rPr>
        <w:t>Journal of Environment, Climate, and Ecology</w:t>
      </w:r>
      <w:r w:rsidRPr="00F43789">
        <w:t>, 2(2), 138–146.</w:t>
      </w:r>
      <w:r w:rsidR="007D68E2">
        <w:t xml:space="preserve"> </w:t>
      </w:r>
      <w:hyperlink r:id="rId17" w:history="1">
        <w:r w:rsidR="007D68E2" w:rsidRPr="009A3DC6">
          <w:rPr>
            <w:rStyle w:val="Hyperlink"/>
          </w:rPr>
          <w:t>https://doi.org/10.69739/jece.v2i2.1078</w:t>
        </w:r>
      </w:hyperlink>
      <w:r w:rsidR="007D68E2">
        <w:t xml:space="preserve"> </w:t>
      </w:r>
    </w:p>
    <w:p w14:paraId="50BE29FA" w14:textId="77777777" w:rsidR="00F43789" w:rsidRPr="00F43789" w:rsidRDefault="00F43789" w:rsidP="00F43789">
      <w:pPr>
        <w:pStyle w:val="NormalWeb"/>
        <w:ind w:left="720" w:hanging="720"/>
        <w:jc w:val="both"/>
      </w:pPr>
      <w:proofErr w:type="spellStart"/>
      <w:r w:rsidRPr="00F43789">
        <w:t>Okpoji</w:t>
      </w:r>
      <w:proofErr w:type="spellEnd"/>
      <w:r w:rsidRPr="00F43789">
        <w:t xml:space="preserve">, A. U., Akpan, N. A., Eze, V. C., </w:t>
      </w:r>
      <w:proofErr w:type="spellStart"/>
      <w:r w:rsidRPr="00F43789">
        <w:t>Ijioma</w:t>
      </w:r>
      <w:proofErr w:type="spellEnd"/>
      <w:r w:rsidRPr="00F43789">
        <w:t xml:space="preserve">, C. C., Hassan, D. H., Kareem, M. M., Obi, A. I., </w:t>
      </w:r>
      <w:proofErr w:type="spellStart"/>
      <w:r w:rsidRPr="00F43789">
        <w:t>Aningo</w:t>
      </w:r>
      <w:proofErr w:type="spellEnd"/>
      <w:r w:rsidRPr="00F43789">
        <w:t xml:space="preserve">, G. N., Okoye, P. I., Ogbonnaya, C. N., </w:t>
      </w:r>
      <w:proofErr w:type="spellStart"/>
      <w:r w:rsidRPr="00F43789">
        <w:t>Ekwere</w:t>
      </w:r>
      <w:proofErr w:type="spellEnd"/>
      <w:r w:rsidRPr="00F43789">
        <w:t xml:space="preserve">, I. O., Okeke, C. F., &amp; </w:t>
      </w:r>
      <w:proofErr w:type="spellStart"/>
      <w:r w:rsidRPr="00F43789">
        <w:t>Aligwo</w:t>
      </w:r>
      <w:proofErr w:type="spellEnd"/>
      <w:r w:rsidRPr="00F43789">
        <w:t xml:space="preserve">, M. C. (2025). Toxicity and bioaccumulation of heavy metals and polycyclic aromatic hydrocarbons in estuarine fish from the Andoni Estuary, Niger Delta, Nigeria. </w:t>
      </w:r>
      <w:r w:rsidRPr="00F43789">
        <w:rPr>
          <w:rStyle w:val="Emphasis"/>
        </w:rPr>
        <w:t>Journal of Applied Physical Science International, 17</w:t>
      </w:r>
      <w:r w:rsidRPr="00F43789">
        <w:t xml:space="preserve">(2), 10–22. </w:t>
      </w:r>
      <w:hyperlink r:id="rId18" w:tgtFrame="_new" w:history="1">
        <w:r w:rsidRPr="00F43789">
          <w:rPr>
            <w:rStyle w:val="Hyperlink"/>
          </w:rPr>
          <w:t>https://doi.org/10.56557/japsi/2025/v17i210026</w:t>
        </w:r>
      </w:hyperlink>
    </w:p>
    <w:p w14:paraId="2A5D3B0E" w14:textId="77777777" w:rsidR="00F43789" w:rsidRPr="00F43789" w:rsidRDefault="00F43789" w:rsidP="00F43789">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43789">
        <w:rPr>
          <w:rFonts w:ascii="Times New Roman" w:eastAsia="Times New Roman" w:hAnsi="Times New Roman" w:cs="Times New Roman"/>
          <w:sz w:val="24"/>
          <w:szCs w:val="24"/>
          <w:lang w:eastAsia="en-GB"/>
        </w:rPr>
        <w:lastRenderedPageBreak/>
        <w:t>Okpoji</w:t>
      </w:r>
      <w:proofErr w:type="spellEnd"/>
      <w:r w:rsidRPr="00F43789">
        <w:rPr>
          <w:rFonts w:ascii="Times New Roman" w:eastAsia="Times New Roman" w:hAnsi="Times New Roman" w:cs="Times New Roman"/>
          <w:sz w:val="24"/>
          <w:szCs w:val="24"/>
          <w:lang w:eastAsia="en-GB"/>
        </w:rPr>
        <w:t xml:space="preserve">, A. U., </w:t>
      </w:r>
      <w:proofErr w:type="spellStart"/>
      <w:r w:rsidRPr="00F43789">
        <w:rPr>
          <w:rFonts w:ascii="Times New Roman" w:eastAsia="Times New Roman" w:hAnsi="Times New Roman" w:cs="Times New Roman"/>
          <w:sz w:val="24"/>
          <w:szCs w:val="24"/>
          <w:lang w:eastAsia="en-GB"/>
        </w:rPr>
        <w:t>Anarado</w:t>
      </w:r>
      <w:proofErr w:type="spellEnd"/>
      <w:r w:rsidRPr="00F43789">
        <w:rPr>
          <w:rFonts w:ascii="Times New Roman" w:eastAsia="Times New Roman" w:hAnsi="Times New Roman" w:cs="Times New Roman"/>
          <w:sz w:val="24"/>
          <w:szCs w:val="24"/>
          <w:lang w:eastAsia="en-GB"/>
        </w:rPr>
        <w:t xml:space="preserve">, C. O., </w:t>
      </w:r>
      <w:proofErr w:type="spellStart"/>
      <w:r w:rsidRPr="00F43789">
        <w:rPr>
          <w:rFonts w:ascii="Times New Roman" w:eastAsia="Times New Roman" w:hAnsi="Times New Roman" w:cs="Times New Roman"/>
          <w:sz w:val="24"/>
          <w:szCs w:val="24"/>
          <w:lang w:eastAsia="en-GB"/>
        </w:rPr>
        <w:t>Mmuta</w:t>
      </w:r>
      <w:proofErr w:type="spellEnd"/>
      <w:r w:rsidRPr="00F43789">
        <w:rPr>
          <w:rFonts w:ascii="Times New Roman" w:eastAsia="Times New Roman" w:hAnsi="Times New Roman" w:cs="Times New Roman"/>
          <w:sz w:val="24"/>
          <w:szCs w:val="24"/>
          <w:lang w:eastAsia="en-GB"/>
        </w:rPr>
        <w:t xml:space="preserve">, E. C., </w:t>
      </w:r>
      <w:proofErr w:type="spellStart"/>
      <w:r w:rsidRPr="00F43789">
        <w:rPr>
          <w:rFonts w:ascii="Times New Roman" w:eastAsia="Times New Roman" w:hAnsi="Times New Roman" w:cs="Times New Roman"/>
          <w:sz w:val="24"/>
          <w:szCs w:val="24"/>
          <w:lang w:eastAsia="en-GB"/>
        </w:rPr>
        <w:t>Ekwere</w:t>
      </w:r>
      <w:proofErr w:type="spellEnd"/>
      <w:r w:rsidRPr="00F43789">
        <w:rPr>
          <w:rFonts w:ascii="Times New Roman" w:eastAsia="Times New Roman" w:hAnsi="Times New Roman" w:cs="Times New Roman"/>
          <w:sz w:val="24"/>
          <w:szCs w:val="24"/>
          <w:lang w:eastAsia="en-GB"/>
        </w:rPr>
        <w:t xml:space="preserve">, I. O., </w:t>
      </w:r>
      <w:proofErr w:type="spellStart"/>
      <w:r w:rsidRPr="00F43789">
        <w:rPr>
          <w:rFonts w:ascii="Times New Roman" w:eastAsia="Times New Roman" w:hAnsi="Times New Roman" w:cs="Times New Roman"/>
          <w:sz w:val="24"/>
          <w:szCs w:val="24"/>
          <w:lang w:eastAsia="en-GB"/>
        </w:rPr>
        <w:t>Alaekwe</w:t>
      </w:r>
      <w:proofErr w:type="spellEnd"/>
      <w:r w:rsidRPr="00F43789">
        <w:rPr>
          <w:rFonts w:ascii="Times New Roman" w:eastAsia="Times New Roman" w:hAnsi="Times New Roman" w:cs="Times New Roman"/>
          <w:sz w:val="24"/>
          <w:szCs w:val="24"/>
          <w:lang w:eastAsia="en-GB"/>
        </w:rPr>
        <w:t xml:space="preserve">, I. O., </w:t>
      </w:r>
      <w:proofErr w:type="spellStart"/>
      <w:r w:rsidRPr="00F43789">
        <w:rPr>
          <w:rFonts w:ascii="Times New Roman" w:eastAsia="Times New Roman" w:hAnsi="Times New Roman" w:cs="Times New Roman"/>
          <w:sz w:val="24"/>
          <w:szCs w:val="24"/>
          <w:lang w:eastAsia="en-GB"/>
        </w:rPr>
        <w:t>Odibo</w:t>
      </w:r>
      <w:proofErr w:type="spellEnd"/>
      <w:r w:rsidRPr="00F43789">
        <w:rPr>
          <w:rFonts w:ascii="Times New Roman" w:eastAsia="Times New Roman" w:hAnsi="Times New Roman" w:cs="Times New Roman"/>
          <w:sz w:val="24"/>
          <w:szCs w:val="24"/>
          <w:lang w:eastAsia="en-GB"/>
        </w:rPr>
        <w:t xml:space="preserve">, U. E., </w:t>
      </w:r>
      <w:proofErr w:type="spellStart"/>
      <w:r w:rsidRPr="00F43789">
        <w:rPr>
          <w:rFonts w:ascii="Times New Roman" w:eastAsia="Times New Roman" w:hAnsi="Times New Roman" w:cs="Times New Roman"/>
          <w:sz w:val="24"/>
          <w:szCs w:val="24"/>
          <w:lang w:eastAsia="en-GB"/>
        </w:rPr>
        <w:t>Igwegbe</w:t>
      </w:r>
      <w:proofErr w:type="spellEnd"/>
      <w:r w:rsidRPr="00F43789">
        <w:rPr>
          <w:rFonts w:ascii="Times New Roman" w:eastAsia="Times New Roman" w:hAnsi="Times New Roman" w:cs="Times New Roman"/>
          <w:sz w:val="24"/>
          <w:szCs w:val="24"/>
          <w:lang w:eastAsia="en-GB"/>
        </w:rPr>
        <w:t xml:space="preserve">, K. C., </w:t>
      </w:r>
      <w:proofErr w:type="spellStart"/>
      <w:r w:rsidRPr="00F43789">
        <w:rPr>
          <w:rFonts w:ascii="Times New Roman" w:eastAsia="Times New Roman" w:hAnsi="Times New Roman" w:cs="Times New Roman"/>
          <w:sz w:val="24"/>
          <w:szCs w:val="24"/>
          <w:lang w:eastAsia="en-GB"/>
        </w:rPr>
        <w:t>Eboj-Ajoku</w:t>
      </w:r>
      <w:proofErr w:type="spellEnd"/>
      <w:r w:rsidRPr="00F43789">
        <w:rPr>
          <w:rFonts w:ascii="Times New Roman" w:eastAsia="Times New Roman" w:hAnsi="Times New Roman" w:cs="Times New Roman"/>
          <w:sz w:val="24"/>
          <w:szCs w:val="24"/>
          <w:lang w:eastAsia="en-GB"/>
        </w:rPr>
        <w:t xml:space="preserve">, I. O., &amp; </w:t>
      </w:r>
      <w:proofErr w:type="spellStart"/>
      <w:r w:rsidRPr="00F43789">
        <w:rPr>
          <w:rFonts w:ascii="Times New Roman" w:eastAsia="Times New Roman" w:hAnsi="Times New Roman" w:cs="Times New Roman"/>
          <w:sz w:val="24"/>
          <w:szCs w:val="24"/>
          <w:lang w:eastAsia="en-GB"/>
        </w:rPr>
        <w:t>Obunezi</w:t>
      </w:r>
      <w:proofErr w:type="spellEnd"/>
      <w:r w:rsidRPr="00F43789">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F43789">
        <w:rPr>
          <w:rFonts w:ascii="Times New Roman" w:eastAsia="Times New Roman" w:hAnsi="Times New Roman" w:cs="Times New Roman"/>
          <w:i/>
          <w:iCs/>
          <w:sz w:val="24"/>
          <w:szCs w:val="24"/>
          <w:lang w:eastAsia="en-GB"/>
        </w:rPr>
        <w:t>Journal of Life Science and Public Health, 1</w:t>
      </w:r>
      <w:r w:rsidRPr="00F43789">
        <w:rPr>
          <w:rFonts w:ascii="Times New Roman" w:eastAsia="Times New Roman" w:hAnsi="Times New Roman" w:cs="Times New Roman"/>
          <w:sz w:val="24"/>
          <w:szCs w:val="24"/>
          <w:lang w:eastAsia="en-GB"/>
        </w:rPr>
        <w:t xml:space="preserve">(1), 24–31. </w:t>
      </w:r>
      <w:hyperlink r:id="rId19" w:tgtFrame="_new" w:history="1">
        <w:r w:rsidRPr="00F43789">
          <w:rPr>
            <w:rFonts w:ascii="Times New Roman" w:eastAsia="Times New Roman" w:hAnsi="Times New Roman" w:cs="Times New Roman"/>
            <w:color w:val="0000FF"/>
            <w:sz w:val="24"/>
            <w:szCs w:val="24"/>
            <w:u w:val="single"/>
            <w:lang w:eastAsia="en-GB"/>
          </w:rPr>
          <w:t>https://doi.org/10.69739/jlsph.v1i1.879</w:t>
        </w:r>
      </w:hyperlink>
    </w:p>
    <w:p w14:paraId="55AF5CC1" w14:textId="4F95E51B" w:rsidR="00F43789" w:rsidRPr="00F43789" w:rsidRDefault="00F43789" w:rsidP="00F43789">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43789">
        <w:rPr>
          <w:rFonts w:ascii="Times New Roman" w:eastAsia="Times New Roman" w:hAnsi="Times New Roman" w:cs="Times New Roman"/>
          <w:sz w:val="24"/>
          <w:szCs w:val="24"/>
          <w:lang w:eastAsia="en-GB"/>
        </w:rPr>
        <w:t>Okpoji</w:t>
      </w:r>
      <w:proofErr w:type="spellEnd"/>
      <w:r w:rsidRPr="00F43789">
        <w:rPr>
          <w:rFonts w:ascii="Times New Roman" w:eastAsia="Times New Roman" w:hAnsi="Times New Roman" w:cs="Times New Roman"/>
          <w:sz w:val="24"/>
          <w:szCs w:val="24"/>
          <w:lang w:eastAsia="en-GB"/>
        </w:rPr>
        <w:t xml:space="preserve">, A. U., Chinyere, U. E., </w:t>
      </w:r>
      <w:proofErr w:type="spellStart"/>
      <w:r w:rsidRPr="00F43789">
        <w:rPr>
          <w:rFonts w:ascii="Times New Roman" w:eastAsia="Times New Roman" w:hAnsi="Times New Roman" w:cs="Times New Roman"/>
          <w:sz w:val="24"/>
          <w:szCs w:val="24"/>
          <w:lang w:eastAsia="en-GB"/>
        </w:rPr>
        <w:t>Nwokoye</w:t>
      </w:r>
      <w:proofErr w:type="spellEnd"/>
      <w:r w:rsidRPr="00F43789">
        <w:rPr>
          <w:rFonts w:ascii="Times New Roman" w:eastAsia="Times New Roman" w:hAnsi="Times New Roman" w:cs="Times New Roman"/>
          <w:sz w:val="24"/>
          <w:szCs w:val="24"/>
          <w:lang w:eastAsia="en-GB"/>
        </w:rPr>
        <w:t xml:space="preserve">, J. N., </w:t>
      </w:r>
      <w:proofErr w:type="spellStart"/>
      <w:r w:rsidRPr="00F43789">
        <w:rPr>
          <w:rFonts w:ascii="Times New Roman" w:eastAsia="Times New Roman" w:hAnsi="Times New Roman" w:cs="Times New Roman"/>
          <w:sz w:val="24"/>
          <w:szCs w:val="24"/>
          <w:lang w:eastAsia="en-GB"/>
        </w:rPr>
        <w:t>Ezekwuemen</w:t>
      </w:r>
      <w:proofErr w:type="spellEnd"/>
      <w:r w:rsidRPr="00F43789">
        <w:rPr>
          <w:rFonts w:ascii="Times New Roman" w:eastAsia="Times New Roman" w:hAnsi="Times New Roman" w:cs="Times New Roman"/>
          <w:sz w:val="24"/>
          <w:szCs w:val="24"/>
          <w:lang w:eastAsia="en-GB"/>
        </w:rPr>
        <w:t xml:space="preserve">, O. I., </w:t>
      </w:r>
      <w:proofErr w:type="spellStart"/>
      <w:r w:rsidRPr="00F43789">
        <w:rPr>
          <w:rFonts w:ascii="Times New Roman" w:eastAsia="Times New Roman" w:hAnsi="Times New Roman" w:cs="Times New Roman"/>
          <w:sz w:val="24"/>
          <w:szCs w:val="24"/>
          <w:lang w:eastAsia="en-GB"/>
        </w:rPr>
        <w:t>Alaekwe</w:t>
      </w:r>
      <w:proofErr w:type="spellEnd"/>
      <w:r w:rsidRPr="00F43789">
        <w:rPr>
          <w:rFonts w:ascii="Times New Roman" w:eastAsia="Times New Roman" w:hAnsi="Times New Roman" w:cs="Times New Roman"/>
          <w:sz w:val="24"/>
          <w:szCs w:val="24"/>
          <w:lang w:eastAsia="en-GB"/>
        </w:rPr>
        <w:t xml:space="preserve">, I. O., </w:t>
      </w:r>
      <w:proofErr w:type="spellStart"/>
      <w:r w:rsidRPr="00F43789">
        <w:rPr>
          <w:rFonts w:ascii="Times New Roman" w:eastAsia="Times New Roman" w:hAnsi="Times New Roman" w:cs="Times New Roman"/>
          <w:sz w:val="24"/>
          <w:szCs w:val="24"/>
          <w:lang w:eastAsia="en-GB"/>
        </w:rPr>
        <w:t>Odidika</w:t>
      </w:r>
      <w:proofErr w:type="spellEnd"/>
      <w:r w:rsidRPr="00F43789">
        <w:rPr>
          <w:rFonts w:ascii="Times New Roman" w:eastAsia="Times New Roman" w:hAnsi="Times New Roman" w:cs="Times New Roman"/>
          <w:sz w:val="24"/>
          <w:szCs w:val="24"/>
          <w:lang w:eastAsia="en-GB"/>
        </w:rPr>
        <w:t xml:space="preserve">, C. C., </w:t>
      </w:r>
      <w:proofErr w:type="spellStart"/>
      <w:r w:rsidRPr="00F43789">
        <w:rPr>
          <w:rFonts w:ascii="Times New Roman" w:eastAsia="Times New Roman" w:hAnsi="Times New Roman" w:cs="Times New Roman"/>
          <w:sz w:val="24"/>
          <w:szCs w:val="24"/>
          <w:lang w:eastAsia="en-GB"/>
        </w:rPr>
        <w:t>Owughara</w:t>
      </w:r>
      <w:proofErr w:type="spellEnd"/>
      <w:r w:rsidRPr="00F43789">
        <w:rPr>
          <w:rFonts w:ascii="Times New Roman" w:eastAsia="Times New Roman" w:hAnsi="Times New Roman" w:cs="Times New Roman"/>
          <w:sz w:val="24"/>
          <w:szCs w:val="24"/>
          <w:lang w:eastAsia="en-GB"/>
        </w:rPr>
        <w:t xml:space="preserve">, C. N., Enyi, C. M., &amp; Kolawole, O. O. (2025). Environmental Assessment of Heavy Metals and Hydrocarbon Pollution in Surface Waters of Oil-Bearing Communities in Andoni, Rivers State, Nigeria. </w:t>
      </w:r>
      <w:r w:rsidRPr="00F43789">
        <w:rPr>
          <w:rFonts w:ascii="Times New Roman" w:eastAsia="Times New Roman" w:hAnsi="Times New Roman" w:cs="Times New Roman"/>
          <w:i/>
          <w:iCs/>
          <w:sz w:val="24"/>
          <w:szCs w:val="24"/>
          <w:lang w:eastAsia="en-GB"/>
        </w:rPr>
        <w:t>International Journal of Modern Science and Research Technology, 3</w:t>
      </w:r>
      <w:r w:rsidRPr="00F43789">
        <w:rPr>
          <w:rFonts w:ascii="Times New Roman" w:eastAsia="Times New Roman" w:hAnsi="Times New Roman" w:cs="Times New Roman"/>
          <w:sz w:val="24"/>
          <w:szCs w:val="24"/>
          <w:lang w:eastAsia="en-GB"/>
        </w:rPr>
        <w:t xml:space="preserve">(8), 22–30. </w:t>
      </w:r>
      <w:hyperlink r:id="rId20" w:history="1">
        <w:r w:rsidR="007D68E2" w:rsidRPr="009A3DC6">
          <w:rPr>
            <w:rStyle w:val="Hyperlink"/>
          </w:rPr>
          <w:t>https://doi.org/10.5281/zenodo.16904018</w:t>
        </w:r>
      </w:hyperlink>
      <w:r w:rsidR="007D68E2">
        <w:t xml:space="preserve"> </w:t>
      </w:r>
    </w:p>
    <w:p w14:paraId="43863BB1" w14:textId="655D5464" w:rsidR="00F43789" w:rsidRPr="00F43789" w:rsidRDefault="00F43789" w:rsidP="00F43789">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43789">
        <w:rPr>
          <w:rFonts w:ascii="Times New Roman" w:eastAsia="Times New Roman" w:hAnsi="Times New Roman" w:cs="Times New Roman"/>
          <w:sz w:val="24"/>
          <w:szCs w:val="24"/>
          <w:lang w:eastAsia="en-GB"/>
        </w:rPr>
        <w:t>Okpoji</w:t>
      </w:r>
      <w:proofErr w:type="spellEnd"/>
      <w:r w:rsidRPr="00F43789">
        <w:rPr>
          <w:rFonts w:ascii="Times New Roman" w:eastAsia="Times New Roman" w:hAnsi="Times New Roman" w:cs="Times New Roman"/>
          <w:sz w:val="24"/>
          <w:szCs w:val="24"/>
          <w:lang w:eastAsia="en-GB"/>
        </w:rPr>
        <w:t xml:space="preserve">, A. U., Eboh-Ajoku, I. O., </w:t>
      </w:r>
      <w:proofErr w:type="spellStart"/>
      <w:r w:rsidRPr="00F43789">
        <w:rPr>
          <w:rFonts w:ascii="Times New Roman" w:eastAsia="Times New Roman" w:hAnsi="Times New Roman" w:cs="Times New Roman"/>
          <w:sz w:val="24"/>
          <w:szCs w:val="24"/>
          <w:lang w:eastAsia="en-GB"/>
        </w:rPr>
        <w:t>Mmuta</w:t>
      </w:r>
      <w:proofErr w:type="spellEnd"/>
      <w:r w:rsidRPr="00F43789">
        <w:rPr>
          <w:rFonts w:ascii="Times New Roman" w:eastAsia="Times New Roman" w:hAnsi="Times New Roman" w:cs="Times New Roman"/>
          <w:sz w:val="24"/>
          <w:szCs w:val="24"/>
          <w:lang w:eastAsia="en-GB"/>
        </w:rPr>
        <w:t xml:space="preserve">, E. C., Ndubuisi, J. O., </w:t>
      </w:r>
      <w:proofErr w:type="spellStart"/>
      <w:r w:rsidRPr="00F43789">
        <w:rPr>
          <w:rFonts w:ascii="Times New Roman" w:eastAsia="Times New Roman" w:hAnsi="Times New Roman" w:cs="Times New Roman"/>
          <w:sz w:val="24"/>
          <w:szCs w:val="24"/>
          <w:lang w:eastAsia="en-GB"/>
        </w:rPr>
        <w:t>Alaekwe</w:t>
      </w:r>
      <w:proofErr w:type="spellEnd"/>
      <w:r w:rsidRPr="00F43789">
        <w:rPr>
          <w:rFonts w:ascii="Times New Roman" w:eastAsia="Times New Roman" w:hAnsi="Times New Roman" w:cs="Times New Roman"/>
          <w:sz w:val="24"/>
          <w:szCs w:val="24"/>
          <w:lang w:eastAsia="en-GB"/>
        </w:rPr>
        <w:t xml:space="preserve">, I. O., </w:t>
      </w:r>
      <w:proofErr w:type="spellStart"/>
      <w:r w:rsidRPr="00F43789">
        <w:rPr>
          <w:rFonts w:ascii="Times New Roman" w:eastAsia="Times New Roman" w:hAnsi="Times New Roman" w:cs="Times New Roman"/>
          <w:sz w:val="24"/>
          <w:szCs w:val="24"/>
          <w:lang w:eastAsia="en-GB"/>
        </w:rPr>
        <w:t>Odibo</w:t>
      </w:r>
      <w:proofErr w:type="spellEnd"/>
      <w:r w:rsidRPr="00F43789">
        <w:rPr>
          <w:rFonts w:ascii="Times New Roman" w:eastAsia="Times New Roman" w:hAnsi="Times New Roman" w:cs="Times New Roman"/>
          <w:sz w:val="24"/>
          <w:szCs w:val="24"/>
          <w:lang w:eastAsia="en-GB"/>
        </w:rPr>
        <w:t xml:space="preserve">, U. E., </w:t>
      </w:r>
      <w:proofErr w:type="spellStart"/>
      <w:r w:rsidRPr="00F43789">
        <w:rPr>
          <w:rFonts w:ascii="Times New Roman" w:eastAsia="Times New Roman" w:hAnsi="Times New Roman" w:cs="Times New Roman"/>
          <w:sz w:val="24"/>
          <w:szCs w:val="24"/>
          <w:lang w:eastAsia="en-GB"/>
        </w:rPr>
        <w:t>Nwoka</w:t>
      </w:r>
      <w:proofErr w:type="spellEnd"/>
      <w:r w:rsidRPr="00F43789">
        <w:rPr>
          <w:rFonts w:ascii="Times New Roman" w:eastAsia="Times New Roman" w:hAnsi="Times New Roman" w:cs="Times New Roman"/>
          <w:sz w:val="24"/>
          <w:szCs w:val="24"/>
          <w:lang w:eastAsia="en-GB"/>
        </w:rPr>
        <w:t xml:space="preserve">, N. G., Okafor, C. A., &amp; </w:t>
      </w:r>
      <w:proofErr w:type="spellStart"/>
      <w:r w:rsidRPr="00F43789">
        <w:rPr>
          <w:rFonts w:ascii="Times New Roman" w:eastAsia="Times New Roman" w:hAnsi="Times New Roman" w:cs="Times New Roman"/>
          <w:sz w:val="24"/>
          <w:szCs w:val="24"/>
          <w:lang w:eastAsia="en-GB"/>
        </w:rPr>
        <w:t>Obunezi</w:t>
      </w:r>
      <w:proofErr w:type="spellEnd"/>
      <w:r w:rsidRPr="00F43789">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w:t>
      </w:r>
      <w:r w:rsidRPr="00F43789">
        <w:rPr>
          <w:rFonts w:ascii="Times New Roman" w:eastAsia="Times New Roman" w:hAnsi="Times New Roman" w:cs="Times New Roman"/>
          <w:i/>
          <w:iCs/>
          <w:sz w:val="24"/>
          <w:szCs w:val="24"/>
          <w:lang w:eastAsia="en-GB"/>
        </w:rPr>
        <w:t>ISA Journal of Multidisciplinary (ISAJM), 2</w:t>
      </w:r>
      <w:r w:rsidRPr="00F43789">
        <w:rPr>
          <w:rFonts w:ascii="Times New Roman" w:eastAsia="Times New Roman" w:hAnsi="Times New Roman" w:cs="Times New Roman"/>
          <w:sz w:val="24"/>
          <w:szCs w:val="24"/>
          <w:lang w:eastAsia="en-GB"/>
        </w:rPr>
        <w:t>(4), 14–21.</w:t>
      </w:r>
      <w:r w:rsidR="007D68E2">
        <w:rPr>
          <w:rFonts w:ascii="Times New Roman" w:eastAsia="Times New Roman" w:hAnsi="Times New Roman" w:cs="Times New Roman"/>
          <w:sz w:val="24"/>
          <w:szCs w:val="24"/>
          <w:lang w:eastAsia="en-GB"/>
        </w:rPr>
        <w:t xml:space="preserve"> </w:t>
      </w:r>
      <w:hyperlink r:id="rId21" w:history="1">
        <w:r w:rsidR="007D68E2" w:rsidRPr="009A3DC6">
          <w:rPr>
            <w:rStyle w:val="Hyperlink"/>
            <w:rFonts w:ascii="Times New Roman" w:eastAsia="Times New Roman" w:hAnsi="Times New Roman" w:cs="Times New Roman"/>
            <w:sz w:val="24"/>
            <w:szCs w:val="24"/>
            <w:lang w:eastAsia="en-GB"/>
          </w:rPr>
          <w:t>https://doi.org/10.5281/zenodo.16921896</w:t>
        </w:r>
      </w:hyperlink>
      <w:r w:rsidR="007D68E2">
        <w:rPr>
          <w:rFonts w:ascii="Times New Roman" w:eastAsia="Times New Roman" w:hAnsi="Times New Roman" w:cs="Times New Roman"/>
          <w:sz w:val="24"/>
          <w:szCs w:val="24"/>
          <w:lang w:eastAsia="en-GB"/>
        </w:rPr>
        <w:t xml:space="preserve"> </w:t>
      </w:r>
    </w:p>
    <w:p w14:paraId="0FACDE81" w14:textId="77777777" w:rsidR="00F43789" w:rsidRPr="00F43789" w:rsidRDefault="00F43789" w:rsidP="00F43789">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43789">
        <w:rPr>
          <w:rFonts w:ascii="Times New Roman" w:eastAsia="Times New Roman" w:hAnsi="Times New Roman" w:cs="Times New Roman"/>
          <w:sz w:val="24"/>
          <w:szCs w:val="24"/>
          <w:lang w:eastAsia="en-GB"/>
        </w:rPr>
        <w:t>Okpoji</w:t>
      </w:r>
      <w:proofErr w:type="spellEnd"/>
      <w:r w:rsidRPr="00F43789">
        <w:rPr>
          <w:rFonts w:ascii="Times New Roman" w:eastAsia="Times New Roman" w:hAnsi="Times New Roman" w:cs="Times New Roman"/>
          <w:sz w:val="24"/>
          <w:szCs w:val="24"/>
          <w:lang w:eastAsia="en-GB"/>
        </w:rPr>
        <w:t xml:space="preserve">, A. U., </w:t>
      </w:r>
      <w:proofErr w:type="spellStart"/>
      <w:r w:rsidRPr="00F43789">
        <w:rPr>
          <w:rFonts w:ascii="Times New Roman" w:eastAsia="Times New Roman" w:hAnsi="Times New Roman" w:cs="Times New Roman"/>
          <w:sz w:val="24"/>
          <w:szCs w:val="24"/>
          <w:lang w:eastAsia="en-GB"/>
        </w:rPr>
        <w:t>Ekwere</w:t>
      </w:r>
      <w:proofErr w:type="spellEnd"/>
      <w:r w:rsidRPr="00F43789">
        <w:rPr>
          <w:rFonts w:ascii="Times New Roman" w:eastAsia="Times New Roman" w:hAnsi="Times New Roman" w:cs="Times New Roman"/>
          <w:sz w:val="24"/>
          <w:szCs w:val="24"/>
          <w:lang w:eastAsia="en-GB"/>
        </w:rPr>
        <w:t xml:space="preserve">, I. O., </w:t>
      </w:r>
      <w:proofErr w:type="spellStart"/>
      <w:r w:rsidRPr="00F43789">
        <w:rPr>
          <w:rFonts w:ascii="Times New Roman" w:eastAsia="Times New Roman" w:hAnsi="Times New Roman" w:cs="Times New Roman"/>
          <w:sz w:val="24"/>
          <w:szCs w:val="24"/>
          <w:lang w:eastAsia="en-GB"/>
        </w:rPr>
        <w:t>Igwegbe</w:t>
      </w:r>
      <w:proofErr w:type="spellEnd"/>
      <w:r w:rsidRPr="00F43789">
        <w:rPr>
          <w:rFonts w:ascii="Times New Roman" w:eastAsia="Times New Roman" w:hAnsi="Times New Roman" w:cs="Times New Roman"/>
          <w:sz w:val="24"/>
          <w:szCs w:val="24"/>
          <w:lang w:eastAsia="en-GB"/>
        </w:rPr>
        <w:t xml:space="preserve">, K. C., </w:t>
      </w:r>
      <w:proofErr w:type="spellStart"/>
      <w:r w:rsidRPr="00F43789">
        <w:rPr>
          <w:rFonts w:ascii="Times New Roman" w:eastAsia="Times New Roman" w:hAnsi="Times New Roman" w:cs="Times New Roman"/>
          <w:sz w:val="24"/>
          <w:szCs w:val="24"/>
          <w:lang w:eastAsia="en-GB"/>
        </w:rPr>
        <w:t>Anarado</w:t>
      </w:r>
      <w:proofErr w:type="spellEnd"/>
      <w:r w:rsidRPr="00F43789">
        <w:rPr>
          <w:rFonts w:ascii="Times New Roman" w:eastAsia="Times New Roman" w:hAnsi="Times New Roman" w:cs="Times New Roman"/>
          <w:sz w:val="24"/>
          <w:szCs w:val="24"/>
          <w:lang w:eastAsia="en-GB"/>
        </w:rPr>
        <w:t xml:space="preserve">, C. J. O., Ogbonna, C., </w:t>
      </w:r>
      <w:proofErr w:type="spellStart"/>
      <w:r w:rsidRPr="00F43789">
        <w:rPr>
          <w:rFonts w:ascii="Times New Roman" w:eastAsia="Times New Roman" w:hAnsi="Times New Roman" w:cs="Times New Roman"/>
          <w:sz w:val="24"/>
          <w:szCs w:val="24"/>
          <w:lang w:eastAsia="en-GB"/>
        </w:rPr>
        <w:t>Ewuola</w:t>
      </w:r>
      <w:proofErr w:type="spellEnd"/>
      <w:r w:rsidRPr="00F43789">
        <w:rPr>
          <w:rFonts w:ascii="Times New Roman" w:eastAsia="Times New Roman" w:hAnsi="Times New Roman" w:cs="Times New Roman"/>
          <w:sz w:val="24"/>
          <w:szCs w:val="24"/>
          <w:lang w:eastAsia="en-GB"/>
        </w:rPr>
        <w:t xml:space="preserve">, A. A., </w:t>
      </w:r>
      <w:proofErr w:type="spellStart"/>
      <w:r w:rsidRPr="00F43789">
        <w:rPr>
          <w:rFonts w:ascii="Times New Roman" w:eastAsia="Times New Roman" w:hAnsi="Times New Roman" w:cs="Times New Roman"/>
          <w:sz w:val="24"/>
          <w:szCs w:val="24"/>
          <w:lang w:eastAsia="en-GB"/>
        </w:rPr>
        <w:t>Odibo</w:t>
      </w:r>
      <w:proofErr w:type="spellEnd"/>
      <w:r w:rsidRPr="00F43789">
        <w:rPr>
          <w:rFonts w:ascii="Times New Roman" w:eastAsia="Times New Roman" w:hAnsi="Times New Roman" w:cs="Times New Roman"/>
          <w:sz w:val="24"/>
          <w:szCs w:val="24"/>
          <w:lang w:eastAsia="en-GB"/>
        </w:rPr>
        <w:t xml:space="preserve">, U. E., &amp; Garuba, M. H. (2025). Volatile organic compounds from gas flaring and their atmospheric implications in the Niger Delta. </w:t>
      </w:r>
      <w:r w:rsidRPr="00F43789">
        <w:rPr>
          <w:rFonts w:ascii="Times New Roman" w:eastAsia="Times New Roman" w:hAnsi="Times New Roman" w:cs="Times New Roman"/>
          <w:i/>
          <w:iCs/>
          <w:sz w:val="24"/>
          <w:szCs w:val="24"/>
          <w:lang w:eastAsia="en-GB"/>
        </w:rPr>
        <w:t>Journal of Life Science and Public Health, 1</w:t>
      </w:r>
      <w:r w:rsidRPr="00F43789">
        <w:rPr>
          <w:rFonts w:ascii="Times New Roman" w:eastAsia="Times New Roman" w:hAnsi="Times New Roman" w:cs="Times New Roman"/>
          <w:sz w:val="24"/>
          <w:szCs w:val="24"/>
          <w:lang w:eastAsia="en-GB"/>
        </w:rPr>
        <w:t xml:space="preserve">(1), 32–39. </w:t>
      </w:r>
      <w:hyperlink r:id="rId22" w:tgtFrame="_new" w:history="1">
        <w:r w:rsidRPr="00F43789">
          <w:rPr>
            <w:rFonts w:ascii="Times New Roman" w:eastAsia="Times New Roman" w:hAnsi="Times New Roman" w:cs="Times New Roman"/>
            <w:color w:val="0000FF"/>
            <w:sz w:val="24"/>
            <w:szCs w:val="24"/>
            <w:u w:val="single"/>
            <w:lang w:eastAsia="en-GB"/>
          </w:rPr>
          <w:t>https://doi.org/10.69739/jlsph.v1i1.962</w:t>
        </w:r>
      </w:hyperlink>
    </w:p>
    <w:p w14:paraId="75E0AF3C" w14:textId="77777777" w:rsidR="00F43789" w:rsidRPr="00F43789" w:rsidRDefault="00F43789" w:rsidP="00F43789">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43789">
        <w:rPr>
          <w:rFonts w:ascii="Times New Roman" w:eastAsia="Times New Roman" w:hAnsi="Times New Roman" w:cs="Times New Roman"/>
          <w:sz w:val="24"/>
          <w:szCs w:val="24"/>
          <w:lang w:eastAsia="en-GB"/>
        </w:rPr>
        <w:t>Okpoji</w:t>
      </w:r>
      <w:proofErr w:type="spellEnd"/>
      <w:r w:rsidRPr="00F43789">
        <w:rPr>
          <w:rFonts w:ascii="Times New Roman" w:eastAsia="Times New Roman" w:hAnsi="Times New Roman" w:cs="Times New Roman"/>
          <w:sz w:val="24"/>
          <w:szCs w:val="24"/>
          <w:lang w:eastAsia="en-GB"/>
        </w:rPr>
        <w:t xml:space="preserve">, A. U., </w:t>
      </w:r>
      <w:proofErr w:type="spellStart"/>
      <w:r w:rsidRPr="00F43789">
        <w:rPr>
          <w:rFonts w:ascii="Times New Roman" w:eastAsia="Times New Roman" w:hAnsi="Times New Roman" w:cs="Times New Roman"/>
          <w:sz w:val="24"/>
          <w:szCs w:val="24"/>
          <w:lang w:eastAsia="en-GB"/>
        </w:rPr>
        <w:t>Ekwere</w:t>
      </w:r>
      <w:proofErr w:type="spellEnd"/>
      <w:r w:rsidRPr="00F43789">
        <w:rPr>
          <w:rFonts w:ascii="Times New Roman" w:eastAsia="Times New Roman" w:hAnsi="Times New Roman" w:cs="Times New Roman"/>
          <w:sz w:val="24"/>
          <w:szCs w:val="24"/>
          <w:lang w:eastAsia="en-GB"/>
        </w:rPr>
        <w:t xml:space="preserve">, I. O., </w:t>
      </w:r>
      <w:proofErr w:type="spellStart"/>
      <w:r w:rsidRPr="00F43789">
        <w:rPr>
          <w:rFonts w:ascii="Times New Roman" w:eastAsia="Times New Roman" w:hAnsi="Times New Roman" w:cs="Times New Roman"/>
          <w:sz w:val="24"/>
          <w:szCs w:val="24"/>
          <w:lang w:eastAsia="en-GB"/>
        </w:rPr>
        <w:t>Igwegbe</w:t>
      </w:r>
      <w:proofErr w:type="spellEnd"/>
      <w:r w:rsidRPr="00F43789">
        <w:rPr>
          <w:rFonts w:ascii="Times New Roman" w:eastAsia="Times New Roman" w:hAnsi="Times New Roman" w:cs="Times New Roman"/>
          <w:sz w:val="24"/>
          <w:szCs w:val="24"/>
          <w:lang w:eastAsia="en-GB"/>
        </w:rPr>
        <w:t xml:space="preserve">, K. C., </w:t>
      </w:r>
      <w:proofErr w:type="spellStart"/>
      <w:r w:rsidRPr="00F43789">
        <w:rPr>
          <w:rFonts w:ascii="Times New Roman" w:eastAsia="Times New Roman" w:hAnsi="Times New Roman" w:cs="Times New Roman"/>
          <w:sz w:val="24"/>
          <w:szCs w:val="24"/>
          <w:lang w:eastAsia="en-GB"/>
        </w:rPr>
        <w:t>Etesin</w:t>
      </w:r>
      <w:proofErr w:type="spellEnd"/>
      <w:r w:rsidRPr="00F43789">
        <w:rPr>
          <w:rFonts w:ascii="Times New Roman" w:eastAsia="Times New Roman" w:hAnsi="Times New Roman" w:cs="Times New Roman"/>
          <w:sz w:val="24"/>
          <w:szCs w:val="24"/>
          <w:lang w:eastAsia="en-GB"/>
        </w:rPr>
        <w:t xml:space="preserve">, U. M., Ugwuanyi, G. C., </w:t>
      </w:r>
      <w:proofErr w:type="spellStart"/>
      <w:r w:rsidRPr="00F43789">
        <w:rPr>
          <w:rFonts w:ascii="Times New Roman" w:eastAsia="Times New Roman" w:hAnsi="Times New Roman" w:cs="Times New Roman"/>
          <w:sz w:val="24"/>
          <w:szCs w:val="24"/>
          <w:lang w:eastAsia="en-GB"/>
        </w:rPr>
        <w:t>Okpanachi</w:t>
      </w:r>
      <w:proofErr w:type="spellEnd"/>
      <w:r w:rsidRPr="00F43789">
        <w:rPr>
          <w:rFonts w:ascii="Times New Roman" w:eastAsia="Times New Roman" w:hAnsi="Times New Roman" w:cs="Times New Roman"/>
          <w:sz w:val="24"/>
          <w:szCs w:val="24"/>
          <w:lang w:eastAsia="en-GB"/>
        </w:rPr>
        <w:t xml:space="preserve">, C. B., </w:t>
      </w:r>
      <w:proofErr w:type="spellStart"/>
      <w:r w:rsidRPr="00F43789">
        <w:rPr>
          <w:rFonts w:ascii="Times New Roman" w:eastAsia="Times New Roman" w:hAnsi="Times New Roman" w:cs="Times New Roman"/>
          <w:sz w:val="24"/>
          <w:szCs w:val="24"/>
          <w:lang w:eastAsia="en-GB"/>
        </w:rPr>
        <w:t>Ewuola</w:t>
      </w:r>
      <w:proofErr w:type="spellEnd"/>
      <w:r w:rsidRPr="00F43789">
        <w:rPr>
          <w:rFonts w:ascii="Times New Roman" w:eastAsia="Times New Roman" w:hAnsi="Times New Roman" w:cs="Times New Roman"/>
          <w:sz w:val="24"/>
          <w:szCs w:val="24"/>
          <w:lang w:eastAsia="en-GB"/>
        </w:rPr>
        <w:t xml:space="preserve">, A. A., Mojisola, K. M., &amp; </w:t>
      </w:r>
      <w:proofErr w:type="spellStart"/>
      <w:r w:rsidRPr="00F43789">
        <w:rPr>
          <w:rFonts w:ascii="Times New Roman" w:eastAsia="Times New Roman" w:hAnsi="Times New Roman" w:cs="Times New Roman"/>
          <w:sz w:val="24"/>
          <w:szCs w:val="24"/>
          <w:lang w:eastAsia="en-GB"/>
        </w:rPr>
        <w:t>Ezekwueme</w:t>
      </w:r>
      <w:proofErr w:type="spellEnd"/>
      <w:r w:rsidRPr="00F43789">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F43789">
        <w:rPr>
          <w:rFonts w:ascii="Times New Roman" w:eastAsia="Times New Roman" w:hAnsi="Times New Roman" w:cs="Times New Roman"/>
          <w:sz w:val="24"/>
          <w:szCs w:val="24"/>
          <w:lang w:eastAsia="en-GB"/>
        </w:rPr>
        <w:t>TiO</w:t>
      </w:r>
      <w:proofErr w:type="spellEnd"/>
      <w:r w:rsidRPr="00F43789">
        <w:rPr>
          <w:rFonts w:ascii="Times New Roman" w:eastAsia="Times New Roman" w:hAnsi="Times New Roman" w:cs="Times New Roman"/>
          <w:sz w:val="24"/>
          <w:szCs w:val="24"/>
          <w:lang w:eastAsia="en-GB"/>
        </w:rPr>
        <w:t xml:space="preserve">₂ nanomaterials. </w:t>
      </w:r>
      <w:r w:rsidRPr="00F43789">
        <w:rPr>
          <w:rFonts w:ascii="Times New Roman" w:eastAsia="Times New Roman" w:hAnsi="Times New Roman" w:cs="Times New Roman"/>
          <w:i/>
          <w:iCs/>
          <w:sz w:val="24"/>
          <w:szCs w:val="24"/>
          <w:lang w:eastAsia="en-GB"/>
        </w:rPr>
        <w:t>Journal of Environment, Climate, and Ecology, 2</w:t>
      </w:r>
      <w:r w:rsidRPr="00F43789">
        <w:rPr>
          <w:rFonts w:ascii="Times New Roman" w:eastAsia="Times New Roman" w:hAnsi="Times New Roman" w:cs="Times New Roman"/>
          <w:sz w:val="24"/>
          <w:szCs w:val="24"/>
          <w:lang w:eastAsia="en-GB"/>
        </w:rPr>
        <w:t xml:space="preserve">(2), 56–62. </w:t>
      </w:r>
      <w:hyperlink r:id="rId23" w:tgtFrame="_new" w:history="1">
        <w:r w:rsidRPr="00F43789">
          <w:rPr>
            <w:rFonts w:ascii="Times New Roman" w:eastAsia="Times New Roman" w:hAnsi="Times New Roman" w:cs="Times New Roman"/>
            <w:color w:val="0000FF"/>
            <w:sz w:val="24"/>
            <w:szCs w:val="24"/>
            <w:u w:val="single"/>
            <w:lang w:eastAsia="en-GB"/>
          </w:rPr>
          <w:t>https://doi.org/10.69739/jece.v2i2.961</w:t>
        </w:r>
      </w:hyperlink>
    </w:p>
    <w:p w14:paraId="47AF8FBA" w14:textId="77777777" w:rsidR="00F43789" w:rsidRPr="00F43789" w:rsidRDefault="00F43789" w:rsidP="00F43789">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43789">
        <w:rPr>
          <w:rFonts w:ascii="Times New Roman" w:eastAsia="Times New Roman" w:hAnsi="Times New Roman" w:cs="Times New Roman"/>
          <w:sz w:val="24"/>
          <w:szCs w:val="24"/>
          <w:lang w:eastAsia="en-GB"/>
        </w:rPr>
        <w:t>Okpoji</w:t>
      </w:r>
      <w:proofErr w:type="spellEnd"/>
      <w:r w:rsidRPr="00F43789">
        <w:rPr>
          <w:rFonts w:ascii="Times New Roman" w:eastAsia="Times New Roman" w:hAnsi="Times New Roman" w:cs="Times New Roman"/>
          <w:sz w:val="24"/>
          <w:szCs w:val="24"/>
          <w:lang w:eastAsia="en-GB"/>
        </w:rPr>
        <w:t xml:space="preserve">, A. U., Emem, J. A., </w:t>
      </w:r>
      <w:proofErr w:type="spellStart"/>
      <w:r w:rsidRPr="00F43789">
        <w:rPr>
          <w:rFonts w:ascii="Times New Roman" w:eastAsia="Times New Roman" w:hAnsi="Times New Roman" w:cs="Times New Roman"/>
          <w:sz w:val="24"/>
          <w:szCs w:val="24"/>
          <w:lang w:eastAsia="en-GB"/>
        </w:rPr>
        <w:t>Ekwere</w:t>
      </w:r>
      <w:proofErr w:type="spellEnd"/>
      <w:r w:rsidRPr="00F43789">
        <w:rPr>
          <w:rFonts w:ascii="Times New Roman" w:eastAsia="Times New Roman" w:hAnsi="Times New Roman" w:cs="Times New Roman"/>
          <w:sz w:val="24"/>
          <w:szCs w:val="24"/>
          <w:lang w:eastAsia="en-GB"/>
        </w:rPr>
        <w:t xml:space="preserve">, I. O., </w:t>
      </w:r>
      <w:proofErr w:type="spellStart"/>
      <w:r w:rsidRPr="00F43789">
        <w:rPr>
          <w:rFonts w:ascii="Times New Roman" w:eastAsia="Times New Roman" w:hAnsi="Times New Roman" w:cs="Times New Roman"/>
          <w:sz w:val="24"/>
          <w:szCs w:val="24"/>
          <w:lang w:eastAsia="en-GB"/>
        </w:rPr>
        <w:t>Odibo</w:t>
      </w:r>
      <w:proofErr w:type="spellEnd"/>
      <w:r w:rsidRPr="00F43789">
        <w:rPr>
          <w:rFonts w:ascii="Times New Roman" w:eastAsia="Times New Roman" w:hAnsi="Times New Roman" w:cs="Times New Roman"/>
          <w:sz w:val="24"/>
          <w:szCs w:val="24"/>
          <w:lang w:eastAsia="en-GB"/>
        </w:rPr>
        <w:t xml:space="preserve">, U. E., </w:t>
      </w:r>
      <w:proofErr w:type="spellStart"/>
      <w:r w:rsidRPr="00F43789">
        <w:rPr>
          <w:rFonts w:ascii="Times New Roman" w:eastAsia="Times New Roman" w:hAnsi="Times New Roman" w:cs="Times New Roman"/>
          <w:sz w:val="24"/>
          <w:szCs w:val="24"/>
          <w:lang w:eastAsia="en-GB"/>
        </w:rPr>
        <w:t>Alaekwe</w:t>
      </w:r>
      <w:proofErr w:type="spellEnd"/>
      <w:r w:rsidRPr="00F43789">
        <w:rPr>
          <w:rFonts w:ascii="Times New Roman" w:eastAsia="Times New Roman" w:hAnsi="Times New Roman" w:cs="Times New Roman"/>
          <w:sz w:val="24"/>
          <w:szCs w:val="24"/>
          <w:lang w:eastAsia="en-GB"/>
        </w:rPr>
        <w:t xml:space="preserve">, I. O., Warder, A. B., &amp; </w:t>
      </w:r>
      <w:proofErr w:type="spellStart"/>
      <w:r w:rsidRPr="00F43789">
        <w:rPr>
          <w:rFonts w:ascii="Times New Roman" w:eastAsia="Times New Roman" w:hAnsi="Times New Roman" w:cs="Times New Roman"/>
          <w:sz w:val="24"/>
          <w:szCs w:val="24"/>
          <w:lang w:eastAsia="en-GB"/>
        </w:rPr>
        <w:t>Eboj-Ajoku</w:t>
      </w:r>
      <w:proofErr w:type="spellEnd"/>
      <w:r w:rsidRPr="00F43789">
        <w:rPr>
          <w:rFonts w:ascii="Times New Roman" w:eastAsia="Times New Roman" w:hAnsi="Times New Roman" w:cs="Times New Roman"/>
          <w:sz w:val="24"/>
          <w:szCs w:val="24"/>
          <w:lang w:eastAsia="en-GB"/>
        </w:rPr>
        <w:t xml:space="preserve">, O. I. (2025). Bioaccumulation of nickel, lead, and cadmium in tissues of </w:t>
      </w:r>
      <w:r w:rsidRPr="00F43789">
        <w:rPr>
          <w:rFonts w:ascii="Times New Roman" w:eastAsia="Times New Roman" w:hAnsi="Times New Roman" w:cs="Times New Roman"/>
          <w:i/>
          <w:iCs/>
          <w:sz w:val="24"/>
          <w:szCs w:val="24"/>
          <w:lang w:eastAsia="en-GB"/>
        </w:rPr>
        <w:t>Callinectes sapidus</w:t>
      </w:r>
      <w:r w:rsidRPr="00F43789">
        <w:rPr>
          <w:rFonts w:ascii="Times New Roman" w:eastAsia="Times New Roman" w:hAnsi="Times New Roman" w:cs="Times New Roman"/>
          <w:sz w:val="24"/>
          <w:szCs w:val="24"/>
          <w:lang w:eastAsia="en-GB"/>
        </w:rPr>
        <w:t xml:space="preserve"> from the Iko River, Nigeria: Implications for human health risk and environmental safety. </w:t>
      </w:r>
      <w:r w:rsidRPr="00F43789">
        <w:rPr>
          <w:rFonts w:ascii="Times New Roman" w:eastAsia="Times New Roman" w:hAnsi="Times New Roman" w:cs="Times New Roman"/>
          <w:i/>
          <w:iCs/>
          <w:sz w:val="24"/>
          <w:szCs w:val="24"/>
          <w:lang w:eastAsia="en-GB"/>
        </w:rPr>
        <w:t>Journal of Environment, Climate, and Ecology, 2</w:t>
      </w:r>
      <w:r w:rsidRPr="00F43789">
        <w:rPr>
          <w:rFonts w:ascii="Times New Roman" w:eastAsia="Times New Roman" w:hAnsi="Times New Roman" w:cs="Times New Roman"/>
          <w:sz w:val="24"/>
          <w:szCs w:val="24"/>
          <w:lang w:eastAsia="en-GB"/>
        </w:rPr>
        <w:t xml:space="preserve">(2), 29–37. </w:t>
      </w:r>
      <w:hyperlink r:id="rId24" w:tgtFrame="_new" w:history="1">
        <w:r w:rsidRPr="00F43789">
          <w:rPr>
            <w:rFonts w:ascii="Times New Roman" w:eastAsia="Times New Roman" w:hAnsi="Times New Roman" w:cs="Times New Roman"/>
            <w:color w:val="0000FF"/>
            <w:sz w:val="24"/>
            <w:szCs w:val="24"/>
            <w:u w:val="single"/>
            <w:lang w:eastAsia="en-GB"/>
          </w:rPr>
          <w:t>https://doi.org/10.69739/jece.v2i2.844</w:t>
        </w:r>
      </w:hyperlink>
    </w:p>
    <w:p w14:paraId="3529A105" w14:textId="77777777" w:rsidR="00F43789" w:rsidRPr="00F43789" w:rsidRDefault="00F43789" w:rsidP="00F43789">
      <w:pPr>
        <w:pStyle w:val="NormalWeb"/>
        <w:spacing w:line="276" w:lineRule="auto"/>
        <w:ind w:left="720" w:hanging="720"/>
        <w:jc w:val="both"/>
      </w:pPr>
      <w:proofErr w:type="spellStart"/>
      <w:r w:rsidRPr="00F43789">
        <w:t>Okpoji</w:t>
      </w:r>
      <w:proofErr w:type="spellEnd"/>
      <w:r w:rsidRPr="00F43789">
        <w:t xml:space="preserve">, A. U., </w:t>
      </w:r>
      <w:proofErr w:type="spellStart"/>
      <w:r w:rsidRPr="00F43789">
        <w:t>Etesin</w:t>
      </w:r>
      <w:proofErr w:type="spellEnd"/>
      <w:r w:rsidRPr="00F43789">
        <w:t xml:space="preserve">, M. U., </w:t>
      </w:r>
      <w:proofErr w:type="spellStart"/>
      <w:r w:rsidRPr="00F43789">
        <w:t>Ekwere</w:t>
      </w:r>
      <w:proofErr w:type="spellEnd"/>
      <w:r w:rsidRPr="00F43789">
        <w:t xml:space="preserve">, I. O., Martins, N. P., </w:t>
      </w:r>
      <w:proofErr w:type="spellStart"/>
      <w:r w:rsidRPr="00F43789">
        <w:t>Okpanachi</w:t>
      </w:r>
      <w:proofErr w:type="spellEnd"/>
      <w:r w:rsidRPr="00F43789">
        <w:t xml:space="preserve">, C. B., Adisa, O. J., &amp; Okonkwo, C. C. (2025). Geochemical speciation and ecological risk of heavy metals in estuarine sediments of the Qua </w:t>
      </w:r>
      <w:proofErr w:type="spellStart"/>
      <w:r w:rsidRPr="00F43789">
        <w:t>Iboe</w:t>
      </w:r>
      <w:proofErr w:type="spellEnd"/>
      <w:r w:rsidRPr="00F43789">
        <w:t xml:space="preserve"> River, Nigeria. </w:t>
      </w:r>
      <w:r w:rsidRPr="00F43789">
        <w:rPr>
          <w:rStyle w:val="Emphasis"/>
        </w:rPr>
        <w:t>Asian Journal of Chemical Sciences</w:t>
      </w:r>
      <w:r w:rsidRPr="00F43789">
        <w:t xml:space="preserve">, 15(6), 20–31. </w:t>
      </w:r>
      <w:hyperlink r:id="rId25" w:tgtFrame="_new" w:history="1">
        <w:r w:rsidRPr="00F43789">
          <w:rPr>
            <w:rStyle w:val="Hyperlink"/>
          </w:rPr>
          <w:t>https://doi.org/10.9734/ajocs/2025/v15i6402</w:t>
        </w:r>
      </w:hyperlink>
    </w:p>
    <w:p w14:paraId="19131D7A" w14:textId="77777777" w:rsidR="00F43789" w:rsidRPr="00F43789" w:rsidRDefault="00F43789" w:rsidP="00F43789">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43789">
        <w:rPr>
          <w:rFonts w:ascii="Times New Roman" w:eastAsia="Times New Roman" w:hAnsi="Times New Roman" w:cs="Times New Roman"/>
          <w:sz w:val="24"/>
          <w:szCs w:val="24"/>
          <w:lang w:eastAsia="en-GB"/>
        </w:rPr>
        <w:t>Okpoji</w:t>
      </w:r>
      <w:proofErr w:type="spellEnd"/>
      <w:r w:rsidRPr="00F43789">
        <w:rPr>
          <w:rFonts w:ascii="Times New Roman" w:eastAsia="Times New Roman" w:hAnsi="Times New Roman" w:cs="Times New Roman"/>
          <w:sz w:val="24"/>
          <w:szCs w:val="24"/>
          <w:lang w:eastAsia="en-GB"/>
        </w:rPr>
        <w:t xml:space="preserve">, A. U., Ndubuisi, J. O., Eboh-Ajoku, I. O., Emem, J. A., </w:t>
      </w:r>
      <w:proofErr w:type="spellStart"/>
      <w:r w:rsidRPr="00F43789">
        <w:rPr>
          <w:rFonts w:ascii="Times New Roman" w:eastAsia="Times New Roman" w:hAnsi="Times New Roman" w:cs="Times New Roman"/>
          <w:sz w:val="24"/>
          <w:szCs w:val="24"/>
          <w:lang w:eastAsia="en-GB"/>
        </w:rPr>
        <w:t>Ekwere</w:t>
      </w:r>
      <w:proofErr w:type="spellEnd"/>
      <w:r w:rsidRPr="00F43789">
        <w:rPr>
          <w:rFonts w:ascii="Times New Roman" w:eastAsia="Times New Roman" w:hAnsi="Times New Roman" w:cs="Times New Roman"/>
          <w:sz w:val="24"/>
          <w:szCs w:val="24"/>
          <w:lang w:eastAsia="en-GB"/>
        </w:rPr>
        <w:t xml:space="preserve">, I. O., </w:t>
      </w:r>
      <w:proofErr w:type="spellStart"/>
      <w:r w:rsidRPr="00F43789">
        <w:rPr>
          <w:rFonts w:ascii="Times New Roman" w:eastAsia="Times New Roman" w:hAnsi="Times New Roman" w:cs="Times New Roman"/>
          <w:sz w:val="24"/>
          <w:szCs w:val="24"/>
          <w:lang w:eastAsia="en-GB"/>
        </w:rPr>
        <w:t>Alaekwe</w:t>
      </w:r>
      <w:proofErr w:type="spellEnd"/>
      <w:r w:rsidRPr="00F43789">
        <w:rPr>
          <w:rFonts w:ascii="Times New Roman" w:eastAsia="Times New Roman" w:hAnsi="Times New Roman" w:cs="Times New Roman"/>
          <w:sz w:val="24"/>
          <w:szCs w:val="24"/>
          <w:lang w:eastAsia="en-GB"/>
        </w:rPr>
        <w:t xml:space="preserve">, I. O., </w:t>
      </w:r>
      <w:proofErr w:type="spellStart"/>
      <w:r w:rsidRPr="00F43789">
        <w:rPr>
          <w:rFonts w:ascii="Times New Roman" w:eastAsia="Times New Roman" w:hAnsi="Times New Roman" w:cs="Times New Roman"/>
          <w:sz w:val="24"/>
          <w:szCs w:val="24"/>
          <w:lang w:eastAsia="en-GB"/>
        </w:rPr>
        <w:t>Odibo</w:t>
      </w:r>
      <w:proofErr w:type="spellEnd"/>
      <w:r w:rsidRPr="00F43789">
        <w:rPr>
          <w:rFonts w:ascii="Times New Roman" w:eastAsia="Times New Roman" w:hAnsi="Times New Roman" w:cs="Times New Roman"/>
          <w:sz w:val="24"/>
          <w:szCs w:val="24"/>
          <w:lang w:eastAsia="en-GB"/>
        </w:rPr>
        <w:t xml:space="preserve">, U. E., </w:t>
      </w:r>
      <w:proofErr w:type="spellStart"/>
      <w:r w:rsidRPr="00F43789">
        <w:rPr>
          <w:rFonts w:ascii="Times New Roman" w:eastAsia="Times New Roman" w:hAnsi="Times New Roman" w:cs="Times New Roman"/>
          <w:sz w:val="24"/>
          <w:szCs w:val="24"/>
          <w:lang w:eastAsia="en-GB"/>
        </w:rPr>
        <w:t>Igwegbe</w:t>
      </w:r>
      <w:proofErr w:type="spellEnd"/>
      <w:r w:rsidRPr="00F43789">
        <w:rPr>
          <w:rFonts w:ascii="Times New Roman" w:eastAsia="Times New Roman" w:hAnsi="Times New Roman" w:cs="Times New Roman"/>
          <w:sz w:val="24"/>
          <w:szCs w:val="24"/>
          <w:lang w:eastAsia="en-GB"/>
        </w:rPr>
        <w:t xml:space="preserve">, K. C., Onoja, C. R., Warder, A. B., &amp; </w:t>
      </w:r>
      <w:proofErr w:type="spellStart"/>
      <w:r w:rsidRPr="00F43789">
        <w:rPr>
          <w:rFonts w:ascii="Times New Roman" w:eastAsia="Times New Roman" w:hAnsi="Times New Roman" w:cs="Times New Roman"/>
          <w:sz w:val="24"/>
          <w:szCs w:val="24"/>
          <w:lang w:eastAsia="en-GB"/>
        </w:rPr>
        <w:t>InyangAbia</w:t>
      </w:r>
      <w:proofErr w:type="spellEnd"/>
      <w:r w:rsidRPr="00F43789">
        <w:rPr>
          <w:rFonts w:ascii="Times New Roman" w:eastAsia="Times New Roman" w:hAnsi="Times New Roman" w:cs="Times New Roman"/>
          <w:sz w:val="24"/>
          <w:szCs w:val="24"/>
          <w:lang w:eastAsia="en-GB"/>
        </w:rPr>
        <w:t xml:space="preserve">, A. J. (2025). Trematode infections and histopathological effects in </w:t>
      </w:r>
      <w:proofErr w:type="spellStart"/>
      <w:r w:rsidRPr="00F43789">
        <w:rPr>
          <w:rFonts w:ascii="Times New Roman" w:eastAsia="Times New Roman" w:hAnsi="Times New Roman" w:cs="Times New Roman"/>
          <w:i/>
          <w:iCs/>
          <w:sz w:val="24"/>
          <w:szCs w:val="24"/>
          <w:lang w:eastAsia="en-GB"/>
        </w:rPr>
        <w:t>Chrysichthys</w:t>
      </w:r>
      <w:proofErr w:type="spellEnd"/>
      <w:r w:rsidRPr="00F43789">
        <w:rPr>
          <w:rFonts w:ascii="Times New Roman" w:eastAsia="Times New Roman" w:hAnsi="Times New Roman" w:cs="Times New Roman"/>
          <w:i/>
          <w:iCs/>
          <w:sz w:val="24"/>
          <w:szCs w:val="24"/>
          <w:lang w:eastAsia="en-GB"/>
        </w:rPr>
        <w:t xml:space="preserve"> </w:t>
      </w:r>
      <w:proofErr w:type="spellStart"/>
      <w:r w:rsidRPr="00F43789">
        <w:rPr>
          <w:rFonts w:ascii="Times New Roman" w:eastAsia="Times New Roman" w:hAnsi="Times New Roman" w:cs="Times New Roman"/>
          <w:i/>
          <w:iCs/>
          <w:sz w:val="24"/>
          <w:szCs w:val="24"/>
          <w:lang w:eastAsia="en-GB"/>
        </w:rPr>
        <w:t>nigrodigitatus</w:t>
      </w:r>
      <w:proofErr w:type="spellEnd"/>
      <w:r w:rsidRPr="00F43789">
        <w:rPr>
          <w:rFonts w:ascii="Times New Roman" w:eastAsia="Times New Roman" w:hAnsi="Times New Roman" w:cs="Times New Roman"/>
          <w:sz w:val="24"/>
          <w:szCs w:val="24"/>
          <w:lang w:eastAsia="en-GB"/>
        </w:rPr>
        <w:t xml:space="preserve"> from the polluted Andoni River, Niger Delta, Nigeria. </w:t>
      </w:r>
      <w:r w:rsidRPr="00F43789">
        <w:rPr>
          <w:rFonts w:ascii="Times New Roman" w:eastAsia="Times New Roman" w:hAnsi="Times New Roman" w:cs="Times New Roman"/>
          <w:i/>
          <w:iCs/>
          <w:sz w:val="24"/>
          <w:szCs w:val="24"/>
          <w:lang w:eastAsia="en-GB"/>
        </w:rPr>
        <w:t>Journal of Agriculture, Aquaculture, and Animal Science, 2</w:t>
      </w:r>
      <w:r w:rsidRPr="00F43789">
        <w:rPr>
          <w:rFonts w:ascii="Times New Roman" w:eastAsia="Times New Roman" w:hAnsi="Times New Roman" w:cs="Times New Roman"/>
          <w:sz w:val="24"/>
          <w:szCs w:val="24"/>
          <w:lang w:eastAsia="en-GB"/>
        </w:rPr>
        <w:t xml:space="preserve">(2), 66–72. </w:t>
      </w:r>
      <w:hyperlink r:id="rId26" w:tgtFrame="_new" w:history="1">
        <w:r w:rsidRPr="00F43789">
          <w:rPr>
            <w:rFonts w:ascii="Times New Roman" w:eastAsia="Times New Roman" w:hAnsi="Times New Roman" w:cs="Times New Roman"/>
            <w:color w:val="0000FF"/>
            <w:sz w:val="24"/>
            <w:szCs w:val="24"/>
            <w:u w:val="single"/>
            <w:lang w:eastAsia="en-GB"/>
          </w:rPr>
          <w:t>https://doi.org/10.69739/jaaas.v2i2.882</w:t>
        </w:r>
      </w:hyperlink>
    </w:p>
    <w:p w14:paraId="0D5E90F0" w14:textId="77777777" w:rsidR="00F43789" w:rsidRPr="00F43789" w:rsidRDefault="00F43789" w:rsidP="00F43789">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F43789">
        <w:rPr>
          <w:rFonts w:ascii="Times New Roman" w:eastAsia="Times New Roman" w:hAnsi="Times New Roman" w:cs="Times New Roman"/>
          <w:sz w:val="24"/>
          <w:szCs w:val="24"/>
          <w:lang w:eastAsia="en-GB"/>
        </w:rPr>
        <w:t>Okpoji</w:t>
      </w:r>
      <w:proofErr w:type="spellEnd"/>
      <w:r w:rsidRPr="00F43789">
        <w:rPr>
          <w:rFonts w:ascii="Times New Roman" w:eastAsia="Times New Roman" w:hAnsi="Times New Roman" w:cs="Times New Roman"/>
          <w:sz w:val="24"/>
          <w:szCs w:val="24"/>
          <w:lang w:eastAsia="en-GB"/>
        </w:rPr>
        <w:t xml:space="preserve">, A. U., </w:t>
      </w:r>
      <w:proofErr w:type="spellStart"/>
      <w:r w:rsidRPr="00F43789">
        <w:rPr>
          <w:rFonts w:ascii="Times New Roman" w:eastAsia="Times New Roman" w:hAnsi="Times New Roman" w:cs="Times New Roman"/>
          <w:sz w:val="24"/>
          <w:szCs w:val="24"/>
          <w:lang w:eastAsia="en-GB"/>
        </w:rPr>
        <w:t>Nwoka</w:t>
      </w:r>
      <w:proofErr w:type="spellEnd"/>
      <w:r w:rsidRPr="00F43789">
        <w:rPr>
          <w:rFonts w:ascii="Times New Roman" w:eastAsia="Times New Roman" w:hAnsi="Times New Roman" w:cs="Times New Roman"/>
          <w:sz w:val="24"/>
          <w:szCs w:val="24"/>
          <w:lang w:eastAsia="en-GB"/>
        </w:rPr>
        <w:t xml:space="preserve">, N. G., </w:t>
      </w:r>
      <w:proofErr w:type="spellStart"/>
      <w:r w:rsidRPr="00F43789">
        <w:rPr>
          <w:rFonts w:ascii="Times New Roman" w:eastAsia="Times New Roman" w:hAnsi="Times New Roman" w:cs="Times New Roman"/>
          <w:sz w:val="24"/>
          <w:szCs w:val="24"/>
          <w:lang w:eastAsia="en-GB"/>
        </w:rPr>
        <w:t>Odibo</w:t>
      </w:r>
      <w:proofErr w:type="spellEnd"/>
      <w:r w:rsidRPr="00F43789">
        <w:rPr>
          <w:rFonts w:ascii="Times New Roman" w:eastAsia="Times New Roman" w:hAnsi="Times New Roman" w:cs="Times New Roman"/>
          <w:sz w:val="24"/>
          <w:szCs w:val="24"/>
          <w:lang w:eastAsia="en-GB"/>
        </w:rPr>
        <w:t xml:space="preserve">, U. E., </w:t>
      </w:r>
      <w:proofErr w:type="spellStart"/>
      <w:r w:rsidRPr="00F43789">
        <w:rPr>
          <w:rFonts w:ascii="Times New Roman" w:eastAsia="Times New Roman" w:hAnsi="Times New Roman" w:cs="Times New Roman"/>
          <w:sz w:val="24"/>
          <w:szCs w:val="24"/>
          <w:lang w:eastAsia="en-GB"/>
        </w:rPr>
        <w:t>Alaekwe</w:t>
      </w:r>
      <w:proofErr w:type="spellEnd"/>
      <w:r w:rsidRPr="00F43789">
        <w:rPr>
          <w:rFonts w:ascii="Times New Roman" w:eastAsia="Times New Roman" w:hAnsi="Times New Roman" w:cs="Times New Roman"/>
          <w:sz w:val="24"/>
          <w:szCs w:val="24"/>
          <w:lang w:eastAsia="en-GB"/>
        </w:rPr>
        <w:t xml:space="preserve">, I. O., Okafor, C. A., </w:t>
      </w:r>
      <w:proofErr w:type="spellStart"/>
      <w:r w:rsidRPr="00F43789">
        <w:rPr>
          <w:rFonts w:ascii="Times New Roman" w:eastAsia="Times New Roman" w:hAnsi="Times New Roman" w:cs="Times New Roman"/>
          <w:sz w:val="24"/>
          <w:szCs w:val="24"/>
          <w:lang w:eastAsia="en-GB"/>
        </w:rPr>
        <w:t>Ogwu</w:t>
      </w:r>
      <w:proofErr w:type="spellEnd"/>
      <w:r w:rsidRPr="00F43789">
        <w:rPr>
          <w:rFonts w:ascii="Times New Roman" w:eastAsia="Times New Roman" w:hAnsi="Times New Roman" w:cs="Times New Roman"/>
          <w:sz w:val="24"/>
          <w:szCs w:val="24"/>
          <w:lang w:eastAsia="en-GB"/>
        </w:rPr>
        <w:t xml:space="preserve">, N. G., &amp; </w:t>
      </w:r>
      <w:proofErr w:type="spellStart"/>
      <w:r w:rsidRPr="00F43789">
        <w:rPr>
          <w:rFonts w:ascii="Times New Roman" w:eastAsia="Times New Roman" w:hAnsi="Times New Roman" w:cs="Times New Roman"/>
          <w:sz w:val="24"/>
          <w:szCs w:val="24"/>
          <w:lang w:eastAsia="en-GB"/>
        </w:rPr>
        <w:t>Akatakpo</w:t>
      </w:r>
      <w:proofErr w:type="spellEnd"/>
      <w:r w:rsidRPr="00F43789">
        <w:rPr>
          <w:rFonts w:ascii="Times New Roman" w:eastAsia="Times New Roman" w:hAnsi="Times New Roman" w:cs="Times New Roman"/>
          <w:sz w:val="24"/>
          <w:szCs w:val="24"/>
          <w:lang w:eastAsia="en-GB"/>
        </w:rPr>
        <w:t xml:space="preserve">, C. U. (2025). Seasonal variation in </w:t>
      </w:r>
      <w:proofErr w:type="spellStart"/>
      <w:r w:rsidRPr="00F43789">
        <w:rPr>
          <w:rFonts w:ascii="Times New Roman" w:eastAsia="Times New Roman" w:hAnsi="Times New Roman" w:cs="Times New Roman"/>
          <w:sz w:val="24"/>
          <w:szCs w:val="24"/>
          <w:lang w:eastAsia="en-GB"/>
        </w:rPr>
        <w:t>hydrochemical</w:t>
      </w:r>
      <w:proofErr w:type="spellEnd"/>
      <w:r w:rsidRPr="00F43789">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F43789">
        <w:rPr>
          <w:rFonts w:ascii="Times New Roman" w:eastAsia="Times New Roman" w:hAnsi="Times New Roman" w:cs="Times New Roman"/>
          <w:sz w:val="24"/>
          <w:szCs w:val="24"/>
          <w:lang w:eastAsia="en-GB"/>
        </w:rPr>
        <w:t>Andoni-Isiokwan</w:t>
      </w:r>
      <w:proofErr w:type="spellEnd"/>
      <w:r w:rsidRPr="00F43789">
        <w:rPr>
          <w:rFonts w:ascii="Times New Roman" w:eastAsia="Times New Roman" w:hAnsi="Times New Roman" w:cs="Times New Roman"/>
          <w:sz w:val="24"/>
          <w:szCs w:val="24"/>
          <w:lang w:eastAsia="en-GB"/>
        </w:rPr>
        <w:t xml:space="preserve"> District, Niger Delta, </w:t>
      </w:r>
      <w:r w:rsidRPr="00F43789">
        <w:rPr>
          <w:rFonts w:ascii="Times New Roman" w:eastAsia="Times New Roman" w:hAnsi="Times New Roman" w:cs="Times New Roman"/>
          <w:sz w:val="24"/>
          <w:szCs w:val="24"/>
          <w:lang w:eastAsia="en-GB"/>
        </w:rPr>
        <w:lastRenderedPageBreak/>
        <w:t xml:space="preserve">Nigeria. </w:t>
      </w:r>
      <w:r w:rsidRPr="00F43789">
        <w:rPr>
          <w:rFonts w:ascii="Times New Roman" w:eastAsia="Times New Roman" w:hAnsi="Times New Roman" w:cs="Times New Roman"/>
          <w:i/>
          <w:iCs/>
          <w:sz w:val="24"/>
          <w:szCs w:val="24"/>
          <w:lang w:eastAsia="en-GB"/>
        </w:rPr>
        <w:t>International Journal of Modern Science and Research Technology, 3</w:t>
      </w:r>
      <w:r w:rsidRPr="00F43789">
        <w:rPr>
          <w:rFonts w:ascii="Times New Roman" w:eastAsia="Times New Roman" w:hAnsi="Times New Roman" w:cs="Times New Roman"/>
          <w:sz w:val="24"/>
          <w:szCs w:val="24"/>
          <w:lang w:eastAsia="en-GB"/>
        </w:rPr>
        <w:t xml:space="preserve">(8), 44–51. </w:t>
      </w:r>
      <w:hyperlink r:id="rId27" w:tgtFrame="_new" w:history="1">
        <w:r w:rsidRPr="00F43789">
          <w:rPr>
            <w:rFonts w:ascii="Times New Roman" w:eastAsia="Times New Roman" w:hAnsi="Times New Roman" w:cs="Times New Roman"/>
            <w:color w:val="0000FF"/>
            <w:sz w:val="24"/>
            <w:szCs w:val="24"/>
            <w:u w:val="single"/>
            <w:lang w:eastAsia="en-GB"/>
          </w:rPr>
          <w:t>http://www.ijmsrt.com</w:t>
        </w:r>
      </w:hyperlink>
    </w:p>
    <w:p w14:paraId="7FEB02D4" w14:textId="77777777" w:rsidR="00F43789" w:rsidRPr="00F43789" w:rsidRDefault="00F43789" w:rsidP="00F43789">
      <w:pPr>
        <w:pStyle w:val="NormalWeb"/>
        <w:spacing w:line="276" w:lineRule="auto"/>
        <w:ind w:left="720" w:hanging="720"/>
        <w:jc w:val="both"/>
      </w:pPr>
      <w:proofErr w:type="spellStart"/>
      <w:r w:rsidRPr="00F43789">
        <w:t>Okpoji</w:t>
      </w:r>
      <w:proofErr w:type="spellEnd"/>
      <w:r w:rsidRPr="00F43789">
        <w:t xml:space="preserve">, A. U., </w:t>
      </w:r>
      <w:proofErr w:type="spellStart"/>
      <w:r w:rsidRPr="00F43789">
        <w:t>Ogbaji</w:t>
      </w:r>
      <w:proofErr w:type="spellEnd"/>
      <w:r w:rsidRPr="00F43789">
        <w:t xml:space="preserve">, H. O., Hassan, D. H., Orji-Azuka, L. N., Rasheed, H. O., Ohaturuonye, S. O., Ejeka, J. C., </w:t>
      </w:r>
      <w:proofErr w:type="spellStart"/>
      <w:r w:rsidRPr="00F43789">
        <w:t>Okpanachi</w:t>
      </w:r>
      <w:proofErr w:type="spellEnd"/>
      <w:r w:rsidRPr="00F43789">
        <w:t xml:space="preserve">, C. B., &amp; </w:t>
      </w:r>
      <w:proofErr w:type="spellStart"/>
      <w:r w:rsidRPr="00F43789">
        <w:t>Ekwere</w:t>
      </w:r>
      <w:proofErr w:type="spellEnd"/>
      <w:r w:rsidRPr="00F43789">
        <w:t xml:space="preserve">, I. O. (2025). Physico-chemical transport of volatile organic compounds (VOCs) from gas flaring into surface waters of </w:t>
      </w:r>
      <w:proofErr w:type="spellStart"/>
      <w:r w:rsidRPr="00F43789">
        <w:t>Ogoniland</w:t>
      </w:r>
      <w:proofErr w:type="spellEnd"/>
      <w:r w:rsidRPr="00F43789">
        <w:t xml:space="preserve">, Rivers State, Nigeria. </w:t>
      </w:r>
      <w:r w:rsidRPr="00F43789">
        <w:rPr>
          <w:rStyle w:val="Emphasis"/>
        </w:rPr>
        <w:t>Asian Journal of Physical and Chemical Sciences, 13</w:t>
      </w:r>
      <w:r w:rsidRPr="00F43789">
        <w:t xml:space="preserve">(4), 151–159. </w:t>
      </w:r>
      <w:hyperlink r:id="rId28" w:tgtFrame="_new" w:history="1">
        <w:r w:rsidRPr="00F43789">
          <w:rPr>
            <w:rStyle w:val="Hyperlink"/>
          </w:rPr>
          <w:t>https://doi.org/10.9734/ajopacs/2025/v13i4271</w:t>
        </w:r>
      </w:hyperlink>
    </w:p>
    <w:p w14:paraId="75D86F55" w14:textId="77777777" w:rsidR="00F43789" w:rsidRPr="00F43789" w:rsidRDefault="00F43789" w:rsidP="00F43789">
      <w:pPr>
        <w:pStyle w:val="NormalWeb"/>
        <w:ind w:left="720" w:hanging="720"/>
        <w:jc w:val="both"/>
      </w:pPr>
      <w:proofErr w:type="spellStart"/>
      <w:r w:rsidRPr="00F43789">
        <w:t>Okpoji</w:t>
      </w:r>
      <w:proofErr w:type="spellEnd"/>
      <w:r w:rsidRPr="00F43789">
        <w:t xml:space="preserve">, A. U., Orji-Azuka, L. N., </w:t>
      </w:r>
      <w:proofErr w:type="spellStart"/>
      <w:r w:rsidRPr="00F43789">
        <w:t>Igwegbe</w:t>
      </w:r>
      <w:proofErr w:type="spellEnd"/>
      <w:r w:rsidRPr="00F43789">
        <w:t xml:space="preserve">, K. C., </w:t>
      </w:r>
      <w:proofErr w:type="spellStart"/>
      <w:r w:rsidRPr="00F43789">
        <w:t>Ekwere</w:t>
      </w:r>
      <w:proofErr w:type="spellEnd"/>
      <w:r w:rsidRPr="00F43789">
        <w:t xml:space="preserve">, I. O., </w:t>
      </w:r>
      <w:proofErr w:type="spellStart"/>
      <w:r w:rsidRPr="00F43789">
        <w:t>Ewuola</w:t>
      </w:r>
      <w:proofErr w:type="spellEnd"/>
      <w:r w:rsidRPr="00F43789">
        <w:t xml:space="preserve">, A. A., Garuba, M. H., &amp; Etukudo, E. W. (2025). Water quality and ecotoxicological impacts of surfactants and heavy metals in urban rivers of Benin City, Niger Delta, Nigeria. </w:t>
      </w:r>
      <w:r w:rsidRPr="00F43789">
        <w:rPr>
          <w:rStyle w:val="Emphasis"/>
        </w:rPr>
        <w:t>Asian Journal of Geological Research, 8</w:t>
      </w:r>
      <w:r w:rsidRPr="00F43789">
        <w:t xml:space="preserve">(3), 697–707. </w:t>
      </w:r>
      <w:hyperlink r:id="rId29" w:tgtFrame="_new" w:history="1">
        <w:r w:rsidRPr="00F43789">
          <w:rPr>
            <w:rStyle w:val="Hyperlink"/>
          </w:rPr>
          <w:t>https://doi.org/10.9734/ajoger/2025/v8i3223</w:t>
        </w:r>
      </w:hyperlink>
    </w:p>
    <w:p w14:paraId="0B33F483" w14:textId="77777777" w:rsidR="00F43789" w:rsidRPr="00F43789" w:rsidRDefault="00F43789" w:rsidP="00F43789">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F43789">
        <w:rPr>
          <w:rFonts w:ascii="Times New Roman" w:hAnsi="Times New Roman" w:cs="Times New Roman"/>
          <w:sz w:val="24"/>
          <w:szCs w:val="24"/>
        </w:rPr>
        <w:t xml:space="preserve">Onoja, C. R., Ogbaji, H. O., Edodi, I. O., </w:t>
      </w:r>
      <w:proofErr w:type="spellStart"/>
      <w:r w:rsidRPr="00F43789">
        <w:rPr>
          <w:rFonts w:ascii="Times New Roman" w:hAnsi="Times New Roman" w:cs="Times New Roman"/>
          <w:sz w:val="24"/>
          <w:szCs w:val="24"/>
        </w:rPr>
        <w:t>Mmuta</w:t>
      </w:r>
      <w:proofErr w:type="spellEnd"/>
      <w:r w:rsidRPr="00F43789">
        <w:rPr>
          <w:rFonts w:ascii="Times New Roman" w:hAnsi="Times New Roman" w:cs="Times New Roman"/>
          <w:sz w:val="24"/>
          <w:szCs w:val="24"/>
        </w:rPr>
        <w:t xml:space="preserve">, E. C., </w:t>
      </w:r>
      <w:proofErr w:type="spellStart"/>
      <w:r w:rsidRPr="00F43789">
        <w:rPr>
          <w:rFonts w:ascii="Times New Roman" w:hAnsi="Times New Roman" w:cs="Times New Roman"/>
          <w:sz w:val="24"/>
          <w:szCs w:val="24"/>
        </w:rPr>
        <w:t>Igwegbe</w:t>
      </w:r>
      <w:proofErr w:type="spellEnd"/>
      <w:r w:rsidRPr="00F43789">
        <w:rPr>
          <w:rFonts w:ascii="Times New Roman" w:hAnsi="Times New Roman" w:cs="Times New Roman"/>
          <w:sz w:val="24"/>
          <w:szCs w:val="24"/>
        </w:rPr>
        <w:t xml:space="preserve">, K. C., Ogini, O. R., </w:t>
      </w:r>
      <w:proofErr w:type="spellStart"/>
      <w:r w:rsidRPr="00F43789">
        <w:rPr>
          <w:rFonts w:ascii="Times New Roman" w:hAnsi="Times New Roman" w:cs="Times New Roman"/>
          <w:sz w:val="24"/>
          <w:szCs w:val="24"/>
        </w:rPr>
        <w:t>Odibo</w:t>
      </w:r>
      <w:proofErr w:type="spellEnd"/>
      <w:r w:rsidRPr="00F43789">
        <w:rPr>
          <w:rFonts w:ascii="Times New Roman" w:hAnsi="Times New Roman" w:cs="Times New Roman"/>
          <w:sz w:val="24"/>
          <w:szCs w:val="24"/>
        </w:rPr>
        <w:t xml:space="preserve">, U. E., </w:t>
      </w:r>
      <w:proofErr w:type="spellStart"/>
      <w:r w:rsidRPr="00F43789">
        <w:rPr>
          <w:rFonts w:ascii="Times New Roman" w:hAnsi="Times New Roman" w:cs="Times New Roman"/>
          <w:sz w:val="24"/>
          <w:szCs w:val="24"/>
        </w:rPr>
        <w:t>Ewuola</w:t>
      </w:r>
      <w:proofErr w:type="spellEnd"/>
      <w:r w:rsidRPr="00F43789">
        <w:rPr>
          <w:rFonts w:ascii="Times New Roman" w:hAnsi="Times New Roman" w:cs="Times New Roman"/>
          <w:sz w:val="24"/>
          <w:szCs w:val="24"/>
        </w:rPr>
        <w:t xml:space="preserve">, A. A., Mahmoud, A. B., &amp; </w:t>
      </w:r>
      <w:proofErr w:type="spellStart"/>
      <w:r w:rsidRPr="00F43789">
        <w:rPr>
          <w:rFonts w:ascii="Times New Roman" w:hAnsi="Times New Roman" w:cs="Times New Roman"/>
          <w:sz w:val="24"/>
          <w:szCs w:val="24"/>
        </w:rPr>
        <w:t>Okpoji</w:t>
      </w:r>
      <w:proofErr w:type="spellEnd"/>
      <w:r w:rsidRPr="00F43789">
        <w:rPr>
          <w:rFonts w:ascii="Times New Roman" w:hAnsi="Times New Roman" w:cs="Times New Roman"/>
          <w:sz w:val="24"/>
          <w:szCs w:val="24"/>
        </w:rPr>
        <w:t xml:space="preserve">, A. U. (2025). </w:t>
      </w:r>
      <w:r w:rsidRPr="00F43789">
        <w:rPr>
          <w:rStyle w:val="Emphasis"/>
          <w:rFonts w:ascii="Times New Roman" w:hAnsi="Times New Roman" w:cs="Times New Roman"/>
          <w:sz w:val="24"/>
          <w:szCs w:val="24"/>
        </w:rPr>
        <w:t>Heavy Metal Contamination and Health Risk Assessment of Smoked-Dried Fish Sold in Eke-</w:t>
      </w:r>
      <w:proofErr w:type="spellStart"/>
      <w:r w:rsidRPr="00F43789">
        <w:rPr>
          <w:rStyle w:val="Emphasis"/>
          <w:rFonts w:ascii="Times New Roman" w:hAnsi="Times New Roman" w:cs="Times New Roman"/>
          <w:sz w:val="24"/>
          <w:szCs w:val="24"/>
        </w:rPr>
        <w:t>Awka</w:t>
      </w:r>
      <w:proofErr w:type="spellEnd"/>
      <w:r w:rsidRPr="00F43789">
        <w:rPr>
          <w:rStyle w:val="Emphasis"/>
          <w:rFonts w:ascii="Times New Roman" w:hAnsi="Times New Roman" w:cs="Times New Roman"/>
          <w:sz w:val="24"/>
          <w:szCs w:val="24"/>
        </w:rPr>
        <w:t xml:space="preserve"> Market, Anambra State, Nigeria.</w:t>
      </w:r>
      <w:r w:rsidRPr="00F43789">
        <w:rPr>
          <w:rFonts w:ascii="Times New Roman" w:hAnsi="Times New Roman" w:cs="Times New Roman"/>
          <w:sz w:val="24"/>
          <w:szCs w:val="24"/>
        </w:rPr>
        <w:t xml:space="preserve"> </w:t>
      </w:r>
      <w:r w:rsidRPr="00F43789">
        <w:rPr>
          <w:rFonts w:ascii="Times New Roman" w:hAnsi="Times New Roman" w:cs="Times New Roman"/>
          <w:i/>
          <w:iCs/>
          <w:sz w:val="24"/>
          <w:szCs w:val="24"/>
        </w:rPr>
        <w:t>Journal of Sustainable Research and Development</w:t>
      </w:r>
      <w:r w:rsidRPr="00F43789">
        <w:rPr>
          <w:rFonts w:ascii="Times New Roman" w:hAnsi="Times New Roman" w:cs="Times New Roman"/>
          <w:sz w:val="24"/>
          <w:szCs w:val="24"/>
        </w:rPr>
        <w:t xml:space="preserve">, 1(2), 18-25. </w:t>
      </w:r>
      <w:hyperlink r:id="rId30" w:tgtFrame="_new" w:history="1">
        <w:r w:rsidRPr="00F43789">
          <w:rPr>
            <w:rStyle w:val="Hyperlink"/>
            <w:rFonts w:ascii="Times New Roman" w:hAnsi="Times New Roman" w:cs="Times New Roman"/>
            <w:sz w:val="24"/>
            <w:szCs w:val="24"/>
          </w:rPr>
          <w:t>https://doi.org/10.69739/jsrd.v1i2.1044</w:t>
        </w:r>
      </w:hyperlink>
    </w:p>
    <w:p w14:paraId="6337F6F7" w14:textId="77777777" w:rsidR="00F43789" w:rsidRPr="00F43789" w:rsidRDefault="00F43789" w:rsidP="00F43789">
      <w:pPr>
        <w:pStyle w:val="NormalWeb"/>
        <w:spacing w:line="276" w:lineRule="auto"/>
        <w:ind w:left="720" w:hanging="720"/>
        <w:jc w:val="both"/>
        <w:rPr>
          <w:rStyle w:val="Hyperlink"/>
        </w:rPr>
      </w:pPr>
      <w:bookmarkStart w:id="2" w:name="_Hlk216410880"/>
      <w:proofErr w:type="spellStart"/>
      <w:r w:rsidRPr="00F43789">
        <w:t>Osuafor</w:t>
      </w:r>
      <w:proofErr w:type="spellEnd"/>
      <w:r w:rsidRPr="00F43789">
        <w:t xml:space="preserve">, </w:t>
      </w:r>
      <w:bookmarkEnd w:id="2"/>
      <w:r w:rsidRPr="00F43789">
        <w:t xml:space="preserve">O. O., Okeke, C. F., Agu, M. O., </w:t>
      </w:r>
      <w:proofErr w:type="spellStart"/>
      <w:r w:rsidRPr="00F43789">
        <w:t>Isueken</w:t>
      </w:r>
      <w:proofErr w:type="spellEnd"/>
      <w:r w:rsidRPr="00F43789">
        <w:t xml:space="preserve">, C. O., </w:t>
      </w:r>
      <w:proofErr w:type="spellStart"/>
      <w:r w:rsidRPr="00F43789">
        <w:t>Aligwo</w:t>
      </w:r>
      <w:proofErr w:type="spellEnd"/>
      <w:r w:rsidRPr="00F43789">
        <w:t xml:space="preserve">, M. C., Ohaturuonye, S. O., </w:t>
      </w:r>
      <w:proofErr w:type="spellStart"/>
      <w:r w:rsidRPr="00F43789">
        <w:t>Okpoji</w:t>
      </w:r>
      <w:proofErr w:type="spellEnd"/>
      <w:r w:rsidRPr="00F43789">
        <w:t xml:space="preserve">, A. U., </w:t>
      </w:r>
      <w:proofErr w:type="spellStart"/>
      <w:r w:rsidRPr="00F43789">
        <w:t>Etesin</w:t>
      </w:r>
      <w:proofErr w:type="spellEnd"/>
      <w:r w:rsidRPr="00F43789">
        <w:t xml:space="preserve">, M. U., &amp; </w:t>
      </w:r>
      <w:proofErr w:type="spellStart"/>
      <w:r w:rsidRPr="00F43789">
        <w:t>Ekwere</w:t>
      </w:r>
      <w:proofErr w:type="spellEnd"/>
      <w:r w:rsidRPr="00F43789">
        <w:t xml:space="preserve">, I. O. (2025). </w:t>
      </w:r>
      <w:r w:rsidRPr="00F43789">
        <w:rPr>
          <w:rStyle w:val="Emphasis"/>
        </w:rPr>
        <w:t xml:space="preserve">Hydrogeochemical characterisation and water quality assessment of streams impacted by agricultural runoff in </w:t>
      </w:r>
      <w:proofErr w:type="spellStart"/>
      <w:r w:rsidRPr="00F43789">
        <w:rPr>
          <w:rStyle w:val="Emphasis"/>
        </w:rPr>
        <w:t>Uyo</w:t>
      </w:r>
      <w:proofErr w:type="spellEnd"/>
      <w:r w:rsidRPr="00F43789">
        <w:rPr>
          <w:rStyle w:val="Emphasis"/>
        </w:rPr>
        <w:t xml:space="preserve">, </w:t>
      </w:r>
      <w:proofErr w:type="spellStart"/>
      <w:r w:rsidRPr="00F43789">
        <w:rPr>
          <w:rStyle w:val="Emphasis"/>
        </w:rPr>
        <w:t>Akwa</w:t>
      </w:r>
      <w:proofErr w:type="spellEnd"/>
      <w:r w:rsidRPr="00F43789">
        <w:rPr>
          <w:rStyle w:val="Emphasis"/>
        </w:rPr>
        <w:t xml:space="preserve"> Ibom State, Nigeria</w:t>
      </w:r>
      <w:r w:rsidRPr="00F43789">
        <w:t xml:space="preserve">. </w:t>
      </w:r>
      <w:r w:rsidRPr="00F43789">
        <w:rPr>
          <w:rStyle w:val="Strong"/>
          <w:b w:val="0"/>
          <w:bCs w:val="0"/>
          <w:i/>
          <w:iCs/>
        </w:rPr>
        <w:t>Asian Journal of Agricultural and Horticultural Research,</w:t>
      </w:r>
      <w:r w:rsidRPr="00F43789">
        <w:rPr>
          <w:rStyle w:val="Strong"/>
          <w:b w:val="0"/>
          <w:bCs w:val="0"/>
        </w:rPr>
        <w:t xml:space="preserve"> 12</w:t>
      </w:r>
      <w:r w:rsidRPr="00F43789">
        <w:t xml:space="preserve">(4), 182–192. </w:t>
      </w:r>
      <w:hyperlink r:id="rId31" w:tgtFrame="_new" w:history="1">
        <w:r w:rsidRPr="00F43789">
          <w:rPr>
            <w:rStyle w:val="Hyperlink"/>
          </w:rPr>
          <w:t>https://doi.org/10.9734/ajahr/2025/v12i4427</w:t>
        </w:r>
      </w:hyperlink>
    </w:p>
    <w:p w14:paraId="750A5677" w14:textId="77777777" w:rsidR="00F43789" w:rsidRPr="00F43789" w:rsidRDefault="00F43789" w:rsidP="00F43789">
      <w:pPr>
        <w:pStyle w:val="NormalWeb"/>
        <w:spacing w:line="276" w:lineRule="auto"/>
        <w:ind w:left="720" w:hanging="720"/>
        <w:jc w:val="both"/>
      </w:pPr>
      <w:proofErr w:type="spellStart"/>
      <w:r w:rsidRPr="00F43789">
        <w:t>Umueni</w:t>
      </w:r>
      <w:proofErr w:type="spellEnd"/>
      <w:r w:rsidRPr="00F43789">
        <w:t xml:space="preserve">, U. E., Etukudo, N. J., Okoye, P. I., </w:t>
      </w:r>
      <w:proofErr w:type="spellStart"/>
      <w:r w:rsidRPr="00F43789">
        <w:t>Okpoji</w:t>
      </w:r>
      <w:proofErr w:type="spellEnd"/>
      <w:r w:rsidRPr="00F43789">
        <w:t xml:space="preserve">, A. U., Eze, V. C., </w:t>
      </w:r>
      <w:proofErr w:type="spellStart"/>
      <w:r w:rsidRPr="00F43789">
        <w:t>Aningo</w:t>
      </w:r>
      <w:proofErr w:type="spellEnd"/>
      <w:r w:rsidRPr="00F43789">
        <w:t xml:space="preserve">, G. N., </w:t>
      </w:r>
      <w:proofErr w:type="spellStart"/>
      <w:r w:rsidRPr="00F43789">
        <w:t>Ekwere</w:t>
      </w:r>
      <w:proofErr w:type="spellEnd"/>
      <w:r w:rsidRPr="00F43789">
        <w:t xml:space="preserve">, I. O., &amp; Garuba, M. H. (2025). Geochemical and ecological risk assessment of petroleum hydrocarbons in sediments of </w:t>
      </w:r>
      <w:proofErr w:type="spellStart"/>
      <w:r w:rsidRPr="00F43789">
        <w:t>Forcados</w:t>
      </w:r>
      <w:proofErr w:type="spellEnd"/>
      <w:r w:rsidRPr="00F43789">
        <w:t xml:space="preserve"> River, Delta State. </w:t>
      </w:r>
      <w:r w:rsidRPr="00F43789">
        <w:rPr>
          <w:rStyle w:val="Emphasis"/>
        </w:rPr>
        <w:t>Asian Journal of Geographical Research</w:t>
      </w:r>
      <w:r w:rsidRPr="00F43789">
        <w:t xml:space="preserve">, 8(4), 287–298. </w:t>
      </w:r>
      <w:hyperlink r:id="rId32" w:tgtFrame="_new" w:history="1">
        <w:r w:rsidRPr="00F43789">
          <w:rPr>
            <w:rStyle w:val="Hyperlink"/>
          </w:rPr>
          <w:t>https://doi.org/10.9734/ajgr/2025/v8i4337</w:t>
        </w:r>
      </w:hyperlink>
    </w:p>
    <w:p w14:paraId="28A41349" w14:textId="77777777" w:rsidR="00F43789" w:rsidRPr="00F43789" w:rsidRDefault="00F43789" w:rsidP="00F43789">
      <w:pPr>
        <w:pStyle w:val="NormalWeb"/>
        <w:spacing w:line="276" w:lineRule="auto"/>
        <w:ind w:left="720" w:hanging="720"/>
        <w:jc w:val="both"/>
      </w:pPr>
      <w:proofErr w:type="spellStart"/>
      <w:r w:rsidRPr="00F43789">
        <w:t>Umueni</w:t>
      </w:r>
      <w:proofErr w:type="spellEnd"/>
      <w:r w:rsidRPr="00F43789">
        <w:t xml:space="preserve">, U. E., Rasheed, H. O., Edodi, I. O., </w:t>
      </w:r>
      <w:proofErr w:type="spellStart"/>
      <w:r w:rsidRPr="00F43789">
        <w:t>Aningo</w:t>
      </w:r>
      <w:proofErr w:type="spellEnd"/>
      <w:r w:rsidRPr="00F43789">
        <w:t xml:space="preserve">, G. N., </w:t>
      </w:r>
      <w:proofErr w:type="spellStart"/>
      <w:r w:rsidRPr="00F43789">
        <w:t>Okpoji</w:t>
      </w:r>
      <w:proofErr w:type="spellEnd"/>
      <w:r w:rsidRPr="00F43789">
        <w:t xml:space="preserve">, A. U., </w:t>
      </w:r>
      <w:proofErr w:type="spellStart"/>
      <w:r w:rsidRPr="00F43789">
        <w:t>Etesin</w:t>
      </w:r>
      <w:proofErr w:type="spellEnd"/>
      <w:r w:rsidRPr="00F43789">
        <w:t xml:space="preserve">, M. U., Okonkwo, C. C., </w:t>
      </w:r>
      <w:proofErr w:type="spellStart"/>
      <w:r w:rsidRPr="00F43789">
        <w:t>Ekwere</w:t>
      </w:r>
      <w:proofErr w:type="spellEnd"/>
      <w:r w:rsidRPr="00F43789">
        <w:t xml:space="preserve">, I. O., Okeke, C. F., &amp; Anarah, S. E. (2025). Nutrient enrichment and eutrophication potential of agricultural runoff in </w:t>
      </w:r>
      <w:proofErr w:type="spellStart"/>
      <w:r w:rsidRPr="00F43789">
        <w:t>Otuoke</w:t>
      </w:r>
      <w:proofErr w:type="spellEnd"/>
      <w:r w:rsidRPr="00F43789">
        <w:t xml:space="preserve">, Bayelsa State, Nigeria. </w:t>
      </w:r>
      <w:r w:rsidRPr="00F43789">
        <w:rPr>
          <w:rStyle w:val="Emphasis"/>
        </w:rPr>
        <w:t>Asian Journal of Agricultural and Horticultural Research, 12</w:t>
      </w:r>
      <w:r w:rsidRPr="00F43789">
        <w:t xml:space="preserve">(4), 154–163. </w:t>
      </w:r>
      <w:hyperlink r:id="rId33" w:tgtFrame="_new" w:history="1">
        <w:r w:rsidRPr="00F43789">
          <w:rPr>
            <w:rStyle w:val="Hyperlink"/>
          </w:rPr>
          <w:t>https://doi.org/10.9734/ajahr/2025/v12i4424</w:t>
        </w:r>
      </w:hyperlink>
    </w:p>
    <w:p w14:paraId="60917200" w14:textId="34A2AF0B" w:rsidR="0086331F" w:rsidRPr="00F43789" w:rsidRDefault="0086331F" w:rsidP="00F43789">
      <w:pPr>
        <w:jc w:val="both"/>
        <w:rPr>
          <w:rFonts w:ascii="Times New Roman" w:hAnsi="Times New Roman" w:cs="Times New Roman"/>
          <w:sz w:val="24"/>
          <w:szCs w:val="24"/>
          <w:lang w:val="en-US"/>
        </w:rPr>
      </w:pPr>
    </w:p>
    <w:sectPr w:rsidR="0086331F" w:rsidRPr="00F43789">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CA326" w14:textId="77777777" w:rsidR="005C340A" w:rsidRDefault="005C340A" w:rsidP="00F810E5">
      <w:pPr>
        <w:spacing w:after="0" w:line="240" w:lineRule="auto"/>
      </w:pPr>
      <w:r>
        <w:separator/>
      </w:r>
    </w:p>
  </w:endnote>
  <w:endnote w:type="continuationSeparator" w:id="0">
    <w:p w14:paraId="6B53DF46" w14:textId="77777777" w:rsidR="005C340A" w:rsidRDefault="005C340A" w:rsidP="00F81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CAF11" w14:textId="77777777" w:rsidR="00F810E5" w:rsidRDefault="00F81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712EF" w14:textId="77777777" w:rsidR="00F810E5" w:rsidRDefault="00F81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C163E" w14:textId="77777777" w:rsidR="00F810E5" w:rsidRDefault="00F81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0111F" w14:textId="77777777" w:rsidR="005C340A" w:rsidRDefault="005C340A" w:rsidP="00F810E5">
      <w:pPr>
        <w:spacing w:after="0" w:line="240" w:lineRule="auto"/>
      </w:pPr>
      <w:r>
        <w:separator/>
      </w:r>
    </w:p>
  </w:footnote>
  <w:footnote w:type="continuationSeparator" w:id="0">
    <w:p w14:paraId="237BC94F" w14:textId="77777777" w:rsidR="005C340A" w:rsidRDefault="005C340A" w:rsidP="00F81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FFE8B" w14:textId="786F43F8" w:rsidR="00F810E5" w:rsidRDefault="00F810E5">
    <w:pPr>
      <w:pStyle w:val="Header"/>
    </w:pPr>
    <w:r>
      <w:rPr>
        <w:noProof/>
      </w:rPr>
      <w:pict w14:anchorId="45AC2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9858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858DC" w14:textId="7938F91A" w:rsidR="00F810E5" w:rsidRDefault="00F810E5">
    <w:pPr>
      <w:pStyle w:val="Header"/>
    </w:pPr>
    <w:r>
      <w:rPr>
        <w:noProof/>
      </w:rPr>
      <w:pict w14:anchorId="32C63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9858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52D5B" w14:textId="2C4068CC" w:rsidR="00F810E5" w:rsidRDefault="00F810E5">
    <w:pPr>
      <w:pStyle w:val="Header"/>
    </w:pPr>
    <w:r>
      <w:rPr>
        <w:noProof/>
      </w:rPr>
      <w:pict w14:anchorId="4B197F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9858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60EE1"/>
    <w:multiLevelType w:val="hybridMultilevel"/>
    <w:tmpl w:val="F8A43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F2F7E"/>
    <w:multiLevelType w:val="hybridMultilevel"/>
    <w:tmpl w:val="4C70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28"/>
    <w:rsid w:val="00491049"/>
    <w:rsid w:val="005C340A"/>
    <w:rsid w:val="00670704"/>
    <w:rsid w:val="0073525B"/>
    <w:rsid w:val="007D68E2"/>
    <w:rsid w:val="0086331F"/>
    <w:rsid w:val="00AC2AD1"/>
    <w:rsid w:val="00C17007"/>
    <w:rsid w:val="00C67F28"/>
    <w:rsid w:val="00CE7C7D"/>
    <w:rsid w:val="00D25271"/>
    <w:rsid w:val="00E54C31"/>
    <w:rsid w:val="00F43789"/>
    <w:rsid w:val="00F810E5"/>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688F16"/>
  <w15:chartTrackingRefBased/>
  <w15:docId w15:val="{8779C9CF-0D42-44C9-A29F-EE52CBDC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67F2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67F2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7F2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67F2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67F28"/>
    <w:rPr>
      <w:b/>
      <w:bCs/>
    </w:rPr>
  </w:style>
  <w:style w:type="paragraph" w:styleId="NormalWeb">
    <w:name w:val="Normal (Web)"/>
    <w:basedOn w:val="Normal"/>
    <w:uiPriority w:val="99"/>
    <w:unhideWhenUsed/>
    <w:rsid w:val="00C67F2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C67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331F"/>
    <w:rPr>
      <w:color w:val="808080"/>
    </w:rPr>
  </w:style>
  <w:style w:type="character" w:customStyle="1" w:styleId="mord">
    <w:name w:val="mord"/>
    <w:basedOn w:val="DefaultParagraphFont"/>
    <w:rsid w:val="0086331F"/>
  </w:style>
  <w:style w:type="character" w:customStyle="1" w:styleId="vlist-s">
    <w:name w:val="vlist-s"/>
    <w:basedOn w:val="DefaultParagraphFont"/>
    <w:rsid w:val="0086331F"/>
  </w:style>
  <w:style w:type="character" w:customStyle="1" w:styleId="mrel">
    <w:name w:val="mrel"/>
    <w:basedOn w:val="DefaultParagraphFont"/>
    <w:rsid w:val="0086331F"/>
  </w:style>
  <w:style w:type="character" w:customStyle="1" w:styleId="mopen">
    <w:name w:val="mopen"/>
    <w:basedOn w:val="DefaultParagraphFont"/>
    <w:rsid w:val="0086331F"/>
  </w:style>
  <w:style w:type="character" w:customStyle="1" w:styleId="mbin">
    <w:name w:val="mbin"/>
    <w:basedOn w:val="DefaultParagraphFont"/>
    <w:rsid w:val="0086331F"/>
  </w:style>
  <w:style w:type="character" w:customStyle="1" w:styleId="minner">
    <w:name w:val="minner"/>
    <w:basedOn w:val="DefaultParagraphFont"/>
    <w:rsid w:val="0086331F"/>
  </w:style>
  <w:style w:type="character" w:customStyle="1" w:styleId="mclose">
    <w:name w:val="mclose"/>
    <w:basedOn w:val="DefaultParagraphFont"/>
    <w:rsid w:val="0086331F"/>
  </w:style>
  <w:style w:type="paragraph" w:styleId="ListParagraph">
    <w:name w:val="List Paragraph"/>
    <w:basedOn w:val="Normal"/>
    <w:uiPriority w:val="34"/>
    <w:qFormat/>
    <w:rsid w:val="00D25271"/>
    <w:pPr>
      <w:ind w:left="720"/>
      <w:contextualSpacing/>
    </w:pPr>
  </w:style>
  <w:style w:type="character" w:customStyle="1" w:styleId="katex-mathml">
    <w:name w:val="katex-mathml"/>
    <w:basedOn w:val="DefaultParagraphFont"/>
    <w:rsid w:val="00E54C31"/>
  </w:style>
  <w:style w:type="character" w:customStyle="1" w:styleId="mop">
    <w:name w:val="mop"/>
    <w:basedOn w:val="DefaultParagraphFont"/>
    <w:rsid w:val="00E54C31"/>
  </w:style>
  <w:style w:type="character" w:styleId="Emphasis">
    <w:name w:val="Emphasis"/>
    <w:basedOn w:val="DefaultParagraphFont"/>
    <w:uiPriority w:val="20"/>
    <w:qFormat/>
    <w:rsid w:val="00F43789"/>
    <w:rPr>
      <w:i/>
      <w:iCs/>
    </w:rPr>
  </w:style>
  <w:style w:type="character" w:styleId="Hyperlink">
    <w:name w:val="Hyperlink"/>
    <w:basedOn w:val="DefaultParagraphFont"/>
    <w:uiPriority w:val="99"/>
    <w:unhideWhenUsed/>
    <w:rsid w:val="00F43789"/>
    <w:rPr>
      <w:color w:val="0563C1" w:themeColor="hyperlink"/>
      <w:u w:val="single"/>
    </w:rPr>
  </w:style>
  <w:style w:type="character" w:styleId="UnresolvedMention">
    <w:name w:val="Unresolved Mention"/>
    <w:basedOn w:val="DefaultParagraphFont"/>
    <w:uiPriority w:val="99"/>
    <w:semiHidden/>
    <w:unhideWhenUsed/>
    <w:rsid w:val="00670704"/>
    <w:rPr>
      <w:color w:val="605E5C"/>
      <w:shd w:val="clear" w:color="auto" w:fill="E1DFDD"/>
    </w:rPr>
  </w:style>
  <w:style w:type="paragraph" w:styleId="Header">
    <w:name w:val="header"/>
    <w:basedOn w:val="Normal"/>
    <w:link w:val="HeaderChar"/>
    <w:uiPriority w:val="99"/>
    <w:unhideWhenUsed/>
    <w:rsid w:val="00F81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0E5"/>
  </w:style>
  <w:style w:type="paragraph" w:styleId="Footer">
    <w:name w:val="footer"/>
    <w:basedOn w:val="Normal"/>
    <w:link w:val="FooterChar"/>
    <w:uiPriority w:val="99"/>
    <w:unhideWhenUsed/>
    <w:rsid w:val="00F81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49888">
      <w:bodyDiv w:val="1"/>
      <w:marLeft w:val="0"/>
      <w:marRight w:val="0"/>
      <w:marTop w:val="0"/>
      <w:marBottom w:val="0"/>
      <w:divBdr>
        <w:top w:val="none" w:sz="0" w:space="0" w:color="auto"/>
        <w:left w:val="none" w:sz="0" w:space="0" w:color="auto"/>
        <w:bottom w:val="none" w:sz="0" w:space="0" w:color="auto"/>
        <w:right w:val="none" w:sz="0" w:space="0" w:color="auto"/>
      </w:divBdr>
    </w:div>
    <w:div w:id="273635088">
      <w:bodyDiv w:val="1"/>
      <w:marLeft w:val="0"/>
      <w:marRight w:val="0"/>
      <w:marTop w:val="0"/>
      <w:marBottom w:val="0"/>
      <w:divBdr>
        <w:top w:val="none" w:sz="0" w:space="0" w:color="auto"/>
        <w:left w:val="none" w:sz="0" w:space="0" w:color="auto"/>
        <w:bottom w:val="none" w:sz="0" w:space="0" w:color="auto"/>
        <w:right w:val="none" w:sz="0" w:space="0" w:color="auto"/>
      </w:divBdr>
    </w:div>
    <w:div w:id="414016736">
      <w:bodyDiv w:val="1"/>
      <w:marLeft w:val="0"/>
      <w:marRight w:val="0"/>
      <w:marTop w:val="0"/>
      <w:marBottom w:val="0"/>
      <w:divBdr>
        <w:top w:val="none" w:sz="0" w:space="0" w:color="auto"/>
        <w:left w:val="none" w:sz="0" w:space="0" w:color="auto"/>
        <w:bottom w:val="none" w:sz="0" w:space="0" w:color="auto"/>
        <w:right w:val="none" w:sz="0" w:space="0" w:color="auto"/>
      </w:divBdr>
    </w:div>
    <w:div w:id="626011181">
      <w:bodyDiv w:val="1"/>
      <w:marLeft w:val="0"/>
      <w:marRight w:val="0"/>
      <w:marTop w:val="0"/>
      <w:marBottom w:val="0"/>
      <w:divBdr>
        <w:top w:val="none" w:sz="0" w:space="0" w:color="auto"/>
        <w:left w:val="none" w:sz="0" w:space="0" w:color="auto"/>
        <w:bottom w:val="none" w:sz="0" w:space="0" w:color="auto"/>
        <w:right w:val="none" w:sz="0" w:space="0" w:color="auto"/>
      </w:divBdr>
    </w:div>
    <w:div w:id="908809159">
      <w:bodyDiv w:val="1"/>
      <w:marLeft w:val="0"/>
      <w:marRight w:val="0"/>
      <w:marTop w:val="0"/>
      <w:marBottom w:val="0"/>
      <w:divBdr>
        <w:top w:val="none" w:sz="0" w:space="0" w:color="auto"/>
        <w:left w:val="none" w:sz="0" w:space="0" w:color="auto"/>
        <w:bottom w:val="none" w:sz="0" w:space="0" w:color="auto"/>
        <w:right w:val="none" w:sz="0" w:space="0" w:color="auto"/>
      </w:divBdr>
    </w:div>
    <w:div w:id="1102722489">
      <w:bodyDiv w:val="1"/>
      <w:marLeft w:val="0"/>
      <w:marRight w:val="0"/>
      <w:marTop w:val="0"/>
      <w:marBottom w:val="0"/>
      <w:divBdr>
        <w:top w:val="none" w:sz="0" w:space="0" w:color="auto"/>
        <w:left w:val="none" w:sz="0" w:space="0" w:color="auto"/>
        <w:bottom w:val="none" w:sz="0" w:space="0" w:color="auto"/>
        <w:right w:val="none" w:sz="0" w:space="0" w:color="auto"/>
      </w:divBdr>
    </w:div>
    <w:div w:id="1261837693">
      <w:bodyDiv w:val="1"/>
      <w:marLeft w:val="0"/>
      <w:marRight w:val="0"/>
      <w:marTop w:val="0"/>
      <w:marBottom w:val="0"/>
      <w:divBdr>
        <w:top w:val="none" w:sz="0" w:space="0" w:color="auto"/>
        <w:left w:val="none" w:sz="0" w:space="0" w:color="auto"/>
        <w:bottom w:val="none" w:sz="0" w:space="0" w:color="auto"/>
        <w:right w:val="none" w:sz="0" w:space="0" w:color="auto"/>
      </w:divBdr>
    </w:div>
    <w:div w:id="1325164946">
      <w:bodyDiv w:val="1"/>
      <w:marLeft w:val="0"/>
      <w:marRight w:val="0"/>
      <w:marTop w:val="0"/>
      <w:marBottom w:val="0"/>
      <w:divBdr>
        <w:top w:val="none" w:sz="0" w:space="0" w:color="auto"/>
        <w:left w:val="none" w:sz="0" w:space="0" w:color="auto"/>
        <w:bottom w:val="none" w:sz="0" w:space="0" w:color="auto"/>
        <w:right w:val="none" w:sz="0" w:space="0" w:color="auto"/>
      </w:divBdr>
    </w:div>
    <w:div w:id="1495953245">
      <w:bodyDiv w:val="1"/>
      <w:marLeft w:val="0"/>
      <w:marRight w:val="0"/>
      <w:marTop w:val="0"/>
      <w:marBottom w:val="0"/>
      <w:divBdr>
        <w:top w:val="none" w:sz="0" w:space="0" w:color="auto"/>
        <w:left w:val="none" w:sz="0" w:space="0" w:color="auto"/>
        <w:bottom w:val="none" w:sz="0" w:space="0" w:color="auto"/>
        <w:right w:val="none" w:sz="0" w:space="0" w:color="auto"/>
      </w:divBdr>
    </w:div>
    <w:div w:id="1565722935">
      <w:bodyDiv w:val="1"/>
      <w:marLeft w:val="0"/>
      <w:marRight w:val="0"/>
      <w:marTop w:val="0"/>
      <w:marBottom w:val="0"/>
      <w:divBdr>
        <w:top w:val="none" w:sz="0" w:space="0" w:color="auto"/>
        <w:left w:val="none" w:sz="0" w:space="0" w:color="auto"/>
        <w:bottom w:val="none" w:sz="0" w:space="0" w:color="auto"/>
        <w:right w:val="none" w:sz="0" w:space="0" w:color="auto"/>
      </w:divBdr>
      <w:divsChild>
        <w:div w:id="1548637899">
          <w:marLeft w:val="0"/>
          <w:marRight w:val="0"/>
          <w:marTop w:val="0"/>
          <w:marBottom w:val="0"/>
          <w:divBdr>
            <w:top w:val="none" w:sz="0" w:space="0" w:color="auto"/>
            <w:left w:val="none" w:sz="0" w:space="0" w:color="auto"/>
            <w:bottom w:val="none" w:sz="0" w:space="0" w:color="auto"/>
            <w:right w:val="none" w:sz="0" w:space="0" w:color="auto"/>
          </w:divBdr>
          <w:divsChild>
            <w:div w:id="3773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0452">
      <w:bodyDiv w:val="1"/>
      <w:marLeft w:val="0"/>
      <w:marRight w:val="0"/>
      <w:marTop w:val="0"/>
      <w:marBottom w:val="0"/>
      <w:divBdr>
        <w:top w:val="none" w:sz="0" w:space="0" w:color="auto"/>
        <w:left w:val="none" w:sz="0" w:space="0" w:color="auto"/>
        <w:bottom w:val="none" w:sz="0" w:space="0" w:color="auto"/>
        <w:right w:val="none" w:sz="0" w:space="0" w:color="auto"/>
      </w:divBdr>
    </w:div>
    <w:div w:id="20668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jmsbc.v2i2.1258" TargetMode="External"/><Relationship Id="rId18" Type="http://schemas.openxmlformats.org/officeDocument/2006/relationships/hyperlink" Target="https://doi.org/10.56557/japsi/2025/v17i210026" TargetMode="External"/><Relationship Id="rId26" Type="http://schemas.openxmlformats.org/officeDocument/2006/relationships/hyperlink" Target="https://doi.org/10.69739/jaaas.v2i2.882" TargetMode="External"/><Relationship Id="rId39" Type="http://schemas.openxmlformats.org/officeDocument/2006/relationships/footer" Target="footer3.xml"/><Relationship Id="rId21" Type="http://schemas.openxmlformats.org/officeDocument/2006/relationships/hyperlink" Target="https://doi.org/10.5281/zenodo.16921896" TargetMode="External"/><Relationship Id="rId34" Type="http://schemas.openxmlformats.org/officeDocument/2006/relationships/header" Target="header1.xml"/><Relationship Id="rId7" Type="http://schemas.openxmlformats.org/officeDocument/2006/relationships/hyperlink" Target="https://doi.org/10.9734/ajee/2025/v24i11822" TargetMode="External"/><Relationship Id="rId2" Type="http://schemas.openxmlformats.org/officeDocument/2006/relationships/styles" Target="styles.xml"/><Relationship Id="rId16" Type="http://schemas.openxmlformats.org/officeDocument/2006/relationships/hyperlink" Target="https://doi.org/10.9734/ajriz/2025/v8i4233" TargetMode="External"/><Relationship Id="rId20" Type="http://schemas.openxmlformats.org/officeDocument/2006/relationships/hyperlink" Target="https://doi.org/10.5281/zenodo.16904018" TargetMode="External"/><Relationship Id="rId29" Type="http://schemas.openxmlformats.org/officeDocument/2006/relationships/hyperlink" Target="https://doi.org/10.9734/ajoger/2025/v8i322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9739/jece.v2i2.952" TargetMode="External"/><Relationship Id="rId24" Type="http://schemas.openxmlformats.org/officeDocument/2006/relationships/hyperlink" Target="https://doi.org/10.69739/jece.v2i2.844" TargetMode="External"/><Relationship Id="rId32" Type="http://schemas.openxmlformats.org/officeDocument/2006/relationships/hyperlink" Target="https://doi.org/10.9734/ajgr/2025/v8i433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ajgr/2025/v8i4341" TargetMode="External"/><Relationship Id="rId23" Type="http://schemas.openxmlformats.org/officeDocument/2006/relationships/hyperlink" Target="https://doi.org/10.69739/jece.v2i2.961" TargetMode="External"/><Relationship Id="rId28" Type="http://schemas.openxmlformats.org/officeDocument/2006/relationships/hyperlink" Target="https://doi.org/10.9734/ajopacs/2025/v13i4271" TargetMode="External"/><Relationship Id="rId36" Type="http://schemas.openxmlformats.org/officeDocument/2006/relationships/footer" Target="footer1.xml"/><Relationship Id="rId10" Type="http://schemas.openxmlformats.org/officeDocument/2006/relationships/hyperlink" Target="https://doi.org/10.5281/zenodo.17148360" TargetMode="External"/><Relationship Id="rId19" Type="http://schemas.openxmlformats.org/officeDocument/2006/relationships/hyperlink" Target="https://doi.org/10.69739/jlsph.v1i1.879" TargetMode="External"/><Relationship Id="rId31" Type="http://schemas.openxmlformats.org/officeDocument/2006/relationships/hyperlink" Target="https://doi.org/10.9734/ajahr/2025/v12i4427" TargetMode="External"/><Relationship Id="rId4" Type="http://schemas.openxmlformats.org/officeDocument/2006/relationships/webSettings" Target="webSettings.xml"/><Relationship Id="rId9" Type="http://schemas.openxmlformats.org/officeDocument/2006/relationships/hyperlink" Target="https://doi.org/10.9734/ajocs/2025/v15i6406" TargetMode="External"/><Relationship Id="rId14" Type="http://schemas.openxmlformats.org/officeDocument/2006/relationships/hyperlink" Target="https://doi.org/10.69739/jmsbc.v2i2.1045" TargetMode="External"/><Relationship Id="rId22" Type="http://schemas.openxmlformats.org/officeDocument/2006/relationships/hyperlink" Target="https://doi.org/10.69739/jlsph.v1i1.962" TargetMode="External"/><Relationship Id="rId27" Type="http://schemas.openxmlformats.org/officeDocument/2006/relationships/hyperlink" Target="http://www.ijmsrt.com" TargetMode="External"/><Relationship Id="rId30" Type="http://schemas.openxmlformats.org/officeDocument/2006/relationships/hyperlink" Target="https://doi.org/10.69739/jsrd.v1i2.1044" TargetMode="External"/><Relationship Id="rId35" Type="http://schemas.openxmlformats.org/officeDocument/2006/relationships/header" Target="header2.xml"/><Relationship Id="rId8" Type="http://schemas.openxmlformats.org/officeDocument/2006/relationships/hyperlink" Target="https://doi.org/10.9734/AJEE/2023/v21i4469" TargetMode="External"/><Relationship Id="rId3" Type="http://schemas.openxmlformats.org/officeDocument/2006/relationships/settings" Target="settings.xml"/><Relationship Id="rId12" Type="http://schemas.openxmlformats.org/officeDocument/2006/relationships/hyperlink" Target="https://doi.org/10.69739/jsrd.v1i2.1033" TargetMode="External"/><Relationship Id="rId17" Type="http://schemas.openxmlformats.org/officeDocument/2006/relationships/hyperlink" Target="https://doi.org/10.69739/jece.v2i2.1078" TargetMode="External"/><Relationship Id="rId25" Type="http://schemas.openxmlformats.org/officeDocument/2006/relationships/hyperlink" Target="https://doi.org/10.9734/ajocs/2025/v15i6402" TargetMode="External"/><Relationship Id="rId33" Type="http://schemas.openxmlformats.org/officeDocument/2006/relationships/hyperlink" Target="https://doi.org/10.9734/ajahr/2025/v12i4424"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15</Pages>
  <Words>6397</Words>
  <Characters>36468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1084</cp:lastModifiedBy>
  <cp:revision>4</cp:revision>
  <dcterms:created xsi:type="dcterms:W3CDTF">2025-12-29T16:25:00Z</dcterms:created>
  <dcterms:modified xsi:type="dcterms:W3CDTF">2025-12-30T11:02:00Z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aa2affe7-aa5e-4cb3-a2bf-02a66813d617</vt:lpwstr>
  </property>
</Properties>
</file>