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83DDD" w14:textId="77777777" w:rsidR="00373C50" w:rsidRDefault="00373C50" w:rsidP="00E97BCA">
      <w:pPr>
        <w:pStyle w:val="Author"/>
        <w:spacing w:line="312" w:lineRule="auto"/>
        <w:rPr>
          <w:rFonts w:ascii="Arial" w:hAnsi="Arial" w:cs="Arial"/>
          <w:bCs/>
          <w:iCs/>
          <w:kern w:val="28"/>
          <w:sz w:val="36"/>
        </w:rPr>
      </w:pPr>
      <w:r w:rsidRPr="00373C50">
        <w:rPr>
          <w:rFonts w:ascii="Arial" w:hAnsi="Arial" w:cs="Arial"/>
          <w:bCs/>
          <w:iCs/>
          <w:kern w:val="28"/>
          <w:sz w:val="36"/>
        </w:rPr>
        <w:t>Original Research Article</w:t>
      </w:r>
    </w:p>
    <w:p w14:paraId="6CA5E955" w14:textId="77777777" w:rsidR="00373C50" w:rsidRDefault="00373C50" w:rsidP="00E97BCA">
      <w:pPr>
        <w:pStyle w:val="Author"/>
        <w:spacing w:line="312" w:lineRule="auto"/>
        <w:rPr>
          <w:rFonts w:ascii="Arial" w:hAnsi="Arial" w:cs="Arial"/>
          <w:bCs/>
          <w:iCs/>
          <w:kern w:val="28"/>
          <w:sz w:val="36"/>
        </w:rPr>
      </w:pPr>
    </w:p>
    <w:p w14:paraId="259709D3" w14:textId="249469A7" w:rsidR="00CA4C63" w:rsidRDefault="00CA4C63" w:rsidP="00E97BCA">
      <w:pPr>
        <w:pStyle w:val="Author"/>
        <w:spacing w:line="312" w:lineRule="auto"/>
        <w:rPr>
          <w:rFonts w:ascii="Arial" w:hAnsi="Arial" w:cs="Arial"/>
          <w:bCs/>
          <w:iCs/>
          <w:kern w:val="28"/>
          <w:sz w:val="36"/>
        </w:rPr>
      </w:pPr>
      <w:r w:rsidRPr="00CA4C63">
        <w:rPr>
          <w:rFonts w:ascii="Arial" w:hAnsi="Arial" w:cs="Arial"/>
          <w:bCs/>
          <w:iCs/>
          <w:kern w:val="28"/>
          <w:sz w:val="36"/>
        </w:rPr>
        <w:t xml:space="preserve">Vegetative Compatibility Groups within Populations of </w:t>
      </w:r>
      <w:r w:rsidRPr="00CA4C63">
        <w:rPr>
          <w:rFonts w:ascii="Arial" w:hAnsi="Arial" w:cs="Arial"/>
          <w:bCs/>
          <w:i/>
          <w:iCs/>
          <w:kern w:val="28"/>
          <w:sz w:val="36"/>
        </w:rPr>
        <w:t xml:space="preserve">Fusarium </w:t>
      </w:r>
      <w:proofErr w:type="spellStart"/>
      <w:r w:rsidRPr="00CA4C63">
        <w:rPr>
          <w:rFonts w:ascii="Arial" w:hAnsi="Arial" w:cs="Arial"/>
          <w:bCs/>
          <w:i/>
          <w:iCs/>
          <w:kern w:val="28"/>
          <w:sz w:val="36"/>
        </w:rPr>
        <w:t>oxysporum</w:t>
      </w:r>
      <w:proofErr w:type="spellEnd"/>
      <w:r w:rsidRPr="00CA4C63">
        <w:rPr>
          <w:rFonts w:ascii="Arial" w:hAnsi="Arial" w:cs="Arial"/>
          <w:bCs/>
          <w:iCs/>
          <w:kern w:val="28"/>
          <w:sz w:val="36"/>
        </w:rPr>
        <w:t xml:space="preserve"> f. sp. </w:t>
      </w:r>
      <w:proofErr w:type="spellStart"/>
      <w:r w:rsidRPr="00CA4C63">
        <w:rPr>
          <w:rFonts w:ascii="Arial" w:hAnsi="Arial" w:cs="Arial"/>
          <w:bCs/>
          <w:i/>
          <w:iCs/>
          <w:kern w:val="28"/>
          <w:sz w:val="36"/>
        </w:rPr>
        <w:t>cubense</w:t>
      </w:r>
      <w:proofErr w:type="spellEnd"/>
      <w:r w:rsidR="00E544A3">
        <w:rPr>
          <w:rFonts w:ascii="Arial" w:hAnsi="Arial" w:cs="Arial"/>
          <w:bCs/>
          <w:iCs/>
          <w:kern w:val="28"/>
          <w:sz w:val="36"/>
        </w:rPr>
        <w:t xml:space="preserve"> </w:t>
      </w:r>
      <w:r w:rsidR="00E544A3" w:rsidRPr="00E544A3">
        <w:rPr>
          <w:rFonts w:ascii="Arial" w:hAnsi="Arial" w:cs="Arial"/>
          <w:bCs/>
          <w:iCs/>
          <w:kern w:val="28"/>
          <w:sz w:val="36"/>
        </w:rPr>
        <w:t>Causing</w:t>
      </w:r>
      <w:r w:rsidRPr="00CA4C63">
        <w:rPr>
          <w:rFonts w:ascii="Arial" w:hAnsi="Arial" w:cs="Arial"/>
          <w:bCs/>
          <w:iCs/>
          <w:kern w:val="28"/>
          <w:sz w:val="36"/>
        </w:rPr>
        <w:t xml:space="preserve"> Banana Fusarium Wilt</w:t>
      </w:r>
      <w:r>
        <w:rPr>
          <w:rFonts w:ascii="Arial" w:hAnsi="Arial" w:cs="Arial"/>
          <w:bCs/>
          <w:iCs/>
          <w:kern w:val="28"/>
          <w:sz w:val="36"/>
        </w:rPr>
        <w:t xml:space="preserve"> </w:t>
      </w:r>
    </w:p>
    <w:p w14:paraId="184F89D3" w14:textId="77777777" w:rsidR="00C5378B" w:rsidRDefault="00C5378B" w:rsidP="00903ACB">
      <w:pPr>
        <w:jc w:val="right"/>
        <w:rPr>
          <w:rFonts w:ascii="Times New Roman" w:hAnsi="Times New Roman"/>
          <w:i/>
          <w:sz w:val="24"/>
          <w:szCs w:val="24"/>
        </w:rPr>
      </w:pPr>
    </w:p>
    <w:p w14:paraId="5C70E571" w14:textId="77777777" w:rsidR="00F67DE8" w:rsidRPr="00FB3A86" w:rsidRDefault="00F67DE8" w:rsidP="00E97BCA">
      <w:pPr>
        <w:jc w:val="right"/>
        <w:rPr>
          <w:rFonts w:ascii="Arial" w:hAnsi="Arial" w:cs="Arial"/>
        </w:rPr>
      </w:pPr>
    </w:p>
    <w:p w14:paraId="6C6DBA35" w14:textId="77777777" w:rsidR="00B01FCD" w:rsidRPr="00FB3A86" w:rsidRDefault="00DF0874" w:rsidP="00E97BCA">
      <w:pPr>
        <w:pStyle w:val="Copyright"/>
        <w:spacing w:after="0" w:line="312" w:lineRule="auto"/>
        <w:jc w:val="both"/>
        <w:rPr>
          <w:rFonts w:ascii="Arial" w:hAnsi="Arial" w:cs="Arial"/>
        </w:rPr>
        <w:sectPr w:rsidR="00B01FCD" w:rsidRPr="00FB3A86" w:rsidSect="009C610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51440A0" wp14:editId="250024E6">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E082C8A"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88D6975" w14:textId="77777777" w:rsidR="00790ADA" w:rsidRPr="00FB3A86" w:rsidRDefault="00B01FCD" w:rsidP="00E97BCA">
      <w:pPr>
        <w:pStyle w:val="AbstHead"/>
        <w:spacing w:after="0" w:line="312" w:lineRule="auto"/>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C6581" w14:paraId="2AD79CAE" w14:textId="77777777" w:rsidTr="001E44FE">
        <w:tc>
          <w:tcPr>
            <w:tcW w:w="9576" w:type="dxa"/>
            <w:shd w:val="clear" w:color="auto" w:fill="F2F2F2"/>
          </w:tcPr>
          <w:p w14:paraId="74137E0D" w14:textId="77777777" w:rsidR="00505F06" w:rsidRPr="00FC6581" w:rsidRDefault="001C0F71" w:rsidP="00E97BCA">
            <w:pPr>
              <w:spacing w:line="312" w:lineRule="auto"/>
              <w:jc w:val="both"/>
              <w:rPr>
                <w:rFonts w:ascii="Arial" w:eastAsia="Calibri" w:hAnsi="Arial" w:cs="Arial"/>
                <w:sz w:val="22"/>
                <w:szCs w:val="22"/>
              </w:rPr>
            </w:pPr>
            <w:r w:rsidRPr="001C0F71">
              <w:rPr>
                <w:rFonts w:ascii="Arial" w:hAnsi="Arial" w:cs="Arial"/>
                <w:sz w:val="22"/>
                <w:szCs w:val="22"/>
              </w:rPr>
              <w:t xml:space="preserve">Vegetative compatibility groups (VCGs) are used to study genetic relationships among asexually reproducing plant pathogenic fungi. VCGs are strongly associated with specific </w:t>
            </w:r>
            <w:r w:rsidRPr="001C0F71">
              <w:rPr>
                <w:rFonts w:ascii="Arial" w:hAnsi="Arial" w:cs="Arial"/>
                <w:i/>
                <w:sz w:val="22"/>
                <w:szCs w:val="22"/>
              </w:rPr>
              <w:t xml:space="preserve">Fusarium </w:t>
            </w:r>
            <w:proofErr w:type="spellStart"/>
            <w:r w:rsidRPr="001C0F71">
              <w:rPr>
                <w:rFonts w:ascii="Arial" w:hAnsi="Arial" w:cs="Arial"/>
                <w:i/>
                <w:sz w:val="22"/>
                <w:szCs w:val="22"/>
              </w:rPr>
              <w:t>oxysporum</w:t>
            </w:r>
            <w:proofErr w:type="spellEnd"/>
            <w:r w:rsidRPr="001C0F71">
              <w:rPr>
                <w:rFonts w:ascii="Arial" w:hAnsi="Arial" w:cs="Arial"/>
                <w:sz w:val="22"/>
                <w:szCs w:val="22"/>
              </w:rPr>
              <w:t xml:space="preserve"> f. sp. </w:t>
            </w:r>
            <w:proofErr w:type="spellStart"/>
            <w:r w:rsidRPr="001C0F71">
              <w:rPr>
                <w:rFonts w:ascii="Arial" w:hAnsi="Arial" w:cs="Arial"/>
                <w:i/>
                <w:sz w:val="22"/>
                <w:szCs w:val="22"/>
              </w:rPr>
              <w:t>cubense</w:t>
            </w:r>
            <w:proofErr w:type="spellEnd"/>
            <w:r w:rsidRPr="001C0F71">
              <w:rPr>
                <w:rFonts w:ascii="Arial" w:hAnsi="Arial" w:cs="Arial"/>
                <w:i/>
                <w:sz w:val="22"/>
                <w:szCs w:val="22"/>
              </w:rPr>
              <w:t xml:space="preserve"> </w:t>
            </w:r>
            <w:r w:rsidRPr="001C0F71">
              <w:rPr>
                <w:rFonts w:ascii="Arial" w:hAnsi="Arial" w:cs="Arial"/>
                <w:sz w:val="22"/>
                <w:szCs w:val="22"/>
              </w:rPr>
              <w:t>(</w:t>
            </w:r>
            <w:proofErr w:type="spellStart"/>
            <w:r w:rsidRPr="001C0F71">
              <w:rPr>
                <w:rFonts w:ascii="Arial" w:hAnsi="Arial" w:cs="Arial"/>
                <w:i/>
                <w:sz w:val="22"/>
                <w:szCs w:val="22"/>
              </w:rPr>
              <w:t>Foc</w:t>
            </w:r>
            <w:proofErr w:type="spellEnd"/>
            <w:r w:rsidRPr="001C0F71">
              <w:rPr>
                <w:rFonts w:ascii="Arial" w:hAnsi="Arial" w:cs="Arial"/>
                <w:sz w:val="22"/>
                <w:szCs w:val="22"/>
              </w:rPr>
              <w:t xml:space="preserve">) races and often correlate with pathogenicity. In this study, 20 </w:t>
            </w:r>
            <w:proofErr w:type="spellStart"/>
            <w:r w:rsidRPr="001C0F71">
              <w:rPr>
                <w:rFonts w:ascii="Arial" w:hAnsi="Arial" w:cs="Arial"/>
                <w:i/>
                <w:sz w:val="22"/>
                <w:szCs w:val="22"/>
              </w:rPr>
              <w:t>Foc</w:t>
            </w:r>
            <w:proofErr w:type="spellEnd"/>
            <w:r w:rsidRPr="001C0F71">
              <w:rPr>
                <w:rFonts w:ascii="Arial" w:hAnsi="Arial" w:cs="Arial"/>
                <w:sz w:val="22"/>
                <w:szCs w:val="22"/>
              </w:rPr>
              <w:t xml:space="preserve"> isolates, the causal agent of banana Fusarium wilt, were analyzed using VCG analysis to identify strains and assess their diversity.</w:t>
            </w:r>
            <w:r w:rsidR="00FC6581" w:rsidRPr="00FC6581">
              <w:rPr>
                <w:rFonts w:ascii="Arial" w:hAnsi="Arial" w:cs="Arial"/>
                <w:sz w:val="22"/>
                <w:szCs w:val="22"/>
              </w:rPr>
              <w:t xml:space="preserve"> The experiment was conducted from August 2024 to February 2025 at the Laboratory of the Department of Plant Pathology, </w:t>
            </w:r>
            <w:proofErr w:type="spellStart"/>
            <w:r w:rsidR="00FC6581" w:rsidRPr="00FC6581">
              <w:rPr>
                <w:rFonts w:ascii="Arial" w:hAnsi="Arial" w:cs="Arial"/>
                <w:sz w:val="22"/>
                <w:szCs w:val="22"/>
              </w:rPr>
              <w:t>Yezin</w:t>
            </w:r>
            <w:proofErr w:type="spellEnd"/>
            <w:r w:rsidR="00FC6581" w:rsidRPr="00FC6581">
              <w:rPr>
                <w:rFonts w:ascii="Arial" w:hAnsi="Arial" w:cs="Arial"/>
                <w:sz w:val="22"/>
                <w:szCs w:val="22"/>
              </w:rPr>
              <w:t xml:space="preserve"> Agricultural University, Myanmar. The 20 isolates tested were previously confirmed as virulent and identified as </w:t>
            </w:r>
            <w:proofErr w:type="spellStart"/>
            <w:r w:rsidR="00FC6581" w:rsidRPr="00FC6581">
              <w:rPr>
                <w:rFonts w:ascii="Arial" w:hAnsi="Arial" w:cs="Arial"/>
                <w:i/>
                <w:sz w:val="22"/>
                <w:szCs w:val="22"/>
              </w:rPr>
              <w:t>Foc</w:t>
            </w:r>
            <w:proofErr w:type="spellEnd"/>
            <w:r w:rsidR="00FC6581" w:rsidRPr="00FC6581">
              <w:rPr>
                <w:rFonts w:ascii="Arial" w:hAnsi="Arial" w:cs="Arial"/>
                <w:sz w:val="22"/>
                <w:szCs w:val="22"/>
              </w:rPr>
              <w:t xml:space="preserve"> race 1 through pathogenicity and PCR assays carried out in the same Laboratory. </w:t>
            </w:r>
            <w:r w:rsidR="00FC6581" w:rsidRPr="00FC6581">
              <w:rPr>
                <w:rFonts w:ascii="Arial" w:hAnsi="Arial" w:cs="Arial"/>
                <w:i/>
                <w:sz w:val="22"/>
                <w:szCs w:val="22"/>
              </w:rPr>
              <w:t>Nit-</w:t>
            </w:r>
            <w:r w:rsidR="00FC6581" w:rsidRPr="00FC6581">
              <w:rPr>
                <w:rFonts w:ascii="Arial" w:hAnsi="Arial" w:cs="Arial"/>
                <w:sz w:val="22"/>
                <w:szCs w:val="22"/>
              </w:rPr>
              <w:t>mutants of each isolate were firstly induced on KPS media (potato dextrose agar medium amended with 1.5% potassium chlorate, KClO</w:t>
            </w:r>
            <w:r w:rsidR="00FC6581" w:rsidRPr="00FC6581">
              <w:rPr>
                <w:rFonts w:ascii="Arial" w:hAnsi="Arial" w:cs="Arial"/>
                <w:sz w:val="22"/>
                <w:szCs w:val="22"/>
                <w:vertAlign w:val="subscript"/>
              </w:rPr>
              <w:t>3</w:t>
            </w:r>
            <w:r w:rsidR="00FC6581" w:rsidRPr="00FC6581">
              <w:rPr>
                <w:rFonts w:ascii="Arial" w:hAnsi="Arial" w:cs="Arial"/>
                <w:sz w:val="22"/>
                <w:szCs w:val="22"/>
              </w:rPr>
              <w:t xml:space="preserve">) and generated on minimal media (MM). VCGs assay was performed on MM media by pairing the generated </w:t>
            </w:r>
            <w:r w:rsidR="00FC6581" w:rsidRPr="00FC6581">
              <w:rPr>
                <w:rFonts w:ascii="Arial" w:hAnsi="Arial" w:cs="Arial"/>
                <w:i/>
                <w:sz w:val="22"/>
                <w:szCs w:val="22"/>
              </w:rPr>
              <w:t>nit-</w:t>
            </w:r>
            <w:r w:rsidR="00FC6581" w:rsidRPr="00FC6581">
              <w:rPr>
                <w:rFonts w:ascii="Arial" w:hAnsi="Arial" w:cs="Arial"/>
                <w:sz w:val="22"/>
                <w:szCs w:val="22"/>
              </w:rPr>
              <w:t xml:space="preserve">mutants of each </w:t>
            </w:r>
            <w:proofErr w:type="spellStart"/>
            <w:r w:rsidR="00FC6581" w:rsidRPr="00FC6581">
              <w:rPr>
                <w:rFonts w:ascii="Arial" w:hAnsi="Arial" w:cs="Arial"/>
                <w:i/>
                <w:sz w:val="22"/>
                <w:szCs w:val="22"/>
              </w:rPr>
              <w:t>Foc</w:t>
            </w:r>
            <w:proofErr w:type="spellEnd"/>
            <w:r w:rsidR="00FC6581" w:rsidRPr="00FC6581">
              <w:rPr>
                <w:rFonts w:ascii="Arial" w:hAnsi="Arial" w:cs="Arial"/>
                <w:sz w:val="22"/>
                <w:szCs w:val="22"/>
              </w:rPr>
              <w:t xml:space="preserve"> isolate with </w:t>
            </w:r>
            <w:r w:rsidR="00FC6581" w:rsidRPr="00FC6581">
              <w:rPr>
                <w:rFonts w:ascii="Arial" w:hAnsi="Arial" w:cs="Arial"/>
                <w:i/>
                <w:sz w:val="22"/>
                <w:szCs w:val="22"/>
              </w:rPr>
              <w:t>nit-</w:t>
            </w:r>
            <w:r w:rsidR="00FC6581" w:rsidRPr="00FC6581">
              <w:rPr>
                <w:rFonts w:ascii="Arial" w:hAnsi="Arial" w:cs="Arial"/>
                <w:sz w:val="22"/>
                <w:szCs w:val="22"/>
              </w:rPr>
              <w:t xml:space="preserve">M mutants of 15 known </w:t>
            </w:r>
            <w:proofErr w:type="spellStart"/>
            <w:r w:rsidR="00FC6581" w:rsidRPr="00FC6581">
              <w:rPr>
                <w:rFonts w:ascii="Arial" w:hAnsi="Arial" w:cs="Arial"/>
                <w:i/>
                <w:sz w:val="22"/>
                <w:szCs w:val="22"/>
              </w:rPr>
              <w:t>Foc</w:t>
            </w:r>
            <w:proofErr w:type="spellEnd"/>
            <w:r w:rsidR="00FC6581" w:rsidRPr="00FC6581">
              <w:rPr>
                <w:rFonts w:ascii="Arial" w:hAnsi="Arial" w:cs="Arial"/>
                <w:i/>
                <w:sz w:val="22"/>
                <w:szCs w:val="22"/>
              </w:rPr>
              <w:t xml:space="preserve"> </w:t>
            </w:r>
            <w:r w:rsidR="00FC6581" w:rsidRPr="00FC6581">
              <w:rPr>
                <w:rFonts w:ascii="Arial" w:hAnsi="Arial" w:cs="Arial"/>
                <w:sz w:val="22"/>
                <w:szCs w:val="22"/>
              </w:rPr>
              <w:t>VCG</w:t>
            </w:r>
            <w:r w:rsidR="00FC6581">
              <w:rPr>
                <w:rFonts w:ascii="Arial" w:hAnsi="Arial" w:cs="Arial"/>
                <w:sz w:val="22"/>
                <w:szCs w:val="22"/>
              </w:rPr>
              <w:t>s</w:t>
            </w:r>
            <w:r w:rsidR="00FC6581" w:rsidRPr="00FC6581">
              <w:rPr>
                <w:rFonts w:ascii="Arial" w:hAnsi="Arial" w:cs="Arial"/>
                <w:sz w:val="22"/>
                <w:szCs w:val="22"/>
              </w:rPr>
              <w:t xml:space="preserve"> tester</w:t>
            </w:r>
            <w:r w:rsidR="00FC6581">
              <w:rPr>
                <w:rFonts w:ascii="Arial" w:hAnsi="Arial" w:cs="Arial"/>
                <w:sz w:val="22"/>
                <w:szCs w:val="22"/>
              </w:rPr>
              <w:t>s</w:t>
            </w:r>
            <w:r w:rsidR="00FC6581" w:rsidRPr="00FC6581">
              <w:rPr>
                <w:rFonts w:ascii="Arial" w:hAnsi="Arial" w:cs="Arial"/>
                <w:sz w:val="22"/>
                <w:szCs w:val="22"/>
              </w:rPr>
              <w:t xml:space="preserve"> which were obtained from China. The ability of heterokaryon formation among isolates and VCGs testers was evaluated, and the corresponding physiological races were designated. </w:t>
            </w:r>
            <w:r w:rsidR="00FC6581">
              <w:rPr>
                <w:rFonts w:ascii="Arial" w:hAnsi="Arial" w:cs="Arial"/>
                <w:sz w:val="22"/>
                <w:szCs w:val="22"/>
              </w:rPr>
              <w:t>Among the 20 isolates</w:t>
            </w:r>
            <w:r w:rsidR="00FC6581" w:rsidRPr="00FC6581">
              <w:rPr>
                <w:rFonts w:ascii="Arial" w:hAnsi="Arial" w:cs="Arial"/>
                <w:sz w:val="22"/>
                <w:szCs w:val="22"/>
              </w:rPr>
              <w:t>, 11 belonged to VCG 0124, eight to VCG 0124/0125 complex, and one to VCG 0125. The VCG 0124 accounted for 55% of all isolates, while VCG 0124/0125 complex represented 40%, and VCG 0125 accounted for 5%. Therefore, VCG analysis revealed that VCG 0124 was the most prevalent group, followed by the 0124/0125 complex and VCG 0125</w:t>
            </w:r>
            <w:r w:rsidR="00FC6581">
              <w:rPr>
                <w:rFonts w:ascii="Arial" w:hAnsi="Arial" w:cs="Arial"/>
                <w:sz w:val="22"/>
                <w:szCs w:val="22"/>
              </w:rPr>
              <w:t>.</w:t>
            </w:r>
            <w:r w:rsidR="00FC6581" w:rsidRPr="00FC6581">
              <w:rPr>
                <w:rFonts w:ascii="Arial" w:hAnsi="Arial" w:cs="Arial"/>
                <w:sz w:val="22"/>
                <w:szCs w:val="22"/>
              </w:rPr>
              <w:t xml:space="preserve"> The identification of these VCGs is consistent with earlier virulence and molecular studies, confirming that the isolates are pathogenic and belong to </w:t>
            </w:r>
            <w:r w:rsidR="00FC6581" w:rsidRPr="00FC6581">
              <w:rPr>
                <w:rFonts w:ascii="Arial" w:hAnsi="Arial" w:cs="Arial"/>
                <w:i/>
                <w:sz w:val="22"/>
                <w:szCs w:val="22"/>
              </w:rPr>
              <w:t xml:space="preserve">Fusarium </w:t>
            </w:r>
            <w:proofErr w:type="spellStart"/>
            <w:r w:rsidR="00FC6581" w:rsidRPr="00FC6581">
              <w:rPr>
                <w:rFonts w:ascii="Arial" w:hAnsi="Arial" w:cs="Arial"/>
                <w:i/>
                <w:sz w:val="22"/>
                <w:szCs w:val="22"/>
              </w:rPr>
              <w:t>oxysporum</w:t>
            </w:r>
            <w:proofErr w:type="spellEnd"/>
            <w:r w:rsidR="00FC6581" w:rsidRPr="00FC6581">
              <w:rPr>
                <w:rFonts w:ascii="Arial" w:hAnsi="Arial" w:cs="Arial"/>
                <w:sz w:val="22"/>
                <w:szCs w:val="22"/>
              </w:rPr>
              <w:t xml:space="preserve"> f. sp. </w:t>
            </w:r>
            <w:proofErr w:type="spellStart"/>
            <w:r w:rsidR="00FC6581" w:rsidRPr="00FC6581">
              <w:rPr>
                <w:rFonts w:ascii="Arial" w:hAnsi="Arial" w:cs="Arial"/>
                <w:i/>
                <w:sz w:val="22"/>
                <w:szCs w:val="22"/>
              </w:rPr>
              <w:t>cubense</w:t>
            </w:r>
            <w:proofErr w:type="spellEnd"/>
            <w:r w:rsidR="00FC6581" w:rsidRPr="00FC6581">
              <w:rPr>
                <w:rFonts w:ascii="Arial" w:hAnsi="Arial" w:cs="Arial"/>
                <w:sz w:val="22"/>
                <w:szCs w:val="22"/>
              </w:rPr>
              <w:t xml:space="preserve"> race 1. This study represents the first comprehensive investigation of </w:t>
            </w:r>
            <w:proofErr w:type="spellStart"/>
            <w:r w:rsidR="00FC6581" w:rsidRPr="00FC6581">
              <w:rPr>
                <w:rFonts w:ascii="Arial" w:hAnsi="Arial" w:cs="Arial"/>
                <w:i/>
                <w:sz w:val="22"/>
                <w:szCs w:val="22"/>
              </w:rPr>
              <w:t>Foc</w:t>
            </w:r>
            <w:proofErr w:type="spellEnd"/>
            <w:r w:rsidR="00FC6581" w:rsidRPr="00FC6581">
              <w:rPr>
                <w:rFonts w:ascii="Arial" w:hAnsi="Arial" w:cs="Arial"/>
                <w:sz w:val="22"/>
                <w:szCs w:val="22"/>
              </w:rPr>
              <w:t xml:space="preserve"> populations in Myanmar using VCG analysis. </w:t>
            </w:r>
          </w:p>
        </w:tc>
      </w:tr>
    </w:tbl>
    <w:p w14:paraId="2CA27EAD" w14:textId="77777777" w:rsidR="00790ADA" w:rsidRDefault="00A24E7E" w:rsidP="00E97BCA">
      <w:pPr>
        <w:pStyle w:val="Body"/>
        <w:spacing w:after="0" w:line="312" w:lineRule="auto"/>
        <w:ind w:left="990" w:hanging="990"/>
        <w:rPr>
          <w:rFonts w:ascii="Arial" w:hAnsi="Arial" w:cs="Arial"/>
          <w:i/>
        </w:rPr>
      </w:pPr>
      <w:r>
        <w:rPr>
          <w:rFonts w:ascii="Arial" w:hAnsi="Arial" w:cs="Arial"/>
          <w:i/>
        </w:rPr>
        <w:t xml:space="preserve">Keywords: </w:t>
      </w:r>
      <w:r w:rsidR="001C0F71" w:rsidRPr="001C19C4">
        <w:rPr>
          <w:rFonts w:ascii="Arial" w:hAnsi="Arial" w:cs="Arial"/>
        </w:rPr>
        <w:t>Banana, Fusarium wilt,</w:t>
      </w:r>
      <w:r w:rsidR="001C0F71" w:rsidRPr="001C0F71">
        <w:rPr>
          <w:rFonts w:ascii="Arial" w:hAnsi="Arial" w:cs="Arial"/>
          <w:i/>
        </w:rPr>
        <w:t xml:space="preserve"> Fusarium </w:t>
      </w:r>
      <w:proofErr w:type="spellStart"/>
      <w:r w:rsidR="001C0F71" w:rsidRPr="001C0F71">
        <w:rPr>
          <w:rFonts w:ascii="Arial" w:hAnsi="Arial" w:cs="Arial"/>
          <w:i/>
        </w:rPr>
        <w:t>oxysporum</w:t>
      </w:r>
      <w:proofErr w:type="spellEnd"/>
      <w:r w:rsidR="001C0F71" w:rsidRPr="001C0F71">
        <w:rPr>
          <w:rFonts w:ascii="Arial" w:hAnsi="Arial" w:cs="Arial"/>
          <w:i/>
        </w:rPr>
        <w:t xml:space="preserve"> f. sp. </w:t>
      </w:r>
      <w:proofErr w:type="spellStart"/>
      <w:r w:rsidR="001C0F71" w:rsidRPr="001C0F71">
        <w:rPr>
          <w:rFonts w:ascii="Arial" w:hAnsi="Arial" w:cs="Arial"/>
          <w:i/>
        </w:rPr>
        <w:t>cubense</w:t>
      </w:r>
      <w:proofErr w:type="spellEnd"/>
      <w:r w:rsidR="001C0F71" w:rsidRPr="001C0F71">
        <w:rPr>
          <w:rFonts w:ascii="Arial" w:hAnsi="Arial" w:cs="Arial"/>
          <w:i/>
        </w:rPr>
        <w:t xml:space="preserve">, </w:t>
      </w:r>
      <w:r w:rsidR="001C0F71" w:rsidRPr="001C19C4">
        <w:rPr>
          <w:rFonts w:ascii="Arial" w:hAnsi="Arial" w:cs="Arial"/>
        </w:rPr>
        <w:t>Strain,</w:t>
      </w:r>
      <w:r w:rsidR="001C0F71" w:rsidRPr="001C0F71">
        <w:rPr>
          <w:rFonts w:ascii="Arial" w:hAnsi="Arial" w:cs="Arial"/>
          <w:i/>
        </w:rPr>
        <w:t xml:space="preserve"> </w:t>
      </w:r>
      <w:r w:rsidR="001C0F71" w:rsidRPr="00FC6581">
        <w:rPr>
          <w:rFonts w:ascii="Arial" w:hAnsi="Arial" w:cs="Arial"/>
          <w:sz w:val="22"/>
          <w:szCs w:val="22"/>
        </w:rPr>
        <w:t>VCG</w:t>
      </w:r>
      <w:r w:rsidR="004643C4">
        <w:rPr>
          <w:rFonts w:ascii="Arial" w:hAnsi="Arial" w:cs="Arial"/>
          <w:sz w:val="22"/>
          <w:szCs w:val="22"/>
        </w:rPr>
        <w:t>s</w:t>
      </w:r>
    </w:p>
    <w:p w14:paraId="70E286EA" w14:textId="77777777" w:rsidR="00790ADA" w:rsidRPr="00E97BCA" w:rsidRDefault="00902823" w:rsidP="00E97BCA">
      <w:pPr>
        <w:pStyle w:val="AbstHead"/>
        <w:spacing w:after="0" w:line="312" w:lineRule="auto"/>
        <w:jc w:val="both"/>
        <w:rPr>
          <w:rFonts w:ascii="Arial" w:hAnsi="Arial" w:cs="Arial"/>
        </w:rPr>
      </w:pPr>
      <w:r w:rsidRPr="00E97BCA">
        <w:rPr>
          <w:rFonts w:ascii="Arial" w:hAnsi="Arial" w:cs="Arial"/>
        </w:rPr>
        <w:lastRenderedPageBreak/>
        <w:t xml:space="preserve">1. </w:t>
      </w:r>
      <w:r w:rsidR="00B01FCD" w:rsidRPr="00E97BCA">
        <w:rPr>
          <w:rFonts w:ascii="Arial" w:hAnsi="Arial" w:cs="Arial"/>
        </w:rPr>
        <w:t>INTRODUCTION</w:t>
      </w:r>
      <w:r w:rsidR="007F7B32" w:rsidRPr="00E97BCA">
        <w:rPr>
          <w:rFonts w:ascii="Arial" w:hAnsi="Arial" w:cs="Arial"/>
        </w:rPr>
        <w:t xml:space="preserve"> </w:t>
      </w:r>
    </w:p>
    <w:p w14:paraId="3D5EB791" w14:textId="77777777"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Banana Fusarium wilt, widely known as Panama disease, is caused by a soil-borne ascomycete fungus, </w:t>
      </w:r>
      <w:r w:rsidRPr="00E97BCA">
        <w:rPr>
          <w:rFonts w:ascii="Arial" w:hAnsi="Arial" w:cs="Arial"/>
          <w:i/>
        </w:rPr>
        <w:t xml:space="preserve">Fusarium </w:t>
      </w:r>
      <w:proofErr w:type="spellStart"/>
      <w:r w:rsidRPr="00E97BCA">
        <w:rPr>
          <w:rFonts w:ascii="Arial" w:hAnsi="Arial" w:cs="Arial"/>
          <w:i/>
        </w:rPr>
        <w:t>oxysporum</w:t>
      </w:r>
      <w:proofErr w:type="spellEnd"/>
      <w:r w:rsidRPr="00E97BCA">
        <w:rPr>
          <w:rFonts w:ascii="Arial" w:hAnsi="Arial" w:cs="Arial"/>
        </w:rPr>
        <w:t xml:space="preserve"> </w:t>
      </w:r>
      <w:proofErr w:type="spellStart"/>
      <w:r w:rsidRPr="00E97BCA">
        <w:rPr>
          <w:rFonts w:ascii="Arial" w:hAnsi="Arial" w:cs="Arial"/>
        </w:rPr>
        <w:t>f.sp</w:t>
      </w:r>
      <w:proofErr w:type="spellEnd"/>
      <w:r w:rsidRPr="00E97BCA">
        <w:rPr>
          <w:rFonts w:ascii="Arial" w:hAnsi="Arial" w:cs="Arial"/>
        </w:rPr>
        <w:t xml:space="preserve">. </w:t>
      </w:r>
      <w:proofErr w:type="spellStart"/>
      <w:r w:rsidRPr="00E97BCA">
        <w:rPr>
          <w:rFonts w:ascii="Arial" w:hAnsi="Arial" w:cs="Arial"/>
          <w:i/>
        </w:rPr>
        <w:t>cubense</w:t>
      </w:r>
      <w:proofErr w:type="spellEnd"/>
      <w:r w:rsidRPr="00E97BCA">
        <w:rPr>
          <w:rFonts w:ascii="Arial" w:hAnsi="Arial" w:cs="Arial"/>
        </w:rPr>
        <w:t xml:space="preserve"> (</w:t>
      </w:r>
      <w:proofErr w:type="spellStart"/>
      <w:r w:rsidRPr="00E97BCA">
        <w:rPr>
          <w:rFonts w:ascii="Arial" w:hAnsi="Arial" w:cs="Arial"/>
          <w:i/>
        </w:rPr>
        <w:t>Foc</w:t>
      </w:r>
      <w:proofErr w:type="spellEnd"/>
      <w:r w:rsidRPr="00E97BCA">
        <w:rPr>
          <w:rFonts w:ascii="Arial" w:hAnsi="Arial" w:cs="Arial"/>
        </w:rPr>
        <w:t>). The disease continues to be one of the most destructive constraints to banana production in the world (</w:t>
      </w:r>
      <w:proofErr w:type="spellStart"/>
      <w:r w:rsidRPr="00E97BCA">
        <w:rPr>
          <w:rFonts w:ascii="Arial" w:hAnsi="Arial" w:cs="Arial"/>
        </w:rPr>
        <w:t>Pegg</w:t>
      </w:r>
      <w:proofErr w:type="spellEnd"/>
      <w:r w:rsidRPr="00E97BCA">
        <w:rPr>
          <w:rFonts w:ascii="Arial" w:hAnsi="Arial" w:cs="Arial"/>
        </w:rPr>
        <w:t xml:space="preserve"> et al., 2019) and occurs in all Asian countries (Molina, 2013). It is responsible for substantial yield losses and major restrictions to successful commercial cultivation (Daly et al., 2006; </w:t>
      </w:r>
      <w:proofErr w:type="spellStart"/>
      <w:r w:rsidRPr="00E97BCA">
        <w:rPr>
          <w:rFonts w:ascii="Arial" w:hAnsi="Arial" w:cs="Arial"/>
        </w:rPr>
        <w:t>Ploetz</w:t>
      </w:r>
      <w:proofErr w:type="spellEnd"/>
      <w:r w:rsidRPr="00E97BCA">
        <w:rPr>
          <w:rFonts w:ascii="Arial" w:hAnsi="Arial" w:cs="Arial"/>
        </w:rPr>
        <w:t xml:space="preserve">, 2015). Fusarium wilt has become an increasingly serious problem in banana plantations across Myanmar. Bananas represent one of the most economically important perennial fruit crops in the country, cultivated for both domestic markets and cross-border trade. Recent assessments indicated a high disease incidence in the widely grown </w:t>
      </w:r>
      <w:proofErr w:type="spellStart"/>
      <w:r w:rsidRPr="00E97BCA">
        <w:rPr>
          <w:rFonts w:ascii="Arial" w:hAnsi="Arial" w:cs="Arial"/>
        </w:rPr>
        <w:t>Hpi-gyan</w:t>
      </w:r>
      <w:proofErr w:type="spellEnd"/>
      <w:r w:rsidRPr="00E97BCA">
        <w:rPr>
          <w:rFonts w:ascii="Arial" w:hAnsi="Arial" w:cs="Arial"/>
        </w:rPr>
        <w:t xml:space="preserve"> cultivar (</w:t>
      </w:r>
      <w:proofErr w:type="spellStart"/>
      <w:r w:rsidRPr="00E97BCA">
        <w:rPr>
          <w:rFonts w:ascii="Arial" w:hAnsi="Arial" w:cs="Arial"/>
        </w:rPr>
        <w:t>Bluggoe</w:t>
      </w:r>
      <w:proofErr w:type="spellEnd"/>
      <w:r w:rsidRPr="00E97BCA">
        <w:rPr>
          <w:rFonts w:ascii="Arial" w:hAnsi="Arial" w:cs="Arial"/>
        </w:rPr>
        <w:t xml:space="preserve"> subgroup; </w:t>
      </w:r>
      <w:proofErr w:type="spellStart"/>
      <w:r w:rsidRPr="00E97BCA">
        <w:rPr>
          <w:rFonts w:ascii="Arial" w:hAnsi="Arial" w:cs="Arial"/>
        </w:rPr>
        <w:t>Ploetz</w:t>
      </w:r>
      <w:proofErr w:type="spellEnd"/>
      <w:r w:rsidRPr="00E97BCA">
        <w:rPr>
          <w:rFonts w:ascii="Arial" w:hAnsi="Arial" w:cs="Arial"/>
        </w:rPr>
        <w:t xml:space="preserve"> et al., 2007), whereas a lower incidence has been recorded in </w:t>
      </w:r>
      <w:proofErr w:type="spellStart"/>
      <w:r w:rsidRPr="00E97BCA">
        <w:rPr>
          <w:rFonts w:ascii="Arial" w:hAnsi="Arial" w:cs="Arial"/>
        </w:rPr>
        <w:t>Ya-khaing</w:t>
      </w:r>
      <w:proofErr w:type="spellEnd"/>
      <w:r w:rsidRPr="00E97BCA">
        <w:rPr>
          <w:rFonts w:ascii="Arial" w:hAnsi="Arial" w:cs="Arial"/>
        </w:rPr>
        <w:t xml:space="preserve"> (Pisang </w:t>
      </w:r>
      <w:proofErr w:type="spellStart"/>
      <w:r w:rsidRPr="00E97BCA">
        <w:rPr>
          <w:rFonts w:ascii="Arial" w:hAnsi="Arial" w:cs="Arial"/>
        </w:rPr>
        <w:t>Awak</w:t>
      </w:r>
      <w:proofErr w:type="spellEnd"/>
      <w:r w:rsidRPr="00E97BCA">
        <w:rPr>
          <w:rFonts w:ascii="Arial" w:hAnsi="Arial" w:cs="Arial"/>
        </w:rPr>
        <w:t xml:space="preserve"> subgroup; </w:t>
      </w:r>
      <w:proofErr w:type="spellStart"/>
      <w:r w:rsidRPr="00E97BCA">
        <w:rPr>
          <w:rFonts w:ascii="Arial" w:hAnsi="Arial" w:cs="Arial"/>
        </w:rPr>
        <w:t>Ploetz</w:t>
      </w:r>
      <w:proofErr w:type="spellEnd"/>
      <w:r w:rsidRPr="00E97BCA">
        <w:rPr>
          <w:rFonts w:ascii="Arial" w:hAnsi="Arial" w:cs="Arial"/>
        </w:rPr>
        <w:t xml:space="preserve"> et al., 2007), suggesting variation in cultivar susceptibility or pathogen prevalence. In </w:t>
      </w:r>
      <w:proofErr w:type="spellStart"/>
      <w:r w:rsidRPr="00E97BCA">
        <w:rPr>
          <w:rFonts w:ascii="Arial" w:hAnsi="Arial" w:cs="Arial"/>
        </w:rPr>
        <w:t>Hpi-gyan</w:t>
      </w:r>
      <w:proofErr w:type="spellEnd"/>
      <w:r w:rsidRPr="00E97BCA">
        <w:rPr>
          <w:rFonts w:ascii="Arial" w:hAnsi="Arial" w:cs="Arial"/>
        </w:rPr>
        <w:t xml:space="preserve"> plantations, disease incidence ranges from 5–10% in newly established fields and increases to 15–30% in ratoon crops (Cho </w:t>
      </w:r>
      <w:proofErr w:type="spellStart"/>
      <w:r w:rsidRPr="00E97BCA">
        <w:rPr>
          <w:rFonts w:ascii="Arial" w:hAnsi="Arial" w:cs="Arial"/>
        </w:rPr>
        <w:t>Cho</w:t>
      </w:r>
      <w:proofErr w:type="spellEnd"/>
      <w:r w:rsidRPr="00E97BCA">
        <w:rPr>
          <w:rFonts w:ascii="Arial" w:hAnsi="Arial" w:cs="Arial"/>
        </w:rPr>
        <w:t xml:space="preserve"> San et al., 2024). Traditional practices, such as replanting infected suckers, further accelerate the spread of the pathogen. In addition, the pathogen’s survival structures, chlamydospores, enable long-term persistence in soil for decades (</w:t>
      </w:r>
      <w:proofErr w:type="spellStart"/>
      <w:r w:rsidRPr="00E97BCA">
        <w:rPr>
          <w:rFonts w:ascii="Arial" w:hAnsi="Arial" w:cs="Arial"/>
        </w:rPr>
        <w:t>Dita</w:t>
      </w:r>
      <w:proofErr w:type="spellEnd"/>
      <w:r w:rsidRPr="00E97BCA">
        <w:rPr>
          <w:rFonts w:ascii="Arial" w:hAnsi="Arial" w:cs="Arial"/>
        </w:rPr>
        <w:t xml:space="preserve"> et al., 2018).</w:t>
      </w:r>
    </w:p>
    <w:p w14:paraId="75B5198D" w14:textId="77777777"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The </w:t>
      </w:r>
      <w:proofErr w:type="spellStart"/>
      <w:r w:rsidRPr="00E97BCA">
        <w:rPr>
          <w:rFonts w:ascii="Arial" w:hAnsi="Arial" w:cs="Arial"/>
          <w:i/>
        </w:rPr>
        <w:t>Foc</w:t>
      </w:r>
      <w:proofErr w:type="spellEnd"/>
      <w:r w:rsidRPr="00E97BCA">
        <w:rPr>
          <w:rFonts w:ascii="Arial" w:hAnsi="Arial" w:cs="Arial"/>
        </w:rPr>
        <w:t xml:space="preserve"> exhibits high genetic and pathogenic diversity, comprising multiple races and strains that differ in population structure and levels of virulence, resulting in variable disease severity across susceptible banana genotypes (</w:t>
      </w:r>
      <w:proofErr w:type="spellStart"/>
      <w:r w:rsidRPr="00E97BCA">
        <w:rPr>
          <w:rFonts w:ascii="Arial" w:hAnsi="Arial" w:cs="Arial"/>
        </w:rPr>
        <w:t>Ploetz</w:t>
      </w:r>
      <w:proofErr w:type="spellEnd"/>
      <w:r w:rsidRPr="00E97BCA">
        <w:rPr>
          <w:rFonts w:ascii="Arial" w:hAnsi="Arial" w:cs="Arial"/>
        </w:rPr>
        <w:t xml:space="preserve"> and </w:t>
      </w:r>
      <w:proofErr w:type="spellStart"/>
      <w:r w:rsidRPr="00E97BCA">
        <w:rPr>
          <w:rFonts w:ascii="Arial" w:hAnsi="Arial" w:cs="Arial"/>
        </w:rPr>
        <w:t>Pegg</w:t>
      </w:r>
      <w:proofErr w:type="spellEnd"/>
      <w:r w:rsidRPr="00E97BCA">
        <w:rPr>
          <w:rFonts w:ascii="Arial" w:hAnsi="Arial" w:cs="Arial"/>
        </w:rPr>
        <w:t xml:space="preserve">, 2000; Visser et al., 2010). This diversity is conventionally classified into four major pathogenic races namely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races 1, 2, 3, and 4 based on host range and cultivar susceptibility (Moore et al., 1993; </w:t>
      </w:r>
      <w:proofErr w:type="spellStart"/>
      <w:r w:rsidRPr="00E97BCA">
        <w:rPr>
          <w:rFonts w:ascii="Arial" w:hAnsi="Arial" w:cs="Arial"/>
        </w:rPr>
        <w:t>Pegg</w:t>
      </w:r>
      <w:proofErr w:type="spellEnd"/>
      <w:r w:rsidRPr="00E97BCA">
        <w:rPr>
          <w:rFonts w:ascii="Arial" w:hAnsi="Arial" w:cs="Arial"/>
        </w:rPr>
        <w:t xml:space="preserve"> et al., 1995). Beyond race classification,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isolates are further grouped into 24 vegetative compatibility groups (VCGs) distributed among the different races (</w:t>
      </w:r>
      <w:proofErr w:type="spellStart"/>
      <w:r w:rsidRPr="00E97BCA">
        <w:rPr>
          <w:rFonts w:ascii="Arial" w:hAnsi="Arial" w:cs="Arial"/>
        </w:rPr>
        <w:t>Ploetz</w:t>
      </w:r>
      <w:proofErr w:type="spellEnd"/>
      <w:r w:rsidRPr="00E97BCA">
        <w:rPr>
          <w:rFonts w:ascii="Arial" w:hAnsi="Arial" w:cs="Arial"/>
        </w:rPr>
        <w:t xml:space="preserve">, 2006; </w:t>
      </w:r>
      <w:proofErr w:type="spellStart"/>
      <w:r w:rsidRPr="00E97BCA">
        <w:rPr>
          <w:rFonts w:ascii="Arial" w:hAnsi="Arial" w:cs="Arial"/>
        </w:rPr>
        <w:t>Ploetz</w:t>
      </w:r>
      <w:proofErr w:type="spellEnd"/>
      <w:r w:rsidRPr="00E97BCA">
        <w:rPr>
          <w:rFonts w:ascii="Arial" w:hAnsi="Arial" w:cs="Arial"/>
        </w:rPr>
        <w:t xml:space="preserve">, 2015; Mostert et al., 2017). Vegetative compatibility grouping is a phenotypic system that distinguishes asexually reproducing fungal strains capable of hyphal fusion and heterokaryon formation. Because genetically similar isolates typically belong to the same VCG, this method provides a reliable means of identifying phenotypically related subpopulations. VCGs in </w:t>
      </w:r>
      <w:proofErr w:type="spellStart"/>
      <w:r w:rsidRPr="00E97BCA">
        <w:rPr>
          <w:rFonts w:ascii="Arial" w:hAnsi="Arial" w:cs="Arial"/>
          <w:i/>
        </w:rPr>
        <w:t>Foc</w:t>
      </w:r>
      <w:proofErr w:type="spellEnd"/>
      <w:r w:rsidRPr="00E97BCA">
        <w:rPr>
          <w:rFonts w:ascii="Arial" w:hAnsi="Arial" w:cs="Arial"/>
        </w:rPr>
        <w:t xml:space="preserve"> are determined when hyphae of complementary nitrate non-utilizing (</w:t>
      </w:r>
      <w:r w:rsidRPr="00E97BCA">
        <w:rPr>
          <w:rFonts w:ascii="Arial" w:hAnsi="Arial" w:cs="Arial"/>
          <w:i/>
        </w:rPr>
        <w:t>nit</w:t>
      </w:r>
      <w:r w:rsidRPr="00E97BCA">
        <w:rPr>
          <w:rFonts w:ascii="Arial" w:hAnsi="Arial" w:cs="Arial"/>
        </w:rPr>
        <w:t>) mutants, generated on chlorate medium, anastomose to form stable heterokaryons on minimal medium (MM) (</w:t>
      </w:r>
      <w:proofErr w:type="spellStart"/>
      <w:r w:rsidRPr="00E97BCA">
        <w:rPr>
          <w:rFonts w:ascii="Arial" w:hAnsi="Arial" w:cs="Arial"/>
        </w:rPr>
        <w:t>Puhalla</w:t>
      </w:r>
      <w:proofErr w:type="spellEnd"/>
      <w:r w:rsidRPr="00E97BCA">
        <w:rPr>
          <w:rFonts w:ascii="Arial" w:hAnsi="Arial" w:cs="Arial"/>
        </w:rPr>
        <w:t xml:space="preserve">, 1985; Leslie, 1993). Isolates belonging to the same VCG possess identical alleles at all </w:t>
      </w:r>
      <w:proofErr w:type="spellStart"/>
      <w:r w:rsidRPr="00E97BCA">
        <w:rPr>
          <w:rFonts w:ascii="Arial" w:hAnsi="Arial" w:cs="Arial"/>
          <w:i/>
        </w:rPr>
        <w:t>vic</w:t>
      </w:r>
      <w:proofErr w:type="spellEnd"/>
      <w:r w:rsidRPr="00E97BCA">
        <w:rPr>
          <w:rFonts w:ascii="Arial" w:hAnsi="Arial" w:cs="Arial"/>
        </w:rPr>
        <w:t xml:space="preserve"> (vegetative incompatibility) loci, whereas isolates from different VCGs differ at one or more </w:t>
      </w:r>
      <w:proofErr w:type="spellStart"/>
      <w:r w:rsidRPr="00E97BCA">
        <w:rPr>
          <w:rFonts w:ascii="Arial" w:hAnsi="Arial" w:cs="Arial"/>
          <w:i/>
        </w:rPr>
        <w:t>vic</w:t>
      </w:r>
      <w:proofErr w:type="spellEnd"/>
      <w:r w:rsidRPr="00E97BCA">
        <w:rPr>
          <w:rFonts w:ascii="Arial" w:hAnsi="Arial" w:cs="Arial"/>
        </w:rPr>
        <w:t xml:space="preserve"> loci (Leslie, 1993). It is also highly useful for assessing banana resistance and for grouping </w:t>
      </w:r>
      <w:proofErr w:type="spellStart"/>
      <w:r w:rsidRPr="00E97BCA">
        <w:rPr>
          <w:rFonts w:ascii="Arial" w:hAnsi="Arial" w:cs="Arial"/>
          <w:i/>
        </w:rPr>
        <w:t>Foc</w:t>
      </w:r>
      <w:proofErr w:type="spellEnd"/>
      <w:r w:rsidRPr="00E97BCA">
        <w:rPr>
          <w:rFonts w:ascii="Arial" w:hAnsi="Arial" w:cs="Arial"/>
        </w:rPr>
        <w:t xml:space="preserve"> isolates according to their virulence profiles on different banana cultivars (races) (</w:t>
      </w:r>
      <w:proofErr w:type="spellStart"/>
      <w:r w:rsidRPr="00E97BCA">
        <w:rPr>
          <w:rFonts w:ascii="Arial" w:hAnsi="Arial" w:cs="Arial"/>
        </w:rPr>
        <w:t>Correll</w:t>
      </w:r>
      <w:proofErr w:type="spellEnd"/>
      <w:r w:rsidRPr="00E97BCA">
        <w:rPr>
          <w:rFonts w:ascii="Arial" w:hAnsi="Arial" w:cs="Arial"/>
        </w:rPr>
        <w:t xml:space="preserve"> et al., 1987; Leslie, 1990). Although VCG identity correlates strongly with race affiliation, it does not independently confirm pathogenicity; therefore, biological pathogenicity testing remains essential (</w:t>
      </w:r>
      <w:proofErr w:type="spellStart"/>
      <w:r w:rsidRPr="00E97BCA">
        <w:rPr>
          <w:rFonts w:ascii="Arial" w:hAnsi="Arial" w:cs="Arial"/>
        </w:rPr>
        <w:t>Ploetz</w:t>
      </w:r>
      <w:proofErr w:type="spellEnd"/>
      <w:r w:rsidRPr="00E97BCA">
        <w:rPr>
          <w:rFonts w:ascii="Arial" w:hAnsi="Arial" w:cs="Arial"/>
        </w:rPr>
        <w:t>, 2006; Mostert et al., 2017).</w:t>
      </w:r>
    </w:p>
    <w:p w14:paraId="3FA23B4C" w14:textId="77777777"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Vegetative compatibility analyses have been successfully employed to determine the origin and global distribution of </w:t>
      </w:r>
      <w:r w:rsidRPr="00E97BCA">
        <w:rPr>
          <w:rFonts w:ascii="Arial" w:hAnsi="Arial" w:cs="Arial"/>
          <w:i/>
        </w:rPr>
        <w:t xml:space="preserve">Fusarium </w:t>
      </w:r>
      <w:proofErr w:type="spellStart"/>
      <w:r w:rsidRPr="00E97BCA">
        <w:rPr>
          <w:rFonts w:ascii="Arial" w:hAnsi="Arial" w:cs="Arial"/>
          <w:i/>
        </w:rPr>
        <w:t>oxysporum</w:t>
      </w:r>
      <w:proofErr w:type="spellEnd"/>
      <w:r w:rsidRPr="00E97BCA">
        <w:rPr>
          <w:rFonts w:ascii="Arial" w:hAnsi="Arial" w:cs="Arial"/>
          <w:i/>
        </w:rPr>
        <w:t xml:space="preserve"> </w:t>
      </w:r>
      <w:r w:rsidRPr="00E97BCA">
        <w:rPr>
          <w:rFonts w:ascii="Arial" w:hAnsi="Arial" w:cs="Arial"/>
        </w:rPr>
        <w:t>f. sp.</w:t>
      </w:r>
      <w:r w:rsidRPr="00E97BCA">
        <w:rPr>
          <w:rFonts w:ascii="Arial" w:hAnsi="Arial" w:cs="Arial"/>
          <w:i/>
        </w:rPr>
        <w:t xml:space="preserve"> </w:t>
      </w:r>
      <w:proofErr w:type="spellStart"/>
      <w:r w:rsidRPr="00E97BCA">
        <w:rPr>
          <w:rFonts w:ascii="Arial" w:hAnsi="Arial" w:cs="Arial"/>
          <w:i/>
        </w:rPr>
        <w:t>cubense</w:t>
      </w:r>
      <w:proofErr w:type="spellEnd"/>
      <w:r w:rsidRPr="00E97BCA">
        <w:rPr>
          <w:rFonts w:ascii="Arial" w:hAnsi="Arial" w:cs="Arial"/>
        </w:rPr>
        <w:t xml:space="preserve"> (</w:t>
      </w:r>
      <w:proofErr w:type="spellStart"/>
      <w:r w:rsidRPr="00E97BCA">
        <w:rPr>
          <w:rFonts w:ascii="Arial" w:hAnsi="Arial" w:cs="Arial"/>
          <w:i/>
        </w:rPr>
        <w:t>Foc</w:t>
      </w:r>
      <w:proofErr w:type="spellEnd"/>
      <w:r w:rsidRPr="00E97BCA">
        <w:rPr>
          <w:rFonts w:ascii="Arial" w:hAnsi="Arial" w:cs="Arial"/>
        </w:rPr>
        <w:t xml:space="preserve">) (Bentley et al., 1998; Fourie et al., 2011). Of the 24 VCGs identified globally, 15 have been reported from </w:t>
      </w:r>
      <w:r w:rsidRPr="00E97BCA">
        <w:rPr>
          <w:rFonts w:ascii="Arial" w:hAnsi="Arial" w:cs="Arial"/>
        </w:rPr>
        <w:lastRenderedPageBreak/>
        <w:t>Asia (</w:t>
      </w:r>
      <w:proofErr w:type="spellStart"/>
      <w:r w:rsidRPr="00E97BCA">
        <w:rPr>
          <w:rFonts w:ascii="Arial" w:hAnsi="Arial" w:cs="Arial"/>
        </w:rPr>
        <w:t>Pegg</w:t>
      </w:r>
      <w:proofErr w:type="spellEnd"/>
      <w:r w:rsidRPr="00E97BCA">
        <w:rPr>
          <w:rFonts w:ascii="Arial" w:hAnsi="Arial" w:cs="Arial"/>
        </w:rPr>
        <w:t xml:space="preserve"> et al., 1995; Katan, 1999; </w:t>
      </w:r>
      <w:proofErr w:type="spellStart"/>
      <w:r w:rsidRPr="00E97BCA">
        <w:rPr>
          <w:rFonts w:ascii="Arial" w:hAnsi="Arial" w:cs="Arial"/>
        </w:rPr>
        <w:t>Riska</w:t>
      </w:r>
      <w:proofErr w:type="spellEnd"/>
      <w:r w:rsidRPr="00E97BCA">
        <w:rPr>
          <w:rFonts w:ascii="Arial" w:hAnsi="Arial" w:cs="Arial"/>
        </w:rPr>
        <w:t xml:space="preserve"> et al., 2012; </w:t>
      </w:r>
      <w:proofErr w:type="spellStart"/>
      <w:r w:rsidRPr="00E97BCA">
        <w:rPr>
          <w:rFonts w:ascii="Arial" w:hAnsi="Arial" w:cs="Arial"/>
        </w:rPr>
        <w:t>Czislowski</w:t>
      </w:r>
      <w:proofErr w:type="spellEnd"/>
      <w:r w:rsidRPr="00E97BCA">
        <w:rPr>
          <w:rFonts w:ascii="Arial" w:hAnsi="Arial" w:cs="Arial"/>
        </w:rPr>
        <w:t xml:space="preserve"> et al., 2018). Two VCG complexes, 0124/0125 and 01213/01216, predominate in Asia (Mostert et al., 2017). Several VCGs within </w:t>
      </w:r>
      <w:proofErr w:type="spellStart"/>
      <w:r w:rsidRPr="00E97BCA">
        <w:rPr>
          <w:rFonts w:ascii="Arial" w:hAnsi="Arial" w:cs="Arial"/>
          <w:i/>
        </w:rPr>
        <w:t>Foc</w:t>
      </w:r>
      <w:proofErr w:type="spellEnd"/>
      <w:r w:rsidRPr="00E97BCA">
        <w:rPr>
          <w:rFonts w:ascii="Arial" w:hAnsi="Arial" w:cs="Arial"/>
        </w:rPr>
        <w:t>, including VCGs 0124, 0125, 0128, 01212, 01220, and 01222, are among the most widely distributed worldwide and occur in all regions where bananas are cultivated (</w:t>
      </w:r>
      <w:proofErr w:type="spellStart"/>
      <w:r w:rsidRPr="00E97BCA">
        <w:rPr>
          <w:rFonts w:ascii="Arial" w:hAnsi="Arial" w:cs="Arial"/>
        </w:rPr>
        <w:t>Ploetz</w:t>
      </w:r>
      <w:proofErr w:type="spellEnd"/>
      <w:r w:rsidRPr="00E97BCA">
        <w:rPr>
          <w:rFonts w:ascii="Arial" w:hAnsi="Arial" w:cs="Arial"/>
        </w:rPr>
        <w:t xml:space="preserve">, 2005; O’Donnell et al., 1998; Fourie et al., 2009; Fourie et al., 2011). Numerous studies have demonstrated the value of VCG analysis for population characterization, epidemiological investigations, and the differentiation of major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evolutionary groups, such as subtropical race 4 (SR4; VCGs 0120, 0129, 01211, and 01215) and tropical race 4 (TR4; VCGs 0121</w:t>
      </w:r>
      <w:r w:rsidR="00AB0903">
        <w:rPr>
          <w:rFonts w:ascii="Arial" w:hAnsi="Arial" w:cs="Arial"/>
        </w:rPr>
        <w:t xml:space="preserve">3/01216) (Fourie et al., 2011). </w:t>
      </w:r>
      <w:r w:rsidRPr="00E97BCA">
        <w:rPr>
          <w:rFonts w:ascii="Arial" w:hAnsi="Arial" w:cs="Arial"/>
        </w:rPr>
        <w:t xml:space="preserve">The first confirmed detection of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race 4 in Myanmar occurred in 2018 near the Myanmar–China border (Zheng et al., 2018), raising concern over the introduction of aggressive Cavendish-infecting genetic groups. Later studies confirmed that </w:t>
      </w:r>
      <w:proofErr w:type="spellStart"/>
      <w:r w:rsidRPr="00E97BCA">
        <w:rPr>
          <w:rFonts w:ascii="Arial" w:hAnsi="Arial" w:cs="Arial"/>
          <w:i/>
        </w:rPr>
        <w:t>Foc</w:t>
      </w:r>
      <w:proofErr w:type="spellEnd"/>
      <w:r w:rsidRPr="00E97BCA">
        <w:rPr>
          <w:rFonts w:ascii="Arial" w:hAnsi="Arial" w:cs="Arial"/>
        </w:rPr>
        <w:t xml:space="preserve"> race 1 is already widely distributed across major banana-producing regions, including some plantations of Ayeyarwady, Mandalay, and </w:t>
      </w:r>
      <w:proofErr w:type="spellStart"/>
      <w:r w:rsidRPr="00E97BCA">
        <w:rPr>
          <w:rFonts w:ascii="Arial" w:hAnsi="Arial" w:cs="Arial"/>
        </w:rPr>
        <w:t>Naypyitaw</w:t>
      </w:r>
      <w:proofErr w:type="spellEnd"/>
      <w:r w:rsidRPr="00E97BCA">
        <w:rPr>
          <w:rFonts w:ascii="Arial" w:hAnsi="Arial" w:cs="Arial"/>
        </w:rPr>
        <w:t xml:space="preserve"> (Cho </w:t>
      </w:r>
      <w:proofErr w:type="spellStart"/>
      <w:r w:rsidRPr="00E97BCA">
        <w:rPr>
          <w:rFonts w:ascii="Arial" w:hAnsi="Arial" w:cs="Arial"/>
        </w:rPr>
        <w:t>Cho</w:t>
      </w:r>
      <w:proofErr w:type="spellEnd"/>
      <w:r w:rsidRPr="00E97BCA">
        <w:rPr>
          <w:rFonts w:ascii="Arial" w:hAnsi="Arial" w:cs="Arial"/>
        </w:rPr>
        <w:t xml:space="preserve"> San et al., 2024). Race 1 is a major epidemic driver in many tropical countries and can cause yield losses of up to 60% in susceptible dessert bananas under favorable conditions (</w:t>
      </w:r>
      <w:proofErr w:type="spellStart"/>
      <w:r w:rsidRPr="00E97BCA">
        <w:rPr>
          <w:rFonts w:ascii="Arial" w:hAnsi="Arial" w:cs="Arial"/>
        </w:rPr>
        <w:t>Tushemereirwe</w:t>
      </w:r>
      <w:proofErr w:type="spellEnd"/>
      <w:r w:rsidRPr="00E97BCA">
        <w:rPr>
          <w:rFonts w:ascii="Arial" w:hAnsi="Arial" w:cs="Arial"/>
        </w:rPr>
        <w:t xml:space="preserve"> et al., 2000; </w:t>
      </w:r>
      <w:proofErr w:type="spellStart"/>
      <w:r w:rsidRPr="00E97BCA">
        <w:rPr>
          <w:rFonts w:ascii="Arial" w:hAnsi="Arial" w:cs="Arial"/>
        </w:rPr>
        <w:t>Karangwa</w:t>
      </w:r>
      <w:proofErr w:type="spellEnd"/>
      <w:r w:rsidRPr="00E97BCA">
        <w:rPr>
          <w:rFonts w:ascii="Arial" w:hAnsi="Arial" w:cs="Arial"/>
        </w:rPr>
        <w:t xml:space="preserve"> et al., 2016). Understanding the diversity and evolutionary history of </w:t>
      </w:r>
      <w:proofErr w:type="spellStart"/>
      <w:r w:rsidRPr="00E97BCA">
        <w:rPr>
          <w:rFonts w:ascii="Arial" w:hAnsi="Arial" w:cs="Arial"/>
          <w:i/>
        </w:rPr>
        <w:t>Foc</w:t>
      </w:r>
      <w:proofErr w:type="spellEnd"/>
      <w:r w:rsidRPr="00E97BCA">
        <w:rPr>
          <w:rFonts w:ascii="Arial" w:hAnsi="Arial" w:cs="Arial"/>
        </w:rPr>
        <w:t xml:space="preserve"> populations is crucial for developing effective disease management strategies. </w:t>
      </w:r>
    </w:p>
    <w:p w14:paraId="4DC99CDD" w14:textId="77777777"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Monitoring variations in isolates collected from different cultivars and geographic regions is essential for resistance breeding, especially because </w:t>
      </w:r>
      <w:proofErr w:type="spellStart"/>
      <w:r w:rsidRPr="00E97BCA">
        <w:rPr>
          <w:rFonts w:ascii="Arial" w:hAnsi="Arial" w:cs="Arial"/>
          <w:i/>
        </w:rPr>
        <w:t>Foc</w:t>
      </w:r>
      <w:proofErr w:type="spellEnd"/>
      <w:r w:rsidRPr="00E97BCA">
        <w:rPr>
          <w:rFonts w:ascii="Arial" w:hAnsi="Arial" w:cs="Arial"/>
        </w:rPr>
        <w:t xml:space="preserve"> is genetically dynamic and capable of overcoming host resistance (</w:t>
      </w:r>
      <w:proofErr w:type="spellStart"/>
      <w:r w:rsidRPr="00E97BCA">
        <w:rPr>
          <w:rFonts w:ascii="Arial" w:hAnsi="Arial" w:cs="Arial"/>
        </w:rPr>
        <w:t>Ploetz</w:t>
      </w:r>
      <w:proofErr w:type="spellEnd"/>
      <w:r w:rsidRPr="00E97BCA">
        <w:rPr>
          <w:rFonts w:ascii="Arial" w:hAnsi="Arial" w:cs="Arial"/>
        </w:rPr>
        <w:t xml:space="preserve">, 1990; Moore, 1994). The conventional approaches to assess variation among the fungal isolates are morphological and virulence analysis. Whereas, vegetative compatibility group (VCG) analysis can be used to accurately characterize </w:t>
      </w:r>
      <w:proofErr w:type="spellStart"/>
      <w:r w:rsidRPr="00E97BCA">
        <w:rPr>
          <w:rFonts w:ascii="Arial" w:hAnsi="Arial" w:cs="Arial"/>
          <w:i/>
        </w:rPr>
        <w:t>Foc</w:t>
      </w:r>
      <w:proofErr w:type="spellEnd"/>
      <w:r w:rsidRPr="00E97BCA">
        <w:rPr>
          <w:rFonts w:ascii="Arial" w:hAnsi="Arial" w:cs="Arial"/>
        </w:rPr>
        <w:t xml:space="preserve"> isolates (Fourie et al., 2011). It provides a clearer assessment of phenotypic relatedness and continues to be one of the most reliable tools for differentiating and tracking </w:t>
      </w:r>
      <w:proofErr w:type="spellStart"/>
      <w:r w:rsidRPr="00E97BCA">
        <w:rPr>
          <w:rFonts w:ascii="Arial" w:hAnsi="Arial" w:cs="Arial"/>
          <w:i/>
        </w:rPr>
        <w:t>Foc</w:t>
      </w:r>
      <w:proofErr w:type="spellEnd"/>
      <w:r w:rsidRPr="00E97BCA">
        <w:rPr>
          <w:rFonts w:ascii="Arial" w:hAnsi="Arial" w:cs="Arial"/>
        </w:rPr>
        <w:t xml:space="preserve"> race populations due to strong race associations within this pathogen (</w:t>
      </w:r>
      <w:proofErr w:type="spellStart"/>
      <w:r w:rsidRPr="00E97BCA">
        <w:rPr>
          <w:rFonts w:ascii="Arial" w:hAnsi="Arial" w:cs="Arial"/>
        </w:rPr>
        <w:t>Ploetz</w:t>
      </w:r>
      <w:proofErr w:type="spellEnd"/>
      <w:r w:rsidRPr="00E97BCA">
        <w:rPr>
          <w:rFonts w:ascii="Arial" w:hAnsi="Arial" w:cs="Arial"/>
        </w:rPr>
        <w:t xml:space="preserve">, 2006; </w:t>
      </w:r>
      <w:proofErr w:type="spellStart"/>
      <w:r w:rsidRPr="00E97BCA">
        <w:rPr>
          <w:rFonts w:ascii="Arial" w:hAnsi="Arial" w:cs="Arial"/>
        </w:rPr>
        <w:t>Thangavelu</w:t>
      </w:r>
      <w:proofErr w:type="spellEnd"/>
      <w:r w:rsidRPr="00E97BCA">
        <w:rPr>
          <w:rFonts w:ascii="Arial" w:hAnsi="Arial" w:cs="Arial"/>
        </w:rPr>
        <w:t xml:space="preserve"> and </w:t>
      </w:r>
      <w:proofErr w:type="spellStart"/>
      <w:r w:rsidRPr="00E97BCA">
        <w:rPr>
          <w:rFonts w:ascii="Arial" w:hAnsi="Arial" w:cs="Arial"/>
        </w:rPr>
        <w:t>Mustaffa</w:t>
      </w:r>
      <w:proofErr w:type="spellEnd"/>
      <w:r w:rsidRPr="00E97BCA">
        <w:rPr>
          <w:rFonts w:ascii="Arial" w:hAnsi="Arial" w:cs="Arial"/>
        </w:rPr>
        <w:t xml:space="preserve">, 2010; Mostert et al., 2017). Although VCG diversity in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has been documented for strains collected from nearly all Asian countries, it has not yet been reported in Myanmar. Therefore, the present study aimed to identify VCGs within Myanmar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populations and to determine population relationships among field isolates in order to support epidemiological monitoring and banana resistance breeding programs.</w:t>
      </w:r>
    </w:p>
    <w:p w14:paraId="4A93A459" w14:textId="77777777" w:rsidR="00790ADA" w:rsidRPr="00E97BCA" w:rsidRDefault="00790ADA" w:rsidP="00E97BCA">
      <w:pPr>
        <w:pStyle w:val="Body"/>
        <w:spacing w:after="0" w:line="312" w:lineRule="auto"/>
        <w:rPr>
          <w:rFonts w:ascii="Arial" w:hAnsi="Arial" w:cs="Arial"/>
        </w:rPr>
      </w:pPr>
    </w:p>
    <w:p w14:paraId="1D14D0E9" w14:textId="77777777" w:rsidR="00790ADA" w:rsidRPr="00E97BCA" w:rsidRDefault="00902823" w:rsidP="00E97BCA">
      <w:pPr>
        <w:pStyle w:val="AbstHead"/>
        <w:spacing w:after="0" w:line="312" w:lineRule="auto"/>
        <w:jc w:val="both"/>
        <w:rPr>
          <w:rFonts w:ascii="Arial" w:hAnsi="Arial" w:cs="Arial"/>
        </w:rPr>
      </w:pPr>
      <w:r w:rsidRPr="00E97BCA">
        <w:rPr>
          <w:rFonts w:ascii="Arial" w:hAnsi="Arial" w:cs="Arial"/>
        </w:rPr>
        <w:t>2. material and method</w:t>
      </w:r>
      <w:r w:rsidR="00000F8F" w:rsidRPr="00E97BCA">
        <w:rPr>
          <w:rFonts w:ascii="Arial" w:hAnsi="Arial" w:cs="Arial"/>
        </w:rPr>
        <w:t xml:space="preserve">s </w:t>
      </w:r>
    </w:p>
    <w:p w14:paraId="429F47AC" w14:textId="77777777" w:rsidR="002065F3" w:rsidRPr="00E97BCA" w:rsidRDefault="002065F3" w:rsidP="00E97BCA">
      <w:pPr>
        <w:spacing w:line="312" w:lineRule="auto"/>
        <w:jc w:val="both"/>
        <w:rPr>
          <w:rFonts w:ascii="Arial" w:hAnsi="Arial" w:cs="Arial"/>
          <w:b/>
        </w:rPr>
      </w:pPr>
      <w:r w:rsidRPr="00E97BCA">
        <w:rPr>
          <w:rFonts w:ascii="Arial" w:hAnsi="Arial" w:cs="Arial"/>
          <w:b/>
        </w:rPr>
        <w:t xml:space="preserve">2.1. Fungal isolation </w:t>
      </w:r>
    </w:p>
    <w:p w14:paraId="738D60D5" w14:textId="77777777" w:rsidR="002065F3" w:rsidRPr="00E97BCA" w:rsidRDefault="002065F3" w:rsidP="00E97BCA">
      <w:pPr>
        <w:spacing w:after="240" w:line="312" w:lineRule="auto"/>
        <w:ind w:firstLine="720"/>
        <w:jc w:val="both"/>
        <w:rPr>
          <w:rFonts w:ascii="Arial" w:hAnsi="Arial" w:cs="Arial"/>
        </w:rPr>
      </w:pPr>
      <w:r w:rsidRPr="00E97BCA">
        <w:rPr>
          <w:rFonts w:ascii="Arial" w:hAnsi="Arial" w:cs="Arial"/>
        </w:rPr>
        <w:t xml:space="preserve">Total of 20 </w:t>
      </w:r>
      <w:proofErr w:type="spellStart"/>
      <w:r w:rsidRPr="00E97BCA">
        <w:rPr>
          <w:rFonts w:ascii="Arial" w:hAnsi="Arial" w:cs="Arial"/>
          <w:i/>
        </w:rPr>
        <w:t>Foc</w:t>
      </w:r>
      <w:proofErr w:type="spellEnd"/>
      <w:r w:rsidRPr="00E97BCA">
        <w:rPr>
          <w:rFonts w:ascii="Arial" w:hAnsi="Arial" w:cs="Arial"/>
        </w:rPr>
        <w:t xml:space="preserve"> isolates were used in this research and they were cultured and maintained in the Laboratory of Department of Plant Pathology, YAU. All isolates except two had been previously identified as </w:t>
      </w:r>
      <w:proofErr w:type="spellStart"/>
      <w:r w:rsidRPr="00E97BCA">
        <w:rPr>
          <w:rFonts w:ascii="Arial" w:hAnsi="Arial" w:cs="Arial"/>
          <w:i/>
        </w:rPr>
        <w:t>Foc</w:t>
      </w:r>
      <w:proofErr w:type="spellEnd"/>
      <w:r w:rsidRPr="00E97BCA">
        <w:rPr>
          <w:rFonts w:ascii="Arial" w:hAnsi="Arial" w:cs="Arial"/>
        </w:rPr>
        <w:t xml:space="preserve"> race 1 through PCR assay and confirmed as pathogenic ones via pathogenicity assay on susceptible </w:t>
      </w:r>
      <w:proofErr w:type="spellStart"/>
      <w:r w:rsidRPr="00E97BCA">
        <w:rPr>
          <w:rFonts w:ascii="Arial" w:hAnsi="Arial" w:cs="Arial"/>
        </w:rPr>
        <w:t>Hpi-gyan</w:t>
      </w:r>
      <w:proofErr w:type="spellEnd"/>
      <w:r w:rsidRPr="00E97BCA">
        <w:rPr>
          <w:rFonts w:ascii="Arial" w:hAnsi="Arial" w:cs="Arial"/>
        </w:rPr>
        <w:t xml:space="preserve"> cultivar (</w:t>
      </w:r>
      <w:proofErr w:type="spellStart"/>
      <w:r w:rsidRPr="00E97BCA">
        <w:rPr>
          <w:rFonts w:ascii="Arial" w:hAnsi="Arial" w:cs="Arial"/>
        </w:rPr>
        <w:t>Bluggoe</w:t>
      </w:r>
      <w:proofErr w:type="spellEnd"/>
      <w:r w:rsidRPr="00E97BCA">
        <w:rPr>
          <w:rFonts w:ascii="Arial" w:hAnsi="Arial" w:cs="Arial"/>
        </w:rPr>
        <w:t xml:space="preserve"> subgroup, ABB genome group). Both of these assays were conducted at the same department in 2024. All isolates were sub-cultured onto potato dextrose agar (PDA) modified with 0.1 g L</w:t>
      </w:r>
      <w:r w:rsidRPr="00E97BCA">
        <w:rPr>
          <w:rFonts w:ascii="Arial" w:hAnsi="Arial" w:cs="Arial"/>
          <w:vertAlign w:val="superscript"/>
        </w:rPr>
        <w:t>-1</w:t>
      </w:r>
      <w:r w:rsidRPr="00E97BCA">
        <w:rPr>
          <w:rFonts w:ascii="Arial" w:hAnsi="Arial" w:cs="Arial"/>
        </w:rPr>
        <w:t xml:space="preserve"> of (0.01%) streptomycin, and incubated for 10 days at 28°C in a growth </w:t>
      </w:r>
      <w:r w:rsidRPr="00E97BCA">
        <w:rPr>
          <w:rFonts w:ascii="Arial" w:hAnsi="Arial" w:cs="Arial"/>
        </w:rPr>
        <w:lastRenderedPageBreak/>
        <w:t xml:space="preserve">chamber (Leslie et al. 2006). After 10 days of incubation, colony were checked and compared to characteristics of </w:t>
      </w:r>
      <w:r w:rsidRPr="00E97BCA">
        <w:rPr>
          <w:rFonts w:ascii="Arial" w:hAnsi="Arial" w:cs="Arial"/>
          <w:i/>
        </w:rPr>
        <w:t>Fusarium</w:t>
      </w:r>
      <w:r w:rsidRPr="00E97BCA">
        <w:rPr>
          <w:rFonts w:ascii="Arial" w:hAnsi="Arial" w:cs="Arial"/>
        </w:rPr>
        <w:t xml:space="preserve"> spp. described by Nelson and Leslie and </w:t>
      </w:r>
      <w:proofErr w:type="spellStart"/>
      <w:r w:rsidRPr="00E97BCA">
        <w:rPr>
          <w:rFonts w:ascii="Arial" w:hAnsi="Arial" w:cs="Arial"/>
        </w:rPr>
        <w:t>Summerell</w:t>
      </w:r>
      <w:proofErr w:type="spellEnd"/>
      <w:r w:rsidRPr="00E97BCA">
        <w:rPr>
          <w:rFonts w:ascii="Arial" w:hAnsi="Arial" w:cs="Arial"/>
        </w:rPr>
        <w:t xml:space="preserve"> (2006). Then, single spore isolation was made for each isolate and the details of all isolates with respect to cultiv</w:t>
      </w:r>
      <w:r w:rsidR="00E97BCA">
        <w:rPr>
          <w:rFonts w:ascii="Arial" w:hAnsi="Arial" w:cs="Arial"/>
        </w:rPr>
        <w:t>ars and locations were marked (T</w:t>
      </w:r>
      <w:r w:rsidRPr="00E97BCA">
        <w:rPr>
          <w:rFonts w:ascii="Arial" w:hAnsi="Arial" w:cs="Arial"/>
        </w:rPr>
        <w:t xml:space="preserve">able 1). </w:t>
      </w:r>
    </w:p>
    <w:p w14:paraId="11C8B2EF" w14:textId="77777777" w:rsidR="002065F3" w:rsidRPr="00E97BCA" w:rsidRDefault="002065F3" w:rsidP="00E97BCA">
      <w:pPr>
        <w:spacing w:line="312" w:lineRule="auto"/>
        <w:jc w:val="both"/>
        <w:rPr>
          <w:rFonts w:ascii="Arial" w:hAnsi="Arial" w:cs="Arial"/>
          <w:b/>
        </w:rPr>
      </w:pPr>
      <w:r w:rsidRPr="00E97BCA">
        <w:rPr>
          <w:rFonts w:ascii="Arial" w:hAnsi="Arial" w:cs="Arial"/>
          <w:b/>
        </w:rPr>
        <w:t>Table 1</w:t>
      </w:r>
      <w:r w:rsidR="008315B6">
        <w:rPr>
          <w:rFonts w:ascii="Arial" w:hAnsi="Arial" w:cs="Arial"/>
          <w:b/>
        </w:rPr>
        <w:t>.</w:t>
      </w:r>
      <w:r w:rsidRPr="00E97BCA">
        <w:rPr>
          <w:rFonts w:ascii="Arial" w:hAnsi="Arial" w:cs="Arial"/>
          <w:b/>
        </w:rPr>
        <w:t xml:space="preserve"> List of 20 </w:t>
      </w:r>
      <w:proofErr w:type="spellStart"/>
      <w:r w:rsidRPr="00E97BCA">
        <w:rPr>
          <w:rFonts w:ascii="Arial" w:hAnsi="Arial" w:cs="Arial"/>
          <w:b/>
          <w:i/>
        </w:rPr>
        <w:t>Foc</w:t>
      </w:r>
      <w:proofErr w:type="spellEnd"/>
      <w:r w:rsidRPr="00E97BCA">
        <w:rPr>
          <w:rFonts w:ascii="Arial" w:hAnsi="Arial" w:cs="Arial"/>
          <w:b/>
          <w:i/>
        </w:rPr>
        <w:t xml:space="preserve"> </w:t>
      </w:r>
      <w:r w:rsidRPr="00E97BCA">
        <w:rPr>
          <w:rFonts w:ascii="Arial" w:hAnsi="Arial" w:cs="Arial"/>
          <w:b/>
        </w:rPr>
        <w:t>isolates used in this study and their source of collection</w:t>
      </w:r>
    </w:p>
    <w:tbl>
      <w:tblPr>
        <w:tblStyle w:val="TableGrid"/>
        <w:tblW w:w="9382" w:type="dxa"/>
        <w:tblLook w:val="04A0" w:firstRow="1" w:lastRow="0" w:firstColumn="1" w:lastColumn="0" w:noHBand="0" w:noVBand="1"/>
      </w:tblPr>
      <w:tblGrid>
        <w:gridCol w:w="650"/>
        <w:gridCol w:w="2459"/>
        <w:gridCol w:w="2314"/>
        <w:gridCol w:w="1938"/>
        <w:gridCol w:w="2021"/>
      </w:tblGrid>
      <w:tr w:rsidR="002065F3" w:rsidRPr="00E97BCA" w14:paraId="71628CCA" w14:textId="77777777" w:rsidTr="00AB0903">
        <w:trPr>
          <w:trHeight w:val="800"/>
        </w:trPr>
        <w:tc>
          <w:tcPr>
            <w:tcW w:w="650" w:type="dxa"/>
            <w:tcBorders>
              <w:left w:val="nil"/>
              <w:bottom w:val="single" w:sz="4" w:space="0" w:color="auto"/>
              <w:right w:val="nil"/>
            </w:tcBorders>
            <w:vAlign w:val="center"/>
          </w:tcPr>
          <w:p w14:paraId="5B852F7F"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Sr. no.</w:t>
            </w:r>
          </w:p>
        </w:tc>
        <w:tc>
          <w:tcPr>
            <w:tcW w:w="2459" w:type="dxa"/>
            <w:tcBorders>
              <w:left w:val="nil"/>
              <w:bottom w:val="single" w:sz="4" w:space="0" w:color="auto"/>
              <w:right w:val="nil"/>
            </w:tcBorders>
            <w:vAlign w:val="center"/>
          </w:tcPr>
          <w:p w14:paraId="1F7C0F94"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Isolate name</w:t>
            </w:r>
          </w:p>
        </w:tc>
        <w:tc>
          <w:tcPr>
            <w:tcW w:w="2314" w:type="dxa"/>
            <w:tcBorders>
              <w:left w:val="nil"/>
              <w:bottom w:val="single" w:sz="4" w:space="0" w:color="auto"/>
              <w:right w:val="nil"/>
            </w:tcBorders>
            <w:vAlign w:val="center"/>
          </w:tcPr>
          <w:p w14:paraId="756E5E94"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Village</w:t>
            </w:r>
          </w:p>
        </w:tc>
        <w:tc>
          <w:tcPr>
            <w:tcW w:w="1938" w:type="dxa"/>
            <w:tcBorders>
              <w:left w:val="nil"/>
              <w:bottom w:val="single" w:sz="4" w:space="0" w:color="auto"/>
              <w:right w:val="nil"/>
            </w:tcBorders>
            <w:vAlign w:val="center"/>
          </w:tcPr>
          <w:p w14:paraId="262F4E5A"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Township</w:t>
            </w:r>
          </w:p>
        </w:tc>
        <w:tc>
          <w:tcPr>
            <w:tcW w:w="2021" w:type="dxa"/>
            <w:tcBorders>
              <w:left w:val="nil"/>
              <w:right w:val="nil"/>
            </w:tcBorders>
            <w:vAlign w:val="center"/>
            <w:hideMark/>
          </w:tcPr>
          <w:p w14:paraId="7FDD8C76"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b/>
                <w:bCs/>
                <w:kern w:val="24"/>
                <w:sz w:val="20"/>
                <w:szCs w:val="20"/>
              </w:rPr>
              <w:t>Region</w:t>
            </w:r>
          </w:p>
        </w:tc>
      </w:tr>
      <w:tr w:rsidR="002065F3" w:rsidRPr="00E97BCA" w14:paraId="11622DF2" w14:textId="77777777" w:rsidTr="00AB0903">
        <w:trPr>
          <w:trHeight w:val="398"/>
        </w:trPr>
        <w:tc>
          <w:tcPr>
            <w:tcW w:w="650" w:type="dxa"/>
            <w:tcBorders>
              <w:left w:val="nil"/>
              <w:bottom w:val="nil"/>
              <w:right w:val="nil"/>
            </w:tcBorders>
          </w:tcPr>
          <w:p w14:paraId="6CC02062"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1.</w:t>
            </w:r>
          </w:p>
        </w:tc>
        <w:tc>
          <w:tcPr>
            <w:tcW w:w="2459" w:type="dxa"/>
            <w:tcBorders>
              <w:left w:val="nil"/>
              <w:bottom w:val="nil"/>
              <w:right w:val="nil"/>
            </w:tcBorders>
          </w:tcPr>
          <w:p w14:paraId="21A74B4F" w14:textId="77777777" w:rsidR="002065F3" w:rsidRPr="00E97BCA" w:rsidRDefault="002065F3" w:rsidP="00E97BCA">
            <w:pPr>
              <w:pStyle w:val="NormalWeb"/>
              <w:spacing w:before="0" w:beforeAutospacing="0" w:after="0" w:afterAutospacing="0" w:line="312" w:lineRule="auto"/>
              <w:jc w:val="both"/>
              <w:rPr>
                <w:rFonts w:ascii="Arial" w:hAnsi="Arial" w:cs="Arial"/>
                <w:sz w:val="20"/>
                <w:szCs w:val="20"/>
              </w:rPr>
            </w:pPr>
            <w:r w:rsidRPr="00E97BCA">
              <w:rPr>
                <w:rFonts w:ascii="Arial" w:hAnsi="Arial" w:cs="Arial"/>
                <w:kern w:val="24"/>
                <w:sz w:val="20"/>
                <w:szCs w:val="20"/>
              </w:rPr>
              <w:t>Kyonpyaw-1</w:t>
            </w:r>
          </w:p>
        </w:tc>
        <w:tc>
          <w:tcPr>
            <w:tcW w:w="2314" w:type="dxa"/>
            <w:tcBorders>
              <w:left w:val="nil"/>
              <w:bottom w:val="nil"/>
              <w:right w:val="nil"/>
            </w:tcBorders>
          </w:tcPr>
          <w:p w14:paraId="2A00EB58"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Nyaungpinkwin</w:t>
            </w:r>
            <w:proofErr w:type="spellEnd"/>
          </w:p>
        </w:tc>
        <w:tc>
          <w:tcPr>
            <w:tcW w:w="1938" w:type="dxa"/>
            <w:tcBorders>
              <w:left w:val="nil"/>
              <w:bottom w:val="nil"/>
              <w:right w:val="nil"/>
            </w:tcBorders>
          </w:tcPr>
          <w:p w14:paraId="00515A0D"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Kyonpyaw</w:t>
            </w:r>
            <w:proofErr w:type="spellEnd"/>
          </w:p>
        </w:tc>
        <w:tc>
          <w:tcPr>
            <w:tcW w:w="2021" w:type="dxa"/>
            <w:vMerge w:val="restart"/>
            <w:tcBorders>
              <w:left w:val="nil"/>
              <w:right w:val="nil"/>
            </w:tcBorders>
          </w:tcPr>
          <w:p w14:paraId="4BF85859"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kern w:val="24"/>
                <w:sz w:val="20"/>
                <w:szCs w:val="20"/>
              </w:rPr>
              <w:t>Ayeyarwady</w:t>
            </w:r>
          </w:p>
        </w:tc>
      </w:tr>
      <w:tr w:rsidR="002065F3" w:rsidRPr="00E97BCA" w14:paraId="54B7B8C5" w14:textId="77777777" w:rsidTr="00AB0903">
        <w:trPr>
          <w:trHeight w:val="398"/>
        </w:trPr>
        <w:tc>
          <w:tcPr>
            <w:tcW w:w="650" w:type="dxa"/>
            <w:tcBorders>
              <w:top w:val="nil"/>
              <w:left w:val="nil"/>
              <w:bottom w:val="single" w:sz="4" w:space="0" w:color="auto"/>
              <w:right w:val="nil"/>
            </w:tcBorders>
          </w:tcPr>
          <w:p w14:paraId="7E895615"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2.</w:t>
            </w:r>
          </w:p>
        </w:tc>
        <w:tc>
          <w:tcPr>
            <w:tcW w:w="2459" w:type="dxa"/>
            <w:tcBorders>
              <w:top w:val="nil"/>
              <w:left w:val="nil"/>
              <w:bottom w:val="single" w:sz="4" w:space="0" w:color="auto"/>
              <w:right w:val="nil"/>
            </w:tcBorders>
          </w:tcPr>
          <w:p w14:paraId="75B8542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Kyonpyaw-2</w:t>
            </w:r>
          </w:p>
        </w:tc>
        <w:tc>
          <w:tcPr>
            <w:tcW w:w="2314" w:type="dxa"/>
            <w:tcBorders>
              <w:top w:val="nil"/>
              <w:left w:val="nil"/>
              <w:bottom w:val="single" w:sz="4" w:space="0" w:color="auto"/>
              <w:right w:val="nil"/>
            </w:tcBorders>
          </w:tcPr>
          <w:p w14:paraId="3B81EF3B"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Saintgyi</w:t>
            </w:r>
            <w:proofErr w:type="spellEnd"/>
          </w:p>
        </w:tc>
        <w:tc>
          <w:tcPr>
            <w:tcW w:w="1938" w:type="dxa"/>
            <w:tcBorders>
              <w:top w:val="nil"/>
              <w:left w:val="nil"/>
              <w:bottom w:val="single" w:sz="4" w:space="0" w:color="auto"/>
              <w:right w:val="nil"/>
            </w:tcBorders>
          </w:tcPr>
          <w:p w14:paraId="02C37CC9"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Kyonpyaw</w:t>
            </w:r>
            <w:proofErr w:type="spellEnd"/>
          </w:p>
        </w:tc>
        <w:tc>
          <w:tcPr>
            <w:tcW w:w="0" w:type="auto"/>
            <w:vMerge/>
            <w:tcBorders>
              <w:left w:val="nil"/>
              <w:right w:val="nil"/>
            </w:tcBorders>
            <w:vAlign w:val="center"/>
          </w:tcPr>
          <w:p w14:paraId="2096D009"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74A7CF1" w14:textId="77777777" w:rsidTr="00AB0903">
        <w:trPr>
          <w:trHeight w:val="398"/>
        </w:trPr>
        <w:tc>
          <w:tcPr>
            <w:tcW w:w="650" w:type="dxa"/>
            <w:tcBorders>
              <w:left w:val="nil"/>
              <w:bottom w:val="nil"/>
              <w:right w:val="nil"/>
            </w:tcBorders>
          </w:tcPr>
          <w:p w14:paraId="273843B2"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3.</w:t>
            </w:r>
          </w:p>
        </w:tc>
        <w:tc>
          <w:tcPr>
            <w:tcW w:w="2459" w:type="dxa"/>
            <w:tcBorders>
              <w:left w:val="nil"/>
              <w:bottom w:val="nil"/>
              <w:right w:val="nil"/>
            </w:tcBorders>
          </w:tcPr>
          <w:p w14:paraId="3489CD3F" w14:textId="77777777" w:rsidR="002065F3" w:rsidRPr="00E97BCA" w:rsidRDefault="002065F3" w:rsidP="00E97BCA">
            <w:pPr>
              <w:pStyle w:val="NormalWeb"/>
              <w:spacing w:before="0" w:beforeAutospacing="0" w:after="0" w:afterAutospacing="0" w:line="312" w:lineRule="auto"/>
              <w:jc w:val="both"/>
              <w:rPr>
                <w:rFonts w:ascii="Arial" w:hAnsi="Arial" w:cs="Arial"/>
                <w:sz w:val="20"/>
                <w:szCs w:val="20"/>
              </w:rPr>
            </w:pPr>
            <w:r w:rsidRPr="00E97BCA">
              <w:rPr>
                <w:rFonts w:ascii="Arial" w:hAnsi="Arial" w:cs="Arial"/>
                <w:kern w:val="24"/>
                <w:sz w:val="20"/>
                <w:szCs w:val="20"/>
              </w:rPr>
              <w:t>Dadaroo-1</w:t>
            </w:r>
          </w:p>
        </w:tc>
        <w:tc>
          <w:tcPr>
            <w:tcW w:w="2314" w:type="dxa"/>
            <w:tcBorders>
              <w:left w:val="nil"/>
              <w:bottom w:val="nil"/>
              <w:right w:val="nil"/>
            </w:tcBorders>
          </w:tcPr>
          <w:p w14:paraId="2593AB9A"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Sakarinn</w:t>
            </w:r>
            <w:proofErr w:type="spellEnd"/>
          </w:p>
        </w:tc>
        <w:tc>
          <w:tcPr>
            <w:tcW w:w="1938" w:type="dxa"/>
            <w:tcBorders>
              <w:left w:val="nil"/>
              <w:bottom w:val="nil"/>
              <w:right w:val="nil"/>
            </w:tcBorders>
          </w:tcPr>
          <w:p w14:paraId="2D2AF1E3"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Dadaroo</w:t>
            </w:r>
            <w:proofErr w:type="spellEnd"/>
          </w:p>
        </w:tc>
        <w:tc>
          <w:tcPr>
            <w:tcW w:w="2021" w:type="dxa"/>
            <w:vMerge w:val="restart"/>
            <w:tcBorders>
              <w:left w:val="nil"/>
              <w:right w:val="nil"/>
            </w:tcBorders>
          </w:tcPr>
          <w:p w14:paraId="638E5B1E"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kern w:val="24"/>
                <w:sz w:val="20"/>
                <w:szCs w:val="20"/>
              </w:rPr>
              <w:t>Mandalay</w:t>
            </w:r>
          </w:p>
        </w:tc>
      </w:tr>
      <w:tr w:rsidR="002065F3" w:rsidRPr="00E97BCA" w14:paraId="4787E528" w14:textId="77777777" w:rsidTr="00AB0903">
        <w:trPr>
          <w:trHeight w:val="398"/>
        </w:trPr>
        <w:tc>
          <w:tcPr>
            <w:tcW w:w="650" w:type="dxa"/>
            <w:tcBorders>
              <w:top w:val="nil"/>
              <w:left w:val="nil"/>
              <w:bottom w:val="nil"/>
              <w:right w:val="nil"/>
            </w:tcBorders>
          </w:tcPr>
          <w:p w14:paraId="2FA80ABC"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4.</w:t>
            </w:r>
          </w:p>
        </w:tc>
        <w:tc>
          <w:tcPr>
            <w:tcW w:w="2459" w:type="dxa"/>
            <w:tcBorders>
              <w:top w:val="nil"/>
              <w:left w:val="nil"/>
              <w:bottom w:val="nil"/>
              <w:right w:val="nil"/>
            </w:tcBorders>
          </w:tcPr>
          <w:p w14:paraId="5CB09853"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Patheingyi-1</w:t>
            </w:r>
          </w:p>
        </w:tc>
        <w:tc>
          <w:tcPr>
            <w:tcW w:w="2314" w:type="dxa"/>
            <w:tcBorders>
              <w:top w:val="nil"/>
              <w:left w:val="nil"/>
              <w:bottom w:val="nil"/>
              <w:right w:val="nil"/>
            </w:tcBorders>
          </w:tcPr>
          <w:p w14:paraId="7DD093AC"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Nyaungpinthar</w:t>
            </w:r>
            <w:proofErr w:type="spellEnd"/>
          </w:p>
        </w:tc>
        <w:tc>
          <w:tcPr>
            <w:tcW w:w="1938" w:type="dxa"/>
            <w:tcBorders>
              <w:top w:val="nil"/>
              <w:left w:val="nil"/>
              <w:bottom w:val="nil"/>
              <w:right w:val="nil"/>
            </w:tcBorders>
          </w:tcPr>
          <w:p w14:paraId="45BE206D"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Patheingyi</w:t>
            </w:r>
            <w:proofErr w:type="spellEnd"/>
          </w:p>
        </w:tc>
        <w:tc>
          <w:tcPr>
            <w:tcW w:w="0" w:type="auto"/>
            <w:vMerge/>
            <w:tcBorders>
              <w:left w:val="nil"/>
              <w:right w:val="nil"/>
            </w:tcBorders>
            <w:vAlign w:val="center"/>
          </w:tcPr>
          <w:p w14:paraId="29EEC1A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314677D2" w14:textId="77777777" w:rsidTr="00AB0903">
        <w:trPr>
          <w:trHeight w:val="398"/>
        </w:trPr>
        <w:tc>
          <w:tcPr>
            <w:tcW w:w="650" w:type="dxa"/>
            <w:tcBorders>
              <w:top w:val="nil"/>
              <w:left w:val="nil"/>
              <w:bottom w:val="nil"/>
              <w:right w:val="nil"/>
            </w:tcBorders>
          </w:tcPr>
          <w:p w14:paraId="436EFFE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5.</w:t>
            </w:r>
          </w:p>
        </w:tc>
        <w:tc>
          <w:tcPr>
            <w:tcW w:w="2459" w:type="dxa"/>
            <w:tcBorders>
              <w:top w:val="nil"/>
              <w:left w:val="nil"/>
              <w:bottom w:val="nil"/>
              <w:right w:val="nil"/>
            </w:tcBorders>
          </w:tcPr>
          <w:p w14:paraId="145D237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Kyaukse-1</w:t>
            </w:r>
          </w:p>
        </w:tc>
        <w:tc>
          <w:tcPr>
            <w:tcW w:w="2314" w:type="dxa"/>
            <w:tcBorders>
              <w:top w:val="nil"/>
              <w:left w:val="nil"/>
              <w:bottom w:val="nil"/>
              <w:right w:val="nil"/>
            </w:tcBorders>
          </w:tcPr>
          <w:p w14:paraId="5426ED3D"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Thanywa</w:t>
            </w:r>
            <w:proofErr w:type="spellEnd"/>
            <w:r w:rsidRPr="00E97BCA">
              <w:rPr>
                <w:rFonts w:ascii="Arial" w:hAnsi="Arial" w:cs="Arial"/>
                <w:kern w:val="24"/>
                <w:sz w:val="20"/>
                <w:szCs w:val="20"/>
              </w:rPr>
              <w:t xml:space="preserve"> (West)</w:t>
            </w:r>
          </w:p>
        </w:tc>
        <w:tc>
          <w:tcPr>
            <w:tcW w:w="1938" w:type="dxa"/>
            <w:tcBorders>
              <w:top w:val="nil"/>
              <w:left w:val="nil"/>
              <w:bottom w:val="nil"/>
              <w:right w:val="nil"/>
            </w:tcBorders>
          </w:tcPr>
          <w:p w14:paraId="746828E7"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Kyaukse</w:t>
            </w:r>
            <w:proofErr w:type="spellEnd"/>
          </w:p>
        </w:tc>
        <w:tc>
          <w:tcPr>
            <w:tcW w:w="0" w:type="auto"/>
            <w:vMerge/>
            <w:tcBorders>
              <w:left w:val="nil"/>
              <w:right w:val="nil"/>
            </w:tcBorders>
            <w:vAlign w:val="center"/>
          </w:tcPr>
          <w:p w14:paraId="5AF62DC3"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3304D58A" w14:textId="77777777" w:rsidTr="00AB0903">
        <w:trPr>
          <w:trHeight w:val="398"/>
        </w:trPr>
        <w:tc>
          <w:tcPr>
            <w:tcW w:w="650" w:type="dxa"/>
            <w:tcBorders>
              <w:top w:val="nil"/>
              <w:left w:val="nil"/>
              <w:bottom w:val="nil"/>
              <w:right w:val="nil"/>
            </w:tcBorders>
          </w:tcPr>
          <w:p w14:paraId="776F6EE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6.</w:t>
            </w:r>
          </w:p>
        </w:tc>
        <w:tc>
          <w:tcPr>
            <w:tcW w:w="2459" w:type="dxa"/>
            <w:tcBorders>
              <w:top w:val="nil"/>
              <w:left w:val="nil"/>
              <w:bottom w:val="nil"/>
              <w:right w:val="nil"/>
            </w:tcBorders>
          </w:tcPr>
          <w:p w14:paraId="08FF90C8"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Myitthar-1</w:t>
            </w:r>
          </w:p>
        </w:tc>
        <w:tc>
          <w:tcPr>
            <w:tcW w:w="2314" w:type="dxa"/>
            <w:tcBorders>
              <w:top w:val="nil"/>
              <w:left w:val="nil"/>
              <w:bottom w:val="nil"/>
              <w:right w:val="nil"/>
            </w:tcBorders>
          </w:tcPr>
          <w:p w14:paraId="4F6206EC"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Yakhainggyi</w:t>
            </w:r>
            <w:proofErr w:type="spellEnd"/>
          </w:p>
        </w:tc>
        <w:tc>
          <w:tcPr>
            <w:tcW w:w="1938" w:type="dxa"/>
            <w:tcBorders>
              <w:top w:val="nil"/>
              <w:left w:val="nil"/>
              <w:bottom w:val="nil"/>
              <w:right w:val="nil"/>
            </w:tcBorders>
          </w:tcPr>
          <w:p w14:paraId="7EB0636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Myitthar</w:t>
            </w:r>
            <w:proofErr w:type="spellEnd"/>
          </w:p>
        </w:tc>
        <w:tc>
          <w:tcPr>
            <w:tcW w:w="0" w:type="auto"/>
            <w:vMerge/>
            <w:tcBorders>
              <w:left w:val="nil"/>
              <w:right w:val="nil"/>
            </w:tcBorders>
            <w:vAlign w:val="center"/>
          </w:tcPr>
          <w:p w14:paraId="4FE22DD3"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22E539AD" w14:textId="77777777" w:rsidTr="00AB0903">
        <w:trPr>
          <w:trHeight w:val="398"/>
        </w:trPr>
        <w:tc>
          <w:tcPr>
            <w:tcW w:w="650" w:type="dxa"/>
            <w:tcBorders>
              <w:top w:val="nil"/>
              <w:left w:val="nil"/>
              <w:bottom w:val="nil"/>
              <w:right w:val="nil"/>
            </w:tcBorders>
          </w:tcPr>
          <w:p w14:paraId="5B80D976"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7.</w:t>
            </w:r>
          </w:p>
        </w:tc>
        <w:tc>
          <w:tcPr>
            <w:tcW w:w="2459" w:type="dxa"/>
            <w:tcBorders>
              <w:top w:val="nil"/>
              <w:left w:val="nil"/>
              <w:bottom w:val="nil"/>
              <w:right w:val="nil"/>
            </w:tcBorders>
          </w:tcPr>
          <w:p w14:paraId="792364E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Myitthar-2</w:t>
            </w:r>
          </w:p>
        </w:tc>
        <w:tc>
          <w:tcPr>
            <w:tcW w:w="2314" w:type="dxa"/>
            <w:tcBorders>
              <w:top w:val="nil"/>
              <w:left w:val="nil"/>
              <w:bottom w:val="nil"/>
              <w:right w:val="nil"/>
            </w:tcBorders>
          </w:tcPr>
          <w:p w14:paraId="5DE2AE02"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Kume</w:t>
            </w:r>
            <w:proofErr w:type="spellEnd"/>
          </w:p>
        </w:tc>
        <w:tc>
          <w:tcPr>
            <w:tcW w:w="1938" w:type="dxa"/>
            <w:tcBorders>
              <w:top w:val="nil"/>
              <w:left w:val="nil"/>
              <w:bottom w:val="nil"/>
              <w:right w:val="nil"/>
            </w:tcBorders>
          </w:tcPr>
          <w:p w14:paraId="5C3A76A4"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Myitthar</w:t>
            </w:r>
            <w:proofErr w:type="spellEnd"/>
          </w:p>
        </w:tc>
        <w:tc>
          <w:tcPr>
            <w:tcW w:w="0" w:type="auto"/>
            <w:vMerge/>
            <w:tcBorders>
              <w:left w:val="nil"/>
              <w:right w:val="nil"/>
            </w:tcBorders>
            <w:vAlign w:val="center"/>
          </w:tcPr>
          <w:p w14:paraId="49E64B58"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088AB544" w14:textId="77777777" w:rsidTr="00AB0903">
        <w:trPr>
          <w:trHeight w:val="398"/>
        </w:trPr>
        <w:tc>
          <w:tcPr>
            <w:tcW w:w="650" w:type="dxa"/>
            <w:tcBorders>
              <w:top w:val="nil"/>
              <w:left w:val="nil"/>
              <w:bottom w:val="nil"/>
              <w:right w:val="nil"/>
            </w:tcBorders>
          </w:tcPr>
          <w:p w14:paraId="4EE258FF"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8.</w:t>
            </w:r>
          </w:p>
        </w:tc>
        <w:tc>
          <w:tcPr>
            <w:tcW w:w="2459" w:type="dxa"/>
            <w:tcBorders>
              <w:top w:val="nil"/>
              <w:left w:val="nil"/>
              <w:bottom w:val="nil"/>
              <w:right w:val="nil"/>
            </w:tcBorders>
          </w:tcPr>
          <w:p w14:paraId="5C7CFC7C"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Nyaung-U-1</w:t>
            </w:r>
          </w:p>
        </w:tc>
        <w:tc>
          <w:tcPr>
            <w:tcW w:w="2314" w:type="dxa"/>
            <w:tcBorders>
              <w:top w:val="nil"/>
              <w:left w:val="nil"/>
              <w:bottom w:val="nil"/>
              <w:right w:val="nil"/>
            </w:tcBorders>
          </w:tcPr>
          <w:p w14:paraId="41EF16AF"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Letpanchaypaw</w:t>
            </w:r>
            <w:proofErr w:type="spellEnd"/>
          </w:p>
        </w:tc>
        <w:tc>
          <w:tcPr>
            <w:tcW w:w="1938" w:type="dxa"/>
            <w:tcBorders>
              <w:top w:val="nil"/>
              <w:left w:val="nil"/>
              <w:bottom w:val="nil"/>
              <w:right w:val="nil"/>
            </w:tcBorders>
          </w:tcPr>
          <w:p w14:paraId="0C461829"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Nyaung</w:t>
            </w:r>
            <w:proofErr w:type="spellEnd"/>
            <w:r w:rsidRPr="00E97BCA">
              <w:rPr>
                <w:rFonts w:ascii="Arial" w:hAnsi="Arial" w:cs="Arial"/>
                <w:kern w:val="24"/>
                <w:sz w:val="20"/>
                <w:szCs w:val="20"/>
              </w:rPr>
              <w:t>-U</w:t>
            </w:r>
          </w:p>
        </w:tc>
        <w:tc>
          <w:tcPr>
            <w:tcW w:w="0" w:type="auto"/>
            <w:vMerge/>
            <w:tcBorders>
              <w:left w:val="nil"/>
              <w:right w:val="nil"/>
            </w:tcBorders>
            <w:vAlign w:val="center"/>
          </w:tcPr>
          <w:p w14:paraId="7819958A"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FFC9EB0" w14:textId="77777777" w:rsidTr="00AB0903">
        <w:trPr>
          <w:trHeight w:val="398"/>
        </w:trPr>
        <w:tc>
          <w:tcPr>
            <w:tcW w:w="650" w:type="dxa"/>
            <w:tcBorders>
              <w:top w:val="nil"/>
              <w:left w:val="nil"/>
              <w:bottom w:val="single" w:sz="4" w:space="0" w:color="auto"/>
              <w:right w:val="nil"/>
            </w:tcBorders>
          </w:tcPr>
          <w:p w14:paraId="4C5894F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9.</w:t>
            </w:r>
          </w:p>
        </w:tc>
        <w:tc>
          <w:tcPr>
            <w:tcW w:w="2459" w:type="dxa"/>
            <w:tcBorders>
              <w:top w:val="nil"/>
              <w:left w:val="nil"/>
              <w:bottom w:val="single" w:sz="4" w:space="0" w:color="auto"/>
              <w:right w:val="nil"/>
            </w:tcBorders>
          </w:tcPr>
          <w:p w14:paraId="7D58C350"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Kyaukpadaung-1</w:t>
            </w:r>
          </w:p>
        </w:tc>
        <w:tc>
          <w:tcPr>
            <w:tcW w:w="2314" w:type="dxa"/>
            <w:tcBorders>
              <w:top w:val="nil"/>
              <w:left w:val="nil"/>
              <w:bottom w:val="single" w:sz="4" w:space="0" w:color="auto"/>
              <w:right w:val="nil"/>
            </w:tcBorders>
          </w:tcPr>
          <w:p w14:paraId="5149DB9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 xml:space="preserve">Popa, </w:t>
            </w:r>
            <w:proofErr w:type="spellStart"/>
            <w:r w:rsidRPr="00E97BCA">
              <w:rPr>
                <w:rFonts w:ascii="Arial" w:hAnsi="Arial" w:cs="Arial"/>
                <w:kern w:val="24"/>
                <w:sz w:val="20"/>
                <w:szCs w:val="20"/>
              </w:rPr>
              <w:t>Taungpawywa</w:t>
            </w:r>
            <w:proofErr w:type="spellEnd"/>
          </w:p>
        </w:tc>
        <w:tc>
          <w:tcPr>
            <w:tcW w:w="1938" w:type="dxa"/>
            <w:tcBorders>
              <w:top w:val="nil"/>
              <w:left w:val="nil"/>
              <w:bottom w:val="single" w:sz="4" w:space="0" w:color="auto"/>
              <w:right w:val="nil"/>
            </w:tcBorders>
          </w:tcPr>
          <w:p w14:paraId="197AB9C7"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Kyaukpadaung</w:t>
            </w:r>
            <w:proofErr w:type="spellEnd"/>
          </w:p>
        </w:tc>
        <w:tc>
          <w:tcPr>
            <w:tcW w:w="0" w:type="auto"/>
            <w:vMerge/>
            <w:tcBorders>
              <w:left w:val="nil"/>
              <w:right w:val="nil"/>
            </w:tcBorders>
            <w:vAlign w:val="center"/>
          </w:tcPr>
          <w:p w14:paraId="1435D36C"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0AE514E1" w14:textId="77777777" w:rsidTr="00AB0903">
        <w:trPr>
          <w:trHeight w:val="398"/>
        </w:trPr>
        <w:tc>
          <w:tcPr>
            <w:tcW w:w="650" w:type="dxa"/>
            <w:tcBorders>
              <w:left w:val="nil"/>
              <w:bottom w:val="nil"/>
              <w:right w:val="nil"/>
            </w:tcBorders>
          </w:tcPr>
          <w:p w14:paraId="4960B894"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10.</w:t>
            </w:r>
          </w:p>
        </w:tc>
        <w:tc>
          <w:tcPr>
            <w:tcW w:w="2459" w:type="dxa"/>
            <w:tcBorders>
              <w:left w:val="nil"/>
              <w:bottom w:val="nil"/>
              <w:right w:val="nil"/>
            </w:tcBorders>
          </w:tcPr>
          <w:p w14:paraId="1E95DC4F" w14:textId="77777777" w:rsidR="002065F3" w:rsidRPr="00E97BCA" w:rsidRDefault="002065F3" w:rsidP="00E97BCA">
            <w:pPr>
              <w:pStyle w:val="NormalWeb"/>
              <w:spacing w:before="0" w:beforeAutospacing="0" w:after="0" w:afterAutospacing="0" w:line="312" w:lineRule="auto"/>
              <w:jc w:val="both"/>
              <w:rPr>
                <w:rFonts w:ascii="Arial" w:hAnsi="Arial" w:cs="Arial"/>
                <w:sz w:val="20"/>
                <w:szCs w:val="20"/>
              </w:rPr>
            </w:pPr>
            <w:r w:rsidRPr="00E97BCA">
              <w:rPr>
                <w:rFonts w:ascii="Arial" w:hAnsi="Arial" w:cs="Arial"/>
                <w:kern w:val="24"/>
                <w:sz w:val="20"/>
                <w:szCs w:val="20"/>
              </w:rPr>
              <w:t>Pyinmana-1</w:t>
            </w:r>
          </w:p>
        </w:tc>
        <w:tc>
          <w:tcPr>
            <w:tcW w:w="2314" w:type="dxa"/>
            <w:tcBorders>
              <w:left w:val="nil"/>
              <w:bottom w:val="nil"/>
              <w:right w:val="nil"/>
            </w:tcBorders>
          </w:tcPr>
          <w:p w14:paraId="763194AB"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Thanatpinzeik</w:t>
            </w:r>
            <w:proofErr w:type="spellEnd"/>
          </w:p>
        </w:tc>
        <w:tc>
          <w:tcPr>
            <w:tcW w:w="1938" w:type="dxa"/>
            <w:tcBorders>
              <w:left w:val="nil"/>
              <w:bottom w:val="nil"/>
              <w:right w:val="nil"/>
            </w:tcBorders>
          </w:tcPr>
          <w:p w14:paraId="67215962"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Pyinmana</w:t>
            </w:r>
            <w:proofErr w:type="spellEnd"/>
          </w:p>
        </w:tc>
        <w:tc>
          <w:tcPr>
            <w:tcW w:w="2021" w:type="dxa"/>
            <w:vMerge w:val="restart"/>
            <w:tcBorders>
              <w:left w:val="nil"/>
              <w:right w:val="nil"/>
            </w:tcBorders>
          </w:tcPr>
          <w:p w14:paraId="056EE8C9"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Naypyitaw</w:t>
            </w:r>
            <w:proofErr w:type="spellEnd"/>
            <w:r w:rsidRPr="00E97BCA">
              <w:rPr>
                <w:rFonts w:ascii="Arial" w:hAnsi="Arial" w:cs="Arial"/>
                <w:kern w:val="24"/>
                <w:sz w:val="20"/>
                <w:szCs w:val="20"/>
              </w:rPr>
              <w:t xml:space="preserve"> Union Territory</w:t>
            </w:r>
          </w:p>
        </w:tc>
      </w:tr>
      <w:tr w:rsidR="002065F3" w:rsidRPr="00E97BCA" w14:paraId="38E6ECF4" w14:textId="77777777" w:rsidTr="00AB0903">
        <w:trPr>
          <w:trHeight w:val="398"/>
        </w:trPr>
        <w:tc>
          <w:tcPr>
            <w:tcW w:w="650" w:type="dxa"/>
            <w:tcBorders>
              <w:top w:val="nil"/>
              <w:left w:val="nil"/>
              <w:bottom w:val="nil"/>
              <w:right w:val="nil"/>
            </w:tcBorders>
          </w:tcPr>
          <w:p w14:paraId="115EB583"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11.</w:t>
            </w:r>
          </w:p>
        </w:tc>
        <w:tc>
          <w:tcPr>
            <w:tcW w:w="2459" w:type="dxa"/>
            <w:tcBorders>
              <w:top w:val="nil"/>
              <w:left w:val="nil"/>
              <w:bottom w:val="nil"/>
              <w:right w:val="nil"/>
            </w:tcBorders>
          </w:tcPr>
          <w:p w14:paraId="796617C9"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Pyinmana-2</w:t>
            </w:r>
          </w:p>
        </w:tc>
        <w:tc>
          <w:tcPr>
            <w:tcW w:w="2314" w:type="dxa"/>
            <w:tcBorders>
              <w:top w:val="nil"/>
              <w:left w:val="nil"/>
              <w:bottom w:val="nil"/>
              <w:right w:val="nil"/>
            </w:tcBorders>
          </w:tcPr>
          <w:p w14:paraId="5CAB78DF"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Nyaungpingyi</w:t>
            </w:r>
            <w:proofErr w:type="spellEnd"/>
          </w:p>
        </w:tc>
        <w:tc>
          <w:tcPr>
            <w:tcW w:w="1938" w:type="dxa"/>
            <w:tcBorders>
              <w:top w:val="nil"/>
              <w:left w:val="nil"/>
              <w:bottom w:val="nil"/>
              <w:right w:val="nil"/>
            </w:tcBorders>
          </w:tcPr>
          <w:p w14:paraId="3948F0C8"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Pyinmana</w:t>
            </w:r>
            <w:proofErr w:type="spellEnd"/>
          </w:p>
        </w:tc>
        <w:tc>
          <w:tcPr>
            <w:tcW w:w="0" w:type="auto"/>
            <w:vMerge/>
            <w:tcBorders>
              <w:left w:val="nil"/>
              <w:right w:val="nil"/>
            </w:tcBorders>
            <w:vAlign w:val="center"/>
          </w:tcPr>
          <w:p w14:paraId="3E4A0678"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D865FBF" w14:textId="77777777" w:rsidTr="00AB0903">
        <w:trPr>
          <w:trHeight w:val="398"/>
        </w:trPr>
        <w:tc>
          <w:tcPr>
            <w:tcW w:w="650" w:type="dxa"/>
            <w:tcBorders>
              <w:top w:val="nil"/>
              <w:left w:val="nil"/>
              <w:bottom w:val="nil"/>
              <w:right w:val="nil"/>
            </w:tcBorders>
          </w:tcPr>
          <w:p w14:paraId="0E1D31CC"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12.</w:t>
            </w:r>
          </w:p>
        </w:tc>
        <w:tc>
          <w:tcPr>
            <w:tcW w:w="2459" w:type="dxa"/>
            <w:tcBorders>
              <w:top w:val="nil"/>
              <w:left w:val="nil"/>
              <w:bottom w:val="nil"/>
              <w:right w:val="nil"/>
            </w:tcBorders>
          </w:tcPr>
          <w:p w14:paraId="110C1AD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Pyinmana-3</w:t>
            </w:r>
          </w:p>
        </w:tc>
        <w:tc>
          <w:tcPr>
            <w:tcW w:w="2314" w:type="dxa"/>
            <w:tcBorders>
              <w:top w:val="nil"/>
              <w:left w:val="nil"/>
              <w:bottom w:val="nil"/>
              <w:right w:val="nil"/>
            </w:tcBorders>
          </w:tcPr>
          <w:p w14:paraId="186E07F1"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Thayagon</w:t>
            </w:r>
            <w:proofErr w:type="spellEnd"/>
          </w:p>
        </w:tc>
        <w:tc>
          <w:tcPr>
            <w:tcW w:w="1938" w:type="dxa"/>
            <w:tcBorders>
              <w:top w:val="nil"/>
              <w:left w:val="nil"/>
              <w:bottom w:val="nil"/>
              <w:right w:val="nil"/>
            </w:tcBorders>
          </w:tcPr>
          <w:p w14:paraId="5033629F"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Pyinmana</w:t>
            </w:r>
            <w:proofErr w:type="spellEnd"/>
          </w:p>
        </w:tc>
        <w:tc>
          <w:tcPr>
            <w:tcW w:w="0" w:type="auto"/>
            <w:vMerge/>
            <w:tcBorders>
              <w:left w:val="nil"/>
              <w:right w:val="nil"/>
            </w:tcBorders>
            <w:vAlign w:val="center"/>
          </w:tcPr>
          <w:p w14:paraId="5E5B3ED5"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B5B8B09" w14:textId="77777777" w:rsidTr="00AB0903">
        <w:trPr>
          <w:trHeight w:val="398"/>
        </w:trPr>
        <w:tc>
          <w:tcPr>
            <w:tcW w:w="650" w:type="dxa"/>
            <w:tcBorders>
              <w:top w:val="nil"/>
              <w:left w:val="nil"/>
              <w:bottom w:val="nil"/>
              <w:right w:val="nil"/>
            </w:tcBorders>
          </w:tcPr>
          <w:p w14:paraId="57141194"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13.</w:t>
            </w:r>
          </w:p>
        </w:tc>
        <w:tc>
          <w:tcPr>
            <w:tcW w:w="2459" w:type="dxa"/>
            <w:tcBorders>
              <w:top w:val="nil"/>
              <w:left w:val="nil"/>
              <w:bottom w:val="nil"/>
              <w:right w:val="nil"/>
            </w:tcBorders>
          </w:tcPr>
          <w:p w14:paraId="37F349E3"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Pyinmana-4</w:t>
            </w:r>
          </w:p>
        </w:tc>
        <w:tc>
          <w:tcPr>
            <w:tcW w:w="2314" w:type="dxa"/>
            <w:tcBorders>
              <w:top w:val="nil"/>
              <w:left w:val="nil"/>
              <w:bottom w:val="nil"/>
              <w:right w:val="nil"/>
            </w:tcBorders>
          </w:tcPr>
          <w:p w14:paraId="0B664B41"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Ywathitgyi</w:t>
            </w:r>
            <w:proofErr w:type="spellEnd"/>
          </w:p>
        </w:tc>
        <w:tc>
          <w:tcPr>
            <w:tcW w:w="1938" w:type="dxa"/>
            <w:tcBorders>
              <w:top w:val="nil"/>
              <w:left w:val="nil"/>
              <w:bottom w:val="nil"/>
              <w:right w:val="nil"/>
            </w:tcBorders>
          </w:tcPr>
          <w:p w14:paraId="6E61C28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Pyinmana</w:t>
            </w:r>
            <w:proofErr w:type="spellEnd"/>
          </w:p>
        </w:tc>
        <w:tc>
          <w:tcPr>
            <w:tcW w:w="0" w:type="auto"/>
            <w:vMerge/>
            <w:tcBorders>
              <w:left w:val="nil"/>
              <w:right w:val="nil"/>
            </w:tcBorders>
            <w:vAlign w:val="center"/>
          </w:tcPr>
          <w:p w14:paraId="3770543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3D936BE5" w14:textId="77777777" w:rsidTr="00AB0903">
        <w:trPr>
          <w:trHeight w:val="398"/>
        </w:trPr>
        <w:tc>
          <w:tcPr>
            <w:tcW w:w="650" w:type="dxa"/>
            <w:tcBorders>
              <w:top w:val="nil"/>
              <w:left w:val="nil"/>
              <w:bottom w:val="nil"/>
              <w:right w:val="nil"/>
            </w:tcBorders>
          </w:tcPr>
          <w:p w14:paraId="31F1B5E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14.</w:t>
            </w:r>
          </w:p>
        </w:tc>
        <w:tc>
          <w:tcPr>
            <w:tcW w:w="2459" w:type="dxa"/>
            <w:tcBorders>
              <w:top w:val="nil"/>
              <w:left w:val="nil"/>
              <w:bottom w:val="nil"/>
              <w:right w:val="nil"/>
            </w:tcBorders>
          </w:tcPr>
          <w:p w14:paraId="20DD4766"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Pyinmana-5</w:t>
            </w:r>
          </w:p>
        </w:tc>
        <w:tc>
          <w:tcPr>
            <w:tcW w:w="2314" w:type="dxa"/>
            <w:tcBorders>
              <w:top w:val="nil"/>
              <w:left w:val="nil"/>
              <w:bottom w:val="nil"/>
              <w:right w:val="nil"/>
            </w:tcBorders>
          </w:tcPr>
          <w:p w14:paraId="6408E90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Kyaukchet</w:t>
            </w:r>
            <w:proofErr w:type="spellEnd"/>
          </w:p>
        </w:tc>
        <w:tc>
          <w:tcPr>
            <w:tcW w:w="1938" w:type="dxa"/>
            <w:tcBorders>
              <w:top w:val="nil"/>
              <w:left w:val="nil"/>
              <w:bottom w:val="nil"/>
              <w:right w:val="nil"/>
            </w:tcBorders>
          </w:tcPr>
          <w:p w14:paraId="44E0644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Pyinmana</w:t>
            </w:r>
            <w:proofErr w:type="spellEnd"/>
          </w:p>
        </w:tc>
        <w:tc>
          <w:tcPr>
            <w:tcW w:w="0" w:type="auto"/>
            <w:vMerge/>
            <w:tcBorders>
              <w:left w:val="nil"/>
              <w:right w:val="nil"/>
            </w:tcBorders>
            <w:vAlign w:val="center"/>
          </w:tcPr>
          <w:p w14:paraId="6F7383C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11321743" w14:textId="77777777" w:rsidTr="00AB0903">
        <w:trPr>
          <w:trHeight w:val="398"/>
        </w:trPr>
        <w:tc>
          <w:tcPr>
            <w:tcW w:w="650" w:type="dxa"/>
            <w:tcBorders>
              <w:top w:val="nil"/>
              <w:left w:val="nil"/>
              <w:bottom w:val="nil"/>
              <w:right w:val="nil"/>
            </w:tcBorders>
          </w:tcPr>
          <w:p w14:paraId="5B9EFAB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15.</w:t>
            </w:r>
          </w:p>
        </w:tc>
        <w:tc>
          <w:tcPr>
            <w:tcW w:w="2459" w:type="dxa"/>
            <w:tcBorders>
              <w:top w:val="nil"/>
              <w:left w:val="nil"/>
              <w:bottom w:val="nil"/>
              <w:right w:val="nil"/>
            </w:tcBorders>
          </w:tcPr>
          <w:p w14:paraId="7D0640F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Lewe-1</w:t>
            </w:r>
          </w:p>
        </w:tc>
        <w:tc>
          <w:tcPr>
            <w:tcW w:w="2314" w:type="dxa"/>
            <w:tcBorders>
              <w:top w:val="nil"/>
              <w:left w:val="nil"/>
              <w:bottom w:val="nil"/>
              <w:right w:val="nil"/>
            </w:tcBorders>
          </w:tcPr>
          <w:p w14:paraId="73F6F37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Kungyangon</w:t>
            </w:r>
            <w:proofErr w:type="spellEnd"/>
          </w:p>
        </w:tc>
        <w:tc>
          <w:tcPr>
            <w:tcW w:w="1938" w:type="dxa"/>
            <w:tcBorders>
              <w:top w:val="nil"/>
              <w:left w:val="nil"/>
              <w:bottom w:val="nil"/>
              <w:right w:val="nil"/>
            </w:tcBorders>
          </w:tcPr>
          <w:p w14:paraId="63E6C477"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Lewe</w:t>
            </w:r>
            <w:proofErr w:type="spellEnd"/>
          </w:p>
        </w:tc>
        <w:tc>
          <w:tcPr>
            <w:tcW w:w="0" w:type="auto"/>
            <w:vMerge/>
            <w:tcBorders>
              <w:left w:val="nil"/>
              <w:right w:val="nil"/>
            </w:tcBorders>
            <w:vAlign w:val="center"/>
          </w:tcPr>
          <w:p w14:paraId="270BF7E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15488E66" w14:textId="77777777" w:rsidTr="00AB0903">
        <w:trPr>
          <w:trHeight w:val="398"/>
        </w:trPr>
        <w:tc>
          <w:tcPr>
            <w:tcW w:w="650" w:type="dxa"/>
            <w:tcBorders>
              <w:top w:val="nil"/>
              <w:left w:val="nil"/>
              <w:bottom w:val="nil"/>
              <w:right w:val="nil"/>
            </w:tcBorders>
          </w:tcPr>
          <w:p w14:paraId="49B31D9C"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16.</w:t>
            </w:r>
          </w:p>
        </w:tc>
        <w:tc>
          <w:tcPr>
            <w:tcW w:w="2459" w:type="dxa"/>
            <w:tcBorders>
              <w:top w:val="nil"/>
              <w:left w:val="nil"/>
              <w:bottom w:val="nil"/>
              <w:right w:val="nil"/>
            </w:tcBorders>
          </w:tcPr>
          <w:p w14:paraId="7783D351"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Lewe-2</w:t>
            </w:r>
          </w:p>
        </w:tc>
        <w:tc>
          <w:tcPr>
            <w:tcW w:w="2314" w:type="dxa"/>
            <w:tcBorders>
              <w:top w:val="nil"/>
              <w:left w:val="nil"/>
              <w:bottom w:val="nil"/>
              <w:right w:val="nil"/>
            </w:tcBorders>
          </w:tcPr>
          <w:p w14:paraId="174ECEFA"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Ngapyawdaw</w:t>
            </w:r>
            <w:proofErr w:type="spellEnd"/>
          </w:p>
        </w:tc>
        <w:tc>
          <w:tcPr>
            <w:tcW w:w="1938" w:type="dxa"/>
            <w:tcBorders>
              <w:top w:val="nil"/>
              <w:left w:val="nil"/>
              <w:bottom w:val="nil"/>
              <w:right w:val="nil"/>
            </w:tcBorders>
          </w:tcPr>
          <w:p w14:paraId="45670CBC"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Lewe</w:t>
            </w:r>
            <w:proofErr w:type="spellEnd"/>
          </w:p>
        </w:tc>
        <w:tc>
          <w:tcPr>
            <w:tcW w:w="0" w:type="auto"/>
            <w:vMerge/>
            <w:tcBorders>
              <w:left w:val="nil"/>
              <w:right w:val="nil"/>
            </w:tcBorders>
            <w:vAlign w:val="center"/>
          </w:tcPr>
          <w:p w14:paraId="1D605FD1"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16BB16AA" w14:textId="77777777" w:rsidTr="00AB0903">
        <w:trPr>
          <w:trHeight w:val="398"/>
        </w:trPr>
        <w:tc>
          <w:tcPr>
            <w:tcW w:w="650" w:type="dxa"/>
            <w:tcBorders>
              <w:top w:val="nil"/>
              <w:left w:val="nil"/>
              <w:bottom w:val="nil"/>
              <w:right w:val="nil"/>
            </w:tcBorders>
          </w:tcPr>
          <w:p w14:paraId="1B8B9EBF"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17.</w:t>
            </w:r>
          </w:p>
        </w:tc>
        <w:tc>
          <w:tcPr>
            <w:tcW w:w="2459" w:type="dxa"/>
            <w:tcBorders>
              <w:top w:val="nil"/>
              <w:left w:val="nil"/>
              <w:bottom w:val="nil"/>
              <w:right w:val="nil"/>
            </w:tcBorders>
          </w:tcPr>
          <w:p w14:paraId="5655C7FF"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Zeyarthiri-1</w:t>
            </w:r>
          </w:p>
        </w:tc>
        <w:tc>
          <w:tcPr>
            <w:tcW w:w="2314" w:type="dxa"/>
            <w:tcBorders>
              <w:top w:val="nil"/>
              <w:left w:val="nil"/>
              <w:bottom w:val="nil"/>
              <w:right w:val="nil"/>
            </w:tcBorders>
          </w:tcPr>
          <w:p w14:paraId="33E66DD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Ywathit</w:t>
            </w:r>
            <w:proofErr w:type="spellEnd"/>
          </w:p>
        </w:tc>
        <w:tc>
          <w:tcPr>
            <w:tcW w:w="1938" w:type="dxa"/>
            <w:tcBorders>
              <w:top w:val="nil"/>
              <w:left w:val="nil"/>
              <w:bottom w:val="nil"/>
              <w:right w:val="nil"/>
            </w:tcBorders>
          </w:tcPr>
          <w:p w14:paraId="2A10694F"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Zeyarthiri</w:t>
            </w:r>
            <w:proofErr w:type="spellEnd"/>
          </w:p>
        </w:tc>
        <w:tc>
          <w:tcPr>
            <w:tcW w:w="0" w:type="auto"/>
            <w:vMerge/>
            <w:tcBorders>
              <w:left w:val="nil"/>
              <w:right w:val="nil"/>
            </w:tcBorders>
            <w:vAlign w:val="center"/>
          </w:tcPr>
          <w:p w14:paraId="52A4C8E0"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5104FF97" w14:textId="77777777" w:rsidTr="00AB0903">
        <w:trPr>
          <w:trHeight w:val="398"/>
        </w:trPr>
        <w:tc>
          <w:tcPr>
            <w:tcW w:w="650" w:type="dxa"/>
            <w:tcBorders>
              <w:top w:val="nil"/>
              <w:left w:val="nil"/>
              <w:bottom w:val="nil"/>
              <w:right w:val="nil"/>
            </w:tcBorders>
          </w:tcPr>
          <w:p w14:paraId="226130B5"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18.</w:t>
            </w:r>
          </w:p>
        </w:tc>
        <w:tc>
          <w:tcPr>
            <w:tcW w:w="2459" w:type="dxa"/>
            <w:tcBorders>
              <w:top w:val="nil"/>
              <w:left w:val="nil"/>
              <w:bottom w:val="nil"/>
              <w:right w:val="nil"/>
            </w:tcBorders>
          </w:tcPr>
          <w:p w14:paraId="05964508"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Zeyarthiri-2</w:t>
            </w:r>
          </w:p>
        </w:tc>
        <w:tc>
          <w:tcPr>
            <w:tcW w:w="2314" w:type="dxa"/>
            <w:tcBorders>
              <w:top w:val="nil"/>
              <w:left w:val="nil"/>
              <w:bottom w:val="nil"/>
              <w:right w:val="nil"/>
            </w:tcBorders>
          </w:tcPr>
          <w:p w14:paraId="70E2FD00"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Laythar</w:t>
            </w:r>
            <w:proofErr w:type="spellEnd"/>
          </w:p>
        </w:tc>
        <w:tc>
          <w:tcPr>
            <w:tcW w:w="1938" w:type="dxa"/>
            <w:tcBorders>
              <w:top w:val="nil"/>
              <w:left w:val="nil"/>
              <w:bottom w:val="nil"/>
              <w:right w:val="nil"/>
            </w:tcBorders>
          </w:tcPr>
          <w:p w14:paraId="4F10D293"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Zeyarthiri</w:t>
            </w:r>
            <w:proofErr w:type="spellEnd"/>
          </w:p>
        </w:tc>
        <w:tc>
          <w:tcPr>
            <w:tcW w:w="0" w:type="auto"/>
            <w:vMerge/>
            <w:tcBorders>
              <w:left w:val="nil"/>
              <w:right w:val="nil"/>
            </w:tcBorders>
            <w:vAlign w:val="center"/>
          </w:tcPr>
          <w:p w14:paraId="536B28B1"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58FDE41B" w14:textId="77777777" w:rsidTr="00AB0903">
        <w:trPr>
          <w:trHeight w:val="398"/>
        </w:trPr>
        <w:tc>
          <w:tcPr>
            <w:tcW w:w="650" w:type="dxa"/>
            <w:tcBorders>
              <w:top w:val="nil"/>
              <w:left w:val="nil"/>
              <w:bottom w:val="nil"/>
              <w:right w:val="nil"/>
            </w:tcBorders>
          </w:tcPr>
          <w:p w14:paraId="47CE3645"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19.</w:t>
            </w:r>
          </w:p>
        </w:tc>
        <w:tc>
          <w:tcPr>
            <w:tcW w:w="2459" w:type="dxa"/>
            <w:tcBorders>
              <w:top w:val="nil"/>
              <w:left w:val="nil"/>
              <w:bottom w:val="nil"/>
              <w:right w:val="nil"/>
            </w:tcBorders>
          </w:tcPr>
          <w:p w14:paraId="4D04DCE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Zeyarthiri-3</w:t>
            </w:r>
          </w:p>
        </w:tc>
        <w:tc>
          <w:tcPr>
            <w:tcW w:w="2314" w:type="dxa"/>
            <w:tcBorders>
              <w:top w:val="nil"/>
              <w:left w:val="nil"/>
              <w:bottom w:val="nil"/>
              <w:right w:val="nil"/>
            </w:tcBorders>
          </w:tcPr>
          <w:p w14:paraId="4E9BF3C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Thayettaw</w:t>
            </w:r>
            <w:proofErr w:type="spellEnd"/>
          </w:p>
        </w:tc>
        <w:tc>
          <w:tcPr>
            <w:tcW w:w="1938" w:type="dxa"/>
            <w:tcBorders>
              <w:top w:val="nil"/>
              <w:left w:val="nil"/>
              <w:bottom w:val="nil"/>
              <w:right w:val="nil"/>
            </w:tcBorders>
          </w:tcPr>
          <w:p w14:paraId="4FE3A29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Zeyarthiri</w:t>
            </w:r>
            <w:proofErr w:type="spellEnd"/>
          </w:p>
        </w:tc>
        <w:tc>
          <w:tcPr>
            <w:tcW w:w="0" w:type="auto"/>
            <w:vMerge/>
            <w:tcBorders>
              <w:left w:val="nil"/>
              <w:right w:val="nil"/>
            </w:tcBorders>
            <w:vAlign w:val="center"/>
          </w:tcPr>
          <w:p w14:paraId="6AE11C0C"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910E9F4" w14:textId="77777777" w:rsidTr="00AB0903">
        <w:trPr>
          <w:trHeight w:val="398"/>
        </w:trPr>
        <w:tc>
          <w:tcPr>
            <w:tcW w:w="650" w:type="dxa"/>
            <w:tcBorders>
              <w:top w:val="nil"/>
              <w:left w:val="nil"/>
              <w:right w:val="nil"/>
            </w:tcBorders>
          </w:tcPr>
          <w:p w14:paraId="1F24C171"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20.</w:t>
            </w:r>
          </w:p>
        </w:tc>
        <w:tc>
          <w:tcPr>
            <w:tcW w:w="2459" w:type="dxa"/>
            <w:tcBorders>
              <w:top w:val="nil"/>
              <w:left w:val="nil"/>
              <w:right w:val="nil"/>
            </w:tcBorders>
          </w:tcPr>
          <w:p w14:paraId="601DD986"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Pobbathiri-1</w:t>
            </w:r>
          </w:p>
        </w:tc>
        <w:tc>
          <w:tcPr>
            <w:tcW w:w="2314" w:type="dxa"/>
            <w:tcBorders>
              <w:top w:val="nil"/>
              <w:left w:val="nil"/>
              <w:right w:val="nil"/>
            </w:tcBorders>
          </w:tcPr>
          <w:p w14:paraId="742EE2D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Sintelgyi</w:t>
            </w:r>
            <w:proofErr w:type="spellEnd"/>
          </w:p>
        </w:tc>
        <w:tc>
          <w:tcPr>
            <w:tcW w:w="1938" w:type="dxa"/>
            <w:tcBorders>
              <w:top w:val="nil"/>
              <w:left w:val="nil"/>
              <w:right w:val="nil"/>
            </w:tcBorders>
          </w:tcPr>
          <w:p w14:paraId="45C120EE"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Pobbathiri</w:t>
            </w:r>
            <w:proofErr w:type="spellEnd"/>
          </w:p>
        </w:tc>
        <w:tc>
          <w:tcPr>
            <w:tcW w:w="0" w:type="auto"/>
            <w:vMerge/>
            <w:tcBorders>
              <w:left w:val="nil"/>
              <w:right w:val="nil"/>
            </w:tcBorders>
            <w:vAlign w:val="center"/>
          </w:tcPr>
          <w:p w14:paraId="1D192799" w14:textId="77777777" w:rsidR="002065F3" w:rsidRPr="00E97BCA" w:rsidRDefault="002065F3" w:rsidP="00E97BCA">
            <w:pPr>
              <w:spacing w:line="312" w:lineRule="auto"/>
              <w:jc w:val="center"/>
              <w:rPr>
                <w:rFonts w:ascii="Arial" w:hAnsi="Arial" w:cs="Arial"/>
                <w:bCs/>
                <w:sz w:val="20"/>
                <w:szCs w:val="20"/>
              </w:rPr>
            </w:pPr>
          </w:p>
        </w:tc>
      </w:tr>
    </w:tbl>
    <w:p w14:paraId="48EC1985" w14:textId="77777777" w:rsidR="002065F3" w:rsidRPr="00E97BCA" w:rsidRDefault="002065F3" w:rsidP="00E97BCA">
      <w:pPr>
        <w:spacing w:line="312" w:lineRule="auto"/>
        <w:ind w:firstLine="720"/>
        <w:jc w:val="both"/>
        <w:rPr>
          <w:rFonts w:ascii="Arial" w:hAnsi="Arial" w:cs="Arial"/>
        </w:rPr>
      </w:pPr>
    </w:p>
    <w:p w14:paraId="249BE207" w14:textId="77777777" w:rsidR="002065F3" w:rsidRPr="00E97BCA" w:rsidRDefault="002065F3" w:rsidP="00E97BCA">
      <w:pPr>
        <w:spacing w:line="312" w:lineRule="auto"/>
        <w:jc w:val="both"/>
        <w:rPr>
          <w:rFonts w:ascii="Arial" w:hAnsi="Arial" w:cs="Arial"/>
          <w:b/>
        </w:rPr>
      </w:pPr>
      <w:r w:rsidRPr="00E97BCA">
        <w:rPr>
          <w:rFonts w:ascii="Arial" w:hAnsi="Arial" w:cs="Arial"/>
          <w:b/>
        </w:rPr>
        <w:t xml:space="preserve">2.2. Induction and generation of </w:t>
      </w:r>
      <w:r w:rsidRPr="00E97BCA">
        <w:rPr>
          <w:rFonts w:ascii="Arial" w:hAnsi="Arial" w:cs="Arial"/>
          <w:b/>
          <w:i/>
        </w:rPr>
        <w:t xml:space="preserve">nit </w:t>
      </w:r>
      <w:r w:rsidRPr="00E97BCA">
        <w:rPr>
          <w:rFonts w:ascii="Arial" w:hAnsi="Arial" w:cs="Arial"/>
          <w:b/>
        </w:rPr>
        <w:t xml:space="preserve">Mutants </w:t>
      </w:r>
    </w:p>
    <w:p w14:paraId="0B3AF0CD" w14:textId="77777777" w:rsidR="002065F3" w:rsidRPr="00E97BCA" w:rsidRDefault="00B15DB4" w:rsidP="00E97BCA">
      <w:pPr>
        <w:spacing w:line="312" w:lineRule="auto"/>
        <w:ind w:firstLine="720"/>
        <w:jc w:val="both"/>
        <w:rPr>
          <w:rFonts w:ascii="Arial" w:hAnsi="Arial" w:cs="Arial"/>
        </w:rPr>
      </w:pPr>
      <w:r w:rsidRPr="00E97BCA">
        <w:rPr>
          <w:rFonts w:ascii="Arial" w:hAnsi="Arial" w:cs="Arial"/>
        </w:rPr>
        <w:t>Seven-day</w:t>
      </w:r>
      <w:r w:rsidR="002065F3" w:rsidRPr="00E97BCA">
        <w:rPr>
          <w:rFonts w:ascii="Arial" w:hAnsi="Arial" w:cs="Arial"/>
        </w:rPr>
        <w:t xml:space="preserve"> </w:t>
      </w:r>
      <w:r w:rsidRPr="00E97BCA">
        <w:rPr>
          <w:rFonts w:ascii="Arial" w:hAnsi="Arial" w:cs="Arial"/>
        </w:rPr>
        <w:t xml:space="preserve">old </w:t>
      </w:r>
      <w:r w:rsidR="002065F3" w:rsidRPr="00E97BCA">
        <w:rPr>
          <w:rFonts w:ascii="Arial" w:hAnsi="Arial" w:cs="Arial"/>
        </w:rPr>
        <w:t xml:space="preserve">of purified fungal growth </w:t>
      </w:r>
      <w:r w:rsidRPr="00E97BCA">
        <w:rPr>
          <w:rFonts w:ascii="Arial" w:hAnsi="Arial" w:cs="Arial"/>
        </w:rPr>
        <w:t xml:space="preserve">(Plate 1a-b) </w:t>
      </w:r>
      <w:r w:rsidR="002065F3" w:rsidRPr="00E97BCA">
        <w:rPr>
          <w:rFonts w:ascii="Arial" w:hAnsi="Arial" w:cs="Arial"/>
        </w:rPr>
        <w:t xml:space="preserve">from the single spore culture was transferred onto potato dextrose agar medium amended with 1.5% potassium chlorate (KPS); growth of the fungus on this medium is greatly restricted. The cultured plates were </w:t>
      </w:r>
      <w:r w:rsidR="002065F3" w:rsidRPr="00E97BCA">
        <w:rPr>
          <w:rFonts w:ascii="Arial" w:hAnsi="Arial" w:cs="Arial"/>
        </w:rPr>
        <w:lastRenderedPageBreak/>
        <w:t>incubated at 28 °C for 7–14 days and then, identified (checked) for the fun-shaped colony sectors. Any unusual mycelium sectors were discarded. The chlorate-resistant fun-shaped colony sector</w:t>
      </w:r>
      <w:r w:rsidRPr="00E97BCA">
        <w:rPr>
          <w:rFonts w:ascii="Arial" w:hAnsi="Arial" w:cs="Arial"/>
        </w:rPr>
        <w:t xml:space="preserve"> (Plate 1c)</w:t>
      </w:r>
      <w:r w:rsidR="002065F3" w:rsidRPr="00E97BCA">
        <w:rPr>
          <w:rFonts w:ascii="Arial" w:hAnsi="Arial" w:cs="Arial"/>
        </w:rPr>
        <w:t>, growing on KPS media, was cut into small size (5 mm in diameter), moved onto new minimal media (MM), and incubated at 28 °C for 7 days. After that, those sectors that produced very sparse growth with thin mycelia on MM media were considered as nitrate-</w:t>
      </w:r>
      <w:proofErr w:type="gramStart"/>
      <w:r w:rsidR="002065F3" w:rsidRPr="00E97BCA">
        <w:rPr>
          <w:rFonts w:ascii="Arial" w:hAnsi="Arial" w:cs="Arial"/>
        </w:rPr>
        <w:t>non utilizing</w:t>
      </w:r>
      <w:proofErr w:type="gramEnd"/>
      <w:r w:rsidR="002065F3" w:rsidRPr="00E97BCA">
        <w:rPr>
          <w:rFonts w:ascii="Arial" w:hAnsi="Arial" w:cs="Arial"/>
        </w:rPr>
        <w:t xml:space="preserve"> mutants (</w:t>
      </w:r>
      <w:r w:rsidR="002065F3" w:rsidRPr="00E97BCA">
        <w:rPr>
          <w:rFonts w:ascii="Arial" w:hAnsi="Arial" w:cs="Arial"/>
          <w:i/>
        </w:rPr>
        <w:t>nit-</w:t>
      </w:r>
      <w:r w:rsidR="002065F3" w:rsidRPr="00E97BCA">
        <w:rPr>
          <w:rFonts w:ascii="Arial" w:hAnsi="Arial" w:cs="Arial"/>
        </w:rPr>
        <w:t xml:space="preserve"> mutant) and with thick mycelia, to be as wild type. When </w:t>
      </w:r>
      <w:r w:rsidR="002065F3" w:rsidRPr="00E97BCA">
        <w:rPr>
          <w:rFonts w:ascii="Arial" w:hAnsi="Arial" w:cs="Arial"/>
          <w:i/>
        </w:rPr>
        <w:t>nit-</w:t>
      </w:r>
      <w:r w:rsidR="002065F3" w:rsidRPr="00E97BCA">
        <w:rPr>
          <w:rFonts w:ascii="Arial" w:hAnsi="Arial" w:cs="Arial"/>
        </w:rPr>
        <w:t xml:space="preserve">mutant was not formed within 7-14 days, procedure was repeated until getting </w:t>
      </w:r>
      <w:r w:rsidR="002065F3" w:rsidRPr="00E97BCA">
        <w:rPr>
          <w:rFonts w:ascii="Arial" w:hAnsi="Arial" w:cs="Arial"/>
          <w:i/>
        </w:rPr>
        <w:t>nit</w:t>
      </w:r>
      <w:r w:rsidR="002065F3" w:rsidRPr="00E97BCA">
        <w:rPr>
          <w:rFonts w:ascii="Arial" w:hAnsi="Arial" w:cs="Arial"/>
        </w:rPr>
        <w:t>-mutant of all isolates. Then, the mutant colonies were collected and used for VCGs test.</w:t>
      </w:r>
    </w:p>
    <w:p w14:paraId="6F349C2C" w14:textId="77777777" w:rsidR="00B15DB4" w:rsidRPr="00E97BCA" w:rsidRDefault="00B15DB4" w:rsidP="00E97BCA">
      <w:pPr>
        <w:spacing w:line="312" w:lineRule="auto"/>
        <w:jc w:val="both"/>
        <w:rPr>
          <w:rFonts w:ascii="Arial" w:hAnsi="Arial" w:cs="Arial"/>
        </w:rPr>
      </w:pPr>
    </w:p>
    <w:tbl>
      <w:tblPr>
        <w:tblStyle w:val="TableGrid"/>
        <w:tblW w:w="8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2790"/>
        <w:gridCol w:w="2751"/>
      </w:tblGrid>
      <w:tr w:rsidR="008315B6" w:rsidRPr="00E97BCA" w14:paraId="570F5515" w14:textId="77777777" w:rsidTr="008315B6">
        <w:trPr>
          <w:trHeight w:val="2514"/>
        </w:trPr>
        <w:tc>
          <w:tcPr>
            <w:tcW w:w="2718" w:type="dxa"/>
          </w:tcPr>
          <w:p w14:paraId="50582A8F" w14:textId="77777777" w:rsidR="008315B6" w:rsidRPr="00E97BCA" w:rsidRDefault="008315B6" w:rsidP="00402AD0">
            <w:pPr>
              <w:spacing w:line="312" w:lineRule="auto"/>
              <w:jc w:val="center"/>
              <w:rPr>
                <w:rFonts w:ascii="Arial" w:hAnsi="Arial" w:cs="Arial"/>
                <w:sz w:val="20"/>
                <w:szCs w:val="20"/>
                <w:highlight w:val="yellow"/>
              </w:rPr>
            </w:pPr>
            <w:r w:rsidRPr="00E97BCA">
              <w:rPr>
                <w:rFonts w:ascii="Arial" w:hAnsi="Arial" w:cs="Arial"/>
                <w:noProof/>
              </w:rPr>
              <mc:AlternateContent>
                <mc:Choice Requires="wps">
                  <w:drawing>
                    <wp:anchor distT="0" distB="0" distL="114300" distR="114300" simplePos="0" relativeHeight="251680768" behindDoc="0" locked="0" layoutInCell="1" allowOverlap="1" wp14:anchorId="11945F41" wp14:editId="0416EFF9">
                      <wp:simplePos x="0" y="0"/>
                      <wp:positionH relativeFrom="column">
                        <wp:posOffset>1330630</wp:posOffset>
                      </wp:positionH>
                      <wp:positionV relativeFrom="paragraph">
                        <wp:posOffset>1303020</wp:posOffset>
                      </wp:positionV>
                      <wp:extent cx="386715" cy="301625"/>
                      <wp:effectExtent l="0" t="0" r="0" b="0"/>
                      <wp:wrapNone/>
                      <wp:docPr id="25" name="Rectangle 25"/>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D6336" w14:textId="77777777" w:rsidR="008315B6" w:rsidRPr="00B15DB4" w:rsidRDefault="008315B6" w:rsidP="008315B6">
                                  <w:pPr>
                                    <w:rPr>
                                      <w:rFonts w:ascii="Arial" w:hAnsi="Arial" w:cs="Arial"/>
                                    </w:rPr>
                                  </w:pPr>
                                  <w:r w:rsidRPr="00B15DB4">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45F41" id="Rectangle 25" o:spid="_x0000_s1026" style="position:absolute;left:0;text-align:left;margin-left:104.75pt;margin-top:102.6pt;width:30.4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" filled="f" stroked="f" strokeweight="2pt">
                      <v:textbox>
                        <w:txbxContent>
                          <w:p w14:paraId="4A4D6336" w14:textId="77777777" w:rsidR="008315B6" w:rsidRPr="00B15DB4" w:rsidRDefault="008315B6" w:rsidP="008315B6">
                            <w:pPr>
                              <w:rPr>
                                <w:rFonts w:ascii="Arial" w:hAnsi="Arial" w:cs="Arial"/>
                              </w:rPr>
                            </w:pPr>
                            <w:r w:rsidRPr="00B15DB4">
                              <w:rPr>
                                <w:rFonts w:ascii="Arial" w:hAnsi="Arial" w:cs="Arial"/>
                              </w:rPr>
                              <w:t>(a)</w:t>
                            </w:r>
                          </w:p>
                        </w:txbxContent>
                      </v:textbox>
                    </v:rect>
                  </w:pict>
                </mc:Fallback>
              </mc:AlternateContent>
            </w:r>
            <w:r w:rsidRPr="00E97BCA">
              <w:rPr>
                <w:rFonts w:ascii="Arial" w:hAnsi="Arial" w:cs="Arial"/>
                <w:noProof/>
              </w:rPr>
              <w:drawing>
                <wp:inline distT="0" distB="0" distL="0" distR="0" wp14:anchorId="7F00CF23" wp14:editId="5D176DF2">
                  <wp:extent cx="1611524" cy="1554480"/>
                  <wp:effectExtent l="0" t="0" r="8255" b="762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110" t="18796" r="10505" b="31699"/>
                          <a:stretch/>
                        </pic:blipFill>
                        <pic:spPr bwMode="auto">
                          <a:xfrm>
                            <a:off x="0" y="0"/>
                            <a:ext cx="1611524" cy="1554480"/>
                          </a:xfrm>
                          <a:prstGeom prst="rect">
                            <a:avLst/>
                          </a:prstGeom>
                          <a:noFill/>
                          <a:ln>
                            <a:noFill/>
                          </a:ln>
                          <a:effectLst/>
                        </pic:spPr>
                      </pic:pic>
                    </a:graphicData>
                  </a:graphic>
                </wp:inline>
              </w:drawing>
            </w:r>
          </w:p>
        </w:tc>
        <w:tc>
          <w:tcPr>
            <w:tcW w:w="2790" w:type="dxa"/>
          </w:tcPr>
          <w:p w14:paraId="6165A369" w14:textId="77777777" w:rsidR="008315B6" w:rsidRPr="00E97BCA" w:rsidRDefault="008315B6" w:rsidP="008315B6">
            <w:pPr>
              <w:tabs>
                <w:tab w:val="left" w:pos="2409"/>
              </w:tabs>
              <w:spacing w:line="312" w:lineRule="auto"/>
              <w:ind w:right="14"/>
              <w:jc w:val="center"/>
              <w:rPr>
                <w:rFonts w:ascii="Arial" w:hAnsi="Arial" w:cs="Arial"/>
                <w:sz w:val="20"/>
                <w:szCs w:val="20"/>
                <w:highlight w:val="yellow"/>
              </w:rPr>
            </w:pPr>
            <w:r w:rsidRPr="00E97BCA">
              <w:rPr>
                <w:rFonts w:ascii="Arial" w:hAnsi="Arial" w:cs="Arial"/>
                <w:noProof/>
              </w:rPr>
              <mc:AlternateContent>
                <mc:Choice Requires="wps">
                  <w:drawing>
                    <wp:anchor distT="0" distB="0" distL="114300" distR="114300" simplePos="0" relativeHeight="251681792" behindDoc="0" locked="0" layoutInCell="1" allowOverlap="1" wp14:anchorId="66E1BD0C" wp14:editId="7D1E50EB">
                      <wp:simplePos x="0" y="0"/>
                      <wp:positionH relativeFrom="column">
                        <wp:posOffset>1339215</wp:posOffset>
                      </wp:positionH>
                      <wp:positionV relativeFrom="paragraph">
                        <wp:posOffset>1316660</wp:posOffset>
                      </wp:positionV>
                      <wp:extent cx="386715" cy="301625"/>
                      <wp:effectExtent l="0" t="0" r="0" b="0"/>
                      <wp:wrapNone/>
                      <wp:docPr id="26" name="Rectangle 26"/>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7AA82" w14:textId="77777777" w:rsidR="008315B6" w:rsidRPr="00B15DB4" w:rsidRDefault="008315B6" w:rsidP="008315B6">
                                  <w:pPr>
                                    <w:rPr>
                                      <w:rFonts w:ascii="Arial" w:hAnsi="Arial" w:cs="Arial"/>
                                    </w:rPr>
                                  </w:pPr>
                                  <w:r w:rsidRPr="00B15DB4">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BD0C" id="Rectangle 26" o:spid="_x0000_s1027" style="position:absolute;left:0;text-align:left;margin-left:105.45pt;margin-top:103.65pt;width:30.45pt;height:2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" filled="f" stroked="f" strokeweight="2pt">
                      <v:textbox>
                        <w:txbxContent>
                          <w:p w14:paraId="6567AA82" w14:textId="77777777" w:rsidR="008315B6" w:rsidRPr="00B15DB4" w:rsidRDefault="008315B6" w:rsidP="008315B6">
                            <w:pPr>
                              <w:rPr>
                                <w:rFonts w:ascii="Arial" w:hAnsi="Arial" w:cs="Arial"/>
                              </w:rPr>
                            </w:pPr>
                            <w:r w:rsidRPr="00B15DB4">
                              <w:rPr>
                                <w:rFonts w:ascii="Arial" w:hAnsi="Arial" w:cs="Arial"/>
                              </w:rPr>
                              <w:t>(b)</w:t>
                            </w:r>
                          </w:p>
                        </w:txbxContent>
                      </v:textbox>
                    </v:rect>
                  </w:pict>
                </mc:Fallback>
              </mc:AlternateContent>
            </w:r>
            <w:r w:rsidRPr="00E97BCA">
              <w:rPr>
                <w:rFonts w:ascii="Arial" w:hAnsi="Arial" w:cs="Arial"/>
                <w:noProof/>
                <w:highlight w:val="yellow"/>
              </w:rPr>
              <w:drawing>
                <wp:inline distT="0" distB="0" distL="0" distR="0" wp14:anchorId="0F13463A" wp14:editId="36AE5ED2">
                  <wp:extent cx="1616659" cy="1558138"/>
                  <wp:effectExtent l="0" t="0" r="3175" b="4445"/>
                  <wp:docPr id="1029"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2093" cy="1563375"/>
                          </a:xfrm>
                          <a:prstGeom prst="rect">
                            <a:avLst/>
                          </a:prstGeom>
                          <a:noFill/>
                          <a:ln>
                            <a:noFill/>
                          </a:ln>
                          <a:effectLst/>
                        </pic:spPr>
                      </pic:pic>
                    </a:graphicData>
                  </a:graphic>
                </wp:inline>
              </w:drawing>
            </w:r>
          </w:p>
        </w:tc>
        <w:tc>
          <w:tcPr>
            <w:tcW w:w="2751" w:type="dxa"/>
          </w:tcPr>
          <w:p w14:paraId="133AEFD4" w14:textId="77777777" w:rsidR="008315B6" w:rsidRPr="00E97BCA" w:rsidRDefault="008315B6" w:rsidP="00402AD0">
            <w:pPr>
              <w:spacing w:line="312" w:lineRule="auto"/>
              <w:jc w:val="center"/>
              <w:rPr>
                <w:rFonts w:ascii="Arial" w:hAnsi="Arial" w:cs="Arial"/>
                <w:sz w:val="20"/>
                <w:szCs w:val="20"/>
                <w:highlight w:val="yellow"/>
              </w:rPr>
            </w:pPr>
            <w:r w:rsidRPr="00E97BCA">
              <w:rPr>
                <w:rFonts w:ascii="Arial" w:hAnsi="Arial" w:cs="Arial"/>
                <w:noProof/>
              </w:rPr>
              <mc:AlternateContent>
                <mc:Choice Requires="wps">
                  <w:drawing>
                    <wp:anchor distT="0" distB="0" distL="114300" distR="114300" simplePos="0" relativeHeight="251682816" behindDoc="0" locked="0" layoutInCell="1" allowOverlap="1" wp14:anchorId="6C8BB421" wp14:editId="468A3FB6">
                      <wp:simplePos x="0" y="0"/>
                      <wp:positionH relativeFrom="column">
                        <wp:posOffset>1328420</wp:posOffset>
                      </wp:positionH>
                      <wp:positionV relativeFrom="paragraph">
                        <wp:posOffset>1331900</wp:posOffset>
                      </wp:positionV>
                      <wp:extent cx="412750" cy="301625"/>
                      <wp:effectExtent l="0" t="0" r="0" b="0"/>
                      <wp:wrapNone/>
                      <wp:docPr id="27" name="Rectangle 27"/>
                      <wp:cNvGraphicFramePr/>
                      <a:graphic xmlns:a="http://schemas.openxmlformats.org/drawingml/2006/main">
                        <a:graphicData uri="http://schemas.microsoft.com/office/word/2010/wordprocessingShape">
                          <wps:wsp>
                            <wps:cNvSpPr/>
                            <wps:spPr>
                              <a:xfrm>
                                <a:off x="0" y="0"/>
                                <a:ext cx="41275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882FE" w14:textId="77777777" w:rsidR="008315B6" w:rsidRPr="00B15DB4" w:rsidRDefault="008315B6" w:rsidP="008315B6">
                                  <w:pPr>
                                    <w:rPr>
                                      <w:rFonts w:ascii="Arial" w:hAnsi="Arial" w:cs="Arial"/>
                                    </w:rPr>
                                  </w:pPr>
                                  <w:r w:rsidRPr="00B15DB4">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B421" id="Rectangle 27" o:spid="_x0000_s1028" style="position:absolute;left:0;text-align:left;margin-left:104.6pt;margin-top:104.85pt;width:32.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" filled="f" stroked="f" strokeweight="2pt">
                      <v:textbox>
                        <w:txbxContent>
                          <w:p w14:paraId="413882FE" w14:textId="77777777" w:rsidR="008315B6" w:rsidRPr="00B15DB4" w:rsidRDefault="008315B6" w:rsidP="008315B6">
                            <w:pPr>
                              <w:rPr>
                                <w:rFonts w:ascii="Arial" w:hAnsi="Arial" w:cs="Arial"/>
                              </w:rPr>
                            </w:pPr>
                            <w:r w:rsidRPr="00B15DB4">
                              <w:rPr>
                                <w:rFonts w:ascii="Arial" w:hAnsi="Arial" w:cs="Arial"/>
                              </w:rPr>
                              <w:t>(c)</w:t>
                            </w:r>
                          </w:p>
                        </w:txbxContent>
                      </v:textbox>
                    </v:rect>
                  </w:pict>
                </mc:Fallback>
              </mc:AlternateContent>
            </w:r>
            <w:r w:rsidRPr="00E97BCA">
              <w:rPr>
                <w:rFonts w:ascii="Arial" w:hAnsi="Arial" w:cs="Arial"/>
                <w:noProof/>
              </w:rPr>
              <w:drawing>
                <wp:inline distT="0" distB="0" distL="0" distR="0" wp14:anchorId="40BB0E58" wp14:editId="63222F04">
                  <wp:extent cx="1609344" cy="1577156"/>
                  <wp:effectExtent l="0" t="0" r="0" b="444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362" r="1660" b="13699"/>
                          <a:stretch/>
                        </pic:blipFill>
                        <pic:spPr bwMode="auto">
                          <a:xfrm>
                            <a:off x="0" y="0"/>
                            <a:ext cx="1612890" cy="1580631"/>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023FE1E5" w14:textId="77777777" w:rsidR="00B15DB4" w:rsidRPr="00E97BCA" w:rsidRDefault="00B15DB4" w:rsidP="00E97BCA">
      <w:pPr>
        <w:spacing w:line="312" w:lineRule="auto"/>
        <w:ind w:left="810" w:hanging="810"/>
        <w:jc w:val="both"/>
        <w:rPr>
          <w:rFonts w:ascii="Arial" w:hAnsi="Arial" w:cs="Arial"/>
        </w:rPr>
      </w:pPr>
      <w:r w:rsidRPr="00E97BCA">
        <w:rPr>
          <w:rFonts w:ascii="Arial" w:hAnsi="Arial" w:cs="Arial"/>
        </w:rPr>
        <w:t>Plate 1</w:t>
      </w:r>
      <w:r w:rsidR="008315B6">
        <w:rPr>
          <w:rFonts w:ascii="Arial" w:hAnsi="Arial" w:cs="Arial"/>
        </w:rPr>
        <w:t>.</w:t>
      </w:r>
      <w:r w:rsidRPr="00E97BCA">
        <w:rPr>
          <w:rFonts w:ascii="Arial" w:hAnsi="Arial" w:cs="Arial"/>
        </w:rPr>
        <w:t xml:space="preserve"> Seven-day old culture of </w:t>
      </w:r>
      <w:proofErr w:type="spellStart"/>
      <w:r w:rsidRPr="00E97BCA">
        <w:rPr>
          <w:rFonts w:ascii="Arial" w:hAnsi="Arial" w:cs="Arial"/>
          <w:i/>
        </w:rPr>
        <w:t>Foc</w:t>
      </w:r>
      <w:proofErr w:type="spellEnd"/>
      <w:r w:rsidRPr="00E97BCA">
        <w:rPr>
          <w:rFonts w:ascii="Arial" w:hAnsi="Arial" w:cs="Arial"/>
        </w:rPr>
        <w:t xml:space="preserve"> isolates</w:t>
      </w:r>
      <w:proofErr w:type="gramStart"/>
      <w:r w:rsidRPr="00E97BCA">
        <w:rPr>
          <w:rFonts w:ascii="Arial" w:hAnsi="Arial" w:cs="Arial"/>
        </w:rPr>
        <w:t>:  (</w:t>
      </w:r>
      <w:proofErr w:type="gramEnd"/>
      <w:r w:rsidRPr="00E97BCA">
        <w:rPr>
          <w:rFonts w:ascii="Arial" w:hAnsi="Arial" w:cs="Arial"/>
        </w:rPr>
        <w:t xml:space="preserve">a) surface and (b) reverse colony of </w:t>
      </w:r>
      <w:proofErr w:type="spellStart"/>
      <w:r w:rsidRPr="00E97BCA">
        <w:rPr>
          <w:rFonts w:ascii="Arial" w:hAnsi="Arial" w:cs="Arial"/>
          <w:i/>
        </w:rPr>
        <w:t>Foc</w:t>
      </w:r>
      <w:proofErr w:type="spellEnd"/>
      <w:r w:rsidRPr="00E97BCA">
        <w:rPr>
          <w:rFonts w:ascii="Arial" w:hAnsi="Arial" w:cs="Arial"/>
          <w:kern w:val="24"/>
        </w:rPr>
        <w:t xml:space="preserve"> Pyinmana-2 isolate</w:t>
      </w:r>
      <w:r w:rsidRPr="00E97BCA">
        <w:rPr>
          <w:rFonts w:ascii="Arial" w:hAnsi="Arial" w:cs="Arial"/>
        </w:rPr>
        <w:t xml:space="preserve"> on PDA media; (c) fast growing, fun-shaped, chlorate-resistant sectors emerging from a restricted wild type colony of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kern w:val="24"/>
        </w:rPr>
        <w:t>Kyaukpadaung-1</w:t>
      </w:r>
      <w:r w:rsidRPr="00E97BCA">
        <w:rPr>
          <w:rFonts w:ascii="Arial" w:hAnsi="Arial" w:cs="Arial"/>
        </w:rPr>
        <w:t xml:space="preserve"> isolate on KPS media.</w:t>
      </w:r>
    </w:p>
    <w:p w14:paraId="67C9CACE" w14:textId="77777777" w:rsidR="002065F3" w:rsidRPr="00E97BCA" w:rsidRDefault="002065F3" w:rsidP="00E97BCA">
      <w:pPr>
        <w:spacing w:line="312" w:lineRule="auto"/>
        <w:jc w:val="both"/>
        <w:rPr>
          <w:rFonts w:ascii="Arial" w:hAnsi="Arial" w:cs="Arial"/>
        </w:rPr>
      </w:pPr>
    </w:p>
    <w:p w14:paraId="43763F05" w14:textId="77777777" w:rsidR="002065F3" w:rsidRPr="00E97BCA" w:rsidRDefault="002065F3" w:rsidP="00E97BCA">
      <w:pPr>
        <w:spacing w:line="312" w:lineRule="auto"/>
        <w:jc w:val="both"/>
        <w:rPr>
          <w:rFonts w:ascii="Arial" w:hAnsi="Arial" w:cs="Arial"/>
          <w:b/>
        </w:rPr>
      </w:pPr>
      <w:r w:rsidRPr="00E97BCA">
        <w:rPr>
          <w:rFonts w:ascii="Arial" w:hAnsi="Arial" w:cs="Arial"/>
          <w:b/>
        </w:rPr>
        <w:t>2.3. Vegetative compatibility groups (VCGs) analysis</w:t>
      </w:r>
    </w:p>
    <w:p w14:paraId="2A5C68CD" w14:textId="77777777" w:rsidR="002065F3" w:rsidRPr="00E97BCA" w:rsidRDefault="002065F3" w:rsidP="00E97BCA">
      <w:pPr>
        <w:autoSpaceDE w:val="0"/>
        <w:autoSpaceDN w:val="0"/>
        <w:adjustRightInd w:val="0"/>
        <w:spacing w:line="312" w:lineRule="auto"/>
        <w:ind w:firstLine="720"/>
        <w:jc w:val="both"/>
        <w:rPr>
          <w:rFonts w:ascii="Arial" w:hAnsi="Arial" w:cs="Arial"/>
        </w:rPr>
      </w:pPr>
      <w:r w:rsidRPr="00E97BCA">
        <w:rPr>
          <w:rFonts w:ascii="Arial" w:hAnsi="Arial" w:cs="Arial"/>
        </w:rPr>
        <w:t xml:space="preserve">Vegetative compatibility groups (VCGs) analysis was conducted in the laboratory of the Department of Plant Pathology, </w:t>
      </w:r>
      <w:proofErr w:type="spellStart"/>
      <w:r w:rsidRPr="00E97BCA">
        <w:rPr>
          <w:rFonts w:ascii="Arial" w:hAnsi="Arial" w:cs="Arial"/>
        </w:rPr>
        <w:t>Yezin</w:t>
      </w:r>
      <w:proofErr w:type="spellEnd"/>
      <w:r w:rsidRPr="00E97BCA">
        <w:rPr>
          <w:rFonts w:ascii="Arial" w:hAnsi="Arial" w:cs="Arial"/>
        </w:rPr>
        <w:t xml:space="preserve"> Agricultural University, </w:t>
      </w:r>
      <w:proofErr w:type="spellStart"/>
      <w:r w:rsidRPr="00E97BCA">
        <w:rPr>
          <w:rFonts w:ascii="Arial" w:hAnsi="Arial" w:cs="Arial"/>
        </w:rPr>
        <w:t>Naypyitaw</w:t>
      </w:r>
      <w:proofErr w:type="spellEnd"/>
      <w:r w:rsidRPr="00E97BCA">
        <w:rPr>
          <w:rFonts w:ascii="Arial" w:hAnsi="Arial" w:cs="Arial"/>
        </w:rPr>
        <w:t xml:space="preserve"> from August 2023 to July 2024. Cultured medium used in the VCGs analysis was Minimal Media (MM). All </w:t>
      </w:r>
      <w:r w:rsidRPr="00E97BCA">
        <w:rPr>
          <w:rFonts w:ascii="Arial" w:hAnsi="Arial" w:cs="Arial"/>
          <w:i/>
        </w:rPr>
        <w:t>nit</w:t>
      </w:r>
      <w:r w:rsidRPr="00E97BCA">
        <w:rPr>
          <w:rFonts w:ascii="Arial" w:hAnsi="Arial" w:cs="Arial"/>
        </w:rPr>
        <w:t xml:space="preserve">-mutants generated from the 20 isolates of unknown VCG were paired on MM media with </w:t>
      </w:r>
      <w:r w:rsidRPr="00E97BCA">
        <w:rPr>
          <w:rFonts w:ascii="Arial" w:hAnsi="Arial" w:cs="Arial"/>
          <w:i/>
        </w:rPr>
        <w:t>nit</w:t>
      </w:r>
      <w:r w:rsidRPr="00E97BCA">
        <w:rPr>
          <w:rFonts w:ascii="Arial" w:hAnsi="Arial" w:cs="Arial"/>
        </w:rPr>
        <w:t xml:space="preserve">-M mutants of 15 known VCG according to the method described by Leslie and </w:t>
      </w:r>
      <w:proofErr w:type="spellStart"/>
      <w:r w:rsidRPr="00E97BCA">
        <w:rPr>
          <w:rFonts w:ascii="Arial" w:hAnsi="Arial" w:cs="Arial"/>
        </w:rPr>
        <w:t>Summerell</w:t>
      </w:r>
      <w:proofErr w:type="spellEnd"/>
      <w:r w:rsidRPr="00E97BCA">
        <w:rPr>
          <w:rFonts w:ascii="Arial" w:hAnsi="Arial" w:cs="Arial"/>
        </w:rPr>
        <w:t xml:space="preserve"> (Leslie et al., 2006). These 15 known </w:t>
      </w:r>
      <w:proofErr w:type="spellStart"/>
      <w:r w:rsidRPr="00E97BCA">
        <w:rPr>
          <w:rFonts w:ascii="Arial" w:hAnsi="Arial" w:cs="Arial"/>
          <w:i/>
        </w:rPr>
        <w:t>Foc</w:t>
      </w:r>
      <w:proofErr w:type="spellEnd"/>
      <w:r w:rsidRPr="00E97BCA">
        <w:rPr>
          <w:rFonts w:ascii="Arial" w:hAnsi="Arial" w:cs="Arial"/>
        </w:rPr>
        <w:t xml:space="preserve"> VCG tester strains used in this research were provided by Professor Dr. Fu Gang, Plant Protection Institute, Guangxi Academy of Agricultural Science, GXAAS, China and they were as follows:  VCG 0120, VCG 0121, VCG 0122, VCG 0123, VCG 0124, VCG 0125, VCG 0126, VCG 0128, VCG 01213, VCG 01216, VCG 01217, VCG 01218, VCG 01219, VCG 01220, VCG 01221. They come from storage media, were re-cultured on MM media for rejuvenation, and then, labeled similar to tester’s code. VCG was determined using the technique by </w:t>
      </w:r>
      <w:proofErr w:type="spellStart"/>
      <w:r w:rsidRPr="00E97BCA">
        <w:rPr>
          <w:rFonts w:ascii="Arial" w:hAnsi="Arial" w:cs="Arial"/>
        </w:rPr>
        <w:t>Puhala</w:t>
      </w:r>
      <w:proofErr w:type="spellEnd"/>
      <w:r w:rsidRPr="00E97BCA">
        <w:rPr>
          <w:rFonts w:ascii="Arial" w:hAnsi="Arial" w:cs="Arial"/>
        </w:rPr>
        <w:t xml:space="preserve"> (1985). The test was conducted by placing mycelial disc (5mm in diameter) of </w:t>
      </w:r>
      <w:r w:rsidRPr="00E97BCA">
        <w:rPr>
          <w:rFonts w:ascii="Arial" w:hAnsi="Arial" w:cs="Arial"/>
          <w:i/>
        </w:rPr>
        <w:t>nit-</w:t>
      </w:r>
      <w:r w:rsidRPr="00E97BCA">
        <w:rPr>
          <w:rFonts w:ascii="Arial" w:hAnsi="Arial" w:cs="Arial"/>
        </w:rPr>
        <w:t xml:space="preserve">mutants generated from each isolate onto the center of </w:t>
      </w:r>
      <w:proofErr w:type="spellStart"/>
      <w:r w:rsidRPr="00E97BCA">
        <w:rPr>
          <w:rFonts w:ascii="Arial" w:hAnsi="Arial" w:cs="Arial"/>
        </w:rPr>
        <w:t>Petridish</w:t>
      </w:r>
      <w:proofErr w:type="spellEnd"/>
      <w:r w:rsidRPr="00E97BCA">
        <w:rPr>
          <w:rFonts w:ascii="Arial" w:hAnsi="Arial" w:cs="Arial"/>
        </w:rPr>
        <w:t xml:space="preserve"> including MM media. Meanwhile, three pieces of respective mycelial discs of the known VCG testers were put surrounding 10-15 mm apart from to the center one by triangle formation (Plate 2c). The paired cultures on MM media were done by 3 repeats for each mutant and incubated at 28˚C.  </w:t>
      </w:r>
      <w:r w:rsidRPr="00E97BCA">
        <w:rPr>
          <w:rFonts w:ascii="Arial" w:hAnsi="Arial" w:cs="Arial"/>
          <w:bCs/>
        </w:rPr>
        <w:t xml:space="preserve">VCG testing was conducted </w:t>
      </w:r>
      <w:r w:rsidRPr="00E97BCA">
        <w:rPr>
          <w:rFonts w:ascii="Arial" w:hAnsi="Arial" w:cs="Arial"/>
          <w:bCs/>
        </w:rPr>
        <w:lastRenderedPageBreak/>
        <w:t>at least twice for the same isolate</w:t>
      </w:r>
      <w:r w:rsidRPr="00E97BCA">
        <w:rPr>
          <w:rFonts w:ascii="Arial" w:hAnsi="Arial" w:cs="Arial"/>
        </w:rPr>
        <w:t xml:space="preserve"> to confirm vegetative compatibility. Some exceptions need to be repeated multiple times to obtain results.</w:t>
      </w:r>
    </w:p>
    <w:p w14:paraId="362D4CFA" w14:textId="77777777" w:rsidR="00B15DB4" w:rsidRPr="00E97BCA" w:rsidRDefault="00B15DB4" w:rsidP="00E97BCA">
      <w:pPr>
        <w:spacing w:line="312" w:lineRule="auto"/>
        <w:jc w:val="both"/>
        <w:rPr>
          <w:rFonts w:ascii="Arial" w:hAnsi="Arial" w:cs="Arial"/>
          <w:sz w:val="24"/>
          <w:szCs w:val="24"/>
        </w:rPr>
      </w:pP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790"/>
        <w:gridCol w:w="2790"/>
      </w:tblGrid>
      <w:tr w:rsidR="00E97BCA" w:rsidRPr="00E97BCA" w14:paraId="70DB9154" w14:textId="77777777" w:rsidTr="008315B6">
        <w:trPr>
          <w:trHeight w:val="2390"/>
        </w:trPr>
        <w:tc>
          <w:tcPr>
            <w:tcW w:w="2808" w:type="dxa"/>
          </w:tcPr>
          <w:p w14:paraId="02EED7C2" w14:textId="77777777" w:rsidR="00B15DB4" w:rsidRPr="00E97BCA" w:rsidRDefault="00B15DB4" w:rsidP="00E97B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63360" behindDoc="0" locked="0" layoutInCell="1" allowOverlap="1" wp14:anchorId="31729F9E" wp14:editId="15625135">
                      <wp:simplePos x="0" y="0"/>
                      <wp:positionH relativeFrom="column">
                        <wp:posOffset>1345870</wp:posOffset>
                      </wp:positionH>
                      <wp:positionV relativeFrom="paragraph">
                        <wp:posOffset>1318260</wp:posOffset>
                      </wp:positionV>
                      <wp:extent cx="386715" cy="301625"/>
                      <wp:effectExtent l="0" t="0" r="0" b="0"/>
                      <wp:wrapNone/>
                      <wp:docPr id="6" name="Rectangle 6"/>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FE932" w14:textId="77777777" w:rsidR="00B15DB4" w:rsidRPr="00B15DB4" w:rsidRDefault="00B15DB4" w:rsidP="00B15DB4">
                                  <w:pPr>
                                    <w:rPr>
                                      <w:rFonts w:ascii="Arial" w:hAnsi="Arial" w:cs="Arial"/>
                                    </w:rPr>
                                  </w:pPr>
                                  <w:r w:rsidRPr="00B15DB4">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29F9E" id="Rectangle 6" o:spid="_x0000_s1029" style="position:absolute;left:0;text-align:left;margin-left:105.95pt;margin-top:103.8pt;width:30.4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" filled="f" stroked="f" strokeweight="2pt">
                      <v:textbox>
                        <w:txbxContent>
                          <w:p w14:paraId="75AFE932" w14:textId="77777777" w:rsidR="00B15DB4" w:rsidRPr="00B15DB4" w:rsidRDefault="00B15DB4" w:rsidP="00B15DB4">
                            <w:pPr>
                              <w:rPr>
                                <w:rFonts w:ascii="Arial" w:hAnsi="Arial" w:cs="Arial"/>
                              </w:rPr>
                            </w:pPr>
                            <w:r w:rsidRPr="00B15DB4">
                              <w:rPr>
                                <w:rFonts w:ascii="Arial" w:hAnsi="Arial" w:cs="Arial"/>
                              </w:rPr>
                              <w:t>(a)</w:t>
                            </w:r>
                          </w:p>
                        </w:txbxContent>
                      </v:textbox>
                    </v:rect>
                  </w:pict>
                </mc:Fallback>
              </mc:AlternateContent>
            </w:r>
            <w:r w:rsidRPr="00E97BCA">
              <w:rPr>
                <w:rFonts w:ascii="Arial" w:hAnsi="Arial" w:cs="Arial"/>
                <w:noProof/>
                <w:sz w:val="24"/>
                <w:szCs w:val="24"/>
                <w:highlight w:val="yellow"/>
              </w:rPr>
              <w:drawing>
                <wp:inline distT="0" distB="0" distL="0" distR="0" wp14:anchorId="77D22BCD" wp14:editId="54E75799">
                  <wp:extent cx="1616659" cy="1568640"/>
                  <wp:effectExtent l="0" t="0" r="317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7" cstate="print">
                            <a:extLst>
                              <a:ext uri="{28A0092B-C50C-407E-A947-70E740481C1C}">
                                <a14:useLocalDpi xmlns:a14="http://schemas.microsoft.com/office/drawing/2010/main" val="0"/>
                              </a:ext>
                            </a:extLst>
                          </a:blip>
                          <a:srcRect l="15390" t="21104" r="13519" b="25238"/>
                          <a:stretch/>
                        </pic:blipFill>
                        <pic:spPr bwMode="auto">
                          <a:xfrm>
                            <a:off x="0" y="0"/>
                            <a:ext cx="1628322" cy="157995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790" w:type="dxa"/>
          </w:tcPr>
          <w:p w14:paraId="1FD7E527" w14:textId="77777777" w:rsidR="00B15DB4" w:rsidRPr="00E97BCA" w:rsidRDefault="00B15DB4" w:rsidP="00E97B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64384" behindDoc="0" locked="0" layoutInCell="1" allowOverlap="1" wp14:anchorId="4A1879CC" wp14:editId="2805728F">
                      <wp:simplePos x="0" y="0"/>
                      <wp:positionH relativeFrom="column">
                        <wp:posOffset>1331595</wp:posOffset>
                      </wp:positionH>
                      <wp:positionV relativeFrom="paragraph">
                        <wp:posOffset>1354760</wp:posOffset>
                      </wp:positionV>
                      <wp:extent cx="386715" cy="301625"/>
                      <wp:effectExtent l="0" t="0" r="0" b="0"/>
                      <wp:wrapNone/>
                      <wp:docPr id="7" name="Rectangle 7"/>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2F6EF" w14:textId="77777777" w:rsidR="00B15DB4" w:rsidRPr="00B15DB4" w:rsidRDefault="00B15DB4" w:rsidP="00B15DB4">
                                  <w:pPr>
                                    <w:rPr>
                                      <w:rFonts w:ascii="Arial" w:hAnsi="Arial" w:cs="Arial"/>
                                    </w:rPr>
                                  </w:pPr>
                                  <w:r w:rsidRPr="00B15DB4">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79CC" id="Rectangle 7" o:spid="_x0000_s1030" style="position:absolute;left:0;text-align:left;margin-left:104.85pt;margin-top:106.65pt;width:30.4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" filled="f" stroked="f" strokeweight="2pt">
                      <v:textbox>
                        <w:txbxContent>
                          <w:p w14:paraId="1A12F6EF" w14:textId="77777777" w:rsidR="00B15DB4" w:rsidRPr="00B15DB4" w:rsidRDefault="00B15DB4" w:rsidP="00B15DB4">
                            <w:pPr>
                              <w:rPr>
                                <w:rFonts w:ascii="Arial" w:hAnsi="Arial" w:cs="Arial"/>
                              </w:rPr>
                            </w:pPr>
                            <w:r w:rsidRPr="00B15DB4">
                              <w:rPr>
                                <w:rFonts w:ascii="Arial" w:hAnsi="Arial" w:cs="Arial"/>
                              </w:rPr>
                              <w:t>(b)</w:t>
                            </w:r>
                          </w:p>
                        </w:txbxContent>
                      </v:textbox>
                    </v:rect>
                  </w:pict>
                </mc:Fallback>
              </mc:AlternateContent>
            </w:r>
            <w:r w:rsidRPr="00E97BCA">
              <w:rPr>
                <w:rFonts w:ascii="Arial" w:hAnsi="Arial" w:cs="Arial"/>
                <w:noProof/>
                <w:sz w:val="24"/>
                <w:szCs w:val="24"/>
              </w:rPr>
              <w:drawing>
                <wp:inline distT="0" distB="0" distL="0" distR="0" wp14:anchorId="74089D8E" wp14:editId="099146FA">
                  <wp:extent cx="1616660" cy="1591493"/>
                  <wp:effectExtent l="0" t="0" r="3175" b="889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2" t="815" r="51507" b="20406"/>
                          <a:stretch/>
                        </pic:blipFill>
                        <pic:spPr bwMode="auto">
                          <a:xfrm>
                            <a:off x="0" y="0"/>
                            <a:ext cx="1640541" cy="161500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790" w:type="dxa"/>
          </w:tcPr>
          <w:p w14:paraId="387EBB13" w14:textId="77777777" w:rsidR="00B15DB4" w:rsidRPr="00E97BCA" w:rsidRDefault="00B15DB4" w:rsidP="00E97B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65408" behindDoc="0" locked="0" layoutInCell="1" allowOverlap="1" wp14:anchorId="255C9800" wp14:editId="6C3FEDCC">
                      <wp:simplePos x="0" y="0"/>
                      <wp:positionH relativeFrom="column">
                        <wp:posOffset>1351016</wp:posOffset>
                      </wp:positionH>
                      <wp:positionV relativeFrom="paragraph">
                        <wp:posOffset>1324610</wp:posOffset>
                      </wp:positionV>
                      <wp:extent cx="412750" cy="301625"/>
                      <wp:effectExtent l="0" t="0" r="0" b="0"/>
                      <wp:wrapNone/>
                      <wp:docPr id="8" name="Rectangle 8"/>
                      <wp:cNvGraphicFramePr/>
                      <a:graphic xmlns:a="http://schemas.openxmlformats.org/drawingml/2006/main">
                        <a:graphicData uri="http://schemas.microsoft.com/office/word/2010/wordprocessingShape">
                          <wps:wsp>
                            <wps:cNvSpPr/>
                            <wps:spPr>
                              <a:xfrm>
                                <a:off x="0" y="0"/>
                                <a:ext cx="41275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558AD" w14:textId="77777777" w:rsidR="00B15DB4" w:rsidRPr="00B15DB4" w:rsidRDefault="00B15DB4" w:rsidP="00B15DB4">
                                  <w:pPr>
                                    <w:rPr>
                                      <w:rFonts w:ascii="Arial" w:hAnsi="Arial" w:cs="Arial"/>
                                    </w:rPr>
                                  </w:pPr>
                                  <w:r w:rsidRPr="00B15DB4">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C9800" id="Rectangle 8" o:spid="_x0000_s1031" style="position:absolute;left:0;text-align:left;margin-left:106.4pt;margin-top:104.3pt;width:32.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" filled="f" stroked="f" strokeweight="2pt">
                      <v:textbox>
                        <w:txbxContent>
                          <w:p w14:paraId="345558AD" w14:textId="77777777" w:rsidR="00B15DB4" w:rsidRPr="00B15DB4" w:rsidRDefault="00B15DB4" w:rsidP="00B15DB4">
                            <w:pPr>
                              <w:rPr>
                                <w:rFonts w:ascii="Arial" w:hAnsi="Arial" w:cs="Arial"/>
                              </w:rPr>
                            </w:pPr>
                            <w:r w:rsidRPr="00B15DB4">
                              <w:rPr>
                                <w:rFonts w:ascii="Arial" w:hAnsi="Arial" w:cs="Arial"/>
                              </w:rPr>
                              <w:t>(c)</w:t>
                            </w:r>
                          </w:p>
                        </w:txbxContent>
                      </v:textbox>
                    </v:rect>
                  </w:pict>
                </mc:Fallback>
              </mc:AlternateContent>
            </w:r>
            <w:r w:rsidRPr="00E97BCA">
              <w:rPr>
                <w:rFonts w:ascii="Arial" w:hAnsi="Arial" w:cs="Arial"/>
                <w:noProof/>
                <w:sz w:val="24"/>
                <w:szCs w:val="24"/>
              </w:rPr>
              <w:drawing>
                <wp:inline distT="0" distB="0" distL="0" distR="0" wp14:anchorId="6B9294FB" wp14:editId="716A5458">
                  <wp:extent cx="1689459" cy="1594661"/>
                  <wp:effectExtent l="0" t="0" r="6350" b="571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73" r="10964" b="5391"/>
                          <a:stretch/>
                        </pic:blipFill>
                        <pic:spPr bwMode="auto">
                          <a:xfrm>
                            <a:off x="0" y="0"/>
                            <a:ext cx="1698320" cy="1603025"/>
                          </a:xfrm>
                          <a:prstGeom prst="rect">
                            <a:avLst/>
                          </a:prstGeom>
                          <a:noFill/>
                          <a:ln>
                            <a:noFill/>
                          </a:ln>
                          <a:effectLst/>
                        </pic:spPr>
                      </pic:pic>
                    </a:graphicData>
                  </a:graphic>
                </wp:inline>
              </w:drawing>
            </w:r>
          </w:p>
        </w:tc>
      </w:tr>
    </w:tbl>
    <w:p w14:paraId="32634405" w14:textId="77777777" w:rsidR="00B15DB4" w:rsidRPr="00E97BCA" w:rsidRDefault="00B15DB4" w:rsidP="00E97BCA">
      <w:pPr>
        <w:spacing w:line="312" w:lineRule="auto"/>
        <w:ind w:left="720" w:hanging="720"/>
        <w:jc w:val="both"/>
        <w:rPr>
          <w:rFonts w:ascii="Arial" w:hAnsi="Arial" w:cs="Arial"/>
        </w:rPr>
      </w:pPr>
      <w:r w:rsidRPr="00E97BCA">
        <w:rPr>
          <w:rFonts w:ascii="Arial" w:hAnsi="Arial" w:cs="Arial"/>
        </w:rPr>
        <w:t xml:space="preserve">Plate 2 Seven-day old cultures of </w:t>
      </w:r>
      <w:proofErr w:type="spellStart"/>
      <w:r w:rsidRPr="00E97BCA">
        <w:rPr>
          <w:rFonts w:ascii="Arial" w:hAnsi="Arial" w:cs="Arial"/>
          <w:i/>
        </w:rPr>
        <w:t>Foc</w:t>
      </w:r>
      <w:proofErr w:type="spellEnd"/>
      <w:r w:rsidRPr="00E97BCA">
        <w:rPr>
          <w:rFonts w:ascii="Arial" w:hAnsi="Arial" w:cs="Arial"/>
        </w:rPr>
        <w:t xml:space="preserve"> on MM media: (a) thick mycelial growth of wild type colony of </w:t>
      </w:r>
      <w:proofErr w:type="spellStart"/>
      <w:r w:rsidRPr="00E97BCA">
        <w:rPr>
          <w:rFonts w:ascii="Arial" w:hAnsi="Arial" w:cs="Arial"/>
          <w:i/>
        </w:rPr>
        <w:t>Foc</w:t>
      </w:r>
      <w:proofErr w:type="spellEnd"/>
      <w:r w:rsidRPr="00E97BCA">
        <w:rPr>
          <w:rFonts w:ascii="Arial" w:hAnsi="Arial" w:cs="Arial"/>
        </w:rPr>
        <w:t xml:space="preserve"> </w:t>
      </w:r>
      <w:r w:rsidRPr="00E97BCA">
        <w:rPr>
          <w:rFonts w:ascii="Arial" w:hAnsi="Arial" w:cs="Arial"/>
          <w:kern w:val="24"/>
        </w:rPr>
        <w:t>Pobbathiri-1 isolate</w:t>
      </w:r>
      <w:r w:rsidRPr="00E97BCA">
        <w:rPr>
          <w:rFonts w:ascii="Arial" w:hAnsi="Arial" w:cs="Arial"/>
        </w:rPr>
        <w:t xml:space="preserve">; (c) a very sparse and thin mycelial growth of </w:t>
      </w:r>
      <w:r w:rsidRPr="00E97BCA">
        <w:rPr>
          <w:rFonts w:ascii="Arial" w:hAnsi="Arial" w:cs="Arial"/>
          <w:i/>
        </w:rPr>
        <w:t xml:space="preserve">nit </w:t>
      </w:r>
      <w:r w:rsidRPr="00E97BCA">
        <w:rPr>
          <w:rFonts w:ascii="Arial" w:hAnsi="Arial" w:cs="Arial"/>
        </w:rPr>
        <w:t xml:space="preserve">mutant type colony of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Kyonpyaw-1 isolate (c) compatibility assays between known VCG tester strains and </w:t>
      </w:r>
      <w:r w:rsidRPr="00E97BCA">
        <w:rPr>
          <w:rFonts w:ascii="Arial" w:hAnsi="Arial" w:cs="Arial"/>
          <w:i/>
        </w:rPr>
        <w:t>nit</w:t>
      </w:r>
      <w:r w:rsidRPr="00E97BCA">
        <w:rPr>
          <w:rFonts w:ascii="Arial" w:hAnsi="Arial" w:cs="Arial"/>
        </w:rPr>
        <w:t xml:space="preserve"> mutant generated from </w:t>
      </w:r>
      <w:r w:rsidRPr="00E97BCA">
        <w:rPr>
          <w:rFonts w:ascii="Arial" w:hAnsi="Arial" w:cs="Arial"/>
          <w:kern w:val="24"/>
        </w:rPr>
        <w:t>Myitthar-2 isolate</w:t>
      </w:r>
      <w:r w:rsidRPr="00E97BCA">
        <w:rPr>
          <w:rFonts w:ascii="Arial" w:hAnsi="Arial" w:cs="Arial"/>
        </w:rPr>
        <w:t>.</w:t>
      </w:r>
    </w:p>
    <w:p w14:paraId="25353B13" w14:textId="77777777" w:rsidR="002065F3" w:rsidRPr="00E97BCA" w:rsidRDefault="002065F3" w:rsidP="00E97BCA">
      <w:pPr>
        <w:autoSpaceDE w:val="0"/>
        <w:autoSpaceDN w:val="0"/>
        <w:adjustRightInd w:val="0"/>
        <w:spacing w:line="312" w:lineRule="auto"/>
        <w:jc w:val="both"/>
        <w:rPr>
          <w:rFonts w:ascii="Arial" w:hAnsi="Arial" w:cs="Arial"/>
        </w:rPr>
      </w:pPr>
    </w:p>
    <w:p w14:paraId="062817C8" w14:textId="77777777" w:rsidR="002065F3" w:rsidRPr="00E97BCA" w:rsidRDefault="002065F3" w:rsidP="00E97BCA">
      <w:pPr>
        <w:autoSpaceDE w:val="0"/>
        <w:autoSpaceDN w:val="0"/>
        <w:adjustRightInd w:val="0"/>
        <w:spacing w:line="312" w:lineRule="auto"/>
        <w:jc w:val="both"/>
        <w:rPr>
          <w:rFonts w:ascii="Arial" w:hAnsi="Arial" w:cs="Arial"/>
          <w:b/>
        </w:rPr>
      </w:pPr>
      <w:r w:rsidRPr="00E97BCA">
        <w:rPr>
          <w:rFonts w:ascii="Arial" w:hAnsi="Arial" w:cs="Arial"/>
          <w:b/>
        </w:rPr>
        <w:t>2.4. Data recording and race designation</w:t>
      </w:r>
    </w:p>
    <w:p w14:paraId="4B24F8E5" w14:textId="77777777" w:rsidR="002065F3" w:rsidRPr="00E97BCA" w:rsidRDefault="002065F3" w:rsidP="00E97BCA">
      <w:pPr>
        <w:spacing w:line="312" w:lineRule="auto"/>
        <w:ind w:firstLine="720"/>
        <w:jc w:val="both"/>
        <w:rPr>
          <w:rFonts w:ascii="Arial" w:hAnsi="Arial" w:cs="Arial"/>
        </w:rPr>
      </w:pPr>
      <w:r w:rsidRPr="00E97BCA">
        <w:rPr>
          <w:rFonts w:ascii="Arial" w:hAnsi="Arial" w:cs="Arial"/>
        </w:rPr>
        <w:t xml:space="preserve">From 7 days after incubation, cultures were started to inspect for heterokaryon development. The formation can then be easily scored by the line of dense, nutrient sufficient heterokaryon growth which develops between the mycelium of generated mutants and the advancing margin of the tester </w:t>
      </w:r>
      <w:r w:rsidRPr="00E97BCA">
        <w:rPr>
          <w:rFonts w:ascii="Arial" w:hAnsi="Arial" w:cs="Arial"/>
          <w:i/>
        </w:rPr>
        <w:t>nit</w:t>
      </w:r>
      <w:r w:rsidRPr="00E97BCA">
        <w:rPr>
          <w:rFonts w:ascii="Arial" w:hAnsi="Arial" w:cs="Arial"/>
        </w:rPr>
        <w:t>-M mutant (</w:t>
      </w:r>
      <w:proofErr w:type="spellStart"/>
      <w:r w:rsidRPr="00E97BCA">
        <w:rPr>
          <w:rFonts w:ascii="Arial" w:hAnsi="Arial" w:cs="Arial"/>
        </w:rPr>
        <w:t>Correl</w:t>
      </w:r>
      <w:proofErr w:type="spellEnd"/>
      <w:r w:rsidRPr="00E97BCA">
        <w:rPr>
          <w:rFonts w:ascii="Arial" w:hAnsi="Arial" w:cs="Arial"/>
        </w:rPr>
        <w:t xml:space="preserve"> et al., 1987; Leslie, 1990). If no heterokaryon growth had developed after 21 days, the strains being paired were designated as </w:t>
      </w:r>
      <w:proofErr w:type="spellStart"/>
      <w:r w:rsidRPr="00E97BCA">
        <w:rPr>
          <w:rFonts w:ascii="Arial" w:hAnsi="Arial" w:cs="Arial"/>
        </w:rPr>
        <w:t>vegetatively</w:t>
      </w:r>
      <w:proofErr w:type="spellEnd"/>
      <w:r w:rsidRPr="00E97BCA">
        <w:rPr>
          <w:rFonts w:ascii="Arial" w:hAnsi="Arial" w:cs="Arial"/>
        </w:rPr>
        <w:t xml:space="preserve"> incompatible (</w:t>
      </w:r>
      <w:proofErr w:type="spellStart"/>
      <w:r w:rsidRPr="00E97BCA">
        <w:rPr>
          <w:rFonts w:ascii="Arial" w:hAnsi="Arial" w:cs="Arial"/>
          <w:i/>
        </w:rPr>
        <w:t>vic</w:t>
      </w:r>
      <w:proofErr w:type="spellEnd"/>
      <w:r w:rsidRPr="00E97BCA">
        <w:rPr>
          <w:rFonts w:ascii="Arial" w:hAnsi="Arial" w:cs="Arial"/>
        </w:rPr>
        <w:t xml:space="preserve">). When heterokaryon formation was occurred between a new strain and a tester </w:t>
      </w:r>
      <w:r w:rsidRPr="00E97BCA">
        <w:rPr>
          <w:rFonts w:ascii="Arial" w:hAnsi="Arial" w:cs="Arial"/>
          <w:i/>
        </w:rPr>
        <w:t>nit-</w:t>
      </w:r>
      <w:r w:rsidRPr="00E97BCA">
        <w:rPr>
          <w:rFonts w:ascii="Arial" w:hAnsi="Arial" w:cs="Arial"/>
        </w:rPr>
        <w:t xml:space="preserve">M mutant (usually within 10 days), the strain was assigned to the same VCG as the tester strain. Then, race structure was </w:t>
      </w:r>
      <w:proofErr w:type="spellStart"/>
      <w:r w:rsidRPr="00E97BCA">
        <w:rPr>
          <w:rFonts w:ascii="Arial" w:hAnsi="Arial" w:cs="Arial"/>
        </w:rPr>
        <w:t>comfirmed</w:t>
      </w:r>
      <w:proofErr w:type="spellEnd"/>
      <w:r w:rsidRPr="00E97BCA">
        <w:rPr>
          <w:rFonts w:ascii="Arial" w:hAnsi="Arial" w:cs="Arial"/>
        </w:rPr>
        <w:t xml:space="preserve"> as described in Table 3 according to </w:t>
      </w:r>
      <w:proofErr w:type="spellStart"/>
      <w:r w:rsidRPr="00E97BCA">
        <w:rPr>
          <w:rFonts w:ascii="Arial" w:hAnsi="Arial" w:cs="Arial"/>
        </w:rPr>
        <w:t>Ploetz</w:t>
      </w:r>
      <w:proofErr w:type="spellEnd"/>
      <w:r w:rsidRPr="00E97BCA">
        <w:rPr>
          <w:rFonts w:ascii="Arial" w:hAnsi="Arial" w:cs="Arial"/>
        </w:rPr>
        <w:t xml:space="preserve"> (1990), Boehm et al. (1994), </w:t>
      </w:r>
      <w:proofErr w:type="spellStart"/>
      <w:r w:rsidRPr="00E97BCA">
        <w:rPr>
          <w:rFonts w:ascii="Arial" w:hAnsi="Arial" w:cs="Arial"/>
        </w:rPr>
        <w:t>Thangavelu</w:t>
      </w:r>
      <w:proofErr w:type="spellEnd"/>
      <w:r w:rsidRPr="00E97BCA">
        <w:rPr>
          <w:rFonts w:ascii="Arial" w:hAnsi="Arial" w:cs="Arial"/>
        </w:rPr>
        <w:t xml:space="preserve"> et al. (2003), Fourie et al. (2009), Mostert et al. (2017) and </w:t>
      </w:r>
      <w:proofErr w:type="spellStart"/>
      <w:r w:rsidRPr="00E97BCA">
        <w:rPr>
          <w:rFonts w:ascii="Arial" w:hAnsi="Arial" w:cs="Arial"/>
        </w:rPr>
        <w:t>Czislowski</w:t>
      </w:r>
      <w:proofErr w:type="spellEnd"/>
      <w:r w:rsidRPr="00E97BCA">
        <w:rPr>
          <w:rFonts w:ascii="Arial" w:hAnsi="Arial" w:cs="Arial"/>
        </w:rPr>
        <w:t xml:space="preserve"> et al. (2018). </w:t>
      </w:r>
    </w:p>
    <w:p w14:paraId="646D4D98" w14:textId="77777777" w:rsidR="002065F3" w:rsidRPr="00E97BCA" w:rsidRDefault="002065F3" w:rsidP="00E97BCA">
      <w:pPr>
        <w:spacing w:line="312" w:lineRule="auto"/>
        <w:ind w:firstLine="720"/>
        <w:jc w:val="both"/>
        <w:rPr>
          <w:rFonts w:ascii="Arial" w:hAnsi="Arial" w:cs="Arial"/>
        </w:rPr>
      </w:pPr>
    </w:p>
    <w:p w14:paraId="5046A958" w14:textId="77777777" w:rsidR="002065F3" w:rsidRPr="00E97BCA" w:rsidRDefault="002065F3" w:rsidP="00E97BCA">
      <w:pPr>
        <w:spacing w:line="312" w:lineRule="auto"/>
        <w:jc w:val="both"/>
        <w:rPr>
          <w:rFonts w:ascii="Arial" w:hAnsi="Arial" w:cs="Arial"/>
          <w:b/>
        </w:rPr>
      </w:pPr>
      <w:r w:rsidRPr="00E97BCA">
        <w:rPr>
          <w:rFonts w:ascii="Arial" w:hAnsi="Arial" w:cs="Arial"/>
          <w:b/>
        </w:rPr>
        <w:t>3. RESULTS AND DISCUSSION</w:t>
      </w:r>
    </w:p>
    <w:p w14:paraId="41DB68BD" w14:textId="77777777" w:rsidR="008315B6" w:rsidRDefault="002065F3" w:rsidP="00E97BCA">
      <w:pPr>
        <w:autoSpaceDE w:val="0"/>
        <w:autoSpaceDN w:val="0"/>
        <w:adjustRightInd w:val="0"/>
        <w:spacing w:line="312" w:lineRule="auto"/>
        <w:ind w:firstLine="720"/>
        <w:jc w:val="both"/>
        <w:rPr>
          <w:rFonts w:ascii="Arial" w:hAnsi="Arial" w:cs="Arial"/>
        </w:rPr>
      </w:pPr>
      <w:r w:rsidRPr="00E97BCA">
        <w:rPr>
          <w:rFonts w:ascii="Arial" w:hAnsi="Arial" w:cs="Arial"/>
        </w:rPr>
        <w:t>The VCGs assay is used as phenotypic markers to determine genetic diversity and polymorphism (</w:t>
      </w:r>
      <w:proofErr w:type="spellStart"/>
      <w:r w:rsidRPr="00E97BCA">
        <w:rPr>
          <w:rFonts w:ascii="Arial" w:hAnsi="Arial" w:cs="Arial"/>
        </w:rPr>
        <w:t>Puhalla</w:t>
      </w:r>
      <w:proofErr w:type="spellEnd"/>
      <w:r w:rsidRPr="00E97BCA">
        <w:rPr>
          <w:rFonts w:ascii="Arial" w:hAnsi="Arial" w:cs="Arial"/>
        </w:rPr>
        <w:t xml:space="preserve">, 1985). Leslie (1996) stated that VCG test gave rapid </w:t>
      </w:r>
      <w:proofErr w:type="spellStart"/>
      <w:r w:rsidRPr="00E97BCA">
        <w:rPr>
          <w:rFonts w:ascii="Arial" w:hAnsi="Arial" w:cs="Arial"/>
        </w:rPr>
        <w:t>isogenization</w:t>
      </w:r>
      <w:proofErr w:type="spellEnd"/>
      <w:r w:rsidRPr="00E97BCA">
        <w:rPr>
          <w:rFonts w:ascii="Arial" w:hAnsi="Arial" w:cs="Arial"/>
        </w:rPr>
        <w:t xml:space="preserve"> of fungal strains within a population. According to the outcome by VCGs analysis, low diversity of VCG 0124 (Plate 4a-e), VCG 0125 (Plate 4f) and VCG 0124/0125 (Plate 4g-i) and was discovered among the isolates collected from three main regions; </w:t>
      </w:r>
      <w:proofErr w:type="spellStart"/>
      <w:r w:rsidRPr="00E97BCA">
        <w:rPr>
          <w:rFonts w:ascii="Arial" w:hAnsi="Arial" w:cs="Arial"/>
        </w:rPr>
        <w:t>Ayarwaddy</w:t>
      </w:r>
      <w:proofErr w:type="spellEnd"/>
      <w:r w:rsidRPr="00E97BCA">
        <w:rPr>
          <w:rFonts w:ascii="Arial" w:hAnsi="Arial" w:cs="Arial"/>
        </w:rPr>
        <w:t xml:space="preserve"> (lower parts of Myanmar), Mandalay (upper parts of Myanmar), </w:t>
      </w:r>
      <w:proofErr w:type="spellStart"/>
      <w:r w:rsidRPr="00E97BCA">
        <w:rPr>
          <w:rFonts w:ascii="Arial" w:hAnsi="Arial" w:cs="Arial"/>
          <w:kern w:val="24"/>
        </w:rPr>
        <w:t>Naypyitaw</w:t>
      </w:r>
      <w:proofErr w:type="spellEnd"/>
      <w:r w:rsidRPr="00E97BCA">
        <w:rPr>
          <w:rFonts w:ascii="Arial" w:hAnsi="Arial" w:cs="Arial"/>
          <w:kern w:val="24"/>
        </w:rPr>
        <w:t xml:space="preserve"> Union Territory</w:t>
      </w:r>
      <w:r w:rsidRPr="00E97BCA">
        <w:rPr>
          <w:rFonts w:ascii="Arial" w:hAnsi="Arial" w:cs="Arial"/>
        </w:rPr>
        <w:t xml:space="preserve"> (central Myanmar) as described in Table 2. </w:t>
      </w:r>
    </w:p>
    <w:p w14:paraId="194DF759" w14:textId="77777777" w:rsidR="008315B6" w:rsidRDefault="002065F3" w:rsidP="008315B6">
      <w:pPr>
        <w:autoSpaceDE w:val="0"/>
        <w:autoSpaceDN w:val="0"/>
        <w:adjustRightInd w:val="0"/>
        <w:spacing w:after="240" w:line="312" w:lineRule="auto"/>
        <w:ind w:firstLine="720"/>
        <w:jc w:val="both"/>
        <w:rPr>
          <w:rFonts w:ascii="Arial" w:hAnsi="Arial" w:cs="Arial"/>
        </w:rPr>
      </w:pPr>
      <w:r w:rsidRPr="00E97BCA">
        <w:rPr>
          <w:rFonts w:ascii="Arial" w:hAnsi="Arial" w:cs="Arial"/>
        </w:rPr>
        <w:t>There was found to be variation in the degree of heterokaryon formation (Plate 3): some showed a line of slight mycelial growth formation (weak heterokaryon), some showed moderated (moderate heterokaryon) and other showed very thick growth (strong heterokaryons).</w:t>
      </w:r>
      <w:r w:rsidR="00B15DB4" w:rsidRPr="00E97BCA">
        <w:rPr>
          <w:rFonts w:ascii="Arial" w:hAnsi="Arial" w:cs="Arial"/>
        </w:rPr>
        <w:t xml:space="preserve"> </w:t>
      </w:r>
      <w:r w:rsidRPr="00E97BCA">
        <w:rPr>
          <w:rFonts w:ascii="Arial" w:hAnsi="Arial" w:cs="Arial"/>
        </w:rPr>
        <w:t xml:space="preserve">VCG 0124 strain is mostly common and the largest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strain in the study </w:t>
      </w:r>
      <w:r w:rsidRPr="00E97BCA">
        <w:rPr>
          <w:rFonts w:ascii="Arial" w:hAnsi="Arial" w:cs="Arial"/>
        </w:rPr>
        <w:lastRenderedPageBreak/>
        <w:t xml:space="preserve">areas of Myanmar, followed by VCG 0124-0125 and VCG 0125 strains. Out of the 20 tested isolates, 11 belonged to VCG 0124 and one isolate belonged to VCG 0125 and 8 belonged VCG 0124/0125 complex (Table 3). VCG 0124 represented the predominant population with 55% of total 20 collected </w:t>
      </w:r>
      <w:proofErr w:type="spellStart"/>
      <w:r w:rsidRPr="00E97BCA">
        <w:rPr>
          <w:rFonts w:ascii="Arial" w:hAnsi="Arial" w:cs="Arial"/>
          <w:i/>
        </w:rPr>
        <w:t>Foc</w:t>
      </w:r>
      <w:proofErr w:type="spellEnd"/>
      <w:r w:rsidRPr="00E97BCA">
        <w:rPr>
          <w:rFonts w:ascii="Arial" w:hAnsi="Arial" w:cs="Arial"/>
        </w:rPr>
        <w:t xml:space="preserve"> isolates as well as the cross compatible population was VCG 0124/0125 with a proportion of 40%.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identified as VCG 0125, had the lowest proportion with 5% of the total population (Table 2). No one isolate was incompatible with known VCGs </w:t>
      </w:r>
      <w:r w:rsidRPr="00E97BCA">
        <w:rPr>
          <w:rFonts w:ascii="Arial" w:hAnsi="Arial" w:cs="Arial"/>
          <w:i/>
        </w:rPr>
        <w:t>nit</w:t>
      </w:r>
      <w:r w:rsidRPr="00E97BCA">
        <w:rPr>
          <w:rFonts w:ascii="Arial" w:hAnsi="Arial" w:cs="Arial"/>
        </w:rPr>
        <w:t xml:space="preserve">-M testers. </w:t>
      </w:r>
    </w:p>
    <w:p w14:paraId="5F16DF42" w14:textId="77777777" w:rsidR="008315B6" w:rsidRPr="00E97BCA" w:rsidRDefault="008315B6" w:rsidP="008315B6">
      <w:pPr>
        <w:tabs>
          <w:tab w:val="left" w:pos="810"/>
        </w:tabs>
        <w:spacing w:line="312" w:lineRule="auto"/>
        <w:ind w:left="810" w:hanging="900"/>
        <w:jc w:val="both"/>
        <w:rPr>
          <w:rFonts w:ascii="Arial" w:hAnsi="Arial" w:cs="Arial"/>
          <w:b/>
          <w:bCs/>
        </w:rPr>
      </w:pPr>
      <w:r w:rsidRPr="00E97BCA">
        <w:rPr>
          <w:rFonts w:ascii="Arial" w:hAnsi="Arial" w:cs="Arial"/>
          <w:b/>
          <w:bCs/>
        </w:rPr>
        <w:t xml:space="preserve">Table 2 Population frequency of respective VCG strains of 20 </w:t>
      </w:r>
      <w:proofErr w:type="spellStart"/>
      <w:r w:rsidRPr="00E97BCA">
        <w:rPr>
          <w:rFonts w:ascii="Arial" w:hAnsi="Arial" w:cs="Arial"/>
          <w:b/>
          <w:bCs/>
          <w:i/>
          <w:iCs/>
        </w:rPr>
        <w:t>Foc</w:t>
      </w:r>
      <w:proofErr w:type="spellEnd"/>
      <w:r w:rsidRPr="00E97BCA">
        <w:rPr>
          <w:rFonts w:ascii="Arial" w:hAnsi="Arial" w:cs="Arial"/>
          <w:b/>
          <w:bCs/>
          <w:i/>
          <w:iCs/>
        </w:rPr>
        <w:t xml:space="preserve"> </w:t>
      </w:r>
      <w:r w:rsidRPr="00E97BCA">
        <w:rPr>
          <w:rFonts w:ascii="Arial" w:hAnsi="Arial" w:cs="Arial"/>
          <w:b/>
          <w:bCs/>
        </w:rPr>
        <w:t xml:space="preserve">isolates corresponding    regions of different banana fields </w:t>
      </w:r>
    </w:p>
    <w:tbl>
      <w:tblPr>
        <w:tblStyle w:val="TableGrid"/>
        <w:tblW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
        <w:gridCol w:w="4035"/>
        <w:gridCol w:w="968"/>
        <w:gridCol w:w="726"/>
        <w:gridCol w:w="807"/>
        <w:gridCol w:w="807"/>
        <w:gridCol w:w="646"/>
      </w:tblGrid>
      <w:tr w:rsidR="008315B6" w:rsidRPr="00E97BCA" w14:paraId="74C17B21" w14:textId="77777777" w:rsidTr="001347CA">
        <w:trPr>
          <w:trHeight w:val="614"/>
        </w:trPr>
        <w:tc>
          <w:tcPr>
            <w:tcW w:w="500" w:type="dxa"/>
            <w:vMerge w:val="restart"/>
            <w:tcBorders>
              <w:top w:val="single" w:sz="4" w:space="0" w:color="auto"/>
              <w:bottom w:val="single" w:sz="4" w:space="0" w:color="auto"/>
            </w:tcBorders>
            <w:vAlign w:val="center"/>
          </w:tcPr>
          <w:p w14:paraId="0B7FBD39" w14:textId="77777777" w:rsidR="008315B6" w:rsidRPr="00E97BCA" w:rsidRDefault="008315B6" w:rsidP="00402AD0">
            <w:pPr>
              <w:spacing w:line="312" w:lineRule="auto"/>
              <w:jc w:val="center"/>
              <w:rPr>
                <w:rFonts w:ascii="Arial" w:hAnsi="Arial" w:cs="Arial"/>
                <w:b/>
                <w:bCs/>
                <w:sz w:val="20"/>
                <w:szCs w:val="20"/>
              </w:rPr>
            </w:pPr>
            <w:r w:rsidRPr="00E97BCA">
              <w:rPr>
                <w:rFonts w:ascii="Arial" w:hAnsi="Arial" w:cs="Arial"/>
                <w:b/>
                <w:bCs/>
                <w:sz w:val="20"/>
                <w:szCs w:val="20"/>
              </w:rPr>
              <w:t>Sr.</w:t>
            </w:r>
          </w:p>
          <w:p w14:paraId="3E8AE9CE" w14:textId="77777777" w:rsidR="008315B6" w:rsidRPr="00E97BCA" w:rsidRDefault="008315B6" w:rsidP="00402AD0">
            <w:pPr>
              <w:spacing w:line="312" w:lineRule="auto"/>
              <w:jc w:val="center"/>
              <w:rPr>
                <w:rFonts w:ascii="Arial" w:hAnsi="Arial" w:cs="Arial"/>
                <w:b/>
                <w:bCs/>
                <w:sz w:val="20"/>
                <w:szCs w:val="20"/>
              </w:rPr>
            </w:pPr>
            <w:r w:rsidRPr="00E97BCA">
              <w:rPr>
                <w:rFonts w:ascii="Arial" w:hAnsi="Arial" w:cs="Arial"/>
                <w:b/>
                <w:bCs/>
                <w:sz w:val="20"/>
                <w:szCs w:val="20"/>
              </w:rPr>
              <w:t>no.</w:t>
            </w:r>
          </w:p>
        </w:tc>
        <w:tc>
          <w:tcPr>
            <w:tcW w:w="4035" w:type="dxa"/>
            <w:vMerge w:val="restart"/>
            <w:tcBorders>
              <w:top w:val="single" w:sz="4" w:space="0" w:color="auto"/>
              <w:bottom w:val="single" w:sz="4" w:space="0" w:color="auto"/>
            </w:tcBorders>
            <w:vAlign w:val="center"/>
            <w:hideMark/>
          </w:tcPr>
          <w:p w14:paraId="72386338"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
                <w:bCs/>
                <w:sz w:val="20"/>
                <w:szCs w:val="20"/>
              </w:rPr>
              <w:t>Source of collection</w:t>
            </w:r>
          </w:p>
        </w:tc>
        <w:tc>
          <w:tcPr>
            <w:tcW w:w="968" w:type="dxa"/>
            <w:vMerge w:val="restart"/>
            <w:tcBorders>
              <w:top w:val="single" w:sz="4" w:space="0" w:color="auto"/>
              <w:bottom w:val="single" w:sz="4" w:space="0" w:color="auto"/>
            </w:tcBorders>
            <w:vAlign w:val="center"/>
            <w:hideMark/>
          </w:tcPr>
          <w:p w14:paraId="78433DF2"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
                <w:bCs/>
                <w:sz w:val="20"/>
                <w:szCs w:val="20"/>
              </w:rPr>
              <w:t>Number</w:t>
            </w:r>
          </w:p>
          <w:p w14:paraId="46AC6E9D"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
                <w:bCs/>
                <w:sz w:val="20"/>
                <w:szCs w:val="20"/>
              </w:rPr>
              <w:t xml:space="preserve">of </w:t>
            </w:r>
            <w:proofErr w:type="spellStart"/>
            <w:r w:rsidRPr="00E97BCA">
              <w:rPr>
                <w:rFonts w:ascii="Arial" w:hAnsi="Arial" w:cs="Arial"/>
                <w:b/>
                <w:bCs/>
                <w:i/>
                <w:sz w:val="20"/>
                <w:szCs w:val="20"/>
              </w:rPr>
              <w:t>Foc</w:t>
            </w:r>
            <w:proofErr w:type="spellEnd"/>
            <w:r w:rsidRPr="00E97BCA">
              <w:rPr>
                <w:rFonts w:ascii="Arial" w:hAnsi="Arial" w:cs="Arial"/>
                <w:b/>
                <w:bCs/>
                <w:i/>
                <w:sz w:val="20"/>
                <w:szCs w:val="20"/>
              </w:rPr>
              <w:t xml:space="preserve"> </w:t>
            </w:r>
            <w:r w:rsidRPr="00E97BCA">
              <w:rPr>
                <w:rFonts w:ascii="Arial" w:hAnsi="Arial" w:cs="Arial"/>
                <w:b/>
                <w:bCs/>
                <w:sz w:val="20"/>
                <w:szCs w:val="20"/>
              </w:rPr>
              <w:t>isolates</w:t>
            </w:r>
          </w:p>
        </w:tc>
        <w:tc>
          <w:tcPr>
            <w:tcW w:w="2340" w:type="dxa"/>
            <w:gridSpan w:val="3"/>
            <w:tcBorders>
              <w:top w:val="single" w:sz="4" w:space="0" w:color="auto"/>
              <w:bottom w:val="single" w:sz="4" w:space="0" w:color="auto"/>
            </w:tcBorders>
            <w:vAlign w:val="center"/>
          </w:tcPr>
          <w:p w14:paraId="601C670F" w14:textId="77777777" w:rsidR="008315B6" w:rsidRPr="00E97BCA" w:rsidRDefault="008315B6" w:rsidP="00402AD0">
            <w:pPr>
              <w:spacing w:line="312" w:lineRule="auto"/>
              <w:jc w:val="center"/>
              <w:rPr>
                <w:rFonts w:ascii="Arial" w:hAnsi="Arial" w:cs="Arial"/>
                <w:b/>
                <w:bCs/>
                <w:sz w:val="20"/>
                <w:szCs w:val="20"/>
              </w:rPr>
            </w:pPr>
            <w:r w:rsidRPr="00E97BCA">
              <w:rPr>
                <w:rFonts w:ascii="Arial" w:hAnsi="Arial" w:cs="Arial"/>
                <w:b/>
                <w:bCs/>
                <w:sz w:val="20"/>
                <w:szCs w:val="20"/>
              </w:rPr>
              <w:t>No. of observed VCGs</w:t>
            </w:r>
          </w:p>
        </w:tc>
        <w:tc>
          <w:tcPr>
            <w:tcW w:w="646" w:type="dxa"/>
            <w:vMerge w:val="restart"/>
            <w:tcBorders>
              <w:top w:val="single" w:sz="4" w:space="0" w:color="auto"/>
              <w:bottom w:val="single" w:sz="4" w:space="0" w:color="auto"/>
            </w:tcBorders>
            <w:vAlign w:val="center"/>
          </w:tcPr>
          <w:p w14:paraId="3CAA851D" w14:textId="77777777" w:rsidR="008315B6" w:rsidRPr="00E97BCA" w:rsidRDefault="008315B6" w:rsidP="00402AD0">
            <w:pPr>
              <w:spacing w:line="312" w:lineRule="auto"/>
              <w:jc w:val="center"/>
              <w:rPr>
                <w:rFonts w:ascii="Arial" w:hAnsi="Arial" w:cs="Arial"/>
                <w:b/>
                <w:bCs/>
                <w:sz w:val="20"/>
                <w:szCs w:val="20"/>
              </w:rPr>
            </w:pPr>
            <w:r w:rsidRPr="00E97BCA">
              <w:rPr>
                <w:rFonts w:ascii="Arial" w:hAnsi="Arial" w:cs="Arial"/>
                <w:b/>
                <w:i/>
                <w:sz w:val="20"/>
                <w:szCs w:val="20"/>
              </w:rPr>
              <w:t>vic</w:t>
            </w:r>
            <w:r w:rsidRPr="00E97BCA">
              <w:rPr>
                <w:rFonts w:ascii="Arial" w:hAnsi="Arial" w:cs="Arial"/>
                <w:b/>
                <w:bCs/>
                <w:sz w:val="20"/>
                <w:szCs w:val="20"/>
              </w:rPr>
              <w:t>.</w:t>
            </w:r>
          </w:p>
        </w:tc>
      </w:tr>
      <w:tr w:rsidR="008315B6" w:rsidRPr="00E97BCA" w14:paraId="3B4A9E55" w14:textId="77777777" w:rsidTr="001347CA">
        <w:trPr>
          <w:trHeight w:val="350"/>
        </w:trPr>
        <w:tc>
          <w:tcPr>
            <w:tcW w:w="500" w:type="dxa"/>
            <w:vMerge/>
            <w:tcBorders>
              <w:top w:val="single" w:sz="4" w:space="0" w:color="auto"/>
              <w:bottom w:val="single" w:sz="4" w:space="0" w:color="auto"/>
            </w:tcBorders>
          </w:tcPr>
          <w:p w14:paraId="3D9D99C6" w14:textId="77777777" w:rsidR="008315B6" w:rsidRPr="00E97BCA" w:rsidRDefault="008315B6" w:rsidP="00402AD0">
            <w:pPr>
              <w:spacing w:line="312" w:lineRule="auto"/>
              <w:jc w:val="center"/>
              <w:rPr>
                <w:rFonts w:ascii="Arial" w:hAnsi="Arial" w:cs="Arial"/>
                <w:sz w:val="20"/>
                <w:szCs w:val="20"/>
              </w:rPr>
            </w:pPr>
          </w:p>
        </w:tc>
        <w:tc>
          <w:tcPr>
            <w:tcW w:w="4035" w:type="dxa"/>
            <w:vMerge/>
            <w:tcBorders>
              <w:top w:val="single" w:sz="4" w:space="0" w:color="auto"/>
              <w:bottom w:val="single" w:sz="4" w:space="0" w:color="auto"/>
            </w:tcBorders>
            <w:vAlign w:val="center"/>
            <w:hideMark/>
          </w:tcPr>
          <w:p w14:paraId="62211346" w14:textId="77777777" w:rsidR="008315B6" w:rsidRPr="00E97BCA" w:rsidRDefault="008315B6" w:rsidP="00402AD0">
            <w:pPr>
              <w:spacing w:line="312" w:lineRule="auto"/>
              <w:jc w:val="center"/>
              <w:rPr>
                <w:rFonts w:ascii="Arial" w:hAnsi="Arial" w:cs="Arial"/>
                <w:sz w:val="20"/>
                <w:szCs w:val="20"/>
              </w:rPr>
            </w:pPr>
          </w:p>
        </w:tc>
        <w:tc>
          <w:tcPr>
            <w:tcW w:w="968" w:type="dxa"/>
            <w:vMerge/>
            <w:tcBorders>
              <w:top w:val="single" w:sz="4" w:space="0" w:color="auto"/>
              <w:bottom w:val="single" w:sz="4" w:space="0" w:color="auto"/>
            </w:tcBorders>
            <w:vAlign w:val="center"/>
            <w:hideMark/>
          </w:tcPr>
          <w:p w14:paraId="29ED562C" w14:textId="77777777" w:rsidR="008315B6" w:rsidRPr="00E97BCA" w:rsidRDefault="008315B6" w:rsidP="00402AD0">
            <w:pPr>
              <w:spacing w:line="312" w:lineRule="auto"/>
              <w:jc w:val="center"/>
              <w:rPr>
                <w:rFonts w:ascii="Arial" w:hAnsi="Arial" w:cs="Arial"/>
                <w:sz w:val="20"/>
                <w:szCs w:val="20"/>
              </w:rPr>
            </w:pPr>
          </w:p>
        </w:tc>
        <w:tc>
          <w:tcPr>
            <w:tcW w:w="726" w:type="dxa"/>
            <w:tcBorders>
              <w:top w:val="single" w:sz="4" w:space="0" w:color="auto"/>
              <w:bottom w:val="single" w:sz="4" w:space="0" w:color="auto"/>
            </w:tcBorders>
            <w:vAlign w:val="center"/>
          </w:tcPr>
          <w:p w14:paraId="110FA57D"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
                <w:bCs/>
                <w:sz w:val="20"/>
                <w:szCs w:val="20"/>
              </w:rPr>
              <w:t>0124</w:t>
            </w:r>
          </w:p>
        </w:tc>
        <w:tc>
          <w:tcPr>
            <w:tcW w:w="807" w:type="dxa"/>
            <w:tcBorders>
              <w:top w:val="single" w:sz="4" w:space="0" w:color="auto"/>
              <w:bottom w:val="single" w:sz="4" w:space="0" w:color="auto"/>
            </w:tcBorders>
            <w:vAlign w:val="center"/>
          </w:tcPr>
          <w:p w14:paraId="204C552C"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
                <w:bCs/>
                <w:sz w:val="20"/>
                <w:szCs w:val="20"/>
              </w:rPr>
              <w:t>0125</w:t>
            </w:r>
          </w:p>
        </w:tc>
        <w:tc>
          <w:tcPr>
            <w:tcW w:w="807" w:type="dxa"/>
            <w:tcBorders>
              <w:top w:val="single" w:sz="4" w:space="0" w:color="auto"/>
              <w:bottom w:val="single" w:sz="4" w:space="0" w:color="auto"/>
            </w:tcBorders>
            <w:vAlign w:val="center"/>
          </w:tcPr>
          <w:p w14:paraId="2B6C4BA2" w14:textId="77777777" w:rsidR="008315B6" w:rsidRPr="00E97BCA" w:rsidRDefault="008315B6" w:rsidP="00402AD0">
            <w:pPr>
              <w:spacing w:line="312" w:lineRule="auto"/>
              <w:jc w:val="center"/>
              <w:rPr>
                <w:rFonts w:ascii="Arial" w:hAnsi="Arial" w:cs="Arial"/>
                <w:b/>
                <w:bCs/>
                <w:sz w:val="20"/>
                <w:szCs w:val="20"/>
              </w:rPr>
            </w:pPr>
            <w:r w:rsidRPr="00E97BCA">
              <w:rPr>
                <w:rFonts w:ascii="Arial" w:hAnsi="Arial" w:cs="Arial"/>
                <w:b/>
                <w:bCs/>
                <w:sz w:val="20"/>
                <w:szCs w:val="20"/>
              </w:rPr>
              <w:t>0124/</w:t>
            </w:r>
          </w:p>
          <w:p w14:paraId="749E46BD"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
                <w:bCs/>
                <w:sz w:val="20"/>
                <w:szCs w:val="20"/>
              </w:rPr>
              <w:t>0125</w:t>
            </w:r>
          </w:p>
        </w:tc>
        <w:tc>
          <w:tcPr>
            <w:tcW w:w="646" w:type="dxa"/>
            <w:vMerge/>
            <w:tcBorders>
              <w:top w:val="single" w:sz="4" w:space="0" w:color="auto"/>
              <w:bottom w:val="single" w:sz="4" w:space="0" w:color="auto"/>
            </w:tcBorders>
          </w:tcPr>
          <w:p w14:paraId="770CA609" w14:textId="77777777" w:rsidR="008315B6" w:rsidRPr="00E97BCA" w:rsidRDefault="008315B6" w:rsidP="00402AD0">
            <w:pPr>
              <w:spacing w:line="312" w:lineRule="auto"/>
              <w:jc w:val="center"/>
              <w:rPr>
                <w:rFonts w:ascii="Arial" w:hAnsi="Arial" w:cs="Arial"/>
                <w:sz w:val="20"/>
                <w:szCs w:val="20"/>
              </w:rPr>
            </w:pPr>
          </w:p>
        </w:tc>
      </w:tr>
      <w:tr w:rsidR="008315B6" w:rsidRPr="00E97BCA" w14:paraId="326DC300" w14:textId="77777777" w:rsidTr="001347CA">
        <w:trPr>
          <w:trHeight w:val="310"/>
        </w:trPr>
        <w:tc>
          <w:tcPr>
            <w:tcW w:w="500" w:type="dxa"/>
            <w:tcBorders>
              <w:top w:val="single" w:sz="4" w:space="0" w:color="auto"/>
            </w:tcBorders>
          </w:tcPr>
          <w:p w14:paraId="38A8EE7B" w14:textId="77777777" w:rsidR="008315B6" w:rsidRPr="00E97BCA" w:rsidRDefault="008315B6" w:rsidP="00402AD0">
            <w:pPr>
              <w:spacing w:line="312" w:lineRule="auto"/>
              <w:jc w:val="center"/>
              <w:rPr>
                <w:rFonts w:ascii="Arial" w:hAnsi="Arial" w:cs="Arial"/>
                <w:bCs/>
                <w:sz w:val="20"/>
                <w:szCs w:val="20"/>
                <w:lang w:val="fi-FI"/>
              </w:rPr>
            </w:pPr>
            <w:r w:rsidRPr="00E97BCA">
              <w:rPr>
                <w:rFonts w:ascii="Arial" w:hAnsi="Arial" w:cs="Arial"/>
                <w:bCs/>
                <w:sz w:val="20"/>
                <w:szCs w:val="20"/>
                <w:lang w:val="fi-FI"/>
              </w:rPr>
              <w:t>1</w:t>
            </w:r>
          </w:p>
        </w:tc>
        <w:tc>
          <w:tcPr>
            <w:tcW w:w="4035" w:type="dxa"/>
            <w:tcBorders>
              <w:top w:val="single" w:sz="4" w:space="0" w:color="auto"/>
            </w:tcBorders>
          </w:tcPr>
          <w:p w14:paraId="43D1C916" w14:textId="77777777" w:rsidR="008315B6" w:rsidRPr="00E97BCA" w:rsidRDefault="008315B6" w:rsidP="00402AD0">
            <w:pPr>
              <w:spacing w:line="312" w:lineRule="auto"/>
              <w:jc w:val="both"/>
              <w:rPr>
                <w:rFonts w:ascii="Arial" w:hAnsi="Arial" w:cs="Arial"/>
                <w:bCs/>
                <w:sz w:val="20"/>
                <w:szCs w:val="20"/>
                <w:lang w:val="fi-FI"/>
              </w:rPr>
            </w:pPr>
            <w:r w:rsidRPr="00E97BCA">
              <w:rPr>
                <w:rFonts w:ascii="Arial" w:hAnsi="Arial" w:cs="Arial"/>
                <w:kern w:val="24"/>
                <w:sz w:val="20"/>
                <w:szCs w:val="20"/>
              </w:rPr>
              <w:t>Ayeyarwady</w:t>
            </w:r>
          </w:p>
        </w:tc>
        <w:tc>
          <w:tcPr>
            <w:tcW w:w="968" w:type="dxa"/>
            <w:tcBorders>
              <w:top w:val="single" w:sz="4" w:space="0" w:color="auto"/>
            </w:tcBorders>
          </w:tcPr>
          <w:p w14:paraId="621C3A1D" w14:textId="77777777" w:rsidR="008315B6" w:rsidRPr="00E97BCA" w:rsidRDefault="008315B6" w:rsidP="00402AD0">
            <w:pPr>
              <w:spacing w:line="312" w:lineRule="auto"/>
              <w:jc w:val="center"/>
              <w:rPr>
                <w:rFonts w:ascii="Arial" w:hAnsi="Arial" w:cs="Arial"/>
                <w:bCs/>
                <w:sz w:val="20"/>
                <w:szCs w:val="20"/>
              </w:rPr>
            </w:pPr>
            <w:r w:rsidRPr="00E97BCA">
              <w:rPr>
                <w:rFonts w:ascii="Arial" w:hAnsi="Arial" w:cs="Arial"/>
                <w:bCs/>
                <w:sz w:val="20"/>
                <w:szCs w:val="20"/>
              </w:rPr>
              <w:t>2</w:t>
            </w:r>
          </w:p>
        </w:tc>
        <w:tc>
          <w:tcPr>
            <w:tcW w:w="726" w:type="dxa"/>
            <w:tcBorders>
              <w:top w:val="single" w:sz="4" w:space="0" w:color="auto"/>
            </w:tcBorders>
            <w:vAlign w:val="center"/>
          </w:tcPr>
          <w:p w14:paraId="6FEE64AA" w14:textId="77777777" w:rsidR="008315B6" w:rsidRPr="00E97BCA" w:rsidRDefault="008315B6" w:rsidP="00402AD0">
            <w:pPr>
              <w:spacing w:line="312" w:lineRule="auto"/>
              <w:jc w:val="center"/>
              <w:rPr>
                <w:rFonts w:ascii="Arial" w:hAnsi="Arial" w:cs="Arial"/>
                <w:bCs/>
                <w:sz w:val="20"/>
                <w:szCs w:val="20"/>
              </w:rPr>
            </w:pPr>
            <w:r w:rsidRPr="00E97BCA">
              <w:rPr>
                <w:rFonts w:ascii="Arial" w:hAnsi="Arial" w:cs="Arial"/>
                <w:bCs/>
                <w:sz w:val="20"/>
                <w:szCs w:val="20"/>
              </w:rPr>
              <w:t>0</w:t>
            </w:r>
          </w:p>
        </w:tc>
        <w:tc>
          <w:tcPr>
            <w:tcW w:w="807" w:type="dxa"/>
            <w:vAlign w:val="center"/>
          </w:tcPr>
          <w:p w14:paraId="2798D0CF" w14:textId="77777777" w:rsidR="008315B6" w:rsidRPr="00E97BCA" w:rsidRDefault="008315B6" w:rsidP="00402AD0">
            <w:pPr>
              <w:spacing w:line="312" w:lineRule="auto"/>
              <w:jc w:val="center"/>
              <w:rPr>
                <w:rFonts w:ascii="Arial" w:hAnsi="Arial" w:cs="Arial"/>
                <w:bCs/>
                <w:sz w:val="20"/>
                <w:szCs w:val="20"/>
              </w:rPr>
            </w:pPr>
            <w:r w:rsidRPr="00E97BCA">
              <w:rPr>
                <w:rFonts w:ascii="Arial" w:hAnsi="Arial" w:cs="Arial"/>
                <w:bCs/>
                <w:sz w:val="20"/>
                <w:szCs w:val="20"/>
              </w:rPr>
              <w:t>0</w:t>
            </w:r>
          </w:p>
        </w:tc>
        <w:tc>
          <w:tcPr>
            <w:tcW w:w="807" w:type="dxa"/>
            <w:vAlign w:val="center"/>
          </w:tcPr>
          <w:p w14:paraId="2C8F6333" w14:textId="77777777" w:rsidR="008315B6" w:rsidRPr="00E97BCA" w:rsidRDefault="008315B6" w:rsidP="00402AD0">
            <w:pPr>
              <w:spacing w:line="312" w:lineRule="auto"/>
              <w:jc w:val="center"/>
              <w:rPr>
                <w:rFonts w:ascii="Arial" w:hAnsi="Arial" w:cs="Arial"/>
                <w:bCs/>
                <w:sz w:val="20"/>
                <w:szCs w:val="20"/>
              </w:rPr>
            </w:pPr>
            <w:r w:rsidRPr="00E97BCA">
              <w:rPr>
                <w:rFonts w:ascii="Arial" w:hAnsi="Arial" w:cs="Arial"/>
                <w:bCs/>
                <w:sz w:val="20"/>
                <w:szCs w:val="20"/>
              </w:rPr>
              <w:t>2</w:t>
            </w:r>
          </w:p>
        </w:tc>
        <w:tc>
          <w:tcPr>
            <w:tcW w:w="646" w:type="dxa"/>
            <w:tcBorders>
              <w:top w:val="single" w:sz="4" w:space="0" w:color="auto"/>
            </w:tcBorders>
          </w:tcPr>
          <w:p w14:paraId="13DD78BE" w14:textId="77777777" w:rsidR="008315B6" w:rsidRPr="00E97BCA" w:rsidRDefault="008315B6" w:rsidP="00402AD0">
            <w:pPr>
              <w:spacing w:line="312" w:lineRule="auto"/>
              <w:jc w:val="center"/>
              <w:rPr>
                <w:rFonts w:ascii="Arial" w:hAnsi="Arial" w:cs="Arial"/>
                <w:bCs/>
                <w:sz w:val="20"/>
                <w:szCs w:val="20"/>
              </w:rPr>
            </w:pPr>
            <w:r w:rsidRPr="00E97BCA">
              <w:rPr>
                <w:rFonts w:ascii="Arial" w:hAnsi="Arial" w:cs="Arial"/>
                <w:bCs/>
                <w:sz w:val="20"/>
                <w:szCs w:val="20"/>
              </w:rPr>
              <w:t>0</w:t>
            </w:r>
          </w:p>
        </w:tc>
      </w:tr>
      <w:tr w:rsidR="008315B6" w:rsidRPr="00E97BCA" w14:paraId="2C1D64F8" w14:textId="77777777" w:rsidTr="001347CA">
        <w:trPr>
          <w:trHeight w:val="320"/>
        </w:trPr>
        <w:tc>
          <w:tcPr>
            <w:tcW w:w="500" w:type="dxa"/>
          </w:tcPr>
          <w:p w14:paraId="37DEB6C2" w14:textId="77777777" w:rsidR="008315B6" w:rsidRPr="00E97BCA" w:rsidRDefault="008315B6" w:rsidP="00402AD0">
            <w:pPr>
              <w:spacing w:line="312" w:lineRule="auto"/>
              <w:jc w:val="center"/>
              <w:rPr>
                <w:rFonts w:ascii="Arial" w:hAnsi="Arial" w:cs="Arial"/>
                <w:bCs/>
                <w:sz w:val="20"/>
                <w:szCs w:val="20"/>
              </w:rPr>
            </w:pPr>
            <w:r w:rsidRPr="00E97BCA">
              <w:rPr>
                <w:rFonts w:ascii="Arial" w:hAnsi="Arial" w:cs="Arial"/>
                <w:bCs/>
                <w:sz w:val="20"/>
                <w:szCs w:val="20"/>
              </w:rPr>
              <w:t>2.</w:t>
            </w:r>
          </w:p>
        </w:tc>
        <w:tc>
          <w:tcPr>
            <w:tcW w:w="4035" w:type="dxa"/>
            <w:hideMark/>
          </w:tcPr>
          <w:p w14:paraId="76160F8F" w14:textId="77777777" w:rsidR="008315B6" w:rsidRPr="00E97BCA" w:rsidRDefault="008315B6" w:rsidP="00402AD0">
            <w:pPr>
              <w:spacing w:line="312" w:lineRule="auto"/>
              <w:jc w:val="both"/>
              <w:rPr>
                <w:rFonts w:ascii="Arial" w:hAnsi="Arial" w:cs="Arial"/>
                <w:sz w:val="20"/>
                <w:szCs w:val="20"/>
              </w:rPr>
            </w:pPr>
            <w:r w:rsidRPr="00E97BCA">
              <w:rPr>
                <w:rFonts w:ascii="Arial" w:hAnsi="Arial" w:cs="Arial"/>
                <w:bCs/>
                <w:sz w:val="20"/>
                <w:szCs w:val="20"/>
              </w:rPr>
              <w:t xml:space="preserve">Mandalay </w:t>
            </w:r>
          </w:p>
        </w:tc>
        <w:tc>
          <w:tcPr>
            <w:tcW w:w="968" w:type="dxa"/>
            <w:hideMark/>
          </w:tcPr>
          <w:p w14:paraId="475FCE0B"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Cs/>
                <w:sz w:val="20"/>
                <w:szCs w:val="20"/>
              </w:rPr>
              <w:t>7</w:t>
            </w:r>
          </w:p>
        </w:tc>
        <w:tc>
          <w:tcPr>
            <w:tcW w:w="726" w:type="dxa"/>
            <w:vAlign w:val="center"/>
          </w:tcPr>
          <w:p w14:paraId="417067D1"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4</w:t>
            </w:r>
          </w:p>
        </w:tc>
        <w:tc>
          <w:tcPr>
            <w:tcW w:w="807" w:type="dxa"/>
            <w:vAlign w:val="center"/>
          </w:tcPr>
          <w:p w14:paraId="104BA561"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0</w:t>
            </w:r>
          </w:p>
        </w:tc>
        <w:tc>
          <w:tcPr>
            <w:tcW w:w="807" w:type="dxa"/>
            <w:vAlign w:val="center"/>
          </w:tcPr>
          <w:p w14:paraId="411435A8"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3</w:t>
            </w:r>
          </w:p>
        </w:tc>
        <w:tc>
          <w:tcPr>
            <w:tcW w:w="646" w:type="dxa"/>
          </w:tcPr>
          <w:p w14:paraId="3F5B4972"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0</w:t>
            </w:r>
          </w:p>
        </w:tc>
      </w:tr>
      <w:tr w:rsidR="008315B6" w:rsidRPr="00E97BCA" w14:paraId="1CE64759" w14:textId="77777777" w:rsidTr="001347CA">
        <w:trPr>
          <w:trHeight w:val="286"/>
        </w:trPr>
        <w:tc>
          <w:tcPr>
            <w:tcW w:w="500" w:type="dxa"/>
          </w:tcPr>
          <w:p w14:paraId="7EB74DAA" w14:textId="77777777" w:rsidR="008315B6" w:rsidRPr="00E97BCA" w:rsidRDefault="008315B6" w:rsidP="00402AD0">
            <w:pPr>
              <w:spacing w:line="312" w:lineRule="auto"/>
              <w:jc w:val="center"/>
              <w:rPr>
                <w:rFonts w:ascii="Arial" w:hAnsi="Arial" w:cs="Arial"/>
                <w:bCs/>
                <w:sz w:val="20"/>
                <w:szCs w:val="20"/>
              </w:rPr>
            </w:pPr>
            <w:r w:rsidRPr="00E97BCA">
              <w:rPr>
                <w:rFonts w:ascii="Arial" w:hAnsi="Arial" w:cs="Arial"/>
                <w:bCs/>
                <w:sz w:val="20"/>
                <w:szCs w:val="20"/>
              </w:rPr>
              <w:t>3.</w:t>
            </w:r>
          </w:p>
        </w:tc>
        <w:tc>
          <w:tcPr>
            <w:tcW w:w="4035" w:type="dxa"/>
          </w:tcPr>
          <w:p w14:paraId="592B6F36" w14:textId="77777777" w:rsidR="008315B6" w:rsidRPr="00E97BCA" w:rsidRDefault="008315B6" w:rsidP="00402AD0">
            <w:pPr>
              <w:spacing w:line="312" w:lineRule="auto"/>
              <w:jc w:val="both"/>
              <w:rPr>
                <w:rFonts w:ascii="Arial" w:hAnsi="Arial" w:cs="Arial"/>
                <w:sz w:val="20"/>
                <w:szCs w:val="20"/>
              </w:rPr>
            </w:pPr>
            <w:r w:rsidRPr="00E97BCA">
              <w:rPr>
                <w:rFonts w:ascii="Arial" w:hAnsi="Arial" w:cs="Arial"/>
                <w:bCs/>
                <w:sz w:val="20"/>
                <w:szCs w:val="20"/>
                <w:lang w:val="fi-FI"/>
              </w:rPr>
              <w:t>Naypyitaw</w:t>
            </w:r>
          </w:p>
        </w:tc>
        <w:tc>
          <w:tcPr>
            <w:tcW w:w="968" w:type="dxa"/>
            <w:hideMark/>
          </w:tcPr>
          <w:p w14:paraId="72565F94"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bCs/>
                <w:sz w:val="20"/>
                <w:szCs w:val="20"/>
              </w:rPr>
              <w:t>11</w:t>
            </w:r>
          </w:p>
        </w:tc>
        <w:tc>
          <w:tcPr>
            <w:tcW w:w="726" w:type="dxa"/>
            <w:vAlign w:val="center"/>
          </w:tcPr>
          <w:p w14:paraId="769D9F5B"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7</w:t>
            </w:r>
          </w:p>
        </w:tc>
        <w:tc>
          <w:tcPr>
            <w:tcW w:w="807" w:type="dxa"/>
            <w:vAlign w:val="center"/>
          </w:tcPr>
          <w:p w14:paraId="17F76A29"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1</w:t>
            </w:r>
          </w:p>
        </w:tc>
        <w:tc>
          <w:tcPr>
            <w:tcW w:w="807" w:type="dxa"/>
            <w:vAlign w:val="center"/>
          </w:tcPr>
          <w:p w14:paraId="09B0635E"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3</w:t>
            </w:r>
          </w:p>
        </w:tc>
        <w:tc>
          <w:tcPr>
            <w:tcW w:w="646" w:type="dxa"/>
          </w:tcPr>
          <w:p w14:paraId="4EE0B0AA" w14:textId="77777777" w:rsidR="008315B6" w:rsidRPr="00E97BCA" w:rsidRDefault="008315B6" w:rsidP="00402AD0">
            <w:pPr>
              <w:spacing w:line="312" w:lineRule="auto"/>
              <w:jc w:val="center"/>
              <w:rPr>
                <w:rFonts w:ascii="Arial" w:hAnsi="Arial" w:cs="Arial"/>
                <w:sz w:val="20"/>
                <w:szCs w:val="20"/>
              </w:rPr>
            </w:pPr>
            <w:r w:rsidRPr="00E97BCA">
              <w:rPr>
                <w:rFonts w:ascii="Arial" w:hAnsi="Arial" w:cs="Arial"/>
                <w:sz w:val="20"/>
                <w:szCs w:val="20"/>
              </w:rPr>
              <w:t>0</w:t>
            </w:r>
          </w:p>
        </w:tc>
      </w:tr>
      <w:tr w:rsidR="008315B6" w:rsidRPr="00E97BCA" w14:paraId="44D85684" w14:textId="77777777" w:rsidTr="001347CA">
        <w:trPr>
          <w:trHeight w:val="270"/>
        </w:trPr>
        <w:tc>
          <w:tcPr>
            <w:tcW w:w="4535" w:type="dxa"/>
            <w:gridSpan w:val="2"/>
            <w:tcBorders>
              <w:bottom w:val="single" w:sz="4" w:space="0" w:color="auto"/>
            </w:tcBorders>
          </w:tcPr>
          <w:p w14:paraId="494BCFCA" w14:textId="77777777" w:rsidR="008315B6" w:rsidRPr="00E97BCA" w:rsidRDefault="008315B6" w:rsidP="00402AD0">
            <w:pPr>
              <w:spacing w:line="312" w:lineRule="auto"/>
              <w:jc w:val="both"/>
              <w:rPr>
                <w:rFonts w:ascii="Arial" w:hAnsi="Arial" w:cs="Arial"/>
                <w:b/>
                <w:sz w:val="20"/>
                <w:szCs w:val="20"/>
              </w:rPr>
            </w:pPr>
            <w:r w:rsidRPr="00E97BCA">
              <w:rPr>
                <w:rFonts w:ascii="Arial" w:hAnsi="Arial" w:cs="Arial"/>
                <w:b/>
                <w:bCs/>
                <w:sz w:val="20"/>
                <w:szCs w:val="20"/>
              </w:rPr>
              <w:t xml:space="preserve">Total number of tested </w:t>
            </w:r>
            <w:proofErr w:type="spellStart"/>
            <w:r w:rsidRPr="00E97BCA">
              <w:rPr>
                <w:rFonts w:ascii="Arial" w:hAnsi="Arial" w:cs="Arial"/>
                <w:b/>
                <w:bCs/>
                <w:i/>
                <w:sz w:val="20"/>
                <w:szCs w:val="20"/>
              </w:rPr>
              <w:t>Foc</w:t>
            </w:r>
            <w:proofErr w:type="spellEnd"/>
            <w:r w:rsidRPr="00E97BCA">
              <w:rPr>
                <w:rFonts w:ascii="Arial" w:hAnsi="Arial" w:cs="Arial"/>
                <w:b/>
                <w:bCs/>
                <w:sz w:val="20"/>
                <w:szCs w:val="20"/>
              </w:rPr>
              <w:t xml:space="preserve"> isolates </w:t>
            </w:r>
          </w:p>
        </w:tc>
        <w:tc>
          <w:tcPr>
            <w:tcW w:w="968" w:type="dxa"/>
            <w:tcBorders>
              <w:bottom w:val="single" w:sz="4" w:space="0" w:color="auto"/>
            </w:tcBorders>
            <w:hideMark/>
          </w:tcPr>
          <w:p w14:paraId="7C6F4388" w14:textId="77777777" w:rsidR="008315B6" w:rsidRPr="00E97BCA" w:rsidRDefault="008315B6" w:rsidP="00402AD0">
            <w:pPr>
              <w:spacing w:line="312" w:lineRule="auto"/>
              <w:jc w:val="center"/>
              <w:rPr>
                <w:rFonts w:ascii="Arial" w:hAnsi="Arial" w:cs="Arial"/>
                <w:b/>
                <w:sz w:val="20"/>
                <w:szCs w:val="20"/>
              </w:rPr>
            </w:pPr>
            <w:r w:rsidRPr="00E97BCA">
              <w:rPr>
                <w:rFonts w:ascii="Arial" w:hAnsi="Arial" w:cs="Arial"/>
                <w:b/>
                <w:bCs/>
                <w:sz w:val="20"/>
                <w:szCs w:val="20"/>
              </w:rPr>
              <w:t>20</w:t>
            </w:r>
          </w:p>
        </w:tc>
        <w:tc>
          <w:tcPr>
            <w:tcW w:w="726" w:type="dxa"/>
            <w:tcBorders>
              <w:bottom w:val="single" w:sz="4" w:space="0" w:color="auto"/>
            </w:tcBorders>
            <w:vAlign w:val="center"/>
          </w:tcPr>
          <w:p w14:paraId="537EBFBA" w14:textId="77777777" w:rsidR="008315B6" w:rsidRPr="00E97BCA" w:rsidRDefault="008315B6" w:rsidP="00402AD0">
            <w:pPr>
              <w:spacing w:line="312" w:lineRule="auto"/>
              <w:jc w:val="center"/>
              <w:rPr>
                <w:rFonts w:ascii="Arial" w:hAnsi="Arial" w:cs="Arial"/>
                <w:b/>
                <w:sz w:val="20"/>
                <w:szCs w:val="20"/>
              </w:rPr>
            </w:pPr>
            <w:r w:rsidRPr="00E97BCA">
              <w:rPr>
                <w:rFonts w:ascii="Arial" w:hAnsi="Arial" w:cs="Arial"/>
                <w:b/>
                <w:sz w:val="20"/>
                <w:szCs w:val="20"/>
              </w:rPr>
              <w:t>11</w:t>
            </w:r>
          </w:p>
        </w:tc>
        <w:tc>
          <w:tcPr>
            <w:tcW w:w="807" w:type="dxa"/>
            <w:tcBorders>
              <w:bottom w:val="single" w:sz="4" w:space="0" w:color="auto"/>
            </w:tcBorders>
            <w:vAlign w:val="center"/>
          </w:tcPr>
          <w:p w14:paraId="408E1E35" w14:textId="77777777" w:rsidR="008315B6" w:rsidRPr="00E97BCA" w:rsidRDefault="008315B6" w:rsidP="00402AD0">
            <w:pPr>
              <w:spacing w:line="312" w:lineRule="auto"/>
              <w:jc w:val="center"/>
              <w:rPr>
                <w:rFonts w:ascii="Arial" w:hAnsi="Arial" w:cs="Arial"/>
                <w:b/>
                <w:sz w:val="20"/>
                <w:szCs w:val="20"/>
              </w:rPr>
            </w:pPr>
            <w:r w:rsidRPr="00E97BCA">
              <w:rPr>
                <w:rFonts w:ascii="Arial" w:hAnsi="Arial" w:cs="Arial"/>
                <w:b/>
                <w:sz w:val="20"/>
                <w:szCs w:val="20"/>
              </w:rPr>
              <w:t>1</w:t>
            </w:r>
          </w:p>
        </w:tc>
        <w:tc>
          <w:tcPr>
            <w:tcW w:w="807" w:type="dxa"/>
            <w:tcBorders>
              <w:bottom w:val="single" w:sz="4" w:space="0" w:color="auto"/>
            </w:tcBorders>
            <w:vAlign w:val="center"/>
          </w:tcPr>
          <w:p w14:paraId="2729B6B7" w14:textId="77777777" w:rsidR="008315B6" w:rsidRPr="00E97BCA" w:rsidRDefault="008315B6" w:rsidP="00402AD0">
            <w:pPr>
              <w:spacing w:line="312" w:lineRule="auto"/>
              <w:jc w:val="center"/>
              <w:rPr>
                <w:rFonts w:ascii="Arial" w:hAnsi="Arial" w:cs="Arial"/>
                <w:b/>
                <w:sz w:val="20"/>
                <w:szCs w:val="20"/>
              </w:rPr>
            </w:pPr>
            <w:r w:rsidRPr="00E97BCA">
              <w:rPr>
                <w:rFonts w:ascii="Arial" w:hAnsi="Arial" w:cs="Arial"/>
                <w:b/>
                <w:sz w:val="20"/>
                <w:szCs w:val="20"/>
              </w:rPr>
              <w:t>8</w:t>
            </w:r>
          </w:p>
        </w:tc>
        <w:tc>
          <w:tcPr>
            <w:tcW w:w="646" w:type="dxa"/>
            <w:tcBorders>
              <w:bottom w:val="single" w:sz="4" w:space="0" w:color="auto"/>
            </w:tcBorders>
          </w:tcPr>
          <w:p w14:paraId="06534DB2" w14:textId="77777777" w:rsidR="008315B6" w:rsidRPr="00E97BCA" w:rsidRDefault="008315B6" w:rsidP="00402AD0">
            <w:pPr>
              <w:spacing w:line="312" w:lineRule="auto"/>
              <w:jc w:val="center"/>
              <w:rPr>
                <w:rFonts w:ascii="Arial" w:hAnsi="Arial" w:cs="Arial"/>
                <w:b/>
                <w:sz w:val="20"/>
                <w:szCs w:val="20"/>
              </w:rPr>
            </w:pPr>
            <w:r w:rsidRPr="00E97BCA">
              <w:rPr>
                <w:rFonts w:ascii="Arial" w:hAnsi="Arial" w:cs="Arial"/>
                <w:b/>
                <w:sz w:val="20"/>
                <w:szCs w:val="20"/>
              </w:rPr>
              <w:t>0</w:t>
            </w:r>
          </w:p>
        </w:tc>
      </w:tr>
      <w:tr w:rsidR="008315B6" w:rsidRPr="00E97BCA" w14:paraId="560CF50D" w14:textId="77777777" w:rsidTr="001347CA">
        <w:trPr>
          <w:trHeight w:val="179"/>
        </w:trPr>
        <w:tc>
          <w:tcPr>
            <w:tcW w:w="4535" w:type="dxa"/>
            <w:gridSpan w:val="2"/>
            <w:tcBorders>
              <w:top w:val="single" w:sz="4" w:space="0" w:color="auto"/>
              <w:bottom w:val="single" w:sz="4" w:space="0" w:color="auto"/>
            </w:tcBorders>
          </w:tcPr>
          <w:p w14:paraId="3A7BF047" w14:textId="77777777" w:rsidR="008315B6" w:rsidRPr="00E97BCA" w:rsidRDefault="008315B6" w:rsidP="00402AD0">
            <w:pPr>
              <w:spacing w:line="312" w:lineRule="auto"/>
              <w:jc w:val="both"/>
              <w:rPr>
                <w:rFonts w:ascii="Arial" w:hAnsi="Arial" w:cs="Arial"/>
                <w:sz w:val="20"/>
                <w:szCs w:val="20"/>
              </w:rPr>
            </w:pPr>
            <w:r w:rsidRPr="00E97BCA">
              <w:rPr>
                <w:rFonts w:ascii="Arial" w:hAnsi="Arial" w:cs="Arial"/>
                <w:b/>
                <w:bCs/>
                <w:sz w:val="20"/>
                <w:szCs w:val="20"/>
              </w:rPr>
              <w:t>Population frequency (%) of respective VCGs</w:t>
            </w:r>
          </w:p>
        </w:tc>
        <w:tc>
          <w:tcPr>
            <w:tcW w:w="968" w:type="dxa"/>
            <w:tcBorders>
              <w:top w:val="single" w:sz="4" w:space="0" w:color="auto"/>
              <w:bottom w:val="single" w:sz="4" w:space="0" w:color="auto"/>
            </w:tcBorders>
            <w:hideMark/>
          </w:tcPr>
          <w:p w14:paraId="3FBDA3F7" w14:textId="77777777" w:rsidR="008315B6" w:rsidRPr="00E97BCA" w:rsidRDefault="008315B6" w:rsidP="00402AD0">
            <w:pPr>
              <w:spacing w:line="312" w:lineRule="auto"/>
              <w:jc w:val="center"/>
              <w:rPr>
                <w:rFonts w:ascii="Arial" w:hAnsi="Arial" w:cs="Arial"/>
                <w:b/>
                <w:sz w:val="20"/>
                <w:szCs w:val="20"/>
              </w:rPr>
            </w:pPr>
          </w:p>
        </w:tc>
        <w:tc>
          <w:tcPr>
            <w:tcW w:w="726" w:type="dxa"/>
            <w:tcBorders>
              <w:top w:val="single" w:sz="4" w:space="0" w:color="auto"/>
              <w:bottom w:val="single" w:sz="4" w:space="0" w:color="auto"/>
            </w:tcBorders>
          </w:tcPr>
          <w:p w14:paraId="69482234" w14:textId="77777777" w:rsidR="008315B6" w:rsidRPr="00E97BCA" w:rsidRDefault="008315B6" w:rsidP="00402AD0">
            <w:pPr>
              <w:spacing w:line="312" w:lineRule="auto"/>
              <w:jc w:val="center"/>
              <w:rPr>
                <w:rFonts w:ascii="Arial" w:hAnsi="Arial" w:cs="Arial"/>
                <w:b/>
                <w:sz w:val="20"/>
                <w:szCs w:val="20"/>
              </w:rPr>
            </w:pPr>
            <w:r w:rsidRPr="00E97BCA">
              <w:rPr>
                <w:rFonts w:ascii="Arial" w:eastAsia="Times New Roman" w:hAnsi="Arial" w:cs="Arial"/>
                <w:b/>
                <w:sz w:val="20"/>
                <w:szCs w:val="20"/>
              </w:rPr>
              <w:t>55 %</w:t>
            </w:r>
          </w:p>
        </w:tc>
        <w:tc>
          <w:tcPr>
            <w:tcW w:w="807" w:type="dxa"/>
            <w:tcBorders>
              <w:top w:val="single" w:sz="4" w:space="0" w:color="auto"/>
              <w:bottom w:val="single" w:sz="4" w:space="0" w:color="auto"/>
            </w:tcBorders>
          </w:tcPr>
          <w:p w14:paraId="0F551F2D" w14:textId="77777777" w:rsidR="008315B6" w:rsidRPr="00E97BCA" w:rsidRDefault="008315B6" w:rsidP="00402AD0">
            <w:pPr>
              <w:spacing w:line="312" w:lineRule="auto"/>
              <w:jc w:val="center"/>
              <w:rPr>
                <w:rFonts w:ascii="Arial" w:hAnsi="Arial" w:cs="Arial"/>
                <w:b/>
                <w:sz w:val="20"/>
                <w:szCs w:val="20"/>
              </w:rPr>
            </w:pPr>
            <w:r w:rsidRPr="00E97BCA">
              <w:rPr>
                <w:rFonts w:ascii="Arial" w:eastAsia="Times New Roman" w:hAnsi="Arial" w:cs="Arial"/>
                <w:b/>
                <w:sz w:val="20"/>
                <w:szCs w:val="20"/>
              </w:rPr>
              <w:t>5 %</w:t>
            </w:r>
          </w:p>
        </w:tc>
        <w:tc>
          <w:tcPr>
            <w:tcW w:w="807" w:type="dxa"/>
            <w:tcBorders>
              <w:top w:val="single" w:sz="4" w:space="0" w:color="auto"/>
              <w:bottom w:val="single" w:sz="4" w:space="0" w:color="auto"/>
            </w:tcBorders>
          </w:tcPr>
          <w:p w14:paraId="4F99C59B" w14:textId="77777777" w:rsidR="008315B6" w:rsidRPr="00E97BCA" w:rsidRDefault="008315B6" w:rsidP="00402AD0">
            <w:pPr>
              <w:spacing w:line="312" w:lineRule="auto"/>
              <w:jc w:val="center"/>
              <w:rPr>
                <w:rFonts w:ascii="Arial" w:hAnsi="Arial" w:cs="Arial"/>
                <w:b/>
                <w:sz w:val="20"/>
                <w:szCs w:val="20"/>
              </w:rPr>
            </w:pPr>
            <w:r w:rsidRPr="00E97BCA">
              <w:rPr>
                <w:rFonts w:ascii="Arial" w:eastAsia="Times New Roman" w:hAnsi="Arial" w:cs="Arial"/>
                <w:b/>
                <w:sz w:val="20"/>
                <w:szCs w:val="20"/>
              </w:rPr>
              <w:t>40%</w:t>
            </w:r>
          </w:p>
        </w:tc>
        <w:tc>
          <w:tcPr>
            <w:tcW w:w="646" w:type="dxa"/>
            <w:tcBorders>
              <w:top w:val="single" w:sz="4" w:space="0" w:color="auto"/>
              <w:bottom w:val="single" w:sz="4" w:space="0" w:color="auto"/>
            </w:tcBorders>
          </w:tcPr>
          <w:p w14:paraId="593EB75B" w14:textId="77777777" w:rsidR="008315B6" w:rsidRPr="00E97BCA" w:rsidRDefault="008315B6" w:rsidP="00402AD0">
            <w:pPr>
              <w:spacing w:line="312" w:lineRule="auto"/>
              <w:jc w:val="center"/>
              <w:rPr>
                <w:rFonts w:ascii="Arial" w:hAnsi="Arial" w:cs="Arial"/>
                <w:b/>
                <w:sz w:val="20"/>
                <w:szCs w:val="20"/>
              </w:rPr>
            </w:pPr>
            <w:r w:rsidRPr="00E97BCA">
              <w:rPr>
                <w:rFonts w:ascii="Arial" w:hAnsi="Arial" w:cs="Arial"/>
                <w:b/>
                <w:sz w:val="20"/>
                <w:szCs w:val="20"/>
              </w:rPr>
              <w:t>0 %</w:t>
            </w:r>
          </w:p>
        </w:tc>
      </w:tr>
    </w:tbl>
    <w:p w14:paraId="4A21C924" w14:textId="77777777" w:rsidR="008315B6" w:rsidRPr="00E97BCA" w:rsidRDefault="008315B6" w:rsidP="008315B6">
      <w:pPr>
        <w:spacing w:line="312" w:lineRule="auto"/>
        <w:jc w:val="both"/>
        <w:rPr>
          <w:rFonts w:ascii="Arial" w:hAnsi="Arial" w:cs="Arial"/>
          <w:bCs/>
        </w:rPr>
      </w:pPr>
      <w:proofErr w:type="spellStart"/>
      <w:r w:rsidRPr="00E97BCA">
        <w:rPr>
          <w:rFonts w:ascii="Arial" w:hAnsi="Arial" w:cs="Arial"/>
          <w:i/>
        </w:rPr>
        <w:t>vic</w:t>
      </w:r>
      <w:proofErr w:type="spellEnd"/>
      <w:r w:rsidRPr="00E97BCA">
        <w:rPr>
          <w:rFonts w:ascii="Arial" w:hAnsi="Arial" w:cs="Arial"/>
        </w:rPr>
        <w:t xml:space="preserve"> = </w:t>
      </w:r>
      <w:proofErr w:type="spellStart"/>
      <w:r w:rsidRPr="00E97BCA">
        <w:rPr>
          <w:rFonts w:ascii="Arial" w:hAnsi="Arial" w:cs="Arial"/>
          <w:bCs/>
        </w:rPr>
        <w:t>vegetatively</w:t>
      </w:r>
      <w:proofErr w:type="spellEnd"/>
      <w:r w:rsidRPr="00E97BCA">
        <w:rPr>
          <w:rFonts w:ascii="Arial" w:hAnsi="Arial" w:cs="Arial"/>
          <w:bCs/>
        </w:rPr>
        <w:t xml:space="preserve"> incompatibility</w:t>
      </w:r>
    </w:p>
    <w:tbl>
      <w:tblPr>
        <w:tblStyle w:val="TableGrid"/>
        <w:tblpPr w:leftFromText="180" w:rightFromText="180" w:vertAnchor="text" w:horzAnchor="margin" w:tblpY="433"/>
        <w:tblW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801"/>
      </w:tblGrid>
      <w:tr w:rsidR="001347CA" w:rsidRPr="00E97BCA" w14:paraId="32906E7E" w14:textId="77777777" w:rsidTr="001347CA">
        <w:trPr>
          <w:trHeight w:val="2595"/>
        </w:trPr>
        <w:tc>
          <w:tcPr>
            <w:tcW w:w="2808" w:type="dxa"/>
          </w:tcPr>
          <w:p w14:paraId="0D2E469E" w14:textId="77777777" w:rsidR="001347CA" w:rsidRPr="00E97BCA" w:rsidRDefault="001347CA" w:rsidP="001347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84864" behindDoc="0" locked="0" layoutInCell="1" allowOverlap="1" wp14:anchorId="1732BB38" wp14:editId="10450194">
                      <wp:simplePos x="0" y="0"/>
                      <wp:positionH relativeFrom="column">
                        <wp:posOffset>1330325</wp:posOffset>
                      </wp:positionH>
                      <wp:positionV relativeFrom="paragraph">
                        <wp:posOffset>1282396</wp:posOffset>
                      </wp:positionV>
                      <wp:extent cx="386715" cy="301625"/>
                      <wp:effectExtent l="0" t="0" r="0" b="0"/>
                      <wp:wrapNone/>
                      <wp:docPr id="3" name="Rectangle 3"/>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DFC85" w14:textId="77777777" w:rsidR="001347CA" w:rsidRPr="001347CA" w:rsidRDefault="001347CA" w:rsidP="001347CA">
                                  <w:pPr>
                                    <w:rPr>
                                      <w:rFonts w:ascii="Arial" w:hAnsi="Arial" w:cs="Arial"/>
                                    </w:rPr>
                                  </w:pPr>
                                  <w:r w:rsidRPr="001347C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2BB38" id="Rectangle 3" o:spid="_x0000_s1032" style="position:absolute;left:0;text-align:left;margin-left:104.75pt;margin-top:101pt;width:30.4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" filled="f" stroked="f" strokeweight="2pt">
                      <v:textbox>
                        <w:txbxContent>
                          <w:p w14:paraId="7A2DFC85" w14:textId="77777777" w:rsidR="001347CA" w:rsidRPr="001347CA" w:rsidRDefault="001347CA" w:rsidP="001347CA">
                            <w:pPr>
                              <w:rPr>
                                <w:rFonts w:ascii="Arial" w:hAnsi="Arial" w:cs="Arial"/>
                              </w:rPr>
                            </w:pPr>
                            <w:r w:rsidRPr="001347CA">
                              <w:rPr>
                                <w:rFonts w:ascii="Arial" w:hAnsi="Arial" w:cs="Arial"/>
                              </w:rPr>
                              <w:t>(a)</w:t>
                            </w:r>
                          </w:p>
                        </w:txbxContent>
                      </v:textbox>
                    </v:rect>
                  </w:pict>
                </mc:Fallback>
              </mc:AlternateContent>
            </w:r>
            <w:r w:rsidRPr="00E97BCA">
              <w:rPr>
                <w:rFonts w:ascii="Arial" w:hAnsi="Arial" w:cs="Arial"/>
                <w:noProof/>
                <w:sz w:val="24"/>
                <w:szCs w:val="24"/>
              </w:rPr>
              <w:drawing>
                <wp:inline distT="0" distB="0" distL="0" distR="0" wp14:anchorId="425A4104" wp14:editId="1B7CFD6A">
                  <wp:extent cx="1636209" cy="1558137"/>
                  <wp:effectExtent l="0" t="0" r="2540" b="4445"/>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9887" cy="1561640"/>
                          </a:xfrm>
                          <a:prstGeom prst="rect">
                            <a:avLst/>
                          </a:prstGeom>
                          <a:noFill/>
                          <a:ln>
                            <a:noFill/>
                          </a:ln>
                          <a:effectLst/>
                        </pic:spPr>
                      </pic:pic>
                    </a:graphicData>
                  </a:graphic>
                </wp:inline>
              </w:drawing>
            </w:r>
          </w:p>
        </w:tc>
        <w:tc>
          <w:tcPr>
            <w:tcW w:w="2880" w:type="dxa"/>
          </w:tcPr>
          <w:p w14:paraId="4357DB63" w14:textId="77777777" w:rsidR="001347CA" w:rsidRPr="00E97BCA" w:rsidRDefault="001347CA" w:rsidP="001347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85888" behindDoc="0" locked="0" layoutInCell="1" allowOverlap="1" wp14:anchorId="25127F83" wp14:editId="51B27A50">
                      <wp:simplePos x="0" y="0"/>
                      <wp:positionH relativeFrom="column">
                        <wp:posOffset>1376045</wp:posOffset>
                      </wp:positionH>
                      <wp:positionV relativeFrom="paragraph">
                        <wp:posOffset>1293866</wp:posOffset>
                      </wp:positionV>
                      <wp:extent cx="386715" cy="301625"/>
                      <wp:effectExtent l="0" t="0" r="0" b="0"/>
                      <wp:wrapNone/>
                      <wp:docPr id="2" name="Rectangle 2"/>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98D68" w14:textId="77777777" w:rsidR="001347CA" w:rsidRPr="001347CA" w:rsidRDefault="001347CA" w:rsidP="001347CA">
                                  <w:pPr>
                                    <w:rPr>
                                      <w:rFonts w:ascii="Arial" w:hAnsi="Arial" w:cs="Arial"/>
                                    </w:rPr>
                                  </w:pPr>
                                  <w:r w:rsidRPr="001347CA">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7F83" id="Rectangle 2" o:spid="_x0000_s1033" style="position:absolute;left:0;text-align:left;margin-left:108.35pt;margin-top:101.9pt;width:30.4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" filled="f" stroked="f" strokeweight="2pt">
                      <v:textbox>
                        <w:txbxContent>
                          <w:p w14:paraId="3EF98D68" w14:textId="77777777" w:rsidR="001347CA" w:rsidRPr="001347CA" w:rsidRDefault="001347CA" w:rsidP="001347CA">
                            <w:pPr>
                              <w:rPr>
                                <w:rFonts w:ascii="Arial" w:hAnsi="Arial" w:cs="Arial"/>
                              </w:rPr>
                            </w:pPr>
                            <w:r w:rsidRPr="001347CA">
                              <w:rPr>
                                <w:rFonts w:ascii="Arial" w:hAnsi="Arial" w:cs="Arial"/>
                              </w:rPr>
                              <w:t>(b)</w:t>
                            </w:r>
                          </w:p>
                        </w:txbxContent>
                      </v:textbox>
                    </v:rect>
                  </w:pict>
                </mc:Fallback>
              </mc:AlternateContent>
            </w:r>
            <w:r w:rsidRPr="00E97BCA">
              <w:rPr>
                <w:rFonts w:ascii="Arial" w:hAnsi="Arial" w:cs="Arial"/>
                <w:noProof/>
                <w:sz w:val="24"/>
                <w:szCs w:val="24"/>
              </w:rPr>
              <w:drawing>
                <wp:inline distT="0" distB="0" distL="0" distR="0" wp14:anchorId="470B31F8" wp14:editId="1388C7F2">
                  <wp:extent cx="1701165" cy="1560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165" cy="1560830"/>
                          </a:xfrm>
                          <a:prstGeom prst="rect">
                            <a:avLst/>
                          </a:prstGeom>
                          <a:noFill/>
                        </pic:spPr>
                      </pic:pic>
                    </a:graphicData>
                  </a:graphic>
                </wp:inline>
              </w:drawing>
            </w:r>
          </w:p>
        </w:tc>
        <w:tc>
          <w:tcPr>
            <w:tcW w:w="2801" w:type="dxa"/>
          </w:tcPr>
          <w:p w14:paraId="1C884374" w14:textId="77777777" w:rsidR="001347CA" w:rsidRPr="00E97BCA" w:rsidRDefault="001347CA" w:rsidP="001347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86912" behindDoc="0" locked="0" layoutInCell="1" allowOverlap="1" wp14:anchorId="016B4205" wp14:editId="0AD068A6">
                      <wp:simplePos x="0" y="0"/>
                      <wp:positionH relativeFrom="column">
                        <wp:posOffset>1370330</wp:posOffset>
                      </wp:positionH>
                      <wp:positionV relativeFrom="paragraph">
                        <wp:posOffset>1280464</wp:posOffset>
                      </wp:positionV>
                      <wp:extent cx="412750" cy="301625"/>
                      <wp:effectExtent l="0" t="0" r="0" b="0"/>
                      <wp:wrapNone/>
                      <wp:docPr id="4" name="Rectangle 4"/>
                      <wp:cNvGraphicFramePr/>
                      <a:graphic xmlns:a="http://schemas.openxmlformats.org/drawingml/2006/main">
                        <a:graphicData uri="http://schemas.microsoft.com/office/word/2010/wordprocessingShape">
                          <wps:wsp>
                            <wps:cNvSpPr/>
                            <wps:spPr>
                              <a:xfrm>
                                <a:off x="0" y="0"/>
                                <a:ext cx="41275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93964" w14:textId="77777777" w:rsidR="001347CA" w:rsidRPr="001347CA" w:rsidRDefault="001347CA" w:rsidP="001347CA">
                                  <w:pPr>
                                    <w:rPr>
                                      <w:rFonts w:ascii="Arial" w:hAnsi="Arial" w:cs="Arial"/>
                                    </w:rPr>
                                  </w:pPr>
                                  <w:r w:rsidRPr="001347CA">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B4205" id="Rectangle 4" o:spid="_x0000_s1034" style="position:absolute;left:0;text-align:left;margin-left:107.9pt;margin-top:100.8pt;width:32.5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" filled="f" stroked="f" strokeweight="2pt">
                      <v:textbox>
                        <w:txbxContent>
                          <w:p w14:paraId="10B93964" w14:textId="77777777" w:rsidR="001347CA" w:rsidRPr="001347CA" w:rsidRDefault="001347CA" w:rsidP="001347CA">
                            <w:pPr>
                              <w:rPr>
                                <w:rFonts w:ascii="Arial" w:hAnsi="Arial" w:cs="Arial"/>
                              </w:rPr>
                            </w:pPr>
                            <w:r w:rsidRPr="001347CA">
                              <w:rPr>
                                <w:rFonts w:ascii="Arial" w:hAnsi="Arial" w:cs="Arial"/>
                              </w:rPr>
                              <w:t>(c)</w:t>
                            </w:r>
                          </w:p>
                        </w:txbxContent>
                      </v:textbox>
                    </v:rect>
                  </w:pict>
                </mc:Fallback>
              </mc:AlternateContent>
            </w:r>
            <w:r w:rsidRPr="00E97BCA">
              <w:rPr>
                <w:rFonts w:ascii="Arial" w:hAnsi="Arial" w:cs="Arial"/>
                <w:noProof/>
                <w:sz w:val="24"/>
                <w:szCs w:val="24"/>
              </w:rPr>
              <w:drawing>
                <wp:inline distT="0" distB="0" distL="0" distR="0" wp14:anchorId="784B6FEF" wp14:editId="0112220C">
                  <wp:extent cx="1639019" cy="1552755"/>
                  <wp:effectExtent l="0" t="0" r="0" b="952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775" cy="1576208"/>
                          </a:xfrm>
                          <a:prstGeom prst="rect">
                            <a:avLst/>
                          </a:prstGeom>
                          <a:noFill/>
                          <a:ln>
                            <a:noFill/>
                          </a:ln>
                          <a:effectLst/>
                        </pic:spPr>
                      </pic:pic>
                    </a:graphicData>
                  </a:graphic>
                </wp:inline>
              </w:drawing>
            </w:r>
          </w:p>
        </w:tc>
      </w:tr>
    </w:tbl>
    <w:p w14:paraId="69EB97D6" w14:textId="77777777" w:rsidR="001347CA" w:rsidRPr="00E97BCA" w:rsidRDefault="001347CA" w:rsidP="001347CA">
      <w:pPr>
        <w:spacing w:line="312" w:lineRule="auto"/>
        <w:jc w:val="both"/>
        <w:rPr>
          <w:rFonts w:ascii="Arial" w:hAnsi="Arial" w:cs="Arial"/>
          <w:sz w:val="24"/>
          <w:szCs w:val="24"/>
        </w:rPr>
      </w:pPr>
    </w:p>
    <w:p w14:paraId="0E2CD233" w14:textId="77777777" w:rsidR="001347CA" w:rsidRPr="00E97BCA" w:rsidRDefault="001347CA" w:rsidP="001347CA">
      <w:pPr>
        <w:autoSpaceDE w:val="0"/>
        <w:autoSpaceDN w:val="0"/>
        <w:adjustRightInd w:val="0"/>
        <w:spacing w:line="312" w:lineRule="auto"/>
        <w:ind w:left="720" w:hanging="720"/>
        <w:jc w:val="both"/>
        <w:rPr>
          <w:rFonts w:ascii="Arial" w:hAnsi="Arial" w:cs="Arial"/>
        </w:rPr>
      </w:pPr>
      <w:r w:rsidRPr="00E97BCA">
        <w:rPr>
          <w:rFonts w:ascii="Arial" w:hAnsi="Arial" w:cs="Arial"/>
        </w:rPr>
        <w:t>Plate 3 Variation in the degree of heterokaryon formation among corresponding isolates: (a) slight mycelial growth (a weak heterokaryon) in Kyaukse-1, (b) moderate mycelial growth (a moderate heterokaryon) in Zeyarthiri-2, and (c) very dense mycelial growth (a strong heterokaryon) in Nyaung-U-1. Cultures were 10 days old.</w:t>
      </w:r>
    </w:p>
    <w:p w14:paraId="68889FC1" w14:textId="77777777" w:rsidR="001347CA" w:rsidRDefault="001347CA" w:rsidP="008315B6">
      <w:pPr>
        <w:autoSpaceDE w:val="0"/>
        <w:autoSpaceDN w:val="0"/>
        <w:adjustRightInd w:val="0"/>
        <w:spacing w:line="312" w:lineRule="auto"/>
        <w:jc w:val="both"/>
        <w:rPr>
          <w:rFonts w:ascii="Arial" w:hAnsi="Arial" w:cs="Arial"/>
        </w:rPr>
      </w:pPr>
    </w:p>
    <w:p w14:paraId="5C6595EA" w14:textId="77777777" w:rsidR="001347CA" w:rsidRPr="00E97BCA" w:rsidRDefault="001347CA" w:rsidP="008315B6">
      <w:pPr>
        <w:autoSpaceDE w:val="0"/>
        <w:autoSpaceDN w:val="0"/>
        <w:adjustRightInd w:val="0"/>
        <w:spacing w:line="312" w:lineRule="auto"/>
        <w:jc w:val="both"/>
        <w:rPr>
          <w:rFonts w:ascii="Arial" w:hAnsi="Arial" w:cs="Arial"/>
        </w:rPr>
      </w:pPr>
    </w:p>
    <w:p w14:paraId="403513F0" w14:textId="77777777" w:rsidR="002065F3" w:rsidRPr="00E97BCA" w:rsidRDefault="002065F3" w:rsidP="00E97BCA">
      <w:pPr>
        <w:autoSpaceDE w:val="0"/>
        <w:autoSpaceDN w:val="0"/>
        <w:adjustRightInd w:val="0"/>
        <w:spacing w:line="312" w:lineRule="auto"/>
        <w:ind w:firstLine="720"/>
        <w:jc w:val="both"/>
        <w:rPr>
          <w:rFonts w:ascii="Arial" w:hAnsi="Arial" w:cs="Arial"/>
        </w:rPr>
      </w:pPr>
      <w:r w:rsidRPr="00E97BCA">
        <w:rPr>
          <w:rFonts w:ascii="Arial" w:hAnsi="Arial" w:cs="Arial"/>
        </w:rPr>
        <w:t xml:space="preserve">Therefore, the results of this study revealed that VCG 0124 and VCG 0124/0125 complex had the largest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population based on population frequency in some collected study areas of Myanmar. These findings are in accordance with those of Fourie et al. (2009 and 2011) and Mostert et al. (2017) who described that VCG 0124 and 0125 are one of the most widely distributed groups in the world. Also, the results of this study are supported by </w:t>
      </w:r>
      <w:r w:rsidRPr="00E97BCA">
        <w:rPr>
          <w:rFonts w:ascii="Arial" w:hAnsi="Arial" w:cs="Arial"/>
        </w:rPr>
        <w:lastRenderedPageBreak/>
        <w:t xml:space="preserve">those of Mostert et al. (2017) who explained that VCGs 0124/0125 complex was dominant </w:t>
      </w:r>
      <w:proofErr w:type="spellStart"/>
      <w:r w:rsidRPr="00E97BCA">
        <w:rPr>
          <w:rFonts w:ascii="Arial" w:hAnsi="Arial" w:cs="Arial"/>
          <w:i/>
        </w:rPr>
        <w:t>Foc</w:t>
      </w:r>
      <w:proofErr w:type="spellEnd"/>
      <w:r w:rsidRPr="00E97BCA">
        <w:rPr>
          <w:rFonts w:ascii="Arial" w:hAnsi="Arial" w:cs="Arial"/>
        </w:rPr>
        <w:t xml:space="preserve"> strain found in countries where </w:t>
      </w:r>
      <w:proofErr w:type="spellStart"/>
      <w:r w:rsidRPr="00E97BCA">
        <w:rPr>
          <w:rFonts w:ascii="Arial" w:hAnsi="Arial" w:cs="Arial"/>
          <w:i/>
        </w:rPr>
        <w:t>Foc</w:t>
      </w:r>
      <w:proofErr w:type="spellEnd"/>
      <w:r w:rsidRPr="00E97BCA">
        <w:rPr>
          <w:rFonts w:ascii="Arial" w:hAnsi="Arial" w:cs="Arial"/>
        </w:rPr>
        <w:t xml:space="preserve"> was collected from non-Cavendish banana varieties. </w:t>
      </w:r>
    </w:p>
    <w:p w14:paraId="4F4AC789" w14:textId="77777777" w:rsidR="001347CA" w:rsidRDefault="001347CA" w:rsidP="00E97BCA">
      <w:pPr>
        <w:spacing w:line="312" w:lineRule="auto"/>
        <w:ind w:left="806" w:hanging="806"/>
        <w:jc w:val="both"/>
        <w:rPr>
          <w:rFonts w:ascii="Arial" w:hAnsi="Arial" w:cs="Arial"/>
          <w:b/>
        </w:rPr>
      </w:pPr>
    </w:p>
    <w:p w14:paraId="02D5BB73" w14:textId="77777777" w:rsidR="00C071E5" w:rsidRPr="00E97BCA" w:rsidRDefault="00C071E5" w:rsidP="00E97BCA">
      <w:pPr>
        <w:spacing w:line="312" w:lineRule="auto"/>
        <w:ind w:left="806" w:hanging="806"/>
        <w:jc w:val="both"/>
        <w:rPr>
          <w:rFonts w:ascii="Arial" w:hAnsi="Arial" w:cs="Arial"/>
          <w:b/>
          <w:bCs/>
        </w:rPr>
      </w:pPr>
      <w:r w:rsidRPr="00E97BCA">
        <w:rPr>
          <w:rFonts w:ascii="Arial" w:hAnsi="Arial" w:cs="Arial"/>
          <w:b/>
        </w:rPr>
        <w:t xml:space="preserve">Table 3 Strain diversity of 20 </w:t>
      </w:r>
      <w:proofErr w:type="spellStart"/>
      <w:r w:rsidRPr="00E97BCA">
        <w:rPr>
          <w:rFonts w:ascii="Arial" w:hAnsi="Arial" w:cs="Arial"/>
          <w:b/>
          <w:i/>
        </w:rPr>
        <w:t>Foc</w:t>
      </w:r>
      <w:proofErr w:type="spellEnd"/>
      <w:r w:rsidRPr="00E97BCA">
        <w:rPr>
          <w:rFonts w:ascii="Arial" w:hAnsi="Arial" w:cs="Arial"/>
          <w:b/>
        </w:rPr>
        <w:t xml:space="preserve"> isolates classified by VCG analysis and their associated races</w:t>
      </w:r>
    </w:p>
    <w:tbl>
      <w:tblPr>
        <w:tblW w:w="8733" w:type="dxa"/>
        <w:jc w:val="center"/>
        <w:tblCellMar>
          <w:left w:w="0" w:type="dxa"/>
          <w:right w:w="0" w:type="dxa"/>
        </w:tblCellMar>
        <w:tblLook w:val="04A0" w:firstRow="1" w:lastRow="0" w:firstColumn="1" w:lastColumn="0" w:noHBand="0" w:noVBand="1"/>
      </w:tblPr>
      <w:tblGrid>
        <w:gridCol w:w="660"/>
        <w:gridCol w:w="1992"/>
        <w:gridCol w:w="1176"/>
        <w:gridCol w:w="1431"/>
        <w:gridCol w:w="1166"/>
        <w:gridCol w:w="1184"/>
        <w:gridCol w:w="1124"/>
      </w:tblGrid>
      <w:tr w:rsidR="00C071E5" w:rsidRPr="00E97BCA" w14:paraId="4250395A" w14:textId="77777777" w:rsidTr="001347CA">
        <w:trPr>
          <w:trHeight w:val="226"/>
          <w:jc w:val="center"/>
        </w:trPr>
        <w:tc>
          <w:tcPr>
            <w:tcW w:w="660" w:type="dxa"/>
            <w:vMerge w:val="restart"/>
            <w:tcBorders>
              <w:top w:val="single" w:sz="4" w:space="0" w:color="auto"/>
              <w:left w:val="nil"/>
              <w:right w:val="nil"/>
            </w:tcBorders>
            <w:vAlign w:val="center"/>
          </w:tcPr>
          <w:p w14:paraId="5C84D4BC" w14:textId="77777777" w:rsidR="00C071E5" w:rsidRPr="00E97BCA" w:rsidRDefault="00C071E5" w:rsidP="00E97BCA">
            <w:pPr>
              <w:spacing w:line="312" w:lineRule="auto"/>
              <w:jc w:val="center"/>
              <w:rPr>
                <w:rFonts w:ascii="Arial" w:hAnsi="Arial" w:cs="Arial"/>
              </w:rPr>
            </w:pPr>
            <w:r w:rsidRPr="00E97BCA">
              <w:rPr>
                <w:rFonts w:ascii="Arial" w:eastAsia="SimSun" w:hAnsi="Arial" w:cs="Arial"/>
                <w:b/>
                <w:bCs/>
                <w:kern w:val="24"/>
              </w:rPr>
              <w:t>Sr</w:t>
            </w:r>
          </w:p>
          <w:p w14:paraId="6EE225B6" w14:textId="77777777" w:rsidR="00C071E5" w:rsidRPr="00E97BCA" w:rsidRDefault="00C071E5" w:rsidP="00E97BCA">
            <w:pPr>
              <w:spacing w:line="312" w:lineRule="auto"/>
              <w:jc w:val="center"/>
              <w:rPr>
                <w:rFonts w:ascii="Arial" w:eastAsia="SimSun" w:hAnsi="Arial" w:cs="Arial"/>
                <w:b/>
                <w:bCs/>
                <w:kern w:val="24"/>
              </w:rPr>
            </w:pPr>
            <w:r w:rsidRPr="00E97BCA">
              <w:rPr>
                <w:rFonts w:ascii="Arial" w:eastAsia="SimSun" w:hAnsi="Arial" w:cs="Arial"/>
                <w:b/>
                <w:bCs/>
                <w:kern w:val="24"/>
              </w:rPr>
              <w:t>no.</w:t>
            </w:r>
          </w:p>
        </w:tc>
        <w:tc>
          <w:tcPr>
            <w:tcW w:w="1992" w:type="dxa"/>
            <w:vMerge w:val="restart"/>
            <w:tcBorders>
              <w:top w:val="single" w:sz="4" w:space="0" w:color="auto"/>
              <w:left w:val="nil"/>
              <w:right w:val="nil"/>
            </w:tcBorders>
            <w:vAlign w:val="center"/>
          </w:tcPr>
          <w:p w14:paraId="74CD99CB" w14:textId="77777777" w:rsidR="00C071E5" w:rsidRPr="00E97BCA" w:rsidRDefault="00C071E5" w:rsidP="00E97BCA">
            <w:pPr>
              <w:tabs>
                <w:tab w:val="left" w:pos="2357"/>
              </w:tabs>
              <w:spacing w:line="312" w:lineRule="auto"/>
              <w:ind w:left="43" w:right="58"/>
              <w:jc w:val="center"/>
              <w:rPr>
                <w:rFonts w:ascii="Arial" w:hAnsi="Arial" w:cs="Arial"/>
                <w:b/>
                <w:bCs/>
                <w:kern w:val="24"/>
              </w:rPr>
            </w:pPr>
            <w:r w:rsidRPr="00E97BCA">
              <w:rPr>
                <w:rFonts w:ascii="Arial" w:hAnsi="Arial" w:cs="Arial"/>
                <w:b/>
                <w:bCs/>
                <w:kern w:val="24"/>
              </w:rPr>
              <w:t>Isolates</w:t>
            </w:r>
          </w:p>
        </w:tc>
        <w:tc>
          <w:tcPr>
            <w:tcW w:w="3773" w:type="dxa"/>
            <w:gridSpan w:val="3"/>
            <w:tcBorders>
              <w:top w:val="single" w:sz="4" w:space="0" w:color="auto"/>
              <w:left w:val="nil"/>
              <w:bottom w:val="single" w:sz="4" w:space="0" w:color="auto"/>
              <w:right w:val="nil"/>
            </w:tcBorders>
            <w:tcMar>
              <w:top w:w="15" w:type="dxa"/>
              <w:left w:w="97" w:type="dxa"/>
              <w:bottom w:w="0" w:type="dxa"/>
              <w:right w:w="97" w:type="dxa"/>
            </w:tcMar>
          </w:tcPr>
          <w:p w14:paraId="0E92097E" w14:textId="77777777" w:rsidR="00C071E5" w:rsidRPr="00E97BCA" w:rsidRDefault="00C071E5" w:rsidP="00E97BCA">
            <w:pPr>
              <w:pStyle w:val="NormalWeb"/>
              <w:spacing w:before="0" w:beforeAutospacing="0" w:after="0" w:afterAutospacing="0" w:line="312" w:lineRule="auto"/>
              <w:jc w:val="center"/>
              <w:rPr>
                <w:rFonts w:ascii="Arial" w:hAnsi="Arial" w:cs="Arial"/>
                <w:b/>
                <w:bCs/>
                <w:kern w:val="24"/>
                <w:sz w:val="20"/>
                <w:szCs w:val="20"/>
              </w:rPr>
            </w:pPr>
            <w:r w:rsidRPr="00E97BCA">
              <w:rPr>
                <w:rFonts w:ascii="Arial" w:hAnsi="Arial" w:cs="Arial"/>
                <w:b/>
                <w:bCs/>
                <w:kern w:val="24"/>
                <w:sz w:val="20"/>
                <w:szCs w:val="20"/>
              </w:rPr>
              <w:t>VCGs strains</w:t>
            </w:r>
          </w:p>
        </w:tc>
        <w:tc>
          <w:tcPr>
            <w:tcW w:w="1184" w:type="dxa"/>
            <w:vMerge w:val="restart"/>
            <w:tcBorders>
              <w:top w:val="single" w:sz="4" w:space="0" w:color="auto"/>
              <w:left w:val="nil"/>
              <w:right w:val="nil"/>
            </w:tcBorders>
            <w:vAlign w:val="center"/>
          </w:tcPr>
          <w:p w14:paraId="1382ED49" w14:textId="77777777" w:rsidR="00C071E5" w:rsidRPr="00E97BCA" w:rsidRDefault="00C071E5" w:rsidP="00E97BCA">
            <w:pPr>
              <w:spacing w:line="312" w:lineRule="auto"/>
              <w:jc w:val="center"/>
              <w:rPr>
                <w:rFonts w:ascii="Arial" w:eastAsiaTheme="minorEastAsia" w:hAnsi="Arial" w:cs="Arial"/>
                <w:b/>
                <w:bCs/>
                <w:i/>
                <w:kern w:val="24"/>
              </w:rPr>
            </w:pPr>
            <w:r w:rsidRPr="00E97BCA">
              <w:rPr>
                <w:rFonts w:ascii="Arial" w:eastAsiaTheme="minorEastAsia" w:hAnsi="Arial" w:cs="Arial"/>
                <w:b/>
                <w:bCs/>
                <w:i/>
                <w:kern w:val="24"/>
              </w:rPr>
              <w:t>vic.</w:t>
            </w:r>
          </w:p>
        </w:tc>
        <w:tc>
          <w:tcPr>
            <w:tcW w:w="1124" w:type="dxa"/>
            <w:vMerge w:val="restart"/>
            <w:tcBorders>
              <w:top w:val="single" w:sz="4" w:space="0" w:color="auto"/>
              <w:left w:val="nil"/>
              <w:right w:val="nil"/>
            </w:tcBorders>
          </w:tcPr>
          <w:p w14:paraId="20D5BA13" w14:textId="77777777" w:rsidR="00C071E5" w:rsidRPr="00E97BCA" w:rsidRDefault="00C071E5" w:rsidP="00E97BCA">
            <w:pPr>
              <w:spacing w:line="312" w:lineRule="auto"/>
              <w:ind w:left="12" w:hanging="12"/>
              <w:jc w:val="center"/>
              <w:rPr>
                <w:rFonts w:ascii="Arial" w:eastAsiaTheme="minorEastAsia" w:hAnsi="Arial" w:cs="Arial"/>
                <w:b/>
                <w:bCs/>
                <w:kern w:val="24"/>
              </w:rPr>
            </w:pPr>
            <w:r w:rsidRPr="00E97BCA">
              <w:rPr>
                <w:rFonts w:ascii="Arial" w:hAnsi="Arial" w:cs="Arial"/>
                <w:b/>
              </w:rPr>
              <w:t>Associated race</w:t>
            </w:r>
          </w:p>
        </w:tc>
      </w:tr>
      <w:tr w:rsidR="00C071E5" w:rsidRPr="00E97BCA" w14:paraId="50B82ED9" w14:textId="77777777" w:rsidTr="001347CA">
        <w:trPr>
          <w:trHeight w:val="271"/>
          <w:jc w:val="center"/>
        </w:trPr>
        <w:tc>
          <w:tcPr>
            <w:tcW w:w="660" w:type="dxa"/>
            <w:vMerge/>
            <w:tcBorders>
              <w:left w:val="nil"/>
              <w:bottom w:val="single" w:sz="4" w:space="0" w:color="auto"/>
              <w:right w:val="nil"/>
            </w:tcBorders>
            <w:vAlign w:val="center"/>
            <w:hideMark/>
          </w:tcPr>
          <w:p w14:paraId="1AB5125B" w14:textId="77777777" w:rsidR="00C071E5" w:rsidRPr="00E97BCA" w:rsidRDefault="00C071E5" w:rsidP="00E97BCA">
            <w:pPr>
              <w:spacing w:line="312" w:lineRule="auto"/>
              <w:jc w:val="center"/>
              <w:rPr>
                <w:rFonts w:ascii="Arial" w:hAnsi="Arial" w:cs="Arial"/>
              </w:rPr>
            </w:pPr>
          </w:p>
        </w:tc>
        <w:tc>
          <w:tcPr>
            <w:tcW w:w="1992" w:type="dxa"/>
            <w:vMerge/>
            <w:tcBorders>
              <w:left w:val="nil"/>
              <w:bottom w:val="single" w:sz="4" w:space="0" w:color="auto"/>
              <w:right w:val="nil"/>
            </w:tcBorders>
            <w:vAlign w:val="center"/>
            <w:hideMark/>
          </w:tcPr>
          <w:p w14:paraId="2F8DECAD" w14:textId="77777777" w:rsidR="00C071E5" w:rsidRPr="00E97BCA" w:rsidRDefault="00C071E5" w:rsidP="00E97BCA">
            <w:pPr>
              <w:tabs>
                <w:tab w:val="left" w:pos="2357"/>
              </w:tabs>
              <w:spacing w:line="312" w:lineRule="auto"/>
              <w:ind w:left="43" w:right="58"/>
              <w:rPr>
                <w:rFonts w:ascii="Arial" w:hAnsi="Arial" w:cs="Arial"/>
              </w:rPr>
            </w:pPr>
          </w:p>
        </w:tc>
        <w:tc>
          <w:tcPr>
            <w:tcW w:w="1176" w:type="dxa"/>
            <w:tcBorders>
              <w:top w:val="single" w:sz="4" w:space="0" w:color="auto"/>
              <w:left w:val="nil"/>
              <w:bottom w:val="single" w:sz="4" w:space="0" w:color="auto"/>
              <w:right w:val="nil"/>
            </w:tcBorders>
            <w:tcMar>
              <w:top w:w="15" w:type="dxa"/>
              <w:left w:w="97" w:type="dxa"/>
              <w:bottom w:w="0" w:type="dxa"/>
              <w:right w:w="97" w:type="dxa"/>
            </w:tcMar>
            <w:hideMark/>
          </w:tcPr>
          <w:p w14:paraId="72BD647D" w14:textId="77777777" w:rsidR="00C071E5" w:rsidRPr="00E97BCA" w:rsidRDefault="00C071E5"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0124</w:t>
            </w:r>
          </w:p>
        </w:tc>
        <w:tc>
          <w:tcPr>
            <w:tcW w:w="1431" w:type="dxa"/>
            <w:tcBorders>
              <w:top w:val="single" w:sz="4" w:space="0" w:color="auto"/>
              <w:left w:val="nil"/>
              <w:bottom w:val="single" w:sz="4" w:space="0" w:color="auto"/>
              <w:right w:val="nil"/>
            </w:tcBorders>
            <w:tcMar>
              <w:top w:w="15" w:type="dxa"/>
              <w:left w:w="97" w:type="dxa"/>
              <w:bottom w:w="0" w:type="dxa"/>
              <w:right w:w="97" w:type="dxa"/>
            </w:tcMar>
            <w:hideMark/>
          </w:tcPr>
          <w:p w14:paraId="66C4FFBA" w14:textId="77777777" w:rsidR="00C071E5" w:rsidRPr="00E97BCA" w:rsidRDefault="00C071E5"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0125</w:t>
            </w:r>
          </w:p>
        </w:tc>
        <w:tc>
          <w:tcPr>
            <w:tcW w:w="1165" w:type="dxa"/>
            <w:tcBorders>
              <w:top w:val="single" w:sz="4" w:space="0" w:color="auto"/>
              <w:left w:val="nil"/>
              <w:bottom w:val="single" w:sz="4" w:space="0" w:color="auto"/>
              <w:right w:val="nil"/>
            </w:tcBorders>
          </w:tcPr>
          <w:p w14:paraId="2E936733" w14:textId="77777777" w:rsidR="00C071E5" w:rsidRPr="00E97BCA" w:rsidRDefault="00C071E5"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0124/0125</w:t>
            </w:r>
          </w:p>
        </w:tc>
        <w:tc>
          <w:tcPr>
            <w:tcW w:w="1184" w:type="dxa"/>
            <w:vMerge/>
            <w:tcBorders>
              <w:left w:val="nil"/>
              <w:bottom w:val="single" w:sz="4" w:space="0" w:color="auto"/>
              <w:right w:val="nil"/>
            </w:tcBorders>
            <w:vAlign w:val="center"/>
          </w:tcPr>
          <w:p w14:paraId="67EAE731" w14:textId="77777777" w:rsidR="00C071E5" w:rsidRPr="00E97BCA" w:rsidRDefault="00C071E5" w:rsidP="00E97BCA">
            <w:pPr>
              <w:spacing w:line="312" w:lineRule="auto"/>
              <w:jc w:val="center"/>
              <w:rPr>
                <w:rFonts w:ascii="Arial" w:hAnsi="Arial" w:cs="Arial"/>
              </w:rPr>
            </w:pPr>
          </w:p>
        </w:tc>
        <w:tc>
          <w:tcPr>
            <w:tcW w:w="1124" w:type="dxa"/>
            <w:vMerge/>
            <w:tcBorders>
              <w:left w:val="nil"/>
              <w:bottom w:val="single" w:sz="4" w:space="0" w:color="auto"/>
              <w:right w:val="nil"/>
            </w:tcBorders>
            <w:vAlign w:val="center"/>
          </w:tcPr>
          <w:p w14:paraId="39B43092" w14:textId="77777777" w:rsidR="00C071E5" w:rsidRPr="00E97BCA" w:rsidRDefault="00C071E5" w:rsidP="00E97BCA">
            <w:pPr>
              <w:spacing w:line="312" w:lineRule="auto"/>
              <w:jc w:val="center"/>
              <w:rPr>
                <w:rFonts w:ascii="Arial" w:hAnsi="Arial" w:cs="Arial"/>
              </w:rPr>
            </w:pPr>
          </w:p>
        </w:tc>
      </w:tr>
      <w:tr w:rsidR="00C071E5" w:rsidRPr="00E97BCA" w14:paraId="48802737" w14:textId="77777777" w:rsidTr="001347CA">
        <w:trPr>
          <w:trHeight w:val="390"/>
          <w:jc w:val="center"/>
        </w:trPr>
        <w:tc>
          <w:tcPr>
            <w:tcW w:w="660" w:type="dxa"/>
            <w:tcBorders>
              <w:top w:val="single" w:sz="4" w:space="0" w:color="auto"/>
              <w:left w:val="nil"/>
              <w:bottom w:val="nil"/>
              <w:right w:val="nil"/>
            </w:tcBorders>
            <w:tcMar>
              <w:top w:w="15" w:type="dxa"/>
              <w:left w:w="97" w:type="dxa"/>
              <w:bottom w:w="0" w:type="dxa"/>
              <w:right w:w="97" w:type="dxa"/>
            </w:tcMar>
            <w:vAlign w:val="center"/>
            <w:hideMark/>
          </w:tcPr>
          <w:p w14:paraId="44EA248E" w14:textId="77777777" w:rsidR="00C071E5" w:rsidRPr="00E97BCA" w:rsidRDefault="00C071E5" w:rsidP="00E97BCA">
            <w:pPr>
              <w:spacing w:line="312" w:lineRule="auto"/>
              <w:jc w:val="center"/>
              <w:rPr>
                <w:rFonts w:ascii="Arial" w:hAnsi="Arial" w:cs="Arial"/>
              </w:rPr>
            </w:pPr>
            <w:r w:rsidRPr="00E97BCA">
              <w:rPr>
                <w:rFonts w:ascii="Arial" w:hAnsi="Arial" w:cs="Arial"/>
              </w:rPr>
              <w:t>1</w:t>
            </w:r>
          </w:p>
        </w:tc>
        <w:tc>
          <w:tcPr>
            <w:tcW w:w="1992" w:type="dxa"/>
            <w:tcBorders>
              <w:top w:val="single" w:sz="4" w:space="0" w:color="auto"/>
              <w:left w:val="nil"/>
              <w:bottom w:val="nil"/>
              <w:right w:val="nil"/>
            </w:tcBorders>
            <w:tcMar>
              <w:top w:w="15" w:type="dxa"/>
              <w:left w:w="97" w:type="dxa"/>
              <w:bottom w:w="0" w:type="dxa"/>
              <w:right w:w="97" w:type="dxa"/>
            </w:tcMar>
            <w:vAlign w:val="center"/>
            <w:hideMark/>
          </w:tcPr>
          <w:p w14:paraId="658940BD" w14:textId="77777777" w:rsidR="00C071E5" w:rsidRPr="00E97BCA" w:rsidRDefault="00C071E5" w:rsidP="00E97BCA">
            <w:pPr>
              <w:spacing w:line="312" w:lineRule="auto"/>
              <w:ind w:left="78"/>
              <w:rPr>
                <w:rFonts w:ascii="Arial" w:hAnsi="Arial" w:cs="Arial"/>
              </w:rPr>
            </w:pPr>
            <w:r w:rsidRPr="00E97BCA">
              <w:rPr>
                <w:rFonts w:ascii="Arial" w:hAnsi="Arial" w:cs="Arial"/>
              </w:rPr>
              <w:t>Kyonpyaw-1</w:t>
            </w:r>
          </w:p>
        </w:tc>
        <w:tc>
          <w:tcPr>
            <w:tcW w:w="1176" w:type="dxa"/>
            <w:tcBorders>
              <w:top w:val="single" w:sz="4" w:space="0" w:color="auto"/>
              <w:left w:val="nil"/>
              <w:bottom w:val="nil"/>
              <w:right w:val="nil"/>
            </w:tcBorders>
            <w:tcMar>
              <w:top w:w="15" w:type="dxa"/>
              <w:left w:w="97" w:type="dxa"/>
              <w:bottom w:w="0" w:type="dxa"/>
              <w:right w:w="97" w:type="dxa"/>
            </w:tcMar>
            <w:vAlign w:val="center"/>
            <w:hideMark/>
          </w:tcPr>
          <w:p w14:paraId="5D8574B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single" w:sz="4" w:space="0" w:color="auto"/>
              <w:left w:val="nil"/>
              <w:bottom w:val="nil"/>
              <w:right w:val="nil"/>
            </w:tcBorders>
            <w:tcMar>
              <w:top w:w="15" w:type="dxa"/>
              <w:left w:w="97" w:type="dxa"/>
              <w:bottom w:w="0" w:type="dxa"/>
              <w:right w:w="97" w:type="dxa"/>
            </w:tcMar>
            <w:vAlign w:val="center"/>
            <w:hideMark/>
          </w:tcPr>
          <w:p w14:paraId="63DC6DF2"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single" w:sz="4" w:space="0" w:color="auto"/>
              <w:left w:val="nil"/>
              <w:bottom w:val="nil"/>
              <w:right w:val="nil"/>
            </w:tcBorders>
            <w:vAlign w:val="center"/>
          </w:tcPr>
          <w:p w14:paraId="1A72BD59" w14:textId="77777777" w:rsidR="00C071E5" w:rsidRPr="00E97BCA" w:rsidRDefault="00C071E5" w:rsidP="00E97BCA">
            <w:pPr>
              <w:spacing w:line="312" w:lineRule="auto"/>
              <w:jc w:val="center"/>
              <w:rPr>
                <w:rFonts w:ascii="Arial" w:eastAsia="SimSun" w:hAnsi="Arial" w:cs="Arial"/>
                <w:kern w:val="24"/>
              </w:rPr>
            </w:pPr>
            <w:r w:rsidRPr="00E97BCA">
              <w:rPr>
                <w:rFonts w:ascii="Arial" w:eastAsia="SimSun" w:hAnsi="Arial" w:cs="Arial"/>
                <w:kern w:val="24"/>
              </w:rPr>
              <w:t>++</w:t>
            </w:r>
          </w:p>
        </w:tc>
        <w:tc>
          <w:tcPr>
            <w:tcW w:w="1184" w:type="dxa"/>
            <w:tcBorders>
              <w:top w:val="single" w:sz="4" w:space="0" w:color="auto"/>
              <w:left w:val="nil"/>
              <w:bottom w:val="nil"/>
              <w:right w:val="nil"/>
            </w:tcBorders>
            <w:vAlign w:val="center"/>
          </w:tcPr>
          <w:p w14:paraId="3ED6D06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single" w:sz="4" w:space="0" w:color="auto"/>
              <w:left w:val="nil"/>
              <w:bottom w:val="nil"/>
              <w:right w:val="nil"/>
            </w:tcBorders>
            <w:vAlign w:val="center"/>
          </w:tcPr>
          <w:p w14:paraId="5205EDC9"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6EAE5C3"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776D31B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2</w:t>
            </w:r>
          </w:p>
        </w:tc>
        <w:tc>
          <w:tcPr>
            <w:tcW w:w="1992" w:type="dxa"/>
            <w:tcBorders>
              <w:top w:val="nil"/>
              <w:left w:val="nil"/>
              <w:bottom w:val="nil"/>
              <w:right w:val="nil"/>
            </w:tcBorders>
            <w:tcMar>
              <w:top w:w="15" w:type="dxa"/>
              <w:left w:w="97" w:type="dxa"/>
              <w:bottom w:w="0" w:type="dxa"/>
              <w:right w:w="97" w:type="dxa"/>
            </w:tcMar>
            <w:vAlign w:val="center"/>
            <w:hideMark/>
          </w:tcPr>
          <w:p w14:paraId="3319E173"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Kyonpyaw-2</w:t>
            </w:r>
          </w:p>
        </w:tc>
        <w:tc>
          <w:tcPr>
            <w:tcW w:w="1176" w:type="dxa"/>
            <w:tcBorders>
              <w:top w:val="nil"/>
              <w:left w:val="nil"/>
              <w:bottom w:val="nil"/>
              <w:right w:val="nil"/>
            </w:tcBorders>
            <w:tcMar>
              <w:top w:w="15" w:type="dxa"/>
              <w:left w:w="97" w:type="dxa"/>
              <w:bottom w:w="0" w:type="dxa"/>
              <w:right w:w="97" w:type="dxa"/>
            </w:tcMar>
            <w:vAlign w:val="center"/>
            <w:hideMark/>
          </w:tcPr>
          <w:p w14:paraId="02EABED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02A7EB3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7EF75DC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72D62A2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1D1C04A5"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21A6594A"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C7D500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3</w:t>
            </w:r>
          </w:p>
        </w:tc>
        <w:tc>
          <w:tcPr>
            <w:tcW w:w="1992" w:type="dxa"/>
            <w:tcBorders>
              <w:top w:val="nil"/>
              <w:left w:val="nil"/>
              <w:bottom w:val="nil"/>
              <w:right w:val="nil"/>
            </w:tcBorders>
            <w:tcMar>
              <w:top w:w="15" w:type="dxa"/>
              <w:left w:w="97" w:type="dxa"/>
              <w:bottom w:w="0" w:type="dxa"/>
              <w:right w:w="97" w:type="dxa"/>
            </w:tcMar>
            <w:vAlign w:val="center"/>
            <w:hideMark/>
          </w:tcPr>
          <w:p w14:paraId="3E74868B"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Dadaroo-1</w:t>
            </w:r>
          </w:p>
        </w:tc>
        <w:tc>
          <w:tcPr>
            <w:tcW w:w="1176" w:type="dxa"/>
            <w:tcBorders>
              <w:top w:val="nil"/>
              <w:left w:val="nil"/>
              <w:bottom w:val="nil"/>
              <w:right w:val="nil"/>
            </w:tcBorders>
            <w:tcMar>
              <w:top w:w="15" w:type="dxa"/>
              <w:left w:w="97" w:type="dxa"/>
              <w:bottom w:w="0" w:type="dxa"/>
              <w:right w:w="97" w:type="dxa"/>
            </w:tcMar>
            <w:vAlign w:val="center"/>
            <w:hideMark/>
          </w:tcPr>
          <w:p w14:paraId="175A6674"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02192F76"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B3E61A4"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433484A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0D1F4BA"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B07BC94"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5BC3DEF"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4</w:t>
            </w:r>
          </w:p>
        </w:tc>
        <w:tc>
          <w:tcPr>
            <w:tcW w:w="1992" w:type="dxa"/>
            <w:tcBorders>
              <w:top w:val="nil"/>
              <w:left w:val="nil"/>
              <w:bottom w:val="nil"/>
              <w:right w:val="nil"/>
            </w:tcBorders>
            <w:tcMar>
              <w:top w:w="15" w:type="dxa"/>
              <w:left w:w="97" w:type="dxa"/>
              <w:bottom w:w="0" w:type="dxa"/>
              <w:right w:w="97" w:type="dxa"/>
            </w:tcMar>
            <w:vAlign w:val="center"/>
            <w:hideMark/>
          </w:tcPr>
          <w:p w14:paraId="21A0A955"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Patheingyi-1</w:t>
            </w:r>
          </w:p>
        </w:tc>
        <w:tc>
          <w:tcPr>
            <w:tcW w:w="1176" w:type="dxa"/>
            <w:tcBorders>
              <w:top w:val="nil"/>
              <w:left w:val="nil"/>
              <w:bottom w:val="nil"/>
              <w:right w:val="nil"/>
            </w:tcBorders>
            <w:tcMar>
              <w:top w:w="15" w:type="dxa"/>
              <w:left w:w="97" w:type="dxa"/>
              <w:bottom w:w="0" w:type="dxa"/>
              <w:right w:w="97" w:type="dxa"/>
            </w:tcMar>
            <w:vAlign w:val="center"/>
            <w:hideMark/>
          </w:tcPr>
          <w:p w14:paraId="2B8CDB8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55CD8B2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495F2B5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630F2F01"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88B173F"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71B76E4"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2DA5ACD"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5</w:t>
            </w:r>
          </w:p>
        </w:tc>
        <w:tc>
          <w:tcPr>
            <w:tcW w:w="1992" w:type="dxa"/>
            <w:tcBorders>
              <w:top w:val="nil"/>
              <w:left w:val="nil"/>
              <w:bottom w:val="nil"/>
              <w:right w:val="nil"/>
            </w:tcBorders>
            <w:tcMar>
              <w:top w:w="15" w:type="dxa"/>
              <w:left w:w="97" w:type="dxa"/>
              <w:bottom w:w="0" w:type="dxa"/>
              <w:right w:w="97" w:type="dxa"/>
            </w:tcMar>
            <w:vAlign w:val="center"/>
            <w:hideMark/>
          </w:tcPr>
          <w:p w14:paraId="2DDA26A4"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Kyaukse-1</w:t>
            </w:r>
          </w:p>
        </w:tc>
        <w:tc>
          <w:tcPr>
            <w:tcW w:w="1176" w:type="dxa"/>
            <w:tcBorders>
              <w:top w:val="nil"/>
              <w:left w:val="nil"/>
              <w:bottom w:val="nil"/>
              <w:right w:val="nil"/>
            </w:tcBorders>
            <w:tcMar>
              <w:top w:w="15" w:type="dxa"/>
              <w:left w:w="97" w:type="dxa"/>
              <w:bottom w:w="0" w:type="dxa"/>
              <w:right w:w="97" w:type="dxa"/>
            </w:tcMar>
            <w:vAlign w:val="center"/>
            <w:hideMark/>
          </w:tcPr>
          <w:p w14:paraId="250935F3"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6D6772FB"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4B300D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52351DE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AC8741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3BFAAB3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53ACFA6B"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6</w:t>
            </w:r>
          </w:p>
        </w:tc>
        <w:tc>
          <w:tcPr>
            <w:tcW w:w="1992" w:type="dxa"/>
            <w:tcBorders>
              <w:top w:val="nil"/>
              <w:left w:val="nil"/>
              <w:bottom w:val="nil"/>
              <w:right w:val="nil"/>
            </w:tcBorders>
            <w:tcMar>
              <w:top w:w="15" w:type="dxa"/>
              <w:left w:w="97" w:type="dxa"/>
              <w:bottom w:w="0" w:type="dxa"/>
              <w:right w:w="97" w:type="dxa"/>
            </w:tcMar>
            <w:vAlign w:val="center"/>
            <w:hideMark/>
          </w:tcPr>
          <w:p w14:paraId="2E0FC2CC"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Myitthar-1</w:t>
            </w:r>
          </w:p>
        </w:tc>
        <w:tc>
          <w:tcPr>
            <w:tcW w:w="1176" w:type="dxa"/>
            <w:tcBorders>
              <w:top w:val="nil"/>
              <w:left w:val="nil"/>
              <w:bottom w:val="nil"/>
              <w:right w:val="nil"/>
            </w:tcBorders>
            <w:tcMar>
              <w:top w:w="15" w:type="dxa"/>
              <w:left w:w="97" w:type="dxa"/>
              <w:bottom w:w="0" w:type="dxa"/>
              <w:right w:w="97" w:type="dxa"/>
            </w:tcMar>
            <w:vAlign w:val="center"/>
            <w:hideMark/>
          </w:tcPr>
          <w:p w14:paraId="2DB0E37A"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7613913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67B6D946"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6CBA3AA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3F690BE8"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0397EE9"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1A86E79F"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7</w:t>
            </w:r>
          </w:p>
        </w:tc>
        <w:tc>
          <w:tcPr>
            <w:tcW w:w="1992" w:type="dxa"/>
            <w:tcBorders>
              <w:top w:val="nil"/>
              <w:left w:val="nil"/>
              <w:bottom w:val="nil"/>
              <w:right w:val="nil"/>
            </w:tcBorders>
            <w:tcMar>
              <w:top w:w="15" w:type="dxa"/>
              <w:left w:w="97" w:type="dxa"/>
              <w:bottom w:w="0" w:type="dxa"/>
              <w:right w:w="97" w:type="dxa"/>
            </w:tcMar>
            <w:vAlign w:val="center"/>
            <w:hideMark/>
          </w:tcPr>
          <w:p w14:paraId="447090A9"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Myitthar-2</w:t>
            </w:r>
          </w:p>
        </w:tc>
        <w:tc>
          <w:tcPr>
            <w:tcW w:w="1176" w:type="dxa"/>
            <w:tcBorders>
              <w:top w:val="nil"/>
              <w:left w:val="nil"/>
              <w:bottom w:val="nil"/>
              <w:right w:val="nil"/>
            </w:tcBorders>
            <w:tcMar>
              <w:top w:w="15" w:type="dxa"/>
              <w:left w:w="97" w:type="dxa"/>
              <w:bottom w:w="0" w:type="dxa"/>
              <w:right w:w="97" w:type="dxa"/>
            </w:tcMar>
            <w:vAlign w:val="center"/>
            <w:hideMark/>
          </w:tcPr>
          <w:p w14:paraId="2D6A6B54"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66A4376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44ED511D" w14:textId="77777777" w:rsidR="00C071E5" w:rsidRPr="00E97BCA" w:rsidRDefault="00C071E5" w:rsidP="00E97BCA">
            <w:pPr>
              <w:spacing w:line="312" w:lineRule="auto"/>
              <w:jc w:val="center"/>
              <w:rPr>
                <w:rFonts w:ascii="Arial" w:eastAsia="SimSun" w:hAnsi="Arial" w:cs="Arial"/>
                <w:kern w:val="24"/>
              </w:rPr>
            </w:pPr>
            <w:r w:rsidRPr="00E97BCA">
              <w:rPr>
                <w:rFonts w:ascii="Arial" w:eastAsia="SimSun" w:hAnsi="Arial" w:cs="Arial"/>
                <w:kern w:val="24"/>
              </w:rPr>
              <w:t>+</w:t>
            </w:r>
          </w:p>
        </w:tc>
        <w:tc>
          <w:tcPr>
            <w:tcW w:w="1184" w:type="dxa"/>
            <w:tcBorders>
              <w:top w:val="nil"/>
              <w:left w:val="nil"/>
              <w:bottom w:val="nil"/>
              <w:right w:val="nil"/>
            </w:tcBorders>
            <w:vAlign w:val="center"/>
          </w:tcPr>
          <w:p w14:paraId="5F4DAD4F"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41FE9F7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E10745A"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18C69E31"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8</w:t>
            </w:r>
          </w:p>
        </w:tc>
        <w:tc>
          <w:tcPr>
            <w:tcW w:w="1992" w:type="dxa"/>
            <w:tcBorders>
              <w:top w:val="nil"/>
              <w:left w:val="nil"/>
              <w:bottom w:val="nil"/>
              <w:right w:val="nil"/>
            </w:tcBorders>
            <w:tcMar>
              <w:top w:w="15" w:type="dxa"/>
              <w:left w:w="97" w:type="dxa"/>
              <w:bottom w:w="0" w:type="dxa"/>
              <w:right w:w="97" w:type="dxa"/>
            </w:tcMar>
            <w:vAlign w:val="center"/>
            <w:hideMark/>
          </w:tcPr>
          <w:p w14:paraId="16AF86B5"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Nyaung-U-1</w:t>
            </w:r>
          </w:p>
        </w:tc>
        <w:tc>
          <w:tcPr>
            <w:tcW w:w="1176" w:type="dxa"/>
            <w:tcBorders>
              <w:top w:val="nil"/>
              <w:left w:val="nil"/>
              <w:bottom w:val="nil"/>
              <w:right w:val="nil"/>
            </w:tcBorders>
            <w:tcMar>
              <w:top w:w="15" w:type="dxa"/>
              <w:left w:w="97" w:type="dxa"/>
              <w:bottom w:w="0" w:type="dxa"/>
              <w:right w:w="97" w:type="dxa"/>
            </w:tcMar>
            <w:vAlign w:val="center"/>
            <w:hideMark/>
          </w:tcPr>
          <w:p w14:paraId="66CF9D7A"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45D9355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8E083FB"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1833F63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1C78B6F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20CD697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384C913D"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9</w:t>
            </w:r>
          </w:p>
        </w:tc>
        <w:tc>
          <w:tcPr>
            <w:tcW w:w="1992" w:type="dxa"/>
            <w:tcBorders>
              <w:top w:val="nil"/>
              <w:left w:val="nil"/>
              <w:bottom w:val="nil"/>
              <w:right w:val="nil"/>
            </w:tcBorders>
            <w:tcMar>
              <w:top w:w="15" w:type="dxa"/>
              <w:left w:w="97" w:type="dxa"/>
              <w:bottom w:w="0" w:type="dxa"/>
              <w:right w:w="97" w:type="dxa"/>
            </w:tcMar>
            <w:vAlign w:val="center"/>
            <w:hideMark/>
          </w:tcPr>
          <w:p w14:paraId="6C6CA441"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Kyaukpadaung-1</w:t>
            </w:r>
          </w:p>
        </w:tc>
        <w:tc>
          <w:tcPr>
            <w:tcW w:w="1176" w:type="dxa"/>
            <w:tcBorders>
              <w:top w:val="nil"/>
              <w:left w:val="nil"/>
              <w:bottom w:val="nil"/>
              <w:right w:val="nil"/>
            </w:tcBorders>
            <w:tcMar>
              <w:top w:w="15" w:type="dxa"/>
              <w:left w:w="97" w:type="dxa"/>
              <w:bottom w:w="0" w:type="dxa"/>
              <w:right w:w="97" w:type="dxa"/>
            </w:tcMar>
            <w:vAlign w:val="center"/>
            <w:hideMark/>
          </w:tcPr>
          <w:p w14:paraId="1EE63C50"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01A495B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2210605A"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694D327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196C9E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0A94DC3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353779D"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10</w:t>
            </w:r>
          </w:p>
        </w:tc>
        <w:tc>
          <w:tcPr>
            <w:tcW w:w="1992" w:type="dxa"/>
            <w:tcBorders>
              <w:top w:val="nil"/>
              <w:left w:val="nil"/>
              <w:bottom w:val="nil"/>
              <w:right w:val="nil"/>
            </w:tcBorders>
            <w:tcMar>
              <w:top w:w="15" w:type="dxa"/>
              <w:left w:w="97" w:type="dxa"/>
              <w:bottom w:w="0" w:type="dxa"/>
              <w:right w:w="97" w:type="dxa"/>
            </w:tcMar>
            <w:vAlign w:val="center"/>
            <w:hideMark/>
          </w:tcPr>
          <w:p w14:paraId="342067CD"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Pyinmana-1</w:t>
            </w:r>
          </w:p>
        </w:tc>
        <w:tc>
          <w:tcPr>
            <w:tcW w:w="1176" w:type="dxa"/>
            <w:tcBorders>
              <w:top w:val="nil"/>
              <w:left w:val="nil"/>
              <w:bottom w:val="nil"/>
              <w:right w:val="nil"/>
            </w:tcBorders>
            <w:tcMar>
              <w:top w:w="15" w:type="dxa"/>
              <w:left w:w="97" w:type="dxa"/>
              <w:bottom w:w="0" w:type="dxa"/>
              <w:right w:w="97" w:type="dxa"/>
            </w:tcMar>
            <w:vAlign w:val="center"/>
            <w:hideMark/>
          </w:tcPr>
          <w:p w14:paraId="5A3AEBE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2179ECB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5D7C025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7972FB8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4B294DA7"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76726FC6"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BD09D3F"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11</w:t>
            </w:r>
          </w:p>
        </w:tc>
        <w:tc>
          <w:tcPr>
            <w:tcW w:w="1992" w:type="dxa"/>
            <w:tcBorders>
              <w:top w:val="nil"/>
              <w:left w:val="nil"/>
              <w:bottom w:val="nil"/>
              <w:right w:val="nil"/>
            </w:tcBorders>
            <w:tcMar>
              <w:top w:w="15" w:type="dxa"/>
              <w:left w:w="97" w:type="dxa"/>
              <w:bottom w:w="0" w:type="dxa"/>
              <w:right w:w="97" w:type="dxa"/>
            </w:tcMar>
            <w:vAlign w:val="center"/>
            <w:hideMark/>
          </w:tcPr>
          <w:p w14:paraId="5D2D3202"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Pyinmana-2</w:t>
            </w:r>
          </w:p>
        </w:tc>
        <w:tc>
          <w:tcPr>
            <w:tcW w:w="1176" w:type="dxa"/>
            <w:tcBorders>
              <w:top w:val="nil"/>
              <w:left w:val="nil"/>
              <w:bottom w:val="nil"/>
              <w:right w:val="nil"/>
            </w:tcBorders>
            <w:tcMar>
              <w:top w:w="15" w:type="dxa"/>
              <w:left w:w="97" w:type="dxa"/>
              <w:bottom w:w="0" w:type="dxa"/>
              <w:right w:w="97" w:type="dxa"/>
            </w:tcMar>
            <w:vAlign w:val="center"/>
            <w:hideMark/>
          </w:tcPr>
          <w:p w14:paraId="29E45271"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373B791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7FA232FC"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0C8AEB81"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48797460"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2382D08"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1F36E429"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12</w:t>
            </w:r>
          </w:p>
        </w:tc>
        <w:tc>
          <w:tcPr>
            <w:tcW w:w="1992" w:type="dxa"/>
            <w:tcBorders>
              <w:top w:val="nil"/>
              <w:left w:val="nil"/>
              <w:bottom w:val="nil"/>
              <w:right w:val="nil"/>
            </w:tcBorders>
            <w:tcMar>
              <w:top w:w="15" w:type="dxa"/>
              <w:left w:w="97" w:type="dxa"/>
              <w:bottom w:w="0" w:type="dxa"/>
              <w:right w:w="97" w:type="dxa"/>
            </w:tcMar>
            <w:vAlign w:val="center"/>
            <w:hideMark/>
          </w:tcPr>
          <w:p w14:paraId="17DBBBA9"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Pyinmana-3</w:t>
            </w:r>
          </w:p>
        </w:tc>
        <w:tc>
          <w:tcPr>
            <w:tcW w:w="1176" w:type="dxa"/>
            <w:tcBorders>
              <w:top w:val="nil"/>
              <w:left w:val="nil"/>
              <w:bottom w:val="nil"/>
              <w:right w:val="nil"/>
            </w:tcBorders>
            <w:tcMar>
              <w:top w:w="15" w:type="dxa"/>
              <w:left w:w="97" w:type="dxa"/>
              <w:bottom w:w="0" w:type="dxa"/>
              <w:right w:w="97" w:type="dxa"/>
            </w:tcMar>
            <w:vAlign w:val="center"/>
            <w:hideMark/>
          </w:tcPr>
          <w:p w14:paraId="63BAEFC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158E682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33EBAD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6891E08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3F5F9DD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CFC7F13"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50246E83"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13</w:t>
            </w:r>
          </w:p>
        </w:tc>
        <w:tc>
          <w:tcPr>
            <w:tcW w:w="1992" w:type="dxa"/>
            <w:tcBorders>
              <w:top w:val="nil"/>
              <w:left w:val="nil"/>
              <w:bottom w:val="nil"/>
              <w:right w:val="nil"/>
            </w:tcBorders>
            <w:tcMar>
              <w:top w:w="15" w:type="dxa"/>
              <w:left w:w="97" w:type="dxa"/>
              <w:bottom w:w="0" w:type="dxa"/>
              <w:right w:w="97" w:type="dxa"/>
            </w:tcMar>
            <w:vAlign w:val="center"/>
            <w:hideMark/>
          </w:tcPr>
          <w:p w14:paraId="20B072EE"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Pyinmana-4</w:t>
            </w:r>
          </w:p>
        </w:tc>
        <w:tc>
          <w:tcPr>
            <w:tcW w:w="1176" w:type="dxa"/>
            <w:tcBorders>
              <w:top w:val="nil"/>
              <w:left w:val="nil"/>
              <w:bottom w:val="nil"/>
              <w:right w:val="nil"/>
            </w:tcBorders>
            <w:tcMar>
              <w:top w:w="15" w:type="dxa"/>
              <w:left w:w="97" w:type="dxa"/>
              <w:bottom w:w="0" w:type="dxa"/>
              <w:right w:w="97" w:type="dxa"/>
            </w:tcMar>
            <w:vAlign w:val="center"/>
            <w:hideMark/>
          </w:tcPr>
          <w:p w14:paraId="2C35D80C"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28AE180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65" w:type="dxa"/>
            <w:tcBorders>
              <w:top w:val="nil"/>
              <w:left w:val="nil"/>
              <w:bottom w:val="nil"/>
              <w:right w:val="nil"/>
            </w:tcBorders>
            <w:vAlign w:val="center"/>
          </w:tcPr>
          <w:p w14:paraId="39DDA6C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0754FEE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62C2F9F8"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48B51628"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DA3EFE5"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14</w:t>
            </w:r>
          </w:p>
        </w:tc>
        <w:tc>
          <w:tcPr>
            <w:tcW w:w="1992" w:type="dxa"/>
            <w:tcBorders>
              <w:top w:val="nil"/>
              <w:left w:val="nil"/>
              <w:bottom w:val="nil"/>
              <w:right w:val="nil"/>
            </w:tcBorders>
            <w:tcMar>
              <w:top w:w="15" w:type="dxa"/>
              <w:left w:w="97" w:type="dxa"/>
              <w:bottom w:w="0" w:type="dxa"/>
              <w:right w:w="97" w:type="dxa"/>
            </w:tcMar>
            <w:vAlign w:val="center"/>
            <w:hideMark/>
          </w:tcPr>
          <w:p w14:paraId="0536DE91"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Pyinmana-5</w:t>
            </w:r>
          </w:p>
        </w:tc>
        <w:tc>
          <w:tcPr>
            <w:tcW w:w="1176" w:type="dxa"/>
            <w:tcBorders>
              <w:top w:val="nil"/>
              <w:left w:val="nil"/>
              <w:bottom w:val="nil"/>
              <w:right w:val="nil"/>
            </w:tcBorders>
            <w:tcMar>
              <w:top w:w="15" w:type="dxa"/>
              <w:left w:w="97" w:type="dxa"/>
              <w:bottom w:w="0" w:type="dxa"/>
              <w:right w:w="97" w:type="dxa"/>
            </w:tcMar>
            <w:vAlign w:val="center"/>
            <w:hideMark/>
          </w:tcPr>
          <w:p w14:paraId="250500E6"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4C002F1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E1ADC9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278D9441"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7D7D3DB4"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4DFE1BCD"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661FC86E"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15</w:t>
            </w:r>
          </w:p>
        </w:tc>
        <w:tc>
          <w:tcPr>
            <w:tcW w:w="1992" w:type="dxa"/>
            <w:tcBorders>
              <w:top w:val="nil"/>
              <w:left w:val="nil"/>
              <w:bottom w:val="nil"/>
              <w:right w:val="nil"/>
            </w:tcBorders>
            <w:tcMar>
              <w:top w:w="15" w:type="dxa"/>
              <w:left w:w="97" w:type="dxa"/>
              <w:bottom w:w="0" w:type="dxa"/>
              <w:right w:w="97" w:type="dxa"/>
            </w:tcMar>
            <w:vAlign w:val="center"/>
            <w:hideMark/>
          </w:tcPr>
          <w:p w14:paraId="6C59243C"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Lewe-1</w:t>
            </w:r>
          </w:p>
        </w:tc>
        <w:tc>
          <w:tcPr>
            <w:tcW w:w="1176" w:type="dxa"/>
            <w:tcBorders>
              <w:top w:val="nil"/>
              <w:left w:val="nil"/>
              <w:bottom w:val="nil"/>
              <w:right w:val="nil"/>
            </w:tcBorders>
            <w:tcMar>
              <w:top w:w="15" w:type="dxa"/>
              <w:left w:w="97" w:type="dxa"/>
              <w:bottom w:w="0" w:type="dxa"/>
              <w:right w:w="97" w:type="dxa"/>
            </w:tcMar>
            <w:vAlign w:val="center"/>
            <w:hideMark/>
          </w:tcPr>
          <w:p w14:paraId="32D010C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73215DD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6218F07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71CEFC65"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2CB59AB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1207A23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87D6AD4"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16</w:t>
            </w:r>
          </w:p>
        </w:tc>
        <w:tc>
          <w:tcPr>
            <w:tcW w:w="1992" w:type="dxa"/>
            <w:tcBorders>
              <w:top w:val="nil"/>
              <w:left w:val="nil"/>
              <w:bottom w:val="nil"/>
              <w:right w:val="nil"/>
            </w:tcBorders>
            <w:tcMar>
              <w:top w:w="15" w:type="dxa"/>
              <w:left w:w="97" w:type="dxa"/>
              <w:bottom w:w="0" w:type="dxa"/>
              <w:right w:w="97" w:type="dxa"/>
            </w:tcMar>
            <w:vAlign w:val="center"/>
            <w:hideMark/>
          </w:tcPr>
          <w:p w14:paraId="6E781B4F"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Lewe-2</w:t>
            </w:r>
          </w:p>
        </w:tc>
        <w:tc>
          <w:tcPr>
            <w:tcW w:w="1176" w:type="dxa"/>
            <w:tcBorders>
              <w:top w:val="nil"/>
              <w:left w:val="nil"/>
              <w:bottom w:val="nil"/>
              <w:right w:val="nil"/>
            </w:tcBorders>
            <w:tcMar>
              <w:top w:w="15" w:type="dxa"/>
              <w:left w:w="97" w:type="dxa"/>
              <w:bottom w:w="0" w:type="dxa"/>
              <w:right w:w="97" w:type="dxa"/>
            </w:tcMar>
            <w:vAlign w:val="center"/>
            <w:hideMark/>
          </w:tcPr>
          <w:p w14:paraId="10BC8CC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2C726BEA"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CA2C8E0"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4C00FD2F"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CFDDCAC"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1F8DFD86"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49E67810"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17</w:t>
            </w:r>
          </w:p>
        </w:tc>
        <w:tc>
          <w:tcPr>
            <w:tcW w:w="1992" w:type="dxa"/>
            <w:tcBorders>
              <w:top w:val="nil"/>
              <w:left w:val="nil"/>
              <w:bottom w:val="nil"/>
              <w:right w:val="nil"/>
            </w:tcBorders>
            <w:tcMar>
              <w:top w:w="15" w:type="dxa"/>
              <w:left w:w="97" w:type="dxa"/>
              <w:bottom w:w="0" w:type="dxa"/>
              <w:right w:w="97" w:type="dxa"/>
            </w:tcMar>
            <w:vAlign w:val="center"/>
            <w:hideMark/>
          </w:tcPr>
          <w:p w14:paraId="2998C91E"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Zeyarthiri-1</w:t>
            </w:r>
          </w:p>
        </w:tc>
        <w:tc>
          <w:tcPr>
            <w:tcW w:w="1176" w:type="dxa"/>
            <w:tcBorders>
              <w:top w:val="nil"/>
              <w:left w:val="nil"/>
              <w:bottom w:val="nil"/>
              <w:right w:val="nil"/>
            </w:tcBorders>
            <w:tcMar>
              <w:top w:w="15" w:type="dxa"/>
              <w:left w:w="97" w:type="dxa"/>
              <w:bottom w:w="0" w:type="dxa"/>
              <w:right w:w="97" w:type="dxa"/>
            </w:tcMar>
            <w:vAlign w:val="center"/>
            <w:hideMark/>
          </w:tcPr>
          <w:p w14:paraId="65684C6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6D48EB34"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21742287"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7F5D599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3B434A81"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2295962"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543BC2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18</w:t>
            </w:r>
          </w:p>
        </w:tc>
        <w:tc>
          <w:tcPr>
            <w:tcW w:w="1992" w:type="dxa"/>
            <w:tcBorders>
              <w:top w:val="nil"/>
              <w:left w:val="nil"/>
              <w:bottom w:val="nil"/>
              <w:right w:val="nil"/>
            </w:tcBorders>
            <w:tcMar>
              <w:top w:w="15" w:type="dxa"/>
              <w:left w:w="97" w:type="dxa"/>
              <w:bottom w:w="0" w:type="dxa"/>
              <w:right w:w="97" w:type="dxa"/>
            </w:tcMar>
            <w:vAlign w:val="center"/>
            <w:hideMark/>
          </w:tcPr>
          <w:p w14:paraId="3296AA31"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Zeyarthiri-2</w:t>
            </w:r>
          </w:p>
        </w:tc>
        <w:tc>
          <w:tcPr>
            <w:tcW w:w="1176" w:type="dxa"/>
            <w:tcBorders>
              <w:top w:val="nil"/>
              <w:left w:val="nil"/>
              <w:bottom w:val="nil"/>
              <w:right w:val="nil"/>
            </w:tcBorders>
            <w:tcMar>
              <w:top w:w="15" w:type="dxa"/>
              <w:left w:w="97" w:type="dxa"/>
              <w:bottom w:w="0" w:type="dxa"/>
              <w:right w:w="97" w:type="dxa"/>
            </w:tcMar>
            <w:vAlign w:val="center"/>
            <w:hideMark/>
          </w:tcPr>
          <w:p w14:paraId="590BFB35"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3BB0FF3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03AB39A" w14:textId="77777777" w:rsidR="00C071E5" w:rsidRPr="00E97BCA" w:rsidRDefault="00C071E5" w:rsidP="00E97BCA">
            <w:pPr>
              <w:spacing w:line="312" w:lineRule="auto"/>
              <w:jc w:val="center"/>
              <w:rPr>
                <w:rFonts w:ascii="Arial" w:eastAsia="SimSun" w:hAnsi="Arial" w:cs="Arial"/>
                <w:kern w:val="24"/>
              </w:rPr>
            </w:pPr>
          </w:p>
        </w:tc>
        <w:tc>
          <w:tcPr>
            <w:tcW w:w="1184" w:type="dxa"/>
            <w:tcBorders>
              <w:top w:val="nil"/>
              <w:left w:val="nil"/>
              <w:bottom w:val="nil"/>
              <w:right w:val="nil"/>
            </w:tcBorders>
            <w:vAlign w:val="center"/>
          </w:tcPr>
          <w:p w14:paraId="3708C24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66122BD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40D22624"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6756E2D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19</w:t>
            </w:r>
          </w:p>
        </w:tc>
        <w:tc>
          <w:tcPr>
            <w:tcW w:w="1992" w:type="dxa"/>
            <w:tcBorders>
              <w:top w:val="nil"/>
              <w:left w:val="nil"/>
              <w:bottom w:val="nil"/>
              <w:right w:val="nil"/>
            </w:tcBorders>
            <w:tcMar>
              <w:top w:w="15" w:type="dxa"/>
              <w:left w:w="97" w:type="dxa"/>
              <w:bottom w:w="0" w:type="dxa"/>
              <w:right w:w="97" w:type="dxa"/>
            </w:tcMar>
            <w:vAlign w:val="center"/>
            <w:hideMark/>
          </w:tcPr>
          <w:p w14:paraId="0B49FF19"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Zeyarthiri-3</w:t>
            </w:r>
          </w:p>
        </w:tc>
        <w:tc>
          <w:tcPr>
            <w:tcW w:w="1176" w:type="dxa"/>
            <w:tcBorders>
              <w:top w:val="nil"/>
              <w:left w:val="nil"/>
              <w:bottom w:val="nil"/>
              <w:right w:val="nil"/>
            </w:tcBorders>
            <w:tcMar>
              <w:top w:w="15" w:type="dxa"/>
              <w:left w:w="97" w:type="dxa"/>
              <w:bottom w:w="0" w:type="dxa"/>
              <w:right w:w="97" w:type="dxa"/>
            </w:tcMar>
            <w:vAlign w:val="center"/>
            <w:hideMark/>
          </w:tcPr>
          <w:p w14:paraId="30CC0826"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1E6157C6"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77102BA" w14:textId="77777777" w:rsidR="00C071E5" w:rsidRPr="00E97BCA" w:rsidRDefault="00C071E5" w:rsidP="00E97BCA">
            <w:pPr>
              <w:spacing w:line="312" w:lineRule="auto"/>
              <w:jc w:val="center"/>
              <w:rPr>
                <w:rFonts w:ascii="Arial" w:eastAsia="SimSun" w:hAnsi="Arial" w:cs="Arial"/>
                <w:kern w:val="24"/>
              </w:rPr>
            </w:pPr>
          </w:p>
        </w:tc>
        <w:tc>
          <w:tcPr>
            <w:tcW w:w="1184" w:type="dxa"/>
            <w:tcBorders>
              <w:top w:val="nil"/>
              <w:left w:val="nil"/>
              <w:bottom w:val="nil"/>
              <w:right w:val="nil"/>
            </w:tcBorders>
            <w:vAlign w:val="center"/>
          </w:tcPr>
          <w:p w14:paraId="65824B1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287DA65"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06203E9A" w14:textId="77777777" w:rsidTr="001347CA">
        <w:trPr>
          <w:trHeight w:val="390"/>
          <w:jc w:val="center"/>
        </w:trPr>
        <w:tc>
          <w:tcPr>
            <w:tcW w:w="660" w:type="dxa"/>
            <w:tcBorders>
              <w:top w:val="nil"/>
              <w:left w:val="nil"/>
              <w:bottom w:val="single" w:sz="4" w:space="0" w:color="auto"/>
              <w:right w:val="nil"/>
            </w:tcBorders>
            <w:tcMar>
              <w:top w:w="15" w:type="dxa"/>
              <w:left w:w="97" w:type="dxa"/>
              <w:bottom w:w="0" w:type="dxa"/>
              <w:right w:w="97" w:type="dxa"/>
            </w:tcMar>
            <w:vAlign w:val="center"/>
            <w:hideMark/>
          </w:tcPr>
          <w:p w14:paraId="590DF790"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20</w:t>
            </w:r>
          </w:p>
        </w:tc>
        <w:tc>
          <w:tcPr>
            <w:tcW w:w="1992" w:type="dxa"/>
            <w:tcBorders>
              <w:top w:val="nil"/>
              <w:left w:val="nil"/>
              <w:bottom w:val="single" w:sz="4" w:space="0" w:color="auto"/>
              <w:right w:val="nil"/>
            </w:tcBorders>
            <w:tcMar>
              <w:top w:w="15" w:type="dxa"/>
              <w:left w:w="97" w:type="dxa"/>
              <w:bottom w:w="0" w:type="dxa"/>
              <w:right w:w="97" w:type="dxa"/>
            </w:tcMar>
            <w:vAlign w:val="center"/>
            <w:hideMark/>
          </w:tcPr>
          <w:p w14:paraId="07DF29E8"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Pobbathiri-1</w:t>
            </w:r>
          </w:p>
        </w:tc>
        <w:tc>
          <w:tcPr>
            <w:tcW w:w="1176" w:type="dxa"/>
            <w:tcBorders>
              <w:top w:val="nil"/>
              <w:left w:val="nil"/>
              <w:bottom w:val="single" w:sz="4" w:space="0" w:color="auto"/>
              <w:right w:val="nil"/>
            </w:tcBorders>
            <w:tcMar>
              <w:top w:w="15" w:type="dxa"/>
              <w:left w:w="97" w:type="dxa"/>
              <w:bottom w:w="0" w:type="dxa"/>
              <w:right w:w="97" w:type="dxa"/>
            </w:tcMar>
            <w:vAlign w:val="center"/>
            <w:hideMark/>
          </w:tcPr>
          <w:p w14:paraId="17574D8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single" w:sz="4" w:space="0" w:color="auto"/>
              <w:right w:val="nil"/>
            </w:tcBorders>
            <w:tcMar>
              <w:top w:w="15" w:type="dxa"/>
              <w:left w:w="97" w:type="dxa"/>
              <w:bottom w:w="0" w:type="dxa"/>
              <w:right w:w="97" w:type="dxa"/>
            </w:tcMar>
            <w:vAlign w:val="center"/>
            <w:hideMark/>
          </w:tcPr>
          <w:p w14:paraId="0B46CA6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single" w:sz="4" w:space="0" w:color="auto"/>
              <w:right w:val="nil"/>
            </w:tcBorders>
            <w:vAlign w:val="center"/>
          </w:tcPr>
          <w:p w14:paraId="35CFA364" w14:textId="77777777" w:rsidR="00C071E5" w:rsidRPr="00E97BCA" w:rsidRDefault="00C071E5" w:rsidP="00E97BCA">
            <w:pPr>
              <w:spacing w:line="312" w:lineRule="auto"/>
              <w:jc w:val="center"/>
              <w:rPr>
                <w:rFonts w:ascii="Arial" w:eastAsia="SimSun" w:hAnsi="Arial" w:cs="Arial"/>
                <w:kern w:val="24"/>
              </w:rPr>
            </w:pPr>
            <w:r w:rsidRPr="00E97BCA">
              <w:rPr>
                <w:rFonts w:ascii="Arial" w:eastAsia="SimSun" w:hAnsi="Arial" w:cs="Arial"/>
                <w:kern w:val="24"/>
              </w:rPr>
              <w:t>+++</w:t>
            </w:r>
          </w:p>
        </w:tc>
        <w:tc>
          <w:tcPr>
            <w:tcW w:w="1184" w:type="dxa"/>
            <w:tcBorders>
              <w:top w:val="nil"/>
              <w:left w:val="nil"/>
              <w:bottom w:val="single" w:sz="4" w:space="0" w:color="auto"/>
              <w:right w:val="nil"/>
            </w:tcBorders>
            <w:vAlign w:val="center"/>
          </w:tcPr>
          <w:p w14:paraId="79BC023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single" w:sz="4" w:space="0" w:color="auto"/>
              <w:right w:val="nil"/>
            </w:tcBorders>
            <w:vAlign w:val="center"/>
          </w:tcPr>
          <w:p w14:paraId="3CAE4F2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7E83BF93" w14:textId="77777777" w:rsidTr="001347CA">
        <w:trPr>
          <w:trHeight w:val="85"/>
          <w:jc w:val="center"/>
        </w:trPr>
        <w:tc>
          <w:tcPr>
            <w:tcW w:w="660" w:type="dxa"/>
            <w:tcBorders>
              <w:top w:val="single" w:sz="4" w:space="0" w:color="auto"/>
              <w:left w:val="nil"/>
              <w:bottom w:val="single" w:sz="8" w:space="0" w:color="000000"/>
              <w:right w:val="nil"/>
            </w:tcBorders>
            <w:tcMar>
              <w:top w:w="15" w:type="dxa"/>
              <w:left w:w="97" w:type="dxa"/>
              <w:bottom w:w="0" w:type="dxa"/>
              <w:right w:w="97" w:type="dxa"/>
            </w:tcMar>
            <w:vAlign w:val="center"/>
          </w:tcPr>
          <w:p w14:paraId="1E0E57D7" w14:textId="77777777" w:rsidR="00C071E5" w:rsidRPr="00E97BCA" w:rsidRDefault="00C071E5" w:rsidP="00E97BCA">
            <w:pPr>
              <w:spacing w:line="312" w:lineRule="auto"/>
              <w:jc w:val="center"/>
              <w:rPr>
                <w:rFonts w:ascii="Arial" w:hAnsi="Arial" w:cs="Arial"/>
                <w:b/>
                <w:kern w:val="24"/>
              </w:rPr>
            </w:pPr>
          </w:p>
        </w:tc>
        <w:tc>
          <w:tcPr>
            <w:tcW w:w="1992" w:type="dxa"/>
            <w:tcBorders>
              <w:top w:val="single" w:sz="4" w:space="0" w:color="auto"/>
              <w:left w:val="nil"/>
              <w:bottom w:val="single" w:sz="8" w:space="0" w:color="000000"/>
              <w:right w:val="nil"/>
            </w:tcBorders>
            <w:tcMar>
              <w:top w:w="15" w:type="dxa"/>
              <w:left w:w="97" w:type="dxa"/>
              <w:bottom w:w="0" w:type="dxa"/>
              <w:right w:w="97" w:type="dxa"/>
            </w:tcMar>
            <w:vAlign w:val="center"/>
          </w:tcPr>
          <w:p w14:paraId="274C87EF" w14:textId="77777777" w:rsidR="00C071E5" w:rsidRPr="00E97BCA" w:rsidRDefault="00C071E5" w:rsidP="00E97BCA">
            <w:pPr>
              <w:tabs>
                <w:tab w:val="left" w:pos="2357"/>
              </w:tabs>
              <w:spacing w:line="312" w:lineRule="auto"/>
              <w:ind w:left="43" w:right="58"/>
              <w:jc w:val="center"/>
              <w:rPr>
                <w:rFonts w:ascii="Arial" w:hAnsi="Arial" w:cs="Arial"/>
                <w:b/>
                <w:kern w:val="24"/>
              </w:rPr>
            </w:pPr>
            <w:r w:rsidRPr="00E97BCA">
              <w:rPr>
                <w:rFonts w:ascii="Arial" w:hAnsi="Arial" w:cs="Arial"/>
                <w:b/>
                <w:kern w:val="24"/>
              </w:rPr>
              <w:t>*No. of isolates</w:t>
            </w:r>
          </w:p>
        </w:tc>
        <w:tc>
          <w:tcPr>
            <w:tcW w:w="1176" w:type="dxa"/>
            <w:tcBorders>
              <w:top w:val="single" w:sz="4" w:space="0" w:color="auto"/>
              <w:left w:val="nil"/>
              <w:bottom w:val="single" w:sz="8" w:space="0" w:color="000000"/>
              <w:right w:val="nil"/>
            </w:tcBorders>
            <w:tcMar>
              <w:top w:w="15" w:type="dxa"/>
              <w:left w:w="97" w:type="dxa"/>
              <w:bottom w:w="0" w:type="dxa"/>
              <w:right w:w="97" w:type="dxa"/>
            </w:tcMar>
            <w:vAlign w:val="center"/>
          </w:tcPr>
          <w:p w14:paraId="3E079179" w14:textId="77777777" w:rsidR="00C071E5" w:rsidRPr="00E97BCA" w:rsidRDefault="00C071E5" w:rsidP="00E97BCA">
            <w:pPr>
              <w:spacing w:line="312" w:lineRule="auto"/>
              <w:jc w:val="center"/>
              <w:rPr>
                <w:rFonts w:ascii="Arial" w:hAnsi="Arial" w:cs="Arial"/>
                <w:b/>
              </w:rPr>
            </w:pPr>
            <w:r w:rsidRPr="00E97BCA">
              <w:rPr>
                <w:rFonts w:ascii="Arial" w:hAnsi="Arial" w:cs="Arial"/>
                <w:b/>
              </w:rPr>
              <w:t>11</w:t>
            </w:r>
          </w:p>
        </w:tc>
        <w:tc>
          <w:tcPr>
            <w:tcW w:w="1431" w:type="dxa"/>
            <w:tcBorders>
              <w:top w:val="single" w:sz="4" w:space="0" w:color="auto"/>
              <w:left w:val="nil"/>
              <w:bottom w:val="single" w:sz="8" w:space="0" w:color="000000"/>
              <w:right w:val="nil"/>
            </w:tcBorders>
            <w:tcMar>
              <w:top w:w="15" w:type="dxa"/>
              <w:left w:w="97" w:type="dxa"/>
              <w:bottom w:w="0" w:type="dxa"/>
              <w:right w:w="97" w:type="dxa"/>
            </w:tcMar>
            <w:vAlign w:val="center"/>
          </w:tcPr>
          <w:p w14:paraId="4364AAE5" w14:textId="77777777" w:rsidR="00C071E5" w:rsidRPr="00E97BCA" w:rsidRDefault="00C071E5" w:rsidP="00E97BCA">
            <w:pPr>
              <w:spacing w:line="312" w:lineRule="auto"/>
              <w:jc w:val="center"/>
              <w:rPr>
                <w:rFonts w:ascii="Arial" w:hAnsi="Arial" w:cs="Arial"/>
                <w:b/>
              </w:rPr>
            </w:pPr>
            <w:r w:rsidRPr="00E97BCA">
              <w:rPr>
                <w:rFonts w:ascii="Arial" w:hAnsi="Arial" w:cs="Arial"/>
                <w:b/>
              </w:rPr>
              <w:t>1</w:t>
            </w:r>
          </w:p>
        </w:tc>
        <w:tc>
          <w:tcPr>
            <w:tcW w:w="1165" w:type="dxa"/>
            <w:tcBorders>
              <w:top w:val="single" w:sz="4" w:space="0" w:color="auto"/>
              <w:left w:val="nil"/>
              <w:bottom w:val="single" w:sz="8" w:space="0" w:color="000000"/>
              <w:right w:val="nil"/>
            </w:tcBorders>
            <w:vAlign w:val="center"/>
          </w:tcPr>
          <w:p w14:paraId="07FCE82A" w14:textId="77777777" w:rsidR="00C071E5" w:rsidRPr="00E97BCA" w:rsidRDefault="00C071E5" w:rsidP="00E97BCA">
            <w:pPr>
              <w:spacing w:line="312" w:lineRule="auto"/>
              <w:jc w:val="center"/>
              <w:rPr>
                <w:rFonts w:ascii="Arial" w:eastAsia="SimSun" w:hAnsi="Arial" w:cs="Arial"/>
                <w:b/>
                <w:kern w:val="24"/>
              </w:rPr>
            </w:pPr>
            <w:r w:rsidRPr="00E97BCA">
              <w:rPr>
                <w:rFonts w:ascii="Arial" w:eastAsia="SimSun" w:hAnsi="Arial" w:cs="Arial"/>
                <w:b/>
                <w:kern w:val="24"/>
              </w:rPr>
              <w:t>8</w:t>
            </w:r>
          </w:p>
        </w:tc>
        <w:tc>
          <w:tcPr>
            <w:tcW w:w="1184" w:type="dxa"/>
            <w:tcBorders>
              <w:top w:val="single" w:sz="4" w:space="0" w:color="auto"/>
              <w:left w:val="nil"/>
              <w:bottom w:val="single" w:sz="8" w:space="0" w:color="000000"/>
              <w:right w:val="nil"/>
            </w:tcBorders>
            <w:vAlign w:val="center"/>
          </w:tcPr>
          <w:p w14:paraId="0C6345FD" w14:textId="77777777" w:rsidR="00C071E5" w:rsidRPr="00E97BCA" w:rsidRDefault="00C071E5" w:rsidP="00E97BCA">
            <w:pPr>
              <w:spacing w:line="312" w:lineRule="auto"/>
              <w:jc w:val="center"/>
              <w:rPr>
                <w:rFonts w:ascii="Arial" w:hAnsi="Arial" w:cs="Arial"/>
                <w:b/>
              </w:rPr>
            </w:pPr>
            <w:r w:rsidRPr="00E97BCA">
              <w:rPr>
                <w:rFonts w:ascii="Arial" w:hAnsi="Arial" w:cs="Arial"/>
                <w:b/>
              </w:rPr>
              <w:t>0</w:t>
            </w:r>
          </w:p>
        </w:tc>
        <w:tc>
          <w:tcPr>
            <w:tcW w:w="1124" w:type="dxa"/>
            <w:tcBorders>
              <w:top w:val="single" w:sz="4" w:space="0" w:color="auto"/>
              <w:left w:val="nil"/>
              <w:bottom w:val="single" w:sz="8" w:space="0" w:color="000000"/>
              <w:right w:val="nil"/>
            </w:tcBorders>
            <w:vAlign w:val="center"/>
          </w:tcPr>
          <w:p w14:paraId="5780AD43" w14:textId="77777777" w:rsidR="00C071E5" w:rsidRPr="00E97BCA" w:rsidRDefault="00C071E5" w:rsidP="00E97BCA">
            <w:pPr>
              <w:spacing w:line="312" w:lineRule="auto"/>
              <w:jc w:val="center"/>
              <w:rPr>
                <w:rFonts w:ascii="Arial" w:eastAsia="SimSun" w:hAnsi="Arial" w:cs="Arial"/>
                <w:b/>
                <w:kern w:val="24"/>
              </w:rPr>
            </w:pPr>
          </w:p>
        </w:tc>
      </w:tr>
    </w:tbl>
    <w:p w14:paraId="1F595B3F" w14:textId="77777777" w:rsidR="00C071E5" w:rsidRPr="00E97BCA" w:rsidRDefault="00C071E5" w:rsidP="00E97BCA">
      <w:pPr>
        <w:spacing w:line="312" w:lineRule="auto"/>
        <w:jc w:val="both"/>
        <w:rPr>
          <w:rFonts w:ascii="Arial" w:hAnsi="Arial" w:cs="Arial"/>
        </w:rPr>
      </w:pPr>
      <w:r w:rsidRPr="00E97BCA">
        <w:rPr>
          <w:rFonts w:ascii="Arial" w:hAnsi="Arial" w:cs="Arial"/>
        </w:rPr>
        <w:t xml:space="preserve">“+” indicates that appearance of heterokaryon formation: </w:t>
      </w:r>
    </w:p>
    <w:p w14:paraId="420E48A4" w14:textId="77777777" w:rsidR="00C071E5" w:rsidRPr="00E97BCA" w:rsidRDefault="00C071E5" w:rsidP="00E97BCA">
      <w:pPr>
        <w:spacing w:line="312" w:lineRule="auto"/>
        <w:jc w:val="both"/>
        <w:rPr>
          <w:rFonts w:ascii="Arial" w:hAnsi="Arial" w:cs="Arial"/>
        </w:rPr>
      </w:pPr>
      <w:r w:rsidRPr="00E97BCA">
        <w:rPr>
          <w:rFonts w:ascii="Arial" w:hAnsi="Arial" w:cs="Arial"/>
        </w:rPr>
        <w:t xml:space="preserve">     (+ weak heterokaryon; ++ moderate heterokaryon; +++ strong heterokaryon formation)</w:t>
      </w:r>
    </w:p>
    <w:p w14:paraId="3905A3BB" w14:textId="77777777" w:rsidR="00C071E5" w:rsidRPr="00E97BCA" w:rsidRDefault="00C071E5" w:rsidP="00E97BCA">
      <w:pPr>
        <w:spacing w:line="312" w:lineRule="auto"/>
        <w:ind w:left="450" w:hanging="450"/>
        <w:jc w:val="both"/>
        <w:rPr>
          <w:rFonts w:ascii="Arial" w:hAnsi="Arial" w:cs="Arial"/>
        </w:rPr>
      </w:pPr>
      <w:r w:rsidRPr="00E97BCA">
        <w:rPr>
          <w:rFonts w:ascii="Arial" w:hAnsi="Arial" w:cs="Arial"/>
        </w:rPr>
        <w:t>“-” indicates that no appearance of heterokaryon formation</w:t>
      </w:r>
    </w:p>
    <w:p w14:paraId="286702D8" w14:textId="77777777" w:rsidR="00C071E5" w:rsidRPr="00E97BCA" w:rsidRDefault="00C071E5" w:rsidP="00E97BCA">
      <w:pPr>
        <w:spacing w:line="312" w:lineRule="auto"/>
        <w:ind w:left="450" w:hanging="450"/>
        <w:jc w:val="both"/>
        <w:rPr>
          <w:rFonts w:ascii="Arial" w:hAnsi="Arial" w:cs="Arial"/>
        </w:rPr>
      </w:pPr>
      <w:r w:rsidRPr="00E97BCA">
        <w:rPr>
          <w:rFonts w:ascii="Arial" w:hAnsi="Arial" w:cs="Arial"/>
          <w:i/>
        </w:rPr>
        <w:t>“</w:t>
      </w:r>
      <w:proofErr w:type="spellStart"/>
      <w:r w:rsidRPr="00E97BCA">
        <w:rPr>
          <w:rFonts w:ascii="Arial" w:hAnsi="Arial" w:cs="Arial"/>
          <w:i/>
        </w:rPr>
        <w:t>vic</w:t>
      </w:r>
      <w:proofErr w:type="spellEnd"/>
      <w:r w:rsidRPr="00E97BCA">
        <w:rPr>
          <w:rFonts w:ascii="Arial" w:hAnsi="Arial" w:cs="Arial"/>
        </w:rPr>
        <w:t>” vegetative incompatibility that mean not belonged to any of known VCG testers</w:t>
      </w:r>
    </w:p>
    <w:p w14:paraId="12E4DE01" w14:textId="77777777" w:rsidR="00C071E5" w:rsidRPr="00E97BCA" w:rsidRDefault="00C071E5" w:rsidP="00E97BCA">
      <w:pPr>
        <w:spacing w:line="312" w:lineRule="auto"/>
        <w:jc w:val="both"/>
        <w:rPr>
          <w:rFonts w:ascii="Arial" w:hAnsi="Arial" w:cs="Arial"/>
        </w:rPr>
      </w:pPr>
      <w:r w:rsidRPr="00E97BCA">
        <w:rPr>
          <w:rFonts w:ascii="Arial" w:hAnsi="Arial" w:cs="Arial"/>
        </w:rPr>
        <w:t xml:space="preserve">* Number of isolates belonging to respective </w:t>
      </w:r>
      <w:proofErr w:type="spellStart"/>
      <w:r w:rsidRPr="00E97BCA">
        <w:rPr>
          <w:rFonts w:ascii="Arial" w:hAnsi="Arial" w:cs="Arial"/>
          <w:i/>
        </w:rPr>
        <w:t>Foc</w:t>
      </w:r>
      <w:proofErr w:type="spellEnd"/>
      <w:r w:rsidRPr="00E97BCA">
        <w:rPr>
          <w:rFonts w:ascii="Arial" w:hAnsi="Arial" w:cs="Arial"/>
        </w:rPr>
        <w:t xml:space="preserve"> VCG strains </w:t>
      </w:r>
    </w:p>
    <w:p w14:paraId="7125956A" w14:textId="77777777" w:rsidR="00C071E5" w:rsidRPr="00E97BCA" w:rsidRDefault="00C071E5" w:rsidP="00E97BCA">
      <w:pPr>
        <w:autoSpaceDE w:val="0"/>
        <w:autoSpaceDN w:val="0"/>
        <w:adjustRightInd w:val="0"/>
        <w:spacing w:line="312" w:lineRule="auto"/>
        <w:jc w:val="both"/>
        <w:rPr>
          <w:rFonts w:ascii="Arial" w:hAnsi="Arial" w:cs="Arial"/>
        </w:rPr>
      </w:pPr>
    </w:p>
    <w:p w14:paraId="49E20788" w14:textId="77777777" w:rsidR="00C071E5" w:rsidRPr="00E97BCA" w:rsidRDefault="00C071E5" w:rsidP="00E97BCA">
      <w:pPr>
        <w:spacing w:line="312" w:lineRule="auto"/>
        <w:jc w:val="both"/>
        <w:rPr>
          <w:rFonts w:ascii="Arial" w:hAnsi="Arial" w:cs="Arial"/>
          <w:sz w:val="24"/>
          <w:szCs w:val="24"/>
        </w:rPr>
      </w:pPr>
    </w:p>
    <w:p w14:paraId="7F47C857" w14:textId="77777777" w:rsidR="00C071E5" w:rsidRPr="00E97BCA" w:rsidRDefault="00C071E5" w:rsidP="00E97BCA">
      <w:pPr>
        <w:spacing w:line="312" w:lineRule="auto"/>
        <w:jc w:val="both"/>
        <w:rPr>
          <w:rFonts w:ascii="Arial" w:hAnsi="Arial" w:cs="Arial"/>
          <w:sz w:val="24"/>
          <w:szCs w:val="24"/>
        </w:rPr>
      </w:pPr>
    </w:p>
    <w:tbl>
      <w:tblPr>
        <w:tblStyle w:val="TableGrid"/>
        <w:tblW w:w="8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2714"/>
        <w:gridCol w:w="2836"/>
      </w:tblGrid>
      <w:tr w:rsidR="00E97BCA" w:rsidRPr="00E97BCA" w14:paraId="5037C331" w14:textId="77777777" w:rsidTr="00B06670">
        <w:trPr>
          <w:trHeight w:val="2140"/>
        </w:trPr>
        <w:tc>
          <w:tcPr>
            <w:tcW w:w="2868" w:type="dxa"/>
          </w:tcPr>
          <w:p w14:paraId="7FDDACEF"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67456" behindDoc="0" locked="0" layoutInCell="1" allowOverlap="1" wp14:anchorId="2FB0C5C1" wp14:editId="2B9F5B13">
                      <wp:simplePos x="0" y="0"/>
                      <wp:positionH relativeFrom="column">
                        <wp:posOffset>1322026</wp:posOffset>
                      </wp:positionH>
                      <wp:positionV relativeFrom="paragraph">
                        <wp:posOffset>1237484</wp:posOffset>
                      </wp:positionV>
                      <wp:extent cx="386715" cy="301625"/>
                      <wp:effectExtent l="0" t="0" r="0" b="0"/>
                      <wp:wrapNone/>
                      <wp:docPr id="14" name="Rectangle 14"/>
                      <wp:cNvGraphicFramePr/>
                      <a:graphic xmlns:a="http://schemas.openxmlformats.org/drawingml/2006/main">
                        <a:graphicData uri="http://schemas.microsoft.com/office/word/2010/wordprocessingShape">
                          <wps:wsp>
                            <wps:cNvSpPr/>
                            <wps:spPr>
                              <a:xfrm>
                                <a:off x="0" y="0"/>
                                <a:ext cx="386715" cy="301625"/>
                              </a:xfrm>
                              <a:prstGeom prst="rect">
                                <a:avLst/>
                              </a:prstGeom>
                              <a:noFill/>
                              <a:ln w="25400" cap="flat" cmpd="sng" algn="ctr">
                                <a:noFill/>
                                <a:prstDash val="solid"/>
                              </a:ln>
                              <a:effectLst/>
                            </wps:spPr>
                            <wps:txbx>
                              <w:txbxContent>
                                <w:p w14:paraId="79A84E22"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C5C1" id="Rectangle 14" o:spid="_x0000_s1035" style="position:absolute;left:0;text-align:left;margin-left:104.1pt;margin-top:97.45pt;width:30.4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" filled="f" stroked="f" strokeweight="2pt">
                      <v:textbox>
                        <w:txbxContent>
                          <w:p w14:paraId="79A84E22"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(a)</w:t>
                            </w:r>
                          </w:p>
                        </w:txbxContent>
                      </v:textbox>
                    </v:rect>
                  </w:pict>
                </mc:Fallback>
              </mc:AlternateContent>
            </w:r>
            <w:r w:rsidRPr="00E97BCA">
              <w:rPr>
                <w:rFonts w:ascii="Arial" w:hAnsi="Arial" w:cs="Arial"/>
                <w:noProof/>
                <w:sz w:val="24"/>
                <w:szCs w:val="24"/>
              </w:rPr>
              <w:drawing>
                <wp:inline distT="0" distB="0" distL="0" distR="0" wp14:anchorId="1B75C4B4" wp14:editId="1007F297">
                  <wp:extent cx="1638300" cy="154305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892" t="528" r="23432" b="55123"/>
                          <a:stretch/>
                        </pic:blipFill>
                        <pic:spPr bwMode="auto">
                          <a:xfrm>
                            <a:off x="0" y="0"/>
                            <a:ext cx="1662557" cy="1565897"/>
                          </a:xfrm>
                          <a:prstGeom prst="rect">
                            <a:avLst/>
                          </a:prstGeom>
                          <a:noFill/>
                          <a:ln>
                            <a:noFill/>
                          </a:ln>
                          <a:effectLst/>
                        </pic:spPr>
                      </pic:pic>
                    </a:graphicData>
                  </a:graphic>
                </wp:inline>
              </w:drawing>
            </w:r>
          </w:p>
        </w:tc>
        <w:tc>
          <w:tcPr>
            <w:tcW w:w="2714" w:type="dxa"/>
          </w:tcPr>
          <w:p w14:paraId="76404C6D"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68480" behindDoc="0" locked="0" layoutInCell="1" allowOverlap="1" wp14:anchorId="1BF247BD" wp14:editId="38B6D452">
                      <wp:simplePos x="0" y="0"/>
                      <wp:positionH relativeFrom="column">
                        <wp:posOffset>1263015</wp:posOffset>
                      </wp:positionH>
                      <wp:positionV relativeFrom="paragraph">
                        <wp:posOffset>1221849</wp:posOffset>
                      </wp:positionV>
                      <wp:extent cx="447040" cy="301625"/>
                      <wp:effectExtent l="0" t="0" r="0" b="0"/>
                      <wp:wrapNone/>
                      <wp:docPr id="15" name="Rectangle 15"/>
                      <wp:cNvGraphicFramePr/>
                      <a:graphic xmlns:a="http://schemas.openxmlformats.org/drawingml/2006/main">
                        <a:graphicData uri="http://schemas.microsoft.com/office/word/2010/wordprocessingShape">
                          <wps:wsp>
                            <wps:cNvSpPr/>
                            <wps:spPr>
                              <a:xfrm>
                                <a:off x="0" y="0"/>
                                <a:ext cx="447040" cy="301625"/>
                              </a:xfrm>
                              <a:prstGeom prst="rect">
                                <a:avLst/>
                              </a:prstGeom>
                              <a:noFill/>
                              <a:ln w="25400" cap="flat" cmpd="sng" algn="ctr">
                                <a:noFill/>
                                <a:prstDash val="solid"/>
                              </a:ln>
                              <a:effectLst/>
                            </wps:spPr>
                            <wps:txbx>
                              <w:txbxContent>
                                <w:p w14:paraId="159356DB"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247BD" id="Rectangle 15" o:spid="_x0000_s1036" style="position:absolute;left:0;text-align:left;margin-left:99.45pt;margin-top:96.2pt;width:35.2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" filled="f" stroked="f" strokeweight="2pt">
                      <v:textbox>
                        <w:txbxContent>
                          <w:p w14:paraId="159356DB"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(b)</w:t>
                            </w:r>
                          </w:p>
                        </w:txbxContent>
                      </v:textbox>
                    </v:rect>
                  </w:pict>
                </mc:Fallback>
              </mc:AlternateContent>
            </w:r>
            <w:r w:rsidRPr="00E97BCA">
              <w:rPr>
                <w:rFonts w:ascii="Arial" w:hAnsi="Arial" w:cs="Arial"/>
                <w:noProof/>
                <w:sz w:val="24"/>
                <w:szCs w:val="24"/>
              </w:rPr>
              <w:drawing>
                <wp:inline distT="0" distB="0" distL="0" distR="0" wp14:anchorId="58FC27E4" wp14:editId="5C932CBE">
                  <wp:extent cx="1592317" cy="1529255"/>
                  <wp:effectExtent l="0" t="0" r="8255" b="0"/>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6485" cy="1533258"/>
                          </a:xfrm>
                          <a:prstGeom prst="rect">
                            <a:avLst/>
                          </a:prstGeom>
                          <a:noFill/>
                          <a:ln>
                            <a:noFill/>
                          </a:ln>
                          <a:effectLst/>
                        </pic:spPr>
                      </pic:pic>
                    </a:graphicData>
                  </a:graphic>
                </wp:inline>
              </w:drawing>
            </w:r>
          </w:p>
        </w:tc>
        <w:tc>
          <w:tcPr>
            <w:tcW w:w="2836" w:type="dxa"/>
          </w:tcPr>
          <w:p w14:paraId="1BC0D854"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69504" behindDoc="0" locked="0" layoutInCell="1" allowOverlap="1" wp14:anchorId="152869D7" wp14:editId="4A711766">
                      <wp:simplePos x="0" y="0"/>
                      <wp:positionH relativeFrom="column">
                        <wp:posOffset>1366520</wp:posOffset>
                      </wp:positionH>
                      <wp:positionV relativeFrom="paragraph">
                        <wp:posOffset>1240790</wp:posOffset>
                      </wp:positionV>
                      <wp:extent cx="386715" cy="301625"/>
                      <wp:effectExtent l="0" t="0" r="0" b="0"/>
                      <wp:wrapNone/>
                      <wp:docPr id="16" name="Rectangle 16"/>
                      <wp:cNvGraphicFramePr/>
                      <a:graphic xmlns:a="http://schemas.openxmlformats.org/drawingml/2006/main">
                        <a:graphicData uri="http://schemas.microsoft.com/office/word/2010/wordprocessingShape">
                          <wps:wsp>
                            <wps:cNvSpPr/>
                            <wps:spPr>
                              <a:xfrm>
                                <a:off x="0" y="0"/>
                                <a:ext cx="386715" cy="301625"/>
                              </a:xfrm>
                              <a:prstGeom prst="rect">
                                <a:avLst/>
                              </a:prstGeom>
                              <a:noFill/>
                              <a:ln w="25400" cap="flat" cmpd="sng" algn="ctr">
                                <a:noFill/>
                                <a:prstDash val="solid"/>
                              </a:ln>
                              <a:effectLst/>
                            </wps:spPr>
                            <wps:txbx>
                              <w:txbxContent>
                                <w:p w14:paraId="1E2B9A50"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69D7" id="Rectangle 16" o:spid="_x0000_s1037" style="position:absolute;left:0;text-align:left;margin-left:107.6pt;margin-top:97.7pt;width:30.4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" filled="f" stroked="f" strokeweight="2pt">
                      <v:textbox>
                        <w:txbxContent>
                          <w:p w14:paraId="1E2B9A50"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(c)</w:t>
                            </w:r>
                          </w:p>
                        </w:txbxContent>
                      </v:textbox>
                    </v:rect>
                  </w:pict>
                </mc:Fallback>
              </mc:AlternateContent>
            </w:r>
            <w:r w:rsidRPr="00E97BCA">
              <w:rPr>
                <w:rFonts w:ascii="Arial" w:hAnsi="Arial" w:cs="Arial"/>
                <w:noProof/>
                <w:sz w:val="24"/>
                <w:szCs w:val="24"/>
              </w:rPr>
              <w:drawing>
                <wp:inline distT="0" distB="0" distL="0" distR="0" wp14:anchorId="6F9B8A08" wp14:editId="3D0B36EA">
                  <wp:extent cx="1655380" cy="1529255"/>
                  <wp:effectExtent l="0" t="0" r="254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583" cy="1536833"/>
                          </a:xfrm>
                          <a:prstGeom prst="rect">
                            <a:avLst/>
                          </a:prstGeom>
                          <a:noFill/>
                          <a:ln>
                            <a:noFill/>
                          </a:ln>
                          <a:effectLst/>
                        </pic:spPr>
                      </pic:pic>
                    </a:graphicData>
                  </a:graphic>
                </wp:inline>
              </w:drawing>
            </w:r>
          </w:p>
        </w:tc>
      </w:tr>
      <w:tr w:rsidR="00E97BCA" w:rsidRPr="00E97BCA" w14:paraId="05B456F9" w14:textId="77777777" w:rsidTr="00B06670">
        <w:trPr>
          <w:trHeight w:val="90"/>
        </w:trPr>
        <w:tc>
          <w:tcPr>
            <w:tcW w:w="2868" w:type="dxa"/>
          </w:tcPr>
          <w:p w14:paraId="0647FCE1" w14:textId="77777777" w:rsidR="00C071E5" w:rsidRPr="00E97BCA" w:rsidRDefault="00C071E5" w:rsidP="00E97BCA">
            <w:pPr>
              <w:spacing w:line="312" w:lineRule="auto"/>
              <w:jc w:val="center"/>
              <w:rPr>
                <w:rFonts w:ascii="Arial" w:hAnsi="Arial" w:cs="Arial"/>
                <w:sz w:val="24"/>
                <w:szCs w:val="24"/>
              </w:rPr>
            </w:pPr>
          </w:p>
        </w:tc>
        <w:tc>
          <w:tcPr>
            <w:tcW w:w="2714" w:type="dxa"/>
          </w:tcPr>
          <w:p w14:paraId="12BD018F" w14:textId="77777777" w:rsidR="00C071E5" w:rsidRPr="00E97BCA" w:rsidRDefault="00C071E5" w:rsidP="00E97BCA">
            <w:pPr>
              <w:spacing w:line="312" w:lineRule="auto"/>
              <w:jc w:val="center"/>
              <w:rPr>
                <w:rFonts w:ascii="Arial" w:hAnsi="Arial" w:cs="Arial"/>
                <w:sz w:val="24"/>
                <w:szCs w:val="24"/>
              </w:rPr>
            </w:pPr>
          </w:p>
        </w:tc>
        <w:tc>
          <w:tcPr>
            <w:tcW w:w="2836" w:type="dxa"/>
          </w:tcPr>
          <w:p w14:paraId="77F178CD" w14:textId="77777777" w:rsidR="00C071E5" w:rsidRPr="00E97BCA" w:rsidRDefault="00C071E5" w:rsidP="00E97BCA">
            <w:pPr>
              <w:spacing w:line="312" w:lineRule="auto"/>
              <w:jc w:val="center"/>
              <w:rPr>
                <w:rFonts w:ascii="Arial" w:hAnsi="Arial" w:cs="Arial"/>
                <w:sz w:val="24"/>
                <w:szCs w:val="24"/>
              </w:rPr>
            </w:pPr>
          </w:p>
        </w:tc>
      </w:tr>
      <w:tr w:rsidR="00E97BCA" w:rsidRPr="00E97BCA" w14:paraId="293881E1" w14:textId="77777777" w:rsidTr="00B06670">
        <w:trPr>
          <w:trHeight w:val="2140"/>
        </w:trPr>
        <w:tc>
          <w:tcPr>
            <w:tcW w:w="2868" w:type="dxa"/>
          </w:tcPr>
          <w:p w14:paraId="727943BA"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0528" behindDoc="0" locked="0" layoutInCell="1" allowOverlap="1" wp14:anchorId="724678F6" wp14:editId="149B59ED">
                      <wp:simplePos x="0" y="0"/>
                      <wp:positionH relativeFrom="column">
                        <wp:posOffset>1347470</wp:posOffset>
                      </wp:positionH>
                      <wp:positionV relativeFrom="paragraph">
                        <wp:posOffset>1297940</wp:posOffset>
                      </wp:positionV>
                      <wp:extent cx="464185" cy="301625"/>
                      <wp:effectExtent l="0" t="0" r="0" b="0"/>
                      <wp:wrapNone/>
                      <wp:docPr id="18" name="Rectangle 18"/>
                      <wp:cNvGraphicFramePr/>
                      <a:graphic xmlns:a="http://schemas.openxmlformats.org/drawingml/2006/main">
                        <a:graphicData uri="http://schemas.microsoft.com/office/word/2010/wordprocessingShape">
                          <wps:wsp>
                            <wps:cNvSpPr/>
                            <wps:spPr>
                              <a:xfrm>
                                <a:off x="0" y="0"/>
                                <a:ext cx="464185" cy="301625"/>
                              </a:xfrm>
                              <a:prstGeom prst="rect">
                                <a:avLst/>
                              </a:prstGeom>
                              <a:noFill/>
                              <a:ln w="25400" cap="flat" cmpd="sng" algn="ctr">
                                <a:noFill/>
                                <a:prstDash val="solid"/>
                              </a:ln>
                              <a:effectLst/>
                            </wps:spPr>
                            <wps:txbx>
                              <w:txbxContent>
                                <w:p w14:paraId="67E48EBD"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78F6" id="Rectangle 18" o:spid="_x0000_s1038" style="position:absolute;left:0;text-align:left;margin-left:106.1pt;margin-top:102.2pt;width:36.55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" filled="f" stroked="f" strokeweight="2pt">
                      <v:textbox>
                        <w:txbxContent>
                          <w:p w14:paraId="67E48EBD"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(d)</w:t>
                            </w:r>
                          </w:p>
                        </w:txbxContent>
                      </v:textbox>
                    </v:rect>
                  </w:pict>
                </mc:Fallback>
              </mc:AlternateContent>
            </w:r>
            <w:r w:rsidRPr="00E97BCA">
              <w:rPr>
                <w:rFonts w:ascii="Arial" w:hAnsi="Arial" w:cs="Arial"/>
                <w:noProof/>
                <w:sz w:val="24"/>
                <w:szCs w:val="24"/>
              </w:rPr>
              <w:drawing>
                <wp:inline distT="0" distB="0" distL="0" distR="0" wp14:anchorId="26D58395" wp14:editId="6825C497">
                  <wp:extent cx="1663065" cy="1586756"/>
                  <wp:effectExtent l="0" t="0" r="0" b="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26509"/>
                          <a:stretch/>
                        </pic:blipFill>
                        <pic:spPr bwMode="auto">
                          <a:xfrm>
                            <a:off x="0" y="0"/>
                            <a:ext cx="1675300" cy="159843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714" w:type="dxa"/>
          </w:tcPr>
          <w:p w14:paraId="31283C65" w14:textId="77777777" w:rsidR="00C071E5" w:rsidRPr="00E97BCA" w:rsidRDefault="001347CA"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1552" behindDoc="0" locked="0" layoutInCell="1" allowOverlap="1" wp14:anchorId="0BF3D06A" wp14:editId="238F3A24">
                      <wp:simplePos x="0" y="0"/>
                      <wp:positionH relativeFrom="column">
                        <wp:posOffset>1310640</wp:posOffset>
                      </wp:positionH>
                      <wp:positionV relativeFrom="paragraph">
                        <wp:posOffset>1304925</wp:posOffset>
                      </wp:positionV>
                      <wp:extent cx="464185" cy="301625"/>
                      <wp:effectExtent l="0" t="0" r="0" b="0"/>
                      <wp:wrapNone/>
                      <wp:docPr id="19" name="Rectangle 19"/>
                      <wp:cNvGraphicFramePr/>
                      <a:graphic xmlns:a="http://schemas.openxmlformats.org/drawingml/2006/main">
                        <a:graphicData uri="http://schemas.microsoft.com/office/word/2010/wordprocessingShape">
                          <wps:wsp>
                            <wps:cNvSpPr/>
                            <wps:spPr>
                              <a:xfrm>
                                <a:off x="0" y="0"/>
                                <a:ext cx="464185" cy="301625"/>
                              </a:xfrm>
                              <a:prstGeom prst="rect">
                                <a:avLst/>
                              </a:prstGeom>
                              <a:noFill/>
                              <a:ln w="25400" cap="flat" cmpd="sng" algn="ctr">
                                <a:noFill/>
                                <a:prstDash val="solid"/>
                              </a:ln>
                              <a:effectLst/>
                            </wps:spPr>
                            <wps:txbx>
                              <w:txbxContent>
                                <w:p w14:paraId="58258BD1" w14:textId="77777777" w:rsidR="00C071E5" w:rsidRPr="00817970" w:rsidRDefault="00C071E5" w:rsidP="00C071E5">
                                  <w:pPr>
                                    <w:rPr>
                                      <w:rFonts w:ascii="Times New Roman" w:hAnsi="Times New Roman"/>
                                      <w:b/>
                                      <w:color w:val="FFFFFF" w:themeColor="background1"/>
                                      <w:sz w:val="24"/>
                                      <w:szCs w:val="24"/>
                                    </w:rPr>
                                  </w:pPr>
                                  <w:r>
                                    <w:rPr>
                                      <w:rFonts w:ascii="Times New Roman" w:hAnsi="Times New Roman"/>
                                      <w:b/>
                                      <w:color w:val="FFFFFF" w:themeColor="background1"/>
                                      <w:sz w:val="24"/>
                                      <w:szCs w:val="24"/>
                                    </w:rPr>
                                    <w:t>(e</w:t>
                                  </w:r>
                                  <w:r w:rsidRPr="00817970">
                                    <w:rPr>
                                      <w:rFonts w:ascii="Times New Roman" w:hAnsi="Times New Roman"/>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D06A" id="Rectangle 19" o:spid="_x0000_s1039" style="position:absolute;left:0;text-align:left;margin-left:103.2pt;margin-top:102.75pt;width:36.5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" filled="f" stroked="f" strokeweight="2pt">
                      <v:textbox>
                        <w:txbxContent>
                          <w:p w14:paraId="58258BD1" w14:textId="77777777" w:rsidR="00C071E5" w:rsidRPr="00817970" w:rsidRDefault="00C071E5" w:rsidP="00C071E5">
                            <w:pPr>
                              <w:rPr>
                                <w:rFonts w:ascii="Times New Roman" w:hAnsi="Times New Roman"/>
                                <w:b/>
                                <w:color w:val="FFFFFF" w:themeColor="background1"/>
                                <w:sz w:val="24"/>
                                <w:szCs w:val="24"/>
                              </w:rPr>
                            </w:pPr>
                            <w:r>
                              <w:rPr>
                                <w:rFonts w:ascii="Times New Roman" w:hAnsi="Times New Roman"/>
                                <w:b/>
                                <w:color w:val="FFFFFF" w:themeColor="background1"/>
                                <w:sz w:val="24"/>
                                <w:szCs w:val="24"/>
                              </w:rPr>
                              <w:t>(e</w:t>
                            </w:r>
                            <w:r w:rsidRPr="00817970">
                              <w:rPr>
                                <w:rFonts w:ascii="Times New Roman" w:hAnsi="Times New Roman"/>
                                <w:b/>
                                <w:color w:val="FFFFFF" w:themeColor="background1"/>
                                <w:sz w:val="24"/>
                                <w:szCs w:val="24"/>
                              </w:rPr>
                              <w:t>)</w:t>
                            </w:r>
                          </w:p>
                        </w:txbxContent>
                      </v:textbox>
                    </v:rect>
                  </w:pict>
                </mc:Fallback>
              </mc:AlternateContent>
            </w:r>
            <w:r w:rsidR="00C071E5" w:rsidRPr="00E97BCA">
              <w:rPr>
                <w:rFonts w:ascii="Arial" w:hAnsi="Arial" w:cs="Arial"/>
                <w:noProof/>
                <w:sz w:val="24"/>
                <w:szCs w:val="24"/>
              </w:rPr>
              <w:drawing>
                <wp:inline distT="0" distB="0" distL="0" distR="0" wp14:anchorId="48B6436E" wp14:editId="1345B053">
                  <wp:extent cx="1644292" cy="1590675"/>
                  <wp:effectExtent l="0" t="0" r="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312"/>
                          <a:stretch/>
                        </pic:blipFill>
                        <pic:spPr bwMode="auto">
                          <a:xfrm>
                            <a:off x="0" y="0"/>
                            <a:ext cx="1648512" cy="1594757"/>
                          </a:xfrm>
                          <a:prstGeom prst="rect">
                            <a:avLst/>
                          </a:prstGeom>
                          <a:noFill/>
                          <a:ln>
                            <a:noFill/>
                          </a:ln>
                          <a:effectLst/>
                        </pic:spPr>
                      </pic:pic>
                    </a:graphicData>
                  </a:graphic>
                </wp:inline>
              </w:drawing>
            </w:r>
          </w:p>
        </w:tc>
        <w:tc>
          <w:tcPr>
            <w:tcW w:w="2836" w:type="dxa"/>
          </w:tcPr>
          <w:p w14:paraId="6FA1B20D"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2576" behindDoc="0" locked="0" layoutInCell="1" allowOverlap="1" wp14:anchorId="738A2010" wp14:editId="14FD03B2">
                      <wp:simplePos x="0" y="0"/>
                      <wp:positionH relativeFrom="column">
                        <wp:posOffset>1386205</wp:posOffset>
                      </wp:positionH>
                      <wp:positionV relativeFrom="paragraph">
                        <wp:posOffset>1332230</wp:posOffset>
                      </wp:positionV>
                      <wp:extent cx="464353" cy="301625"/>
                      <wp:effectExtent l="0" t="0" r="0" b="0"/>
                      <wp:wrapNone/>
                      <wp:docPr id="20" name="Rectangle 20"/>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2B0FCE9C"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A2010" id="Rectangle 20" o:spid="_x0000_s1040" style="position:absolute;left:0;text-align:left;margin-left:109.15pt;margin-top:104.9pt;width:36.5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" filled="f" stroked="f" strokeweight="2pt">
                      <v:textbox>
                        <w:txbxContent>
                          <w:p w14:paraId="2B0FCE9C" w14:textId="77777777" w:rsidR="00C071E5" w:rsidRPr="001347CA" w:rsidRDefault="00C071E5" w:rsidP="00C071E5">
                            <w:pPr>
                              <w:rPr>
                                <w:rFonts w:ascii="Arial" w:hAnsi="Arial" w:cs="Arial"/>
                                <w:b/>
                                <w:color w:val="FFFFFF" w:themeColor="background1"/>
                              </w:rPr>
                            </w:pPr>
                            <w:r w:rsidRPr="001347CA">
                              <w:rPr>
                                <w:rFonts w:ascii="Arial" w:hAnsi="Arial" w:cs="Arial"/>
                                <w:b/>
                                <w:color w:val="FFFFFF" w:themeColor="background1"/>
                              </w:rPr>
                              <w:t>(f)</w:t>
                            </w:r>
                          </w:p>
                        </w:txbxContent>
                      </v:textbox>
                    </v:rect>
                  </w:pict>
                </mc:Fallback>
              </mc:AlternateContent>
            </w:r>
            <w:r w:rsidRPr="00E97BCA">
              <w:rPr>
                <w:rFonts w:ascii="Arial" w:hAnsi="Arial" w:cs="Arial"/>
                <w:noProof/>
                <w:sz w:val="24"/>
                <w:szCs w:val="24"/>
              </w:rPr>
              <w:drawing>
                <wp:inline distT="0" distB="0" distL="0" distR="0" wp14:anchorId="49837D22" wp14:editId="54646767">
                  <wp:extent cx="1676464" cy="1590675"/>
                  <wp:effectExtent l="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91" b="28212"/>
                          <a:stretch/>
                        </pic:blipFill>
                        <pic:spPr bwMode="auto">
                          <a:xfrm>
                            <a:off x="0" y="0"/>
                            <a:ext cx="1690031" cy="1603548"/>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E97BCA" w:rsidRPr="00E97BCA" w14:paraId="089E7321" w14:textId="77777777" w:rsidTr="00B06670">
        <w:trPr>
          <w:trHeight w:val="351"/>
        </w:trPr>
        <w:tc>
          <w:tcPr>
            <w:tcW w:w="2868" w:type="dxa"/>
          </w:tcPr>
          <w:p w14:paraId="77DB509A" w14:textId="77777777" w:rsidR="00C071E5" w:rsidRPr="00E97BCA" w:rsidRDefault="00C071E5" w:rsidP="00E97BCA">
            <w:pPr>
              <w:spacing w:line="312" w:lineRule="auto"/>
              <w:jc w:val="center"/>
              <w:rPr>
                <w:rFonts w:ascii="Arial" w:hAnsi="Arial" w:cs="Arial"/>
                <w:sz w:val="24"/>
                <w:szCs w:val="24"/>
              </w:rPr>
            </w:pPr>
          </w:p>
        </w:tc>
        <w:tc>
          <w:tcPr>
            <w:tcW w:w="2714" w:type="dxa"/>
          </w:tcPr>
          <w:p w14:paraId="33B0292B" w14:textId="77777777" w:rsidR="00C071E5" w:rsidRPr="00E97BCA" w:rsidRDefault="00C071E5" w:rsidP="00E97BCA">
            <w:pPr>
              <w:spacing w:line="312" w:lineRule="auto"/>
              <w:jc w:val="center"/>
              <w:rPr>
                <w:rFonts w:ascii="Arial" w:hAnsi="Arial" w:cs="Arial"/>
                <w:b/>
                <w:sz w:val="24"/>
                <w:szCs w:val="24"/>
              </w:rPr>
            </w:pPr>
          </w:p>
        </w:tc>
        <w:tc>
          <w:tcPr>
            <w:tcW w:w="2836" w:type="dxa"/>
          </w:tcPr>
          <w:p w14:paraId="08282EF7" w14:textId="77777777" w:rsidR="00C071E5" w:rsidRPr="00E97BCA" w:rsidRDefault="00C071E5" w:rsidP="00E97BCA">
            <w:pPr>
              <w:tabs>
                <w:tab w:val="left" w:pos="1323"/>
              </w:tabs>
              <w:spacing w:line="312" w:lineRule="auto"/>
              <w:jc w:val="center"/>
              <w:rPr>
                <w:rFonts w:ascii="Arial" w:hAnsi="Arial" w:cs="Arial"/>
                <w:sz w:val="24"/>
                <w:szCs w:val="24"/>
              </w:rPr>
            </w:pPr>
          </w:p>
        </w:tc>
      </w:tr>
      <w:tr w:rsidR="00E97BCA" w:rsidRPr="00E97BCA" w14:paraId="2C5E401F" w14:textId="77777777" w:rsidTr="00B06670">
        <w:trPr>
          <w:trHeight w:val="1818"/>
        </w:trPr>
        <w:tc>
          <w:tcPr>
            <w:tcW w:w="2868" w:type="dxa"/>
          </w:tcPr>
          <w:p w14:paraId="41B371B6"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3600" behindDoc="0" locked="0" layoutInCell="1" allowOverlap="1" wp14:anchorId="2ADFC365" wp14:editId="6557BF86">
                      <wp:simplePos x="0" y="0"/>
                      <wp:positionH relativeFrom="column">
                        <wp:posOffset>1358265</wp:posOffset>
                      </wp:positionH>
                      <wp:positionV relativeFrom="paragraph">
                        <wp:posOffset>1250637</wp:posOffset>
                      </wp:positionV>
                      <wp:extent cx="464353" cy="301625"/>
                      <wp:effectExtent l="0" t="0" r="0" b="0"/>
                      <wp:wrapNone/>
                      <wp:docPr id="21" name="Rectangle 21"/>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01310820" w14:textId="77777777" w:rsidR="00C071E5" w:rsidRPr="00C071E5" w:rsidRDefault="00C071E5" w:rsidP="00C071E5">
                                  <w:pPr>
                                    <w:rPr>
                                      <w:rFonts w:ascii="Arial" w:hAnsi="Arial" w:cs="Arial"/>
                                      <w:b/>
                                      <w:color w:val="FFFFFF" w:themeColor="background1"/>
                                    </w:rPr>
                                  </w:pPr>
                                  <w:r w:rsidRPr="00C071E5">
                                    <w:rPr>
                                      <w:rFonts w:ascii="Arial" w:hAnsi="Arial" w:cs="Arial"/>
                                      <w:b/>
                                      <w:color w:val="FFFFFF" w:themeColor="background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FC365" id="Rectangle 21" o:spid="_x0000_s1041" style="position:absolute;left:0;text-align:left;margin-left:106.95pt;margin-top:98.5pt;width:36.5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" filled="f" stroked="f" strokeweight="2pt">
                      <v:textbox>
                        <w:txbxContent>
                          <w:p w14:paraId="01310820" w14:textId="77777777" w:rsidR="00C071E5" w:rsidRPr="00C071E5" w:rsidRDefault="00C071E5" w:rsidP="00C071E5">
                            <w:pPr>
                              <w:rPr>
                                <w:rFonts w:ascii="Arial" w:hAnsi="Arial" w:cs="Arial"/>
                                <w:b/>
                                <w:color w:val="FFFFFF" w:themeColor="background1"/>
                              </w:rPr>
                            </w:pPr>
                            <w:r w:rsidRPr="00C071E5">
                              <w:rPr>
                                <w:rFonts w:ascii="Arial" w:hAnsi="Arial" w:cs="Arial"/>
                                <w:b/>
                                <w:color w:val="FFFFFF" w:themeColor="background1"/>
                              </w:rPr>
                              <w:t>(g)</w:t>
                            </w:r>
                          </w:p>
                        </w:txbxContent>
                      </v:textbox>
                    </v:rect>
                  </w:pict>
                </mc:Fallback>
              </mc:AlternateContent>
            </w:r>
            <w:r w:rsidRPr="00E97BCA">
              <w:rPr>
                <w:rFonts w:ascii="Arial" w:hAnsi="Arial" w:cs="Arial"/>
                <w:noProof/>
                <w:sz w:val="24"/>
                <w:szCs w:val="24"/>
              </w:rPr>
              <w:drawing>
                <wp:inline distT="0" distB="0" distL="0" distR="0" wp14:anchorId="725B5C9B" wp14:editId="35FC99D9">
                  <wp:extent cx="1647825" cy="1543050"/>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4034" cy="1548864"/>
                          </a:xfrm>
                          <a:prstGeom prst="rect">
                            <a:avLst/>
                          </a:prstGeom>
                          <a:noFill/>
                          <a:ln>
                            <a:noFill/>
                          </a:ln>
                          <a:effectLst/>
                        </pic:spPr>
                      </pic:pic>
                    </a:graphicData>
                  </a:graphic>
                </wp:inline>
              </w:drawing>
            </w:r>
          </w:p>
        </w:tc>
        <w:tc>
          <w:tcPr>
            <w:tcW w:w="2714" w:type="dxa"/>
          </w:tcPr>
          <w:p w14:paraId="1C1E19DA"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4624" behindDoc="0" locked="0" layoutInCell="1" allowOverlap="1" wp14:anchorId="36A6F745" wp14:editId="3E68D8F3">
                      <wp:simplePos x="0" y="0"/>
                      <wp:positionH relativeFrom="column">
                        <wp:posOffset>1281108</wp:posOffset>
                      </wp:positionH>
                      <wp:positionV relativeFrom="paragraph">
                        <wp:posOffset>1271905</wp:posOffset>
                      </wp:positionV>
                      <wp:extent cx="464353" cy="301625"/>
                      <wp:effectExtent l="0" t="0" r="0" b="0"/>
                      <wp:wrapNone/>
                      <wp:docPr id="23" name="Rectangle 23"/>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21659C60" w14:textId="77777777" w:rsidR="00C071E5" w:rsidRPr="00C071E5" w:rsidRDefault="00C071E5" w:rsidP="00C071E5">
                                  <w:pPr>
                                    <w:rPr>
                                      <w:rFonts w:ascii="Arial" w:hAnsi="Arial" w:cs="Arial"/>
                                      <w:b/>
                                      <w:color w:val="FFFFFF" w:themeColor="background1"/>
                                    </w:rPr>
                                  </w:pPr>
                                  <w:r w:rsidRPr="00C071E5">
                                    <w:rPr>
                                      <w:rFonts w:ascii="Arial" w:hAnsi="Arial" w:cs="Arial"/>
                                      <w:b/>
                                      <w:color w:val="FFFFFF" w:themeColor="background1"/>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6F745" id="Rectangle 23" o:spid="_x0000_s1042" style="position:absolute;left:0;text-align:left;margin-left:100.85pt;margin-top:100.15pt;width:36.5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" filled="f" stroked="f" strokeweight="2pt">
                      <v:textbox>
                        <w:txbxContent>
                          <w:p w14:paraId="21659C60" w14:textId="77777777" w:rsidR="00C071E5" w:rsidRPr="00C071E5" w:rsidRDefault="00C071E5" w:rsidP="00C071E5">
                            <w:pPr>
                              <w:rPr>
                                <w:rFonts w:ascii="Arial" w:hAnsi="Arial" w:cs="Arial"/>
                                <w:b/>
                                <w:color w:val="FFFFFF" w:themeColor="background1"/>
                              </w:rPr>
                            </w:pPr>
                            <w:r w:rsidRPr="00C071E5">
                              <w:rPr>
                                <w:rFonts w:ascii="Arial" w:hAnsi="Arial" w:cs="Arial"/>
                                <w:b/>
                                <w:color w:val="FFFFFF" w:themeColor="background1"/>
                              </w:rPr>
                              <w:t>(h)</w:t>
                            </w:r>
                          </w:p>
                        </w:txbxContent>
                      </v:textbox>
                    </v:rect>
                  </w:pict>
                </mc:Fallback>
              </mc:AlternateContent>
            </w:r>
            <w:r w:rsidRPr="00E97BCA">
              <w:rPr>
                <w:rFonts w:ascii="Arial" w:hAnsi="Arial" w:cs="Arial"/>
                <w:noProof/>
                <w:sz w:val="24"/>
                <w:szCs w:val="24"/>
              </w:rPr>
              <w:drawing>
                <wp:inline distT="0" distB="0" distL="0" distR="0" wp14:anchorId="5757B5AC" wp14:editId="5AE167B1">
                  <wp:extent cx="1609317" cy="1543050"/>
                  <wp:effectExtent l="0" t="0" r="0" b="0"/>
                  <wp:docPr id="3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89"/>
                          <a:stretch/>
                        </pic:blipFill>
                        <pic:spPr bwMode="auto">
                          <a:xfrm>
                            <a:off x="0" y="0"/>
                            <a:ext cx="1623811" cy="155694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836" w:type="dxa"/>
          </w:tcPr>
          <w:p w14:paraId="49D285A7"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5648" behindDoc="0" locked="0" layoutInCell="1" allowOverlap="1" wp14:anchorId="1453D3D6" wp14:editId="6EF266BF">
                      <wp:simplePos x="0" y="0"/>
                      <wp:positionH relativeFrom="column">
                        <wp:posOffset>1367155</wp:posOffset>
                      </wp:positionH>
                      <wp:positionV relativeFrom="paragraph">
                        <wp:posOffset>1262693</wp:posOffset>
                      </wp:positionV>
                      <wp:extent cx="464353" cy="301625"/>
                      <wp:effectExtent l="0" t="0" r="0" b="0"/>
                      <wp:wrapNone/>
                      <wp:docPr id="24" name="Rectangle 24"/>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1AB2C22A" w14:textId="77777777" w:rsidR="00C071E5" w:rsidRPr="00C071E5" w:rsidRDefault="00C071E5" w:rsidP="00C071E5">
                                  <w:pPr>
                                    <w:rPr>
                                      <w:rFonts w:ascii="Arial" w:hAnsi="Arial" w:cs="Arial"/>
                                      <w:b/>
                                      <w:color w:val="FFFFFF" w:themeColor="background1"/>
                                    </w:rPr>
                                  </w:pPr>
                                  <w:r w:rsidRPr="00C071E5">
                                    <w:rPr>
                                      <w:rFonts w:ascii="Arial" w:hAnsi="Arial" w:cs="Arial"/>
                                      <w:b/>
                                      <w:color w:val="FFFFFF" w:themeColor="background1"/>
                                    </w:rPr>
                                    <w:t>(</w:t>
                                  </w:r>
                                  <w:proofErr w:type="spellStart"/>
                                  <w:r w:rsidRPr="00C071E5">
                                    <w:rPr>
                                      <w:rFonts w:ascii="Arial" w:hAnsi="Arial" w:cs="Arial"/>
                                      <w:b/>
                                      <w:color w:val="FFFFFF" w:themeColor="background1"/>
                                    </w:rPr>
                                    <w:t>i</w:t>
                                  </w:r>
                                  <w:proofErr w:type="spellEnd"/>
                                  <w:r w:rsidRPr="00C071E5">
                                    <w:rPr>
                                      <w:rFonts w:ascii="Arial" w:hAnsi="Arial" w:cs="Arial"/>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3D3D6" id="Rectangle 24" o:spid="_x0000_s1043" style="position:absolute;left:0;text-align:left;margin-left:107.65pt;margin-top:99.4pt;width:36.55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" filled="f" stroked="f" strokeweight="2pt">
                      <v:textbox>
                        <w:txbxContent>
                          <w:p w14:paraId="1AB2C22A" w14:textId="77777777" w:rsidR="00C071E5" w:rsidRPr="00C071E5" w:rsidRDefault="00C071E5" w:rsidP="00C071E5">
                            <w:pPr>
                              <w:rPr>
                                <w:rFonts w:ascii="Arial" w:hAnsi="Arial" w:cs="Arial"/>
                                <w:b/>
                                <w:color w:val="FFFFFF" w:themeColor="background1"/>
                              </w:rPr>
                            </w:pPr>
                            <w:r w:rsidRPr="00C071E5">
                              <w:rPr>
                                <w:rFonts w:ascii="Arial" w:hAnsi="Arial" w:cs="Arial"/>
                                <w:b/>
                                <w:color w:val="FFFFFF" w:themeColor="background1"/>
                              </w:rPr>
                              <w:t>(</w:t>
                            </w:r>
                            <w:proofErr w:type="spellStart"/>
                            <w:r w:rsidRPr="00C071E5">
                              <w:rPr>
                                <w:rFonts w:ascii="Arial" w:hAnsi="Arial" w:cs="Arial"/>
                                <w:b/>
                                <w:color w:val="FFFFFF" w:themeColor="background1"/>
                              </w:rPr>
                              <w:t>i</w:t>
                            </w:r>
                            <w:proofErr w:type="spellEnd"/>
                            <w:r w:rsidRPr="00C071E5">
                              <w:rPr>
                                <w:rFonts w:ascii="Arial" w:hAnsi="Arial" w:cs="Arial"/>
                                <w:b/>
                                <w:color w:val="FFFFFF" w:themeColor="background1"/>
                              </w:rPr>
                              <w:t>)</w:t>
                            </w:r>
                          </w:p>
                        </w:txbxContent>
                      </v:textbox>
                    </v:rect>
                  </w:pict>
                </mc:Fallback>
              </mc:AlternateContent>
            </w:r>
            <w:r w:rsidRPr="00E97BCA">
              <w:rPr>
                <w:rFonts w:ascii="Arial" w:hAnsi="Arial" w:cs="Arial"/>
                <w:noProof/>
                <w:sz w:val="24"/>
                <w:szCs w:val="24"/>
              </w:rPr>
              <w:drawing>
                <wp:inline distT="0" distB="0" distL="0" distR="0" wp14:anchorId="645C9B74" wp14:editId="4FC4AAE6">
                  <wp:extent cx="1654572" cy="1543050"/>
                  <wp:effectExtent l="0" t="0" r="317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680" b="27207"/>
                          <a:stretch/>
                        </pic:blipFill>
                        <pic:spPr bwMode="auto">
                          <a:xfrm>
                            <a:off x="0" y="0"/>
                            <a:ext cx="1661926" cy="1549908"/>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36CEA0AE" w14:textId="77777777" w:rsidR="00C071E5" w:rsidRPr="00E97BCA" w:rsidRDefault="00C071E5" w:rsidP="00E97BCA">
      <w:pPr>
        <w:tabs>
          <w:tab w:val="left" w:pos="2357"/>
        </w:tabs>
        <w:spacing w:line="312" w:lineRule="auto"/>
        <w:ind w:left="810" w:right="58" w:hanging="767"/>
        <w:jc w:val="both"/>
        <w:rPr>
          <w:rFonts w:ascii="Arial" w:hAnsi="Arial" w:cs="Arial"/>
        </w:rPr>
      </w:pPr>
      <w:r w:rsidRPr="00E97BCA">
        <w:rPr>
          <w:rFonts w:ascii="Arial" w:hAnsi="Arial" w:cs="Arial"/>
        </w:rPr>
        <w:t xml:space="preserve">Plate </w:t>
      </w:r>
      <w:proofErr w:type="gramStart"/>
      <w:r w:rsidRPr="00E97BCA">
        <w:rPr>
          <w:rFonts w:ascii="Arial" w:hAnsi="Arial" w:cs="Arial"/>
        </w:rPr>
        <w:t>4  Heterokaryon</w:t>
      </w:r>
      <w:proofErr w:type="gramEnd"/>
      <w:r w:rsidRPr="00E97BCA">
        <w:rPr>
          <w:rFonts w:ascii="Arial" w:hAnsi="Arial" w:cs="Arial"/>
        </w:rPr>
        <w:t xml:space="preserve"> development (a line of dense mycelial growth) between </w:t>
      </w:r>
      <w:r w:rsidRPr="00E97BCA">
        <w:rPr>
          <w:rFonts w:ascii="Arial" w:hAnsi="Arial" w:cs="Arial"/>
          <w:i/>
        </w:rPr>
        <w:t>nit</w:t>
      </w:r>
      <w:r w:rsidRPr="00E97BCA">
        <w:rPr>
          <w:rFonts w:ascii="Arial" w:hAnsi="Arial" w:cs="Arial"/>
        </w:rPr>
        <w:t xml:space="preserve">-mutants of </w:t>
      </w:r>
      <w:proofErr w:type="spellStart"/>
      <w:r w:rsidRPr="00E97BCA">
        <w:rPr>
          <w:rFonts w:ascii="Arial" w:hAnsi="Arial" w:cs="Arial"/>
        </w:rPr>
        <w:t>vegetatively</w:t>
      </w:r>
      <w:proofErr w:type="spellEnd"/>
      <w:r w:rsidRPr="00E97BCA">
        <w:rPr>
          <w:rFonts w:ascii="Arial" w:hAnsi="Arial" w:cs="Arial"/>
        </w:rPr>
        <w:t xml:space="preserve"> compatible strains of respective </w:t>
      </w:r>
      <w:proofErr w:type="spellStart"/>
      <w:r w:rsidRPr="00E97BCA">
        <w:rPr>
          <w:rFonts w:ascii="Arial" w:hAnsi="Arial" w:cs="Arial"/>
          <w:i/>
        </w:rPr>
        <w:t>Foc</w:t>
      </w:r>
      <w:proofErr w:type="spellEnd"/>
      <w:r w:rsidRPr="00E97BCA">
        <w:rPr>
          <w:rFonts w:ascii="Arial" w:hAnsi="Arial" w:cs="Arial"/>
        </w:rPr>
        <w:t xml:space="preserve"> isolates belonging to: (a-e) VCGs 0124 in (a) </w:t>
      </w:r>
      <w:r w:rsidRPr="00E97BCA">
        <w:rPr>
          <w:rFonts w:ascii="Arial" w:hAnsi="Arial" w:cs="Arial"/>
          <w:bCs/>
        </w:rPr>
        <w:t xml:space="preserve">Myitthar-1, (b) </w:t>
      </w:r>
      <w:r w:rsidRPr="00E97BCA">
        <w:rPr>
          <w:rFonts w:ascii="Arial" w:hAnsi="Arial" w:cs="Arial"/>
          <w:kern w:val="24"/>
        </w:rPr>
        <w:t>Kyaukpadaung-1</w:t>
      </w:r>
      <w:r w:rsidRPr="00E97BCA">
        <w:rPr>
          <w:rFonts w:ascii="Arial" w:hAnsi="Arial" w:cs="Arial"/>
          <w:bCs/>
        </w:rPr>
        <w:t xml:space="preserve">, </w:t>
      </w:r>
      <w:r w:rsidRPr="00E97BCA">
        <w:rPr>
          <w:rFonts w:ascii="Arial" w:hAnsi="Arial" w:cs="Arial"/>
        </w:rPr>
        <w:t xml:space="preserve">(c) </w:t>
      </w:r>
      <w:r w:rsidRPr="00E97BCA">
        <w:rPr>
          <w:rFonts w:ascii="Arial" w:hAnsi="Arial" w:cs="Arial"/>
          <w:kern w:val="24"/>
        </w:rPr>
        <w:t>Pyinmana-1,</w:t>
      </w:r>
      <w:r w:rsidRPr="00E97BCA">
        <w:rPr>
          <w:rFonts w:ascii="Arial" w:hAnsi="Arial" w:cs="Arial"/>
          <w:bCs/>
        </w:rPr>
        <w:t xml:space="preserve"> (d) Lewe-1, (e) Zeyarthiri-3</w:t>
      </w:r>
      <w:r w:rsidRPr="00E97BCA">
        <w:rPr>
          <w:rFonts w:ascii="Arial" w:hAnsi="Arial" w:cs="Arial"/>
        </w:rPr>
        <w:t xml:space="preserve">; (f) VCGs 0125 in </w:t>
      </w:r>
      <w:r w:rsidRPr="00E97BCA">
        <w:rPr>
          <w:rFonts w:ascii="Arial" w:hAnsi="Arial" w:cs="Arial"/>
          <w:bCs/>
        </w:rPr>
        <w:t>Pyinmana-4</w:t>
      </w:r>
      <w:r w:rsidRPr="00E97BCA">
        <w:rPr>
          <w:rFonts w:ascii="Arial" w:hAnsi="Arial" w:cs="Arial"/>
        </w:rPr>
        <w:t>; (g-</w:t>
      </w:r>
      <w:proofErr w:type="spellStart"/>
      <w:r w:rsidRPr="00E97BCA">
        <w:rPr>
          <w:rFonts w:ascii="Arial" w:hAnsi="Arial" w:cs="Arial"/>
        </w:rPr>
        <w:t>i</w:t>
      </w:r>
      <w:proofErr w:type="spellEnd"/>
      <w:r w:rsidRPr="00E97BCA">
        <w:rPr>
          <w:rFonts w:ascii="Arial" w:hAnsi="Arial" w:cs="Arial"/>
        </w:rPr>
        <w:t xml:space="preserve">) VCGs 0124/0125 complex in (g) </w:t>
      </w:r>
      <w:r w:rsidRPr="00E97BCA">
        <w:rPr>
          <w:rFonts w:ascii="Arial" w:hAnsi="Arial" w:cs="Arial"/>
          <w:bCs/>
        </w:rPr>
        <w:t>Kyonpyaw-1, (h) Myitthar-2, (</w:t>
      </w:r>
      <w:proofErr w:type="spellStart"/>
      <w:r w:rsidRPr="00E97BCA">
        <w:rPr>
          <w:rFonts w:ascii="Arial" w:hAnsi="Arial" w:cs="Arial"/>
          <w:bCs/>
        </w:rPr>
        <w:t>i</w:t>
      </w:r>
      <w:proofErr w:type="spellEnd"/>
      <w:r w:rsidRPr="00E97BCA">
        <w:rPr>
          <w:rFonts w:ascii="Arial" w:hAnsi="Arial" w:cs="Arial"/>
          <w:bCs/>
        </w:rPr>
        <w:t xml:space="preserve">) Pobbathiri-1. </w:t>
      </w:r>
      <w:r w:rsidRPr="00E97BCA">
        <w:rPr>
          <w:rFonts w:ascii="Arial" w:hAnsi="Arial" w:cs="Arial"/>
        </w:rPr>
        <w:t>Cultures are 10 days old.</w:t>
      </w:r>
    </w:p>
    <w:p w14:paraId="2FF70EA0" w14:textId="77777777" w:rsidR="00C071E5" w:rsidRPr="00E97BCA" w:rsidRDefault="00C071E5" w:rsidP="00E97BCA">
      <w:pPr>
        <w:autoSpaceDE w:val="0"/>
        <w:autoSpaceDN w:val="0"/>
        <w:adjustRightInd w:val="0"/>
        <w:spacing w:line="312" w:lineRule="auto"/>
        <w:jc w:val="both"/>
        <w:rPr>
          <w:rFonts w:ascii="Arial" w:hAnsi="Arial" w:cs="Arial"/>
        </w:rPr>
      </w:pPr>
    </w:p>
    <w:p w14:paraId="33F8DAAE" w14:textId="77777777" w:rsidR="002065F3" w:rsidRPr="00E97BCA" w:rsidRDefault="002065F3" w:rsidP="00E97BCA">
      <w:pPr>
        <w:spacing w:line="312" w:lineRule="auto"/>
        <w:ind w:firstLine="720"/>
        <w:jc w:val="both"/>
        <w:rPr>
          <w:rFonts w:ascii="Arial" w:hAnsi="Arial" w:cs="Arial"/>
        </w:rPr>
      </w:pPr>
      <w:r w:rsidRPr="00E97BCA">
        <w:rPr>
          <w:rFonts w:ascii="Arial" w:hAnsi="Arial" w:cs="Arial"/>
        </w:rPr>
        <w:t xml:space="preserve">The relationship between VCGs and race of </w:t>
      </w:r>
      <w:proofErr w:type="spellStart"/>
      <w:r w:rsidRPr="00E97BCA">
        <w:rPr>
          <w:rFonts w:ascii="Arial" w:hAnsi="Arial" w:cs="Arial"/>
          <w:i/>
        </w:rPr>
        <w:t>Foc</w:t>
      </w:r>
      <w:proofErr w:type="spellEnd"/>
      <w:r w:rsidRPr="00E97BCA">
        <w:rPr>
          <w:rFonts w:ascii="Arial" w:hAnsi="Arial" w:cs="Arial"/>
        </w:rPr>
        <w:t xml:space="preserve"> has been described by </w:t>
      </w:r>
      <w:proofErr w:type="spellStart"/>
      <w:r w:rsidRPr="00E97BCA">
        <w:rPr>
          <w:rFonts w:ascii="Arial" w:hAnsi="Arial" w:cs="Arial"/>
        </w:rPr>
        <w:t>Ploetz</w:t>
      </w:r>
      <w:proofErr w:type="spellEnd"/>
      <w:r w:rsidRPr="00E97BCA">
        <w:rPr>
          <w:rFonts w:ascii="Arial" w:hAnsi="Arial" w:cs="Arial"/>
        </w:rPr>
        <w:t xml:space="preserve"> (1990) and it was found that race 1 contained VCG 0124 and VCG 0125. Mostert et al. (2017) reported that VCGs 0124 and 0125, associated with race 1, occur in all regions where banana </w:t>
      </w:r>
      <w:proofErr w:type="gramStart"/>
      <w:r w:rsidRPr="00E97BCA">
        <w:rPr>
          <w:rFonts w:ascii="Arial" w:hAnsi="Arial" w:cs="Arial"/>
        </w:rPr>
        <w:t>are</w:t>
      </w:r>
      <w:proofErr w:type="gramEnd"/>
      <w:r w:rsidRPr="00E97BCA">
        <w:rPr>
          <w:rFonts w:ascii="Arial" w:hAnsi="Arial" w:cs="Arial"/>
        </w:rPr>
        <w:t xml:space="preserve"> cultivated. A number of race 1 isolates were cross-compatible between VCGs 0124 and 0125 that has occurred in a collection of </w:t>
      </w:r>
      <w:proofErr w:type="gramStart"/>
      <w:r w:rsidRPr="00E97BCA">
        <w:rPr>
          <w:rFonts w:ascii="Arial" w:hAnsi="Arial" w:cs="Arial"/>
        </w:rPr>
        <w:t>race</w:t>
      </w:r>
      <w:proofErr w:type="gramEnd"/>
      <w:r w:rsidRPr="00E97BCA">
        <w:rPr>
          <w:rFonts w:ascii="Arial" w:hAnsi="Arial" w:cs="Arial"/>
        </w:rPr>
        <w:t xml:space="preserve"> 1 isolates from several Asian </w:t>
      </w:r>
      <w:r w:rsidRPr="00E97BCA">
        <w:rPr>
          <w:rFonts w:ascii="Arial" w:hAnsi="Arial" w:cs="Arial"/>
        </w:rPr>
        <w:lastRenderedPageBreak/>
        <w:t xml:space="preserve">countries such as Indian, Vietnam, Thailand and Cambodia (Brake et al. 1990; </w:t>
      </w:r>
      <w:proofErr w:type="spellStart"/>
      <w:r w:rsidRPr="00E97BCA">
        <w:rPr>
          <w:rFonts w:ascii="Arial" w:hAnsi="Arial" w:cs="Arial"/>
        </w:rPr>
        <w:t>Ploetz</w:t>
      </w:r>
      <w:proofErr w:type="spellEnd"/>
      <w:r w:rsidRPr="00E97BCA">
        <w:rPr>
          <w:rFonts w:ascii="Arial" w:hAnsi="Arial" w:cs="Arial"/>
        </w:rPr>
        <w:t xml:space="preserve">, 1990; </w:t>
      </w:r>
      <w:proofErr w:type="spellStart"/>
      <w:r w:rsidRPr="00E97BCA">
        <w:rPr>
          <w:rFonts w:ascii="Arial" w:hAnsi="Arial" w:cs="Arial"/>
        </w:rPr>
        <w:t>Thangavelu</w:t>
      </w:r>
      <w:proofErr w:type="spellEnd"/>
      <w:r w:rsidRPr="00E97BCA">
        <w:rPr>
          <w:rFonts w:ascii="Arial" w:hAnsi="Arial" w:cs="Arial"/>
        </w:rPr>
        <w:t xml:space="preserve"> et al., 2003; Mostert et al., 2017). By the race designation, it could be assumed that the dominant race found in all collected areas of Myanmar were race 1. Although VCGs correlate well with race lineages (genetically related groups), they do not strictly define pathogenic function because isolates within the same VCG may express different levels of virulence. Consequently, biological pathogenicity testing on banana hosts remains essential for definitive race determination, and molecular VCG identity alone cannot be treated as absolute proof of race classification (</w:t>
      </w:r>
      <w:proofErr w:type="spellStart"/>
      <w:r w:rsidRPr="00E97BCA">
        <w:rPr>
          <w:rFonts w:ascii="Arial" w:hAnsi="Arial" w:cs="Arial"/>
        </w:rPr>
        <w:t>Ploetz</w:t>
      </w:r>
      <w:proofErr w:type="spellEnd"/>
      <w:r w:rsidRPr="00E97BCA">
        <w:rPr>
          <w:rFonts w:ascii="Arial" w:hAnsi="Arial" w:cs="Arial"/>
        </w:rPr>
        <w:t xml:space="preserve">, 2006; </w:t>
      </w:r>
      <w:proofErr w:type="spellStart"/>
      <w:r w:rsidRPr="00E97BCA">
        <w:rPr>
          <w:rFonts w:ascii="Arial" w:hAnsi="Arial" w:cs="Arial"/>
        </w:rPr>
        <w:t>Thangavelu</w:t>
      </w:r>
      <w:proofErr w:type="spellEnd"/>
      <w:r w:rsidRPr="00E97BCA">
        <w:rPr>
          <w:rFonts w:ascii="Arial" w:hAnsi="Arial" w:cs="Arial"/>
        </w:rPr>
        <w:t xml:space="preserve"> and </w:t>
      </w:r>
      <w:proofErr w:type="spellStart"/>
      <w:r w:rsidRPr="00E97BCA">
        <w:rPr>
          <w:rFonts w:ascii="Arial" w:hAnsi="Arial" w:cs="Arial"/>
        </w:rPr>
        <w:t>Mustaffa</w:t>
      </w:r>
      <w:proofErr w:type="spellEnd"/>
      <w:r w:rsidRPr="00E97BCA">
        <w:rPr>
          <w:rFonts w:ascii="Arial" w:hAnsi="Arial" w:cs="Arial"/>
        </w:rPr>
        <w:t xml:space="preserve">, 2010; Mostert et al., 2017). Nevertheless, in regions lacking controlled glasshouse inoculation facilities, VCG analysis provides one of the most reliable practical options available for differentiating </w:t>
      </w:r>
      <w:proofErr w:type="spellStart"/>
      <w:r w:rsidRPr="00E97BCA">
        <w:rPr>
          <w:rFonts w:ascii="Arial" w:hAnsi="Arial" w:cs="Arial"/>
          <w:i/>
        </w:rPr>
        <w:t>Foc</w:t>
      </w:r>
      <w:proofErr w:type="spellEnd"/>
      <w:r w:rsidRPr="00E97BCA">
        <w:rPr>
          <w:rFonts w:ascii="Arial" w:hAnsi="Arial" w:cs="Arial"/>
        </w:rPr>
        <w:t xml:space="preserve"> sub-populations directly from field isolates (</w:t>
      </w:r>
      <w:proofErr w:type="spellStart"/>
      <w:r w:rsidRPr="00E97BCA">
        <w:rPr>
          <w:rFonts w:ascii="Arial" w:hAnsi="Arial" w:cs="Arial"/>
        </w:rPr>
        <w:t>Correll</w:t>
      </w:r>
      <w:proofErr w:type="spellEnd"/>
      <w:r w:rsidRPr="00E97BCA">
        <w:rPr>
          <w:rFonts w:ascii="Arial" w:hAnsi="Arial" w:cs="Arial"/>
        </w:rPr>
        <w:t xml:space="preserve"> et al., 1987; Leslie, 1990). </w:t>
      </w:r>
    </w:p>
    <w:p w14:paraId="6CEA14C8" w14:textId="77777777" w:rsidR="00C071E5" w:rsidRPr="00E97BCA" w:rsidRDefault="00C071E5" w:rsidP="00E97BCA">
      <w:pPr>
        <w:spacing w:line="312" w:lineRule="auto"/>
        <w:ind w:firstLine="720"/>
        <w:jc w:val="both"/>
        <w:rPr>
          <w:rFonts w:ascii="Arial" w:hAnsi="Arial" w:cs="Arial"/>
        </w:rPr>
      </w:pPr>
    </w:p>
    <w:p w14:paraId="6B2C391C" w14:textId="77777777" w:rsidR="002065F3" w:rsidRPr="00E97BCA" w:rsidRDefault="00C071E5" w:rsidP="00E97BCA">
      <w:pPr>
        <w:spacing w:line="312" w:lineRule="auto"/>
        <w:jc w:val="both"/>
        <w:rPr>
          <w:rFonts w:ascii="Arial" w:hAnsi="Arial" w:cs="Arial"/>
          <w:b/>
        </w:rPr>
      </w:pPr>
      <w:r w:rsidRPr="00E97BCA">
        <w:rPr>
          <w:rFonts w:ascii="Arial" w:hAnsi="Arial" w:cs="Arial"/>
          <w:b/>
        </w:rPr>
        <w:t xml:space="preserve">4.  </w:t>
      </w:r>
      <w:r w:rsidR="002065F3" w:rsidRPr="00E97BCA">
        <w:rPr>
          <w:rFonts w:ascii="Arial" w:hAnsi="Arial" w:cs="Arial"/>
          <w:b/>
        </w:rPr>
        <w:t>CONCLUSION</w:t>
      </w:r>
    </w:p>
    <w:p w14:paraId="1A97DC23" w14:textId="77777777" w:rsidR="002065F3" w:rsidRPr="00E97BCA" w:rsidRDefault="002065F3" w:rsidP="00E97BCA">
      <w:pPr>
        <w:spacing w:line="312" w:lineRule="auto"/>
        <w:ind w:firstLine="720"/>
        <w:jc w:val="both"/>
        <w:rPr>
          <w:rFonts w:ascii="Arial" w:hAnsi="Arial" w:cs="Arial"/>
        </w:rPr>
      </w:pPr>
      <w:r w:rsidRPr="00E97BCA">
        <w:rPr>
          <w:rFonts w:ascii="Arial" w:hAnsi="Arial" w:cs="Arial"/>
        </w:rPr>
        <w:t xml:space="preserve">Based on these results, the tested isolates showed a highly uniform VCG profile, with VCGs 0124, 0125, and the 0124/0125 complex predominating in several banana plantations in Myanmar. The identification of these VCGs supports previous virulence assessments and molecular analyses, confirming that all tested isolates are pathogenic and belong to </w:t>
      </w:r>
      <w:r w:rsidRPr="00E97BCA">
        <w:rPr>
          <w:rFonts w:ascii="Arial" w:hAnsi="Arial" w:cs="Arial"/>
          <w:i/>
        </w:rPr>
        <w:t xml:space="preserve">Fusarium </w:t>
      </w:r>
      <w:proofErr w:type="spellStart"/>
      <w:r w:rsidRPr="00E97BCA">
        <w:rPr>
          <w:rFonts w:ascii="Arial" w:hAnsi="Arial" w:cs="Arial"/>
          <w:i/>
        </w:rPr>
        <w:t>oxysporum</w:t>
      </w:r>
      <w:proofErr w:type="spellEnd"/>
      <w:r w:rsidRPr="00E97BCA">
        <w:rPr>
          <w:rFonts w:ascii="Arial" w:hAnsi="Arial" w:cs="Arial"/>
        </w:rPr>
        <w:t xml:space="preserve"> f. sp. </w:t>
      </w:r>
      <w:proofErr w:type="spellStart"/>
      <w:r w:rsidRPr="00E97BCA">
        <w:rPr>
          <w:rFonts w:ascii="Arial" w:hAnsi="Arial" w:cs="Arial"/>
          <w:i/>
        </w:rPr>
        <w:t>cubense</w:t>
      </w:r>
      <w:proofErr w:type="spellEnd"/>
      <w:r w:rsidRPr="00E97BCA">
        <w:rPr>
          <w:rFonts w:ascii="Arial" w:hAnsi="Arial" w:cs="Arial"/>
        </w:rPr>
        <w:t xml:space="preserve"> race 1. However, the collections for these 20 isolates tested in this study were geographically limited and subject to sampling bias, providing only a partial representation of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diversity in the surveyed regions. Notably, isolates were not collected from major banana-growing areas such as Kachin States and </w:t>
      </w:r>
      <w:proofErr w:type="spellStart"/>
      <w:r w:rsidRPr="00E97BCA">
        <w:rPr>
          <w:rFonts w:ascii="Arial" w:hAnsi="Arial" w:cs="Arial"/>
        </w:rPr>
        <w:t>Taungoo</w:t>
      </w:r>
      <w:proofErr w:type="spellEnd"/>
      <w:r w:rsidRPr="00E97BCA">
        <w:rPr>
          <w:rFonts w:ascii="Arial" w:hAnsi="Arial" w:cs="Arial"/>
        </w:rPr>
        <w:t xml:space="preserve"> township (</w:t>
      </w:r>
      <w:proofErr w:type="spellStart"/>
      <w:r w:rsidRPr="00E97BCA">
        <w:rPr>
          <w:rFonts w:ascii="Arial" w:hAnsi="Arial" w:cs="Arial"/>
        </w:rPr>
        <w:t>Bago</w:t>
      </w:r>
      <w:proofErr w:type="spellEnd"/>
      <w:r w:rsidRPr="00E97BCA">
        <w:rPr>
          <w:rFonts w:ascii="Arial" w:hAnsi="Arial" w:cs="Arial"/>
        </w:rPr>
        <w:t xml:space="preserve"> regions), where Cavendish cultivars are widely cultivated. Consequently, future studies should incorporate broader geographic coverage and a wider range of banana cultivars. To date, </w:t>
      </w:r>
      <w:proofErr w:type="spellStart"/>
      <w:r w:rsidRPr="00E97BCA">
        <w:rPr>
          <w:rFonts w:ascii="Arial" w:hAnsi="Arial" w:cs="Arial"/>
          <w:i/>
        </w:rPr>
        <w:t>Foc</w:t>
      </w:r>
      <w:proofErr w:type="spellEnd"/>
      <w:r w:rsidRPr="00E97BCA">
        <w:rPr>
          <w:rFonts w:ascii="Arial" w:hAnsi="Arial" w:cs="Arial"/>
        </w:rPr>
        <w:t xml:space="preserve"> populations in Myanmar have not been comprehensively studied using VCG analysis. Therefore, additional isolates particularly from more representative regions are required to develop a complete understanding of the population structure and diversity of this pathogen in Myanmar.</w:t>
      </w:r>
    </w:p>
    <w:p w14:paraId="4EE4F305" w14:textId="77777777" w:rsidR="00C071E5" w:rsidRPr="00E97BCA" w:rsidRDefault="00C071E5" w:rsidP="00E97BCA">
      <w:pPr>
        <w:spacing w:line="312" w:lineRule="auto"/>
        <w:ind w:firstLine="720"/>
        <w:jc w:val="both"/>
        <w:rPr>
          <w:rFonts w:ascii="Arial" w:hAnsi="Arial" w:cs="Arial"/>
        </w:rPr>
      </w:pPr>
    </w:p>
    <w:p w14:paraId="317DF2ED" w14:textId="77777777" w:rsidR="00315186" w:rsidRPr="00E97BCA" w:rsidRDefault="00315186" w:rsidP="00E97BCA">
      <w:pPr>
        <w:spacing w:line="312" w:lineRule="auto"/>
        <w:rPr>
          <w:rFonts w:ascii="Arial" w:hAnsi="Arial" w:cs="Arial"/>
        </w:rPr>
      </w:pPr>
      <w:bookmarkStart w:id="0" w:name="_GoBack"/>
      <w:bookmarkEnd w:id="0"/>
    </w:p>
    <w:p w14:paraId="47DD4C48" w14:textId="77777777" w:rsidR="00C071E5" w:rsidRPr="00E97BCA" w:rsidRDefault="00C071E5" w:rsidP="00E97BCA">
      <w:pPr>
        <w:pStyle w:val="Heading2"/>
        <w:spacing w:before="0" w:line="312" w:lineRule="auto"/>
        <w:rPr>
          <w:rFonts w:ascii="Arial" w:hAnsi="Arial" w:cs="Arial"/>
          <w:color w:val="auto"/>
          <w:sz w:val="20"/>
          <w:szCs w:val="20"/>
        </w:rPr>
      </w:pPr>
      <w:r w:rsidRPr="00E97BCA">
        <w:rPr>
          <w:rFonts w:ascii="Arial" w:hAnsi="Arial" w:cs="Arial"/>
          <w:color w:val="auto"/>
          <w:sz w:val="20"/>
          <w:szCs w:val="20"/>
        </w:rPr>
        <w:t xml:space="preserve">REFERENCES </w:t>
      </w:r>
    </w:p>
    <w:p w14:paraId="0FC44C5D" w14:textId="22861F28" w:rsidR="00C071E5" w:rsidRPr="00E97BCA" w:rsidRDefault="00622DBD" w:rsidP="003624A6">
      <w:pPr>
        <w:pStyle w:val="NormalWeb"/>
        <w:spacing w:before="0" w:beforeAutospacing="0" w:after="0" w:afterAutospacing="0" w:line="312" w:lineRule="auto"/>
        <w:jc w:val="both"/>
        <w:rPr>
          <w:rFonts w:ascii="Arial" w:hAnsi="Arial" w:cs="Arial"/>
          <w:sz w:val="20"/>
          <w:szCs w:val="20"/>
        </w:rPr>
      </w:pPr>
      <w:r w:rsidRPr="00622DBD">
        <w:rPr>
          <w:rFonts w:ascii="Arial" w:hAnsi="Arial" w:cs="Arial"/>
          <w:sz w:val="20"/>
          <w:szCs w:val="20"/>
        </w:rPr>
        <w:t xml:space="preserve">Bentley, S., </w:t>
      </w:r>
      <w:proofErr w:type="spellStart"/>
      <w:r w:rsidRPr="00622DBD">
        <w:rPr>
          <w:rFonts w:ascii="Arial" w:hAnsi="Arial" w:cs="Arial"/>
          <w:sz w:val="20"/>
          <w:szCs w:val="20"/>
        </w:rPr>
        <w:t>Pegg</w:t>
      </w:r>
      <w:proofErr w:type="spellEnd"/>
      <w:r w:rsidRPr="00622DBD">
        <w:rPr>
          <w:rFonts w:ascii="Arial" w:hAnsi="Arial" w:cs="Arial"/>
          <w:sz w:val="20"/>
          <w:szCs w:val="20"/>
        </w:rPr>
        <w:t xml:space="preserve">, K. G., Moore, N. Y., Davis, R. D., &amp; </w:t>
      </w:r>
      <w:proofErr w:type="spellStart"/>
      <w:r w:rsidRPr="00622DBD">
        <w:rPr>
          <w:rFonts w:ascii="Arial" w:hAnsi="Arial" w:cs="Arial"/>
          <w:sz w:val="20"/>
          <w:szCs w:val="20"/>
        </w:rPr>
        <w:t>Buddenhagen</w:t>
      </w:r>
      <w:proofErr w:type="spellEnd"/>
      <w:r w:rsidRPr="00622DBD">
        <w:rPr>
          <w:rFonts w:ascii="Arial" w:hAnsi="Arial" w:cs="Arial"/>
          <w:sz w:val="20"/>
          <w:szCs w:val="20"/>
        </w:rPr>
        <w:t xml:space="preserve">, I. W. (1998). Genetic variation among vegetative compatibility groups of Fusarium </w:t>
      </w:r>
      <w:proofErr w:type="spellStart"/>
      <w:r w:rsidRPr="00622DBD">
        <w:rPr>
          <w:rFonts w:ascii="Arial" w:hAnsi="Arial" w:cs="Arial"/>
          <w:sz w:val="20"/>
          <w:szCs w:val="20"/>
        </w:rPr>
        <w:t>oxysporum</w:t>
      </w:r>
      <w:proofErr w:type="spellEnd"/>
      <w:r w:rsidRPr="00622DBD">
        <w:rPr>
          <w:rFonts w:ascii="Arial" w:hAnsi="Arial" w:cs="Arial"/>
          <w:sz w:val="20"/>
          <w:szCs w:val="20"/>
        </w:rPr>
        <w:t xml:space="preserve"> f. sp. </w:t>
      </w:r>
      <w:proofErr w:type="spellStart"/>
      <w:r w:rsidRPr="00622DBD">
        <w:rPr>
          <w:rFonts w:ascii="Arial" w:hAnsi="Arial" w:cs="Arial"/>
          <w:sz w:val="20"/>
          <w:szCs w:val="20"/>
        </w:rPr>
        <w:t>cubense</w:t>
      </w:r>
      <w:proofErr w:type="spellEnd"/>
      <w:r w:rsidRPr="00622DBD">
        <w:rPr>
          <w:rFonts w:ascii="Arial" w:hAnsi="Arial" w:cs="Arial"/>
          <w:sz w:val="20"/>
          <w:szCs w:val="20"/>
        </w:rPr>
        <w:t xml:space="preserve"> analyzed by DNA fingerprinting. Phytopathology, 88(12), 1283–1293. </w:t>
      </w:r>
      <w:hyperlink r:id="rId32" w:history="1">
        <w:r w:rsidRPr="004472FD">
          <w:rPr>
            <w:rStyle w:val="Hyperlink"/>
            <w:rFonts w:ascii="Arial" w:hAnsi="Arial" w:cs="Arial"/>
            <w:sz w:val="20"/>
            <w:szCs w:val="20"/>
          </w:rPr>
          <w:t>https://doi.org/10.1094/PHYTO.1998.88.12.1283</w:t>
        </w:r>
      </w:hyperlink>
      <w:r>
        <w:rPr>
          <w:rFonts w:ascii="Arial" w:hAnsi="Arial" w:cs="Arial"/>
          <w:sz w:val="20"/>
          <w:szCs w:val="20"/>
        </w:rPr>
        <w:t xml:space="preserve"> </w:t>
      </w:r>
    </w:p>
    <w:p w14:paraId="78B235F7"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Boehm, E. W. A., </w:t>
      </w:r>
      <w:proofErr w:type="spellStart"/>
      <w:r w:rsidRPr="00E97BCA">
        <w:rPr>
          <w:rFonts w:ascii="Arial" w:hAnsi="Arial" w:cs="Arial"/>
          <w:sz w:val="20"/>
          <w:szCs w:val="20"/>
        </w:rPr>
        <w:t>Ploetz</w:t>
      </w:r>
      <w:proofErr w:type="spellEnd"/>
      <w:r w:rsidRPr="00E97BCA">
        <w:rPr>
          <w:rFonts w:ascii="Arial" w:hAnsi="Arial" w:cs="Arial"/>
          <w:sz w:val="20"/>
          <w:szCs w:val="20"/>
        </w:rPr>
        <w:t xml:space="preserve">, R. C., &amp; Kistler, H. C. (1994). Statistical analysis of vegetative compatibility groups in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w:t>
      </w:r>
      <w:r w:rsidRPr="00E97BCA">
        <w:rPr>
          <w:rStyle w:val="Emphasis"/>
          <w:rFonts w:ascii="Arial" w:hAnsi="Arial" w:cs="Arial"/>
          <w:sz w:val="20"/>
          <w:szCs w:val="20"/>
        </w:rPr>
        <w:t>Phytopathology, 84</w:t>
      </w:r>
      <w:r w:rsidRPr="00E97BCA">
        <w:rPr>
          <w:rFonts w:ascii="Arial" w:hAnsi="Arial" w:cs="Arial"/>
          <w:sz w:val="20"/>
          <w:szCs w:val="20"/>
        </w:rPr>
        <w:t>(2), 167–172.</w:t>
      </w:r>
    </w:p>
    <w:p w14:paraId="67CD4F0C" w14:textId="09DFBC3C" w:rsidR="00C071E5" w:rsidRPr="00E97BCA" w:rsidRDefault="00D73BFB" w:rsidP="003624A6">
      <w:pPr>
        <w:pStyle w:val="NormalWeb"/>
        <w:spacing w:before="0" w:beforeAutospacing="0" w:after="0" w:afterAutospacing="0" w:line="312" w:lineRule="auto"/>
        <w:jc w:val="both"/>
        <w:rPr>
          <w:rFonts w:ascii="Arial" w:hAnsi="Arial" w:cs="Arial"/>
          <w:sz w:val="20"/>
          <w:szCs w:val="20"/>
        </w:rPr>
      </w:pPr>
      <w:r w:rsidRPr="00D73BFB">
        <w:rPr>
          <w:rFonts w:ascii="Arial" w:hAnsi="Arial" w:cs="Arial"/>
          <w:sz w:val="20"/>
          <w:szCs w:val="20"/>
        </w:rPr>
        <w:t xml:space="preserve">Brake, V. M., </w:t>
      </w:r>
      <w:proofErr w:type="spellStart"/>
      <w:r w:rsidRPr="00D73BFB">
        <w:rPr>
          <w:rFonts w:ascii="Arial" w:hAnsi="Arial" w:cs="Arial"/>
          <w:sz w:val="20"/>
          <w:szCs w:val="20"/>
        </w:rPr>
        <w:t>Pegg</w:t>
      </w:r>
      <w:proofErr w:type="spellEnd"/>
      <w:r w:rsidRPr="00D73BFB">
        <w:rPr>
          <w:rFonts w:ascii="Arial" w:hAnsi="Arial" w:cs="Arial"/>
          <w:sz w:val="20"/>
          <w:szCs w:val="20"/>
        </w:rPr>
        <w:t xml:space="preserve">, K. G., Irwin, J. A. G., &amp; Langdon, P. W. (1990). Vegetative compatibility groups within Australian populations of Fusarium </w:t>
      </w:r>
      <w:proofErr w:type="spellStart"/>
      <w:r w:rsidRPr="00D73BFB">
        <w:rPr>
          <w:rFonts w:ascii="Arial" w:hAnsi="Arial" w:cs="Arial"/>
          <w:sz w:val="20"/>
          <w:szCs w:val="20"/>
        </w:rPr>
        <w:t>oxysporum</w:t>
      </w:r>
      <w:proofErr w:type="spellEnd"/>
      <w:r w:rsidRPr="00D73BFB">
        <w:rPr>
          <w:rFonts w:ascii="Arial" w:hAnsi="Arial" w:cs="Arial"/>
          <w:sz w:val="20"/>
          <w:szCs w:val="20"/>
        </w:rPr>
        <w:t xml:space="preserve"> </w:t>
      </w:r>
      <w:proofErr w:type="spellStart"/>
      <w:r w:rsidRPr="00D73BFB">
        <w:rPr>
          <w:rFonts w:ascii="Arial" w:hAnsi="Arial" w:cs="Arial"/>
          <w:sz w:val="20"/>
          <w:szCs w:val="20"/>
        </w:rPr>
        <w:t>f.sp</w:t>
      </w:r>
      <w:proofErr w:type="spellEnd"/>
      <w:r w:rsidRPr="00D73BFB">
        <w:rPr>
          <w:rFonts w:ascii="Arial" w:hAnsi="Arial" w:cs="Arial"/>
          <w:sz w:val="20"/>
          <w:szCs w:val="20"/>
        </w:rPr>
        <w:t xml:space="preserve">. </w:t>
      </w:r>
      <w:proofErr w:type="spellStart"/>
      <w:r w:rsidRPr="00D73BFB">
        <w:rPr>
          <w:rFonts w:ascii="Arial" w:hAnsi="Arial" w:cs="Arial"/>
          <w:sz w:val="20"/>
          <w:szCs w:val="20"/>
        </w:rPr>
        <w:t>cubense</w:t>
      </w:r>
      <w:proofErr w:type="spellEnd"/>
      <w:r w:rsidRPr="00D73BFB">
        <w:rPr>
          <w:rFonts w:ascii="Arial" w:hAnsi="Arial" w:cs="Arial"/>
          <w:sz w:val="20"/>
          <w:szCs w:val="20"/>
        </w:rPr>
        <w:t xml:space="preserve">, the cause of Fusarium wilt of bananas. Australian Journal of Agricultural Research, 41(5), 863–870. </w:t>
      </w:r>
      <w:hyperlink r:id="rId33" w:history="1">
        <w:r w:rsidRPr="004472FD">
          <w:rPr>
            <w:rStyle w:val="Hyperlink"/>
            <w:rFonts w:ascii="Arial" w:hAnsi="Arial" w:cs="Arial"/>
            <w:sz w:val="20"/>
            <w:szCs w:val="20"/>
          </w:rPr>
          <w:t>https://doi.org/10.1071/AR9900863</w:t>
        </w:r>
      </w:hyperlink>
      <w:r>
        <w:rPr>
          <w:rFonts w:ascii="Arial" w:hAnsi="Arial" w:cs="Arial"/>
          <w:sz w:val="20"/>
          <w:szCs w:val="20"/>
        </w:rPr>
        <w:t xml:space="preserve"> </w:t>
      </w:r>
    </w:p>
    <w:p w14:paraId="4A5E6530" w14:textId="77777777" w:rsidR="00C071E5" w:rsidRPr="003624A6" w:rsidRDefault="00C071E5" w:rsidP="003624A6">
      <w:pPr>
        <w:autoSpaceDE w:val="0"/>
        <w:autoSpaceDN w:val="0"/>
        <w:adjustRightInd w:val="0"/>
        <w:spacing w:line="312" w:lineRule="auto"/>
        <w:jc w:val="both"/>
        <w:rPr>
          <w:rFonts w:ascii="Arial" w:hAnsi="Arial" w:cs="Arial"/>
          <w:bCs/>
        </w:rPr>
      </w:pPr>
      <w:r w:rsidRPr="003624A6">
        <w:rPr>
          <w:rFonts w:ascii="Arial" w:hAnsi="Arial" w:cs="Arial"/>
          <w:bCs/>
        </w:rPr>
        <w:lastRenderedPageBreak/>
        <w:t xml:space="preserve">Cho </w:t>
      </w:r>
      <w:proofErr w:type="spellStart"/>
      <w:r w:rsidRPr="003624A6">
        <w:rPr>
          <w:rFonts w:ascii="Arial" w:hAnsi="Arial" w:cs="Arial"/>
          <w:bCs/>
        </w:rPr>
        <w:t>Cho</w:t>
      </w:r>
      <w:proofErr w:type="spellEnd"/>
      <w:r w:rsidRPr="003624A6">
        <w:rPr>
          <w:rFonts w:ascii="Arial" w:hAnsi="Arial" w:cs="Arial"/>
          <w:bCs/>
        </w:rPr>
        <w:t xml:space="preserve"> </w:t>
      </w:r>
      <w:proofErr w:type="gramStart"/>
      <w:r w:rsidRPr="003624A6">
        <w:rPr>
          <w:rFonts w:ascii="Arial" w:hAnsi="Arial" w:cs="Arial"/>
          <w:bCs/>
        </w:rPr>
        <w:t>San ,</w:t>
      </w:r>
      <w:proofErr w:type="gramEnd"/>
      <w:r w:rsidRPr="003624A6">
        <w:rPr>
          <w:rFonts w:ascii="Arial" w:hAnsi="Arial" w:cs="Arial"/>
          <w:bCs/>
        </w:rPr>
        <w:t xml:space="preserve"> </w:t>
      </w:r>
      <w:proofErr w:type="spellStart"/>
      <w:r w:rsidRPr="003624A6">
        <w:rPr>
          <w:rFonts w:ascii="Arial" w:hAnsi="Arial" w:cs="Arial"/>
          <w:bCs/>
        </w:rPr>
        <w:t>Myo</w:t>
      </w:r>
      <w:proofErr w:type="spellEnd"/>
      <w:r w:rsidRPr="003624A6">
        <w:rPr>
          <w:rFonts w:ascii="Arial" w:hAnsi="Arial" w:cs="Arial"/>
          <w:bCs/>
        </w:rPr>
        <w:t xml:space="preserve"> </w:t>
      </w:r>
      <w:proofErr w:type="spellStart"/>
      <w:r w:rsidRPr="003624A6">
        <w:rPr>
          <w:rFonts w:ascii="Arial" w:hAnsi="Arial" w:cs="Arial"/>
          <w:bCs/>
        </w:rPr>
        <w:t>Zaw</w:t>
      </w:r>
      <w:proofErr w:type="spellEnd"/>
      <w:r w:rsidRPr="003624A6">
        <w:rPr>
          <w:rFonts w:ascii="Arial" w:hAnsi="Arial" w:cs="Arial"/>
          <w:bCs/>
        </w:rPr>
        <w:t xml:space="preserve">, Chaw </w:t>
      </w:r>
      <w:proofErr w:type="spellStart"/>
      <w:r w:rsidRPr="003624A6">
        <w:rPr>
          <w:rFonts w:ascii="Arial" w:hAnsi="Arial" w:cs="Arial"/>
          <w:bCs/>
        </w:rPr>
        <w:t>Su</w:t>
      </w:r>
      <w:proofErr w:type="spellEnd"/>
      <w:r w:rsidRPr="003624A6">
        <w:rPr>
          <w:rFonts w:ascii="Arial" w:hAnsi="Arial" w:cs="Arial"/>
          <w:bCs/>
        </w:rPr>
        <w:t xml:space="preserve"> </w:t>
      </w:r>
      <w:proofErr w:type="spellStart"/>
      <w:r w:rsidRPr="003624A6">
        <w:rPr>
          <w:rFonts w:ascii="Arial" w:hAnsi="Arial" w:cs="Arial"/>
          <w:bCs/>
        </w:rPr>
        <w:t>Su</w:t>
      </w:r>
      <w:proofErr w:type="spellEnd"/>
      <w:r w:rsidRPr="003624A6">
        <w:rPr>
          <w:rFonts w:ascii="Arial" w:hAnsi="Arial" w:cs="Arial"/>
          <w:bCs/>
        </w:rPr>
        <w:t xml:space="preserve"> </w:t>
      </w:r>
      <w:proofErr w:type="spellStart"/>
      <w:r w:rsidRPr="003624A6">
        <w:rPr>
          <w:rFonts w:ascii="Arial" w:hAnsi="Arial" w:cs="Arial"/>
          <w:bCs/>
        </w:rPr>
        <w:t>Htwe</w:t>
      </w:r>
      <w:proofErr w:type="spellEnd"/>
      <w:r w:rsidRPr="003624A6">
        <w:rPr>
          <w:rFonts w:ascii="Arial" w:hAnsi="Arial" w:cs="Arial"/>
          <w:bCs/>
        </w:rPr>
        <w:t xml:space="preserve">, Nang </w:t>
      </w:r>
      <w:proofErr w:type="spellStart"/>
      <w:r w:rsidRPr="003624A6">
        <w:rPr>
          <w:rFonts w:ascii="Arial" w:hAnsi="Arial" w:cs="Arial"/>
          <w:bCs/>
        </w:rPr>
        <w:t>Kyu</w:t>
      </w:r>
      <w:proofErr w:type="spellEnd"/>
      <w:r w:rsidRPr="003624A6">
        <w:rPr>
          <w:rFonts w:ascii="Arial" w:hAnsi="Arial" w:cs="Arial"/>
          <w:bCs/>
        </w:rPr>
        <w:t xml:space="preserve"> </w:t>
      </w:r>
      <w:proofErr w:type="spellStart"/>
      <w:r w:rsidRPr="003624A6">
        <w:rPr>
          <w:rFonts w:ascii="Arial" w:hAnsi="Arial" w:cs="Arial"/>
          <w:bCs/>
        </w:rPr>
        <w:t>Kyu</w:t>
      </w:r>
      <w:proofErr w:type="spellEnd"/>
      <w:r w:rsidRPr="003624A6">
        <w:rPr>
          <w:rFonts w:ascii="Arial" w:hAnsi="Arial" w:cs="Arial"/>
          <w:bCs/>
        </w:rPr>
        <w:t xml:space="preserve"> Win and Tin Aye </w:t>
      </w:r>
      <w:proofErr w:type="spellStart"/>
      <w:r w:rsidRPr="003624A6">
        <w:rPr>
          <w:rFonts w:ascii="Arial" w:hAnsi="Arial" w:cs="Arial"/>
          <w:bCs/>
        </w:rPr>
        <w:t>Aye</w:t>
      </w:r>
      <w:proofErr w:type="spellEnd"/>
      <w:r w:rsidRPr="003624A6">
        <w:rPr>
          <w:rFonts w:ascii="Arial" w:hAnsi="Arial" w:cs="Arial"/>
          <w:bCs/>
        </w:rPr>
        <w:t xml:space="preserve"> Naing. (2024). Characterization of </w:t>
      </w:r>
      <w:r w:rsidRPr="003624A6">
        <w:rPr>
          <w:rFonts w:ascii="Arial" w:hAnsi="Arial" w:cs="Arial"/>
          <w:bCs/>
          <w:i/>
        </w:rPr>
        <w:t xml:space="preserve">Fusarium </w:t>
      </w:r>
      <w:proofErr w:type="spellStart"/>
      <w:r w:rsidRPr="003624A6">
        <w:rPr>
          <w:rFonts w:ascii="Arial" w:hAnsi="Arial" w:cs="Arial"/>
          <w:bCs/>
          <w:i/>
        </w:rPr>
        <w:t>oxysporum</w:t>
      </w:r>
      <w:proofErr w:type="spellEnd"/>
      <w:r w:rsidRPr="003624A6">
        <w:rPr>
          <w:rFonts w:ascii="Arial" w:hAnsi="Arial" w:cs="Arial"/>
          <w:bCs/>
        </w:rPr>
        <w:t xml:space="preserve"> f. sp. </w:t>
      </w:r>
      <w:proofErr w:type="spellStart"/>
      <w:r w:rsidRPr="003624A6">
        <w:rPr>
          <w:rFonts w:ascii="Arial" w:hAnsi="Arial" w:cs="Arial"/>
          <w:bCs/>
          <w:i/>
        </w:rPr>
        <w:t>cubense</w:t>
      </w:r>
      <w:proofErr w:type="spellEnd"/>
      <w:r w:rsidRPr="003624A6">
        <w:rPr>
          <w:rFonts w:ascii="Arial" w:hAnsi="Arial" w:cs="Arial"/>
          <w:bCs/>
        </w:rPr>
        <w:t xml:space="preserve"> Causing Banana Fusarium Wilt Disease. Proceedings of the Centennial Research Conference of </w:t>
      </w:r>
      <w:proofErr w:type="spellStart"/>
      <w:r w:rsidRPr="003624A6">
        <w:rPr>
          <w:rFonts w:ascii="Arial" w:hAnsi="Arial" w:cs="Arial"/>
          <w:bCs/>
        </w:rPr>
        <w:t>Yezin</w:t>
      </w:r>
      <w:proofErr w:type="spellEnd"/>
      <w:r w:rsidRPr="003624A6">
        <w:rPr>
          <w:rFonts w:ascii="Arial" w:hAnsi="Arial" w:cs="Arial"/>
          <w:bCs/>
        </w:rPr>
        <w:t xml:space="preserve"> Agricultural University, 7-8 October 2024: 204-216.</w:t>
      </w:r>
    </w:p>
    <w:p w14:paraId="225CB682" w14:textId="390197D8" w:rsidR="00C071E5" w:rsidRPr="00E97BCA" w:rsidRDefault="008531C9" w:rsidP="003624A6">
      <w:pPr>
        <w:pStyle w:val="NormalWeb"/>
        <w:spacing w:before="0" w:beforeAutospacing="0" w:after="0" w:afterAutospacing="0" w:line="312" w:lineRule="auto"/>
        <w:jc w:val="both"/>
        <w:rPr>
          <w:rFonts w:ascii="Arial" w:hAnsi="Arial" w:cs="Arial"/>
          <w:sz w:val="20"/>
          <w:szCs w:val="20"/>
        </w:rPr>
      </w:pPr>
      <w:proofErr w:type="spellStart"/>
      <w:r w:rsidRPr="008531C9">
        <w:rPr>
          <w:rFonts w:ascii="Arial" w:hAnsi="Arial" w:cs="Arial"/>
          <w:sz w:val="20"/>
          <w:szCs w:val="20"/>
        </w:rPr>
        <w:t>Correll</w:t>
      </w:r>
      <w:proofErr w:type="spellEnd"/>
      <w:r w:rsidRPr="008531C9">
        <w:rPr>
          <w:rFonts w:ascii="Arial" w:hAnsi="Arial" w:cs="Arial"/>
          <w:sz w:val="20"/>
          <w:szCs w:val="20"/>
        </w:rPr>
        <w:t xml:space="preserve">, J. C., </w:t>
      </w:r>
      <w:proofErr w:type="spellStart"/>
      <w:r w:rsidRPr="008531C9">
        <w:rPr>
          <w:rFonts w:ascii="Arial" w:hAnsi="Arial" w:cs="Arial"/>
          <w:sz w:val="20"/>
          <w:szCs w:val="20"/>
        </w:rPr>
        <w:t>Klittich</w:t>
      </w:r>
      <w:proofErr w:type="spellEnd"/>
      <w:r w:rsidRPr="008531C9">
        <w:rPr>
          <w:rFonts w:ascii="Arial" w:hAnsi="Arial" w:cs="Arial"/>
          <w:sz w:val="20"/>
          <w:szCs w:val="20"/>
        </w:rPr>
        <w:t xml:space="preserve">, C. J. R., &amp; Leslie, J. F. (1987). Nitrate </w:t>
      </w:r>
      <w:proofErr w:type="spellStart"/>
      <w:r w:rsidRPr="008531C9">
        <w:rPr>
          <w:rFonts w:ascii="Arial" w:hAnsi="Arial" w:cs="Arial"/>
          <w:sz w:val="20"/>
          <w:szCs w:val="20"/>
        </w:rPr>
        <w:t>nonutilizing</w:t>
      </w:r>
      <w:proofErr w:type="spellEnd"/>
      <w:r w:rsidRPr="008531C9">
        <w:rPr>
          <w:rFonts w:ascii="Arial" w:hAnsi="Arial" w:cs="Arial"/>
          <w:sz w:val="20"/>
          <w:szCs w:val="20"/>
        </w:rPr>
        <w:t xml:space="preserve"> mutants of Fusarium </w:t>
      </w:r>
      <w:proofErr w:type="spellStart"/>
      <w:r w:rsidRPr="008531C9">
        <w:rPr>
          <w:rFonts w:ascii="Arial" w:hAnsi="Arial" w:cs="Arial"/>
          <w:sz w:val="20"/>
          <w:szCs w:val="20"/>
        </w:rPr>
        <w:t>oxysporum</w:t>
      </w:r>
      <w:proofErr w:type="spellEnd"/>
      <w:r w:rsidRPr="008531C9">
        <w:rPr>
          <w:rFonts w:ascii="Arial" w:hAnsi="Arial" w:cs="Arial"/>
          <w:sz w:val="20"/>
          <w:szCs w:val="20"/>
        </w:rPr>
        <w:t xml:space="preserve"> and their use in vegetative compatibility tests. Phytopathology, 77(12), 1640–1646. </w:t>
      </w:r>
      <w:hyperlink r:id="rId34" w:history="1">
        <w:r w:rsidRPr="004472FD">
          <w:rPr>
            <w:rStyle w:val="Hyperlink"/>
            <w:rFonts w:ascii="Arial" w:hAnsi="Arial" w:cs="Arial"/>
            <w:sz w:val="20"/>
            <w:szCs w:val="20"/>
          </w:rPr>
          <w:t>https://doi.org/10.1094/Phyto-77-1640</w:t>
        </w:r>
      </w:hyperlink>
      <w:r>
        <w:rPr>
          <w:rFonts w:ascii="Arial" w:hAnsi="Arial" w:cs="Arial"/>
          <w:sz w:val="20"/>
          <w:szCs w:val="20"/>
        </w:rPr>
        <w:t xml:space="preserve"> </w:t>
      </w:r>
    </w:p>
    <w:p w14:paraId="59D26B6C" w14:textId="349DC3E9" w:rsidR="00C071E5" w:rsidRPr="00E97BCA" w:rsidRDefault="00AC3A48" w:rsidP="003624A6">
      <w:pPr>
        <w:pStyle w:val="NormalWeb"/>
        <w:spacing w:before="0" w:beforeAutospacing="0" w:after="0" w:afterAutospacing="0" w:line="312" w:lineRule="auto"/>
        <w:jc w:val="both"/>
        <w:rPr>
          <w:rFonts w:ascii="Arial" w:hAnsi="Arial" w:cs="Arial"/>
          <w:sz w:val="20"/>
          <w:szCs w:val="20"/>
        </w:rPr>
      </w:pPr>
      <w:proofErr w:type="spellStart"/>
      <w:r w:rsidRPr="00AC3A48">
        <w:rPr>
          <w:rFonts w:ascii="Arial" w:hAnsi="Arial" w:cs="Arial"/>
          <w:sz w:val="20"/>
          <w:szCs w:val="20"/>
        </w:rPr>
        <w:t>Czislowski</w:t>
      </w:r>
      <w:proofErr w:type="spellEnd"/>
      <w:r w:rsidRPr="00AC3A48">
        <w:rPr>
          <w:rFonts w:ascii="Arial" w:hAnsi="Arial" w:cs="Arial"/>
          <w:sz w:val="20"/>
          <w:szCs w:val="20"/>
        </w:rPr>
        <w:t xml:space="preserve">, E., Fraser-Smith, S., Zander, M., O'Neill, W. T., Meldrum, R. A., Tran-Nguyen, L. T. T., </w:t>
      </w:r>
      <w:proofErr w:type="spellStart"/>
      <w:r w:rsidRPr="00AC3A48">
        <w:rPr>
          <w:rFonts w:ascii="Arial" w:hAnsi="Arial" w:cs="Arial"/>
          <w:sz w:val="20"/>
          <w:szCs w:val="20"/>
        </w:rPr>
        <w:t>Batley</w:t>
      </w:r>
      <w:proofErr w:type="spellEnd"/>
      <w:r w:rsidRPr="00AC3A48">
        <w:rPr>
          <w:rFonts w:ascii="Arial" w:hAnsi="Arial" w:cs="Arial"/>
          <w:sz w:val="20"/>
          <w:szCs w:val="20"/>
        </w:rPr>
        <w:t xml:space="preserve">, J., &amp; Aitken, E. A. B. (2018). Investigation of the diversity of effector genes in the banana pathogen, Fusarium </w:t>
      </w:r>
      <w:proofErr w:type="spellStart"/>
      <w:r w:rsidRPr="00AC3A48">
        <w:rPr>
          <w:rFonts w:ascii="Arial" w:hAnsi="Arial" w:cs="Arial"/>
          <w:sz w:val="20"/>
          <w:szCs w:val="20"/>
        </w:rPr>
        <w:t>oxysporum</w:t>
      </w:r>
      <w:proofErr w:type="spellEnd"/>
      <w:r w:rsidRPr="00AC3A48">
        <w:rPr>
          <w:rFonts w:ascii="Arial" w:hAnsi="Arial" w:cs="Arial"/>
          <w:sz w:val="20"/>
          <w:szCs w:val="20"/>
        </w:rPr>
        <w:t xml:space="preserve"> f. sp. </w:t>
      </w:r>
      <w:proofErr w:type="spellStart"/>
      <w:r w:rsidRPr="00AC3A48">
        <w:rPr>
          <w:rFonts w:ascii="Arial" w:hAnsi="Arial" w:cs="Arial"/>
          <w:sz w:val="20"/>
          <w:szCs w:val="20"/>
        </w:rPr>
        <w:t>cubense</w:t>
      </w:r>
      <w:proofErr w:type="spellEnd"/>
      <w:r w:rsidRPr="00AC3A48">
        <w:rPr>
          <w:rFonts w:ascii="Arial" w:hAnsi="Arial" w:cs="Arial"/>
          <w:sz w:val="20"/>
          <w:szCs w:val="20"/>
        </w:rPr>
        <w:t xml:space="preserve">, reveals evidence of horizontal gene transfer. Molecular Plant Pathology. </w:t>
      </w:r>
      <w:hyperlink r:id="rId35" w:history="1">
        <w:r w:rsidRPr="004472FD">
          <w:rPr>
            <w:rStyle w:val="Hyperlink"/>
            <w:rFonts w:ascii="Arial" w:hAnsi="Arial" w:cs="Arial"/>
            <w:sz w:val="20"/>
            <w:szCs w:val="20"/>
          </w:rPr>
          <w:t>https://doi.org/10.1111/mpp.12594</w:t>
        </w:r>
      </w:hyperlink>
      <w:r>
        <w:rPr>
          <w:rFonts w:ascii="Arial" w:hAnsi="Arial" w:cs="Arial"/>
          <w:sz w:val="20"/>
          <w:szCs w:val="20"/>
        </w:rPr>
        <w:t xml:space="preserve"> </w:t>
      </w:r>
    </w:p>
    <w:p w14:paraId="786FF209"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Daly, A., </w:t>
      </w:r>
      <w:proofErr w:type="spellStart"/>
      <w:r w:rsidRPr="00E97BCA">
        <w:rPr>
          <w:rFonts w:ascii="Arial" w:hAnsi="Arial" w:cs="Arial"/>
          <w:sz w:val="20"/>
          <w:szCs w:val="20"/>
        </w:rPr>
        <w:t>Pegg</w:t>
      </w:r>
      <w:proofErr w:type="spellEnd"/>
      <w:r w:rsidRPr="00E97BCA">
        <w:rPr>
          <w:rFonts w:ascii="Arial" w:hAnsi="Arial" w:cs="Arial"/>
          <w:sz w:val="20"/>
          <w:szCs w:val="20"/>
        </w:rPr>
        <w:t xml:space="preserve">, K. G., &amp; </w:t>
      </w:r>
      <w:proofErr w:type="spellStart"/>
      <w:r w:rsidRPr="00E97BCA">
        <w:rPr>
          <w:rFonts w:ascii="Arial" w:hAnsi="Arial" w:cs="Arial"/>
          <w:sz w:val="20"/>
          <w:szCs w:val="20"/>
        </w:rPr>
        <w:t>Gibas</w:t>
      </w:r>
      <w:proofErr w:type="spellEnd"/>
      <w:r w:rsidRPr="00E97BCA">
        <w:rPr>
          <w:rFonts w:ascii="Arial" w:hAnsi="Arial" w:cs="Arial"/>
          <w:sz w:val="20"/>
          <w:szCs w:val="20"/>
        </w:rPr>
        <w:t xml:space="preserve">, C. F. C. (2006). Fusarium wilt of banana. In R. </w:t>
      </w:r>
      <w:proofErr w:type="spellStart"/>
      <w:r w:rsidRPr="00E97BCA">
        <w:rPr>
          <w:rFonts w:ascii="Arial" w:hAnsi="Arial" w:cs="Arial"/>
          <w:sz w:val="20"/>
          <w:szCs w:val="20"/>
        </w:rPr>
        <w:t>Barkai</w:t>
      </w:r>
      <w:proofErr w:type="spellEnd"/>
      <w:r w:rsidRPr="00E97BCA">
        <w:rPr>
          <w:rFonts w:ascii="Arial" w:hAnsi="Arial" w:cs="Arial"/>
          <w:sz w:val="20"/>
          <w:szCs w:val="20"/>
        </w:rPr>
        <w:t xml:space="preserve">-Golan &amp; N. </w:t>
      </w:r>
      <w:proofErr w:type="spellStart"/>
      <w:r w:rsidRPr="00E97BCA">
        <w:rPr>
          <w:rFonts w:ascii="Arial" w:hAnsi="Arial" w:cs="Arial"/>
          <w:sz w:val="20"/>
          <w:szCs w:val="20"/>
        </w:rPr>
        <w:t>Paster</w:t>
      </w:r>
      <w:proofErr w:type="spellEnd"/>
      <w:r w:rsidRPr="00E97BCA">
        <w:rPr>
          <w:rFonts w:ascii="Arial" w:hAnsi="Arial" w:cs="Arial"/>
          <w:sz w:val="20"/>
          <w:szCs w:val="20"/>
        </w:rPr>
        <w:t xml:space="preserve"> (Eds.), </w:t>
      </w:r>
      <w:r w:rsidRPr="00E97BCA">
        <w:rPr>
          <w:rStyle w:val="Emphasis"/>
          <w:rFonts w:ascii="Arial" w:hAnsi="Arial" w:cs="Arial"/>
          <w:sz w:val="20"/>
          <w:szCs w:val="20"/>
        </w:rPr>
        <w:t>Diseases of fruits and vegetables</w:t>
      </w:r>
      <w:r w:rsidRPr="00E97BCA">
        <w:rPr>
          <w:rFonts w:ascii="Arial" w:hAnsi="Arial" w:cs="Arial"/>
          <w:sz w:val="20"/>
          <w:szCs w:val="20"/>
        </w:rPr>
        <w:t xml:space="preserve"> (Vol. 1, pp. 143–159). Springer.</w:t>
      </w:r>
    </w:p>
    <w:p w14:paraId="79A5415F" w14:textId="6B766298" w:rsidR="00C071E5" w:rsidRPr="00E97BCA" w:rsidRDefault="008C6090" w:rsidP="003624A6">
      <w:pPr>
        <w:pStyle w:val="NormalWeb"/>
        <w:spacing w:before="0" w:beforeAutospacing="0" w:after="0" w:afterAutospacing="0" w:line="312" w:lineRule="auto"/>
        <w:jc w:val="both"/>
        <w:rPr>
          <w:rFonts w:ascii="Arial" w:hAnsi="Arial" w:cs="Arial"/>
          <w:sz w:val="20"/>
          <w:szCs w:val="20"/>
        </w:rPr>
      </w:pPr>
      <w:proofErr w:type="spellStart"/>
      <w:r w:rsidRPr="008C6090">
        <w:rPr>
          <w:rFonts w:ascii="Arial" w:hAnsi="Arial" w:cs="Arial"/>
          <w:sz w:val="20"/>
          <w:szCs w:val="20"/>
        </w:rPr>
        <w:t>Dita</w:t>
      </w:r>
      <w:proofErr w:type="spellEnd"/>
      <w:r w:rsidRPr="008C6090">
        <w:rPr>
          <w:rFonts w:ascii="Arial" w:hAnsi="Arial" w:cs="Arial"/>
          <w:sz w:val="20"/>
          <w:szCs w:val="20"/>
        </w:rPr>
        <w:t xml:space="preserve">, M., </w:t>
      </w:r>
      <w:proofErr w:type="spellStart"/>
      <w:r w:rsidRPr="008C6090">
        <w:rPr>
          <w:rFonts w:ascii="Arial" w:hAnsi="Arial" w:cs="Arial"/>
          <w:sz w:val="20"/>
          <w:szCs w:val="20"/>
        </w:rPr>
        <w:t>Barquero</w:t>
      </w:r>
      <w:proofErr w:type="spellEnd"/>
      <w:r w:rsidRPr="008C6090">
        <w:rPr>
          <w:rFonts w:ascii="Arial" w:hAnsi="Arial" w:cs="Arial"/>
          <w:sz w:val="20"/>
          <w:szCs w:val="20"/>
        </w:rPr>
        <w:t xml:space="preserve">, M., Heck, D., </w:t>
      </w:r>
      <w:proofErr w:type="spellStart"/>
      <w:r w:rsidRPr="008C6090">
        <w:rPr>
          <w:rFonts w:ascii="Arial" w:hAnsi="Arial" w:cs="Arial"/>
          <w:sz w:val="20"/>
          <w:szCs w:val="20"/>
        </w:rPr>
        <w:t>Mizubuti</w:t>
      </w:r>
      <w:proofErr w:type="spellEnd"/>
      <w:r w:rsidRPr="008C6090">
        <w:rPr>
          <w:rFonts w:ascii="Arial" w:hAnsi="Arial" w:cs="Arial"/>
          <w:sz w:val="20"/>
          <w:szCs w:val="20"/>
        </w:rPr>
        <w:t xml:space="preserve">, E. S. G., &amp; </w:t>
      </w:r>
      <w:proofErr w:type="spellStart"/>
      <w:r w:rsidRPr="008C6090">
        <w:rPr>
          <w:rFonts w:ascii="Arial" w:hAnsi="Arial" w:cs="Arial"/>
          <w:sz w:val="20"/>
          <w:szCs w:val="20"/>
        </w:rPr>
        <w:t>Staver</w:t>
      </w:r>
      <w:proofErr w:type="spellEnd"/>
      <w:r w:rsidRPr="008C6090">
        <w:rPr>
          <w:rFonts w:ascii="Arial" w:hAnsi="Arial" w:cs="Arial"/>
          <w:sz w:val="20"/>
          <w:szCs w:val="20"/>
        </w:rPr>
        <w:t xml:space="preserve">, C. P. (2018). Fusarium wilt of banana: Current knowledge on epidemiology and research needs toward sustainable disease management. Frontiers in Plant Science, 9, Article 1468. </w:t>
      </w:r>
      <w:hyperlink r:id="rId36" w:history="1">
        <w:r w:rsidRPr="004472FD">
          <w:rPr>
            <w:rStyle w:val="Hyperlink"/>
            <w:rFonts w:ascii="Arial" w:hAnsi="Arial" w:cs="Arial"/>
            <w:sz w:val="20"/>
            <w:szCs w:val="20"/>
          </w:rPr>
          <w:t>https://doi.org/10.3389/fpls.2018.01468</w:t>
        </w:r>
      </w:hyperlink>
      <w:r>
        <w:rPr>
          <w:rFonts w:ascii="Arial" w:hAnsi="Arial" w:cs="Arial"/>
          <w:sz w:val="20"/>
          <w:szCs w:val="20"/>
        </w:rPr>
        <w:t xml:space="preserve"> </w:t>
      </w:r>
    </w:p>
    <w:p w14:paraId="53C9CE53" w14:textId="18633AB6" w:rsidR="00C071E5" w:rsidRPr="00E97BCA" w:rsidRDefault="003035DC" w:rsidP="003624A6">
      <w:pPr>
        <w:pStyle w:val="NormalWeb"/>
        <w:spacing w:before="0" w:beforeAutospacing="0" w:after="0" w:afterAutospacing="0" w:line="312" w:lineRule="auto"/>
        <w:jc w:val="both"/>
        <w:rPr>
          <w:rFonts w:ascii="Arial" w:hAnsi="Arial" w:cs="Arial"/>
          <w:sz w:val="20"/>
          <w:szCs w:val="20"/>
        </w:rPr>
      </w:pPr>
      <w:r w:rsidRPr="003035DC">
        <w:rPr>
          <w:rFonts w:ascii="Arial" w:hAnsi="Arial" w:cs="Arial"/>
          <w:sz w:val="20"/>
          <w:szCs w:val="20"/>
        </w:rPr>
        <w:t xml:space="preserve">Fourie, G., Steenkamp, E. T., Gordon, T. R., &amp; Viljoen, A. (2009). Evolutionary relationships among the Fusarium </w:t>
      </w:r>
      <w:proofErr w:type="spellStart"/>
      <w:r w:rsidRPr="003035DC">
        <w:rPr>
          <w:rFonts w:ascii="Arial" w:hAnsi="Arial" w:cs="Arial"/>
          <w:sz w:val="20"/>
          <w:szCs w:val="20"/>
        </w:rPr>
        <w:t>oxysporum</w:t>
      </w:r>
      <w:proofErr w:type="spellEnd"/>
      <w:r w:rsidRPr="003035DC">
        <w:rPr>
          <w:rFonts w:ascii="Arial" w:hAnsi="Arial" w:cs="Arial"/>
          <w:sz w:val="20"/>
          <w:szCs w:val="20"/>
        </w:rPr>
        <w:t xml:space="preserve"> f. sp. </w:t>
      </w:r>
      <w:proofErr w:type="spellStart"/>
      <w:r w:rsidRPr="003035DC">
        <w:rPr>
          <w:rFonts w:ascii="Arial" w:hAnsi="Arial" w:cs="Arial"/>
          <w:sz w:val="20"/>
          <w:szCs w:val="20"/>
        </w:rPr>
        <w:t>cubense</w:t>
      </w:r>
      <w:proofErr w:type="spellEnd"/>
      <w:r w:rsidRPr="003035DC">
        <w:rPr>
          <w:rFonts w:ascii="Arial" w:hAnsi="Arial" w:cs="Arial"/>
          <w:sz w:val="20"/>
          <w:szCs w:val="20"/>
        </w:rPr>
        <w:t xml:space="preserve"> vegetative compatibility groups. Applied and Environmental Microbiology, 75(14), 4770–4781. </w:t>
      </w:r>
      <w:hyperlink r:id="rId37" w:history="1">
        <w:r w:rsidRPr="004472FD">
          <w:rPr>
            <w:rStyle w:val="Hyperlink"/>
            <w:rFonts w:ascii="Arial" w:hAnsi="Arial" w:cs="Arial"/>
            <w:sz w:val="20"/>
            <w:szCs w:val="20"/>
          </w:rPr>
          <w:t>https://doi.org/10.1128/AEM.00370-09</w:t>
        </w:r>
      </w:hyperlink>
      <w:r>
        <w:rPr>
          <w:rFonts w:ascii="Arial" w:hAnsi="Arial" w:cs="Arial"/>
          <w:sz w:val="20"/>
          <w:szCs w:val="20"/>
        </w:rPr>
        <w:t xml:space="preserve"> </w:t>
      </w:r>
    </w:p>
    <w:p w14:paraId="7FFD26E2" w14:textId="2DD61A42" w:rsidR="00C071E5" w:rsidRPr="00E97BCA" w:rsidRDefault="004B61F4" w:rsidP="003624A6">
      <w:pPr>
        <w:pStyle w:val="NormalWeb"/>
        <w:spacing w:before="0" w:beforeAutospacing="0" w:after="0" w:afterAutospacing="0" w:line="312" w:lineRule="auto"/>
        <w:jc w:val="both"/>
        <w:rPr>
          <w:rFonts w:ascii="Arial" w:hAnsi="Arial" w:cs="Arial"/>
          <w:sz w:val="20"/>
          <w:szCs w:val="20"/>
        </w:rPr>
      </w:pPr>
      <w:r w:rsidRPr="004B61F4">
        <w:rPr>
          <w:rFonts w:ascii="Arial" w:hAnsi="Arial" w:cs="Arial"/>
          <w:sz w:val="20"/>
          <w:szCs w:val="20"/>
        </w:rPr>
        <w:t xml:space="preserve">Fourie, G., Steenkamp, E. T., </w:t>
      </w:r>
      <w:proofErr w:type="spellStart"/>
      <w:r w:rsidRPr="004B61F4">
        <w:rPr>
          <w:rFonts w:ascii="Arial" w:hAnsi="Arial" w:cs="Arial"/>
          <w:sz w:val="20"/>
          <w:szCs w:val="20"/>
        </w:rPr>
        <w:t>Ploetz</w:t>
      </w:r>
      <w:proofErr w:type="spellEnd"/>
      <w:r w:rsidRPr="004B61F4">
        <w:rPr>
          <w:rFonts w:ascii="Arial" w:hAnsi="Arial" w:cs="Arial"/>
          <w:sz w:val="20"/>
          <w:szCs w:val="20"/>
        </w:rPr>
        <w:t xml:space="preserve">, R. C., Gordon, T. R., &amp; Viljoen, A. (2011). Current status of the taxonomic position of Fusarium </w:t>
      </w:r>
      <w:proofErr w:type="spellStart"/>
      <w:r w:rsidRPr="004B61F4">
        <w:rPr>
          <w:rFonts w:ascii="Arial" w:hAnsi="Arial" w:cs="Arial"/>
          <w:sz w:val="20"/>
          <w:szCs w:val="20"/>
        </w:rPr>
        <w:t>oxysporum</w:t>
      </w:r>
      <w:proofErr w:type="spellEnd"/>
      <w:r w:rsidRPr="004B61F4">
        <w:rPr>
          <w:rFonts w:ascii="Arial" w:hAnsi="Arial" w:cs="Arial"/>
          <w:sz w:val="20"/>
          <w:szCs w:val="20"/>
        </w:rPr>
        <w:t xml:space="preserve"> </w:t>
      </w:r>
      <w:proofErr w:type="spellStart"/>
      <w:r w:rsidRPr="004B61F4">
        <w:rPr>
          <w:rFonts w:ascii="Arial" w:hAnsi="Arial" w:cs="Arial"/>
          <w:sz w:val="20"/>
          <w:szCs w:val="20"/>
        </w:rPr>
        <w:t>formae</w:t>
      </w:r>
      <w:proofErr w:type="spellEnd"/>
      <w:r w:rsidRPr="004B61F4">
        <w:rPr>
          <w:rFonts w:ascii="Arial" w:hAnsi="Arial" w:cs="Arial"/>
          <w:sz w:val="20"/>
          <w:szCs w:val="20"/>
        </w:rPr>
        <w:t xml:space="preserve"> </w:t>
      </w:r>
      <w:proofErr w:type="spellStart"/>
      <w:r w:rsidRPr="004B61F4">
        <w:rPr>
          <w:rFonts w:ascii="Arial" w:hAnsi="Arial" w:cs="Arial"/>
          <w:sz w:val="20"/>
          <w:szCs w:val="20"/>
        </w:rPr>
        <w:t>specialis</w:t>
      </w:r>
      <w:proofErr w:type="spellEnd"/>
      <w:r w:rsidRPr="004B61F4">
        <w:rPr>
          <w:rFonts w:ascii="Arial" w:hAnsi="Arial" w:cs="Arial"/>
          <w:sz w:val="20"/>
          <w:szCs w:val="20"/>
        </w:rPr>
        <w:t xml:space="preserve"> </w:t>
      </w:r>
      <w:proofErr w:type="spellStart"/>
      <w:r w:rsidRPr="004B61F4">
        <w:rPr>
          <w:rFonts w:ascii="Arial" w:hAnsi="Arial" w:cs="Arial"/>
          <w:sz w:val="20"/>
          <w:szCs w:val="20"/>
        </w:rPr>
        <w:t>cubense</w:t>
      </w:r>
      <w:proofErr w:type="spellEnd"/>
      <w:r w:rsidRPr="004B61F4">
        <w:rPr>
          <w:rFonts w:ascii="Arial" w:hAnsi="Arial" w:cs="Arial"/>
          <w:sz w:val="20"/>
          <w:szCs w:val="20"/>
        </w:rPr>
        <w:t xml:space="preserve"> within the Fusarium </w:t>
      </w:r>
      <w:proofErr w:type="spellStart"/>
      <w:r w:rsidRPr="004B61F4">
        <w:rPr>
          <w:rFonts w:ascii="Arial" w:hAnsi="Arial" w:cs="Arial"/>
          <w:sz w:val="20"/>
          <w:szCs w:val="20"/>
        </w:rPr>
        <w:t>oxysporum</w:t>
      </w:r>
      <w:proofErr w:type="spellEnd"/>
      <w:r w:rsidRPr="004B61F4">
        <w:rPr>
          <w:rFonts w:ascii="Arial" w:hAnsi="Arial" w:cs="Arial"/>
          <w:sz w:val="20"/>
          <w:szCs w:val="20"/>
        </w:rPr>
        <w:t xml:space="preserve"> complex. Infection, Genetics and Evolution, 11(3), 533–542. </w:t>
      </w:r>
      <w:hyperlink r:id="rId38" w:history="1">
        <w:r w:rsidRPr="004472FD">
          <w:rPr>
            <w:rStyle w:val="Hyperlink"/>
            <w:rFonts w:ascii="Arial" w:hAnsi="Arial" w:cs="Arial"/>
            <w:sz w:val="20"/>
            <w:szCs w:val="20"/>
          </w:rPr>
          <w:t>https://doi.org/10.1016/j.meegid.2011.01.012</w:t>
        </w:r>
      </w:hyperlink>
      <w:r>
        <w:rPr>
          <w:rFonts w:ascii="Arial" w:hAnsi="Arial" w:cs="Arial"/>
          <w:sz w:val="20"/>
          <w:szCs w:val="20"/>
        </w:rPr>
        <w:t xml:space="preserve"> </w:t>
      </w:r>
    </w:p>
    <w:p w14:paraId="2DC9990C" w14:textId="5734BE54" w:rsidR="00C071E5" w:rsidRPr="00E97BCA" w:rsidRDefault="0063134B" w:rsidP="003624A6">
      <w:pPr>
        <w:pStyle w:val="NormalWeb"/>
        <w:spacing w:before="0" w:beforeAutospacing="0" w:after="0" w:afterAutospacing="0" w:line="312" w:lineRule="auto"/>
        <w:jc w:val="both"/>
        <w:rPr>
          <w:rFonts w:ascii="Arial" w:hAnsi="Arial" w:cs="Arial"/>
          <w:sz w:val="20"/>
          <w:szCs w:val="20"/>
        </w:rPr>
      </w:pPr>
      <w:r w:rsidRPr="0063134B">
        <w:rPr>
          <w:rFonts w:ascii="Arial" w:hAnsi="Arial" w:cs="Arial"/>
          <w:sz w:val="20"/>
          <w:szCs w:val="20"/>
        </w:rPr>
        <w:t xml:space="preserve">Hwang, S. C., &amp; Ko, W. H. (2004). Cavendish banana cultivars resistant to Fusarium wilt acquired through </w:t>
      </w:r>
      <w:proofErr w:type="spellStart"/>
      <w:r w:rsidRPr="0063134B">
        <w:rPr>
          <w:rFonts w:ascii="Arial" w:hAnsi="Arial" w:cs="Arial"/>
          <w:sz w:val="20"/>
          <w:szCs w:val="20"/>
        </w:rPr>
        <w:t>somaclonal</w:t>
      </w:r>
      <w:proofErr w:type="spellEnd"/>
      <w:r w:rsidRPr="0063134B">
        <w:rPr>
          <w:rFonts w:ascii="Arial" w:hAnsi="Arial" w:cs="Arial"/>
          <w:sz w:val="20"/>
          <w:szCs w:val="20"/>
        </w:rPr>
        <w:t xml:space="preserve"> variation in Taiwan. Plant Disease, 88(6), 580–588. </w:t>
      </w:r>
      <w:hyperlink r:id="rId39" w:history="1">
        <w:r w:rsidRPr="004472FD">
          <w:rPr>
            <w:rStyle w:val="Hyperlink"/>
            <w:rFonts w:ascii="Arial" w:hAnsi="Arial" w:cs="Arial"/>
            <w:sz w:val="20"/>
            <w:szCs w:val="20"/>
          </w:rPr>
          <w:t>https://doi.org/10.1094/PDIS.2004.88.6.580</w:t>
        </w:r>
      </w:hyperlink>
      <w:r>
        <w:rPr>
          <w:rFonts w:ascii="Arial" w:hAnsi="Arial" w:cs="Arial"/>
          <w:sz w:val="20"/>
          <w:szCs w:val="20"/>
        </w:rPr>
        <w:t xml:space="preserve"> </w:t>
      </w:r>
    </w:p>
    <w:p w14:paraId="2A013F65" w14:textId="31E8E3F6" w:rsidR="00C071E5" w:rsidRPr="00E97BCA" w:rsidRDefault="006B5B01" w:rsidP="003624A6">
      <w:pPr>
        <w:pStyle w:val="NormalWeb"/>
        <w:spacing w:before="0" w:beforeAutospacing="0" w:after="0" w:afterAutospacing="0" w:line="312" w:lineRule="auto"/>
        <w:jc w:val="both"/>
        <w:rPr>
          <w:rFonts w:ascii="Arial" w:hAnsi="Arial" w:cs="Arial"/>
          <w:sz w:val="20"/>
          <w:szCs w:val="20"/>
        </w:rPr>
      </w:pPr>
      <w:proofErr w:type="spellStart"/>
      <w:r w:rsidRPr="006B5B01">
        <w:rPr>
          <w:rFonts w:ascii="Arial" w:hAnsi="Arial" w:cs="Arial"/>
          <w:sz w:val="20"/>
          <w:szCs w:val="20"/>
        </w:rPr>
        <w:t>Karangwa</w:t>
      </w:r>
      <w:proofErr w:type="spellEnd"/>
      <w:r w:rsidRPr="006B5B01">
        <w:rPr>
          <w:rFonts w:ascii="Arial" w:hAnsi="Arial" w:cs="Arial"/>
          <w:sz w:val="20"/>
          <w:szCs w:val="20"/>
        </w:rPr>
        <w:t xml:space="preserve">, P., Mostert, D., </w:t>
      </w:r>
      <w:proofErr w:type="spellStart"/>
      <w:r w:rsidRPr="006B5B01">
        <w:rPr>
          <w:rFonts w:ascii="Arial" w:hAnsi="Arial" w:cs="Arial"/>
          <w:sz w:val="20"/>
          <w:szCs w:val="20"/>
        </w:rPr>
        <w:t>Ndayihanzamaso</w:t>
      </w:r>
      <w:proofErr w:type="spellEnd"/>
      <w:r w:rsidRPr="006B5B01">
        <w:rPr>
          <w:rFonts w:ascii="Arial" w:hAnsi="Arial" w:cs="Arial"/>
          <w:sz w:val="20"/>
          <w:szCs w:val="20"/>
        </w:rPr>
        <w:t xml:space="preserve">, P., Dubois, T., </w:t>
      </w:r>
      <w:proofErr w:type="spellStart"/>
      <w:r w:rsidRPr="006B5B01">
        <w:rPr>
          <w:rFonts w:ascii="Arial" w:hAnsi="Arial" w:cs="Arial"/>
          <w:sz w:val="20"/>
          <w:szCs w:val="20"/>
        </w:rPr>
        <w:t>Niere</w:t>
      </w:r>
      <w:proofErr w:type="spellEnd"/>
      <w:r w:rsidRPr="006B5B01">
        <w:rPr>
          <w:rFonts w:ascii="Arial" w:hAnsi="Arial" w:cs="Arial"/>
          <w:sz w:val="20"/>
          <w:szCs w:val="20"/>
        </w:rPr>
        <w:t xml:space="preserve">, B., </w:t>
      </w:r>
      <w:proofErr w:type="spellStart"/>
      <w:r w:rsidRPr="006B5B01">
        <w:rPr>
          <w:rFonts w:ascii="Arial" w:hAnsi="Arial" w:cs="Arial"/>
          <w:sz w:val="20"/>
          <w:szCs w:val="20"/>
        </w:rPr>
        <w:t>Zum</w:t>
      </w:r>
      <w:proofErr w:type="spellEnd"/>
      <w:r w:rsidRPr="006B5B01">
        <w:rPr>
          <w:rFonts w:ascii="Arial" w:hAnsi="Arial" w:cs="Arial"/>
          <w:sz w:val="20"/>
          <w:szCs w:val="20"/>
        </w:rPr>
        <w:t xml:space="preserve"> </w:t>
      </w:r>
      <w:proofErr w:type="spellStart"/>
      <w:r w:rsidRPr="006B5B01">
        <w:rPr>
          <w:rFonts w:ascii="Arial" w:hAnsi="Arial" w:cs="Arial"/>
          <w:sz w:val="20"/>
          <w:szCs w:val="20"/>
        </w:rPr>
        <w:t>Felde</w:t>
      </w:r>
      <w:proofErr w:type="spellEnd"/>
      <w:r w:rsidRPr="006B5B01">
        <w:rPr>
          <w:rFonts w:ascii="Arial" w:hAnsi="Arial" w:cs="Arial"/>
          <w:sz w:val="20"/>
          <w:szCs w:val="20"/>
        </w:rPr>
        <w:t xml:space="preserve">, A., Schouten, A., </w:t>
      </w:r>
      <w:proofErr w:type="spellStart"/>
      <w:r w:rsidRPr="006B5B01">
        <w:rPr>
          <w:rFonts w:ascii="Arial" w:hAnsi="Arial" w:cs="Arial"/>
          <w:sz w:val="20"/>
          <w:szCs w:val="20"/>
        </w:rPr>
        <w:t>Blomme</w:t>
      </w:r>
      <w:proofErr w:type="spellEnd"/>
      <w:r w:rsidRPr="006B5B01">
        <w:rPr>
          <w:rFonts w:ascii="Arial" w:hAnsi="Arial" w:cs="Arial"/>
          <w:sz w:val="20"/>
          <w:szCs w:val="20"/>
        </w:rPr>
        <w:t xml:space="preserve">, G., Beed, F., &amp; Viljoen, A. (2018). Genetic diversity of Fusarium </w:t>
      </w:r>
      <w:proofErr w:type="spellStart"/>
      <w:r w:rsidRPr="006B5B01">
        <w:rPr>
          <w:rFonts w:ascii="Arial" w:hAnsi="Arial" w:cs="Arial"/>
          <w:sz w:val="20"/>
          <w:szCs w:val="20"/>
        </w:rPr>
        <w:t>oxysporum</w:t>
      </w:r>
      <w:proofErr w:type="spellEnd"/>
      <w:r w:rsidRPr="006B5B01">
        <w:rPr>
          <w:rFonts w:ascii="Arial" w:hAnsi="Arial" w:cs="Arial"/>
          <w:sz w:val="20"/>
          <w:szCs w:val="20"/>
        </w:rPr>
        <w:t xml:space="preserve"> f. sp. </w:t>
      </w:r>
      <w:proofErr w:type="spellStart"/>
      <w:r w:rsidRPr="006B5B01">
        <w:rPr>
          <w:rFonts w:ascii="Arial" w:hAnsi="Arial" w:cs="Arial"/>
          <w:sz w:val="20"/>
          <w:szCs w:val="20"/>
        </w:rPr>
        <w:t>cubense</w:t>
      </w:r>
      <w:proofErr w:type="spellEnd"/>
      <w:r w:rsidRPr="006B5B01">
        <w:rPr>
          <w:rFonts w:ascii="Arial" w:hAnsi="Arial" w:cs="Arial"/>
          <w:sz w:val="20"/>
          <w:szCs w:val="20"/>
        </w:rPr>
        <w:t xml:space="preserve"> in East and Central Africa. Plant Disease, 102(3), 552–560. </w:t>
      </w:r>
      <w:hyperlink r:id="rId40" w:history="1">
        <w:r w:rsidRPr="004472FD">
          <w:rPr>
            <w:rStyle w:val="Hyperlink"/>
            <w:rFonts w:ascii="Arial" w:hAnsi="Arial" w:cs="Arial"/>
            <w:sz w:val="20"/>
            <w:szCs w:val="20"/>
          </w:rPr>
          <w:t>https://doi.org/10.1094/PDIS-02-17-0282-RE</w:t>
        </w:r>
      </w:hyperlink>
      <w:r>
        <w:rPr>
          <w:rFonts w:ascii="Arial" w:hAnsi="Arial" w:cs="Arial"/>
          <w:sz w:val="20"/>
          <w:szCs w:val="20"/>
        </w:rPr>
        <w:t xml:space="preserve"> </w:t>
      </w:r>
    </w:p>
    <w:p w14:paraId="0CE9DDF6" w14:textId="2F90B8F3" w:rsidR="00C071E5" w:rsidRPr="00E97BCA" w:rsidRDefault="00513C17" w:rsidP="003624A6">
      <w:pPr>
        <w:pStyle w:val="NormalWeb"/>
        <w:spacing w:before="0" w:beforeAutospacing="0" w:after="0" w:afterAutospacing="0" w:line="312" w:lineRule="auto"/>
        <w:jc w:val="both"/>
        <w:rPr>
          <w:rFonts w:ascii="Arial" w:hAnsi="Arial" w:cs="Arial"/>
          <w:sz w:val="20"/>
          <w:szCs w:val="20"/>
        </w:rPr>
      </w:pPr>
      <w:r w:rsidRPr="00513C17">
        <w:rPr>
          <w:rFonts w:ascii="Arial" w:hAnsi="Arial" w:cs="Arial"/>
          <w:sz w:val="20"/>
          <w:szCs w:val="20"/>
        </w:rPr>
        <w:t xml:space="preserve">Katan, T. (2001). Vegetative compatibility group diversity in Fusarium. In B. A. </w:t>
      </w:r>
      <w:proofErr w:type="spellStart"/>
      <w:r w:rsidRPr="00513C17">
        <w:rPr>
          <w:rFonts w:ascii="Arial" w:hAnsi="Arial" w:cs="Arial"/>
          <w:sz w:val="20"/>
          <w:szCs w:val="20"/>
        </w:rPr>
        <w:t>Summerell</w:t>
      </w:r>
      <w:proofErr w:type="spellEnd"/>
      <w:r w:rsidRPr="00513C17">
        <w:rPr>
          <w:rFonts w:ascii="Arial" w:hAnsi="Arial" w:cs="Arial"/>
          <w:sz w:val="20"/>
          <w:szCs w:val="20"/>
        </w:rPr>
        <w:t xml:space="preserve">, J. F. Leslie, D. Backhouse, W. L. Bryden, &amp; L. W. Burgess (Eds.), *Fusarium: Paul E. Nelson memorial symposium* (pp. 165–182). APS Press. </w:t>
      </w:r>
      <w:hyperlink r:id="rId41" w:history="1">
        <w:r w:rsidRPr="004472FD">
          <w:rPr>
            <w:rStyle w:val="Hyperlink"/>
            <w:rFonts w:ascii="Arial" w:hAnsi="Arial" w:cs="Arial"/>
            <w:sz w:val="20"/>
            <w:szCs w:val="20"/>
          </w:rPr>
          <w:t>https://www.apsnet.org/publications/apsnetbooks/Pages/FusariumPaulENelson.aspx</w:t>
        </w:r>
      </w:hyperlink>
      <w:r>
        <w:rPr>
          <w:rFonts w:ascii="Arial" w:hAnsi="Arial" w:cs="Arial"/>
          <w:sz w:val="20"/>
          <w:szCs w:val="20"/>
        </w:rPr>
        <w:t xml:space="preserve"> </w:t>
      </w:r>
    </w:p>
    <w:p w14:paraId="02F4D8CC"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Leslie, J. F. (1990). Genetic analysis of vegetative compatibility in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moniliforme</w:t>
      </w:r>
      <w:proofErr w:type="spellEnd"/>
      <w:r w:rsidRPr="00E97BCA">
        <w:rPr>
          <w:rFonts w:ascii="Arial" w:hAnsi="Arial" w:cs="Arial"/>
          <w:sz w:val="20"/>
          <w:szCs w:val="20"/>
        </w:rPr>
        <w:t xml:space="preserve">. </w:t>
      </w:r>
      <w:r w:rsidRPr="00E97BCA">
        <w:rPr>
          <w:rStyle w:val="Emphasis"/>
          <w:rFonts w:ascii="Arial" w:hAnsi="Arial" w:cs="Arial"/>
          <w:sz w:val="20"/>
          <w:szCs w:val="20"/>
        </w:rPr>
        <w:t>Phytopathology, 80</w:t>
      </w:r>
      <w:r w:rsidRPr="00E97BCA">
        <w:rPr>
          <w:rFonts w:ascii="Arial" w:hAnsi="Arial" w:cs="Arial"/>
          <w:sz w:val="20"/>
          <w:szCs w:val="20"/>
        </w:rPr>
        <w:t>(12), 1340–1344.</w:t>
      </w:r>
    </w:p>
    <w:p w14:paraId="062DC6F4" w14:textId="3D5C1319" w:rsidR="00C071E5" w:rsidRPr="00E97BCA" w:rsidRDefault="00E659A3" w:rsidP="003624A6">
      <w:pPr>
        <w:pStyle w:val="NormalWeb"/>
        <w:spacing w:before="0" w:beforeAutospacing="0" w:after="0" w:afterAutospacing="0" w:line="312" w:lineRule="auto"/>
        <w:jc w:val="both"/>
        <w:rPr>
          <w:rFonts w:ascii="Arial" w:hAnsi="Arial" w:cs="Arial"/>
          <w:sz w:val="20"/>
          <w:szCs w:val="20"/>
        </w:rPr>
      </w:pPr>
      <w:r w:rsidRPr="00E659A3">
        <w:rPr>
          <w:rFonts w:ascii="Arial" w:hAnsi="Arial" w:cs="Arial"/>
          <w:sz w:val="20"/>
          <w:szCs w:val="20"/>
        </w:rPr>
        <w:t xml:space="preserve">Leslie, J. F. (1993). Fungal vegetative compatibility. Annual Review of Phytopathology, 31, 127–150. </w:t>
      </w:r>
      <w:hyperlink r:id="rId42" w:history="1">
        <w:r w:rsidRPr="004472FD">
          <w:rPr>
            <w:rStyle w:val="Hyperlink"/>
            <w:rFonts w:ascii="Arial" w:hAnsi="Arial" w:cs="Arial"/>
            <w:sz w:val="20"/>
            <w:szCs w:val="20"/>
          </w:rPr>
          <w:t>https://doi.org/10.1146/annurev.py.31.090193.001015</w:t>
        </w:r>
      </w:hyperlink>
      <w:r>
        <w:rPr>
          <w:rFonts w:ascii="Arial" w:hAnsi="Arial" w:cs="Arial"/>
          <w:sz w:val="20"/>
          <w:szCs w:val="20"/>
        </w:rPr>
        <w:t xml:space="preserve"> </w:t>
      </w:r>
    </w:p>
    <w:p w14:paraId="25364501" w14:textId="4ADDD0C2" w:rsidR="00C071E5" w:rsidRPr="00E97BCA" w:rsidRDefault="003651D8" w:rsidP="003624A6">
      <w:pPr>
        <w:pStyle w:val="NormalWeb"/>
        <w:spacing w:before="0" w:beforeAutospacing="0" w:after="0" w:afterAutospacing="0" w:line="312" w:lineRule="auto"/>
        <w:jc w:val="both"/>
        <w:rPr>
          <w:rFonts w:ascii="Arial" w:hAnsi="Arial" w:cs="Arial"/>
          <w:sz w:val="20"/>
          <w:szCs w:val="20"/>
        </w:rPr>
      </w:pPr>
      <w:r w:rsidRPr="003651D8">
        <w:rPr>
          <w:rFonts w:ascii="Arial" w:hAnsi="Arial" w:cs="Arial"/>
          <w:sz w:val="20"/>
          <w:szCs w:val="20"/>
        </w:rPr>
        <w:t xml:space="preserve">Leslie, J. F. (1993). Fungal vegetative compatibility. Annual Review of Phytopathology, 31, 127–150. </w:t>
      </w:r>
      <w:hyperlink r:id="rId43" w:history="1">
        <w:r w:rsidRPr="004472FD">
          <w:rPr>
            <w:rStyle w:val="Hyperlink"/>
            <w:rFonts w:ascii="Arial" w:hAnsi="Arial" w:cs="Arial"/>
            <w:sz w:val="20"/>
            <w:szCs w:val="20"/>
          </w:rPr>
          <w:t>https://doi.org/10.1146/annurev.py.31.090193.001015</w:t>
        </w:r>
      </w:hyperlink>
      <w:r>
        <w:rPr>
          <w:rFonts w:ascii="Arial" w:hAnsi="Arial" w:cs="Arial"/>
          <w:sz w:val="20"/>
          <w:szCs w:val="20"/>
        </w:rPr>
        <w:t xml:space="preserve"> </w:t>
      </w:r>
    </w:p>
    <w:p w14:paraId="2E01F0FA" w14:textId="77167ADB" w:rsidR="00C071E5" w:rsidRPr="00E97BCA" w:rsidRDefault="009B4E75" w:rsidP="003624A6">
      <w:pPr>
        <w:pStyle w:val="NormalWeb"/>
        <w:spacing w:before="0" w:beforeAutospacing="0" w:after="0" w:afterAutospacing="0" w:line="312" w:lineRule="auto"/>
        <w:jc w:val="both"/>
        <w:rPr>
          <w:rFonts w:ascii="Arial" w:hAnsi="Arial" w:cs="Arial"/>
          <w:sz w:val="20"/>
          <w:szCs w:val="20"/>
        </w:rPr>
      </w:pPr>
      <w:r w:rsidRPr="009B4E75">
        <w:rPr>
          <w:rFonts w:ascii="Arial" w:hAnsi="Arial" w:cs="Arial"/>
          <w:sz w:val="20"/>
          <w:szCs w:val="20"/>
        </w:rPr>
        <w:lastRenderedPageBreak/>
        <w:t xml:space="preserve">Leslie, J. F., &amp; </w:t>
      </w:r>
      <w:proofErr w:type="spellStart"/>
      <w:r w:rsidRPr="009B4E75">
        <w:rPr>
          <w:rFonts w:ascii="Arial" w:hAnsi="Arial" w:cs="Arial"/>
          <w:sz w:val="20"/>
          <w:szCs w:val="20"/>
        </w:rPr>
        <w:t>Summerell</w:t>
      </w:r>
      <w:proofErr w:type="spellEnd"/>
      <w:r w:rsidRPr="009B4E75">
        <w:rPr>
          <w:rFonts w:ascii="Arial" w:hAnsi="Arial" w:cs="Arial"/>
          <w:sz w:val="20"/>
          <w:szCs w:val="20"/>
        </w:rPr>
        <w:t xml:space="preserve">, B. A. (2006). The Fusarium laboratory manual. Blackwell Publishing. </w:t>
      </w:r>
      <w:hyperlink r:id="rId44" w:history="1">
        <w:r w:rsidRPr="004472FD">
          <w:rPr>
            <w:rStyle w:val="Hyperlink"/>
            <w:rFonts w:ascii="Arial" w:hAnsi="Arial" w:cs="Arial"/>
            <w:sz w:val="20"/>
            <w:szCs w:val="20"/>
          </w:rPr>
          <w:t>https://doi.org/10.1002/9780470278376</w:t>
        </w:r>
      </w:hyperlink>
      <w:r>
        <w:rPr>
          <w:rFonts w:ascii="Arial" w:hAnsi="Arial" w:cs="Arial"/>
          <w:sz w:val="20"/>
          <w:szCs w:val="20"/>
        </w:rPr>
        <w:t xml:space="preserve"> </w:t>
      </w:r>
    </w:p>
    <w:p w14:paraId="1B866533"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Molina, A. B. (2013). Managing Fusarium wilt of banana: A global perspective. </w:t>
      </w:r>
      <w:r w:rsidRPr="00E97BCA">
        <w:rPr>
          <w:rStyle w:val="Emphasis"/>
          <w:rFonts w:ascii="Arial" w:hAnsi="Arial" w:cs="Arial"/>
          <w:sz w:val="20"/>
          <w:szCs w:val="20"/>
        </w:rPr>
        <w:t xml:space="preserve">Acta </w:t>
      </w:r>
      <w:proofErr w:type="spellStart"/>
      <w:r w:rsidRPr="00E97BCA">
        <w:rPr>
          <w:rStyle w:val="Emphasis"/>
          <w:rFonts w:ascii="Arial" w:hAnsi="Arial" w:cs="Arial"/>
          <w:sz w:val="20"/>
          <w:szCs w:val="20"/>
        </w:rPr>
        <w:t>Horticulturae</w:t>
      </w:r>
      <w:proofErr w:type="spellEnd"/>
      <w:r w:rsidRPr="00E97BCA">
        <w:rPr>
          <w:rStyle w:val="Emphasis"/>
          <w:rFonts w:ascii="Arial" w:hAnsi="Arial" w:cs="Arial"/>
          <w:sz w:val="20"/>
          <w:szCs w:val="20"/>
        </w:rPr>
        <w:t>, 986</w:t>
      </w:r>
      <w:r w:rsidRPr="00E97BCA">
        <w:rPr>
          <w:rFonts w:ascii="Arial" w:hAnsi="Arial" w:cs="Arial"/>
          <w:sz w:val="20"/>
          <w:szCs w:val="20"/>
        </w:rPr>
        <w:t>, 33–42.</w:t>
      </w:r>
    </w:p>
    <w:p w14:paraId="0DE52478"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Moore, N. Y. (1994). </w:t>
      </w:r>
      <w:r w:rsidRPr="00E97BCA">
        <w:rPr>
          <w:rStyle w:val="Emphasis"/>
          <w:rFonts w:ascii="Arial" w:hAnsi="Arial" w:cs="Arial"/>
          <w:sz w:val="20"/>
          <w:szCs w:val="20"/>
        </w:rPr>
        <w:t xml:space="preserve">Vegetative compatibility and molecular variation in Fusarium </w:t>
      </w:r>
      <w:proofErr w:type="spellStart"/>
      <w:r w:rsidRPr="00E97BCA">
        <w:rPr>
          <w:rStyle w:val="Emphasis"/>
          <w:rFonts w:ascii="Arial" w:hAnsi="Arial" w:cs="Arial"/>
          <w:sz w:val="20"/>
          <w:szCs w:val="20"/>
        </w:rPr>
        <w:t>oxysporum</w:t>
      </w:r>
      <w:proofErr w:type="spellEnd"/>
      <w:r w:rsidRPr="00E97BCA">
        <w:rPr>
          <w:rStyle w:val="Emphasis"/>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(Doctoral dissertation). University of Queensland.</w:t>
      </w:r>
    </w:p>
    <w:p w14:paraId="2AB4BDA4" w14:textId="3D742FA1" w:rsidR="00C071E5" w:rsidRPr="00E97BCA" w:rsidRDefault="008A22E8" w:rsidP="003624A6">
      <w:pPr>
        <w:pStyle w:val="NormalWeb"/>
        <w:spacing w:before="0" w:beforeAutospacing="0" w:after="0" w:afterAutospacing="0" w:line="312" w:lineRule="auto"/>
        <w:jc w:val="both"/>
        <w:rPr>
          <w:rFonts w:ascii="Arial" w:hAnsi="Arial" w:cs="Arial"/>
          <w:sz w:val="20"/>
          <w:szCs w:val="20"/>
        </w:rPr>
      </w:pPr>
      <w:r w:rsidRPr="008A22E8">
        <w:rPr>
          <w:rFonts w:ascii="Arial" w:hAnsi="Arial" w:cs="Arial"/>
          <w:sz w:val="20"/>
          <w:szCs w:val="20"/>
        </w:rPr>
        <w:t xml:space="preserve">Moore, N. Y., </w:t>
      </w:r>
      <w:proofErr w:type="spellStart"/>
      <w:r w:rsidRPr="008A22E8">
        <w:rPr>
          <w:rFonts w:ascii="Arial" w:hAnsi="Arial" w:cs="Arial"/>
          <w:sz w:val="20"/>
          <w:szCs w:val="20"/>
        </w:rPr>
        <w:t>Pegg</w:t>
      </w:r>
      <w:proofErr w:type="spellEnd"/>
      <w:r w:rsidRPr="008A22E8">
        <w:rPr>
          <w:rFonts w:ascii="Arial" w:hAnsi="Arial" w:cs="Arial"/>
          <w:sz w:val="20"/>
          <w:szCs w:val="20"/>
        </w:rPr>
        <w:t xml:space="preserve">, K. G., Allen, R. N., &amp; Irwin, J. A. G. (1993). Vegetative compatibility and distribution of Fusarium </w:t>
      </w:r>
      <w:proofErr w:type="spellStart"/>
      <w:r w:rsidRPr="008A22E8">
        <w:rPr>
          <w:rFonts w:ascii="Arial" w:hAnsi="Arial" w:cs="Arial"/>
          <w:sz w:val="20"/>
          <w:szCs w:val="20"/>
        </w:rPr>
        <w:t>oxysporum</w:t>
      </w:r>
      <w:proofErr w:type="spellEnd"/>
      <w:r w:rsidRPr="008A22E8">
        <w:rPr>
          <w:rFonts w:ascii="Arial" w:hAnsi="Arial" w:cs="Arial"/>
          <w:sz w:val="20"/>
          <w:szCs w:val="20"/>
        </w:rPr>
        <w:t xml:space="preserve"> </w:t>
      </w:r>
      <w:proofErr w:type="spellStart"/>
      <w:r w:rsidRPr="008A22E8">
        <w:rPr>
          <w:rFonts w:ascii="Arial" w:hAnsi="Arial" w:cs="Arial"/>
          <w:sz w:val="20"/>
          <w:szCs w:val="20"/>
        </w:rPr>
        <w:t>f.sp</w:t>
      </w:r>
      <w:proofErr w:type="spellEnd"/>
      <w:r w:rsidRPr="008A22E8">
        <w:rPr>
          <w:rFonts w:ascii="Arial" w:hAnsi="Arial" w:cs="Arial"/>
          <w:sz w:val="20"/>
          <w:szCs w:val="20"/>
        </w:rPr>
        <w:t xml:space="preserve">. </w:t>
      </w:r>
      <w:proofErr w:type="spellStart"/>
      <w:r w:rsidRPr="008A22E8">
        <w:rPr>
          <w:rFonts w:ascii="Arial" w:hAnsi="Arial" w:cs="Arial"/>
          <w:sz w:val="20"/>
          <w:szCs w:val="20"/>
        </w:rPr>
        <w:t>cubense</w:t>
      </w:r>
      <w:proofErr w:type="spellEnd"/>
      <w:r w:rsidRPr="008A22E8">
        <w:rPr>
          <w:rFonts w:ascii="Arial" w:hAnsi="Arial" w:cs="Arial"/>
          <w:sz w:val="20"/>
          <w:szCs w:val="20"/>
        </w:rPr>
        <w:t xml:space="preserve"> in Australia. Australian Journal of Experimental Agriculture, 33(6), 797–802. </w:t>
      </w:r>
      <w:hyperlink r:id="rId45" w:history="1">
        <w:r w:rsidRPr="004472FD">
          <w:rPr>
            <w:rStyle w:val="Hyperlink"/>
            <w:rFonts w:ascii="Arial" w:hAnsi="Arial" w:cs="Arial"/>
            <w:sz w:val="20"/>
            <w:szCs w:val="20"/>
          </w:rPr>
          <w:t>https://doi.org/10.1071/EA9930797</w:t>
        </w:r>
      </w:hyperlink>
      <w:r>
        <w:rPr>
          <w:rFonts w:ascii="Arial" w:hAnsi="Arial" w:cs="Arial"/>
          <w:sz w:val="20"/>
          <w:szCs w:val="20"/>
        </w:rPr>
        <w:t xml:space="preserve"> </w:t>
      </w:r>
    </w:p>
    <w:p w14:paraId="72DBF496" w14:textId="14445457" w:rsidR="00C071E5" w:rsidRPr="00E97BCA" w:rsidRDefault="00A94E3D" w:rsidP="003624A6">
      <w:pPr>
        <w:pStyle w:val="NormalWeb"/>
        <w:spacing w:before="0" w:beforeAutospacing="0" w:after="0" w:afterAutospacing="0" w:line="312" w:lineRule="auto"/>
        <w:jc w:val="both"/>
        <w:rPr>
          <w:rFonts w:ascii="Arial" w:hAnsi="Arial" w:cs="Arial"/>
          <w:sz w:val="20"/>
          <w:szCs w:val="20"/>
        </w:rPr>
      </w:pPr>
      <w:r w:rsidRPr="00A94E3D">
        <w:rPr>
          <w:rFonts w:ascii="Arial" w:hAnsi="Arial" w:cs="Arial"/>
          <w:sz w:val="20"/>
          <w:szCs w:val="20"/>
        </w:rPr>
        <w:t xml:space="preserve">Mostert, D., Molina, A. B., </w:t>
      </w:r>
      <w:proofErr w:type="spellStart"/>
      <w:r w:rsidRPr="00A94E3D">
        <w:rPr>
          <w:rFonts w:ascii="Arial" w:hAnsi="Arial" w:cs="Arial"/>
          <w:sz w:val="20"/>
          <w:szCs w:val="20"/>
        </w:rPr>
        <w:t>Daniells</w:t>
      </w:r>
      <w:proofErr w:type="spellEnd"/>
      <w:r w:rsidRPr="00A94E3D">
        <w:rPr>
          <w:rFonts w:ascii="Arial" w:hAnsi="Arial" w:cs="Arial"/>
          <w:sz w:val="20"/>
          <w:szCs w:val="20"/>
        </w:rPr>
        <w:t xml:space="preserve">, J., Fourie, G., </w:t>
      </w:r>
      <w:proofErr w:type="spellStart"/>
      <w:r w:rsidRPr="00A94E3D">
        <w:rPr>
          <w:rFonts w:ascii="Arial" w:hAnsi="Arial" w:cs="Arial"/>
          <w:sz w:val="20"/>
          <w:szCs w:val="20"/>
        </w:rPr>
        <w:t>Hermanto</w:t>
      </w:r>
      <w:proofErr w:type="spellEnd"/>
      <w:r w:rsidRPr="00A94E3D">
        <w:rPr>
          <w:rFonts w:ascii="Arial" w:hAnsi="Arial" w:cs="Arial"/>
          <w:sz w:val="20"/>
          <w:szCs w:val="20"/>
        </w:rPr>
        <w:t xml:space="preserve">, C., Chao, C. P., </w:t>
      </w:r>
      <w:proofErr w:type="spellStart"/>
      <w:r w:rsidRPr="00A94E3D">
        <w:rPr>
          <w:rFonts w:ascii="Arial" w:hAnsi="Arial" w:cs="Arial"/>
          <w:sz w:val="20"/>
          <w:szCs w:val="20"/>
        </w:rPr>
        <w:t>Fabregar</w:t>
      </w:r>
      <w:proofErr w:type="spellEnd"/>
      <w:r w:rsidRPr="00A94E3D">
        <w:rPr>
          <w:rFonts w:ascii="Arial" w:hAnsi="Arial" w:cs="Arial"/>
          <w:sz w:val="20"/>
          <w:szCs w:val="20"/>
        </w:rPr>
        <w:t xml:space="preserve">, E., &amp; Viljoen, A. (2017). The distribution and host range of the banana Fusarium wilt fungus, Fusarium </w:t>
      </w:r>
      <w:proofErr w:type="spellStart"/>
      <w:r w:rsidRPr="00A94E3D">
        <w:rPr>
          <w:rFonts w:ascii="Arial" w:hAnsi="Arial" w:cs="Arial"/>
          <w:sz w:val="20"/>
          <w:szCs w:val="20"/>
        </w:rPr>
        <w:t>oxysporum</w:t>
      </w:r>
      <w:proofErr w:type="spellEnd"/>
      <w:r w:rsidRPr="00A94E3D">
        <w:rPr>
          <w:rFonts w:ascii="Arial" w:hAnsi="Arial" w:cs="Arial"/>
          <w:sz w:val="20"/>
          <w:szCs w:val="20"/>
        </w:rPr>
        <w:t xml:space="preserve"> f. sp. </w:t>
      </w:r>
      <w:proofErr w:type="spellStart"/>
      <w:r w:rsidRPr="00A94E3D">
        <w:rPr>
          <w:rFonts w:ascii="Arial" w:hAnsi="Arial" w:cs="Arial"/>
          <w:sz w:val="20"/>
          <w:szCs w:val="20"/>
        </w:rPr>
        <w:t>cubense</w:t>
      </w:r>
      <w:proofErr w:type="spellEnd"/>
      <w:r w:rsidRPr="00A94E3D">
        <w:rPr>
          <w:rFonts w:ascii="Arial" w:hAnsi="Arial" w:cs="Arial"/>
          <w:sz w:val="20"/>
          <w:szCs w:val="20"/>
        </w:rPr>
        <w:t xml:space="preserve">, in Asia. PLOS ONE, 12(7), e0181630 </w:t>
      </w:r>
      <w:hyperlink r:id="rId46" w:history="1">
        <w:r w:rsidRPr="004472FD">
          <w:rPr>
            <w:rStyle w:val="Hyperlink"/>
            <w:rFonts w:ascii="Arial" w:hAnsi="Arial" w:cs="Arial"/>
            <w:sz w:val="20"/>
            <w:szCs w:val="20"/>
          </w:rPr>
          <w:t>https://doi.org/10.1371/journal.pone.0181630</w:t>
        </w:r>
      </w:hyperlink>
      <w:r>
        <w:rPr>
          <w:rFonts w:ascii="Arial" w:hAnsi="Arial" w:cs="Arial"/>
          <w:sz w:val="20"/>
          <w:szCs w:val="20"/>
        </w:rPr>
        <w:t xml:space="preserve"> </w:t>
      </w:r>
    </w:p>
    <w:p w14:paraId="7B4302EE" w14:textId="7BFC25F1" w:rsidR="00C071E5" w:rsidRPr="00E97BCA" w:rsidRDefault="00C23F50" w:rsidP="003624A6">
      <w:pPr>
        <w:pStyle w:val="NormalWeb"/>
        <w:spacing w:before="0" w:beforeAutospacing="0" w:after="0" w:afterAutospacing="0" w:line="312" w:lineRule="auto"/>
        <w:jc w:val="both"/>
        <w:rPr>
          <w:rFonts w:ascii="Arial" w:hAnsi="Arial" w:cs="Arial"/>
          <w:sz w:val="20"/>
          <w:szCs w:val="20"/>
        </w:rPr>
      </w:pPr>
      <w:r w:rsidRPr="00C23F50">
        <w:rPr>
          <w:rFonts w:ascii="Arial" w:hAnsi="Arial" w:cs="Arial"/>
          <w:sz w:val="20"/>
          <w:szCs w:val="20"/>
        </w:rPr>
        <w:t xml:space="preserve">Nelson, P. E., </w:t>
      </w:r>
      <w:proofErr w:type="spellStart"/>
      <w:r w:rsidRPr="00C23F50">
        <w:rPr>
          <w:rFonts w:ascii="Arial" w:hAnsi="Arial" w:cs="Arial"/>
          <w:sz w:val="20"/>
          <w:szCs w:val="20"/>
        </w:rPr>
        <w:t>Toussoun</w:t>
      </w:r>
      <w:proofErr w:type="spellEnd"/>
      <w:r w:rsidRPr="00C23F50">
        <w:rPr>
          <w:rFonts w:ascii="Arial" w:hAnsi="Arial" w:cs="Arial"/>
          <w:sz w:val="20"/>
          <w:szCs w:val="20"/>
        </w:rPr>
        <w:t xml:space="preserve">, T. A., &amp; </w:t>
      </w:r>
      <w:proofErr w:type="spellStart"/>
      <w:r w:rsidRPr="00C23F50">
        <w:rPr>
          <w:rFonts w:ascii="Arial" w:hAnsi="Arial" w:cs="Arial"/>
          <w:sz w:val="20"/>
          <w:szCs w:val="20"/>
        </w:rPr>
        <w:t>Marasas</w:t>
      </w:r>
      <w:proofErr w:type="spellEnd"/>
      <w:r w:rsidRPr="00C23F50">
        <w:rPr>
          <w:rFonts w:ascii="Arial" w:hAnsi="Arial" w:cs="Arial"/>
          <w:sz w:val="20"/>
          <w:szCs w:val="20"/>
        </w:rPr>
        <w:t xml:space="preserve">, W. F. O. (1983). Fusarium species: An illustrated manual for identification. Pennsylvania State University Press. </w:t>
      </w:r>
      <w:hyperlink r:id="rId47" w:history="1">
        <w:r w:rsidRPr="004472FD">
          <w:rPr>
            <w:rStyle w:val="Hyperlink"/>
            <w:rFonts w:ascii="Arial" w:hAnsi="Arial" w:cs="Arial"/>
            <w:sz w:val="20"/>
            <w:szCs w:val="20"/>
          </w:rPr>
          <w:t>https://ciat.cgiar.org/library/catalog/details/fusearch/fusarium-species-an-illustrated-manual-for-identification/</w:t>
        </w:r>
      </w:hyperlink>
      <w:r>
        <w:rPr>
          <w:rFonts w:ascii="Arial" w:hAnsi="Arial" w:cs="Arial"/>
          <w:sz w:val="20"/>
          <w:szCs w:val="20"/>
        </w:rPr>
        <w:t xml:space="preserve"> </w:t>
      </w:r>
    </w:p>
    <w:p w14:paraId="54D4645D" w14:textId="6D2B84E5" w:rsidR="00C071E5" w:rsidRPr="00E97BCA" w:rsidRDefault="008B5C17" w:rsidP="003624A6">
      <w:pPr>
        <w:pStyle w:val="NormalWeb"/>
        <w:spacing w:before="0" w:beforeAutospacing="0" w:after="0" w:afterAutospacing="0" w:line="312" w:lineRule="auto"/>
        <w:jc w:val="both"/>
        <w:rPr>
          <w:rFonts w:ascii="Arial" w:hAnsi="Arial" w:cs="Arial"/>
          <w:sz w:val="20"/>
          <w:szCs w:val="20"/>
        </w:rPr>
      </w:pPr>
      <w:r w:rsidRPr="008B5C17">
        <w:rPr>
          <w:rFonts w:ascii="Arial" w:hAnsi="Arial" w:cs="Arial"/>
          <w:sz w:val="20"/>
          <w:szCs w:val="20"/>
        </w:rPr>
        <w:t xml:space="preserve">O’Donnell, K., Kistler, H. C., </w:t>
      </w:r>
      <w:proofErr w:type="spellStart"/>
      <w:r w:rsidRPr="008B5C17">
        <w:rPr>
          <w:rFonts w:ascii="Arial" w:hAnsi="Arial" w:cs="Arial"/>
          <w:sz w:val="20"/>
          <w:szCs w:val="20"/>
        </w:rPr>
        <w:t>Cigelnik</w:t>
      </w:r>
      <w:proofErr w:type="spellEnd"/>
      <w:r w:rsidRPr="008B5C17">
        <w:rPr>
          <w:rFonts w:ascii="Arial" w:hAnsi="Arial" w:cs="Arial"/>
          <w:sz w:val="20"/>
          <w:szCs w:val="20"/>
        </w:rPr>
        <w:t xml:space="preserve">, E., &amp; </w:t>
      </w:r>
      <w:proofErr w:type="spellStart"/>
      <w:r w:rsidRPr="008B5C17">
        <w:rPr>
          <w:rFonts w:ascii="Arial" w:hAnsi="Arial" w:cs="Arial"/>
          <w:sz w:val="20"/>
          <w:szCs w:val="20"/>
        </w:rPr>
        <w:t>Ploetz</w:t>
      </w:r>
      <w:proofErr w:type="spellEnd"/>
      <w:r w:rsidRPr="008B5C17">
        <w:rPr>
          <w:rFonts w:ascii="Arial" w:hAnsi="Arial" w:cs="Arial"/>
          <w:sz w:val="20"/>
          <w:szCs w:val="20"/>
        </w:rPr>
        <w:t xml:space="preserve">, R. C. (1998). Multiple evolutionary origins of the fungus causing Panama disease of banana: concordant evidence from nuclear and mitochondrial gene genealogies. Proceedings of the National Academy of Sciences of the United States of America, 95(5), 2044–2049. </w:t>
      </w:r>
      <w:hyperlink r:id="rId48" w:history="1">
        <w:r w:rsidRPr="004472FD">
          <w:rPr>
            <w:rStyle w:val="Hyperlink"/>
            <w:rFonts w:ascii="Arial" w:hAnsi="Arial" w:cs="Arial"/>
            <w:sz w:val="20"/>
            <w:szCs w:val="20"/>
          </w:rPr>
          <w:t>https://doi.org/10.1073/pnas.95.5.2044</w:t>
        </w:r>
      </w:hyperlink>
      <w:r>
        <w:rPr>
          <w:rFonts w:ascii="Arial" w:hAnsi="Arial" w:cs="Arial"/>
          <w:sz w:val="20"/>
          <w:szCs w:val="20"/>
        </w:rPr>
        <w:t xml:space="preserve"> </w:t>
      </w:r>
    </w:p>
    <w:p w14:paraId="731B2005"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proofErr w:type="spellStart"/>
      <w:r w:rsidRPr="00E97BCA">
        <w:rPr>
          <w:rFonts w:ascii="Arial" w:hAnsi="Arial" w:cs="Arial"/>
          <w:sz w:val="20"/>
          <w:szCs w:val="20"/>
        </w:rPr>
        <w:t>Pegg</w:t>
      </w:r>
      <w:proofErr w:type="spellEnd"/>
      <w:r w:rsidRPr="00E97BCA">
        <w:rPr>
          <w:rFonts w:ascii="Arial" w:hAnsi="Arial" w:cs="Arial"/>
          <w:sz w:val="20"/>
          <w:szCs w:val="20"/>
        </w:rPr>
        <w:t xml:space="preserve">, K. G., Moore, N. Y., &amp; Sorensen, S. (1995). Vegetative compatibility and pathogenic variation in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w:t>
      </w:r>
      <w:r w:rsidRPr="00E97BCA">
        <w:rPr>
          <w:rStyle w:val="Emphasis"/>
          <w:rFonts w:ascii="Arial" w:hAnsi="Arial" w:cs="Arial"/>
          <w:sz w:val="20"/>
          <w:szCs w:val="20"/>
        </w:rPr>
        <w:t>Plant Pathology, 44</w:t>
      </w:r>
      <w:r w:rsidRPr="00E97BCA">
        <w:rPr>
          <w:rFonts w:ascii="Arial" w:hAnsi="Arial" w:cs="Arial"/>
          <w:sz w:val="20"/>
          <w:szCs w:val="20"/>
        </w:rPr>
        <w:t>(4), 722–733.</w:t>
      </w:r>
    </w:p>
    <w:p w14:paraId="72A850A8" w14:textId="4B8304DB" w:rsidR="00C071E5" w:rsidRPr="00E97BCA" w:rsidRDefault="00F43417" w:rsidP="003624A6">
      <w:pPr>
        <w:pStyle w:val="NormalWeb"/>
        <w:spacing w:before="0" w:beforeAutospacing="0" w:after="0" w:afterAutospacing="0" w:line="312" w:lineRule="auto"/>
        <w:jc w:val="both"/>
        <w:rPr>
          <w:rFonts w:ascii="Arial" w:hAnsi="Arial" w:cs="Arial"/>
          <w:sz w:val="20"/>
          <w:szCs w:val="20"/>
        </w:rPr>
      </w:pPr>
      <w:proofErr w:type="spellStart"/>
      <w:r w:rsidRPr="00F43417">
        <w:rPr>
          <w:rFonts w:ascii="Arial" w:hAnsi="Arial" w:cs="Arial"/>
          <w:sz w:val="20"/>
          <w:szCs w:val="20"/>
        </w:rPr>
        <w:t>Pegg</w:t>
      </w:r>
      <w:proofErr w:type="spellEnd"/>
      <w:r w:rsidRPr="00F43417">
        <w:rPr>
          <w:rFonts w:ascii="Arial" w:hAnsi="Arial" w:cs="Arial"/>
          <w:sz w:val="20"/>
          <w:szCs w:val="20"/>
        </w:rPr>
        <w:t xml:space="preserve">, K. G., Coates, L. M., O’Neill, W. T., &amp; Turner, D. W. (2019). The epidemiology of Fusarium wilt of banana. Frontiers in Plant Science. </w:t>
      </w:r>
      <w:hyperlink r:id="rId49" w:history="1">
        <w:r w:rsidRPr="004472FD">
          <w:rPr>
            <w:rStyle w:val="Hyperlink"/>
            <w:rFonts w:ascii="Arial" w:hAnsi="Arial" w:cs="Arial"/>
            <w:sz w:val="20"/>
            <w:szCs w:val="20"/>
          </w:rPr>
          <w:t>https://doi.org/10.3389/fpls.2019.01395</w:t>
        </w:r>
      </w:hyperlink>
      <w:r>
        <w:rPr>
          <w:rFonts w:ascii="Arial" w:hAnsi="Arial" w:cs="Arial"/>
          <w:sz w:val="20"/>
          <w:szCs w:val="20"/>
        </w:rPr>
        <w:t xml:space="preserve"> </w:t>
      </w:r>
    </w:p>
    <w:p w14:paraId="3E2B2C26" w14:textId="4C994F89" w:rsidR="00C071E5" w:rsidRPr="00E97BCA" w:rsidRDefault="00376ED7" w:rsidP="003624A6">
      <w:pPr>
        <w:pStyle w:val="NormalWeb"/>
        <w:spacing w:before="0" w:beforeAutospacing="0" w:after="0" w:afterAutospacing="0" w:line="312" w:lineRule="auto"/>
        <w:jc w:val="both"/>
        <w:rPr>
          <w:rFonts w:ascii="Arial" w:hAnsi="Arial" w:cs="Arial"/>
          <w:sz w:val="20"/>
          <w:szCs w:val="20"/>
        </w:rPr>
      </w:pPr>
      <w:proofErr w:type="spellStart"/>
      <w:r w:rsidRPr="00376ED7">
        <w:rPr>
          <w:rFonts w:ascii="Arial" w:hAnsi="Arial" w:cs="Arial"/>
          <w:sz w:val="20"/>
          <w:szCs w:val="20"/>
        </w:rPr>
        <w:t>Ploetz</w:t>
      </w:r>
      <w:proofErr w:type="spellEnd"/>
      <w:r w:rsidRPr="00376ED7">
        <w:rPr>
          <w:rFonts w:ascii="Arial" w:hAnsi="Arial" w:cs="Arial"/>
          <w:sz w:val="20"/>
          <w:szCs w:val="20"/>
        </w:rPr>
        <w:t xml:space="preserve">, R. C. (1990). Population biology of Fusarium </w:t>
      </w:r>
      <w:proofErr w:type="spellStart"/>
      <w:r w:rsidRPr="00376ED7">
        <w:rPr>
          <w:rFonts w:ascii="Arial" w:hAnsi="Arial" w:cs="Arial"/>
          <w:sz w:val="20"/>
          <w:szCs w:val="20"/>
        </w:rPr>
        <w:t>oxysporum</w:t>
      </w:r>
      <w:proofErr w:type="spellEnd"/>
      <w:r w:rsidRPr="00376ED7">
        <w:rPr>
          <w:rFonts w:ascii="Arial" w:hAnsi="Arial" w:cs="Arial"/>
          <w:sz w:val="20"/>
          <w:szCs w:val="20"/>
        </w:rPr>
        <w:t xml:space="preserve"> f. sp. </w:t>
      </w:r>
      <w:proofErr w:type="spellStart"/>
      <w:r w:rsidRPr="00376ED7">
        <w:rPr>
          <w:rFonts w:ascii="Arial" w:hAnsi="Arial" w:cs="Arial"/>
          <w:sz w:val="20"/>
          <w:szCs w:val="20"/>
        </w:rPr>
        <w:t>cubense</w:t>
      </w:r>
      <w:proofErr w:type="spellEnd"/>
      <w:r w:rsidRPr="00376ED7">
        <w:rPr>
          <w:rFonts w:ascii="Arial" w:hAnsi="Arial" w:cs="Arial"/>
          <w:sz w:val="20"/>
          <w:szCs w:val="20"/>
        </w:rPr>
        <w:t xml:space="preserve">. In R. C. </w:t>
      </w:r>
      <w:proofErr w:type="spellStart"/>
      <w:r w:rsidRPr="00376ED7">
        <w:rPr>
          <w:rFonts w:ascii="Arial" w:hAnsi="Arial" w:cs="Arial"/>
          <w:sz w:val="20"/>
          <w:szCs w:val="20"/>
        </w:rPr>
        <w:t>Ploetz</w:t>
      </w:r>
      <w:proofErr w:type="spellEnd"/>
      <w:r w:rsidRPr="00376ED7">
        <w:rPr>
          <w:rFonts w:ascii="Arial" w:hAnsi="Arial" w:cs="Arial"/>
          <w:sz w:val="20"/>
          <w:szCs w:val="20"/>
        </w:rPr>
        <w:t xml:space="preserve"> (Ed.), Fusarium wilt of banana (pp. 63–67). The American </w:t>
      </w:r>
      <w:proofErr w:type="spellStart"/>
      <w:r w:rsidRPr="00376ED7">
        <w:rPr>
          <w:rFonts w:ascii="Arial" w:hAnsi="Arial" w:cs="Arial"/>
          <w:sz w:val="20"/>
          <w:szCs w:val="20"/>
        </w:rPr>
        <w:t>Phytopathological</w:t>
      </w:r>
      <w:proofErr w:type="spellEnd"/>
      <w:r w:rsidRPr="00376ED7">
        <w:rPr>
          <w:rFonts w:ascii="Arial" w:hAnsi="Arial" w:cs="Arial"/>
          <w:sz w:val="20"/>
          <w:szCs w:val="20"/>
        </w:rPr>
        <w:t xml:space="preserve"> Society.</w:t>
      </w:r>
      <w:r>
        <w:rPr>
          <w:rFonts w:ascii="Arial" w:hAnsi="Arial" w:cs="Arial"/>
          <w:sz w:val="20"/>
          <w:szCs w:val="20"/>
        </w:rPr>
        <w:t xml:space="preserve"> </w:t>
      </w:r>
    </w:p>
    <w:p w14:paraId="19499608" w14:textId="20D5CAC4" w:rsidR="00C071E5" w:rsidRPr="00E97BCA" w:rsidRDefault="00DB7F8E" w:rsidP="003624A6">
      <w:pPr>
        <w:pStyle w:val="NormalWeb"/>
        <w:spacing w:before="0" w:beforeAutospacing="0" w:after="0" w:afterAutospacing="0" w:line="312" w:lineRule="auto"/>
        <w:jc w:val="both"/>
        <w:rPr>
          <w:rFonts w:ascii="Arial" w:hAnsi="Arial" w:cs="Arial"/>
          <w:sz w:val="20"/>
          <w:szCs w:val="20"/>
        </w:rPr>
      </w:pPr>
      <w:proofErr w:type="spellStart"/>
      <w:r w:rsidRPr="00DB7F8E">
        <w:rPr>
          <w:rFonts w:ascii="Arial" w:hAnsi="Arial" w:cs="Arial"/>
          <w:sz w:val="20"/>
          <w:szCs w:val="20"/>
        </w:rPr>
        <w:t>Ploetz</w:t>
      </w:r>
      <w:proofErr w:type="spellEnd"/>
      <w:r w:rsidRPr="00DB7F8E">
        <w:rPr>
          <w:rFonts w:ascii="Arial" w:hAnsi="Arial" w:cs="Arial"/>
          <w:sz w:val="20"/>
          <w:szCs w:val="20"/>
        </w:rPr>
        <w:t xml:space="preserve">, R. C. (2006). Panama Disease: An Old Nemesis Rears its Ugly Head Part 2. The Cavendish Era and Beyond. Plant Health Progress, 7(1). </w:t>
      </w:r>
      <w:hyperlink r:id="rId50" w:history="1">
        <w:r w:rsidRPr="004472FD">
          <w:rPr>
            <w:rStyle w:val="Hyperlink"/>
            <w:rFonts w:ascii="Arial" w:hAnsi="Arial" w:cs="Arial"/>
            <w:sz w:val="20"/>
            <w:szCs w:val="20"/>
          </w:rPr>
          <w:t>https://doi.org/10.1094/PHP-2006-0308-01-RV</w:t>
        </w:r>
      </w:hyperlink>
      <w:r>
        <w:rPr>
          <w:rFonts w:ascii="Arial" w:hAnsi="Arial" w:cs="Arial"/>
          <w:sz w:val="20"/>
          <w:szCs w:val="20"/>
        </w:rPr>
        <w:t xml:space="preserve"> </w:t>
      </w:r>
    </w:p>
    <w:p w14:paraId="370D7DC9" w14:textId="6DF66A95" w:rsidR="00C071E5" w:rsidRPr="00E97BCA" w:rsidRDefault="00914212" w:rsidP="003624A6">
      <w:pPr>
        <w:pStyle w:val="NormalWeb"/>
        <w:spacing w:before="0" w:beforeAutospacing="0" w:after="0" w:afterAutospacing="0" w:line="312" w:lineRule="auto"/>
        <w:jc w:val="both"/>
        <w:rPr>
          <w:rFonts w:ascii="Arial" w:hAnsi="Arial" w:cs="Arial"/>
          <w:sz w:val="20"/>
          <w:szCs w:val="20"/>
        </w:rPr>
      </w:pPr>
      <w:proofErr w:type="spellStart"/>
      <w:r w:rsidRPr="00914212">
        <w:rPr>
          <w:rFonts w:ascii="Arial" w:hAnsi="Arial" w:cs="Arial"/>
          <w:sz w:val="20"/>
          <w:szCs w:val="20"/>
        </w:rPr>
        <w:t>Ploetz</w:t>
      </w:r>
      <w:proofErr w:type="spellEnd"/>
      <w:r w:rsidRPr="00914212">
        <w:rPr>
          <w:rFonts w:ascii="Arial" w:hAnsi="Arial" w:cs="Arial"/>
          <w:sz w:val="20"/>
          <w:szCs w:val="20"/>
        </w:rPr>
        <w:t xml:space="preserve">, R. C. (2006). Fusarium wilt of banana is caused by several pathogens referred to as Fusarium </w:t>
      </w:r>
      <w:proofErr w:type="spellStart"/>
      <w:r w:rsidRPr="00914212">
        <w:rPr>
          <w:rFonts w:ascii="Arial" w:hAnsi="Arial" w:cs="Arial"/>
          <w:sz w:val="20"/>
          <w:szCs w:val="20"/>
        </w:rPr>
        <w:t>oxysporum</w:t>
      </w:r>
      <w:proofErr w:type="spellEnd"/>
      <w:r w:rsidRPr="00914212">
        <w:rPr>
          <w:rFonts w:ascii="Arial" w:hAnsi="Arial" w:cs="Arial"/>
          <w:sz w:val="20"/>
          <w:szCs w:val="20"/>
        </w:rPr>
        <w:t xml:space="preserve"> f. sp. </w:t>
      </w:r>
      <w:proofErr w:type="spellStart"/>
      <w:r w:rsidRPr="00914212">
        <w:rPr>
          <w:rFonts w:ascii="Arial" w:hAnsi="Arial" w:cs="Arial"/>
          <w:sz w:val="20"/>
          <w:szCs w:val="20"/>
        </w:rPr>
        <w:t>cubense</w:t>
      </w:r>
      <w:proofErr w:type="spellEnd"/>
      <w:r w:rsidRPr="00914212">
        <w:rPr>
          <w:rFonts w:ascii="Arial" w:hAnsi="Arial" w:cs="Arial"/>
          <w:sz w:val="20"/>
          <w:szCs w:val="20"/>
        </w:rPr>
        <w:t xml:space="preserve">. Phytopathology, 96(6), 653–656. </w:t>
      </w:r>
      <w:hyperlink r:id="rId51" w:history="1">
        <w:r w:rsidRPr="004472FD">
          <w:rPr>
            <w:rStyle w:val="Hyperlink"/>
            <w:rFonts w:ascii="Arial" w:hAnsi="Arial" w:cs="Arial"/>
            <w:sz w:val="20"/>
            <w:szCs w:val="20"/>
          </w:rPr>
          <w:t>https://doi.org/10.1094/PHYTO-96-0653</w:t>
        </w:r>
      </w:hyperlink>
      <w:r>
        <w:rPr>
          <w:rFonts w:ascii="Arial" w:hAnsi="Arial" w:cs="Arial"/>
          <w:sz w:val="20"/>
          <w:szCs w:val="20"/>
        </w:rPr>
        <w:t xml:space="preserve"> </w:t>
      </w:r>
    </w:p>
    <w:p w14:paraId="1B9F496F" w14:textId="21FA5FCE" w:rsidR="00C071E5" w:rsidRPr="00E97BCA" w:rsidRDefault="001C1F3C" w:rsidP="003624A6">
      <w:pPr>
        <w:pStyle w:val="NormalWeb"/>
        <w:spacing w:before="0" w:beforeAutospacing="0" w:after="0" w:afterAutospacing="0" w:line="312" w:lineRule="auto"/>
        <w:jc w:val="both"/>
        <w:rPr>
          <w:rFonts w:ascii="Arial" w:hAnsi="Arial" w:cs="Arial"/>
          <w:sz w:val="20"/>
          <w:szCs w:val="20"/>
        </w:rPr>
      </w:pPr>
      <w:proofErr w:type="spellStart"/>
      <w:r w:rsidRPr="001C1F3C">
        <w:rPr>
          <w:rFonts w:ascii="Arial" w:hAnsi="Arial" w:cs="Arial"/>
          <w:sz w:val="20"/>
          <w:szCs w:val="20"/>
        </w:rPr>
        <w:t>Ploetz</w:t>
      </w:r>
      <w:proofErr w:type="spellEnd"/>
      <w:r w:rsidRPr="001C1F3C">
        <w:rPr>
          <w:rFonts w:ascii="Arial" w:hAnsi="Arial" w:cs="Arial"/>
          <w:sz w:val="20"/>
          <w:szCs w:val="20"/>
        </w:rPr>
        <w:t xml:space="preserve">, R. C. (2015). Management of Fusarium wilt of banana: A review with special reference to tropical race 4. Crop Protection, 73, 7–15. </w:t>
      </w:r>
      <w:hyperlink r:id="rId52" w:history="1">
        <w:r w:rsidRPr="004472FD">
          <w:rPr>
            <w:rStyle w:val="Hyperlink"/>
            <w:rFonts w:ascii="Arial" w:hAnsi="Arial" w:cs="Arial"/>
            <w:sz w:val="20"/>
            <w:szCs w:val="20"/>
          </w:rPr>
          <w:t>https://doi.org/10.1016/j.cropro.2015.01.007</w:t>
        </w:r>
      </w:hyperlink>
      <w:r>
        <w:rPr>
          <w:rFonts w:ascii="Arial" w:hAnsi="Arial" w:cs="Arial"/>
          <w:sz w:val="20"/>
          <w:szCs w:val="20"/>
        </w:rPr>
        <w:t xml:space="preserve"> </w:t>
      </w:r>
    </w:p>
    <w:p w14:paraId="48D0F0C1" w14:textId="3901BE39" w:rsidR="00C071E5" w:rsidRPr="00E97BCA" w:rsidRDefault="00413084" w:rsidP="003624A6">
      <w:pPr>
        <w:pStyle w:val="NormalWeb"/>
        <w:spacing w:before="0" w:beforeAutospacing="0" w:after="0" w:afterAutospacing="0" w:line="312" w:lineRule="auto"/>
        <w:jc w:val="both"/>
        <w:rPr>
          <w:rFonts w:ascii="Arial" w:hAnsi="Arial" w:cs="Arial"/>
          <w:sz w:val="20"/>
          <w:szCs w:val="20"/>
        </w:rPr>
      </w:pPr>
      <w:proofErr w:type="spellStart"/>
      <w:r w:rsidRPr="00413084">
        <w:rPr>
          <w:rFonts w:ascii="Arial" w:hAnsi="Arial" w:cs="Arial"/>
          <w:sz w:val="20"/>
          <w:szCs w:val="20"/>
        </w:rPr>
        <w:t>Puhalla</w:t>
      </w:r>
      <w:proofErr w:type="spellEnd"/>
      <w:r w:rsidRPr="00413084">
        <w:rPr>
          <w:rFonts w:ascii="Arial" w:hAnsi="Arial" w:cs="Arial"/>
          <w:sz w:val="20"/>
          <w:szCs w:val="20"/>
        </w:rPr>
        <w:t xml:space="preserve">, J. E. (1985). Classification of strains of Fusarium </w:t>
      </w:r>
      <w:proofErr w:type="spellStart"/>
      <w:r w:rsidRPr="00413084">
        <w:rPr>
          <w:rFonts w:ascii="Arial" w:hAnsi="Arial" w:cs="Arial"/>
          <w:sz w:val="20"/>
          <w:szCs w:val="20"/>
        </w:rPr>
        <w:t>oxysporum</w:t>
      </w:r>
      <w:proofErr w:type="spellEnd"/>
      <w:r w:rsidRPr="00413084">
        <w:rPr>
          <w:rFonts w:ascii="Arial" w:hAnsi="Arial" w:cs="Arial"/>
          <w:sz w:val="20"/>
          <w:szCs w:val="20"/>
        </w:rPr>
        <w:t xml:space="preserve"> on the basis of vegetative compatibility. Canadian Journal of Botany, 63(2), 179–183. </w:t>
      </w:r>
      <w:hyperlink r:id="rId53" w:history="1">
        <w:r w:rsidRPr="004472FD">
          <w:rPr>
            <w:rStyle w:val="Hyperlink"/>
            <w:rFonts w:ascii="Arial" w:hAnsi="Arial" w:cs="Arial"/>
            <w:sz w:val="20"/>
            <w:szCs w:val="20"/>
          </w:rPr>
          <w:t>https://doi.org/10.1139/b85-020</w:t>
        </w:r>
      </w:hyperlink>
      <w:r>
        <w:rPr>
          <w:rFonts w:ascii="Arial" w:hAnsi="Arial" w:cs="Arial"/>
          <w:sz w:val="20"/>
          <w:szCs w:val="20"/>
        </w:rPr>
        <w:t xml:space="preserve"> </w:t>
      </w:r>
    </w:p>
    <w:p w14:paraId="12B0F641"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proofErr w:type="spellStart"/>
      <w:r w:rsidRPr="00E97BCA">
        <w:rPr>
          <w:rFonts w:ascii="Arial" w:hAnsi="Arial" w:cs="Arial"/>
          <w:sz w:val="20"/>
          <w:szCs w:val="20"/>
        </w:rPr>
        <w:lastRenderedPageBreak/>
        <w:t>Riska</w:t>
      </w:r>
      <w:proofErr w:type="spellEnd"/>
      <w:r w:rsidRPr="00E97BCA">
        <w:rPr>
          <w:rFonts w:ascii="Arial" w:hAnsi="Arial" w:cs="Arial"/>
          <w:sz w:val="20"/>
          <w:szCs w:val="20"/>
        </w:rPr>
        <w:t xml:space="preserve">, M., </w:t>
      </w:r>
      <w:proofErr w:type="spellStart"/>
      <w:r w:rsidRPr="00E97BCA">
        <w:rPr>
          <w:rFonts w:ascii="Arial" w:hAnsi="Arial" w:cs="Arial"/>
          <w:sz w:val="20"/>
          <w:szCs w:val="20"/>
        </w:rPr>
        <w:t>Thangavelu</w:t>
      </w:r>
      <w:proofErr w:type="spellEnd"/>
      <w:r w:rsidRPr="00E97BCA">
        <w:rPr>
          <w:rFonts w:ascii="Arial" w:hAnsi="Arial" w:cs="Arial"/>
          <w:sz w:val="20"/>
          <w:szCs w:val="20"/>
        </w:rPr>
        <w:t xml:space="preserve">, R., &amp; </w:t>
      </w:r>
      <w:proofErr w:type="spellStart"/>
      <w:r w:rsidRPr="00E97BCA">
        <w:rPr>
          <w:rFonts w:ascii="Arial" w:hAnsi="Arial" w:cs="Arial"/>
          <w:sz w:val="20"/>
          <w:szCs w:val="20"/>
        </w:rPr>
        <w:t>Mustaffa</w:t>
      </w:r>
      <w:proofErr w:type="spellEnd"/>
      <w:r w:rsidRPr="00E97BCA">
        <w:rPr>
          <w:rFonts w:ascii="Arial" w:hAnsi="Arial" w:cs="Arial"/>
          <w:sz w:val="20"/>
          <w:szCs w:val="20"/>
        </w:rPr>
        <w:t xml:space="preserve">, M. M. (2012). Vegetative compatibility grouping of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isolates from India. </w:t>
      </w:r>
      <w:r w:rsidRPr="00E97BCA">
        <w:rPr>
          <w:rStyle w:val="Emphasis"/>
          <w:rFonts w:ascii="Arial" w:hAnsi="Arial" w:cs="Arial"/>
          <w:sz w:val="20"/>
          <w:szCs w:val="20"/>
        </w:rPr>
        <w:t>Journal of Phytopathology, 160</w:t>
      </w:r>
      <w:r w:rsidRPr="00E97BCA">
        <w:rPr>
          <w:rFonts w:ascii="Arial" w:hAnsi="Arial" w:cs="Arial"/>
          <w:sz w:val="20"/>
          <w:szCs w:val="20"/>
        </w:rPr>
        <w:t>(11–12), 654–660.</w:t>
      </w:r>
    </w:p>
    <w:p w14:paraId="29E3E2CC"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proofErr w:type="spellStart"/>
      <w:r w:rsidRPr="00E97BCA">
        <w:rPr>
          <w:rFonts w:ascii="Arial" w:hAnsi="Arial" w:cs="Arial"/>
          <w:sz w:val="20"/>
          <w:szCs w:val="20"/>
        </w:rPr>
        <w:t>Thangavelu</w:t>
      </w:r>
      <w:proofErr w:type="spellEnd"/>
      <w:r w:rsidRPr="00E97BCA">
        <w:rPr>
          <w:rFonts w:ascii="Arial" w:hAnsi="Arial" w:cs="Arial"/>
          <w:sz w:val="20"/>
          <w:szCs w:val="20"/>
        </w:rPr>
        <w:t xml:space="preserve">, R., &amp; </w:t>
      </w:r>
      <w:proofErr w:type="spellStart"/>
      <w:r w:rsidRPr="00E97BCA">
        <w:rPr>
          <w:rFonts w:ascii="Arial" w:hAnsi="Arial" w:cs="Arial"/>
          <w:sz w:val="20"/>
          <w:szCs w:val="20"/>
        </w:rPr>
        <w:t>Mustaffa</w:t>
      </w:r>
      <w:proofErr w:type="spellEnd"/>
      <w:r w:rsidRPr="00E97BCA">
        <w:rPr>
          <w:rFonts w:ascii="Arial" w:hAnsi="Arial" w:cs="Arial"/>
          <w:sz w:val="20"/>
          <w:szCs w:val="20"/>
        </w:rPr>
        <w:t xml:space="preserve">, M. M. (2010). Vegetative compatibility groups and pathogenicity of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isolates. </w:t>
      </w:r>
      <w:r w:rsidRPr="00E97BCA">
        <w:rPr>
          <w:rStyle w:val="Emphasis"/>
          <w:rFonts w:ascii="Arial" w:hAnsi="Arial" w:cs="Arial"/>
          <w:sz w:val="20"/>
          <w:szCs w:val="20"/>
        </w:rPr>
        <w:t>Journal of Phytopathology, 158</w:t>
      </w:r>
      <w:r w:rsidRPr="00E97BCA">
        <w:rPr>
          <w:rFonts w:ascii="Arial" w:hAnsi="Arial" w:cs="Arial"/>
          <w:sz w:val="20"/>
          <w:szCs w:val="20"/>
        </w:rPr>
        <w:t>(7–8), 538–546.</w:t>
      </w:r>
    </w:p>
    <w:p w14:paraId="26807504" w14:textId="77777777" w:rsidR="00C071E5" w:rsidRPr="00E97BCA" w:rsidRDefault="00C071E5" w:rsidP="003624A6">
      <w:pPr>
        <w:pStyle w:val="NormalWeb"/>
        <w:spacing w:before="0" w:beforeAutospacing="0" w:after="0" w:afterAutospacing="0" w:line="312" w:lineRule="auto"/>
        <w:jc w:val="both"/>
        <w:rPr>
          <w:rFonts w:ascii="Arial" w:hAnsi="Arial" w:cs="Arial"/>
          <w:sz w:val="20"/>
          <w:szCs w:val="20"/>
        </w:rPr>
      </w:pPr>
      <w:proofErr w:type="spellStart"/>
      <w:r w:rsidRPr="00E97BCA">
        <w:rPr>
          <w:rFonts w:ascii="Arial" w:hAnsi="Arial" w:cs="Arial"/>
          <w:sz w:val="20"/>
          <w:szCs w:val="20"/>
        </w:rPr>
        <w:t>Thangavelu</w:t>
      </w:r>
      <w:proofErr w:type="spellEnd"/>
      <w:r w:rsidRPr="00E97BCA">
        <w:rPr>
          <w:rFonts w:ascii="Arial" w:hAnsi="Arial" w:cs="Arial"/>
          <w:sz w:val="20"/>
          <w:szCs w:val="20"/>
        </w:rPr>
        <w:t xml:space="preserve">, R., </w:t>
      </w:r>
      <w:proofErr w:type="spellStart"/>
      <w:r w:rsidRPr="00E97BCA">
        <w:rPr>
          <w:rFonts w:ascii="Arial" w:hAnsi="Arial" w:cs="Arial"/>
          <w:sz w:val="20"/>
          <w:szCs w:val="20"/>
        </w:rPr>
        <w:t>Palaniswami</w:t>
      </w:r>
      <w:proofErr w:type="spellEnd"/>
      <w:r w:rsidRPr="00E97BCA">
        <w:rPr>
          <w:rFonts w:ascii="Arial" w:hAnsi="Arial" w:cs="Arial"/>
          <w:sz w:val="20"/>
          <w:szCs w:val="20"/>
        </w:rPr>
        <w:t xml:space="preserve">, A., &amp; </w:t>
      </w:r>
      <w:proofErr w:type="spellStart"/>
      <w:r w:rsidRPr="00E97BCA">
        <w:rPr>
          <w:rFonts w:ascii="Arial" w:hAnsi="Arial" w:cs="Arial"/>
          <w:sz w:val="20"/>
          <w:szCs w:val="20"/>
        </w:rPr>
        <w:t>Velazhahan</w:t>
      </w:r>
      <w:proofErr w:type="spellEnd"/>
      <w:r w:rsidRPr="00E97BCA">
        <w:rPr>
          <w:rFonts w:ascii="Arial" w:hAnsi="Arial" w:cs="Arial"/>
          <w:sz w:val="20"/>
          <w:szCs w:val="20"/>
        </w:rPr>
        <w:t xml:space="preserve">, R. (2003). Vegetative compatibility grouping of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isolates from India. </w:t>
      </w:r>
      <w:r w:rsidRPr="00E97BCA">
        <w:rPr>
          <w:rStyle w:val="Emphasis"/>
          <w:rFonts w:ascii="Arial" w:hAnsi="Arial" w:cs="Arial"/>
          <w:sz w:val="20"/>
          <w:szCs w:val="20"/>
        </w:rPr>
        <w:t>Plant Disease, 87</w:t>
      </w:r>
      <w:r w:rsidRPr="00E97BCA">
        <w:rPr>
          <w:rFonts w:ascii="Arial" w:hAnsi="Arial" w:cs="Arial"/>
          <w:sz w:val="20"/>
          <w:szCs w:val="20"/>
        </w:rPr>
        <w:t>(3), 258–262.</w:t>
      </w:r>
    </w:p>
    <w:p w14:paraId="2915EA2E" w14:textId="47B6B17D" w:rsidR="00C071E5" w:rsidRPr="00E97BCA" w:rsidRDefault="00824276" w:rsidP="003624A6">
      <w:pPr>
        <w:pStyle w:val="NormalWeb"/>
        <w:spacing w:before="0" w:beforeAutospacing="0" w:after="0" w:afterAutospacing="0" w:line="312" w:lineRule="auto"/>
        <w:jc w:val="both"/>
        <w:rPr>
          <w:rFonts w:ascii="Arial" w:hAnsi="Arial" w:cs="Arial"/>
          <w:sz w:val="20"/>
          <w:szCs w:val="20"/>
        </w:rPr>
      </w:pPr>
      <w:proofErr w:type="spellStart"/>
      <w:r w:rsidRPr="00824276">
        <w:rPr>
          <w:rFonts w:ascii="Arial" w:hAnsi="Arial" w:cs="Arial"/>
          <w:sz w:val="20"/>
          <w:szCs w:val="20"/>
        </w:rPr>
        <w:t>Tushemereirwe</w:t>
      </w:r>
      <w:proofErr w:type="spellEnd"/>
      <w:r w:rsidRPr="00824276">
        <w:rPr>
          <w:rFonts w:ascii="Arial" w:hAnsi="Arial" w:cs="Arial"/>
          <w:sz w:val="20"/>
          <w:szCs w:val="20"/>
        </w:rPr>
        <w:t xml:space="preserve">, W. K., </w:t>
      </w:r>
      <w:proofErr w:type="spellStart"/>
      <w:r w:rsidRPr="00824276">
        <w:rPr>
          <w:rFonts w:ascii="Arial" w:hAnsi="Arial" w:cs="Arial"/>
          <w:sz w:val="20"/>
          <w:szCs w:val="20"/>
        </w:rPr>
        <w:t>Kangire</w:t>
      </w:r>
      <w:proofErr w:type="spellEnd"/>
      <w:r w:rsidRPr="00824276">
        <w:rPr>
          <w:rFonts w:ascii="Arial" w:hAnsi="Arial" w:cs="Arial"/>
          <w:sz w:val="20"/>
          <w:szCs w:val="20"/>
        </w:rPr>
        <w:t xml:space="preserve">, A., Smith, J. J., </w:t>
      </w:r>
      <w:proofErr w:type="spellStart"/>
      <w:r w:rsidRPr="00824276">
        <w:rPr>
          <w:rFonts w:ascii="Arial" w:hAnsi="Arial" w:cs="Arial"/>
          <w:sz w:val="20"/>
          <w:szCs w:val="20"/>
        </w:rPr>
        <w:t>Ssekiwoko</w:t>
      </w:r>
      <w:proofErr w:type="spellEnd"/>
      <w:r w:rsidRPr="00824276">
        <w:rPr>
          <w:rFonts w:ascii="Arial" w:hAnsi="Arial" w:cs="Arial"/>
          <w:sz w:val="20"/>
          <w:szCs w:val="20"/>
        </w:rPr>
        <w:t xml:space="preserve">, F., </w:t>
      </w:r>
      <w:proofErr w:type="spellStart"/>
      <w:r w:rsidRPr="00824276">
        <w:rPr>
          <w:rFonts w:ascii="Arial" w:hAnsi="Arial" w:cs="Arial"/>
          <w:sz w:val="20"/>
          <w:szCs w:val="20"/>
        </w:rPr>
        <w:t>Nakyanzi</w:t>
      </w:r>
      <w:proofErr w:type="spellEnd"/>
      <w:r w:rsidRPr="00824276">
        <w:rPr>
          <w:rFonts w:ascii="Arial" w:hAnsi="Arial" w:cs="Arial"/>
          <w:sz w:val="20"/>
          <w:szCs w:val="20"/>
        </w:rPr>
        <w:t xml:space="preserve">, M., </w:t>
      </w:r>
      <w:proofErr w:type="spellStart"/>
      <w:r w:rsidRPr="00824276">
        <w:rPr>
          <w:rFonts w:ascii="Arial" w:hAnsi="Arial" w:cs="Arial"/>
          <w:sz w:val="20"/>
          <w:szCs w:val="20"/>
        </w:rPr>
        <w:t>Kataama</w:t>
      </w:r>
      <w:proofErr w:type="spellEnd"/>
      <w:r w:rsidRPr="00824276">
        <w:rPr>
          <w:rFonts w:ascii="Arial" w:hAnsi="Arial" w:cs="Arial"/>
          <w:sz w:val="20"/>
          <w:szCs w:val="20"/>
        </w:rPr>
        <w:t xml:space="preserve">, D., &amp; </w:t>
      </w:r>
      <w:proofErr w:type="spellStart"/>
      <w:r w:rsidRPr="00824276">
        <w:rPr>
          <w:rFonts w:ascii="Arial" w:hAnsi="Arial" w:cs="Arial"/>
          <w:sz w:val="20"/>
          <w:szCs w:val="20"/>
        </w:rPr>
        <w:t>Karamura</w:t>
      </w:r>
      <w:proofErr w:type="spellEnd"/>
      <w:r w:rsidRPr="00824276">
        <w:rPr>
          <w:rFonts w:ascii="Arial" w:hAnsi="Arial" w:cs="Arial"/>
          <w:sz w:val="20"/>
          <w:szCs w:val="20"/>
        </w:rPr>
        <w:t xml:space="preserve">, E. B. (2000). An outbreak of Fusarium wilt on Cavendish bananas in Uganda. </w:t>
      </w:r>
      <w:proofErr w:type="spellStart"/>
      <w:r w:rsidRPr="00824276">
        <w:rPr>
          <w:rFonts w:ascii="Arial" w:hAnsi="Arial" w:cs="Arial"/>
          <w:sz w:val="20"/>
          <w:szCs w:val="20"/>
        </w:rPr>
        <w:t>Infomusa</w:t>
      </w:r>
      <w:proofErr w:type="spellEnd"/>
      <w:r w:rsidRPr="00824276">
        <w:rPr>
          <w:rFonts w:ascii="Arial" w:hAnsi="Arial" w:cs="Arial"/>
          <w:sz w:val="20"/>
          <w:szCs w:val="20"/>
        </w:rPr>
        <w:t xml:space="preserve">, 9(1), 14–16. </w:t>
      </w:r>
      <w:hyperlink r:id="rId54" w:history="1">
        <w:r w:rsidRPr="004472FD">
          <w:rPr>
            <w:rStyle w:val="Hyperlink"/>
            <w:rFonts w:ascii="Arial" w:hAnsi="Arial" w:cs="Arial"/>
            <w:sz w:val="20"/>
            <w:szCs w:val="20"/>
          </w:rPr>
          <w:t>https://hdl.handle.net/10568/105221</w:t>
        </w:r>
      </w:hyperlink>
      <w:r>
        <w:rPr>
          <w:rFonts w:ascii="Arial" w:hAnsi="Arial" w:cs="Arial"/>
          <w:sz w:val="20"/>
          <w:szCs w:val="20"/>
        </w:rPr>
        <w:t xml:space="preserve"> </w:t>
      </w:r>
    </w:p>
    <w:p w14:paraId="48C5A460" w14:textId="1AB2F8F8" w:rsidR="00C071E5" w:rsidRPr="00E97BCA" w:rsidRDefault="00824276" w:rsidP="003624A6">
      <w:pPr>
        <w:pStyle w:val="NormalWeb"/>
        <w:spacing w:before="0" w:beforeAutospacing="0" w:after="0" w:afterAutospacing="0" w:line="312" w:lineRule="auto"/>
        <w:jc w:val="both"/>
        <w:rPr>
          <w:rFonts w:ascii="Arial" w:hAnsi="Arial" w:cs="Arial"/>
          <w:sz w:val="20"/>
          <w:szCs w:val="20"/>
        </w:rPr>
      </w:pPr>
      <w:r w:rsidRPr="00824276">
        <w:rPr>
          <w:rFonts w:ascii="Arial" w:hAnsi="Arial" w:cs="Arial"/>
          <w:sz w:val="20"/>
          <w:szCs w:val="20"/>
        </w:rPr>
        <w:t xml:space="preserve">Visser, M., Gordon, T., Fourie, G., &amp; Viljoen, A. (2010). Characterization of South African isolates of Fusarium </w:t>
      </w:r>
      <w:proofErr w:type="spellStart"/>
      <w:r w:rsidRPr="00824276">
        <w:rPr>
          <w:rFonts w:ascii="Arial" w:hAnsi="Arial" w:cs="Arial"/>
          <w:sz w:val="20"/>
          <w:szCs w:val="20"/>
        </w:rPr>
        <w:t>oxysporum</w:t>
      </w:r>
      <w:proofErr w:type="spellEnd"/>
      <w:r w:rsidRPr="00824276">
        <w:rPr>
          <w:rFonts w:ascii="Arial" w:hAnsi="Arial" w:cs="Arial"/>
          <w:sz w:val="20"/>
          <w:szCs w:val="20"/>
        </w:rPr>
        <w:t xml:space="preserve"> </w:t>
      </w:r>
      <w:proofErr w:type="spellStart"/>
      <w:proofErr w:type="gramStart"/>
      <w:r w:rsidRPr="00824276">
        <w:rPr>
          <w:rFonts w:ascii="Arial" w:hAnsi="Arial" w:cs="Arial"/>
          <w:sz w:val="20"/>
          <w:szCs w:val="20"/>
        </w:rPr>
        <w:t>f.sp</w:t>
      </w:r>
      <w:proofErr w:type="spellEnd"/>
      <w:proofErr w:type="gramEnd"/>
      <w:r w:rsidRPr="00824276">
        <w:rPr>
          <w:rFonts w:ascii="Arial" w:hAnsi="Arial" w:cs="Arial"/>
          <w:sz w:val="20"/>
          <w:szCs w:val="20"/>
        </w:rPr>
        <w:t xml:space="preserve"> </w:t>
      </w:r>
      <w:proofErr w:type="spellStart"/>
      <w:r w:rsidRPr="00824276">
        <w:rPr>
          <w:rFonts w:ascii="Arial" w:hAnsi="Arial" w:cs="Arial"/>
          <w:sz w:val="20"/>
          <w:szCs w:val="20"/>
        </w:rPr>
        <w:t>cubense</w:t>
      </w:r>
      <w:proofErr w:type="spellEnd"/>
      <w:r w:rsidRPr="00824276">
        <w:rPr>
          <w:rFonts w:ascii="Arial" w:hAnsi="Arial" w:cs="Arial"/>
          <w:sz w:val="20"/>
          <w:szCs w:val="20"/>
        </w:rPr>
        <w:t xml:space="preserve"> from Cavendish banana. South African Journal of Science. </w:t>
      </w:r>
      <w:hyperlink r:id="rId55" w:history="1">
        <w:r w:rsidRPr="004472FD">
          <w:rPr>
            <w:rStyle w:val="Hyperlink"/>
            <w:rFonts w:ascii="Arial" w:hAnsi="Arial" w:cs="Arial"/>
            <w:sz w:val="20"/>
            <w:szCs w:val="20"/>
          </w:rPr>
          <w:t>https://doi.org/10.4102/sajs.v106i3/4.154</w:t>
        </w:r>
      </w:hyperlink>
      <w:r>
        <w:rPr>
          <w:rFonts w:ascii="Arial" w:hAnsi="Arial" w:cs="Arial"/>
          <w:sz w:val="20"/>
          <w:szCs w:val="20"/>
        </w:rPr>
        <w:t xml:space="preserve"> </w:t>
      </w:r>
    </w:p>
    <w:p w14:paraId="613FE385" w14:textId="2B853AAE" w:rsidR="00C071E5" w:rsidRPr="00E97BCA" w:rsidRDefault="00824276" w:rsidP="003624A6">
      <w:pPr>
        <w:pStyle w:val="NormalWeb"/>
        <w:spacing w:before="0" w:beforeAutospacing="0" w:after="0" w:afterAutospacing="0" w:line="312" w:lineRule="auto"/>
        <w:jc w:val="both"/>
        <w:rPr>
          <w:rFonts w:ascii="Arial" w:hAnsi="Arial" w:cs="Arial"/>
          <w:sz w:val="20"/>
          <w:szCs w:val="20"/>
        </w:rPr>
      </w:pPr>
      <w:r w:rsidRPr="00824276">
        <w:rPr>
          <w:rFonts w:ascii="Arial" w:hAnsi="Arial" w:cs="Arial"/>
          <w:sz w:val="20"/>
          <w:szCs w:val="20"/>
        </w:rPr>
        <w:t>Zheng, S. J., García-</w:t>
      </w:r>
      <w:proofErr w:type="spellStart"/>
      <w:r w:rsidRPr="00824276">
        <w:rPr>
          <w:rFonts w:ascii="Arial" w:hAnsi="Arial" w:cs="Arial"/>
          <w:sz w:val="20"/>
          <w:szCs w:val="20"/>
        </w:rPr>
        <w:t>Bastidas</w:t>
      </w:r>
      <w:proofErr w:type="spellEnd"/>
      <w:r w:rsidRPr="00824276">
        <w:rPr>
          <w:rFonts w:ascii="Arial" w:hAnsi="Arial" w:cs="Arial"/>
          <w:sz w:val="20"/>
          <w:szCs w:val="20"/>
        </w:rPr>
        <w:t xml:space="preserve">, F. A., Li, X., Zeng, L., Bai, T., Xu, S., Yin, K., Li, H., Fu, G., Yu, Y., Yang, L., Nguyen, H. C., </w:t>
      </w:r>
      <w:proofErr w:type="spellStart"/>
      <w:r w:rsidRPr="00824276">
        <w:rPr>
          <w:rFonts w:ascii="Arial" w:hAnsi="Arial" w:cs="Arial"/>
          <w:sz w:val="20"/>
          <w:szCs w:val="20"/>
        </w:rPr>
        <w:t>Douangboupha</w:t>
      </w:r>
      <w:proofErr w:type="spellEnd"/>
      <w:r w:rsidRPr="00824276">
        <w:rPr>
          <w:rFonts w:ascii="Arial" w:hAnsi="Arial" w:cs="Arial"/>
          <w:sz w:val="20"/>
          <w:szCs w:val="20"/>
        </w:rPr>
        <w:t xml:space="preserve">, B., </w:t>
      </w:r>
      <w:proofErr w:type="spellStart"/>
      <w:r w:rsidRPr="00824276">
        <w:rPr>
          <w:rFonts w:ascii="Arial" w:hAnsi="Arial" w:cs="Arial"/>
          <w:sz w:val="20"/>
          <w:szCs w:val="20"/>
        </w:rPr>
        <w:t>Khaing</w:t>
      </w:r>
      <w:proofErr w:type="spellEnd"/>
      <w:r w:rsidRPr="00824276">
        <w:rPr>
          <w:rFonts w:ascii="Arial" w:hAnsi="Arial" w:cs="Arial"/>
          <w:sz w:val="20"/>
          <w:szCs w:val="20"/>
        </w:rPr>
        <w:t xml:space="preserve">, A. A., </w:t>
      </w:r>
      <w:proofErr w:type="spellStart"/>
      <w:r w:rsidRPr="00824276">
        <w:rPr>
          <w:rFonts w:ascii="Arial" w:hAnsi="Arial" w:cs="Arial"/>
          <w:sz w:val="20"/>
          <w:szCs w:val="20"/>
        </w:rPr>
        <w:t>Drenth</w:t>
      </w:r>
      <w:proofErr w:type="spellEnd"/>
      <w:r w:rsidRPr="00824276">
        <w:rPr>
          <w:rFonts w:ascii="Arial" w:hAnsi="Arial" w:cs="Arial"/>
          <w:sz w:val="20"/>
          <w:szCs w:val="20"/>
        </w:rPr>
        <w:t xml:space="preserve">, A., </w:t>
      </w:r>
      <w:proofErr w:type="spellStart"/>
      <w:r w:rsidRPr="00824276">
        <w:rPr>
          <w:rFonts w:ascii="Arial" w:hAnsi="Arial" w:cs="Arial"/>
          <w:sz w:val="20"/>
          <w:szCs w:val="20"/>
        </w:rPr>
        <w:t>Seidl</w:t>
      </w:r>
      <w:proofErr w:type="spellEnd"/>
      <w:r w:rsidRPr="00824276">
        <w:rPr>
          <w:rFonts w:ascii="Arial" w:hAnsi="Arial" w:cs="Arial"/>
          <w:sz w:val="20"/>
          <w:szCs w:val="20"/>
        </w:rPr>
        <w:t xml:space="preserve">, M. F., Meijer, H. J. G., &amp; </w:t>
      </w:r>
      <w:proofErr w:type="spellStart"/>
      <w:r w:rsidRPr="00824276">
        <w:rPr>
          <w:rFonts w:ascii="Arial" w:hAnsi="Arial" w:cs="Arial"/>
          <w:sz w:val="20"/>
          <w:szCs w:val="20"/>
        </w:rPr>
        <w:t>Kema</w:t>
      </w:r>
      <w:proofErr w:type="spellEnd"/>
      <w:r w:rsidRPr="00824276">
        <w:rPr>
          <w:rFonts w:ascii="Arial" w:hAnsi="Arial" w:cs="Arial"/>
          <w:sz w:val="20"/>
          <w:szCs w:val="20"/>
        </w:rPr>
        <w:t xml:space="preserve">, G. H. J. (2018). New geographical insights of the latest expansion of Fusarium </w:t>
      </w:r>
      <w:proofErr w:type="spellStart"/>
      <w:r w:rsidRPr="00824276">
        <w:rPr>
          <w:rFonts w:ascii="Arial" w:hAnsi="Arial" w:cs="Arial"/>
          <w:sz w:val="20"/>
          <w:szCs w:val="20"/>
        </w:rPr>
        <w:t>oxysporum</w:t>
      </w:r>
      <w:proofErr w:type="spellEnd"/>
      <w:r w:rsidRPr="00824276">
        <w:rPr>
          <w:rFonts w:ascii="Arial" w:hAnsi="Arial" w:cs="Arial"/>
          <w:sz w:val="20"/>
          <w:szCs w:val="20"/>
        </w:rPr>
        <w:t xml:space="preserve"> </w:t>
      </w:r>
      <w:proofErr w:type="spellStart"/>
      <w:r w:rsidRPr="00824276">
        <w:rPr>
          <w:rFonts w:ascii="Arial" w:hAnsi="Arial" w:cs="Arial"/>
          <w:sz w:val="20"/>
          <w:szCs w:val="20"/>
        </w:rPr>
        <w:t>f.sp</w:t>
      </w:r>
      <w:proofErr w:type="spellEnd"/>
      <w:r w:rsidRPr="00824276">
        <w:rPr>
          <w:rFonts w:ascii="Arial" w:hAnsi="Arial" w:cs="Arial"/>
          <w:sz w:val="20"/>
          <w:szCs w:val="20"/>
        </w:rPr>
        <w:t xml:space="preserve">. </w:t>
      </w:r>
      <w:proofErr w:type="spellStart"/>
      <w:r w:rsidRPr="00824276">
        <w:rPr>
          <w:rFonts w:ascii="Arial" w:hAnsi="Arial" w:cs="Arial"/>
          <w:sz w:val="20"/>
          <w:szCs w:val="20"/>
        </w:rPr>
        <w:t>cubense</w:t>
      </w:r>
      <w:proofErr w:type="spellEnd"/>
      <w:r w:rsidRPr="00824276">
        <w:rPr>
          <w:rFonts w:ascii="Arial" w:hAnsi="Arial" w:cs="Arial"/>
          <w:sz w:val="20"/>
          <w:szCs w:val="20"/>
        </w:rPr>
        <w:t xml:space="preserve"> Tropical Race 4 into the Greater Mekong Subregion. Frontiers in Plant Science, 9, Article 457. </w:t>
      </w:r>
      <w:hyperlink r:id="rId56" w:history="1">
        <w:r w:rsidRPr="004472FD">
          <w:rPr>
            <w:rStyle w:val="Hyperlink"/>
            <w:rFonts w:ascii="Arial" w:hAnsi="Arial" w:cs="Arial"/>
            <w:sz w:val="20"/>
            <w:szCs w:val="20"/>
          </w:rPr>
          <w:t>https://doi.org/10.3389/fpls.2018.00457</w:t>
        </w:r>
      </w:hyperlink>
      <w:r>
        <w:rPr>
          <w:rFonts w:ascii="Arial" w:hAnsi="Arial" w:cs="Arial"/>
          <w:sz w:val="20"/>
          <w:szCs w:val="20"/>
        </w:rPr>
        <w:t xml:space="preserve"> </w:t>
      </w:r>
    </w:p>
    <w:p w14:paraId="6B084DB0" w14:textId="77777777" w:rsidR="00C071E5" w:rsidRPr="00E97BCA" w:rsidRDefault="00C071E5" w:rsidP="00E97BCA">
      <w:pPr>
        <w:spacing w:line="312" w:lineRule="auto"/>
        <w:jc w:val="both"/>
        <w:rPr>
          <w:rFonts w:ascii="Arial" w:hAnsi="Arial" w:cs="Arial"/>
        </w:rPr>
      </w:pPr>
    </w:p>
    <w:p w14:paraId="38995A1D" w14:textId="77777777" w:rsidR="00C071E5" w:rsidRPr="00E97BCA" w:rsidRDefault="00C071E5" w:rsidP="00E97BCA">
      <w:pPr>
        <w:spacing w:line="312" w:lineRule="auto"/>
        <w:jc w:val="both"/>
        <w:rPr>
          <w:rFonts w:ascii="Arial" w:hAnsi="Arial" w:cs="Arial"/>
        </w:rPr>
      </w:pPr>
    </w:p>
    <w:p w14:paraId="6E22EA11" w14:textId="77777777" w:rsidR="00C071E5" w:rsidRPr="00E97BCA" w:rsidRDefault="00C071E5" w:rsidP="00E97BCA">
      <w:pPr>
        <w:spacing w:line="312" w:lineRule="auto"/>
        <w:jc w:val="both"/>
        <w:rPr>
          <w:rFonts w:ascii="Arial" w:hAnsi="Arial" w:cs="Arial"/>
        </w:rPr>
      </w:pPr>
    </w:p>
    <w:p w14:paraId="4C7A7EB8" w14:textId="77777777" w:rsidR="00C071E5" w:rsidRPr="00E97BCA" w:rsidRDefault="00C071E5" w:rsidP="00E97BCA">
      <w:pPr>
        <w:spacing w:line="312" w:lineRule="auto"/>
        <w:jc w:val="both"/>
        <w:rPr>
          <w:rFonts w:ascii="Arial" w:hAnsi="Arial" w:cs="Arial"/>
          <w:sz w:val="24"/>
          <w:szCs w:val="24"/>
        </w:rPr>
      </w:pPr>
    </w:p>
    <w:p w14:paraId="125C2C18" w14:textId="77777777" w:rsidR="00B01FCD" w:rsidRPr="00E97BCA" w:rsidRDefault="00B01FCD" w:rsidP="00E97BCA">
      <w:pPr>
        <w:pStyle w:val="ReferHead"/>
        <w:spacing w:after="0" w:line="312" w:lineRule="auto"/>
        <w:jc w:val="both"/>
        <w:rPr>
          <w:rFonts w:ascii="Arial" w:hAnsi="Arial" w:cs="Arial"/>
          <w:b w:val="0"/>
        </w:rPr>
      </w:pPr>
    </w:p>
    <w:sectPr w:rsidR="00B01FCD" w:rsidRPr="00E97BCA" w:rsidSect="009C6103">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F13A6" w14:textId="77777777" w:rsidR="007C0C57" w:rsidRDefault="007C0C57" w:rsidP="00C37E61">
      <w:r>
        <w:separator/>
      </w:r>
    </w:p>
  </w:endnote>
  <w:endnote w:type="continuationSeparator" w:id="0">
    <w:p w14:paraId="04AA3115" w14:textId="77777777" w:rsidR="007C0C57" w:rsidRDefault="007C0C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113C5" w14:textId="77777777" w:rsidR="009C6103" w:rsidRDefault="009C6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BEBF" w14:textId="77777777" w:rsidR="009C6103" w:rsidRDefault="009C61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6534" w14:textId="77777777" w:rsidR="009E048A" w:rsidRDefault="009E048A">
    <w:pPr>
      <w:pStyle w:val="Footer"/>
      <w:rPr>
        <w:rFonts w:ascii="Arial" w:hAnsi="Arial" w:cs="Arial"/>
        <w:sz w:val="16"/>
      </w:rPr>
    </w:pPr>
  </w:p>
  <w:p w14:paraId="16856C2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7923217" w14:textId="77777777" w:rsidR="009E048A" w:rsidRDefault="009E048A">
    <w:pPr>
      <w:pStyle w:val="Footer"/>
      <w:rPr>
        <w:rFonts w:ascii="Arial" w:hAnsi="Arial" w:cs="Arial"/>
        <w:sz w:val="16"/>
      </w:rPr>
    </w:pPr>
  </w:p>
  <w:p w14:paraId="5E9858B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1B51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00775" w14:textId="77777777" w:rsidR="007C0C57" w:rsidRDefault="007C0C57" w:rsidP="00C37E61">
      <w:r>
        <w:separator/>
      </w:r>
    </w:p>
  </w:footnote>
  <w:footnote w:type="continuationSeparator" w:id="0">
    <w:p w14:paraId="423508E2" w14:textId="77777777" w:rsidR="007C0C57" w:rsidRDefault="007C0C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5ADC" w14:textId="16001DB6" w:rsidR="009C6103" w:rsidRDefault="009C6103">
    <w:pPr>
      <w:pStyle w:val="Header"/>
    </w:pPr>
    <w:r>
      <w:rPr>
        <w:noProof/>
      </w:rPr>
      <w:pict w14:anchorId="54BDF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4332" w14:textId="1B247006" w:rsidR="009C6103" w:rsidRDefault="009C6103">
    <w:pPr>
      <w:pStyle w:val="Header"/>
    </w:pPr>
    <w:r>
      <w:rPr>
        <w:noProof/>
      </w:rPr>
      <w:pict w14:anchorId="439A8D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AEA3" w14:textId="1A85528F" w:rsidR="00296529" w:rsidRPr="00296529" w:rsidRDefault="009C6103" w:rsidP="00296529">
    <w:pPr>
      <w:ind w:left="2160"/>
      <w:jc w:val="center"/>
      <w:rPr>
        <w:rFonts w:ascii="Times New Roman" w:eastAsia="Calibri" w:hAnsi="Times New Roman"/>
        <w:i/>
        <w:sz w:val="18"/>
        <w:szCs w:val="22"/>
      </w:rPr>
    </w:pPr>
    <w:r>
      <w:rPr>
        <w:noProof/>
      </w:rPr>
      <w:pict w14:anchorId="1D568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B365E7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D3888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29667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4D427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FAC70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1B18F6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28A1" w14:textId="7C6DAE95" w:rsidR="009C6103" w:rsidRDefault="009C6103">
    <w:pPr>
      <w:pStyle w:val="Header"/>
    </w:pPr>
    <w:r>
      <w:rPr>
        <w:noProof/>
      </w:rPr>
      <w:pict w14:anchorId="61EDD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55262" w14:textId="0891A178" w:rsidR="009C6103" w:rsidRDefault="009C6103">
    <w:pPr>
      <w:pStyle w:val="Header"/>
    </w:pPr>
    <w:r>
      <w:rPr>
        <w:noProof/>
      </w:rPr>
      <w:pict w14:anchorId="1F3D2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06078" w14:textId="71A83FBD" w:rsidR="009C6103" w:rsidRDefault="009C6103">
    <w:pPr>
      <w:pStyle w:val="Header"/>
    </w:pPr>
    <w:r>
      <w:rPr>
        <w:noProof/>
      </w:rPr>
      <w:pict w14:anchorId="43035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ACD1BAF"/>
    <w:multiLevelType w:val="hybridMultilevel"/>
    <w:tmpl w:val="6D76C7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09D9"/>
    <w:rsid w:val="00030174"/>
    <w:rsid w:val="0004579C"/>
    <w:rsid w:val="000A47FA"/>
    <w:rsid w:val="000A65D3"/>
    <w:rsid w:val="000B1E33"/>
    <w:rsid w:val="000D689F"/>
    <w:rsid w:val="000E7B7B"/>
    <w:rsid w:val="000E7D62"/>
    <w:rsid w:val="00103357"/>
    <w:rsid w:val="00123C9F"/>
    <w:rsid w:val="00126190"/>
    <w:rsid w:val="00130F17"/>
    <w:rsid w:val="001320BF"/>
    <w:rsid w:val="001347CA"/>
    <w:rsid w:val="00163BC4"/>
    <w:rsid w:val="00191062"/>
    <w:rsid w:val="00192B72"/>
    <w:rsid w:val="001A29D8"/>
    <w:rsid w:val="001A5CAA"/>
    <w:rsid w:val="001B0427"/>
    <w:rsid w:val="001C0F71"/>
    <w:rsid w:val="001C19C4"/>
    <w:rsid w:val="001C1F3C"/>
    <w:rsid w:val="001D3A51"/>
    <w:rsid w:val="001E10D2"/>
    <w:rsid w:val="001E25B4"/>
    <w:rsid w:val="001E44FE"/>
    <w:rsid w:val="00200595"/>
    <w:rsid w:val="00204835"/>
    <w:rsid w:val="002065F3"/>
    <w:rsid w:val="00231920"/>
    <w:rsid w:val="0023195C"/>
    <w:rsid w:val="0024282C"/>
    <w:rsid w:val="002460DC"/>
    <w:rsid w:val="00250985"/>
    <w:rsid w:val="002556F6"/>
    <w:rsid w:val="00283105"/>
    <w:rsid w:val="00284C4C"/>
    <w:rsid w:val="00287E68"/>
    <w:rsid w:val="00295D0E"/>
    <w:rsid w:val="00296529"/>
    <w:rsid w:val="002B27FB"/>
    <w:rsid w:val="002B685A"/>
    <w:rsid w:val="002C57D2"/>
    <w:rsid w:val="002E0D56"/>
    <w:rsid w:val="003035DC"/>
    <w:rsid w:val="00315186"/>
    <w:rsid w:val="0033343E"/>
    <w:rsid w:val="003512C2"/>
    <w:rsid w:val="003624A6"/>
    <w:rsid w:val="003651D8"/>
    <w:rsid w:val="00371FB6"/>
    <w:rsid w:val="00373C50"/>
    <w:rsid w:val="003763C1"/>
    <w:rsid w:val="00376BBE"/>
    <w:rsid w:val="00376ED7"/>
    <w:rsid w:val="0039224F"/>
    <w:rsid w:val="003A43A4"/>
    <w:rsid w:val="003A7E18"/>
    <w:rsid w:val="003C4C86"/>
    <w:rsid w:val="003C6258"/>
    <w:rsid w:val="003E2904"/>
    <w:rsid w:val="00401927"/>
    <w:rsid w:val="0041027F"/>
    <w:rsid w:val="00412475"/>
    <w:rsid w:val="00413084"/>
    <w:rsid w:val="00423789"/>
    <w:rsid w:val="00440F43"/>
    <w:rsid w:val="00441B6F"/>
    <w:rsid w:val="00446221"/>
    <w:rsid w:val="00450E62"/>
    <w:rsid w:val="004539DB"/>
    <w:rsid w:val="004643C4"/>
    <w:rsid w:val="00471A80"/>
    <w:rsid w:val="0047364B"/>
    <w:rsid w:val="004B61F4"/>
    <w:rsid w:val="004D305E"/>
    <w:rsid w:val="004D4277"/>
    <w:rsid w:val="00502516"/>
    <w:rsid w:val="00505F06"/>
    <w:rsid w:val="00506828"/>
    <w:rsid w:val="00513C17"/>
    <w:rsid w:val="0053056E"/>
    <w:rsid w:val="00554FDA"/>
    <w:rsid w:val="005C784C"/>
    <w:rsid w:val="005D17F6"/>
    <w:rsid w:val="005E5539"/>
    <w:rsid w:val="00602BF5"/>
    <w:rsid w:val="00617FDD"/>
    <w:rsid w:val="00622DBD"/>
    <w:rsid w:val="0063134B"/>
    <w:rsid w:val="00633614"/>
    <w:rsid w:val="00633F68"/>
    <w:rsid w:val="00636EB2"/>
    <w:rsid w:val="006375B8"/>
    <w:rsid w:val="0066510A"/>
    <w:rsid w:val="00673F9F"/>
    <w:rsid w:val="00686953"/>
    <w:rsid w:val="00687DEA"/>
    <w:rsid w:val="00687E67"/>
    <w:rsid w:val="006967F7"/>
    <w:rsid w:val="006A250C"/>
    <w:rsid w:val="006B21D3"/>
    <w:rsid w:val="006B57D0"/>
    <w:rsid w:val="006B5B01"/>
    <w:rsid w:val="006D30FF"/>
    <w:rsid w:val="006D6940"/>
    <w:rsid w:val="006F11EC"/>
    <w:rsid w:val="0070082C"/>
    <w:rsid w:val="007369E6"/>
    <w:rsid w:val="00746E59"/>
    <w:rsid w:val="00754C9A"/>
    <w:rsid w:val="0075599A"/>
    <w:rsid w:val="00760635"/>
    <w:rsid w:val="00761D52"/>
    <w:rsid w:val="0077749E"/>
    <w:rsid w:val="00790ADA"/>
    <w:rsid w:val="007C0C57"/>
    <w:rsid w:val="007D2288"/>
    <w:rsid w:val="007D5188"/>
    <w:rsid w:val="007E088F"/>
    <w:rsid w:val="007F7B32"/>
    <w:rsid w:val="00804BC2"/>
    <w:rsid w:val="0081431A"/>
    <w:rsid w:val="00824276"/>
    <w:rsid w:val="008315B6"/>
    <w:rsid w:val="0083216F"/>
    <w:rsid w:val="008531C9"/>
    <w:rsid w:val="00860000"/>
    <w:rsid w:val="00863BD3"/>
    <w:rsid w:val="008641ED"/>
    <w:rsid w:val="00866D66"/>
    <w:rsid w:val="008671C6"/>
    <w:rsid w:val="00875803"/>
    <w:rsid w:val="008A22E8"/>
    <w:rsid w:val="008B459E"/>
    <w:rsid w:val="008B5C17"/>
    <w:rsid w:val="008C6090"/>
    <w:rsid w:val="008E13AE"/>
    <w:rsid w:val="008E1506"/>
    <w:rsid w:val="008E710C"/>
    <w:rsid w:val="008F69D6"/>
    <w:rsid w:val="00902823"/>
    <w:rsid w:val="00903ACB"/>
    <w:rsid w:val="00914212"/>
    <w:rsid w:val="00915CA6"/>
    <w:rsid w:val="00927834"/>
    <w:rsid w:val="009500A6"/>
    <w:rsid w:val="00957C18"/>
    <w:rsid w:val="009659BA"/>
    <w:rsid w:val="00983040"/>
    <w:rsid w:val="009B3FB9"/>
    <w:rsid w:val="009B4E75"/>
    <w:rsid w:val="009C2465"/>
    <w:rsid w:val="009C6103"/>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4E3D"/>
    <w:rsid w:val="00AA6219"/>
    <w:rsid w:val="00AA74E0"/>
    <w:rsid w:val="00AB0903"/>
    <w:rsid w:val="00AB703F"/>
    <w:rsid w:val="00AC3A48"/>
    <w:rsid w:val="00AC6BB8"/>
    <w:rsid w:val="00AE008F"/>
    <w:rsid w:val="00B01FCD"/>
    <w:rsid w:val="00B06670"/>
    <w:rsid w:val="00B10AAF"/>
    <w:rsid w:val="00B15DB4"/>
    <w:rsid w:val="00B1776C"/>
    <w:rsid w:val="00B3679E"/>
    <w:rsid w:val="00B52583"/>
    <w:rsid w:val="00B52896"/>
    <w:rsid w:val="00B95236"/>
    <w:rsid w:val="00B96BD9"/>
    <w:rsid w:val="00BA1B01"/>
    <w:rsid w:val="00BA2641"/>
    <w:rsid w:val="00BB37AA"/>
    <w:rsid w:val="00BC53A0"/>
    <w:rsid w:val="00BE62AD"/>
    <w:rsid w:val="00BF121F"/>
    <w:rsid w:val="00BF1F80"/>
    <w:rsid w:val="00C071E5"/>
    <w:rsid w:val="00C166EF"/>
    <w:rsid w:val="00C17EB0"/>
    <w:rsid w:val="00C23F50"/>
    <w:rsid w:val="00C27F5F"/>
    <w:rsid w:val="00C30A0F"/>
    <w:rsid w:val="00C37448"/>
    <w:rsid w:val="00C37E61"/>
    <w:rsid w:val="00C5378B"/>
    <w:rsid w:val="00C61DA8"/>
    <w:rsid w:val="00C70F1B"/>
    <w:rsid w:val="00C71A47"/>
    <w:rsid w:val="00C7464C"/>
    <w:rsid w:val="00C85588"/>
    <w:rsid w:val="00CA4C63"/>
    <w:rsid w:val="00CD6755"/>
    <w:rsid w:val="00CD6856"/>
    <w:rsid w:val="00CE0089"/>
    <w:rsid w:val="00CE793C"/>
    <w:rsid w:val="00CF193C"/>
    <w:rsid w:val="00D10E3A"/>
    <w:rsid w:val="00D173F1"/>
    <w:rsid w:val="00D73BFB"/>
    <w:rsid w:val="00D74CB0"/>
    <w:rsid w:val="00D8295D"/>
    <w:rsid w:val="00DB7F8E"/>
    <w:rsid w:val="00DC2A65"/>
    <w:rsid w:val="00DE15F0"/>
    <w:rsid w:val="00DE5663"/>
    <w:rsid w:val="00DE78AA"/>
    <w:rsid w:val="00DF0874"/>
    <w:rsid w:val="00E053D0"/>
    <w:rsid w:val="00E15994"/>
    <w:rsid w:val="00E3114E"/>
    <w:rsid w:val="00E31A70"/>
    <w:rsid w:val="00E35B02"/>
    <w:rsid w:val="00E544A3"/>
    <w:rsid w:val="00E55496"/>
    <w:rsid w:val="00E659A3"/>
    <w:rsid w:val="00E66496"/>
    <w:rsid w:val="00E66B35"/>
    <w:rsid w:val="00E66E10"/>
    <w:rsid w:val="00E769F6"/>
    <w:rsid w:val="00E8407C"/>
    <w:rsid w:val="00E84F3C"/>
    <w:rsid w:val="00E97BCA"/>
    <w:rsid w:val="00EA012C"/>
    <w:rsid w:val="00EA0CC6"/>
    <w:rsid w:val="00EC6A55"/>
    <w:rsid w:val="00ED0288"/>
    <w:rsid w:val="00EE52CB"/>
    <w:rsid w:val="00EF4AC4"/>
    <w:rsid w:val="00EF581D"/>
    <w:rsid w:val="00EF7FD8"/>
    <w:rsid w:val="00F06F59"/>
    <w:rsid w:val="00F17988"/>
    <w:rsid w:val="00F43417"/>
    <w:rsid w:val="00F469F0"/>
    <w:rsid w:val="00F53273"/>
    <w:rsid w:val="00F67DE8"/>
    <w:rsid w:val="00F755E4"/>
    <w:rsid w:val="00F77D02"/>
    <w:rsid w:val="00FA7AA7"/>
    <w:rsid w:val="00FB3A86"/>
    <w:rsid w:val="00FC658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5DE85E8"/>
  <w15:docId w15:val="{EBE6AF2E-9B47-4684-8389-E2373D9C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C071E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065F3"/>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C071E5"/>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F67DE8"/>
    <w:rPr>
      <w:color w:val="605E5C"/>
      <w:shd w:val="clear" w:color="auto" w:fill="E1DFDD"/>
    </w:rPr>
  </w:style>
  <w:style w:type="paragraph" w:styleId="ListParagraph">
    <w:name w:val="List Paragraph"/>
    <w:basedOn w:val="Normal"/>
    <w:uiPriority w:val="34"/>
    <w:qFormat/>
    <w:rsid w:val="00622D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doi.org/10.1094/PDIS.2004.88.6.580" TargetMode="External"/><Relationship Id="rId21" Type="http://schemas.openxmlformats.org/officeDocument/2006/relationships/image" Target="media/image8.png"/><Relationship Id="rId34" Type="http://schemas.openxmlformats.org/officeDocument/2006/relationships/hyperlink" Target="https://doi.org/10.1094/Phyto-77-1640" TargetMode="External"/><Relationship Id="rId42" Type="http://schemas.openxmlformats.org/officeDocument/2006/relationships/hyperlink" Target="https://doi.org/10.1146/annurev.py.31.090193.001015" TargetMode="External"/><Relationship Id="rId47" Type="http://schemas.openxmlformats.org/officeDocument/2006/relationships/hyperlink" Target="https://ciat.cgiar.org/library/catalog/details/fusearch/fusarium-species-an-illustrated-manual-for-identification/" TargetMode="External"/><Relationship Id="rId50" Type="http://schemas.openxmlformats.org/officeDocument/2006/relationships/hyperlink" Target="https://doi.org/10.1094/PHP-2006-0308-01-RV" TargetMode="External"/><Relationship Id="rId55" Type="http://schemas.openxmlformats.org/officeDocument/2006/relationships/hyperlink" Target="https://doi.org/10.4102/sajs.v106i3/4.15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1094/PHYTO.1998.88.12.1283" TargetMode="External"/><Relationship Id="rId37" Type="http://schemas.openxmlformats.org/officeDocument/2006/relationships/hyperlink" Target="https://doi.org/10.1128/AEM.00370-09" TargetMode="External"/><Relationship Id="rId40" Type="http://schemas.openxmlformats.org/officeDocument/2006/relationships/hyperlink" Target="https://doi.org/10.1094/PDIS-02-17-0282-RE" TargetMode="External"/><Relationship Id="rId45" Type="http://schemas.openxmlformats.org/officeDocument/2006/relationships/hyperlink" Target="https://doi.org/10.1071/EA9930797" TargetMode="External"/><Relationship Id="rId53" Type="http://schemas.openxmlformats.org/officeDocument/2006/relationships/hyperlink" Target="https://doi.org/10.1139/b85-020"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doi.org/10.1111/mpp.12594" TargetMode="External"/><Relationship Id="rId43" Type="http://schemas.openxmlformats.org/officeDocument/2006/relationships/hyperlink" Target="https://doi.org/10.1146/annurev.py.31.090193.001015" TargetMode="External"/><Relationship Id="rId48" Type="http://schemas.openxmlformats.org/officeDocument/2006/relationships/hyperlink" Target="https://doi.org/10.1073/pnas.95.5.2044" TargetMode="External"/><Relationship Id="rId56" Type="http://schemas.openxmlformats.org/officeDocument/2006/relationships/hyperlink" Target="https://doi.org/10.3389/fpls.2018.00457" TargetMode="External"/><Relationship Id="rId8" Type="http://schemas.openxmlformats.org/officeDocument/2006/relationships/header" Target="header1.xml"/><Relationship Id="rId51" Type="http://schemas.openxmlformats.org/officeDocument/2006/relationships/hyperlink" Target="https://doi.org/10.1094/PHYTO-96-065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1071/AR9900863" TargetMode="External"/><Relationship Id="rId38" Type="http://schemas.openxmlformats.org/officeDocument/2006/relationships/hyperlink" Target="https://doi.org/10.1016/j.meegid.2011.01.012" TargetMode="External"/><Relationship Id="rId46" Type="http://schemas.openxmlformats.org/officeDocument/2006/relationships/hyperlink" Target="https://doi.org/10.1371/journal.pone.0181630" TargetMode="External"/><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www.apsnet.org/publications/apsnetbooks/Pages/FusariumPaulENelson.aspx" TargetMode="External"/><Relationship Id="rId54" Type="http://schemas.openxmlformats.org/officeDocument/2006/relationships/hyperlink" Target="https://hdl.handle.net/10568/10522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3389/fpls.2018.01468" TargetMode="External"/><Relationship Id="rId49" Type="http://schemas.openxmlformats.org/officeDocument/2006/relationships/hyperlink" Target="https://doi.org/10.3389/fpls.2019.01395"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doi.org/10.1002/9780470278376" TargetMode="External"/><Relationship Id="rId52" Type="http://schemas.openxmlformats.org/officeDocument/2006/relationships/hyperlink" Target="https://doi.org/10.1016/j.cropro.2015.01.007"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8176D-E352-442C-A351-989383DB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180</TotalTime>
  <Pages>13</Pages>
  <Words>4683</Words>
  <Characters>26696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31317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42</cp:revision>
  <cp:lastPrinted>1999-07-06T11:00:00Z</cp:lastPrinted>
  <dcterms:created xsi:type="dcterms:W3CDTF">2025-12-16T13:25:00Z</dcterms:created>
  <dcterms:modified xsi:type="dcterms:W3CDTF">2025-12-17T11:23:00Z</dcterms:modified>
</cp:coreProperties>
</file>